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E660F2" w:rsidP="00E660F2">
            <w:pPr>
              <w:rPr>
                <w:rFonts w:ascii="Arial" w:hAnsi="Arial" w:cs="Arial"/>
                <w:b/>
                <w:color w:val="002C47"/>
                <w:sz w:val="36"/>
                <w:szCs w:val="36"/>
              </w:rPr>
            </w:pPr>
            <w:r>
              <w:rPr>
                <w:rFonts w:ascii="Arial" w:hAnsi="Arial" w:cs="Arial"/>
                <w:b/>
                <w:color w:val="002C47"/>
                <w:sz w:val="36"/>
                <w:szCs w:val="36"/>
              </w:rPr>
              <w:t>March 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E660F2">
            <w:pPr>
              <w:pStyle w:val="Title"/>
              <w:rPr>
                <w:color w:val="FFFFFF" w:themeColor="background1"/>
              </w:rPr>
            </w:pPr>
            <w:r w:rsidRPr="00A964D1">
              <w:rPr>
                <w:color w:val="FFFFFF" w:themeColor="background1"/>
              </w:rPr>
              <w:t xml:space="preserve">Australian Public Assessment Report for </w:t>
            </w:r>
            <w:r w:rsidR="00E660F2" w:rsidRPr="001B6F85">
              <w:rPr>
                <w:color w:val="FFFFFF" w:themeColor="background1"/>
              </w:rPr>
              <w:t>Apalutamide</w:t>
            </w:r>
          </w:p>
        </w:tc>
      </w:tr>
      <w:tr w:rsidR="0032583B" w:rsidRPr="00B64760" w:rsidTr="0032583B">
        <w:tc>
          <w:tcPr>
            <w:tcW w:w="9079" w:type="dxa"/>
          </w:tcPr>
          <w:p w:rsidR="0032583B" w:rsidRPr="008E7846" w:rsidRDefault="0032583B" w:rsidP="00E660F2">
            <w:pPr>
              <w:pStyle w:val="Subtitle"/>
              <w:rPr>
                <w:color w:val="FFFFFF" w:themeColor="background1"/>
              </w:rPr>
            </w:pPr>
            <w:r w:rsidRPr="008E7846">
              <w:rPr>
                <w:color w:val="FFFFFF" w:themeColor="background1"/>
              </w:rPr>
              <w:t xml:space="preserve">Proprietary Product Name: </w:t>
            </w:r>
            <w:r w:rsidR="00E660F2">
              <w:rPr>
                <w:color w:val="FFFFFF" w:themeColor="background1"/>
              </w:rPr>
              <w:t>Erlyand</w:t>
            </w:r>
            <w:r w:rsidR="00E660F2" w:rsidRPr="001B6F85">
              <w:rPr>
                <w:color w:val="FFFFFF" w:themeColor="background1"/>
              </w:rPr>
              <w:t>/Janssen Apalutamide</w:t>
            </w:r>
          </w:p>
        </w:tc>
      </w:tr>
      <w:tr w:rsidR="0032583B" w:rsidRPr="00B64760" w:rsidTr="0032583B">
        <w:trPr>
          <w:trHeight w:val="486"/>
        </w:trPr>
        <w:tc>
          <w:tcPr>
            <w:tcW w:w="9079" w:type="dxa"/>
          </w:tcPr>
          <w:p w:rsidR="0032583B" w:rsidRPr="008E7846" w:rsidRDefault="0032583B" w:rsidP="00E660F2">
            <w:pPr>
              <w:pStyle w:val="Subtitle"/>
              <w:rPr>
                <w:color w:val="FFFFFF" w:themeColor="background1"/>
              </w:rPr>
            </w:pPr>
            <w:r w:rsidRPr="008E7846">
              <w:rPr>
                <w:color w:val="FFFFFF" w:themeColor="background1"/>
              </w:rPr>
              <w:t xml:space="preserve">Sponsor: </w:t>
            </w:r>
            <w:r w:rsidR="00E660F2" w:rsidRPr="001B6F85">
              <w:rPr>
                <w:color w:val="FFFFFF" w:themeColor="background1"/>
              </w:rPr>
              <w:t>Janssen-Cilag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E660F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E660F2">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E660F2">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E660F2">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E660F2">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875A6B">
      <w:pPr>
        <w:pStyle w:val="NonTOCHeading2"/>
      </w:pPr>
      <w:r>
        <w:t>About AusPARs</w:t>
      </w:r>
    </w:p>
    <w:p w:rsidR="008E7846" w:rsidRDefault="008E7846" w:rsidP="00E660F2">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E660F2">
      <w:pPr>
        <w:pStyle w:val="ListBullet"/>
        <w:numPr>
          <w:ilvl w:val="0"/>
          <w:numId w:val="1"/>
        </w:numPr>
        <w:ind w:left="357" w:hanging="357"/>
      </w:pPr>
      <w:r>
        <w:t>AusPARs are prepared and published by the TGA.</w:t>
      </w:r>
    </w:p>
    <w:p w:rsidR="008E7846" w:rsidRDefault="008E7846" w:rsidP="00E660F2">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E660F2">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E660F2">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C31962">
        <w:rPr>
          <w:rFonts w:cs="Arial"/>
          <w:lang w:val="en-GB"/>
        </w:rPr>
        <w:t>9</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w:t>
          </w:r>
          <w:bookmarkStart w:id="2" w:name="_GoBack"/>
          <w:bookmarkEnd w:id="2"/>
          <w:r w:rsidRPr="0010788A">
            <w:t>ts</w:t>
          </w:r>
        </w:p>
        <w:p w:rsidR="002B2B5B"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014044" w:history="1">
            <w:r w:rsidR="002B2B5B" w:rsidRPr="00505621">
              <w:rPr>
                <w:rStyle w:val="Hyperlink"/>
                <w:noProof/>
              </w:rPr>
              <w:t>Common abbreviations</w:t>
            </w:r>
            <w:r w:rsidR="002B2B5B">
              <w:rPr>
                <w:noProof/>
                <w:webHidden/>
              </w:rPr>
              <w:tab/>
            </w:r>
            <w:r w:rsidR="002B2B5B">
              <w:rPr>
                <w:noProof/>
                <w:webHidden/>
              </w:rPr>
              <w:fldChar w:fldCharType="begin"/>
            </w:r>
            <w:r w:rsidR="002B2B5B">
              <w:rPr>
                <w:noProof/>
                <w:webHidden/>
              </w:rPr>
              <w:instrText xml:space="preserve"> PAGEREF _Toc5014044 \h </w:instrText>
            </w:r>
            <w:r w:rsidR="002B2B5B">
              <w:rPr>
                <w:noProof/>
                <w:webHidden/>
              </w:rPr>
            </w:r>
            <w:r w:rsidR="002B2B5B">
              <w:rPr>
                <w:noProof/>
                <w:webHidden/>
              </w:rPr>
              <w:fldChar w:fldCharType="separate"/>
            </w:r>
            <w:r w:rsidR="002B2B5B">
              <w:rPr>
                <w:noProof/>
                <w:webHidden/>
              </w:rPr>
              <w:t>5</w:t>
            </w:r>
            <w:r w:rsidR="002B2B5B">
              <w:rPr>
                <w:noProof/>
                <w:webHidden/>
              </w:rPr>
              <w:fldChar w:fldCharType="end"/>
            </w:r>
          </w:hyperlink>
        </w:p>
        <w:p w:rsidR="002B2B5B" w:rsidRDefault="002B2B5B">
          <w:pPr>
            <w:pStyle w:val="TOC2"/>
            <w:rPr>
              <w:rFonts w:asciiTheme="minorHAnsi" w:eastAsiaTheme="minorEastAsia" w:hAnsiTheme="minorHAnsi" w:cstheme="minorBidi"/>
              <w:b w:val="0"/>
              <w:noProof/>
              <w:sz w:val="22"/>
              <w:lang w:eastAsia="en-AU"/>
            </w:rPr>
          </w:pPr>
          <w:hyperlink w:anchor="_Toc5014045" w:history="1">
            <w:r w:rsidRPr="00505621">
              <w:rPr>
                <w:rStyle w:val="Hyperlink"/>
                <w:noProof/>
              </w:rPr>
              <w:t>I. Introduction to product submission</w:t>
            </w:r>
            <w:r>
              <w:rPr>
                <w:noProof/>
                <w:webHidden/>
              </w:rPr>
              <w:tab/>
            </w:r>
            <w:r>
              <w:rPr>
                <w:noProof/>
                <w:webHidden/>
              </w:rPr>
              <w:fldChar w:fldCharType="begin"/>
            </w:r>
            <w:r>
              <w:rPr>
                <w:noProof/>
                <w:webHidden/>
              </w:rPr>
              <w:instrText xml:space="preserve"> PAGEREF _Toc5014045 \h </w:instrText>
            </w:r>
            <w:r>
              <w:rPr>
                <w:noProof/>
                <w:webHidden/>
              </w:rPr>
            </w:r>
            <w:r>
              <w:rPr>
                <w:noProof/>
                <w:webHidden/>
              </w:rPr>
              <w:fldChar w:fldCharType="separate"/>
            </w:r>
            <w:r>
              <w:rPr>
                <w:noProof/>
                <w:webHidden/>
              </w:rPr>
              <w:t>9</w:t>
            </w:r>
            <w:r>
              <w:rPr>
                <w:noProof/>
                <w:webHidden/>
              </w:rPr>
              <w:fldChar w:fldCharType="end"/>
            </w:r>
          </w:hyperlink>
        </w:p>
        <w:p w:rsidR="002B2B5B" w:rsidRDefault="002B2B5B">
          <w:pPr>
            <w:pStyle w:val="TOC3"/>
            <w:rPr>
              <w:rFonts w:asciiTheme="minorHAnsi" w:eastAsiaTheme="minorEastAsia" w:hAnsiTheme="minorHAnsi" w:cstheme="minorBidi"/>
              <w:noProof/>
              <w:lang w:eastAsia="en-AU"/>
            </w:rPr>
          </w:pPr>
          <w:hyperlink w:anchor="_Toc5014046" w:history="1">
            <w:r w:rsidRPr="00505621">
              <w:rPr>
                <w:rStyle w:val="Hyperlink"/>
                <w:noProof/>
                <w:lang w:eastAsia="en-AU"/>
              </w:rPr>
              <w:t>Submission details</w:t>
            </w:r>
            <w:r>
              <w:rPr>
                <w:noProof/>
                <w:webHidden/>
              </w:rPr>
              <w:tab/>
            </w:r>
            <w:r>
              <w:rPr>
                <w:noProof/>
                <w:webHidden/>
              </w:rPr>
              <w:fldChar w:fldCharType="begin"/>
            </w:r>
            <w:r>
              <w:rPr>
                <w:noProof/>
                <w:webHidden/>
              </w:rPr>
              <w:instrText xml:space="preserve"> PAGEREF _Toc5014046 \h </w:instrText>
            </w:r>
            <w:r>
              <w:rPr>
                <w:noProof/>
                <w:webHidden/>
              </w:rPr>
            </w:r>
            <w:r>
              <w:rPr>
                <w:noProof/>
                <w:webHidden/>
              </w:rPr>
              <w:fldChar w:fldCharType="separate"/>
            </w:r>
            <w:r>
              <w:rPr>
                <w:noProof/>
                <w:webHidden/>
              </w:rPr>
              <w:t>9</w:t>
            </w:r>
            <w:r>
              <w:rPr>
                <w:noProof/>
                <w:webHidden/>
              </w:rPr>
              <w:fldChar w:fldCharType="end"/>
            </w:r>
          </w:hyperlink>
        </w:p>
        <w:p w:rsidR="002B2B5B" w:rsidRDefault="002B2B5B">
          <w:pPr>
            <w:pStyle w:val="TOC3"/>
            <w:rPr>
              <w:rFonts w:asciiTheme="minorHAnsi" w:eastAsiaTheme="minorEastAsia" w:hAnsiTheme="minorHAnsi" w:cstheme="minorBidi"/>
              <w:noProof/>
              <w:lang w:eastAsia="en-AU"/>
            </w:rPr>
          </w:pPr>
          <w:hyperlink w:anchor="_Toc5014047" w:history="1">
            <w:r w:rsidRPr="00505621">
              <w:rPr>
                <w:rStyle w:val="Hyperlink"/>
                <w:noProof/>
              </w:rPr>
              <w:t>Submission and evaluation background</w:t>
            </w:r>
            <w:r>
              <w:rPr>
                <w:noProof/>
                <w:webHidden/>
              </w:rPr>
              <w:tab/>
            </w:r>
            <w:r>
              <w:rPr>
                <w:noProof/>
                <w:webHidden/>
              </w:rPr>
              <w:fldChar w:fldCharType="begin"/>
            </w:r>
            <w:r>
              <w:rPr>
                <w:noProof/>
                <w:webHidden/>
              </w:rPr>
              <w:instrText xml:space="preserve"> PAGEREF _Toc5014047 \h </w:instrText>
            </w:r>
            <w:r>
              <w:rPr>
                <w:noProof/>
                <w:webHidden/>
              </w:rPr>
            </w:r>
            <w:r>
              <w:rPr>
                <w:noProof/>
                <w:webHidden/>
              </w:rPr>
              <w:fldChar w:fldCharType="separate"/>
            </w:r>
            <w:r>
              <w:rPr>
                <w:noProof/>
                <w:webHidden/>
              </w:rPr>
              <w:t>10</w:t>
            </w:r>
            <w:r>
              <w:rPr>
                <w:noProof/>
                <w:webHidden/>
              </w:rPr>
              <w:fldChar w:fldCharType="end"/>
            </w:r>
          </w:hyperlink>
        </w:p>
        <w:p w:rsidR="002B2B5B" w:rsidRDefault="002B2B5B">
          <w:pPr>
            <w:pStyle w:val="TOC3"/>
            <w:rPr>
              <w:rFonts w:asciiTheme="minorHAnsi" w:eastAsiaTheme="minorEastAsia" w:hAnsiTheme="minorHAnsi" w:cstheme="minorBidi"/>
              <w:noProof/>
              <w:lang w:eastAsia="en-AU"/>
            </w:rPr>
          </w:pPr>
          <w:hyperlink w:anchor="_Toc5014048" w:history="1">
            <w:r w:rsidRPr="00505621">
              <w:rPr>
                <w:rStyle w:val="Hyperlink"/>
                <w:noProof/>
              </w:rPr>
              <w:t>Product background</w:t>
            </w:r>
            <w:r>
              <w:rPr>
                <w:noProof/>
                <w:webHidden/>
              </w:rPr>
              <w:tab/>
            </w:r>
            <w:r>
              <w:rPr>
                <w:noProof/>
                <w:webHidden/>
              </w:rPr>
              <w:fldChar w:fldCharType="begin"/>
            </w:r>
            <w:r>
              <w:rPr>
                <w:noProof/>
                <w:webHidden/>
              </w:rPr>
              <w:instrText xml:space="preserve"> PAGEREF _Toc5014048 \h </w:instrText>
            </w:r>
            <w:r>
              <w:rPr>
                <w:noProof/>
                <w:webHidden/>
              </w:rPr>
            </w:r>
            <w:r>
              <w:rPr>
                <w:noProof/>
                <w:webHidden/>
              </w:rPr>
              <w:fldChar w:fldCharType="separate"/>
            </w:r>
            <w:r>
              <w:rPr>
                <w:noProof/>
                <w:webHidden/>
              </w:rPr>
              <w:t>10</w:t>
            </w:r>
            <w:r>
              <w:rPr>
                <w:noProof/>
                <w:webHidden/>
              </w:rPr>
              <w:fldChar w:fldCharType="end"/>
            </w:r>
          </w:hyperlink>
        </w:p>
        <w:p w:rsidR="002B2B5B" w:rsidRDefault="002B2B5B">
          <w:pPr>
            <w:pStyle w:val="TOC3"/>
            <w:rPr>
              <w:rFonts w:asciiTheme="minorHAnsi" w:eastAsiaTheme="minorEastAsia" w:hAnsiTheme="minorHAnsi" w:cstheme="minorBidi"/>
              <w:noProof/>
              <w:lang w:eastAsia="en-AU"/>
            </w:rPr>
          </w:pPr>
          <w:hyperlink w:anchor="_Toc5014049" w:history="1">
            <w:r w:rsidRPr="00505621">
              <w:rPr>
                <w:rStyle w:val="Hyperlink"/>
                <w:noProof/>
              </w:rPr>
              <w:t>Regulatory status</w:t>
            </w:r>
            <w:r>
              <w:rPr>
                <w:noProof/>
                <w:webHidden/>
              </w:rPr>
              <w:tab/>
            </w:r>
            <w:r>
              <w:rPr>
                <w:noProof/>
                <w:webHidden/>
              </w:rPr>
              <w:fldChar w:fldCharType="begin"/>
            </w:r>
            <w:r>
              <w:rPr>
                <w:noProof/>
                <w:webHidden/>
              </w:rPr>
              <w:instrText xml:space="preserve"> PAGEREF _Toc5014049 \h </w:instrText>
            </w:r>
            <w:r>
              <w:rPr>
                <w:noProof/>
                <w:webHidden/>
              </w:rPr>
            </w:r>
            <w:r>
              <w:rPr>
                <w:noProof/>
                <w:webHidden/>
              </w:rPr>
              <w:fldChar w:fldCharType="separate"/>
            </w:r>
            <w:r>
              <w:rPr>
                <w:noProof/>
                <w:webHidden/>
              </w:rPr>
              <w:t>12</w:t>
            </w:r>
            <w:r>
              <w:rPr>
                <w:noProof/>
                <w:webHidden/>
              </w:rPr>
              <w:fldChar w:fldCharType="end"/>
            </w:r>
          </w:hyperlink>
        </w:p>
        <w:p w:rsidR="002B2B5B" w:rsidRDefault="002B2B5B">
          <w:pPr>
            <w:pStyle w:val="TOC3"/>
            <w:rPr>
              <w:rFonts w:asciiTheme="minorHAnsi" w:eastAsiaTheme="minorEastAsia" w:hAnsiTheme="minorHAnsi" w:cstheme="minorBidi"/>
              <w:noProof/>
              <w:lang w:eastAsia="en-AU"/>
            </w:rPr>
          </w:pPr>
          <w:hyperlink w:anchor="_Toc5014050" w:history="1">
            <w:r w:rsidRPr="00505621">
              <w:rPr>
                <w:rStyle w:val="Hyperlink"/>
                <w:noProof/>
              </w:rPr>
              <w:t>Product Information</w:t>
            </w:r>
            <w:r>
              <w:rPr>
                <w:noProof/>
                <w:webHidden/>
              </w:rPr>
              <w:tab/>
            </w:r>
            <w:r>
              <w:rPr>
                <w:noProof/>
                <w:webHidden/>
              </w:rPr>
              <w:fldChar w:fldCharType="begin"/>
            </w:r>
            <w:r>
              <w:rPr>
                <w:noProof/>
                <w:webHidden/>
              </w:rPr>
              <w:instrText xml:space="preserve"> PAGEREF _Toc5014050 \h </w:instrText>
            </w:r>
            <w:r>
              <w:rPr>
                <w:noProof/>
                <w:webHidden/>
              </w:rPr>
            </w:r>
            <w:r>
              <w:rPr>
                <w:noProof/>
                <w:webHidden/>
              </w:rPr>
              <w:fldChar w:fldCharType="separate"/>
            </w:r>
            <w:r>
              <w:rPr>
                <w:noProof/>
                <w:webHidden/>
              </w:rPr>
              <w:t>13</w:t>
            </w:r>
            <w:r>
              <w:rPr>
                <w:noProof/>
                <w:webHidden/>
              </w:rPr>
              <w:fldChar w:fldCharType="end"/>
            </w:r>
          </w:hyperlink>
        </w:p>
        <w:p w:rsidR="002B2B5B" w:rsidRDefault="002B2B5B">
          <w:pPr>
            <w:pStyle w:val="TOC2"/>
            <w:rPr>
              <w:rFonts w:asciiTheme="minorHAnsi" w:eastAsiaTheme="minorEastAsia" w:hAnsiTheme="minorHAnsi" w:cstheme="minorBidi"/>
              <w:b w:val="0"/>
              <w:noProof/>
              <w:sz w:val="22"/>
              <w:lang w:eastAsia="en-AU"/>
            </w:rPr>
          </w:pPr>
          <w:hyperlink w:anchor="_Toc5014051" w:history="1">
            <w:r w:rsidRPr="00505621">
              <w:rPr>
                <w:rStyle w:val="Hyperlink"/>
                <w:noProof/>
              </w:rPr>
              <w:t>II. Registration time line</w:t>
            </w:r>
            <w:r>
              <w:rPr>
                <w:noProof/>
                <w:webHidden/>
              </w:rPr>
              <w:tab/>
            </w:r>
            <w:r>
              <w:rPr>
                <w:noProof/>
                <w:webHidden/>
              </w:rPr>
              <w:fldChar w:fldCharType="begin"/>
            </w:r>
            <w:r>
              <w:rPr>
                <w:noProof/>
                <w:webHidden/>
              </w:rPr>
              <w:instrText xml:space="preserve"> PAGEREF _Toc5014051 \h </w:instrText>
            </w:r>
            <w:r>
              <w:rPr>
                <w:noProof/>
                <w:webHidden/>
              </w:rPr>
            </w:r>
            <w:r>
              <w:rPr>
                <w:noProof/>
                <w:webHidden/>
              </w:rPr>
              <w:fldChar w:fldCharType="separate"/>
            </w:r>
            <w:r>
              <w:rPr>
                <w:noProof/>
                <w:webHidden/>
              </w:rPr>
              <w:t>13</w:t>
            </w:r>
            <w:r>
              <w:rPr>
                <w:noProof/>
                <w:webHidden/>
              </w:rPr>
              <w:fldChar w:fldCharType="end"/>
            </w:r>
          </w:hyperlink>
        </w:p>
        <w:p w:rsidR="002B2B5B" w:rsidRDefault="002B2B5B">
          <w:pPr>
            <w:pStyle w:val="TOC2"/>
            <w:rPr>
              <w:rFonts w:asciiTheme="minorHAnsi" w:eastAsiaTheme="minorEastAsia" w:hAnsiTheme="minorHAnsi" w:cstheme="minorBidi"/>
              <w:b w:val="0"/>
              <w:noProof/>
              <w:sz w:val="22"/>
              <w:lang w:eastAsia="en-AU"/>
            </w:rPr>
          </w:pPr>
          <w:hyperlink w:anchor="_Toc5014052" w:history="1">
            <w:r w:rsidRPr="00505621">
              <w:rPr>
                <w:rStyle w:val="Hyperlink"/>
                <w:noProof/>
              </w:rPr>
              <w:t>III. Quality findings</w:t>
            </w:r>
            <w:r>
              <w:rPr>
                <w:noProof/>
                <w:webHidden/>
              </w:rPr>
              <w:tab/>
            </w:r>
            <w:r>
              <w:rPr>
                <w:noProof/>
                <w:webHidden/>
              </w:rPr>
              <w:fldChar w:fldCharType="begin"/>
            </w:r>
            <w:r>
              <w:rPr>
                <w:noProof/>
                <w:webHidden/>
              </w:rPr>
              <w:instrText xml:space="preserve"> PAGEREF _Toc5014052 \h </w:instrText>
            </w:r>
            <w:r>
              <w:rPr>
                <w:noProof/>
                <w:webHidden/>
              </w:rPr>
            </w:r>
            <w:r>
              <w:rPr>
                <w:noProof/>
                <w:webHidden/>
              </w:rPr>
              <w:fldChar w:fldCharType="separate"/>
            </w:r>
            <w:r>
              <w:rPr>
                <w:noProof/>
                <w:webHidden/>
              </w:rPr>
              <w:t>14</w:t>
            </w:r>
            <w:r>
              <w:rPr>
                <w:noProof/>
                <w:webHidden/>
              </w:rPr>
              <w:fldChar w:fldCharType="end"/>
            </w:r>
          </w:hyperlink>
        </w:p>
        <w:p w:rsidR="002B2B5B" w:rsidRDefault="002B2B5B">
          <w:pPr>
            <w:pStyle w:val="TOC3"/>
            <w:rPr>
              <w:rFonts w:asciiTheme="minorHAnsi" w:eastAsiaTheme="minorEastAsia" w:hAnsiTheme="minorHAnsi" w:cstheme="minorBidi"/>
              <w:noProof/>
              <w:lang w:eastAsia="en-AU"/>
            </w:rPr>
          </w:pPr>
          <w:hyperlink w:anchor="_Toc5014053" w:history="1">
            <w:r w:rsidRPr="00505621">
              <w:rPr>
                <w:rStyle w:val="Hyperlink"/>
                <w:noProof/>
              </w:rPr>
              <w:t>Drug substance (active ingredient)</w:t>
            </w:r>
            <w:r>
              <w:rPr>
                <w:noProof/>
                <w:webHidden/>
              </w:rPr>
              <w:tab/>
            </w:r>
            <w:r>
              <w:rPr>
                <w:noProof/>
                <w:webHidden/>
              </w:rPr>
              <w:fldChar w:fldCharType="begin"/>
            </w:r>
            <w:r>
              <w:rPr>
                <w:noProof/>
                <w:webHidden/>
              </w:rPr>
              <w:instrText xml:space="preserve"> PAGEREF _Toc5014053 \h </w:instrText>
            </w:r>
            <w:r>
              <w:rPr>
                <w:noProof/>
                <w:webHidden/>
              </w:rPr>
            </w:r>
            <w:r>
              <w:rPr>
                <w:noProof/>
                <w:webHidden/>
              </w:rPr>
              <w:fldChar w:fldCharType="separate"/>
            </w:r>
            <w:r>
              <w:rPr>
                <w:noProof/>
                <w:webHidden/>
              </w:rPr>
              <w:t>14</w:t>
            </w:r>
            <w:r>
              <w:rPr>
                <w:noProof/>
                <w:webHidden/>
              </w:rPr>
              <w:fldChar w:fldCharType="end"/>
            </w:r>
          </w:hyperlink>
        </w:p>
        <w:p w:rsidR="002B2B5B" w:rsidRDefault="002B2B5B">
          <w:pPr>
            <w:pStyle w:val="TOC3"/>
            <w:rPr>
              <w:rFonts w:asciiTheme="minorHAnsi" w:eastAsiaTheme="minorEastAsia" w:hAnsiTheme="minorHAnsi" w:cstheme="minorBidi"/>
              <w:noProof/>
              <w:lang w:eastAsia="en-AU"/>
            </w:rPr>
          </w:pPr>
          <w:hyperlink w:anchor="_Toc5014054" w:history="1">
            <w:r w:rsidRPr="00505621">
              <w:rPr>
                <w:rStyle w:val="Hyperlink"/>
                <w:noProof/>
              </w:rPr>
              <w:t>Drug product</w:t>
            </w:r>
            <w:r>
              <w:rPr>
                <w:noProof/>
                <w:webHidden/>
              </w:rPr>
              <w:tab/>
            </w:r>
            <w:r>
              <w:rPr>
                <w:noProof/>
                <w:webHidden/>
              </w:rPr>
              <w:fldChar w:fldCharType="begin"/>
            </w:r>
            <w:r>
              <w:rPr>
                <w:noProof/>
                <w:webHidden/>
              </w:rPr>
              <w:instrText xml:space="preserve"> PAGEREF _Toc5014054 \h </w:instrText>
            </w:r>
            <w:r>
              <w:rPr>
                <w:noProof/>
                <w:webHidden/>
              </w:rPr>
            </w:r>
            <w:r>
              <w:rPr>
                <w:noProof/>
                <w:webHidden/>
              </w:rPr>
              <w:fldChar w:fldCharType="separate"/>
            </w:r>
            <w:r>
              <w:rPr>
                <w:noProof/>
                <w:webHidden/>
              </w:rPr>
              <w:t>14</w:t>
            </w:r>
            <w:r>
              <w:rPr>
                <w:noProof/>
                <w:webHidden/>
              </w:rPr>
              <w:fldChar w:fldCharType="end"/>
            </w:r>
          </w:hyperlink>
        </w:p>
        <w:p w:rsidR="002B2B5B" w:rsidRDefault="002B2B5B">
          <w:pPr>
            <w:pStyle w:val="TOC3"/>
            <w:rPr>
              <w:rFonts w:asciiTheme="minorHAnsi" w:eastAsiaTheme="minorEastAsia" w:hAnsiTheme="minorHAnsi" w:cstheme="minorBidi"/>
              <w:noProof/>
              <w:lang w:eastAsia="en-AU"/>
            </w:rPr>
          </w:pPr>
          <w:hyperlink w:anchor="_Toc5014055" w:history="1">
            <w:r w:rsidRPr="00505621">
              <w:rPr>
                <w:rStyle w:val="Hyperlink"/>
                <w:noProof/>
              </w:rPr>
              <w:t>Summary of human pharmacokinetics</w:t>
            </w:r>
            <w:r>
              <w:rPr>
                <w:noProof/>
                <w:webHidden/>
              </w:rPr>
              <w:tab/>
            </w:r>
            <w:r>
              <w:rPr>
                <w:noProof/>
                <w:webHidden/>
              </w:rPr>
              <w:fldChar w:fldCharType="begin"/>
            </w:r>
            <w:r>
              <w:rPr>
                <w:noProof/>
                <w:webHidden/>
              </w:rPr>
              <w:instrText xml:space="preserve"> PAGEREF _Toc5014055 \h </w:instrText>
            </w:r>
            <w:r>
              <w:rPr>
                <w:noProof/>
                <w:webHidden/>
              </w:rPr>
            </w:r>
            <w:r>
              <w:rPr>
                <w:noProof/>
                <w:webHidden/>
              </w:rPr>
              <w:fldChar w:fldCharType="separate"/>
            </w:r>
            <w:r>
              <w:rPr>
                <w:noProof/>
                <w:webHidden/>
              </w:rPr>
              <w:t>15</w:t>
            </w:r>
            <w:r>
              <w:rPr>
                <w:noProof/>
                <w:webHidden/>
              </w:rPr>
              <w:fldChar w:fldCharType="end"/>
            </w:r>
          </w:hyperlink>
        </w:p>
        <w:p w:rsidR="002B2B5B" w:rsidRDefault="002B2B5B">
          <w:pPr>
            <w:pStyle w:val="TOC3"/>
            <w:rPr>
              <w:rFonts w:asciiTheme="minorHAnsi" w:eastAsiaTheme="minorEastAsia" w:hAnsiTheme="minorHAnsi" w:cstheme="minorBidi"/>
              <w:noProof/>
              <w:lang w:eastAsia="en-AU"/>
            </w:rPr>
          </w:pPr>
          <w:hyperlink w:anchor="_Toc5014056" w:history="1">
            <w:r w:rsidRPr="00505621">
              <w:rPr>
                <w:rStyle w:val="Hyperlink"/>
                <w:noProof/>
              </w:rPr>
              <w:t>Biopharmaceutics</w:t>
            </w:r>
            <w:r>
              <w:rPr>
                <w:noProof/>
                <w:webHidden/>
              </w:rPr>
              <w:tab/>
            </w:r>
            <w:r>
              <w:rPr>
                <w:noProof/>
                <w:webHidden/>
              </w:rPr>
              <w:fldChar w:fldCharType="begin"/>
            </w:r>
            <w:r>
              <w:rPr>
                <w:noProof/>
                <w:webHidden/>
              </w:rPr>
              <w:instrText xml:space="preserve"> PAGEREF _Toc5014056 \h </w:instrText>
            </w:r>
            <w:r>
              <w:rPr>
                <w:noProof/>
                <w:webHidden/>
              </w:rPr>
            </w:r>
            <w:r>
              <w:rPr>
                <w:noProof/>
                <w:webHidden/>
              </w:rPr>
              <w:fldChar w:fldCharType="separate"/>
            </w:r>
            <w:r>
              <w:rPr>
                <w:noProof/>
                <w:webHidden/>
              </w:rPr>
              <w:t>16</w:t>
            </w:r>
            <w:r>
              <w:rPr>
                <w:noProof/>
                <w:webHidden/>
              </w:rPr>
              <w:fldChar w:fldCharType="end"/>
            </w:r>
          </w:hyperlink>
        </w:p>
        <w:p w:rsidR="002B2B5B" w:rsidRDefault="002B2B5B">
          <w:pPr>
            <w:pStyle w:val="TOC3"/>
            <w:rPr>
              <w:rFonts w:asciiTheme="minorHAnsi" w:eastAsiaTheme="minorEastAsia" w:hAnsiTheme="minorHAnsi" w:cstheme="minorBidi"/>
              <w:noProof/>
              <w:lang w:eastAsia="en-AU"/>
            </w:rPr>
          </w:pPr>
          <w:hyperlink w:anchor="_Toc5014057" w:history="1">
            <w:r w:rsidRPr="00505621">
              <w:rPr>
                <w:rStyle w:val="Hyperlink"/>
                <w:noProof/>
              </w:rPr>
              <w:t>Quality summary and recommendation</w:t>
            </w:r>
            <w:r>
              <w:rPr>
                <w:noProof/>
                <w:webHidden/>
              </w:rPr>
              <w:tab/>
            </w:r>
            <w:r>
              <w:rPr>
                <w:noProof/>
                <w:webHidden/>
              </w:rPr>
              <w:fldChar w:fldCharType="begin"/>
            </w:r>
            <w:r>
              <w:rPr>
                <w:noProof/>
                <w:webHidden/>
              </w:rPr>
              <w:instrText xml:space="preserve"> PAGEREF _Toc5014057 \h </w:instrText>
            </w:r>
            <w:r>
              <w:rPr>
                <w:noProof/>
                <w:webHidden/>
              </w:rPr>
            </w:r>
            <w:r>
              <w:rPr>
                <w:noProof/>
                <w:webHidden/>
              </w:rPr>
              <w:fldChar w:fldCharType="separate"/>
            </w:r>
            <w:r>
              <w:rPr>
                <w:noProof/>
                <w:webHidden/>
              </w:rPr>
              <w:t>20</w:t>
            </w:r>
            <w:r>
              <w:rPr>
                <w:noProof/>
                <w:webHidden/>
              </w:rPr>
              <w:fldChar w:fldCharType="end"/>
            </w:r>
          </w:hyperlink>
        </w:p>
        <w:p w:rsidR="002B2B5B" w:rsidRDefault="002B2B5B">
          <w:pPr>
            <w:pStyle w:val="TOC2"/>
            <w:rPr>
              <w:rFonts w:asciiTheme="minorHAnsi" w:eastAsiaTheme="minorEastAsia" w:hAnsiTheme="minorHAnsi" w:cstheme="minorBidi"/>
              <w:b w:val="0"/>
              <w:noProof/>
              <w:sz w:val="22"/>
              <w:lang w:eastAsia="en-AU"/>
            </w:rPr>
          </w:pPr>
          <w:hyperlink w:anchor="_Toc5014058" w:history="1">
            <w:r w:rsidRPr="00505621">
              <w:rPr>
                <w:rStyle w:val="Hyperlink"/>
                <w:noProof/>
              </w:rPr>
              <w:t>IV. Nonclinical findings</w:t>
            </w:r>
            <w:r>
              <w:rPr>
                <w:noProof/>
                <w:webHidden/>
              </w:rPr>
              <w:tab/>
            </w:r>
            <w:r>
              <w:rPr>
                <w:noProof/>
                <w:webHidden/>
              </w:rPr>
              <w:fldChar w:fldCharType="begin"/>
            </w:r>
            <w:r>
              <w:rPr>
                <w:noProof/>
                <w:webHidden/>
              </w:rPr>
              <w:instrText xml:space="preserve"> PAGEREF _Toc5014058 \h </w:instrText>
            </w:r>
            <w:r>
              <w:rPr>
                <w:noProof/>
                <w:webHidden/>
              </w:rPr>
            </w:r>
            <w:r>
              <w:rPr>
                <w:noProof/>
                <w:webHidden/>
              </w:rPr>
              <w:fldChar w:fldCharType="separate"/>
            </w:r>
            <w:r>
              <w:rPr>
                <w:noProof/>
                <w:webHidden/>
              </w:rPr>
              <w:t>20</w:t>
            </w:r>
            <w:r>
              <w:rPr>
                <w:noProof/>
                <w:webHidden/>
              </w:rPr>
              <w:fldChar w:fldCharType="end"/>
            </w:r>
          </w:hyperlink>
        </w:p>
        <w:p w:rsidR="002B2B5B" w:rsidRDefault="002B2B5B">
          <w:pPr>
            <w:pStyle w:val="TOC3"/>
            <w:rPr>
              <w:rFonts w:asciiTheme="minorHAnsi" w:eastAsiaTheme="minorEastAsia" w:hAnsiTheme="minorHAnsi" w:cstheme="minorBidi"/>
              <w:noProof/>
              <w:lang w:eastAsia="en-AU"/>
            </w:rPr>
          </w:pPr>
          <w:hyperlink w:anchor="_Toc5014059" w:history="1">
            <w:r w:rsidRPr="00505621">
              <w:rPr>
                <w:rStyle w:val="Hyperlink"/>
                <w:noProof/>
              </w:rPr>
              <w:t>Introduction</w:t>
            </w:r>
            <w:r>
              <w:rPr>
                <w:noProof/>
                <w:webHidden/>
              </w:rPr>
              <w:tab/>
            </w:r>
            <w:r>
              <w:rPr>
                <w:noProof/>
                <w:webHidden/>
              </w:rPr>
              <w:fldChar w:fldCharType="begin"/>
            </w:r>
            <w:r>
              <w:rPr>
                <w:noProof/>
                <w:webHidden/>
              </w:rPr>
              <w:instrText xml:space="preserve"> PAGEREF _Toc5014059 \h </w:instrText>
            </w:r>
            <w:r>
              <w:rPr>
                <w:noProof/>
                <w:webHidden/>
              </w:rPr>
            </w:r>
            <w:r>
              <w:rPr>
                <w:noProof/>
                <w:webHidden/>
              </w:rPr>
              <w:fldChar w:fldCharType="separate"/>
            </w:r>
            <w:r>
              <w:rPr>
                <w:noProof/>
                <w:webHidden/>
              </w:rPr>
              <w:t>20</w:t>
            </w:r>
            <w:r>
              <w:rPr>
                <w:noProof/>
                <w:webHidden/>
              </w:rPr>
              <w:fldChar w:fldCharType="end"/>
            </w:r>
          </w:hyperlink>
        </w:p>
        <w:p w:rsidR="002B2B5B" w:rsidRDefault="002B2B5B">
          <w:pPr>
            <w:pStyle w:val="TOC3"/>
            <w:rPr>
              <w:rFonts w:asciiTheme="minorHAnsi" w:eastAsiaTheme="minorEastAsia" w:hAnsiTheme="minorHAnsi" w:cstheme="minorBidi"/>
              <w:noProof/>
              <w:lang w:eastAsia="en-AU"/>
            </w:rPr>
          </w:pPr>
          <w:hyperlink w:anchor="_Toc5014060" w:history="1">
            <w:r w:rsidRPr="00505621">
              <w:rPr>
                <w:rStyle w:val="Hyperlink"/>
                <w:noProof/>
              </w:rPr>
              <w:t>Pharmacology</w:t>
            </w:r>
            <w:r>
              <w:rPr>
                <w:noProof/>
                <w:webHidden/>
              </w:rPr>
              <w:tab/>
            </w:r>
            <w:r>
              <w:rPr>
                <w:noProof/>
                <w:webHidden/>
              </w:rPr>
              <w:fldChar w:fldCharType="begin"/>
            </w:r>
            <w:r>
              <w:rPr>
                <w:noProof/>
                <w:webHidden/>
              </w:rPr>
              <w:instrText xml:space="preserve"> PAGEREF _Toc5014060 \h </w:instrText>
            </w:r>
            <w:r>
              <w:rPr>
                <w:noProof/>
                <w:webHidden/>
              </w:rPr>
            </w:r>
            <w:r>
              <w:rPr>
                <w:noProof/>
                <w:webHidden/>
              </w:rPr>
              <w:fldChar w:fldCharType="separate"/>
            </w:r>
            <w:r>
              <w:rPr>
                <w:noProof/>
                <w:webHidden/>
              </w:rPr>
              <w:t>21</w:t>
            </w:r>
            <w:r>
              <w:rPr>
                <w:noProof/>
                <w:webHidden/>
              </w:rPr>
              <w:fldChar w:fldCharType="end"/>
            </w:r>
          </w:hyperlink>
        </w:p>
        <w:p w:rsidR="002B2B5B" w:rsidRDefault="002B2B5B">
          <w:pPr>
            <w:pStyle w:val="TOC3"/>
            <w:rPr>
              <w:rFonts w:asciiTheme="minorHAnsi" w:eastAsiaTheme="minorEastAsia" w:hAnsiTheme="minorHAnsi" w:cstheme="minorBidi"/>
              <w:noProof/>
              <w:lang w:eastAsia="en-AU"/>
            </w:rPr>
          </w:pPr>
          <w:hyperlink w:anchor="_Toc5014061" w:history="1">
            <w:r w:rsidRPr="00505621">
              <w:rPr>
                <w:rStyle w:val="Hyperlink"/>
                <w:noProof/>
              </w:rPr>
              <w:t>Pharmacokinetics</w:t>
            </w:r>
            <w:r>
              <w:rPr>
                <w:noProof/>
                <w:webHidden/>
              </w:rPr>
              <w:tab/>
            </w:r>
            <w:r>
              <w:rPr>
                <w:noProof/>
                <w:webHidden/>
              </w:rPr>
              <w:fldChar w:fldCharType="begin"/>
            </w:r>
            <w:r>
              <w:rPr>
                <w:noProof/>
                <w:webHidden/>
              </w:rPr>
              <w:instrText xml:space="preserve"> PAGEREF _Toc5014061 \h </w:instrText>
            </w:r>
            <w:r>
              <w:rPr>
                <w:noProof/>
                <w:webHidden/>
              </w:rPr>
            </w:r>
            <w:r>
              <w:rPr>
                <w:noProof/>
                <w:webHidden/>
              </w:rPr>
              <w:fldChar w:fldCharType="separate"/>
            </w:r>
            <w:r>
              <w:rPr>
                <w:noProof/>
                <w:webHidden/>
              </w:rPr>
              <w:t>24</w:t>
            </w:r>
            <w:r>
              <w:rPr>
                <w:noProof/>
                <w:webHidden/>
              </w:rPr>
              <w:fldChar w:fldCharType="end"/>
            </w:r>
          </w:hyperlink>
        </w:p>
        <w:p w:rsidR="002B2B5B" w:rsidRDefault="002B2B5B">
          <w:pPr>
            <w:pStyle w:val="TOC3"/>
            <w:rPr>
              <w:rFonts w:asciiTheme="minorHAnsi" w:eastAsiaTheme="minorEastAsia" w:hAnsiTheme="minorHAnsi" w:cstheme="minorBidi"/>
              <w:noProof/>
              <w:lang w:eastAsia="en-AU"/>
            </w:rPr>
          </w:pPr>
          <w:hyperlink w:anchor="_Toc5014062" w:history="1">
            <w:r w:rsidRPr="00505621">
              <w:rPr>
                <w:rStyle w:val="Hyperlink"/>
                <w:noProof/>
              </w:rPr>
              <w:t>Toxicology</w:t>
            </w:r>
            <w:r>
              <w:rPr>
                <w:noProof/>
                <w:webHidden/>
              </w:rPr>
              <w:tab/>
            </w:r>
            <w:r>
              <w:rPr>
                <w:noProof/>
                <w:webHidden/>
              </w:rPr>
              <w:fldChar w:fldCharType="begin"/>
            </w:r>
            <w:r>
              <w:rPr>
                <w:noProof/>
                <w:webHidden/>
              </w:rPr>
              <w:instrText xml:space="preserve"> PAGEREF _Toc5014062 \h </w:instrText>
            </w:r>
            <w:r>
              <w:rPr>
                <w:noProof/>
                <w:webHidden/>
              </w:rPr>
            </w:r>
            <w:r>
              <w:rPr>
                <w:noProof/>
                <w:webHidden/>
              </w:rPr>
              <w:fldChar w:fldCharType="separate"/>
            </w:r>
            <w:r>
              <w:rPr>
                <w:noProof/>
                <w:webHidden/>
              </w:rPr>
              <w:t>27</w:t>
            </w:r>
            <w:r>
              <w:rPr>
                <w:noProof/>
                <w:webHidden/>
              </w:rPr>
              <w:fldChar w:fldCharType="end"/>
            </w:r>
          </w:hyperlink>
        </w:p>
        <w:p w:rsidR="002B2B5B" w:rsidRDefault="002B2B5B">
          <w:pPr>
            <w:pStyle w:val="TOC3"/>
            <w:rPr>
              <w:rFonts w:asciiTheme="minorHAnsi" w:eastAsiaTheme="minorEastAsia" w:hAnsiTheme="minorHAnsi" w:cstheme="minorBidi"/>
              <w:noProof/>
              <w:lang w:eastAsia="en-AU"/>
            </w:rPr>
          </w:pPr>
          <w:hyperlink w:anchor="_Toc5014063" w:history="1">
            <w:r w:rsidRPr="00505621">
              <w:rPr>
                <w:rStyle w:val="Hyperlink"/>
                <w:noProof/>
              </w:rPr>
              <w:t>Impurities</w:t>
            </w:r>
            <w:r>
              <w:rPr>
                <w:noProof/>
                <w:webHidden/>
              </w:rPr>
              <w:tab/>
            </w:r>
            <w:r>
              <w:rPr>
                <w:noProof/>
                <w:webHidden/>
              </w:rPr>
              <w:fldChar w:fldCharType="begin"/>
            </w:r>
            <w:r>
              <w:rPr>
                <w:noProof/>
                <w:webHidden/>
              </w:rPr>
              <w:instrText xml:space="preserve"> PAGEREF _Toc5014063 \h </w:instrText>
            </w:r>
            <w:r>
              <w:rPr>
                <w:noProof/>
                <w:webHidden/>
              </w:rPr>
            </w:r>
            <w:r>
              <w:rPr>
                <w:noProof/>
                <w:webHidden/>
              </w:rPr>
              <w:fldChar w:fldCharType="separate"/>
            </w:r>
            <w:r>
              <w:rPr>
                <w:noProof/>
                <w:webHidden/>
              </w:rPr>
              <w:t>33</w:t>
            </w:r>
            <w:r>
              <w:rPr>
                <w:noProof/>
                <w:webHidden/>
              </w:rPr>
              <w:fldChar w:fldCharType="end"/>
            </w:r>
          </w:hyperlink>
        </w:p>
        <w:p w:rsidR="002B2B5B" w:rsidRDefault="002B2B5B">
          <w:pPr>
            <w:pStyle w:val="TOC3"/>
            <w:rPr>
              <w:rFonts w:asciiTheme="minorHAnsi" w:eastAsiaTheme="minorEastAsia" w:hAnsiTheme="minorHAnsi" w:cstheme="minorBidi"/>
              <w:noProof/>
              <w:lang w:eastAsia="en-AU"/>
            </w:rPr>
          </w:pPr>
          <w:hyperlink w:anchor="_Toc5014064" w:history="1">
            <w:r w:rsidRPr="00505621">
              <w:rPr>
                <w:rStyle w:val="Hyperlink"/>
                <w:noProof/>
              </w:rPr>
              <w:t>Nonclinical summary and conclusions</w:t>
            </w:r>
            <w:r>
              <w:rPr>
                <w:noProof/>
                <w:webHidden/>
              </w:rPr>
              <w:tab/>
            </w:r>
            <w:r>
              <w:rPr>
                <w:noProof/>
                <w:webHidden/>
              </w:rPr>
              <w:fldChar w:fldCharType="begin"/>
            </w:r>
            <w:r>
              <w:rPr>
                <w:noProof/>
                <w:webHidden/>
              </w:rPr>
              <w:instrText xml:space="preserve"> PAGEREF _Toc5014064 \h </w:instrText>
            </w:r>
            <w:r>
              <w:rPr>
                <w:noProof/>
                <w:webHidden/>
              </w:rPr>
            </w:r>
            <w:r>
              <w:rPr>
                <w:noProof/>
                <w:webHidden/>
              </w:rPr>
              <w:fldChar w:fldCharType="separate"/>
            </w:r>
            <w:r>
              <w:rPr>
                <w:noProof/>
                <w:webHidden/>
              </w:rPr>
              <w:t>33</w:t>
            </w:r>
            <w:r>
              <w:rPr>
                <w:noProof/>
                <w:webHidden/>
              </w:rPr>
              <w:fldChar w:fldCharType="end"/>
            </w:r>
          </w:hyperlink>
        </w:p>
        <w:p w:rsidR="002B2B5B" w:rsidRDefault="002B2B5B">
          <w:pPr>
            <w:pStyle w:val="TOC3"/>
            <w:rPr>
              <w:rFonts w:asciiTheme="minorHAnsi" w:eastAsiaTheme="minorEastAsia" w:hAnsiTheme="minorHAnsi" w:cstheme="minorBidi"/>
              <w:noProof/>
              <w:lang w:eastAsia="en-AU"/>
            </w:rPr>
          </w:pPr>
          <w:hyperlink w:anchor="_Toc5014065" w:history="1">
            <w:r w:rsidRPr="00505621">
              <w:rPr>
                <w:rStyle w:val="Hyperlink"/>
                <w:noProof/>
              </w:rPr>
              <w:t>Nonclinical conclusions and recommendation</w:t>
            </w:r>
            <w:r>
              <w:rPr>
                <w:noProof/>
                <w:webHidden/>
              </w:rPr>
              <w:tab/>
            </w:r>
            <w:r>
              <w:rPr>
                <w:noProof/>
                <w:webHidden/>
              </w:rPr>
              <w:fldChar w:fldCharType="begin"/>
            </w:r>
            <w:r>
              <w:rPr>
                <w:noProof/>
                <w:webHidden/>
              </w:rPr>
              <w:instrText xml:space="preserve"> PAGEREF _Toc5014065 \h </w:instrText>
            </w:r>
            <w:r>
              <w:rPr>
                <w:noProof/>
                <w:webHidden/>
              </w:rPr>
            </w:r>
            <w:r>
              <w:rPr>
                <w:noProof/>
                <w:webHidden/>
              </w:rPr>
              <w:fldChar w:fldCharType="separate"/>
            </w:r>
            <w:r>
              <w:rPr>
                <w:noProof/>
                <w:webHidden/>
              </w:rPr>
              <w:t>35</w:t>
            </w:r>
            <w:r>
              <w:rPr>
                <w:noProof/>
                <w:webHidden/>
              </w:rPr>
              <w:fldChar w:fldCharType="end"/>
            </w:r>
          </w:hyperlink>
        </w:p>
        <w:p w:rsidR="002B2B5B" w:rsidRDefault="002B2B5B">
          <w:pPr>
            <w:pStyle w:val="TOC2"/>
            <w:rPr>
              <w:rFonts w:asciiTheme="minorHAnsi" w:eastAsiaTheme="minorEastAsia" w:hAnsiTheme="minorHAnsi" w:cstheme="minorBidi"/>
              <w:b w:val="0"/>
              <w:noProof/>
              <w:sz w:val="22"/>
              <w:lang w:eastAsia="en-AU"/>
            </w:rPr>
          </w:pPr>
          <w:hyperlink w:anchor="_Toc5014066" w:history="1">
            <w:r w:rsidRPr="00505621">
              <w:rPr>
                <w:rStyle w:val="Hyperlink"/>
                <w:noProof/>
              </w:rPr>
              <w:t>V. Clinical findings</w:t>
            </w:r>
            <w:r>
              <w:rPr>
                <w:noProof/>
                <w:webHidden/>
              </w:rPr>
              <w:tab/>
            </w:r>
            <w:r>
              <w:rPr>
                <w:noProof/>
                <w:webHidden/>
              </w:rPr>
              <w:fldChar w:fldCharType="begin"/>
            </w:r>
            <w:r>
              <w:rPr>
                <w:noProof/>
                <w:webHidden/>
              </w:rPr>
              <w:instrText xml:space="preserve"> PAGEREF _Toc5014066 \h </w:instrText>
            </w:r>
            <w:r>
              <w:rPr>
                <w:noProof/>
                <w:webHidden/>
              </w:rPr>
            </w:r>
            <w:r>
              <w:rPr>
                <w:noProof/>
                <w:webHidden/>
              </w:rPr>
              <w:fldChar w:fldCharType="separate"/>
            </w:r>
            <w:r>
              <w:rPr>
                <w:noProof/>
                <w:webHidden/>
              </w:rPr>
              <w:t>35</w:t>
            </w:r>
            <w:r>
              <w:rPr>
                <w:noProof/>
                <w:webHidden/>
              </w:rPr>
              <w:fldChar w:fldCharType="end"/>
            </w:r>
          </w:hyperlink>
        </w:p>
        <w:p w:rsidR="002B2B5B" w:rsidRDefault="002B2B5B">
          <w:pPr>
            <w:pStyle w:val="TOC3"/>
            <w:rPr>
              <w:rFonts w:asciiTheme="minorHAnsi" w:eastAsiaTheme="minorEastAsia" w:hAnsiTheme="minorHAnsi" w:cstheme="minorBidi"/>
              <w:noProof/>
              <w:lang w:eastAsia="en-AU"/>
            </w:rPr>
          </w:pPr>
          <w:hyperlink w:anchor="_Toc5014067" w:history="1">
            <w:r w:rsidRPr="00505621">
              <w:rPr>
                <w:rStyle w:val="Hyperlink"/>
                <w:noProof/>
              </w:rPr>
              <w:t>Introduction</w:t>
            </w:r>
            <w:r>
              <w:rPr>
                <w:noProof/>
                <w:webHidden/>
              </w:rPr>
              <w:tab/>
            </w:r>
            <w:r>
              <w:rPr>
                <w:noProof/>
                <w:webHidden/>
              </w:rPr>
              <w:fldChar w:fldCharType="begin"/>
            </w:r>
            <w:r>
              <w:rPr>
                <w:noProof/>
                <w:webHidden/>
              </w:rPr>
              <w:instrText xml:space="preserve"> PAGEREF _Toc5014067 \h </w:instrText>
            </w:r>
            <w:r>
              <w:rPr>
                <w:noProof/>
                <w:webHidden/>
              </w:rPr>
            </w:r>
            <w:r>
              <w:rPr>
                <w:noProof/>
                <w:webHidden/>
              </w:rPr>
              <w:fldChar w:fldCharType="separate"/>
            </w:r>
            <w:r>
              <w:rPr>
                <w:noProof/>
                <w:webHidden/>
              </w:rPr>
              <w:t>35</w:t>
            </w:r>
            <w:r>
              <w:rPr>
                <w:noProof/>
                <w:webHidden/>
              </w:rPr>
              <w:fldChar w:fldCharType="end"/>
            </w:r>
          </w:hyperlink>
        </w:p>
        <w:p w:rsidR="002B2B5B" w:rsidRDefault="002B2B5B">
          <w:pPr>
            <w:pStyle w:val="TOC3"/>
            <w:rPr>
              <w:rFonts w:asciiTheme="minorHAnsi" w:eastAsiaTheme="minorEastAsia" w:hAnsiTheme="minorHAnsi" w:cstheme="minorBidi"/>
              <w:noProof/>
              <w:lang w:eastAsia="en-AU"/>
            </w:rPr>
          </w:pPr>
          <w:hyperlink w:anchor="_Toc5014068" w:history="1">
            <w:r w:rsidRPr="00505621">
              <w:rPr>
                <w:rStyle w:val="Hyperlink"/>
                <w:noProof/>
              </w:rPr>
              <w:t>Dosage selection for the pivotal studies</w:t>
            </w:r>
            <w:r>
              <w:rPr>
                <w:noProof/>
                <w:webHidden/>
              </w:rPr>
              <w:tab/>
            </w:r>
            <w:r>
              <w:rPr>
                <w:noProof/>
                <w:webHidden/>
              </w:rPr>
              <w:fldChar w:fldCharType="begin"/>
            </w:r>
            <w:r>
              <w:rPr>
                <w:noProof/>
                <w:webHidden/>
              </w:rPr>
              <w:instrText xml:space="preserve"> PAGEREF _Toc5014068 \h </w:instrText>
            </w:r>
            <w:r>
              <w:rPr>
                <w:noProof/>
                <w:webHidden/>
              </w:rPr>
            </w:r>
            <w:r>
              <w:rPr>
                <w:noProof/>
                <w:webHidden/>
              </w:rPr>
              <w:fldChar w:fldCharType="separate"/>
            </w:r>
            <w:r>
              <w:rPr>
                <w:noProof/>
                <w:webHidden/>
              </w:rPr>
              <w:t>37</w:t>
            </w:r>
            <w:r>
              <w:rPr>
                <w:noProof/>
                <w:webHidden/>
              </w:rPr>
              <w:fldChar w:fldCharType="end"/>
            </w:r>
          </w:hyperlink>
        </w:p>
        <w:p w:rsidR="002B2B5B" w:rsidRDefault="002B2B5B">
          <w:pPr>
            <w:pStyle w:val="TOC3"/>
            <w:rPr>
              <w:rFonts w:asciiTheme="minorHAnsi" w:eastAsiaTheme="minorEastAsia" w:hAnsiTheme="minorHAnsi" w:cstheme="minorBidi"/>
              <w:noProof/>
              <w:lang w:eastAsia="en-AU"/>
            </w:rPr>
          </w:pPr>
          <w:hyperlink w:anchor="_Toc5014069" w:history="1">
            <w:r w:rsidRPr="00505621">
              <w:rPr>
                <w:rStyle w:val="Hyperlink"/>
                <w:noProof/>
              </w:rPr>
              <w:t>Efficacy</w:t>
            </w:r>
            <w:r>
              <w:rPr>
                <w:noProof/>
                <w:webHidden/>
              </w:rPr>
              <w:tab/>
            </w:r>
            <w:r>
              <w:rPr>
                <w:noProof/>
                <w:webHidden/>
              </w:rPr>
              <w:fldChar w:fldCharType="begin"/>
            </w:r>
            <w:r>
              <w:rPr>
                <w:noProof/>
                <w:webHidden/>
              </w:rPr>
              <w:instrText xml:space="preserve"> PAGEREF _Toc5014069 \h </w:instrText>
            </w:r>
            <w:r>
              <w:rPr>
                <w:noProof/>
                <w:webHidden/>
              </w:rPr>
            </w:r>
            <w:r>
              <w:rPr>
                <w:noProof/>
                <w:webHidden/>
              </w:rPr>
              <w:fldChar w:fldCharType="separate"/>
            </w:r>
            <w:r>
              <w:rPr>
                <w:noProof/>
                <w:webHidden/>
              </w:rPr>
              <w:t>37</w:t>
            </w:r>
            <w:r>
              <w:rPr>
                <w:noProof/>
                <w:webHidden/>
              </w:rPr>
              <w:fldChar w:fldCharType="end"/>
            </w:r>
          </w:hyperlink>
        </w:p>
        <w:p w:rsidR="002B2B5B" w:rsidRDefault="002B2B5B">
          <w:pPr>
            <w:pStyle w:val="TOC3"/>
            <w:rPr>
              <w:rFonts w:asciiTheme="minorHAnsi" w:eastAsiaTheme="minorEastAsia" w:hAnsiTheme="minorHAnsi" w:cstheme="minorBidi"/>
              <w:noProof/>
              <w:lang w:eastAsia="en-AU"/>
            </w:rPr>
          </w:pPr>
          <w:hyperlink w:anchor="_Toc5014070" w:history="1">
            <w:r w:rsidRPr="00505621">
              <w:rPr>
                <w:rStyle w:val="Hyperlink"/>
                <w:noProof/>
              </w:rPr>
              <w:t>Safety</w:t>
            </w:r>
            <w:r>
              <w:rPr>
                <w:noProof/>
                <w:webHidden/>
              </w:rPr>
              <w:tab/>
            </w:r>
            <w:r>
              <w:rPr>
                <w:noProof/>
                <w:webHidden/>
              </w:rPr>
              <w:fldChar w:fldCharType="begin"/>
            </w:r>
            <w:r>
              <w:rPr>
                <w:noProof/>
                <w:webHidden/>
              </w:rPr>
              <w:instrText xml:space="preserve"> PAGEREF _Toc5014070 \h </w:instrText>
            </w:r>
            <w:r>
              <w:rPr>
                <w:noProof/>
                <w:webHidden/>
              </w:rPr>
            </w:r>
            <w:r>
              <w:rPr>
                <w:noProof/>
                <w:webHidden/>
              </w:rPr>
              <w:fldChar w:fldCharType="separate"/>
            </w:r>
            <w:r>
              <w:rPr>
                <w:noProof/>
                <w:webHidden/>
              </w:rPr>
              <w:t>38</w:t>
            </w:r>
            <w:r>
              <w:rPr>
                <w:noProof/>
                <w:webHidden/>
              </w:rPr>
              <w:fldChar w:fldCharType="end"/>
            </w:r>
          </w:hyperlink>
        </w:p>
        <w:p w:rsidR="002B2B5B" w:rsidRDefault="002B2B5B">
          <w:pPr>
            <w:pStyle w:val="TOC3"/>
            <w:rPr>
              <w:rFonts w:asciiTheme="minorHAnsi" w:eastAsiaTheme="minorEastAsia" w:hAnsiTheme="minorHAnsi" w:cstheme="minorBidi"/>
              <w:noProof/>
              <w:lang w:eastAsia="en-AU"/>
            </w:rPr>
          </w:pPr>
          <w:hyperlink w:anchor="_Toc5014071" w:history="1">
            <w:r w:rsidRPr="00505621">
              <w:rPr>
                <w:rStyle w:val="Hyperlink"/>
                <w:noProof/>
              </w:rPr>
              <w:t>Second round evaluation</w:t>
            </w:r>
            <w:r>
              <w:rPr>
                <w:noProof/>
                <w:webHidden/>
              </w:rPr>
              <w:tab/>
            </w:r>
            <w:r>
              <w:rPr>
                <w:noProof/>
                <w:webHidden/>
              </w:rPr>
              <w:fldChar w:fldCharType="begin"/>
            </w:r>
            <w:r>
              <w:rPr>
                <w:noProof/>
                <w:webHidden/>
              </w:rPr>
              <w:instrText xml:space="preserve"> PAGEREF _Toc5014071 \h </w:instrText>
            </w:r>
            <w:r>
              <w:rPr>
                <w:noProof/>
                <w:webHidden/>
              </w:rPr>
            </w:r>
            <w:r>
              <w:rPr>
                <w:noProof/>
                <w:webHidden/>
              </w:rPr>
              <w:fldChar w:fldCharType="separate"/>
            </w:r>
            <w:r>
              <w:rPr>
                <w:noProof/>
                <w:webHidden/>
              </w:rPr>
              <w:t>45</w:t>
            </w:r>
            <w:r>
              <w:rPr>
                <w:noProof/>
                <w:webHidden/>
              </w:rPr>
              <w:fldChar w:fldCharType="end"/>
            </w:r>
          </w:hyperlink>
        </w:p>
        <w:p w:rsidR="002B2B5B" w:rsidRDefault="002B2B5B">
          <w:pPr>
            <w:pStyle w:val="TOC3"/>
            <w:rPr>
              <w:rFonts w:asciiTheme="minorHAnsi" w:eastAsiaTheme="minorEastAsia" w:hAnsiTheme="minorHAnsi" w:cstheme="minorBidi"/>
              <w:noProof/>
              <w:lang w:eastAsia="en-AU"/>
            </w:rPr>
          </w:pPr>
          <w:hyperlink w:anchor="_Toc5014072" w:history="1">
            <w:r w:rsidRPr="00505621">
              <w:rPr>
                <w:rStyle w:val="Hyperlink"/>
                <w:noProof/>
              </w:rPr>
              <w:t>Clinical benefit-risk assessment</w:t>
            </w:r>
            <w:r>
              <w:rPr>
                <w:noProof/>
                <w:webHidden/>
              </w:rPr>
              <w:tab/>
            </w:r>
            <w:r>
              <w:rPr>
                <w:noProof/>
                <w:webHidden/>
              </w:rPr>
              <w:fldChar w:fldCharType="begin"/>
            </w:r>
            <w:r>
              <w:rPr>
                <w:noProof/>
                <w:webHidden/>
              </w:rPr>
              <w:instrText xml:space="preserve"> PAGEREF _Toc5014072 \h </w:instrText>
            </w:r>
            <w:r>
              <w:rPr>
                <w:noProof/>
                <w:webHidden/>
              </w:rPr>
            </w:r>
            <w:r>
              <w:rPr>
                <w:noProof/>
                <w:webHidden/>
              </w:rPr>
              <w:fldChar w:fldCharType="separate"/>
            </w:r>
            <w:r>
              <w:rPr>
                <w:noProof/>
                <w:webHidden/>
              </w:rPr>
              <w:t>47</w:t>
            </w:r>
            <w:r>
              <w:rPr>
                <w:noProof/>
                <w:webHidden/>
              </w:rPr>
              <w:fldChar w:fldCharType="end"/>
            </w:r>
          </w:hyperlink>
        </w:p>
        <w:p w:rsidR="002B2B5B" w:rsidRDefault="002B2B5B">
          <w:pPr>
            <w:pStyle w:val="TOC3"/>
            <w:rPr>
              <w:rFonts w:asciiTheme="minorHAnsi" w:eastAsiaTheme="minorEastAsia" w:hAnsiTheme="minorHAnsi" w:cstheme="minorBidi"/>
              <w:noProof/>
              <w:lang w:eastAsia="en-AU"/>
            </w:rPr>
          </w:pPr>
          <w:hyperlink w:anchor="_Toc5014073" w:history="1">
            <w:r w:rsidRPr="00505621">
              <w:rPr>
                <w:rStyle w:val="Hyperlink"/>
                <w:noProof/>
              </w:rPr>
              <w:t>Clinical recommendation regarding authorisation</w:t>
            </w:r>
            <w:r>
              <w:rPr>
                <w:noProof/>
                <w:webHidden/>
              </w:rPr>
              <w:tab/>
            </w:r>
            <w:r>
              <w:rPr>
                <w:noProof/>
                <w:webHidden/>
              </w:rPr>
              <w:fldChar w:fldCharType="begin"/>
            </w:r>
            <w:r>
              <w:rPr>
                <w:noProof/>
                <w:webHidden/>
              </w:rPr>
              <w:instrText xml:space="preserve"> PAGEREF _Toc5014073 \h </w:instrText>
            </w:r>
            <w:r>
              <w:rPr>
                <w:noProof/>
                <w:webHidden/>
              </w:rPr>
            </w:r>
            <w:r>
              <w:rPr>
                <w:noProof/>
                <w:webHidden/>
              </w:rPr>
              <w:fldChar w:fldCharType="separate"/>
            </w:r>
            <w:r>
              <w:rPr>
                <w:noProof/>
                <w:webHidden/>
              </w:rPr>
              <w:t>50</w:t>
            </w:r>
            <w:r>
              <w:rPr>
                <w:noProof/>
                <w:webHidden/>
              </w:rPr>
              <w:fldChar w:fldCharType="end"/>
            </w:r>
          </w:hyperlink>
        </w:p>
        <w:p w:rsidR="002B2B5B" w:rsidRDefault="002B2B5B">
          <w:pPr>
            <w:pStyle w:val="TOC2"/>
            <w:rPr>
              <w:rFonts w:asciiTheme="minorHAnsi" w:eastAsiaTheme="minorEastAsia" w:hAnsiTheme="minorHAnsi" w:cstheme="minorBidi"/>
              <w:b w:val="0"/>
              <w:noProof/>
              <w:sz w:val="22"/>
              <w:lang w:eastAsia="en-AU"/>
            </w:rPr>
          </w:pPr>
          <w:hyperlink w:anchor="_Toc5014074" w:history="1">
            <w:r w:rsidRPr="00505621">
              <w:rPr>
                <w:rStyle w:val="Hyperlink"/>
                <w:noProof/>
              </w:rPr>
              <w:t>VI. Pharmacovigilance findings</w:t>
            </w:r>
            <w:r>
              <w:rPr>
                <w:noProof/>
                <w:webHidden/>
              </w:rPr>
              <w:tab/>
            </w:r>
            <w:r>
              <w:rPr>
                <w:noProof/>
                <w:webHidden/>
              </w:rPr>
              <w:fldChar w:fldCharType="begin"/>
            </w:r>
            <w:r>
              <w:rPr>
                <w:noProof/>
                <w:webHidden/>
              </w:rPr>
              <w:instrText xml:space="preserve"> PAGEREF _Toc5014074 \h </w:instrText>
            </w:r>
            <w:r>
              <w:rPr>
                <w:noProof/>
                <w:webHidden/>
              </w:rPr>
            </w:r>
            <w:r>
              <w:rPr>
                <w:noProof/>
                <w:webHidden/>
              </w:rPr>
              <w:fldChar w:fldCharType="separate"/>
            </w:r>
            <w:r>
              <w:rPr>
                <w:noProof/>
                <w:webHidden/>
              </w:rPr>
              <w:t>50</w:t>
            </w:r>
            <w:r>
              <w:rPr>
                <w:noProof/>
                <w:webHidden/>
              </w:rPr>
              <w:fldChar w:fldCharType="end"/>
            </w:r>
          </w:hyperlink>
        </w:p>
        <w:p w:rsidR="002B2B5B" w:rsidRDefault="002B2B5B">
          <w:pPr>
            <w:pStyle w:val="TOC3"/>
            <w:rPr>
              <w:rFonts w:asciiTheme="minorHAnsi" w:eastAsiaTheme="minorEastAsia" w:hAnsiTheme="minorHAnsi" w:cstheme="minorBidi"/>
              <w:noProof/>
              <w:lang w:eastAsia="en-AU"/>
            </w:rPr>
          </w:pPr>
          <w:hyperlink w:anchor="_Toc5014075" w:history="1">
            <w:r w:rsidRPr="00505621">
              <w:rPr>
                <w:rStyle w:val="Hyperlink"/>
                <w:noProof/>
                <w:lang w:eastAsia="en-AU"/>
              </w:rPr>
              <w:t>Risk management plan</w:t>
            </w:r>
            <w:r>
              <w:rPr>
                <w:noProof/>
                <w:webHidden/>
              </w:rPr>
              <w:tab/>
            </w:r>
            <w:r>
              <w:rPr>
                <w:noProof/>
                <w:webHidden/>
              </w:rPr>
              <w:fldChar w:fldCharType="begin"/>
            </w:r>
            <w:r>
              <w:rPr>
                <w:noProof/>
                <w:webHidden/>
              </w:rPr>
              <w:instrText xml:space="preserve"> PAGEREF _Toc5014075 \h </w:instrText>
            </w:r>
            <w:r>
              <w:rPr>
                <w:noProof/>
                <w:webHidden/>
              </w:rPr>
            </w:r>
            <w:r>
              <w:rPr>
                <w:noProof/>
                <w:webHidden/>
              </w:rPr>
              <w:fldChar w:fldCharType="separate"/>
            </w:r>
            <w:r>
              <w:rPr>
                <w:noProof/>
                <w:webHidden/>
              </w:rPr>
              <w:t>50</w:t>
            </w:r>
            <w:r>
              <w:rPr>
                <w:noProof/>
                <w:webHidden/>
              </w:rPr>
              <w:fldChar w:fldCharType="end"/>
            </w:r>
          </w:hyperlink>
        </w:p>
        <w:p w:rsidR="002B2B5B" w:rsidRDefault="002B2B5B">
          <w:pPr>
            <w:pStyle w:val="TOC2"/>
            <w:rPr>
              <w:rFonts w:asciiTheme="minorHAnsi" w:eastAsiaTheme="minorEastAsia" w:hAnsiTheme="minorHAnsi" w:cstheme="minorBidi"/>
              <w:b w:val="0"/>
              <w:noProof/>
              <w:sz w:val="22"/>
              <w:lang w:eastAsia="en-AU"/>
            </w:rPr>
          </w:pPr>
          <w:hyperlink w:anchor="_Toc5014076" w:history="1">
            <w:r w:rsidRPr="00505621">
              <w:rPr>
                <w:rStyle w:val="Hyperlink"/>
                <w:noProof/>
              </w:rPr>
              <w:t>VII. Overall conclusion and risk/benefit assessment</w:t>
            </w:r>
            <w:r>
              <w:rPr>
                <w:noProof/>
                <w:webHidden/>
              </w:rPr>
              <w:tab/>
            </w:r>
            <w:r>
              <w:rPr>
                <w:noProof/>
                <w:webHidden/>
              </w:rPr>
              <w:fldChar w:fldCharType="begin"/>
            </w:r>
            <w:r>
              <w:rPr>
                <w:noProof/>
                <w:webHidden/>
              </w:rPr>
              <w:instrText xml:space="preserve"> PAGEREF _Toc5014076 \h </w:instrText>
            </w:r>
            <w:r>
              <w:rPr>
                <w:noProof/>
                <w:webHidden/>
              </w:rPr>
            </w:r>
            <w:r>
              <w:rPr>
                <w:noProof/>
                <w:webHidden/>
              </w:rPr>
              <w:fldChar w:fldCharType="separate"/>
            </w:r>
            <w:r>
              <w:rPr>
                <w:noProof/>
                <w:webHidden/>
              </w:rPr>
              <w:t>54</w:t>
            </w:r>
            <w:r>
              <w:rPr>
                <w:noProof/>
                <w:webHidden/>
              </w:rPr>
              <w:fldChar w:fldCharType="end"/>
            </w:r>
          </w:hyperlink>
        </w:p>
        <w:p w:rsidR="002B2B5B" w:rsidRDefault="002B2B5B">
          <w:pPr>
            <w:pStyle w:val="TOC3"/>
            <w:rPr>
              <w:rFonts w:asciiTheme="minorHAnsi" w:eastAsiaTheme="minorEastAsia" w:hAnsiTheme="minorHAnsi" w:cstheme="minorBidi"/>
              <w:noProof/>
              <w:lang w:eastAsia="en-AU"/>
            </w:rPr>
          </w:pPr>
          <w:hyperlink w:anchor="_Toc5014077" w:history="1">
            <w:r w:rsidRPr="00505621">
              <w:rPr>
                <w:rStyle w:val="Hyperlink"/>
                <w:noProof/>
              </w:rPr>
              <w:t>Quality</w:t>
            </w:r>
            <w:r>
              <w:rPr>
                <w:noProof/>
                <w:webHidden/>
              </w:rPr>
              <w:tab/>
            </w:r>
            <w:r>
              <w:rPr>
                <w:noProof/>
                <w:webHidden/>
              </w:rPr>
              <w:fldChar w:fldCharType="begin"/>
            </w:r>
            <w:r>
              <w:rPr>
                <w:noProof/>
                <w:webHidden/>
              </w:rPr>
              <w:instrText xml:space="preserve"> PAGEREF _Toc5014077 \h </w:instrText>
            </w:r>
            <w:r>
              <w:rPr>
                <w:noProof/>
                <w:webHidden/>
              </w:rPr>
            </w:r>
            <w:r>
              <w:rPr>
                <w:noProof/>
                <w:webHidden/>
              </w:rPr>
              <w:fldChar w:fldCharType="separate"/>
            </w:r>
            <w:r>
              <w:rPr>
                <w:noProof/>
                <w:webHidden/>
              </w:rPr>
              <w:t>54</w:t>
            </w:r>
            <w:r>
              <w:rPr>
                <w:noProof/>
                <w:webHidden/>
              </w:rPr>
              <w:fldChar w:fldCharType="end"/>
            </w:r>
          </w:hyperlink>
        </w:p>
        <w:p w:rsidR="002B2B5B" w:rsidRDefault="002B2B5B">
          <w:pPr>
            <w:pStyle w:val="TOC3"/>
            <w:rPr>
              <w:rFonts w:asciiTheme="minorHAnsi" w:eastAsiaTheme="minorEastAsia" w:hAnsiTheme="minorHAnsi" w:cstheme="minorBidi"/>
              <w:noProof/>
              <w:lang w:eastAsia="en-AU"/>
            </w:rPr>
          </w:pPr>
          <w:hyperlink w:anchor="_Toc5014078" w:history="1">
            <w:r w:rsidRPr="00505621">
              <w:rPr>
                <w:rStyle w:val="Hyperlink"/>
                <w:noProof/>
              </w:rPr>
              <w:t>Nonclinical</w:t>
            </w:r>
            <w:r>
              <w:rPr>
                <w:noProof/>
                <w:webHidden/>
              </w:rPr>
              <w:tab/>
            </w:r>
            <w:r>
              <w:rPr>
                <w:noProof/>
                <w:webHidden/>
              </w:rPr>
              <w:fldChar w:fldCharType="begin"/>
            </w:r>
            <w:r>
              <w:rPr>
                <w:noProof/>
                <w:webHidden/>
              </w:rPr>
              <w:instrText xml:space="preserve"> PAGEREF _Toc5014078 \h </w:instrText>
            </w:r>
            <w:r>
              <w:rPr>
                <w:noProof/>
                <w:webHidden/>
              </w:rPr>
            </w:r>
            <w:r>
              <w:rPr>
                <w:noProof/>
                <w:webHidden/>
              </w:rPr>
              <w:fldChar w:fldCharType="separate"/>
            </w:r>
            <w:r>
              <w:rPr>
                <w:noProof/>
                <w:webHidden/>
              </w:rPr>
              <w:t>54</w:t>
            </w:r>
            <w:r>
              <w:rPr>
                <w:noProof/>
                <w:webHidden/>
              </w:rPr>
              <w:fldChar w:fldCharType="end"/>
            </w:r>
          </w:hyperlink>
        </w:p>
        <w:p w:rsidR="002B2B5B" w:rsidRDefault="002B2B5B">
          <w:pPr>
            <w:pStyle w:val="TOC3"/>
            <w:rPr>
              <w:rFonts w:asciiTheme="minorHAnsi" w:eastAsiaTheme="minorEastAsia" w:hAnsiTheme="minorHAnsi" w:cstheme="minorBidi"/>
              <w:noProof/>
              <w:lang w:eastAsia="en-AU"/>
            </w:rPr>
          </w:pPr>
          <w:hyperlink w:anchor="_Toc5014079" w:history="1">
            <w:r w:rsidRPr="00505621">
              <w:rPr>
                <w:rStyle w:val="Hyperlink"/>
                <w:noProof/>
              </w:rPr>
              <w:t>Clinical</w:t>
            </w:r>
            <w:r>
              <w:rPr>
                <w:noProof/>
                <w:webHidden/>
              </w:rPr>
              <w:tab/>
            </w:r>
            <w:r>
              <w:rPr>
                <w:noProof/>
                <w:webHidden/>
              </w:rPr>
              <w:fldChar w:fldCharType="begin"/>
            </w:r>
            <w:r>
              <w:rPr>
                <w:noProof/>
                <w:webHidden/>
              </w:rPr>
              <w:instrText xml:space="preserve"> PAGEREF _Toc5014079 \h </w:instrText>
            </w:r>
            <w:r>
              <w:rPr>
                <w:noProof/>
                <w:webHidden/>
              </w:rPr>
            </w:r>
            <w:r>
              <w:rPr>
                <w:noProof/>
                <w:webHidden/>
              </w:rPr>
              <w:fldChar w:fldCharType="separate"/>
            </w:r>
            <w:r>
              <w:rPr>
                <w:noProof/>
                <w:webHidden/>
              </w:rPr>
              <w:t>54</w:t>
            </w:r>
            <w:r>
              <w:rPr>
                <w:noProof/>
                <w:webHidden/>
              </w:rPr>
              <w:fldChar w:fldCharType="end"/>
            </w:r>
          </w:hyperlink>
        </w:p>
        <w:p w:rsidR="002B2B5B" w:rsidRDefault="002B2B5B">
          <w:pPr>
            <w:pStyle w:val="TOC3"/>
            <w:rPr>
              <w:rFonts w:asciiTheme="minorHAnsi" w:eastAsiaTheme="minorEastAsia" w:hAnsiTheme="minorHAnsi" w:cstheme="minorBidi"/>
              <w:noProof/>
              <w:lang w:eastAsia="en-AU"/>
            </w:rPr>
          </w:pPr>
          <w:hyperlink w:anchor="_Toc5014080" w:history="1">
            <w:r w:rsidRPr="00505621">
              <w:rPr>
                <w:rStyle w:val="Hyperlink"/>
                <w:noProof/>
                <w:lang w:eastAsia="en-AU"/>
              </w:rPr>
              <w:t>Risk management plan</w:t>
            </w:r>
            <w:r>
              <w:rPr>
                <w:noProof/>
                <w:webHidden/>
              </w:rPr>
              <w:tab/>
            </w:r>
            <w:r>
              <w:rPr>
                <w:noProof/>
                <w:webHidden/>
              </w:rPr>
              <w:fldChar w:fldCharType="begin"/>
            </w:r>
            <w:r>
              <w:rPr>
                <w:noProof/>
                <w:webHidden/>
              </w:rPr>
              <w:instrText xml:space="preserve"> PAGEREF _Toc5014080 \h </w:instrText>
            </w:r>
            <w:r>
              <w:rPr>
                <w:noProof/>
                <w:webHidden/>
              </w:rPr>
            </w:r>
            <w:r>
              <w:rPr>
                <w:noProof/>
                <w:webHidden/>
              </w:rPr>
              <w:fldChar w:fldCharType="separate"/>
            </w:r>
            <w:r>
              <w:rPr>
                <w:noProof/>
                <w:webHidden/>
              </w:rPr>
              <w:t>79</w:t>
            </w:r>
            <w:r>
              <w:rPr>
                <w:noProof/>
                <w:webHidden/>
              </w:rPr>
              <w:fldChar w:fldCharType="end"/>
            </w:r>
          </w:hyperlink>
        </w:p>
        <w:p w:rsidR="002B2B5B" w:rsidRDefault="002B2B5B">
          <w:pPr>
            <w:pStyle w:val="TOC3"/>
            <w:rPr>
              <w:rFonts w:asciiTheme="minorHAnsi" w:eastAsiaTheme="minorEastAsia" w:hAnsiTheme="minorHAnsi" w:cstheme="minorBidi"/>
              <w:noProof/>
              <w:lang w:eastAsia="en-AU"/>
            </w:rPr>
          </w:pPr>
          <w:hyperlink w:anchor="_Toc5014081" w:history="1">
            <w:r w:rsidRPr="00505621">
              <w:rPr>
                <w:rStyle w:val="Hyperlink"/>
                <w:noProof/>
              </w:rPr>
              <w:t>Risk-benefit analysis</w:t>
            </w:r>
            <w:r>
              <w:rPr>
                <w:noProof/>
                <w:webHidden/>
              </w:rPr>
              <w:tab/>
            </w:r>
            <w:r>
              <w:rPr>
                <w:noProof/>
                <w:webHidden/>
              </w:rPr>
              <w:fldChar w:fldCharType="begin"/>
            </w:r>
            <w:r>
              <w:rPr>
                <w:noProof/>
                <w:webHidden/>
              </w:rPr>
              <w:instrText xml:space="preserve"> PAGEREF _Toc5014081 \h </w:instrText>
            </w:r>
            <w:r>
              <w:rPr>
                <w:noProof/>
                <w:webHidden/>
              </w:rPr>
            </w:r>
            <w:r>
              <w:rPr>
                <w:noProof/>
                <w:webHidden/>
              </w:rPr>
              <w:fldChar w:fldCharType="separate"/>
            </w:r>
            <w:r>
              <w:rPr>
                <w:noProof/>
                <w:webHidden/>
              </w:rPr>
              <w:t>79</w:t>
            </w:r>
            <w:r>
              <w:rPr>
                <w:noProof/>
                <w:webHidden/>
              </w:rPr>
              <w:fldChar w:fldCharType="end"/>
            </w:r>
          </w:hyperlink>
        </w:p>
        <w:p w:rsidR="002B2B5B" w:rsidRDefault="002B2B5B">
          <w:pPr>
            <w:pStyle w:val="TOC3"/>
            <w:rPr>
              <w:rFonts w:asciiTheme="minorHAnsi" w:eastAsiaTheme="minorEastAsia" w:hAnsiTheme="minorHAnsi" w:cstheme="minorBidi"/>
              <w:noProof/>
              <w:lang w:eastAsia="en-AU"/>
            </w:rPr>
          </w:pPr>
          <w:hyperlink w:anchor="_Toc5014082" w:history="1">
            <w:r w:rsidRPr="00505621">
              <w:rPr>
                <w:rStyle w:val="Hyperlink"/>
                <w:noProof/>
              </w:rPr>
              <w:t>Outcome</w:t>
            </w:r>
            <w:r>
              <w:rPr>
                <w:noProof/>
                <w:webHidden/>
              </w:rPr>
              <w:tab/>
            </w:r>
            <w:r>
              <w:rPr>
                <w:noProof/>
                <w:webHidden/>
              </w:rPr>
              <w:fldChar w:fldCharType="begin"/>
            </w:r>
            <w:r>
              <w:rPr>
                <w:noProof/>
                <w:webHidden/>
              </w:rPr>
              <w:instrText xml:space="preserve"> PAGEREF _Toc5014082 \h </w:instrText>
            </w:r>
            <w:r>
              <w:rPr>
                <w:noProof/>
                <w:webHidden/>
              </w:rPr>
            </w:r>
            <w:r>
              <w:rPr>
                <w:noProof/>
                <w:webHidden/>
              </w:rPr>
              <w:fldChar w:fldCharType="separate"/>
            </w:r>
            <w:r>
              <w:rPr>
                <w:noProof/>
                <w:webHidden/>
              </w:rPr>
              <w:t>82</w:t>
            </w:r>
            <w:r>
              <w:rPr>
                <w:noProof/>
                <w:webHidden/>
              </w:rPr>
              <w:fldChar w:fldCharType="end"/>
            </w:r>
          </w:hyperlink>
        </w:p>
        <w:p w:rsidR="002B2B5B" w:rsidRDefault="002B2B5B">
          <w:pPr>
            <w:pStyle w:val="TOC2"/>
            <w:rPr>
              <w:rFonts w:asciiTheme="minorHAnsi" w:eastAsiaTheme="minorEastAsia" w:hAnsiTheme="minorHAnsi" w:cstheme="minorBidi"/>
              <w:b w:val="0"/>
              <w:noProof/>
              <w:sz w:val="22"/>
              <w:lang w:eastAsia="en-AU"/>
            </w:rPr>
          </w:pPr>
          <w:hyperlink w:anchor="_Toc5014083" w:history="1">
            <w:r w:rsidRPr="00505621">
              <w:rPr>
                <w:rStyle w:val="Hyperlink"/>
                <w:noProof/>
              </w:rPr>
              <w:t>Attachment 1. Product Information</w:t>
            </w:r>
            <w:r>
              <w:rPr>
                <w:noProof/>
                <w:webHidden/>
              </w:rPr>
              <w:tab/>
            </w:r>
            <w:r>
              <w:rPr>
                <w:noProof/>
                <w:webHidden/>
              </w:rPr>
              <w:fldChar w:fldCharType="begin"/>
            </w:r>
            <w:r>
              <w:rPr>
                <w:noProof/>
                <w:webHidden/>
              </w:rPr>
              <w:instrText xml:space="preserve"> PAGEREF _Toc5014083 \h </w:instrText>
            </w:r>
            <w:r>
              <w:rPr>
                <w:noProof/>
                <w:webHidden/>
              </w:rPr>
            </w:r>
            <w:r>
              <w:rPr>
                <w:noProof/>
                <w:webHidden/>
              </w:rPr>
              <w:fldChar w:fldCharType="separate"/>
            </w:r>
            <w:r>
              <w:rPr>
                <w:noProof/>
                <w:webHidden/>
              </w:rPr>
              <w:t>82</w:t>
            </w:r>
            <w:r>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E660F2" w:rsidRPr="00FD119B" w:rsidRDefault="00E660F2" w:rsidP="00E660F2">
      <w:pPr>
        <w:pStyle w:val="Heading2"/>
      </w:pPr>
      <w:bookmarkStart w:id="4" w:name="_Toc351716269"/>
      <w:bookmarkStart w:id="5" w:name="_Toc351718881"/>
      <w:bookmarkStart w:id="6" w:name="_Toc355338616"/>
      <w:bookmarkStart w:id="7" w:name="_Toc356306144"/>
      <w:bookmarkStart w:id="8" w:name="_Toc523915044"/>
      <w:bookmarkStart w:id="9" w:name="_Toc5014044"/>
      <w:bookmarkEnd w:id="1"/>
      <w:bookmarkEnd w:id="3"/>
      <w:bookmarkEnd w:id="0"/>
      <w:r>
        <w:lastRenderedPageBreak/>
        <w:t>Common</w:t>
      </w:r>
      <w:r w:rsidRPr="00FD119B">
        <w:t xml:space="preserve"> abbreviations</w:t>
      </w:r>
      <w:bookmarkEnd w:id="4"/>
      <w:bookmarkEnd w:id="5"/>
      <w:bookmarkEnd w:id="6"/>
      <w:bookmarkEnd w:id="7"/>
      <w:bookmarkEnd w:id="8"/>
      <w:bookmarkEnd w:id="9"/>
    </w:p>
    <w:tbl>
      <w:tblPr>
        <w:tblStyle w:val="TableTGAblue"/>
        <w:tblW w:w="9180" w:type="dxa"/>
        <w:tblLook w:val="04A0" w:firstRow="1" w:lastRow="0" w:firstColumn="1" w:lastColumn="0" w:noHBand="0" w:noVBand="1"/>
      </w:tblPr>
      <w:tblGrid>
        <w:gridCol w:w="3085"/>
        <w:gridCol w:w="6095"/>
      </w:tblGrid>
      <w:tr w:rsidR="00E660F2" w:rsidRPr="006515C9" w:rsidTr="008F0588">
        <w:trPr>
          <w:cnfStyle w:val="100000000000" w:firstRow="1" w:lastRow="0" w:firstColumn="0" w:lastColumn="0" w:oddVBand="0" w:evenVBand="0" w:oddHBand="0" w:evenHBand="0" w:firstRowFirstColumn="0" w:firstRowLastColumn="0" w:lastRowFirstColumn="0" w:lastRowLastColumn="0"/>
        </w:trPr>
        <w:tc>
          <w:tcPr>
            <w:tcW w:w="3085" w:type="dxa"/>
          </w:tcPr>
          <w:p w:rsidR="00E660F2" w:rsidRPr="006515C9" w:rsidRDefault="00E660F2" w:rsidP="008F0588">
            <w:pPr>
              <w:rPr>
                <w:rFonts w:eastAsiaTheme="minorHAnsi" w:cs="–MÉ_ˇ"/>
                <w:lang w:val="en-US"/>
              </w:rPr>
            </w:pPr>
            <w:r w:rsidRPr="006515C9">
              <w:rPr>
                <w:lang w:eastAsia="en-US"/>
              </w:rPr>
              <w:t>Abbreviation</w:t>
            </w:r>
          </w:p>
        </w:tc>
        <w:tc>
          <w:tcPr>
            <w:tcW w:w="6095" w:type="dxa"/>
          </w:tcPr>
          <w:p w:rsidR="00E660F2" w:rsidRPr="006515C9" w:rsidRDefault="00E660F2" w:rsidP="008F0588">
            <w:pPr>
              <w:rPr>
                <w:rFonts w:eastAsiaTheme="minorHAnsi" w:cs="–MÉ_ˇ"/>
                <w:lang w:val="en-US"/>
              </w:rPr>
            </w:pPr>
            <w:r w:rsidRPr="006515C9">
              <w:rPr>
                <w:lang w:eastAsia="en-US"/>
              </w:rPr>
              <w:t>Meaning</w:t>
            </w:r>
          </w:p>
        </w:tc>
      </w:tr>
      <w:tr w:rsidR="00E660F2" w:rsidRPr="006515C9" w:rsidTr="008F0588">
        <w:tc>
          <w:tcPr>
            <w:tcW w:w="3085" w:type="dxa"/>
          </w:tcPr>
          <w:p w:rsidR="00E660F2" w:rsidRDefault="00E660F2" w:rsidP="008F0588">
            <w:pPr>
              <w:rPr>
                <w:rFonts w:eastAsiaTheme="minorHAnsi" w:cs="–MÉ_ˇ"/>
                <w:lang w:val="en-US"/>
              </w:rPr>
            </w:pPr>
            <w:r>
              <w:rPr>
                <w:rFonts w:eastAsiaTheme="minorHAnsi" w:cs="–MÉ_ˇ"/>
                <w:lang w:val="en-US"/>
              </w:rPr>
              <w:t>ACM</w:t>
            </w:r>
          </w:p>
        </w:tc>
        <w:tc>
          <w:tcPr>
            <w:tcW w:w="6095" w:type="dxa"/>
          </w:tcPr>
          <w:p w:rsidR="00E660F2" w:rsidRDefault="00E660F2" w:rsidP="008F0588">
            <w:pPr>
              <w:rPr>
                <w:rFonts w:eastAsiaTheme="minorHAnsi" w:cs="–MÉ_ˇ"/>
                <w:lang w:val="en-US"/>
              </w:rPr>
            </w:pPr>
            <w:r>
              <w:rPr>
                <w:rFonts w:eastAsiaTheme="minorHAnsi" w:cs="–MÉ_ˇ"/>
                <w:lang w:val="en-US"/>
              </w:rPr>
              <w:t>Advisory Committee on Medicines</w:t>
            </w:r>
          </w:p>
        </w:tc>
      </w:tr>
      <w:tr w:rsidR="00E660F2" w:rsidRPr="006515C9" w:rsidTr="008F0588">
        <w:tc>
          <w:tcPr>
            <w:tcW w:w="3085" w:type="dxa"/>
          </w:tcPr>
          <w:p w:rsidR="00E660F2" w:rsidRPr="006515C9" w:rsidRDefault="00E660F2" w:rsidP="008F0588">
            <w:pPr>
              <w:rPr>
                <w:rFonts w:eastAsiaTheme="minorHAnsi" w:cs="–MÉ_ˇ"/>
                <w:lang w:val="en-US"/>
              </w:rPr>
            </w:pPr>
            <w:r>
              <w:rPr>
                <w:rFonts w:eastAsiaTheme="minorHAnsi" w:cs="–MÉ_ˇ"/>
                <w:lang w:val="en-US"/>
              </w:rPr>
              <w:t>ACSS</w:t>
            </w:r>
          </w:p>
        </w:tc>
        <w:tc>
          <w:tcPr>
            <w:tcW w:w="6095" w:type="dxa"/>
          </w:tcPr>
          <w:p w:rsidR="00E660F2" w:rsidRPr="006515C9" w:rsidRDefault="00E660F2" w:rsidP="008F0588">
            <w:pPr>
              <w:rPr>
                <w:rFonts w:eastAsiaTheme="minorHAnsi" w:cs="–MÉ_ˇ"/>
                <w:lang w:val="en-US"/>
              </w:rPr>
            </w:pPr>
            <w:r>
              <w:rPr>
                <w:rFonts w:eastAsiaTheme="minorHAnsi" w:cs="–MÉ_ˇ"/>
                <w:lang w:val="en-US"/>
              </w:rPr>
              <w:t>Australia Canada Singapore Switzerland Consortium</w:t>
            </w:r>
          </w:p>
        </w:tc>
      </w:tr>
      <w:tr w:rsidR="00E660F2" w:rsidRPr="006515C9" w:rsidTr="008F0588">
        <w:tc>
          <w:tcPr>
            <w:tcW w:w="3085" w:type="dxa"/>
          </w:tcPr>
          <w:p w:rsidR="00E660F2" w:rsidRDefault="00E660F2" w:rsidP="008F0588">
            <w:pPr>
              <w:rPr>
                <w:rFonts w:eastAsiaTheme="minorHAnsi" w:cs="–MÉ_ˇ"/>
                <w:lang w:val="en-US"/>
              </w:rPr>
            </w:pPr>
            <w:r>
              <w:rPr>
                <w:rFonts w:eastAsiaTheme="minorHAnsi" w:cs="–MÉ_ˇ"/>
                <w:lang w:val="en-US"/>
              </w:rPr>
              <w:t>ACSS-NCE</w:t>
            </w:r>
          </w:p>
        </w:tc>
        <w:tc>
          <w:tcPr>
            <w:tcW w:w="6095" w:type="dxa"/>
          </w:tcPr>
          <w:p w:rsidR="00E660F2" w:rsidRDefault="00E660F2" w:rsidP="008F0588">
            <w:pPr>
              <w:rPr>
                <w:rFonts w:eastAsiaTheme="minorHAnsi" w:cs="–MÉ_ˇ"/>
                <w:lang w:val="en-US"/>
              </w:rPr>
            </w:pPr>
            <w:r>
              <w:rPr>
                <w:rFonts w:eastAsiaTheme="minorHAnsi" w:cs="–MÉ_ˇ"/>
                <w:lang w:val="en-US"/>
              </w:rPr>
              <w:t>Australia Canada Singapore Switzerland Consortium’s New Chemical Entities Work Sharing pilot</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 xml:space="preserve">ADT </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Androgen deprivation therapy</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 xml:space="preserve">AE </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Adverse event</w:t>
            </w:r>
          </w:p>
        </w:tc>
      </w:tr>
      <w:tr w:rsidR="00E660F2" w:rsidRPr="006515C9" w:rsidTr="008F0588">
        <w:tc>
          <w:tcPr>
            <w:tcW w:w="3085" w:type="dxa"/>
          </w:tcPr>
          <w:p w:rsidR="00E660F2" w:rsidRPr="006515C9" w:rsidRDefault="00E660F2" w:rsidP="008F0588">
            <w:pPr>
              <w:rPr>
                <w:rFonts w:eastAsiaTheme="minorHAnsi" w:cs="–MÉ_ˇ"/>
                <w:lang w:val="en-US"/>
              </w:rPr>
            </w:pPr>
            <w:r>
              <w:rPr>
                <w:rFonts w:eastAsiaTheme="minorHAnsi" w:cs="–MÉ_ˇ"/>
                <w:lang w:val="en-US"/>
              </w:rPr>
              <w:t>AESI</w:t>
            </w:r>
          </w:p>
        </w:tc>
        <w:tc>
          <w:tcPr>
            <w:tcW w:w="6095" w:type="dxa"/>
          </w:tcPr>
          <w:p w:rsidR="00E660F2" w:rsidRPr="006515C9" w:rsidRDefault="00E660F2" w:rsidP="008F0588">
            <w:pPr>
              <w:rPr>
                <w:rFonts w:eastAsiaTheme="minorHAnsi" w:cs="–MÉ_ˇ"/>
                <w:lang w:val="en-US"/>
              </w:rPr>
            </w:pPr>
            <w:r>
              <w:rPr>
                <w:rFonts w:eastAsiaTheme="minorHAnsi" w:cs="–MÉ_ˇ"/>
                <w:lang w:val="en-US"/>
              </w:rPr>
              <w:t>Adverse event of special interest</w:t>
            </w:r>
          </w:p>
        </w:tc>
      </w:tr>
      <w:tr w:rsidR="00E660F2" w:rsidRPr="006515C9" w:rsidTr="008F0588">
        <w:tc>
          <w:tcPr>
            <w:tcW w:w="3085" w:type="dxa"/>
          </w:tcPr>
          <w:p w:rsidR="00E660F2" w:rsidRPr="006515C9" w:rsidRDefault="00E660F2" w:rsidP="008F0588">
            <w:pPr>
              <w:rPr>
                <w:rFonts w:eastAsiaTheme="minorHAnsi" w:cs="–MÉ_ˇ"/>
                <w:lang w:val="en-US"/>
              </w:rPr>
            </w:pPr>
            <w:r>
              <w:rPr>
                <w:rFonts w:eastAsiaTheme="minorHAnsi" w:cs="–MÉ_ˇ"/>
                <w:lang w:val="en-US"/>
              </w:rPr>
              <w:t>ALP</w:t>
            </w:r>
          </w:p>
        </w:tc>
        <w:tc>
          <w:tcPr>
            <w:tcW w:w="6095" w:type="dxa"/>
          </w:tcPr>
          <w:p w:rsidR="00E660F2" w:rsidRPr="006515C9" w:rsidRDefault="00E660F2" w:rsidP="008F0588">
            <w:pPr>
              <w:rPr>
                <w:rFonts w:eastAsiaTheme="minorHAnsi" w:cs="–MÉ_ˇ"/>
                <w:lang w:val="en-US"/>
              </w:rPr>
            </w:pPr>
            <w:r>
              <w:rPr>
                <w:rFonts w:eastAsiaTheme="minorHAnsi" w:cs="–MÉ_ˇ"/>
                <w:lang w:val="en-US"/>
              </w:rPr>
              <w:t>Alkaline phosphatase</w:t>
            </w:r>
          </w:p>
        </w:tc>
      </w:tr>
      <w:tr w:rsidR="00E660F2" w:rsidRPr="006515C9" w:rsidTr="008F0588">
        <w:tc>
          <w:tcPr>
            <w:tcW w:w="3085" w:type="dxa"/>
          </w:tcPr>
          <w:p w:rsidR="00E660F2" w:rsidRDefault="00E660F2" w:rsidP="008F0588">
            <w:pPr>
              <w:rPr>
                <w:rFonts w:eastAsiaTheme="minorHAnsi" w:cs="–MÉ_ˇ"/>
                <w:lang w:val="en-US"/>
              </w:rPr>
            </w:pPr>
            <w:r>
              <w:rPr>
                <w:rFonts w:eastAsiaTheme="minorHAnsi" w:cs="–MÉ_ˇ"/>
                <w:lang w:val="en-US"/>
              </w:rPr>
              <w:t>ALT</w:t>
            </w:r>
          </w:p>
        </w:tc>
        <w:tc>
          <w:tcPr>
            <w:tcW w:w="6095" w:type="dxa"/>
          </w:tcPr>
          <w:p w:rsidR="00E660F2" w:rsidRDefault="00E660F2" w:rsidP="008F0588">
            <w:pPr>
              <w:rPr>
                <w:rFonts w:eastAsiaTheme="minorHAnsi" w:cs="–MÉ_ˇ"/>
                <w:lang w:val="en-US"/>
              </w:rPr>
            </w:pPr>
            <w:r>
              <w:rPr>
                <w:rFonts w:eastAsiaTheme="minorHAnsi" w:cs="–MÉ_ˇ"/>
                <w:lang w:val="en-US"/>
              </w:rPr>
              <w:t>Alanine aminotransferase</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 xml:space="preserve">API </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Active pharmaceutical ingredient</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AR</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Androgen receptor</w:t>
            </w:r>
          </w:p>
        </w:tc>
      </w:tr>
      <w:tr w:rsidR="00E660F2" w:rsidRPr="006515C9" w:rsidTr="008F0588">
        <w:tc>
          <w:tcPr>
            <w:tcW w:w="3085" w:type="dxa"/>
          </w:tcPr>
          <w:p w:rsidR="00E660F2" w:rsidRPr="006515C9" w:rsidRDefault="00E660F2" w:rsidP="008F0588">
            <w:pPr>
              <w:rPr>
                <w:rFonts w:eastAsiaTheme="minorHAnsi" w:cs="–MÉ_ˇ"/>
                <w:lang w:val="en-US"/>
              </w:rPr>
            </w:pPr>
            <w:r>
              <w:rPr>
                <w:rFonts w:eastAsiaTheme="minorHAnsi" w:cs="–MÉ_ˇ"/>
                <w:lang w:val="en-US"/>
              </w:rPr>
              <w:t>ARN-509</w:t>
            </w:r>
          </w:p>
        </w:tc>
        <w:tc>
          <w:tcPr>
            <w:tcW w:w="6095" w:type="dxa"/>
          </w:tcPr>
          <w:p w:rsidR="00E660F2" w:rsidRPr="006515C9" w:rsidRDefault="00E660F2" w:rsidP="008F0588">
            <w:pPr>
              <w:rPr>
                <w:rFonts w:eastAsiaTheme="minorHAnsi" w:cs="–MÉ_ˇ"/>
                <w:lang w:val="en-US"/>
              </w:rPr>
            </w:pPr>
            <w:r>
              <w:rPr>
                <w:rFonts w:eastAsiaTheme="minorHAnsi" w:cs="–MÉ_ˇ"/>
                <w:lang w:val="en-US"/>
              </w:rPr>
              <w:t>Apalutamide drug development name</w:t>
            </w:r>
          </w:p>
        </w:tc>
      </w:tr>
      <w:tr w:rsidR="00E660F2" w:rsidRPr="006515C9" w:rsidTr="008F0588">
        <w:tc>
          <w:tcPr>
            <w:tcW w:w="3085" w:type="dxa"/>
          </w:tcPr>
          <w:p w:rsidR="00E660F2" w:rsidRPr="006515C9" w:rsidRDefault="00E660F2" w:rsidP="008F0588">
            <w:pPr>
              <w:rPr>
                <w:rFonts w:eastAsiaTheme="minorHAnsi" w:cs="–MÉ_ˇ"/>
                <w:lang w:val="en-US"/>
              </w:rPr>
            </w:pPr>
            <w:r>
              <w:rPr>
                <w:rFonts w:eastAsiaTheme="minorHAnsi" w:cs="–MÉ_ˇ"/>
                <w:lang w:val="en-US"/>
              </w:rPr>
              <w:t>ARTG</w:t>
            </w:r>
          </w:p>
        </w:tc>
        <w:tc>
          <w:tcPr>
            <w:tcW w:w="6095" w:type="dxa"/>
          </w:tcPr>
          <w:p w:rsidR="00E660F2" w:rsidRPr="006515C9" w:rsidRDefault="00E660F2" w:rsidP="008F0588">
            <w:pPr>
              <w:rPr>
                <w:rFonts w:eastAsiaTheme="minorHAnsi" w:cs="–MÉ_ˇ"/>
                <w:lang w:val="en-US"/>
              </w:rPr>
            </w:pPr>
            <w:r>
              <w:rPr>
                <w:rFonts w:eastAsiaTheme="minorHAnsi" w:cs="–MÉ_ˇ"/>
                <w:lang w:val="en-US"/>
              </w:rPr>
              <w:t>Australian Register of Therapeutic Goods</w:t>
            </w:r>
          </w:p>
        </w:tc>
      </w:tr>
      <w:tr w:rsidR="00E660F2" w:rsidRPr="006515C9" w:rsidTr="008F0588">
        <w:tc>
          <w:tcPr>
            <w:tcW w:w="3085" w:type="dxa"/>
          </w:tcPr>
          <w:p w:rsidR="00E660F2" w:rsidRDefault="00E660F2" w:rsidP="008F0588">
            <w:pPr>
              <w:rPr>
                <w:rFonts w:eastAsiaTheme="minorHAnsi" w:cs="–MÉ_ˇ"/>
                <w:lang w:val="en-US"/>
              </w:rPr>
            </w:pPr>
            <w:r>
              <w:rPr>
                <w:rFonts w:eastAsiaTheme="minorHAnsi" w:cs="–MÉ_ˇ"/>
                <w:lang w:val="en-US"/>
              </w:rPr>
              <w:t>ASA</w:t>
            </w:r>
          </w:p>
        </w:tc>
        <w:tc>
          <w:tcPr>
            <w:tcW w:w="6095" w:type="dxa"/>
          </w:tcPr>
          <w:p w:rsidR="00E660F2" w:rsidRDefault="00E660F2" w:rsidP="008F0588">
            <w:pPr>
              <w:rPr>
                <w:rFonts w:eastAsiaTheme="minorHAnsi" w:cs="–MÉ_ˇ"/>
                <w:lang w:val="en-US"/>
              </w:rPr>
            </w:pPr>
            <w:r>
              <w:rPr>
                <w:rFonts w:eastAsiaTheme="minorHAnsi" w:cs="–MÉ_ˇ"/>
                <w:lang w:val="en-US"/>
              </w:rPr>
              <w:t>Australian Specific Annex</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 xml:space="preserve">AST </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Aspartate aminotransferase</w:t>
            </w:r>
          </w:p>
        </w:tc>
      </w:tr>
      <w:tr w:rsidR="00E660F2" w:rsidRPr="006515C9" w:rsidTr="008F0588">
        <w:tc>
          <w:tcPr>
            <w:tcW w:w="3085" w:type="dxa"/>
          </w:tcPr>
          <w:p w:rsidR="00E660F2" w:rsidRPr="006515C9" w:rsidRDefault="00E660F2" w:rsidP="008F0588">
            <w:pPr>
              <w:rPr>
                <w:rFonts w:eastAsiaTheme="minorHAnsi" w:cs="–MÉ_ˇ"/>
                <w:lang w:val="en-US"/>
              </w:rPr>
            </w:pPr>
            <w:r>
              <w:rPr>
                <w:rFonts w:eastAsiaTheme="minorHAnsi" w:cs="–MÉ_ˇ"/>
                <w:lang w:val="en-US"/>
              </w:rPr>
              <w:t>ASTRO</w:t>
            </w:r>
          </w:p>
        </w:tc>
        <w:tc>
          <w:tcPr>
            <w:tcW w:w="6095" w:type="dxa"/>
          </w:tcPr>
          <w:p w:rsidR="00E660F2" w:rsidRPr="006515C9" w:rsidRDefault="00E660F2" w:rsidP="008F0588">
            <w:pPr>
              <w:rPr>
                <w:rFonts w:eastAsiaTheme="minorHAnsi" w:cs="–MÉ_ˇ"/>
                <w:lang w:val="en-US"/>
              </w:rPr>
            </w:pPr>
            <w:r>
              <w:rPr>
                <w:rFonts w:eastAsiaTheme="minorHAnsi" w:cs="–MÉ_ˇ"/>
                <w:lang w:val="en-US"/>
              </w:rPr>
              <w:t>American Society for Radiation Oncology</w:t>
            </w:r>
          </w:p>
        </w:tc>
      </w:tr>
      <w:tr w:rsidR="00E660F2" w:rsidRPr="006515C9" w:rsidTr="008F0588">
        <w:tc>
          <w:tcPr>
            <w:tcW w:w="3085" w:type="dxa"/>
          </w:tcPr>
          <w:p w:rsidR="00E660F2" w:rsidRPr="006515C9" w:rsidRDefault="00E660F2" w:rsidP="008F0588">
            <w:pPr>
              <w:rPr>
                <w:rFonts w:eastAsiaTheme="minorHAnsi" w:cs="–MÉ_ˇ"/>
                <w:lang w:val="en-US"/>
              </w:rPr>
            </w:pPr>
            <w:r>
              <w:rPr>
                <w:rFonts w:eastAsiaTheme="minorHAnsi" w:cs="–MÉ_ˇ"/>
                <w:lang w:val="en-US"/>
              </w:rPr>
              <w:t>C</w:t>
            </w:r>
            <w:r w:rsidRPr="002575DB">
              <w:rPr>
                <w:rFonts w:eastAsiaTheme="minorHAnsi" w:cs="–MÉ_ˇ"/>
                <w:vertAlign w:val="subscript"/>
                <w:lang w:val="en-US"/>
              </w:rPr>
              <w:t>max</w:t>
            </w:r>
          </w:p>
        </w:tc>
        <w:tc>
          <w:tcPr>
            <w:tcW w:w="6095" w:type="dxa"/>
          </w:tcPr>
          <w:p w:rsidR="00E660F2" w:rsidRPr="006515C9" w:rsidRDefault="00E660F2" w:rsidP="008F0588">
            <w:pPr>
              <w:rPr>
                <w:rFonts w:eastAsiaTheme="minorHAnsi" w:cs="–MÉ_ˇ"/>
                <w:lang w:val="en-US"/>
              </w:rPr>
            </w:pPr>
            <w:r>
              <w:rPr>
                <w:rFonts w:eastAsiaTheme="minorHAnsi" w:cs="–MÉ_ˇ"/>
                <w:lang w:val="en-US"/>
              </w:rPr>
              <w:t>Peak plasma concentration</w:t>
            </w:r>
          </w:p>
        </w:tc>
      </w:tr>
      <w:tr w:rsidR="00E660F2" w:rsidRPr="006515C9" w:rsidTr="008F0588">
        <w:tc>
          <w:tcPr>
            <w:tcW w:w="3085" w:type="dxa"/>
          </w:tcPr>
          <w:p w:rsidR="00E660F2" w:rsidRPr="006515C9" w:rsidRDefault="00E660F2" w:rsidP="008F0588">
            <w:pPr>
              <w:rPr>
                <w:rFonts w:eastAsiaTheme="minorHAnsi" w:cs="–MÉ_ˇ"/>
                <w:lang w:val="en-US"/>
              </w:rPr>
            </w:pPr>
            <w:r>
              <w:rPr>
                <w:rFonts w:eastAsiaTheme="minorHAnsi" w:cs="–MÉ_ˇ"/>
                <w:lang w:val="en-US"/>
              </w:rPr>
              <w:t>C</w:t>
            </w:r>
            <w:r w:rsidRPr="002575DB">
              <w:rPr>
                <w:rFonts w:eastAsiaTheme="minorHAnsi" w:cs="–MÉ_ˇ"/>
                <w:vertAlign w:val="subscript"/>
                <w:lang w:val="en-US"/>
              </w:rPr>
              <w:t>min</w:t>
            </w:r>
          </w:p>
        </w:tc>
        <w:tc>
          <w:tcPr>
            <w:tcW w:w="6095" w:type="dxa"/>
          </w:tcPr>
          <w:p w:rsidR="00E660F2" w:rsidRPr="006515C9" w:rsidRDefault="00E660F2" w:rsidP="008F0588">
            <w:pPr>
              <w:rPr>
                <w:rFonts w:eastAsiaTheme="minorHAnsi" w:cs="–MÉ_ˇ"/>
                <w:lang w:val="en-US"/>
              </w:rPr>
            </w:pPr>
            <w:r>
              <w:rPr>
                <w:rFonts w:eastAsiaTheme="minorHAnsi" w:cs="–MÉ_ˇ"/>
                <w:lang w:val="en-US"/>
              </w:rPr>
              <w:t>Minimum plasma concentration</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CRPC</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Castration-resistant prostate cancer</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CI</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Confidence interval</w:t>
            </w:r>
          </w:p>
        </w:tc>
      </w:tr>
      <w:tr w:rsidR="00E660F2" w:rsidRPr="006515C9" w:rsidTr="008F0588">
        <w:tc>
          <w:tcPr>
            <w:tcW w:w="3085" w:type="dxa"/>
          </w:tcPr>
          <w:p w:rsidR="00E660F2" w:rsidRPr="006515C9" w:rsidRDefault="00E660F2" w:rsidP="008F0588">
            <w:pPr>
              <w:rPr>
                <w:rFonts w:eastAsiaTheme="minorHAnsi" w:cs="–MÉ_ˇ"/>
                <w:lang w:val="en-US"/>
              </w:rPr>
            </w:pPr>
            <w:r>
              <w:rPr>
                <w:rFonts w:eastAsiaTheme="minorHAnsi" w:cs="–MÉ_ˇ"/>
                <w:lang w:val="en-US"/>
              </w:rPr>
              <w:t>CMI</w:t>
            </w:r>
          </w:p>
        </w:tc>
        <w:tc>
          <w:tcPr>
            <w:tcW w:w="6095" w:type="dxa"/>
          </w:tcPr>
          <w:p w:rsidR="00E660F2" w:rsidRPr="006515C9" w:rsidRDefault="00E660F2" w:rsidP="008F0588">
            <w:pPr>
              <w:rPr>
                <w:rFonts w:eastAsiaTheme="minorHAnsi" w:cs="–MÉ_ˇ"/>
                <w:lang w:val="en-US"/>
              </w:rPr>
            </w:pPr>
            <w:r>
              <w:rPr>
                <w:rFonts w:eastAsiaTheme="minorHAnsi" w:cs="–MÉ_ˇ"/>
                <w:lang w:val="en-US"/>
              </w:rPr>
              <w:t>Consumer Medicines Information</w:t>
            </w:r>
          </w:p>
        </w:tc>
      </w:tr>
      <w:tr w:rsidR="00E660F2" w:rsidRPr="006515C9" w:rsidTr="008F0588">
        <w:tc>
          <w:tcPr>
            <w:tcW w:w="3085" w:type="dxa"/>
          </w:tcPr>
          <w:p w:rsidR="00E660F2" w:rsidRPr="006515C9" w:rsidRDefault="00E660F2" w:rsidP="008F0588">
            <w:pPr>
              <w:rPr>
                <w:rFonts w:eastAsiaTheme="minorHAnsi" w:cs="–MÉ_ˇ"/>
                <w:lang w:val="en-US"/>
              </w:rPr>
            </w:pPr>
            <w:r>
              <w:rPr>
                <w:rFonts w:eastAsiaTheme="minorHAnsi" w:cs="–MÉ_ˇ"/>
                <w:lang w:val="en-US"/>
              </w:rPr>
              <w:t>CNS</w:t>
            </w:r>
          </w:p>
        </w:tc>
        <w:tc>
          <w:tcPr>
            <w:tcW w:w="6095" w:type="dxa"/>
          </w:tcPr>
          <w:p w:rsidR="00E660F2" w:rsidRPr="006515C9" w:rsidRDefault="00E660F2" w:rsidP="008F0588">
            <w:pPr>
              <w:rPr>
                <w:rFonts w:eastAsiaTheme="minorHAnsi" w:cs="–MÉ_ˇ"/>
                <w:lang w:val="en-US"/>
              </w:rPr>
            </w:pPr>
            <w:r>
              <w:rPr>
                <w:rFonts w:eastAsiaTheme="minorHAnsi" w:cs="–MÉ_ˇ"/>
                <w:lang w:val="en-US"/>
              </w:rPr>
              <w:t>Central nervous system</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CRF</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Case report form</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CT</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Computed tomography</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CTC</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Circulating tumo</w:t>
            </w:r>
            <w:r>
              <w:rPr>
                <w:rFonts w:eastAsiaTheme="minorHAnsi" w:cs="–MÉ_ˇ"/>
                <w:lang w:val="en-US"/>
              </w:rPr>
              <w:t>u</w:t>
            </w:r>
            <w:r w:rsidRPr="006515C9">
              <w:rPr>
                <w:rFonts w:eastAsiaTheme="minorHAnsi" w:cs="–MÉ_ˇ"/>
                <w:lang w:val="en-US"/>
              </w:rPr>
              <w:t>r cells</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lastRenderedPageBreak/>
              <w:t xml:space="preserve">CTCAE </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Common Terminology Criteria for Adverse Events</w:t>
            </w:r>
          </w:p>
        </w:tc>
      </w:tr>
      <w:tr w:rsidR="00E660F2" w:rsidRPr="006515C9" w:rsidTr="008F0588">
        <w:tc>
          <w:tcPr>
            <w:tcW w:w="3085" w:type="dxa"/>
          </w:tcPr>
          <w:p w:rsidR="00E660F2" w:rsidRPr="006515C9" w:rsidRDefault="00E660F2" w:rsidP="008F0588">
            <w:pPr>
              <w:rPr>
                <w:rFonts w:eastAsiaTheme="minorHAnsi" w:cs="–MÉ_ˇ"/>
                <w:lang w:val="en-US"/>
              </w:rPr>
            </w:pPr>
            <w:r>
              <w:rPr>
                <w:rFonts w:eastAsiaTheme="minorHAnsi" w:cs="–MÉ_ˇ"/>
                <w:lang w:val="en-US"/>
              </w:rPr>
              <w:t>CYP (450)</w:t>
            </w:r>
          </w:p>
        </w:tc>
        <w:tc>
          <w:tcPr>
            <w:tcW w:w="6095" w:type="dxa"/>
          </w:tcPr>
          <w:p w:rsidR="00E660F2" w:rsidRPr="006515C9" w:rsidRDefault="00E660F2" w:rsidP="008F0588">
            <w:pPr>
              <w:rPr>
                <w:rFonts w:eastAsiaTheme="minorHAnsi" w:cs="–MÉ_ˇ"/>
                <w:lang w:val="en-US"/>
              </w:rPr>
            </w:pPr>
            <w:r>
              <w:rPr>
                <w:rFonts w:eastAsiaTheme="minorHAnsi" w:cs="–MÉ_ˇ"/>
                <w:lang w:val="en-US"/>
              </w:rPr>
              <w:t>Cytochrome P450 system</w:t>
            </w:r>
          </w:p>
        </w:tc>
      </w:tr>
      <w:tr w:rsidR="00E660F2" w:rsidRPr="006515C9" w:rsidTr="008F0588">
        <w:tc>
          <w:tcPr>
            <w:tcW w:w="3085" w:type="dxa"/>
          </w:tcPr>
          <w:p w:rsidR="00E660F2" w:rsidRPr="006515C9" w:rsidRDefault="00E660F2" w:rsidP="008F0588">
            <w:pPr>
              <w:rPr>
                <w:rFonts w:eastAsiaTheme="minorHAnsi" w:cs="–MÉ_ˇ"/>
                <w:lang w:val="en-US"/>
              </w:rPr>
            </w:pPr>
            <w:r>
              <w:rPr>
                <w:rFonts w:eastAsiaTheme="minorHAnsi" w:cs="–MÉ_ˇ"/>
                <w:lang w:val="en-US"/>
              </w:rPr>
              <w:t>DHT</w:t>
            </w:r>
          </w:p>
        </w:tc>
        <w:tc>
          <w:tcPr>
            <w:tcW w:w="6095" w:type="dxa"/>
          </w:tcPr>
          <w:p w:rsidR="00E660F2" w:rsidRPr="006515C9" w:rsidRDefault="00E660F2" w:rsidP="008F0588">
            <w:pPr>
              <w:rPr>
                <w:rFonts w:eastAsiaTheme="minorHAnsi" w:cs="–MÉ_ˇ"/>
                <w:lang w:val="en-US"/>
              </w:rPr>
            </w:pPr>
            <w:r>
              <w:rPr>
                <w:rFonts w:eastAsiaTheme="minorHAnsi" w:cs="–MÉ_ˇ"/>
                <w:lang w:val="en-US"/>
              </w:rPr>
              <w:t>Dihydroxytestosterone</w:t>
            </w:r>
          </w:p>
        </w:tc>
      </w:tr>
      <w:tr w:rsidR="00E660F2" w:rsidRPr="006515C9" w:rsidTr="008F0588">
        <w:tc>
          <w:tcPr>
            <w:tcW w:w="3085" w:type="dxa"/>
          </w:tcPr>
          <w:p w:rsidR="00E660F2" w:rsidRDefault="00E660F2" w:rsidP="008F0588">
            <w:pPr>
              <w:rPr>
                <w:rFonts w:eastAsiaTheme="minorHAnsi" w:cs="–MÉ_ˇ"/>
                <w:lang w:val="en-US"/>
              </w:rPr>
            </w:pPr>
            <w:r>
              <w:rPr>
                <w:rFonts w:eastAsiaTheme="minorHAnsi" w:cs="–MÉ_ˇ"/>
                <w:lang w:val="en-US"/>
              </w:rPr>
              <w:t>DLP</w:t>
            </w:r>
          </w:p>
        </w:tc>
        <w:tc>
          <w:tcPr>
            <w:tcW w:w="6095" w:type="dxa"/>
          </w:tcPr>
          <w:p w:rsidR="00E660F2" w:rsidRDefault="00E660F2" w:rsidP="008F0588">
            <w:pPr>
              <w:rPr>
                <w:rFonts w:eastAsiaTheme="minorHAnsi" w:cs="–MÉ_ˇ"/>
                <w:lang w:val="en-US"/>
              </w:rPr>
            </w:pPr>
            <w:r>
              <w:rPr>
                <w:rFonts w:eastAsiaTheme="minorHAnsi" w:cs="–MÉ_ˇ"/>
                <w:lang w:val="en-US"/>
              </w:rPr>
              <w:t>Data lock point</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 xml:space="preserve">DLT </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Dose-limiting toxicity</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 xml:space="preserve">ECG </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Electrocardiogram</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 xml:space="preserve">ECOG PS </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Eastern Cooperative Oncology Group Performance Status</w:t>
            </w:r>
          </w:p>
        </w:tc>
      </w:tr>
      <w:tr w:rsidR="00E660F2" w:rsidRPr="006515C9" w:rsidTr="008F0588">
        <w:tc>
          <w:tcPr>
            <w:tcW w:w="3085" w:type="dxa"/>
          </w:tcPr>
          <w:p w:rsidR="00E660F2" w:rsidRPr="006515C9" w:rsidRDefault="00E660F2" w:rsidP="008F0588">
            <w:pPr>
              <w:rPr>
                <w:rFonts w:eastAsiaTheme="minorHAnsi" w:cs="–MÉ_ˇ"/>
                <w:lang w:val="en-US"/>
              </w:rPr>
            </w:pPr>
            <w:r>
              <w:rPr>
                <w:rFonts w:eastAsiaTheme="minorHAnsi" w:cs="–MÉ_ˇ"/>
                <w:lang w:val="en-US"/>
              </w:rPr>
              <w:t>EMA</w:t>
            </w:r>
          </w:p>
        </w:tc>
        <w:tc>
          <w:tcPr>
            <w:tcW w:w="6095" w:type="dxa"/>
          </w:tcPr>
          <w:p w:rsidR="00E660F2" w:rsidRPr="006515C9" w:rsidRDefault="00E660F2" w:rsidP="008F0588">
            <w:pPr>
              <w:rPr>
                <w:rFonts w:eastAsiaTheme="minorHAnsi" w:cs="–MÉ_ˇ"/>
                <w:lang w:val="en-US"/>
              </w:rPr>
            </w:pPr>
            <w:r>
              <w:rPr>
                <w:rFonts w:eastAsiaTheme="minorHAnsi" w:cs="–MÉ_ˇ"/>
                <w:lang w:val="en-US"/>
              </w:rPr>
              <w:t>European Medicines Agency</w:t>
            </w:r>
          </w:p>
        </w:tc>
      </w:tr>
      <w:tr w:rsidR="00E660F2" w:rsidRPr="006515C9" w:rsidTr="008F0588">
        <w:tc>
          <w:tcPr>
            <w:tcW w:w="3085" w:type="dxa"/>
          </w:tcPr>
          <w:p w:rsidR="00E660F2" w:rsidRPr="006515C9" w:rsidRDefault="00E660F2" w:rsidP="008F0588">
            <w:pPr>
              <w:rPr>
                <w:rFonts w:eastAsiaTheme="minorHAnsi" w:cs="–MÉ_ˇ"/>
                <w:lang w:val="en-US"/>
              </w:rPr>
            </w:pPr>
            <w:r>
              <w:rPr>
                <w:rFonts w:eastAsiaTheme="minorHAnsi" w:cs="–MÉ_ˇ"/>
                <w:lang w:val="en-US"/>
              </w:rPr>
              <w:t>ER</w:t>
            </w:r>
          </w:p>
        </w:tc>
        <w:tc>
          <w:tcPr>
            <w:tcW w:w="6095" w:type="dxa"/>
          </w:tcPr>
          <w:p w:rsidR="00E660F2" w:rsidRPr="006515C9" w:rsidRDefault="00E660F2" w:rsidP="008F0588">
            <w:pPr>
              <w:rPr>
                <w:rFonts w:eastAsiaTheme="minorHAnsi" w:cs="–MÉ_ˇ"/>
                <w:lang w:val="en-US"/>
              </w:rPr>
            </w:pPr>
            <w:r>
              <w:rPr>
                <w:rFonts w:eastAsiaTheme="minorHAnsi" w:cs="–MÉ_ˇ"/>
                <w:lang w:val="en-US"/>
              </w:rPr>
              <w:t>Exposure ratio</w:t>
            </w:r>
          </w:p>
        </w:tc>
      </w:tr>
      <w:tr w:rsidR="00E660F2" w:rsidRPr="006515C9" w:rsidTr="008F0588">
        <w:tc>
          <w:tcPr>
            <w:tcW w:w="3085" w:type="dxa"/>
          </w:tcPr>
          <w:p w:rsidR="00E660F2" w:rsidRPr="006515C9" w:rsidRDefault="00E660F2" w:rsidP="008F0588">
            <w:pPr>
              <w:rPr>
                <w:rFonts w:eastAsiaTheme="minorHAnsi" w:cs="–MÉ_ˇ"/>
                <w:lang w:val="en-US"/>
              </w:rPr>
            </w:pPr>
            <w:r>
              <w:rPr>
                <w:rFonts w:eastAsiaTheme="minorHAnsi" w:cs="–MÉ_ˇ"/>
                <w:lang w:val="en-US"/>
              </w:rPr>
              <w:t>FDA</w:t>
            </w:r>
          </w:p>
        </w:tc>
        <w:tc>
          <w:tcPr>
            <w:tcW w:w="6095" w:type="dxa"/>
          </w:tcPr>
          <w:p w:rsidR="00E660F2" w:rsidRPr="006515C9" w:rsidRDefault="00E660F2" w:rsidP="008F0588">
            <w:pPr>
              <w:rPr>
                <w:rFonts w:eastAsiaTheme="minorHAnsi" w:cs="–MÉ_ˇ"/>
                <w:lang w:val="en-US"/>
              </w:rPr>
            </w:pPr>
            <w:r>
              <w:rPr>
                <w:rFonts w:eastAsiaTheme="minorHAnsi" w:cs="–MÉ_ˇ"/>
                <w:lang w:val="en-US"/>
              </w:rPr>
              <w:t>Food and Drug Administration</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 xml:space="preserve">FDHT-PET 16β-[18 F] </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Fluoro-α-dihydrotestosterone</w:t>
            </w:r>
          </w:p>
        </w:tc>
      </w:tr>
      <w:tr w:rsidR="00E660F2" w:rsidRPr="006515C9" w:rsidTr="008F0588">
        <w:tc>
          <w:tcPr>
            <w:tcW w:w="3085" w:type="dxa"/>
          </w:tcPr>
          <w:p w:rsidR="00E660F2" w:rsidRPr="006515C9" w:rsidRDefault="00E660F2" w:rsidP="008F0588">
            <w:pPr>
              <w:rPr>
                <w:rFonts w:eastAsiaTheme="minorHAnsi" w:cs="–MÉ_ˇ"/>
                <w:lang w:val="en-US"/>
              </w:rPr>
            </w:pPr>
            <w:r>
              <w:rPr>
                <w:rFonts w:eastAsiaTheme="minorHAnsi" w:cs="–MÉ_ˇ"/>
                <w:lang w:val="en-US"/>
              </w:rPr>
              <w:t>GABA</w:t>
            </w:r>
          </w:p>
        </w:tc>
        <w:tc>
          <w:tcPr>
            <w:tcW w:w="6095" w:type="dxa"/>
          </w:tcPr>
          <w:p w:rsidR="00E660F2" w:rsidRPr="006515C9" w:rsidRDefault="00E660F2" w:rsidP="008F0588">
            <w:pPr>
              <w:rPr>
                <w:rFonts w:eastAsiaTheme="minorHAnsi" w:cs="–MÉ_ˇ"/>
                <w:lang w:val="en-US"/>
              </w:rPr>
            </w:pPr>
            <w:r>
              <w:rPr>
                <w:rFonts w:eastAsiaTheme="minorHAnsi" w:cs="–MÉ_ˇ"/>
                <w:lang w:val="en-US"/>
              </w:rPr>
              <w:t>Gamma aminobutyric acid</w:t>
            </w:r>
          </w:p>
        </w:tc>
      </w:tr>
      <w:tr w:rsidR="00E660F2" w:rsidRPr="006515C9" w:rsidTr="008F0588">
        <w:tc>
          <w:tcPr>
            <w:tcW w:w="3085" w:type="dxa"/>
          </w:tcPr>
          <w:p w:rsidR="00E660F2" w:rsidRPr="006515C9" w:rsidRDefault="00E660F2" w:rsidP="008F0588">
            <w:pPr>
              <w:rPr>
                <w:rFonts w:eastAsiaTheme="minorHAnsi" w:cs="–MÉ_ˇ"/>
                <w:lang w:val="en-US"/>
              </w:rPr>
            </w:pPr>
            <w:r>
              <w:rPr>
                <w:rFonts w:eastAsiaTheme="minorHAnsi" w:cs="–MÉ_ˇ"/>
                <w:lang w:val="en-US"/>
              </w:rPr>
              <w:t>GI</w:t>
            </w:r>
          </w:p>
        </w:tc>
        <w:tc>
          <w:tcPr>
            <w:tcW w:w="6095" w:type="dxa"/>
          </w:tcPr>
          <w:p w:rsidR="00E660F2" w:rsidRPr="006515C9" w:rsidRDefault="00E660F2" w:rsidP="008F0588">
            <w:pPr>
              <w:rPr>
                <w:rFonts w:eastAsiaTheme="minorHAnsi" w:cs="–MÉ_ˇ"/>
                <w:lang w:val="en-US"/>
              </w:rPr>
            </w:pPr>
            <w:r>
              <w:rPr>
                <w:rFonts w:eastAsiaTheme="minorHAnsi" w:cs="–MÉ_ˇ"/>
                <w:lang w:val="en-US"/>
              </w:rPr>
              <w:t>Gastrointestinal</w:t>
            </w:r>
          </w:p>
        </w:tc>
      </w:tr>
      <w:tr w:rsidR="00E660F2" w:rsidRPr="006515C9" w:rsidTr="008F0588">
        <w:tc>
          <w:tcPr>
            <w:tcW w:w="3085" w:type="dxa"/>
          </w:tcPr>
          <w:p w:rsidR="00E660F2" w:rsidRDefault="00E660F2" w:rsidP="008F0588">
            <w:pPr>
              <w:rPr>
                <w:rFonts w:eastAsiaTheme="minorHAnsi" w:cs="–MÉ_ˇ"/>
                <w:lang w:val="en-US"/>
              </w:rPr>
            </w:pPr>
            <w:r>
              <w:rPr>
                <w:rFonts w:eastAsiaTheme="minorHAnsi" w:cs="–MÉ_ˇ"/>
                <w:lang w:val="en-US"/>
              </w:rPr>
              <w:t>GGT</w:t>
            </w:r>
          </w:p>
        </w:tc>
        <w:tc>
          <w:tcPr>
            <w:tcW w:w="6095" w:type="dxa"/>
          </w:tcPr>
          <w:p w:rsidR="00E660F2" w:rsidRDefault="00E660F2" w:rsidP="008F0588">
            <w:pPr>
              <w:rPr>
                <w:rFonts w:eastAsiaTheme="minorHAnsi" w:cs="–MÉ_ˇ"/>
                <w:lang w:val="en-US"/>
              </w:rPr>
            </w:pPr>
            <w:r>
              <w:rPr>
                <w:rFonts w:eastAsiaTheme="minorHAnsi" w:cs="–MÉ_ˇ"/>
                <w:lang w:val="en-US"/>
              </w:rPr>
              <w:t>Gamma-glutamyl transferase</w:t>
            </w:r>
          </w:p>
        </w:tc>
      </w:tr>
      <w:tr w:rsidR="00E660F2" w:rsidRPr="006515C9" w:rsidTr="008F0588">
        <w:tc>
          <w:tcPr>
            <w:tcW w:w="3085" w:type="dxa"/>
          </w:tcPr>
          <w:p w:rsidR="00E660F2" w:rsidRDefault="00E660F2" w:rsidP="008F0588">
            <w:pPr>
              <w:rPr>
                <w:rFonts w:eastAsiaTheme="minorHAnsi" w:cs="–MÉ_ˇ"/>
                <w:lang w:val="en-US"/>
              </w:rPr>
            </w:pPr>
            <w:r>
              <w:rPr>
                <w:rFonts w:eastAsiaTheme="minorHAnsi" w:cs="–MÉ_ˇ"/>
                <w:lang w:val="en-US"/>
              </w:rPr>
              <w:t>GLP</w:t>
            </w:r>
          </w:p>
        </w:tc>
        <w:tc>
          <w:tcPr>
            <w:tcW w:w="6095" w:type="dxa"/>
          </w:tcPr>
          <w:p w:rsidR="00E660F2" w:rsidRDefault="00E660F2" w:rsidP="008F0588">
            <w:pPr>
              <w:rPr>
                <w:rFonts w:eastAsiaTheme="minorHAnsi" w:cs="–MÉ_ˇ"/>
                <w:lang w:val="en-US"/>
              </w:rPr>
            </w:pPr>
            <w:r>
              <w:rPr>
                <w:rFonts w:eastAsiaTheme="minorHAnsi" w:cs="–MÉ_ˇ"/>
                <w:lang w:val="en-US"/>
              </w:rPr>
              <w:t>Good Laboratory Practice</w:t>
            </w:r>
          </w:p>
        </w:tc>
      </w:tr>
      <w:tr w:rsidR="00E660F2" w:rsidRPr="006515C9" w:rsidTr="008F0588">
        <w:tc>
          <w:tcPr>
            <w:tcW w:w="3085" w:type="dxa"/>
          </w:tcPr>
          <w:p w:rsidR="00E660F2" w:rsidRDefault="00E660F2" w:rsidP="008F0588">
            <w:pPr>
              <w:rPr>
                <w:rFonts w:eastAsiaTheme="minorHAnsi" w:cs="–MÉ_ˇ"/>
                <w:lang w:val="en-US"/>
              </w:rPr>
            </w:pPr>
            <w:r>
              <w:rPr>
                <w:rFonts w:eastAsiaTheme="minorHAnsi" w:cs="–MÉ_ˇ"/>
                <w:lang w:val="en-US"/>
              </w:rPr>
              <w:t>GMR</w:t>
            </w:r>
          </w:p>
        </w:tc>
        <w:tc>
          <w:tcPr>
            <w:tcW w:w="6095" w:type="dxa"/>
          </w:tcPr>
          <w:p w:rsidR="00E660F2" w:rsidRDefault="00E660F2" w:rsidP="008F0588">
            <w:pPr>
              <w:rPr>
                <w:rFonts w:eastAsiaTheme="minorHAnsi" w:cs="–MÉ_ˇ"/>
                <w:lang w:val="en-US"/>
              </w:rPr>
            </w:pPr>
            <w:r>
              <w:rPr>
                <w:rFonts w:eastAsiaTheme="minorHAnsi" w:cs="–MÉ_ˇ"/>
                <w:lang w:val="en-US"/>
              </w:rPr>
              <w:t>Geometric mean ratio</w:t>
            </w:r>
          </w:p>
        </w:tc>
      </w:tr>
      <w:tr w:rsidR="00E660F2" w:rsidRPr="006515C9" w:rsidTr="008F0588">
        <w:tc>
          <w:tcPr>
            <w:tcW w:w="3085" w:type="dxa"/>
          </w:tcPr>
          <w:p w:rsidR="00E660F2" w:rsidRPr="006515C9" w:rsidRDefault="00E660F2" w:rsidP="008F0588">
            <w:pPr>
              <w:rPr>
                <w:rFonts w:eastAsiaTheme="minorHAnsi" w:cs="–MÉ_ˇ"/>
                <w:lang w:val="en-US"/>
              </w:rPr>
            </w:pPr>
            <w:r>
              <w:rPr>
                <w:rFonts w:eastAsiaTheme="minorHAnsi" w:cs="–MÉ_ˇ"/>
                <w:lang w:val="en-US"/>
              </w:rPr>
              <w:t>GnRH</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Gonadotropin releasing hormone</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GnRHa</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Gonadotropin releasing hormone analog</w:t>
            </w:r>
          </w:p>
        </w:tc>
      </w:tr>
      <w:tr w:rsidR="00E660F2" w:rsidRPr="006515C9" w:rsidTr="008F0588">
        <w:tc>
          <w:tcPr>
            <w:tcW w:w="3085" w:type="dxa"/>
          </w:tcPr>
          <w:p w:rsidR="00E660F2" w:rsidRPr="006515C9" w:rsidRDefault="00E660F2" w:rsidP="008F0588">
            <w:pPr>
              <w:rPr>
                <w:rFonts w:eastAsiaTheme="minorHAnsi" w:cs="–MÉ_ˇ"/>
                <w:lang w:val="en-US"/>
              </w:rPr>
            </w:pPr>
            <w:r>
              <w:rPr>
                <w:rFonts w:eastAsiaTheme="minorHAnsi" w:cs="–MÉ_ˇ"/>
                <w:lang w:val="en-US"/>
              </w:rPr>
              <w:t>Hb</w:t>
            </w:r>
          </w:p>
        </w:tc>
        <w:tc>
          <w:tcPr>
            <w:tcW w:w="6095" w:type="dxa"/>
          </w:tcPr>
          <w:p w:rsidR="00E660F2" w:rsidRPr="006515C9" w:rsidRDefault="00E660F2" w:rsidP="008F0588">
            <w:pPr>
              <w:rPr>
                <w:rFonts w:eastAsiaTheme="minorHAnsi" w:cs="–MÉ_ˇ"/>
                <w:lang w:val="en-US"/>
              </w:rPr>
            </w:pPr>
            <w:r>
              <w:rPr>
                <w:rFonts w:eastAsiaTheme="minorHAnsi" w:cs="–MÉ_ˇ"/>
                <w:lang w:val="en-US"/>
              </w:rPr>
              <w:t>Haemoglobin</w:t>
            </w:r>
          </w:p>
        </w:tc>
      </w:tr>
      <w:tr w:rsidR="00E660F2" w:rsidRPr="006515C9" w:rsidTr="008F0588">
        <w:tc>
          <w:tcPr>
            <w:tcW w:w="3085" w:type="dxa"/>
          </w:tcPr>
          <w:p w:rsidR="00E660F2" w:rsidRPr="006515C9" w:rsidRDefault="00E660F2" w:rsidP="008F0588">
            <w:pPr>
              <w:rPr>
                <w:rFonts w:eastAsiaTheme="minorHAnsi" w:cs="–MÉ_ˇ"/>
                <w:lang w:val="en-US"/>
              </w:rPr>
            </w:pPr>
            <w:r>
              <w:rPr>
                <w:rFonts w:eastAsiaTheme="minorHAnsi" w:cs="–MÉ_ˇ"/>
                <w:lang w:val="en-US"/>
              </w:rPr>
              <w:t>Hct</w:t>
            </w:r>
          </w:p>
        </w:tc>
        <w:tc>
          <w:tcPr>
            <w:tcW w:w="6095" w:type="dxa"/>
          </w:tcPr>
          <w:p w:rsidR="00E660F2" w:rsidRPr="006515C9" w:rsidRDefault="00E660F2" w:rsidP="008F0588">
            <w:pPr>
              <w:rPr>
                <w:rFonts w:eastAsiaTheme="minorHAnsi" w:cs="–MÉ_ˇ"/>
                <w:lang w:val="en-US"/>
              </w:rPr>
            </w:pPr>
            <w:r>
              <w:rPr>
                <w:rFonts w:eastAsiaTheme="minorHAnsi" w:cs="–MÉ_ˇ"/>
                <w:lang w:val="en-US"/>
              </w:rPr>
              <w:t>Haematocrit</w:t>
            </w:r>
          </w:p>
        </w:tc>
      </w:tr>
      <w:tr w:rsidR="00E660F2" w:rsidRPr="006515C9" w:rsidTr="008F0588">
        <w:tc>
          <w:tcPr>
            <w:tcW w:w="3085" w:type="dxa"/>
          </w:tcPr>
          <w:p w:rsidR="00E660F2" w:rsidRPr="006515C9" w:rsidRDefault="00E660F2" w:rsidP="008F0588">
            <w:pPr>
              <w:rPr>
                <w:rFonts w:eastAsiaTheme="minorHAnsi" w:cs="–MÉ_ˇ"/>
                <w:lang w:val="en-US"/>
              </w:rPr>
            </w:pPr>
            <w:r>
              <w:rPr>
                <w:rFonts w:eastAsiaTheme="minorHAnsi" w:cs="–MÉ_ˇ"/>
                <w:lang w:val="en-US"/>
              </w:rPr>
              <w:t>IC</w:t>
            </w:r>
            <w:r w:rsidRPr="002575DB">
              <w:rPr>
                <w:rFonts w:eastAsiaTheme="minorHAnsi" w:cs="–MÉ_ˇ"/>
                <w:vertAlign w:val="subscript"/>
                <w:lang w:val="en-US"/>
              </w:rPr>
              <w:t>50</w:t>
            </w:r>
          </w:p>
        </w:tc>
        <w:tc>
          <w:tcPr>
            <w:tcW w:w="6095" w:type="dxa"/>
          </w:tcPr>
          <w:p w:rsidR="00E660F2" w:rsidRPr="006515C9" w:rsidRDefault="00E660F2" w:rsidP="008F0588">
            <w:pPr>
              <w:rPr>
                <w:rFonts w:eastAsiaTheme="minorHAnsi" w:cs="–MÉ_ˇ"/>
                <w:lang w:val="en-US"/>
              </w:rPr>
            </w:pPr>
            <w:r>
              <w:rPr>
                <w:rFonts w:eastAsiaTheme="minorHAnsi" w:cs="–MÉ_ˇ"/>
                <w:lang w:val="en-US"/>
              </w:rPr>
              <w:t>50% inhibitory concentration</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ICF</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Informed consent form</w:t>
            </w:r>
          </w:p>
        </w:tc>
      </w:tr>
      <w:tr w:rsidR="00E660F2" w:rsidRPr="006515C9" w:rsidTr="008F0588">
        <w:tc>
          <w:tcPr>
            <w:tcW w:w="3085" w:type="dxa"/>
          </w:tcPr>
          <w:p w:rsidR="00E660F2" w:rsidRPr="006515C9" w:rsidRDefault="00E660F2" w:rsidP="008F0588">
            <w:pPr>
              <w:rPr>
                <w:rFonts w:eastAsiaTheme="minorHAnsi" w:cs="–MÉ_ˇ"/>
                <w:lang w:val="en-US"/>
              </w:rPr>
            </w:pPr>
            <w:r>
              <w:rPr>
                <w:rFonts w:eastAsiaTheme="minorHAnsi" w:cs="–MÉ_ˇ"/>
                <w:lang w:val="en-US"/>
              </w:rPr>
              <w:t>ICH</w:t>
            </w:r>
          </w:p>
        </w:tc>
        <w:tc>
          <w:tcPr>
            <w:tcW w:w="6095" w:type="dxa"/>
          </w:tcPr>
          <w:p w:rsidR="00E660F2" w:rsidRPr="006515C9" w:rsidRDefault="00E660F2" w:rsidP="008F0588">
            <w:pPr>
              <w:rPr>
                <w:rFonts w:eastAsiaTheme="minorHAnsi" w:cs="–MÉ_ˇ"/>
                <w:lang w:val="en-US"/>
              </w:rPr>
            </w:pPr>
            <w:r>
              <w:rPr>
                <w:rFonts w:eastAsiaTheme="minorHAnsi" w:cs="–MÉ_ˇ"/>
                <w:lang w:val="en-US"/>
              </w:rPr>
              <w:t xml:space="preserve">International Conference on </w:t>
            </w:r>
            <w:r w:rsidR="00C31962">
              <w:rPr>
                <w:rFonts w:eastAsiaTheme="minorHAnsi" w:cs="–MÉ_ˇ"/>
                <w:lang w:val="en-US"/>
              </w:rPr>
              <w:t>Harmonization</w:t>
            </w:r>
          </w:p>
        </w:tc>
      </w:tr>
      <w:tr w:rsidR="00E660F2" w:rsidRPr="006515C9" w:rsidTr="008F0588">
        <w:tc>
          <w:tcPr>
            <w:tcW w:w="3085" w:type="dxa"/>
          </w:tcPr>
          <w:p w:rsidR="00E660F2" w:rsidRDefault="00E660F2" w:rsidP="008F0588">
            <w:pPr>
              <w:rPr>
                <w:rFonts w:eastAsiaTheme="minorHAnsi" w:cs="–MÉ_ˇ"/>
                <w:lang w:val="en-US"/>
              </w:rPr>
            </w:pPr>
            <w:r>
              <w:rPr>
                <w:rFonts w:eastAsiaTheme="minorHAnsi" w:cs="–MÉ_ˇ"/>
                <w:lang w:val="en-US"/>
              </w:rPr>
              <w:t>IDMC</w:t>
            </w:r>
          </w:p>
        </w:tc>
        <w:tc>
          <w:tcPr>
            <w:tcW w:w="6095" w:type="dxa"/>
          </w:tcPr>
          <w:p w:rsidR="00E660F2" w:rsidRDefault="00E660F2" w:rsidP="008F0588">
            <w:pPr>
              <w:rPr>
                <w:rFonts w:eastAsiaTheme="minorHAnsi" w:cs="–MÉ_ˇ"/>
                <w:lang w:val="en-US"/>
              </w:rPr>
            </w:pPr>
            <w:r>
              <w:rPr>
                <w:rFonts w:eastAsiaTheme="minorHAnsi" w:cs="–MÉ_ˇ"/>
                <w:lang w:val="en-US"/>
              </w:rPr>
              <w:t>Independent data and safety monitoring committee</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 xml:space="preserve">IP </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Investigational product</w:t>
            </w:r>
          </w:p>
        </w:tc>
      </w:tr>
      <w:tr w:rsidR="00E660F2" w:rsidRPr="006515C9" w:rsidTr="008F0588">
        <w:tc>
          <w:tcPr>
            <w:tcW w:w="3085" w:type="dxa"/>
          </w:tcPr>
          <w:p w:rsidR="00E660F2" w:rsidRPr="006515C9" w:rsidRDefault="00E660F2" w:rsidP="008F0588">
            <w:pPr>
              <w:rPr>
                <w:rFonts w:eastAsiaTheme="minorHAnsi" w:cs="–MÉ_ˇ"/>
                <w:lang w:val="en-US"/>
              </w:rPr>
            </w:pPr>
            <w:r w:rsidRPr="00A02C70">
              <w:t>JNJ-56021927</w:t>
            </w:r>
          </w:p>
        </w:tc>
        <w:tc>
          <w:tcPr>
            <w:tcW w:w="6095" w:type="dxa"/>
          </w:tcPr>
          <w:p w:rsidR="00E660F2" w:rsidRPr="006515C9" w:rsidRDefault="00E660F2" w:rsidP="008F0588">
            <w:pPr>
              <w:rPr>
                <w:rFonts w:eastAsiaTheme="minorHAnsi" w:cs="–MÉ_ˇ"/>
                <w:lang w:val="en-US"/>
              </w:rPr>
            </w:pPr>
            <w:r>
              <w:rPr>
                <w:rFonts w:eastAsiaTheme="minorHAnsi" w:cs="–MÉ_ˇ"/>
                <w:lang w:val="en-US"/>
              </w:rPr>
              <w:t>Apalutamide drug development name</w:t>
            </w:r>
          </w:p>
        </w:tc>
      </w:tr>
      <w:tr w:rsidR="00E660F2" w:rsidRPr="006515C9" w:rsidTr="008F0588">
        <w:tc>
          <w:tcPr>
            <w:tcW w:w="3085" w:type="dxa"/>
          </w:tcPr>
          <w:p w:rsidR="00E660F2" w:rsidRPr="00A02C70" w:rsidRDefault="00E660F2" w:rsidP="008F0588">
            <w:r>
              <w:lastRenderedPageBreak/>
              <w:t>OS</w:t>
            </w:r>
          </w:p>
        </w:tc>
        <w:tc>
          <w:tcPr>
            <w:tcW w:w="6095" w:type="dxa"/>
          </w:tcPr>
          <w:p w:rsidR="00E660F2" w:rsidRDefault="00E660F2" w:rsidP="008F0588">
            <w:pPr>
              <w:rPr>
                <w:rFonts w:eastAsiaTheme="minorHAnsi" w:cs="–MÉ_ˇ"/>
                <w:lang w:val="en-US"/>
              </w:rPr>
            </w:pPr>
            <w:r>
              <w:rPr>
                <w:rFonts w:eastAsiaTheme="minorHAnsi" w:cs="–MÉ_ˇ"/>
                <w:lang w:val="en-US"/>
              </w:rPr>
              <w:t>Overall survival</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mCRPC</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Metastatic castration-resistant prostate cancer</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MedDRA</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Medical Dictionary for Regulatory Activities</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 xml:space="preserve">MFS </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Metastasis-free survival</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 xml:space="preserve">MRI </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Magnetic resonance imaging</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MTD</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Maximum tolerated dose</w:t>
            </w:r>
          </w:p>
        </w:tc>
      </w:tr>
      <w:tr w:rsidR="00E660F2" w:rsidRPr="006515C9" w:rsidTr="008F0588">
        <w:tc>
          <w:tcPr>
            <w:tcW w:w="3085" w:type="dxa"/>
          </w:tcPr>
          <w:p w:rsidR="00E660F2" w:rsidRPr="006515C9" w:rsidRDefault="00E660F2" w:rsidP="008F0588">
            <w:pPr>
              <w:rPr>
                <w:rFonts w:eastAsiaTheme="minorHAnsi" w:cs="–MÉ_ˇ"/>
                <w:lang w:val="en-US"/>
              </w:rPr>
            </w:pPr>
            <w:r>
              <w:rPr>
                <w:rFonts w:eastAsiaTheme="minorHAnsi" w:cs="–MÉ_ˇ"/>
                <w:lang w:val="en-US"/>
              </w:rPr>
              <w:t>NCCN</w:t>
            </w:r>
          </w:p>
        </w:tc>
        <w:tc>
          <w:tcPr>
            <w:tcW w:w="6095" w:type="dxa"/>
          </w:tcPr>
          <w:p w:rsidR="00E660F2" w:rsidRPr="006515C9" w:rsidRDefault="00E660F2" w:rsidP="008F0588">
            <w:pPr>
              <w:rPr>
                <w:rFonts w:eastAsiaTheme="minorHAnsi" w:cs="–MÉ_ˇ"/>
                <w:lang w:val="en-US"/>
              </w:rPr>
            </w:pPr>
            <w:r>
              <w:rPr>
                <w:rFonts w:eastAsiaTheme="minorHAnsi" w:cs="–MÉ_ˇ"/>
                <w:lang w:val="en-US"/>
              </w:rPr>
              <w:t>National Comprehensive Cancer Network (USA)</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NCI</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National Cancer Institute</w:t>
            </w:r>
            <w:r>
              <w:rPr>
                <w:rFonts w:eastAsiaTheme="minorHAnsi" w:cs="–MÉ_ˇ"/>
                <w:lang w:val="en-US"/>
              </w:rPr>
              <w:t xml:space="preserve"> (USA)</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 xml:space="preserve">NM-CRPC </w:t>
            </w:r>
          </w:p>
        </w:tc>
        <w:tc>
          <w:tcPr>
            <w:tcW w:w="6095" w:type="dxa"/>
          </w:tcPr>
          <w:p w:rsidR="00E660F2" w:rsidRPr="006515C9" w:rsidRDefault="00E660F2" w:rsidP="008F0588">
            <w:pPr>
              <w:rPr>
                <w:rFonts w:eastAsiaTheme="minorHAnsi" w:cs="–MÉ_ˇ"/>
                <w:lang w:val="en-US"/>
              </w:rPr>
            </w:pPr>
            <w:r>
              <w:rPr>
                <w:rFonts w:eastAsiaTheme="minorHAnsi" w:cs="–MÉ_ˇ"/>
                <w:lang w:val="en-US"/>
              </w:rPr>
              <w:t>N</w:t>
            </w:r>
            <w:r w:rsidRPr="006515C9">
              <w:rPr>
                <w:rFonts w:eastAsiaTheme="minorHAnsi" w:cs="–MÉ_ˇ"/>
                <w:lang w:val="en-US"/>
              </w:rPr>
              <w:t>on-metastatic castration-resistant prostate cancer</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PSADT</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P</w:t>
            </w:r>
            <w:r>
              <w:rPr>
                <w:rFonts w:eastAsiaTheme="minorHAnsi" w:cs="–MÉ_ˇ"/>
                <w:lang w:val="en-US"/>
              </w:rPr>
              <w:t>rostate specific antigen</w:t>
            </w:r>
            <w:r w:rsidRPr="006515C9">
              <w:rPr>
                <w:rFonts w:eastAsiaTheme="minorHAnsi" w:cs="–MÉ_ˇ"/>
                <w:lang w:val="en-US"/>
              </w:rPr>
              <w:t xml:space="preserve"> doubling time</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PCWG2</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Prostate Cancer Working Group 2</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 xml:space="preserve">PK </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Pharmacokinetic</w:t>
            </w:r>
            <w:r>
              <w:rPr>
                <w:rFonts w:eastAsiaTheme="minorHAnsi" w:cs="–MÉ_ˇ"/>
                <w:lang w:val="en-US"/>
              </w:rPr>
              <w:t>(s)</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 xml:space="preserve">PFS </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Progression-free survival</w:t>
            </w:r>
          </w:p>
        </w:tc>
      </w:tr>
      <w:tr w:rsidR="00E660F2" w:rsidRPr="006515C9" w:rsidTr="008F0588">
        <w:tc>
          <w:tcPr>
            <w:tcW w:w="3085" w:type="dxa"/>
          </w:tcPr>
          <w:p w:rsidR="00E660F2" w:rsidRPr="006515C9" w:rsidRDefault="00E660F2" w:rsidP="008F0588">
            <w:pPr>
              <w:rPr>
                <w:rFonts w:eastAsiaTheme="minorHAnsi" w:cs="–MÉ_ˇ"/>
                <w:lang w:val="en-US"/>
              </w:rPr>
            </w:pPr>
            <w:r>
              <w:rPr>
                <w:rFonts w:eastAsiaTheme="minorHAnsi" w:cs="–MÉ_ˇ"/>
                <w:lang w:val="en-US"/>
              </w:rPr>
              <w:t>PI</w:t>
            </w:r>
          </w:p>
        </w:tc>
        <w:tc>
          <w:tcPr>
            <w:tcW w:w="6095" w:type="dxa"/>
          </w:tcPr>
          <w:p w:rsidR="00E660F2" w:rsidRPr="006515C9" w:rsidRDefault="00E660F2" w:rsidP="008F0588">
            <w:pPr>
              <w:rPr>
                <w:rFonts w:eastAsiaTheme="minorHAnsi" w:cs="–MÉ_ˇ"/>
                <w:lang w:val="en-US"/>
              </w:rPr>
            </w:pPr>
            <w:r>
              <w:rPr>
                <w:rFonts w:eastAsiaTheme="minorHAnsi" w:cs="–MÉ_ˇ"/>
                <w:lang w:val="en-US"/>
              </w:rPr>
              <w:t>Product Information</w:t>
            </w:r>
          </w:p>
        </w:tc>
      </w:tr>
      <w:tr w:rsidR="00E660F2" w:rsidRPr="006515C9" w:rsidTr="008F0588">
        <w:tc>
          <w:tcPr>
            <w:tcW w:w="3085" w:type="dxa"/>
          </w:tcPr>
          <w:p w:rsidR="00E660F2" w:rsidRPr="006515C9" w:rsidRDefault="00E660F2" w:rsidP="008F0588">
            <w:pPr>
              <w:rPr>
                <w:rFonts w:eastAsiaTheme="minorHAnsi" w:cs="–MÉ_ˇ"/>
                <w:lang w:val="en-US"/>
              </w:rPr>
            </w:pPr>
            <w:r>
              <w:rPr>
                <w:rFonts w:eastAsiaTheme="minorHAnsi" w:cs="–MÉ_ˇ"/>
                <w:lang w:val="en-US"/>
              </w:rPr>
              <w:t>PO</w:t>
            </w:r>
          </w:p>
        </w:tc>
        <w:tc>
          <w:tcPr>
            <w:tcW w:w="6095" w:type="dxa"/>
          </w:tcPr>
          <w:p w:rsidR="00E660F2" w:rsidRPr="006515C9" w:rsidRDefault="00E660F2" w:rsidP="008F0588">
            <w:pPr>
              <w:rPr>
                <w:rFonts w:eastAsiaTheme="minorHAnsi" w:cs="–MÉ_ˇ"/>
                <w:lang w:val="en-US"/>
              </w:rPr>
            </w:pPr>
            <w:r>
              <w:rPr>
                <w:rFonts w:eastAsiaTheme="minorHAnsi" w:cs="–MÉ_ˇ"/>
                <w:lang w:val="en-US"/>
              </w:rPr>
              <w:t>Oral (</w:t>
            </w:r>
            <w:r w:rsidRPr="002575DB">
              <w:rPr>
                <w:rFonts w:eastAsiaTheme="minorHAnsi" w:cs="–MÉ_ˇ"/>
                <w:i/>
                <w:lang w:val="en-US"/>
              </w:rPr>
              <w:t>per os</w:t>
            </w:r>
            <w:r>
              <w:rPr>
                <w:rFonts w:eastAsiaTheme="minorHAnsi" w:cs="–MÉ_ˇ"/>
                <w:lang w:val="en-US"/>
              </w:rPr>
              <w:t>)</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 xml:space="preserve">PSA </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Prostate-specific antigen</w:t>
            </w:r>
          </w:p>
        </w:tc>
      </w:tr>
      <w:tr w:rsidR="00E660F2" w:rsidRPr="006515C9" w:rsidTr="008F0588">
        <w:tc>
          <w:tcPr>
            <w:tcW w:w="3085" w:type="dxa"/>
          </w:tcPr>
          <w:p w:rsidR="00E660F2" w:rsidRPr="006515C9" w:rsidRDefault="00E660F2" w:rsidP="008F0588">
            <w:pPr>
              <w:rPr>
                <w:rFonts w:eastAsiaTheme="minorHAnsi" w:cs="–MÉ_ˇ"/>
                <w:lang w:val="en-US"/>
              </w:rPr>
            </w:pPr>
            <w:r>
              <w:rPr>
                <w:rFonts w:eastAsiaTheme="minorHAnsi" w:cs="–MÉ_ˇ"/>
                <w:lang w:val="en-US"/>
              </w:rPr>
              <w:t>PSUR</w:t>
            </w:r>
          </w:p>
        </w:tc>
        <w:tc>
          <w:tcPr>
            <w:tcW w:w="6095" w:type="dxa"/>
          </w:tcPr>
          <w:p w:rsidR="00E660F2" w:rsidRPr="006515C9" w:rsidRDefault="00E660F2" w:rsidP="008F0588">
            <w:pPr>
              <w:rPr>
                <w:rFonts w:eastAsiaTheme="minorHAnsi" w:cs="–MÉ_ˇ"/>
                <w:lang w:val="en-US"/>
              </w:rPr>
            </w:pPr>
            <w:r>
              <w:rPr>
                <w:rFonts w:eastAsiaTheme="minorHAnsi" w:cs="–MÉ_ˇ"/>
                <w:lang w:val="en-US"/>
              </w:rPr>
              <w:t>Periodic safety update report</w:t>
            </w:r>
          </w:p>
        </w:tc>
      </w:tr>
      <w:tr w:rsidR="00E660F2" w:rsidRPr="006515C9" w:rsidTr="008F0588">
        <w:tc>
          <w:tcPr>
            <w:tcW w:w="3085" w:type="dxa"/>
          </w:tcPr>
          <w:p w:rsidR="00E660F2" w:rsidRPr="006515C9" w:rsidRDefault="00E660F2" w:rsidP="008F0588">
            <w:pPr>
              <w:rPr>
                <w:rFonts w:eastAsiaTheme="minorHAnsi" w:cs="–MÉ_ˇ"/>
                <w:lang w:val="en-US"/>
              </w:rPr>
            </w:pPr>
            <w:r>
              <w:rPr>
                <w:rFonts w:eastAsiaTheme="minorHAnsi" w:cs="–MÉ_ˇ"/>
                <w:lang w:val="en-US"/>
              </w:rPr>
              <w:t>RBC</w:t>
            </w:r>
          </w:p>
        </w:tc>
        <w:tc>
          <w:tcPr>
            <w:tcW w:w="6095" w:type="dxa"/>
          </w:tcPr>
          <w:p w:rsidR="00E660F2" w:rsidRPr="006515C9" w:rsidRDefault="00E660F2" w:rsidP="008F0588">
            <w:pPr>
              <w:rPr>
                <w:rFonts w:eastAsiaTheme="minorHAnsi" w:cs="–MÉ_ˇ"/>
                <w:lang w:val="en-US"/>
              </w:rPr>
            </w:pPr>
            <w:r>
              <w:rPr>
                <w:rFonts w:eastAsiaTheme="minorHAnsi" w:cs="–MÉ_ˇ"/>
                <w:lang w:val="en-US"/>
              </w:rPr>
              <w:t>Red blood cell</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 xml:space="preserve">RDI </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Relative dose intensity</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SAE</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Serious adverse event</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 xml:space="preserve">SOC </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 xml:space="preserve">System </w:t>
            </w:r>
            <w:r>
              <w:rPr>
                <w:rFonts w:eastAsiaTheme="minorHAnsi" w:cs="–MÉ_ˇ"/>
                <w:lang w:val="en-US"/>
              </w:rPr>
              <w:t>O</w:t>
            </w:r>
            <w:r w:rsidRPr="006515C9">
              <w:rPr>
                <w:rFonts w:eastAsiaTheme="minorHAnsi" w:cs="–MÉ_ˇ"/>
                <w:lang w:val="en-US"/>
              </w:rPr>
              <w:t xml:space="preserve">rgan </w:t>
            </w:r>
            <w:r>
              <w:rPr>
                <w:rFonts w:eastAsiaTheme="minorHAnsi" w:cs="–MÉ_ˇ"/>
                <w:lang w:val="en-US"/>
              </w:rPr>
              <w:t>C</w:t>
            </w:r>
            <w:r w:rsidRPr="006515C9">
              <w:rPr>
                <w:rFonts w:eastAsiaTheme="minorHAnsi" w:cs="–MÉ_ˇ"/>
                <w:lang w:val="en-US"/>
              </w:rPr>
              <w:t>lass</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 xml:space="preserve">SRE </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Skeletal-related event</w:t>
            </w:r>
          </w:p>
        </w:tc>
      </w:tr>
      <w:tr w:rsidR="00E660F2" w:rsidRPr="006515C9" w:rsidTr="008F0588">
        <w:tc>
          <w:tcPr>
            <w:tcW w:w="3085" w:type="dxa"/>
          </w:tcPr>
          <w:p w:rsidR="00E660F2" w:rsidRPr="006515C9" w:rsidRDefault="00E660F2" w:rsidP="008F0588">
            <w:pPr>
              <w:rPr>
                <w:rFonts w:eastAsiaTheme="minorHAnsi" w:cs="–MÉ_ˇ"/>
                <w:lang w:val="en-US"/>
              </w:rPr>
            </w:pPr>
            <w:r>
              <w:rPr>
                <w:rFonts w:eastAsiaTheme="minorHAnsi" w:cs="–MÉ_ˇ"/>
                <w:lang w:val="en-US"/>
              </w:rPr>
              <w:t>TEAE</w:t>
            </w:r>
          </w:p>
        </w:tc>
        <w:tc>
          <w:tcPr>
            <w:tcW w:w="6095" w:type="dxa"/>
          </w:tcPr>
          <w:p w:rsidR="00E660F2" w:rsidRPr="006515C9" w:rsidRDefault="00E660F2" w:rsidP="008F0588">
            <w:pPr>
              <w:rPr>
                <w:rFonts w:eastAsiaTheme="minorHAnsi" w:cs="–MÉ_ˇ"/>
                <w:lang w:val="en-US"/>
              </w:rPr>
            </w:pPr>
            <w:r>
              <w:rPr>
                <w:rFonts w:eastAsiaTheme="minorHAnsi" w:cs="–MÉ_ˇ"/>
                <w:lang w:val="en-US"/>
              </w:rPr>
              <w:t>Treatment emergent adverse event</w:t>
            </w:r>
          </w:p>
        </w:tc>
      </w:tr>
      <w:tr w:rsidR="00E660F2" w:rsidRPr="006515C9" w:rsidTr="008F0588">
        <w:tc>
          <w:tcPr>
            <w:tcW w:w="3085" w:type="dxa"/>
          </w:tcPr>
          <w:p w:rsidR="00E660F2" w:rsidRPr="006515C9" w:rsidRDefault="00E660F2" w:rsidP="008F0588">
            <w:pPr>
              <w:rPr>
                <w:rFonts w:eastAsiaTheme="minorHAnsi" w:cs="–MÉ_ˇ"/>
                <w:lang w:val="en-US"/>
              </w:rPr>
            </w:pPr>
            <w:r>
              <w:rPr>
                <w:rFonts w:eastAsiaTheme="minorHAnsi" w:cs="–MÉ_ˇ"/>
                <w:lang w:val="en-US"/>
              </w:rPr>
              <w:t>TTM</w:t>
            </w:r>
          </w:p>
        </w:tc>
        <w:tc>
          <w:tcPr>
            <w:tcW w:w="6095" w:type="dxa"/>
          </w:tcPr>
          <w:p w:rsidR="00E660F2" w:rsidRPr="006515C9" w:rsidRDefault="00E660F2" w:rsidP="008F0588">
            <w:pPr>
              <w:rPr>
                <w:rFonts w:eastAsiaTheme="minorHAnsi" w:cs="–MÉ_ˇ"/>
                <w:lang w:val="en-US"/>
              </w:rPr>
            </w:pPr>
            <w:r>
              <w:rPr>
                <w:rFonts w:eastAsiaTheme="minorHAnsi" w:cs="–MÉ_ˇ"/>
                <w:lang w:val="en-US"/>
              </w:rPr>
              <w:t>Time to metastasis</w:t>
            </w:r>
          </w:p>
        </w:tc>
      </w:tr>
      <w:tr w:rsidR="00E660F2" w:rsidRPr="006515C9" w:rsidTr="008F0588">
        <w:tc>
          <w:tcPr>
            <w:tcW w:w="3085" w:type="dxa"/>
          </w:tcPr>
          <w:p w:rsidR="00E660F2" w:rsidRPr="006515C9" w:rsidRDefault="00E660F2" w:rsidP="008F0588">
            <w:pPr>
              <w:rPr>
                <w:rFonts w:eastAsiaTheme="minorHAnsi" w:cs="–MÉ_ˇ"/>
                <w:lang w:val="en-US"/>
              </w:rPr>
            </w:pPr>
            <w:r>
              <w:rPr>
                <w:rFonts w:eastAsiaTheme="minorHAnsi" w:cs="–MÉ_ˇ"/>
                <w:lang w:val="en-US"/>
              </w:rPr>
              <w:t>T</w:t>
            </w:r>
            <w:r w:rsidRPr="002575DB">
              <w:rPr>
                <w:rFonts w:eastAsiaTheme="minorHAnsi" w:cs="–MÉ_ˇ"/>
                <w:vertAlign w:val="subscript"/>
                <w:lang w:val="en-US"/>
              </w:rPr>
              <w:t>max</w:t>
            </w:r>
          </w:p>
        </w:tc>
        <w:tc>
          <w:tcPr>
            <w:tcW w:w="6095" w:type="dxa"/>
          </w:tcPr>
          <w:p w:rsidR="00E660F2" w:rsidRPr="006515C9" w:rsidRDefault="00E660F2" w:rsidP="008F0588">
            <w:pPr>
              <w:rPr>
                <w:rFonts w:eastAsiaTheme="minorHAnsi" w:cs="–MÉ_ˇ"/>
                <w:lang w:val="en-US"/>
              </w:rPr>
            </w:pPr>
            <w:r>
              <w:rPr>
                <w:rFonts w:eastAsiaTheme="minorHAnsi" w:cs="–MÉ_ˇ"/>
                <w:lang w:val="en-US"/>
              </w:rPr>
              <w:t>Time to peak plasma concentration</w:t>
            </w:r>
          </w:p>
        </w:tc>
      </w:tr>
      <w:tr w:rsidR="00E660F2" w:rsidRPr="006515C9" w:rsidTr="008F0588">
        <w:tc>
          <w:tcPr>
            <w:tcW w:w="3085" w:type="dxa"/>
          </w:tcPr>
          <w:p w:rsidR="00E660F2" w:rsidRPr="006515C9" w:rsidRDefault="00E660F2" w:rsidP="008F0588">
            <w:pPr>
              <w:rPr>
                <w:rFonts w:eastAsiaTheme="minorHAnsi" w:cs="–MÉ_ˇ"/>
                <w:lang w:val="en-US"/>
              </w:rPr>
            </w:pPr>
            <w:r w:rsidRPr="006515C9">
              <w:rPr>
                <w:rFonts w:eastAsiaTheme="minorHAnsi" w:cs="–MÉ_ˇ"/>
                <w:lang w:val="en-US"/>
              </w:rPr>
              <w:t xml:space="preserve">TSH </w:t>
            </w:r>
          </w:p>
        </w:tc>
        <w:tc>
          <w:tcPr>
            <w:tcW w:w="6095" w:type="dxa"/>
          </w:tcPr>
          <w:p w:rsidR="00E660F2" w:rsidRPr="006515C9" w:rsidRDefault="00E660F2" w:rsidP="008F0588">
            <w:pPr>
              <w:rPr>
                <w:rFonts w:eastAsiaTheme="minorHAnsi" w:cs="–MÉ_ˇ"/>
                <w:lang w:val="en-US"/>
              </w:rPr>
            </w:pPr>
            <w:r w:rsidRPr="006515C9">
              <w:rPr>
                <w:rFonts w:eastAsiaTheme="minorHAnsi" w:cs="–MÉ_ˇ"/>
                <w:lang w:val="en-US"/>
              </w:rPr>
              <w:t>Thyroid stimulating hormone</w:t>
            </w:r>
          </w:p>
        </w:tc>
      </w:tr>
      <w:tr w:rsidR="00E660F2" w:rsidRPr="006515C9" w:rsidTr="008F0588">
        <w:tc>
          <w:tcPr>
            <w:tcW w:w="3085" w:type="dxa"/>
          </w:tcPr>
          <w:p w:rsidR="00E660F2" w:rsidRPr="006515C9" w:rsidRDefault="00E660F2" w:rsidP="008F0588">
            <w:pPr>
              <w:rPr>
                <w:rFonts w:eastAsiaTheme="minorHAnsi" w:cs="–MÉ_ˇ"/>
                <w:lang w:val="en-US"/>
              </w:rPr>
            </w:pPr>
            <w:r>
              <w:rPr>
                <w:rFonts w:eastAsiaTheme="minorHAnsi" w:cs="–MÉ_ˇ"/>
                <w:lang w:val="en-US"/>
              </w:rPr>
              <w:lastRenderedPageBreak/>
              <w:t>WBC</w:t>
            </w:r>
          </w:p>
        </w:tc>
        <w:tc>
          <w:tcPr>
            <w:tcW w:w="6095" w:type="dxa"/>
          </w:tcPr>
          <w:p w:rsidR="00E660F2" w:rsidRPr="006515C9" w:rsidRDefault="00E660F2" w:rsidP="008F0588">
            <w:pPr>
              <w:rPr>
                <w:rFonts w:eastAsiaTheme="minorHAnsi" w:cs="–MÉ_ˇ"/>
                <w:lang w:val="en-US"/>
              </w:rPr>
            </w:pPr>
            <w:r>
              <w:rPr>
                <w:rFonts w:eastAsiaTheme="minorHAnsi" w:cs="–MÉ_ˇ"/>
                <w:lang w:val="en-US"/>
              </w:rPr>
              <w:t>White blood cell</w:t>
            </w:r>
          </w:p>
        </w:tc>
      </w:tr>
    </w:tbl>
    <w:p w:rsidR="00E660F2" w:rsidRPr="00FD119B" w:rsidRDefault="00E660F2" w:rsidP="00E660F2">
      <w:pPr>
        <w:spacing w:before="0" w:after="200" w:line="0" w:lineRule="auto"/>
        <w:rPr>
          <w:b/>
          <w:i/>
          <w:sz w:val="24"/>
          <w:szCs w:val="24"/>
        </w:rPr>
      </w:pPr>
      <w:r w:rsidRPr="00FD119B">
        <w:rPr>
          <w:b/>
          <w:i/>
          <w:sz w:val="24"/>
          <w:szCs w:val="24"/>
        </w:rPr>
        <w:br w:type="page"/>
      </w:r>
    </w:p>
    <w:p w:rsidR="00E660F2" w:rsidRDefault="00E660F2" w:rsidP="00E660F2">
      <w:pPr>
        <w:pStyle w:val="Heading2"/>
      </w:pPr>
      <w:bookmarkStart w:id="10" w:name="_Toc523915045"/>
      <w:bookmarkStart w:id="11" w:name="_Toc5014045"/>
      <w:r>
        <w:lastRenderedPageBreak/>
        <w:t>I. Introduction to product submission</w:t>
      </w:r>
      <w:bookmarkEnd w:id="10"/>
      <w:bookmarkEnd w:id="11"/>
    </w:p>
    <w:p w:rsidR="00E660F2" w:rsidRDefault="00E660F2" w:rsidP="00E660F2">
      <w:pPr>
        <w:pStyle w:val="Heading3"/>
        <w:rPr>
          <w:lang w:eastAsia="en-AU"/>
        </w:rPr>
      </w:pPr>
      <w:bookmarkStart w:id="12" w:name="_Toc247691502"/>
      <w:bookmarkStart w:id="13" w:name="_Toc314842483"/>
      <w:bookmarkStart w:id="14" w:name="_Toc523915046"/>
      <w:bookmarkStart w:id="15" w:name="_Toc5014046"/>
      <w:r>
        <w:rPr>
          <w:lang w:eastAsia="en-AU"/>
        </w:rPr>
        <w:t>Submission details</w:t>
      </w:r>
      <w:bookmarkEnd w:id="12"/>
      <w:bookmarkEnd w:id="13"/>
      <w:bookmarkEnd w:id="14"/>
      <w:bookmarkEnd w:id="15"/>
    </w:p>
    <w:tbl>
      <w:tblPr>
        <w:tblW w:w="9315" w:type="dxa"/>
        <w:tblInd w:w="108" w:type="dxa"/>
        <w:tblLook w:val="01E0" w:firstRow="1" w:lastRow="1" w:firstColumn="1" w:lastColumn="1" w:noHBand="0" w:noVBand="0"/>
      </w:tblPr>
      <w:tblGrid>
        <w:gridCol w:w="2907"/>
        <w:gridCol w:w="32"/>
        <w:gridCol w:w="6275"/>
        <w:gridCol w:w="101"/>
      </w:tblGrid>
      <w:tr w:rsidR="00E660F2" w:rsidRPr="003D1E62" w:rsidTr="009F4D83">
        <w:trPr>
          <w:trHeight w:hRule="exact" w:val="504"/>
        </w:trPr>
        <w:tc>
          <w:tcPr>
            <w:tcW w:w="2939" w:type="dxa"/>
            <w:gridSpan w:val="2"/>
          </w:tcPr>
          <w:p w:rsidR="00E660F2" w:rsidRPr="003D1E62" w:rsidRDefault="00E660F2" w:rsidP="008F0588">
            <w:pPr>
              <w:rPr>
                <w:i/>
              </w:rPr>
            </w:pPr>
            <w:r>
              <w:rPr>
                <w:i/>
              </w:rPr>
              <w:t>Type of s</w:t>
            </w:r>
            <w:r w:rsidRPr="003D1E62">
              <w:rPr>
                <w:i/>
              </w:rPr>
              <w:t>ubmission</w:t>
            </w:r>
            <w:r>
              <w:rPr>
                <w:i/>
              </w:rPr>
              <w:t>:</w:t>
            </w:r>
          </w:p>
        </w:tc>
        <w:tc>
          <w:tcPr>
            <w:tcW w:w="6376" w:type="dxa"/>
            <w:gridSpan w:val="2"/>
          </w:tcPr>
          <w:p w:rsidR="00E660F2" w:rsidRPr="003D1E62" w:rsidRDefault="00E660F2" w:rsidP="008F0588">
            <w:r w:rsidRPr="003D1E62">
              <w:t xml:space="preserve">New </w:t>
            </w:r>
            <w:r>
              <w:t>c</w:t>
            </w:r>
            <w:r w:rsidRPr="003D1E62">
              <w:t xml:space="preserve">hemical </w:t>
            </w:r>
            <w:r>
              <w:t>e</w:t>
            </w:r>
            <w:r w:rsidRPr="003D1E62">
              <w:t>ntity</w:t>
            </w:r>
          </w:p>
        </w:tc>
      </w:tr>
      <w:tr w:rsidR="00E660F2" w:rsidRPr="003D1E62" w:rsidTr="009F4D83">
        <w:trPr>
          <w:trHeight w:hRule="exact" w:val="504"/>
        </w:trPr>
        <w:tc>
          <w:tcPr>
            <w:tcW w:w="2939" w:type="dxa"/>
            <w:gridSpan w:val="2"/>
          </w:tcPr>
          <w:p w:rsidR="00E660F2" w:rsidRPr="003D1E62" w:rsidRDefault="00E660F2" w:rsidP="008F0588">
            <w:r w:rsidRPr="003D1E62">
              <w:rPr>
                <w:i/>
              </w:rPr>
              <w:t>Decision</w:t>
            </w:r>
            <w:r w:rsidRPr="003D1E62">
              <w:t>:</w:t>
            </w:r>
          </w:p>
        </w:tc>
        <w:tc>
          <w:tcPr>
            <w:tcW w:w="6376" w:type="dxa"/>
            <w:gridSpan w:val="2"/>
          </w:tcPr>
          <w:p w:rsidR="00E660F2" w:rsidRPr="003D1E62" w:rsidRDefault="00E660F2" w:rsidP="008F0588">
            <w:r>
              <w:t>Approved</w:t>
            </w:r>
          </w:p>
        </w:tc>
      </w:tr>
      <w:tr w:rsidR="00E660F2" w:rsidRPr="003D1E62" w:rsidTr="009F4D83">
        <w:trPr>
          <w:trHeight w:hRule="exact" w:val="504"/>
        </w:trPr>
        <w:tc>
          <w:tcPr>
            <w:tcW w:w="2939" w:type="dxa"/>
            <w:gridSpan w:val="2"/>
          </w:tcPr>
          <w:p w:rsidR="00E660F2" w:rsidRPr="003D1E62" w:rsidRDefault="00E660F2" w:rsidP="008F0588">
            <w:pPr>
              <w:rPr>
                <w:i/>
              </w:rPr>
            </w:pPr>
            <w:r w:rsidRPr="003D1E62">
              <w:rPr>
                <w:i/>
              </w:rPr>
              <w:t xml:space="preserve">Date of </w:t>
            </w:r>
            <w:r>
              <w:rPr>
                <w:i/>
              </w:rPr>
              <w:t>d</w:t>
            </w:r>
            <w:r w:rsidRPr="003D1E62">
              <w:rPr>
                <w:i/>
              </w:rPr>
              <w:t>ecision:</w:t>
            </w:r>
          </w:p>
        </w:tc>
        <w:tc>
          <w:tcPr>
            <w:tcW w:w="6376" w:type="dxa"/>
            <w:gridSpan w:val="2"/>
          </w:tcPr>
          <w:p w:rsidR="00E660F2" w:rsidRPr="003D1E62" w:rsidRDefault="00E660F2" w:rsidP="008F0588">
            <w:r>
              <w:t>4 July 2018</w:t>
            </w:r>
          </w:p>
        </w:tc>
      </w:tr>
      <w:tr w:rsidR="00E660F2" w:rsidRPr="003D1E62" w:rsidTr="009F4D83">
        <w:trPr>
          <w:trHeight w:hRule="exact" w:val="504"/>
        </w:trPr>
        <w:tc>
          <w:tcPr>
            <w:tcW w:w="2939" w:type="dxa"/>
            <w:gridSpan w:val="2"/>
          </w:tcPr>
          <w:p w:rsidR="00E660F2" w:rsidRPr="00441C3F" w:rsidRDefault="00E660F2" w:rsidP="008F0588">
            <w:pPr>
              <w:rPr>
                <w:i/>
              </w:rPr>
            </w:pPr>
            <w:r w:rsidRPr="00441C3F">
              <w:rPr>
                <w:i/>
              </w:rPr>
              <w:t>Date of entry onto ARTG</w:t>
            </w:r>
            <w:r>
              <w:rPr>
                <w:i/>
              </w:rPr>
              <w:t>:</w:t>
            </w:r>
          </w:p>
        </w:tc>
        <w:tc>
          <w:tcPr>
            <w:tcW w:w="6376" w:type="dxa"/>
            <w:gridSpan w:val="2"/>
          </w:tcPr>
          <w:p w:rsidR="00E660F2" w:rsidRPr="00441C3F" w:rsidRDefault="00E660F2" w:rsidP="008F0588">
            <w:pPr>
              <w:rPr>
                <w:i/>
              </w:rPr>
            </w:pPr>
            <w:r>
              <w:t>5 July 2018</w:t>
            </w:r>
          </w:p>
        </w:tc>
      </w:tr>
      <w:tr w:rsidR="00E660F2" w:rsidRPr="003D1E62" w:rsidTr="009F4D83">
        <w:trPr>
          <w:trHeight w:hRule="exact" w:val="504"/>
        </w:trPr>
        <w:tc>
          <w:tcPr>
            <w:tcW w:w="2939" w:type="dxa"/>
            <w:gridSpan w:val="2"/>
          </w:tcPr>
          <w:p w:rsidR="00E660F2" w:rsidRPr="00441C3F" w:rsidRDefault="00E660F2" w:rsidP="008F0588">
            <w:pPr>
              <w:rPr>
                <w:i/>
              </w:rPr>
            </w:pPr>
            <w:r>
              <w:rPr>
                <w:i/>
              </w:rPr>
              <w:t>ARTG numbers:</w:t>
            </w:r>
          </w:p>
        </w:tc>
        <w:tc>
          <w:tcPr>
            <w:tcW w:w="6376" w:type="dxa"/>
            <w:gridSpan w:val="2"/>
          </w:tcPr>
          <w:p w:rsidR="00E660F2" w:rsidRPr="00441C3F" w:rsidRDefault="00E660F2" w:rsidP="008F0588">
            <w:pPr>
              <w:widowControl w:val="0"/>
              <w:tabs>
                <w:tab w:val="left" w:pos="2169"/>
                <w:tab w:val="left" w:pos="2170"/>
              </w:tabs>
              <w:autoSpaceDE w:val="0"/>
              <w:autoSpaceDN w:val="0"/>
              <w:spacing w:before="2" w:after="0" w:line="268" w:lineRule="exact"/>
            </w:pPr>
            <w:r w:rsidRPr="005B1C98">
              <w:rPr>
                <w:spacing w:val="-3"/>
              </w:rPr>
              <w:t xml:space="preserve">299792 </w:t>
            </w:r>
            <w:r>
              <w:rPr>
                <w:spacing w:val="-3"/>
              </w:rPr>
              <w:t>and 299791</w:t>
            </w:r>
          </w:p>
        </w:tc>
      </w:tr>
      <w:tr w:rsidR="00E660F2" w:rsidRPr="00487162" w:rsidTr="009F4D83">
        <w:trPr>
          <w:trHeight w:hRule="exact" w:val="504"/>
        </w:trPr>
        <w:tc>
          <w:tcPr>
            <w:tcW w:w="2939" w:type="dxa"/>
            <w:gridSpan w:val="2"/>
          </w:tcPr>
          <w:p w:rsidR="00E660F2" w:rsidRDefault="00E660F2" w:rsidP="008F0588">
            <w:pPr>
              <w:rPr>
                <w:i/>
              </w:rPr>
            </w:pPr>
            <w:r>
              <w:rPr>
                <w:i/>
              </w:rPr>
              <w:sym w:font="Wingdings 2" w:char="F0E6"/>
            </w:r>
            <w:r w:rsidRPr="00C6160B">
              <w:rPr>
                <w:i/>
              </w:rPr>
              <w:t>Black Triangle Scheme</w:t>
            </w:r>
          </w:p>
        </w:tc>
        <w:tc>
          <w:tcPr>
            <w:tcW w:w="6376" w:type="dxa"/>
            <w:gridSpan w:val="2"/>
          </w:tcPr>
          <w:p w:rsidR="00E660F2" w:rsidRPr="00364D70" w:rsidRDefault="00E660F2" w:rsidP="008F0588">
            <w:pPr>
              <w:widowControl w:val="0"/>
              <w:tabs>
                <w:tab w:val="left" w:pos="2169"/>
                <w:tab w:val="left" w:pos="2170"/>
              </w:tabs>
              <w:autoSpaceDE w:val="0"/>
              <w:autoSpaceDN w:val="0"/>
              <w:spacing w:before="2" w:after="0" w:line="268" w:lineRule="exact"/>
              <w:rPr>
                <w:spacing w:val="-3"/>
              </w:rPr>
            </w:pPr>
            <w:r w:rsidRPr="00364D70">
              <w:rPr>
                <w:spacing w:val="-3"/>
              </w:rPr>
              <w:t>Yes. This product will remain in the scheme for 5 years, starting on the date the product is first supplied in Australia.</w:t>
            </w:r>
          </w:p>
        </w:tc>
      </w:tr>
      <w:tr w:rsidR="00E660F2" w:rsidRPr="00487162" w:rsidTr="009F4D83">
        <w:trPr>
          <w:gridAfter w:val="1"/>
          <w:wAfter w:w="101" w:type="dxa"/>
        </w:trPr>
        <w:tc>
          <w:tcPr>
            <w:tcW w:w="2907" w:type="dxa"/>
          </w:tcPr>
          <w:p w:rsidR="00E660F2" w:rsidRPr="00487162" w:rsidRDefault="00E660F2" w:rsidP="008F0588">
            <w:pPr>
              <w:rPr>
                <w:i/>
              </w:rPr>
            </w:pPr>
            <w:r>
              <w:rPr>
                <w:i/>
              </w:rPr>
              <w:t>Active ingredient:</w:t>
            </w:r>
          </w:p>
        </w:tc>
        <w:tc>
          <w:tcPr>
            <w:tcW w:w="6307" w:type="dxa"/>
            <w:gridSpan w:val="2"/>
          </w:tcPr>
          <w:p w:rsidR="00E660F2" w:rsidRPr="00487162" w:rsidRDefault="00E660F2" w:rsidP="008F0588">
            <w:r w:rsidRPr="001B6F85">
              <w:t>Apalutamide</w:t>
            </w:r>
          </w:p>
        </w:tc>
      </w:tr>
      <w:tr w:rsidR="00E660F2" w:rsidRPr="00487162" w:rsidTr="009F4D83">
        <w:trPr>
          <w:gridAfter w:val="1"/>
          <w:wAfter w:w="101" w:type="dxa"/>
        </w:trPr>
        <w:tc>
          <w:tcPr>
            <w:tcW w:w="2907" w:type="dxa"/>
          </w:tcPr>
          <w:p w:rsidR="00E660F2" w:rsidRPr="00487162" w:rsidRDefault="00E660F2" w:rsidP="008F0588">
            <w:pPr>
              <w:rPr>
                <w:i/>
              </w:rPr>
            </w:pPr>
            <w:r w:rsidRPr="00487162">
              <w:rPr>
                <w:i/>
              </w:rPr>
              <w:t>Product</w:t>
            </w:r>
            <w:r>
              <w:rPr>
                <w:i/>
              </w:rPr>
              <w:t xml:space="preserve"> names:</w:t>
            </w:r>
          </w:p>
        </w:tc>
        <w:tc>
          <w:tcPr>
            <w:tcW w:w="6307" w:type="dxa"/>
            <w:gridSpan w:val="2"/>
          </w:tcPr>
          <w:p w:rsidR="00E660F2" w:rsidRPr="00487162" w:rsidRDefault="00E660F2" w:rsidP="008F0588">
            <w:r w:rsidRPr="001B6F85">
              <w:t>Erlyand / Janssen Apalutamide</w:t>
            </w:r>
          </w:p>
        </w:tc>
      </w:tr>
      <w:tr w:rsidR="00E660F2" w:rsidRPr="00487162" w:rsidTr="009F4D83">
        <w:trPr>
          <w:gridAfter w:val="1"/>
          <w:wAfter w:w="101" w:type="dxa"/>
        </w:trPr>
        <w:tc>
          <w:tcPr>
            <w:tcW w:w="2907" w:type="dxa"/>
          </w:tcPr>
          <w:p w:rsidR="00E660F2" w:rsidRPr="00487162" w:rsidRDefault="00E660F2" w:rsidP="008F0588">
            <w:pPr>
              <w:rPr>
                <w:i/>
              </w:rPr>
            </w:pPr>
            <w:r w:rsidRPr="00487162">
              <w:rPr>
                <w:i/>
              </w:rPr>
              <w:t xml:space="preserve">Sponsor’s </w:t>
            </w:r>
            <w:r>
              <w:rPr>
                <w:i/>
              </w:rPr>
              <w:t>n</w:t>
            </w:r>
            <w:r w:rsidRPr="00487162">
              <w:rPr>
                <w:i/>
              </w:rPr>
              <w:t xml:space="preserve">ame and </w:t>
            </w:r>
            <w:r>
              <w:rPr>
                <w:i/>
              </w:rPr>
              <w:t>a</w:t>
            </w:r>
            <w:r w:rsidRPr="00487162">
              <w:rPr>
                <w:i/>
              </w:rPr>
              <w:t>ddress:</w:t>
            </w:r>
          </w:p>
        </w:tc>
        <w:tc>
          <w:tcPr>
            <w:tcW w:w="6307" w:type="dxa"/>
            <w:gridSpan w:val="2"/>
          </w:tcPr>
          <w:p w:rsidR="00E660F2" w:rsidRDefault="00E660F2" w:rsidP="008F0588">
            <w:r w:rsidRPr="001B6F85">
              <w:t>Janssen-Cilag Pty Ltd</w:t>
            </w:r>
          </w:p>
          <w:p w:rsidR="00E660F2" w:rsidRPr="00487162" w:rsidRDefault="00E660F2" w:rsidP="008F0588">
            <w:r>
              <w:t>1-5 Khartoum Rd</w:t>
            </w:r>
            <w:r>
              <w:br/>
              <w:t>Macquarie Park</w:t>
            </w:r>
            <w:r>
              <w:br/>
              <w:t>NSW 2113</w:t>
            </w:r>
          </w:p>
        </w:tc>
      </w:tr>
      <w:tr w:rsidR="00E660F2" w:rsidRPr="00487162" w:rsidTr="009F4D83">
        <w:trPr>
          <w:gridAfter w:val="1"/>
          <w:wAfter w:w="101" w:type="dxa"/>
        </w:trPr>
        <w:tc>
          <w:tcPr>
            <w:tcW w:w="2907" w:type="dxa"/>
          </w:tcPr>
          <w:p w:rsidR="00E660F2" w:rsidRPr="00487162" w:rsidRDefault="00E660F2" w:rsidP="008F0588">
            <w:pPr>
              <w:rPr>
                <w:i/>
              </w:rPr>
            </w:pPr>
            <w:r>
              <w:rPr>
                <w:i/>
              </w:rPr>
              <w:t>Dose form:</w:t>
            </w:r>
          </w:p>
        </w:tc>
        <w:tc>
          <w:tcPr>
            <w:tcW w:w="6307" w:type="dxa"/>
            <w:gridSpan w:val="2"/>
          </w:tcPr>
          <w:p w:rsidR="00E660F2" w:rsidRPr="00487162" w:rsidRDefault="00E660F2" w:rsidP="008F0588">
            <w:r w:rsidRPr="001B6F85">
              <w:t>Film-coated tablets</w:t>
            </w:r>
          </w:p>
        </w:tc>
      </w:tr>
      <w:tr w:rsidR="00E660F2" w:rsidRPr="00487162" w:rsidTr="009F4D83">
        <w:trPr>
          <w:gridAfter w:val="1"/>
          <w:wAfter w:w="101" w:type="dxa"/>
        </w:trPr>
        <w:tc>
          <w:tcPr>
            <w:tcW w:w="2907" w:type="dxa"/>
          </w:tcPr>
          <w:p w:rsidR="00E660F2" w:rsidRPr="00487162" w:rsidRDefault="00E660F2" w:rsidP="008F0588">
            <w:pPr>
              <w:rPr>
                <w:i/>
              </w:rPr>
            </w:pPr>
            <w:r w:rsidRPr="00487162">
              <w:rPr>
                <w:i/>
              </w:rPr>
              <w:t>Strength:</w:t>
            </w:r>
          </w:p>
        </w:tc>
        <w:tc>
          <w:tcPr>
            <w:tcW w:w="6307" w:type="dxa"/>
            <w:gridSpan w:val="2"/>
          </w:tcPr>
          <w:p w:rsidR="00E660F2" w:rsidRPr="00487162" w:rsidRDefault="00E660F2" w:rsidP="008F0588">
            <w:r>
              <w:t>60 mg</w:t>
            </w:r>
          </w:p>
        </w:tc>
      </w:tr>
      <w:tr w:rsidR="00E660F2" w:rsidRPr="00487162" w:rsidTr="009F4D83">
        <w:trPr>
          <w:gridAfter w:val="1"/>
          <w:wAfter w:w="101" w:type="dxa"/>
        </w:trPr>
        <w:tc>
          <w:tcPr>
            <w:tcW w:w="2907" w:type="dxa"/>
          </w:tcPr>
          <w:p w:rsidR="00E660F2" w:rsidRPr="00487162" w:rsidRDefault="00E660F2" w:rsidP="008F0588">
            <w:pPr>
              <w:rPr>
                <w:i/>
              </w:rPr>
            </w:pPr>
            <w:r w:rsidRPr="00487162">
              <w:rPr>
                <w:i/>
              </w:rPr>
              <w:t>Container:</w:t>
            </w:r>
          </w:p>
        </w:tc>
        <w:tc>
          <w:tcPr>
            <w:tcW w:w="6307" w:type="dxa"/>
            <w:gridSpan w:val="2"/>
          </w:tcPr>
          <w:p w:rsidR="00E660F2" w:rsidRPr="00487162" w:rsidRDefault="00E660F2" w:rsidP="008F0588">
            <w:r>
              <w:t>H</w:t>
            </w:r>
            <w:r w:rsidRPr="002627A1">
              <w:t xml:space="preserve">igh-density polyethylene </w:t>
            </w:r>
            <w:r>
              <w:t>bottle</w:t>
            </w:r>
          </w:p>
        </w:tc>
      </w:tr>
      <w:tr w:rsidR="00E660F2" w:rsidRPr="00487162" w:rsidTr="009F4D83">
        <w:trPr>
          <w:gridAfter w:val="1"/>
          <w:wAfter w:w="101" w:type="dxa"/>
        </w:trPr>
        <w:tc>
          <w:tcPr>
            <w:tcW w:w="2907" w:type="dxa"/>
          </w:tcPr>
          <w:p w:rsidR="00E660F2" w:rsidRPr="00487162" w:rsidRDefault="00E660F2" w:rsidP="008F0588">
            <w:pPr>
              <w:rPr>
                <w:i/>
              </w:rPr>
            </w:pPr>
            <w:r w:rsidRPr="00487162">
              <w:rPr>
                <w:i/>
              </w:rPr>
              <w:t>Pack size:</w:t>
            </w:r>
          </w:p>
        </w:tc>
        <w:tc>
          <w:tcPr>
            <w:tcW w:w="6307" w:type="dxa"/>
            <w:gridSpan w:val="2"/>
          </w:tcPr>
          <w:p w:rsidR="00E660F2" w:rsidRPr="00487162" w:rsidRDefault="00E660F2" w:rsidP="008F0588">
            <w:r>
              <w:t>120 tablets</w:t>
            </w:r>
          </w:p>
        </w:tc>
      </w:tr>
      <w:tr w:rsidR="00E660F2" w:rsidRPr="00487162" w:rsidTr="009F4D83">
        <w:trPr>
          <w:gridAfter w:val="1"/>
          <w:wAfter w:w="101" w:type="dxa"/>
        </w:trPr>
        <w:tc>
          <w:tcPr>
            <w:tcW w:w="2907" w:type="dxa"/>
          </w:tcPr>
          <w:p w:rsidR="00E660F2" w:rsidRPr="00487162" w:rsidRDefault="00E660F2" w:rsidP="008F0588">
            <w:pPr>
              <w:rPr>
                <w:i/>
              </w:rPr>
            </w:pPr>
            <w:r w:rsidRPr="00487162">
              <w:rPr>
                <w:i/>
              </w:rPr>
              <w:t xml:space="preserve">Approved </w:t>
            </w:r>
            <w:r>
              <w:rPr>
                <w:i/>
              </w:rPr>
              <w:t>t</w:t>
            </w:r>
            <w:r w:rsidRPr="00487162">
              <w:rPr>
                <w:i/>
              </w:rPr>
              <w:t>herapeutic use:</w:t>
            </w:r>
          </w:p>
        </w:tc>
        <w:tc>
          <w:tcPr>
            <w:tcW w:w="6307" w:type="dxa"/>
            <w:gridSpan w:val="2"/>
          </w:tcPr>
          <w:p w:rsidR="00E660F2" w:rsidRPr="005B1C98" w:rsidRDefault="00E660F2" w:rsidP="008F0588">
            <w:pPr>
              <w:rPr>
                <w:rFonts w:eastAsia="MS Mincho"/>
                <w:i/>
                <w:lang w:eastAsia="ja-JP"/>
              </w:rPr>
            </w:pPr>
            <w:r w:rsidRPr="005B1C98">
              <w:rPr>
                <w:i/>
              </w:rPr>
              <w:t>Erlyand/Janssen Apalutamide (apalutamide) is indicated for the treatment of patients with non-metastatic, castration-resistant prostate cancer (see section 5.1 Clinical trials.)</w:t>
            </w:r>
          </w:p>
        </w:tc>
      </w:tr>
      <w:tr w:rsidR="00E660F2" w:rsidRPr="00487162" w:rsidTr="009F4D83">
        <w:trPr>
          <w:gridAfter w:val="1"/>
          <w:wAfter w:w="101" w:type="dxa"/>
        </w:trPr>
        <w:tc>
          <w:tcPr>
            <w:tcW w:w="2907" w:type="dxa"/>
          </w:tcPr>
          <w:p w:rsidR="00E660F2" w:rsidRPr="00487162" w:rsidRDefault="00E660F2" w:rsidP="008F0588">
            <w:pPr>
              <w:rPr>
                <w:i/>
              </w:rPr>
            </w:pPr>
            <w:r w:rsidRPr="00487162">
              <w:rPr>
                <w:i/>
              </w:rPr>
              <w:t>Route of administration:</w:t>
            </w:r>
          </w:p>
        </w:tc>
        <w:tc>
          <w:tcPr>
            <w:tcW w:w="6307" w:type="dxa"/>
            <w:gridSpan w:val="2"/>
          </w:tcPr>
          <w:p w:rsidR="00E660F2" w:rsidRPr="00487162" w:rsidRDefault="00E660F2" w:rsidP="008F0588">
            <w:r>
              <w:t>Oral (PO)</w:t>
            </w:r>
          </w:p>
        </w:tc>
      </w:tr>
      <w:tr w:rsidR="00E660F2" w:rsidRPr="00487162" w:rsidTr="009F4D83">
        <w:trPr>
          <w:gridAfter w:val="1"/>
          <w:wAfter w:w="101" w:type="dxa"/>
        </w:trPr>
        <w:tc>
          <w:tcPr>
            <w:tcW w:w="2907" w:type="dxa"/>
          </w:tcPr>
          <w:p w:rsidR="00E660F2" w:rsidRPr="00487162" w:rsidRDefault="00E660F2" w:rsidP="008F0588">
            <w:pPr>
              <w:rPr>
                <w:i/>
              </w:rPr>
            </w:pPr>
            <w:r w:rsidRPr="00487162">
              <w:rPr>
                <w:i/>
              </w:rPr>
              <w:t>Dosage:</w:t>
            </w:r>
          </w:p>
        </w:tc>
        <w:tc>
          <w:tcPr>
            <w:tcW w:w="6307" w:type="dxa"/>
            <w:gridSpan w:val="2"/>
          </w:tcPr>
          <w:p w:rsidR="00E660F2" w:rsidRPr="00487162" w:rsidRDefault="00E660F2" w:rsidP="008F0588">
            <w:r>
              <w:t>The recommended dose of Erlyand is 240 mg (four 60 mg tablets) administered orally once daily.</w:t>
            </w:r>
          </w:p>
        </w:tc>
      </w:tr>
    </w:tbl>
    <w:p w:rsidR="00E660F2" w:rsidRDefault="00E660F2" w:rsidP="008F0588">
      <w:pPr>
        <w:pStyle w:val="Heading3"/>
        <w:pageBreakBefore/>
      </w:pPr>
      <w:bookmarkStart w:id="16" w:name="_Toc523915047"/>
      <w:bookmarkStart w:id="17" w:name="_Toc247691503"/>
      <w:bookmarkStart w:id="18" w:name="_Toc314842484"/>
      <w:bookmarkStart w:id="19" w:name="_Toc5014047"/>
      <w:r>
        <w:lastRenderedPageBreak/>
        <w:t>Submission and evaluation background</w:t>
      </w:r>
      <w:bookmarkEnd w:id="16"/>
      <w:bookmarkEnd w:id="19"/>
    </w:p>
    <w:p w:rsidR="00E660F2" w:rsidRDefault="00E660F2" w:rsidP="00E660F2">
      <w:r>
        <w:t>Apalutamide (Erlyand) is the first medicine to be registered on the Australian Register of Therapeutic Goods (ARTG) that has been evaluated under the Australia-Canada-Singapore-Switzerland (ACSS) Consortium's New Chemical Entities (NCE) Work Sharing pilot.</w:t>
      </w:r>
      <w:r>
        <w:rPr>
          <w:rStyle w:val="FootnoteReference"/>
        </w:rPr>
        <w:footnoteReference w:id="1"/>
      </w:r>
      <w:r>
        <w:t xml:space="preserve"> The review also utilised TGA's new Priority review pathway.</w:t>
      </w:r>
      <w:r>
        <w:rPr>
          <w:rStyle w:val="FootnoteReference"/>
        </w:rPr>
        <w:footnoteReference w:id="2"/>
      </w:r>
    </w:p>
    <w:p w:rsidR="00E660F2" w:rsidRDefault="00E660F2" w:rsidP="00E660F2">
      <w:r w:rsidRPr="0031695D">
        <w:t>Efficiencies were achieved through the work-sharing of the evaluation between Health Canada and the TGA, with each regulator taking a lead in the evaluation of different parts of the regulatory submission dossier. This joint assessment focussed only on the evaluation phase, with each regulator making an independent decision regarding market authorisation.</w:t>
      </w:r>
      <w:r w:rsidRPr="003918F2">
        <w:t xml:space="preserve"> </w:t>
      </w:r>
      <w:r w:rsidRPr="0031695D">
        <w:t>For more information on this Work Sharing pilot please see</w:t>
      </w:r>
      <w:r>
        <w:t xml:space="preserve"> the</w:t>
      </w:r>
      <w:r w:rsidRPr="0031695D">
        <w:t xml:space="preserve"> </w:t>
      </w:r>
      <w:r>
        <w:t>TGA website</w:t>
      </w:r>
      <w:r w:rsidRPr="0031695D">
        <w:t>.</w:t>
      </w:r>
      <w:r w:rsidRPr="0031695D">
        <w:rPr>
          <w:rStyle w:val="FootnoteReference"/>
        </w:rPr>
        <w:footnoteReference w:id="3"/>
      </w:r>
    </w:p>
    <w:p w:rsidR="00E660F2" w:rsidRPr="0031695D" w:rsidRDefault="00E660F2" w:rsidP="00E660F2">
      <w:r>
        <w:t>This AusPAR is</w:t>
      </w:r>
      <w:r w:rsidRPr="0031695D">
        <w:t xml:space="preserve"> </w:t>
      </w:r>
      <w:r>
        <w:t xml:space="preserve">the </w:t>
      </w:r>
      <w:r w:rsidRPr="0031695D">
        <w:t>TGA</w:t>
      </w:r>
      <w:r>
        <w:t>’s</w:t>
      </w:r>
      <w:r w:rsidRPr="0031695D">
        <w:t xml:space="preserve"> summary of </w:t>
      </w:r>
      <w:r>
        <w:t xml:space="preserve">the </w:t>
      </w:r>
      <w:r w:rsidRPr="0031695D">
        <w:t>evaluation</w:t>
      </w:r>
      <w:r>
        <w:t>s that led to the TGA’s decision to approve the registration of Erlyand.</w:t>
      </w:r>
    </w:p>
    <w:p w:rsidR="00E660F2" w:rsidRDefault="00E660F2" w:rsidP="00E660F2">
      <w:r w:rsidRPr="0031695D">
        <w:t>Apalutamide will be sold under the name Erlyand in Australia and Erleada in Canada, and is indicated for t</w:t>
      </w:r>
      <w:r>
        <w:t>he treatment of prostate cancer</w:t>
      </w:r>
      <w:r w:rsidRPr="0031695D">
        <w:t>.</w:t>
      </w:r>
    </w:p>
    <w:p w:rsidR="00E660F2" w:rsidRPr="0031695D" w:rsidRDefault="00E660F2" w:rsidP="00E660F2">
      <w:pPr>
        <w:pStyle w:val="Heading3"/>
      </w:pPr>
      <w:bookmarkStart w:id="20" w:name="_Toc523915048"/>
      <w:bookmarkStart w:id="21" w:name="_Toc5014048"/>
      <w:r w:rsidRPr="0031695D">
        <w:t>Product background</w:t>
      </w:r>
      <w:bookmarkEnd w:id="17"/>
      <w:bookmarkEnd w:id="18"/>
      <w:bookmarkEnd w:id="20"/>
      <w:bookmarkEnd w:id="21"/>
    </w:p>
    <w:p w:rsidR="00E660F2" w:rsidRPr="0031695D" w:rsidRDefault="00E660F2" w:rsidP="00E660F2">
      <w:r w:rsidRPr="0031695D">
        <w:t>This AusPAR describes the application by the sponsor to register a new chemical entity, apalutamide in Australia. It is proposed to be used for the treatment of patients with castration-resistant prostate cancer at risk of developing metastases. The proposed dosing regimen involves oral administration of 240 mg once daily.</w:t>
      </w:r>
    </w:p>
    <w:p w:rsidR="00E660F2" w:rsidRDefault="00E660F2" w:rsidP="00E660F2">
      <w:r>
        <w:t>Apalutamide is stated to be a second generation</w:t>
      </w:r>
      <w:r>
        <w:rPr>
          <w:lang w:val="en-CA"/>
        </w:rPr>
        <w:t>/</w:t>
      </w:r>
      <w:r w:rsidRPr="001B4217">
        <w:rPr>
          <w:lang w:val="en-CA"/>
        </w:rPr>
        <w:t>next generation</w:t>
      </w:r>
      <w:r>
        <w:t>, orally bioavailable, androgen receptor (AR) inhibitor which inhibits AR nuclear translocation and binding to androgen response elements, resulting in the inhibition of downstream transcription of AR regulated genes.</w:t>
      </w:r>
      <w:r w:rsidRPr="00C3729C">
        <w:rPr>
          <w:lang w:val="en-CA"/>
        </w:rPr>
        <w:t xml:space="preserve"> </w:t>
      </w:r>
      <w:r w:rsidRPr="001B4217">
        <w:rPr>
          <w:lang w:val="en-CA"/>
        </w:rPr>
        <w:t>Unlike first</w:t>
      </w:r>
      <w:r>
        <w:rPr>
          <w:lang w:val="en-CA"/>
        </w:rPr>
        <w:t xml:space="preserve"> </w:t>
      </w:r>
      <w:r w:rsidRPr="001B4217">
        <w:rPr>
          <w:lang w:val="en-CA"/>
        </w:rPr>
        <w:t>generation anti</w:t>
      </w:r>
      <w:r>
        <w:rPr>
          <w:lang w:val="en-CA"/>
        </w:rPr>
        <w:t>-</w:t>
      </w:r>
      <w:r w:rsidRPr="001B4217">
        <w:rPr>
          <w:lang w:val="en-CA"/>
        </w:rPr>
        <w:t>androgens</w:t>
      </w:r>
      <w:r>
        <w:rPr>
          <w:lang w:val="en-CA"/>
        </w:rPr>
        <w:t>, which</w:t>
      </w:r>
      <w:r w:rsidRPr="001B4217">
        <w:rPr>
          <w:lang w:val="en-CA"/>
        </w:rPr>
        <w:t xml:space="preserve"> have relatively low AR binding affinity and may exhibit partial agonist activity</w:t>
      </w:r>
      <w:r>
        <w:rPr>
          <w:lang w:val="en-CA"/>
        </w:rPr>
        <w:t xml:space="preserve"> </w:t>
      </w:r>
      <w:r w:rsidRPr="001B4217">
        <w:rPr>
          <w:lang w:val="en-CA"/>
        </w:rPr>
        <w:t>for the wild-type AR, apalutamide is a selective antagonist of the AR without</w:t>
      </w:r>
      <w:r>
        <w:rPr>
          <w:lang w:val="en-CA"/>
        </w:rPr>
        <w:t xml:space="preserve"> </w:t>
      </w:r>
      <w:r w:rsidRPr="001B4217">
        <w:rPr>
          <w:lang w:val="en-CA"/>
        </w:rPr>
        <w:t>significant agonist properties</w:t>
      </w:r>
      <w:r>
        <w:rPr>
          <w:lang w:val="en-CA"/>
        </w:rPr>
        <w:t>;</w:t>
      </w:r>
      <w:r w:rsidRPr="00414861">
        <w:t xml:space="preserve"> </w:t>
      </w:r>
      <w:r>
        <w:t xml:space="preserve">apalutamide </w:t>
      </w:r>
      <w:r w:rsidRPr="00E7650B">
        <w:t>lacks androgen receptor agonist activity in preclinical studies. A major metabolite, N</w:t>
      </w:r>
      <w:r>
        <w:noBreakHyphen/>
      </w:r>
      <w:r w:rsidRPr="00E7650B">
        <w:t>desmethyl apalutamide, exhibited one</w:t>
      </w:r>
      <w:r>
        <w:t xml:space="preserve"> </w:t>
      </w:r>
      <w:r w:rsidRPr="00E7650B">
        <w:t>third the in vitro</w:t>
      </w:r>
      <w:r>
        <w:t xml:space="preserve"> </w:t>
      </w:r>
      <w:r w:rsidRPr="00E7650B">
        <w:t>activity of apalutamide in an in vitro transcriptional reporter assay.</w:t>
      </w:r>
    </w:p>
    <w:p w:rsidR="00E660F2" w:rsidRDefault="00E660F2" w:rsidP="00E660F2">
      <w:pPr>
        <w:rPr>
          <w:lang w:val="en-CA"/>
        </w:rPr>
      </w:pPr>
      <w:r>
        <w:rPr>
          <w:lang w:val="en-CA"/>
        </w:rPr>
        <w:t xml:space="preserve">Increased AR gene expression in </w:t>
      </w:r>
      <w:r>
        <w:t>castration-resistant prostate cancer (</w:t>
      </w:r>
      <w:r>
        <w:rPr>
          <w:lang w:val="en-CA"/>
        </w:rPr>
        <w:t>CRPC) may occur by gene amplification or other mechanisms, such as selective enhancement of receptor activity by coactivator proteins to alternative ligands, increased receptor sensitivity to lower concentrations of native and non-native ligands, ligand independent activation by receptor tyrosine kinases, decreased expression of corepressors or changes in the coactivator to corepressor ratio. Increased AR levels result in resistance to a</w:t>
      </w:r>
      <w:r w:rsidRPr="006515C9">
        <w:rPr>
          <w:rFonts w:eastAsiaTheme="minorHAnsi" w:cs="–MÉ_ˇ"/>
          <w:lang w:val="en-US"/>
        </w:rPr>
        <w:t xml:space="preserve">ndrogen </w:t>
      </w:r>
      <w:r w:rsidRPr="006515C9">
        <w:rPr>
          <w:rFonts w:eastAsiaTheme="minorHAnsi" w:cs="–MÉ_ˇ"/>
          <w:lang w:val="en-US"/>
        </w:rPr>
        <w:lastRenderedPageBreak/>
        <w:t>deprivation therapy</w:t>
      </w:r>
      <w:r>
        <w:rPr>
          <w:lang w:val="en-CA"/>
        </w:rPr>
        <w:t xml:space="preserve"> (ADT);</w:t>
      </w:r>
      <w:r>
        <w:rPr>
          <w:rStyle w:val="FootnoteReference"/>
          <w:lang w:val="en-CA"/>
        </w:rPr>
        <w:footnoteReference w:id="4"/>
      </w:r>
      <w:r>
        <w:rPr>
          <w:lang w:val="en-CA"/>
        </w:rPr>
        <w:t xml:space="preserve"> and confer agonist properties to first generation AR antagonists (for example, bicalutamide and flutamide).</w:t>
      </w:r>
    </w:p>
    <w:p w:rsidR="00E660F2" w:rsidRDefault="00E660F2" w:rsidP="00E660F2">
      <w:r>
        <w:t>CRPC is defined as disease progression despite ADT and may present as non</w:t>
      </w:r>
      <w:r>
        <w:noBreakHyphen/>
        <w:t>metastatic castration</w:t>
      </w:r>
      <w:r>
        <w:noBreakHyphen/>
        <w:t>resistant prostate cancer (NM-CRPC) cancer, associated with a</w:t>
      </w:r>
      <w:r w:rsidR="00C31962">
        <w:t xml:space="preserve"> </w:t>
      </w:r>
      <w:r>
        <w:t xml:space="preserve">continuous rise in </w:t>
      </w:r>
      <w:r w:rsidRPr="006B779F">
        <w:t xml:space="preserve">prostate-specific antigen </w:t>
      </w:r>
      <w:r>
        <w:t>(PSA) levels with no detectable metastases; the progression of pre-existing disease; and/or the appearance of new metastases. Thus, it represents a spectrum of disease ranging from asymptomatic patients without metastases following initial definitive or salvage therapy but with rising PSA levels despite ADT, to those with metastases and significant debilitation due to cancer symptoms. A rise in PSA levels (biochemical failure) is defined by the American Urologic Association as a PSA measurement of &gt; 0.2 ng/mL post-prostatectomy, confirmed with a second sample.</w:t>
      </w:r>
      <w:r>
        <w:rPr>
          <w:rStyle w:val="FootnoteReference"/>
        </w:rPr>
        <w:footnoteReference w:id="5"/>
      </w:r>
      <w:r>
        <w:t xml:space="preserve"> For patients whose initial definitive treatment is radiation therapy, PSA only recurrence is defined by the American Society for Radiation Oncology (ASTRO), as a PSA rise of ≥2 ng/mL above the PSA nadir, regardless of whether any ADT therapy was received.</w:t>
      </w:r>
      <w:r>
        <w:rPr>
          <w:rStyle w:val="FootnoteReference"/>
        </w:rPr>
        <w:footnoteReference w:id="6"/>
      </w:r>
    </w:p>
    <w:p w:rsidR="00E660F2" w:rsidRDefault="00E660F2" w:rsidP="00E660F2">
      <w:r w:rsidRPr="003E5D94">
        <w:t>Prostate cancer is a heterogeneous disease and the median time to onset of metastases after a rising PSA (biochemical failure) post-prostatectomy, has been reported as 10 years by Antonorakis et al (2012).</w:t>
      </w:r>
      <w:r w:rsidRPr="003E5D94">
        <w:rPr>
          <w:rStyle w:val="FootnoteReference"/>
        </w:rPr>
        <w:footnoteReference w:id="7"/>
      </w:r>
      <w:r w:rsidRPr="003E5D94">
        <w:t xml:space="preserve"> </w:t>
      </w:r>
      <w:r>
        <w:t>I</w:t>
      </w:r>
      <w:r w:rsidRPr="003E5D94">
        <w:t>t was reported that shorter PSA doubling time (PSADT) and higher Gleason score</w:t>
      </w:r>
      <w:r>
        <w:t>;</w:t>
      </w:r>
      <w:r>
        <w:rPr>
          <w:rStyle w:val="FootnoteReference"/>
        </w:rPr>
        <w:footnoteReference w:id="8"/>
      </w:r>
      <w:r>
        <w:t xml:space="preserve"> from the prostatectomy specimen, stratified patients into different risk groups for relapse. In a retrospective study examining risk factors following PSA only recurrence after prostatectomy and prostate cancer-specific deaths reported by Freedland et al.;</w:t>
      </w:r>
      <w:r>
        <w:rPr>
          <w:rStyle w:val="FootnoteReference"/>
        </w:rPr>
        <w:footnoteReference w:id="9"/>
      </w:r>
      <w:r>
        <w:t xml:space="preserve"> a PSADT &lt; 3 months identified those at greatest risk of prostate cancer specific death but the population identified using this cut-off accounted for only a small proportion (13%) of all prostate cancer-related deaths at 15 years. In comparison, those with a PSADT ranked as ‘intermediate’ (3.0 to 8.9 months) accounted for 58% of all prostate cancer-specific deaths. Those with a PSADT&lt;15 months, accounted for 90% of all prostate cancer specific deaths and those with a longer PSADT had a greater risk of dying from other causes. The Stephenson nomogram and decision tree, a predictive tool for response to salvage radiation therapy after relapse post-radical prostatectomy in patients with rising PSA, utilises a PSADT threshold of 10 months;</w:t>
      </w:r>
      <w:r>
        <w:rPr>
          <w:rStyle w:val="FootnoteReference"/>
        </w:rPr>
        <w:footnoteReference w:id="10"/>
      </w:r>
      <w:r>
        <w:t xml:space="preserve"> the basis for defining those at high risk in the clinical trials submitted in this application.</w:t>
      </w:r>
    </w:p>
    <w:p w:rsidR="00E660F2" w:rsidRDefault="00E660F2" w:rsidP="00E660F2">
      <w:r>
        <w:t xml:space="preserve">Note is made in the sponsor’s Clinical Overview that men with a PSADT of ≤10 months are at the highest risk for developing imminent metastatic disease and there are recommendations in the National Comprehensive Cancer Network (NCCN) Guidelines for increased surveillance in this population, although metastases are rarely detected </w:t>
      </w:r>
      <w:r>
        <w:lastRenderedPageBreak/>
        <w:t>routinely in patients who are asymptomatic and have a PSADT≤8 months. The aim of early intervention with therapy in this group, however, is to delay the onset of such metastases given this population has a very poor prognosis.</w:t>
      </w:r>
    </w:p>
    <w:p w:rsidR="00E660F2" w:rsidRDefault="00E660F2" w:rsidP="00E660F2">
      <w:r>
        <w:t>Based on a literature review, the following additional prognostic factors were considered by Nguyen et al.;</w:t>
      </w:r>
      <w:r>
        <w:rPr>
          <w:rStyle w:val="FootnoteReference"/>
        </w:rPr>
        <w:footnoteReference w:id="11"/>
      </w:r>
      <w:r>
        <w:t xml:space="preserve"> to be strongly predictive by univariate or multivariate analysis for prostate cancer-specific survival, metastasis-free survival and/or overall survival following biochemical failure: time to biochemical failure and pathological Gleason score at the time of definitive initial therapy. In particular, detection of a short time to biochemical failure might identify patients not otherwise considered as being at high risk and/or who therefore have not had the regular PSA measurements or longer follow-up necessary to measure a PSADT &lt;10 months. </w:t>
      </w:r>
    </w:p>
    <w:p w:rsidR="00E660F2" w:rsidRDefault="00E660F2" w:rsidP="00E660F2">
      <w:r>
        <w:t>At the time of initiating this clinical development program, active treatment at this disease stage was considered controversial due to the highly variable time to relapse and concerns about over treating those with more indolent disease, particularly in an older population with comorbidities, balanced against the risk of undertreating a population with a very high likelihood of developing metastases and poor prognosis.</w:t>
      </w:r>
    </w:p>
    <w:p w:rsidR="00E660F2" w:rsidRDefault="00E660F2" w:rsidP="00E660F2">
      <w:r>
        <w:t>Since the pivotal trial supporting this application (the ‘SPARTAN’ trial, also referred to as Study ARN 509-003) was approved by the FDA, the NCCN Guidelines Version 2.2018 now include the option of treatment with apalutamide for men with NM-CRPC and a PSADT ≤ 10 months, after a discussion of the risks and benefits.</w:t>
      </w:r>
    </w:p>
    <w:p w:rsidR="00E660F2" w:rsidRPr="00265933" w:rsidRDefault="00E660F2" w:rsidP="00E660F2">
      <w:pPr>
        <w:pStyle w:val="Heading4"/>
      </w:pPr>
      <w:r>
        <w:t>Current treatment options</w:t>
      </w:r>
    </w:p>
    <w:p w:rsidR="00E660F2" w:rsidRDefault="00E660F2" w:rsidP="00E660F2">
      <w:r>
        <w:t>Currently there are no approved therapies for use in patients with NM-CRPC with a rising PSA but no evidence of distant metastases.</w:t>
      </w:r>
    </w:p>
    <w:p w:rsidR="00E660F2" w:rsidRDefault="00E660F2" w:rsidP="00E660F2">
      <w:r>
        <w:t>The management of all patients with CRPC, including those without detectable metastases, follows the same treatment algorithm aiming to prolong survival, minimise complications and maintain quality of life. Given the highly variable prognosis for patients with PSA only recurrence, initiating early treatment based on a rising PSA has been controversial and careful selection of patients is required to avoid overtreatment and the associated risks of any early therapy.</w:t>
      </w:r>
    </w:p>
    <w:p w:rsidR="00E660F2" w:rsidRDefault="00E660F2" w:rsidP="00E660F2">
      <w:r>
        <w:t>While there are several therapeutic agents approved for the treatment of metastatic CRPC in Australia, there are no approved therapies for NM-CRPC. Given the high risk of development of metastases in this population, the clinical rationale is to delay the onset of metastatic disease with its associated morbidity and mortality. An effective and tolerable treatment for such patients represents an area of unmet need.</w:t>
      </w:r>
    </w:p>
    <w:p w:rsidR="00E660F2" w:rsidRDefault="00E660F2" w:rsidP="00E660F2">
      <w:pPr>
        <w:pStyle w:val="Heading3"/>
      </w:pPr>
      <w:bookmarkStart w:id="22" w:name="_Toc314842485"/>
      <w:bookmarkStart w:id="23" w:name="_Toc247691504"/>
      <w:bookmarkStart w:id="24" w:name="_Toc523915049"/>
      <w:bookmarkStart w:id="25" w:name="_Toc5014049"/>
      <w:r>
        <w:t>Regulatory status</w:t>
      </w:r>
      <w:bookmarkEnd w:id="22"/>
      <w:bookmarkEnd w:id="23"/>
      <w:bookmarkEnd w:id="24"/>
      <w:bookmarkEnd w:id="25"/>
    </w:p>
    <w:p w:rsidR="00E660F2" w:rsidRPr="003F2047" w:rsidRDefault="00E660F2" w:rsidP="00E660F2">
      <w:pPr>
        <w:pStyle w:val="Heading4"/>
      </w:pPr>
      <w:r>
        <w:t>Australian regulatory history</w:t>
      </w:r>
    </w:p>
    <w:p w:rsidR="00E660F2" w:rsidRPr="008C6905" w:rsidRDefault="00E660F2" w:rsidP="00E660F2">
      <w:bookmarkStart w:id="26" w:name="_Toc247691505"/>
      <w:bookmarkStart w:id="27" w:name="_Toc314842486"/>
      <w:r w:rsidRPr="00887671">
        <w:t>This is a</w:t>
      </w:r>
      <w:r>
        <w:t>n application for a new chemical entity</w:t>
      </w:r>
      <w:r w:rsidRPr="00887671">
        <w:t xml:space="preserve"> </w:t>
      </w:r>
      <w:r>
        <w:t>and therefore</w:t>
      </w:r>
      <w:r w:rsidRPr="00887671">
        <w:t xml:space="preserve"> there is </w:t>
      </w:r>
      <w:r>
        <w:t xml:space="preserve">no </w:t>
      </w:r>
      <w:r w:rsidRPr="00887671">
        <w:t xml:space="preserve">prior </w:t>
      </w:r>
      <w:r w:rsidRPr="00CC21E2">
        <w:rPr>
          <w:bCs/>
        </w:rPr>
        <w:t>Australian</w:t>
      </w:r>
      <w:r>
        <w:rPr>
          <w:b/>
          <w:bCs/>
        </w:rPr>
        <w:t xml:space="preserve"> </w:t>
      </w:r>
      <w:r w:rsidRPr="00887671">
        <w:t>regulatory history</w:t>
      </w:r>
      <w:r>
        <w:t>.</w:t>
      </w:r>
    </w:p>
    <w:p w:rsidR="00E660F2" w:rsidRPr="008C6905" w:rsidRDefault="00E660F2" w:rsidP="00E660F2">
      <w:r w:rsidRPr="008C6905">
        <w:t>On the 17 January 2018, the TGA granted this application for apalutamide a Priority Review Designation.</w:t>
      </w:r>
    </w:p>
    <w:p w:rsidR="00E660F2" w:rsidRPr="00353927" w:rsidRDefault="00E660F2" w:rsidP="00E660F2">
      <w:pPr>
        <w:pStyle w:val="Heading4"/>
      </w:pPr>
      <w:r w:rsidRPr="001D2FF3">
        <w:lastRenderedPageBreak/>
        <w:t>International regulatory history</w:t>
      </w:r>
    </w:p>
    <w:p w:rsidR="00E660F2" w:rsidRPr="008C6905" w:rsidRDefault="00E660F2" w:rsidP="00E660F2">
      <w:r w:rsidRPr="008C6905">
        <w:t>On 14 February 2018, the FDA approved apalutamide for the following indication (as taken from the US label):</w:t>
      </w:r>
    </w:p>
    <w:p w:rsidR="00E660F2" w:rsidRPr="002575DB" w:rsidRDefault="00E660F2" w:rsidP="00E660F2">
      <w:pPr>
        <w:ind w:left="720"/>
      </w:pPr>
      <w:r w:rsidRPr="002575DB">
        <w:t>‘Erleada is an androgen receptor inhibitor indicated for the treatment of patients with non-metastatic castration-resistant prostate cancer.’</w:t>
      </w:r>
    </w:p>
    <w:p w:rsidR="00E660F2" w:rsidRPr="00887671" w:rsidRDefault="00E660F2" w:rsidP="00E660F2">
      <w:r w:rsidRPr="008C6905">
        <w:t xml:space="preserve">The sponsor states that the data packages submitted </w:t>
      </w:r>
      <w:r w:rsidRPr="001A62E4">
        <w:t>in Australia, Canada, European</w:t>
      </w:r>
      <w:r w:rsidRPr="004048C2">
        <w:t xml:space="preserve"> Union</w:t>
      </w:r>
      <w:r w:rsidRPr="008C6905">
        <w:t xml:space="preserve"> (EU) (Centralised Procedure) and the USA are the same apart from those minor differences due to local regulatory agency administrative</w:t>
      </w:r>
      <w:r w:rsidRPr="00887671">
        <w:t xml:space="preserve"> requirements.</w:t>
      </w:r>
    </w:p>
    <w:p w:rsidR="00E660F2" w:rsidRPr="00C10DEB" w:rsidRDefault="00E660F2" w:rsidP="00E660F2">
      <w:pPr>
        <w:pStyle w:val="Heading5"/>
      </w:pPr>
      <w:r w:rsidRPr="00C10DEB">
        <w:t>Canada</w:t>
      </w:r>
    </w:p>
    <w:p w:rsidR="00E660F2" w:rsidRPr="00C10DEB" w:rsidRDefault="00E660F2" w:rsidP="00E660F2">
      <w:r w:rsidRPr="00C10DEB">
        <w:t>Apalutamide will be sold under the name Erleada in Canada.</w:t>
      </w:r>
    </w:p>
    <w:p w:rsidR="00E660F2" w:rsidRDefault="00E660F2" w:rsidP="00E660F2">
      <w:pPr>
        <w:rPr>
          <w:lang w:val="en-CA"/>
        </w:rPr>
      </w:pPr>
      <w:r w:rsidRPr="00C10DEB">
        <w:rPr>
          <w:lang w:val="en-CA"/>
        </w:rPr>
        <w:t xml:space="preserve">The indication </w:t>
      </w:r>
      <w:r>
        <w:rPr>
          <w:lang w:val="en-CA"/>
        </w:rPr>
        <w:t xml:space="preserve">proposed </w:t>
      </w:r>
      <w:r w:rsidRPr="00C10DEB">
        <w:rPr>
          <w:lang w:val="en-CA"/>
        </w:rPr>
        <w:t>for apalutamide in Canada is</w:t>
      </w:r>
      <w:r>
        <w:rPr>
          <w:lang w:val="en-CA"/>
        </w:rPr>
        <w:t>:</w:t>
      </w:r>
    </w:p>
    <w:p w:rsidR="00E660F2" w:rsidRDefault="00E660F2" w:rsidP="00E660F2">
      <w:pPr>
        <w:ind w:left="720"/>
        <w:rPr>
          <w:b/>
          <w:bCs/>
        </w:rPr>
      </w:pPr>
      <w:r>
        <w:rPr>
          <w:lang w:val="en-CA"/>
        </w:rPr>
        <w:t>‘</w:t>
      </w:r>
      <w:r w:rsidR="0098156E">
        <w:rPr>
          <w:i/>
          <w:lang w:val="en-CA"/>
        </w:rPr>
        <w:t>F</w:t>
      </w:r>
      <w:r w:rsidRPr="002F06F7">
        <w:rPr>
          <w:i/>
          <w:lang w:val="en-CA"/>
        </w:rPr>
        <w:t xml:space="preserve">or the treatment of patients with castration-resistant prostate cancer who have no detectable distant metastases by either </w:t>
      </w:r>
      <w:r w:rsidRPr="002F06F7">
        <w:rPr>
          <w:rFonts w:eastAsiaTheme="minorHAnsi" w:cs="–MÉ_ˇ"/>
          <w:i/>
          <w:lang w:val="en-US"/>
        </w:rPr>
        <w:t>Computed tomography</w:t>
      </w:r>
      <w:r w:rsidRPr="002F06F7">
        <w:rPr>
          <w:i/>
          <w:lang w:val="en-CA"/>
        </w:rPr>
        <w:t xml:space="preserve"> (CT) scan, MRI or technetium-99m bone scan</w:t>
      </w:r>
      <w:r w:rsidRPr="00C10DEB">
        <w:rPr>
          <w:rFonts w:ascii="Arial" w:hAnsi="Arial" w:cs="Arial"/>
          <w:lang w:val="en-CA"/>
        </w:rPr>
        <w:t>.</w:t>
      </w:r>
      <w:r>
        <w:rPr>
          <w:rFonts w:ascii="Arial" w:hAnsi="Arial" w:cs="Arial"/>
          <w:lang w:val="en-CA"/>
        </w:rPr>
        <w:t>’</w:t>
      </w:r>
    </w:p>
    <w:p w:rsidR="00E660F2" w:rsidRDefault="00E660F2" w:rsidP="00E660F2">
      <w:pPr>
        <w:pStyle w:val="Heading3"/>
      </w:pPr>
      <w:bookmarkStart w:id="28" w:name="_Toc523915050"/>
      <w:bookmarkStart w:id="29" w:name="_Toc5014050"/>
      <w:r>
        <w:t>Product Information</w:t>
      </w:r>
      <w:bookmarkEnd w:id="26"/>
      <w:bookmarkEnd w:id="27"/>
      <w:bookmarkEnd w:id="28"/>
      <w:bookmarkEnd w:id="29"/>
    </w:p>
    <w:p w:rsidR="00E660F2" w:rsidRDefault="00E660F2" w:rsidP="00E660F2">
      <w:bookmarkStart w:id="30" w:name="_Toc247691506"/>
      <w:bookmarkStart w:id="31"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&lt;</w:t>
      </w:r>
      <w:hyperlink r:id="rId14" w:history="1">
        <w:r w:rsidRPr="00441C3F">
          <w:rPr>
            <w:rStyle w:val="Hyperlink"/>
          </w:rPr>
          <w:t>https://www.tga.gov.au/product-information-pi</w:t>
        </w:r>
      </w:hyperlink>
      <w:r>
        <w:t>&gt;</w:t>
      </w:r>
      <w:r w:rsidRPr="00940A89">
        <w:t>.</w:t>
      </w:r>
    </w:p>
    <w:p w:rsidR="00E660F2" w:rsidRDefault="00E660F2" w:rsidP="00E660F2">
      <w:pPr>
        <w:pStyle w:val="Heading2"/>
      </w:pPr>
      <w:bookmarkStart w:id="32" w:name="_Toc504480011"/>
      <w:bookmarkStart w:id="33" w:name="_Toc523915051"/>
      <w:bookmarkStart w:id="34" w:name="_Toc5014051"/>
      <w:r>
        <w:t>II. Registration time line</w:t>
      </w:r>
      <w:bookmarkEnd w:id="32"/>
      <w:bookmarkEnd w:id="33"/>
      <w:bookmarkEnd w:id="34"/>
    </w:p>
    <w:p w:rsidR="00E660F2" w:rsidRDefault="00E660F2" w:rsidP="00E660F2">
      <w:r>
        <w:t>The following table captures the key steps and dates for this Priority review application and which are detailed and discussed in this AusPAR.</w:t>
      </w:r>
    </w:p>
    <w:tbl>
      <w:tblPr>
        <w:tblStyle w:val="TableTGAblue"/>
        <w:tblW w:w="0" w:type="auto"/>
        <w:tblLook w:val="04A0" w:firstRow="1" w:lastRow="0" w:firstColumn="1" w:lastColumn="0" w:noHBand="0" w:noVBand="1"/>
      </w:tblPr>
      <w:tblGrid>
        <w:gridCol w:w="4360"/>
        <w:gridCol w:w="4360"/>
      </w:tblGrid>
      <w:tr w:rsidR="00E660F2" w:rsidRPr="008F0588" w:rsidTr="008F0588">
        <w:trPr>
          <w:cnfStyle w:val="100000000000" w:firstRow="1" w:lastRow="0" w:firstColumn="0" w:lastColumn="0" w:oddVBand="0" w:evenVBand="0" w:oddHBand="0" w:evenHBand="0" w:firstRowFirstColumn="0" w:firstRowLastColumn="0" w:lastRowFirstColumn="0" w:lastRowLastColumn="0"/>
          <w:cantSplit/>
        </w:trPr>
        <w:tc>
          <w:tcPr>
            <w:tcW w:w="4360" w:type="dxa"/>
          </w:tcPr>
          <w:p w:rsidR="00E660F2" w:rsidRPr="008F0588" w:rsidRDefault="00E660F2" w:rsidP="008F0588">
            <w:pPr>
              <w:ind w:left="0" w:right="0"/>
              <w:rPr>
                <w:sz w:val="20"/>
                <w:szCs w:val="20"/>
              </w:rPr>
            </w:pPr>
            <w:r w:rsidRPr="008F0588">
              <w:rPr>
                <w:sz w:val="20"/>
                <w:szCs w:val="20"/>
              </w:rPr>
              <w:t>Description</w:t>
            </w:r>
          </w:p>
        </w:tc>
        <w:tc>
          <w:tcPr>
            <w:tcW w:w="4360" w:type="dxa"/>
          </w:tcPr>
          <w:p w:rsidR="00E660F2" w:rsidRPr="008F0588" w:rsidRDefault="00E660F2" w:rsidP="008F0588">
            <w:pPr>
              <w:ind w:left="0" w:right="0"/>
              <w:rPr>
                <w:sz w:val="20"/>
                <w:szCs w:val="20"/>
              </w:rPr>
            </w:pPr>
            <w:r w:rsidRPr="008F0588">
              <w:rPr>
                <w:sz w:val="20"/>
                <w:szCs w:val="20"/>
              </w:rPr>
              <w:t>Date</w:t>
            </w:r>
          </w:p>
        </w:tc>
      </w:tr>
      <w:tr w:rsidR="00E660F2" w:rsidRPr="008F0588" w:rsidTr="008F0588">
        <w:tc>
          <w:tcPr>
            <w:tcW w:w="4360" w:type="dxa"/>
          </w:tcPr>
          <w:p w:rsidR="00E660F2" w:rsidRPr="008F0588" w:rsidRDefault="00E660F2" w:rsidP="008F0588">
            <w:pPr>
              <w:ind w:left="0" w:right="0"/>
              <w:rPr>
                <w:sz w:val="20"/>
                <w:szCs w:val="20"/>
              </w:rPr>
            </w:pPr>
            <w:r w:rsidRPr="008F0588">
              <w:rPr>
                <w:sz w:val="20"/>
                <w:szCs w:val="20"/>
              </w:rPr>
              <w:t>Positive Priority Review Designation</w:t>
            </w:r>
          </w:p>
        </w:tc>
        <w:tc>
          <w:tcPr>
            <w:tcW w:w="4360" w:type="dxa"/>
          </w:tcPr>
          <w:p w:rsidR="00E660F2" w:rsidRPr="008F0588" w:rsidRDefault="00E660F2" w:rsidP="008F0588">
            <w:pPr>
              <w:ind w:left="176" w:right="0"/>
              <w:rPr>
                <w:sz w:val="20"/>
                <w:szCs w:val="20"/>
              </w:rPr>
            </w:pPr>
            <w:r w:rsidRPr="008F0588">
              <w:rPr>
                <w:sz w:val="20"/>
                <w:szCs w:val="20"/>
              </w:rPr>
              <w:t>17 January 2018</w:t>
            </w:r>
          </w:p>
        </w:tc>
      </w:tr>
      <w:tr w:rsidR="00E660F2" w:rsidRPr="008F0588" w:rsidTr="008F0588">
        <w:tc>
          <w:tcPr>
            <w:tcW w:w="4360" w:type="dxa"/>
          </w:tcPr>
          <w:p w:rsidR="00E660F2" w:rsidRPr="008F0588" w:rsidRDefault="00E660F2" w:rsidP="008F0588">
            <w:pPr>
              <w:ind w:left="0" w:right="0"/>
              <w:rPr>
                <w:sz w:val="20"/>
                <w:szCs w:val="20"/>
              </w:rPr>
            </w:pPr>
            <w:r w:rsidRPr="008F0588">
              <w:rPr>
                <w:sz w:val="20"/>
                <w:szCs w:val="20"/>
              </w:rPr>
              <w:t>Submission dossier accepted and first round evaluation commenced</w:t>
            </w:r>
          </w:p>
        </w:tc>
        <w:tc>
          <w:tcPr>
            <w:tcW w:w="4360" w:type="dxa"/>
          </w:tcPr>
          <w:p w:rsidR="00E660F2" w:rsidRPr="008F0588" w:rsidRDefault="00E660F2" w:rsidP="008F0588">
            <w:pPr>
              <w:ind w:left="176" w:right="0"/>
              <w:rPr>
                <w:sz w:val="20"/>
                <w:szCs w:val="20"/>
              </w:rPr>
            </w:pPr>
            <w:r w:rsidRPr="008F0588">
              <w:rPr>
                <w:sz w:val="20"/>
                <w:szCs w:val="20"/>
              </w:rPr>
              <w:t>7 March 2018</w:t>
            </w:r>
          </w:p>
        </w:tc>
      </w:tr>
      <w:tr w:rsidR="00E660F2" w:rsidRPr="008F0588" w:rsidTr="008F0588">
        <w:tc>
          <w:tcPr>
            <w:tcW w:w="4360" w:type="dxa"/>
          </w:tcPr>
          <w:p w:rsidR="00E660F2" w:rsidRPr="008F0588" w:rsidRDefault="00E660F2" w:rsidP="008F0588">
            <w:pPr>
              <w:ind w:left="0" w:right="0"/>
              <w:rPr>
                <w:sz w:val="20"/>
                <w:szCs w:val="20"/>
              </w:rPr>
            </w:pPr>
            <w:r w:rsidRPr="008F0588">
              <w:rPr>
                <w:sz w:val="20"/>
                <w:szCs w:val="20"/>
              </w:rPr>
              <w:t>Evaluation completed</w:t>
            </w:r>
          </w:p>
          <w:p w:rsidR="00E660F2" w:rsidRPr="008F0588" w:rsidRDefault="00E660F2" w:rsidP="008F0588">
            <w:pPr>
              <w:ind w:left="0" w:right="0"/>
              <w:rPr>
                <w:sz w:val="20"/>
                <w:szCs w:val="20"/>
              </w:rPr>
            </w:pPr>
            <w:r w:rsidRPr="008F0588">
              <w:rPr>
                <w:sz w:val="20"/>
                <w:szCs w:val="20"/>
              </w:rPr>
              <w:t>Delegate’s Overall benefit-risk assessment</w:t>
            </w:r>
          </w:p>
        </w:tc>
        <w:tc>
          <w:tcPr>
            <w:tcW w:w="4360" w:type="dxa"/>
          </w:tcPr>
          <w:p w:rsidR="00E660F2" w:rsidRPr="008F0588" w:rsidRDefault="00E660F2" w:rsidP="008F0588">
            <w:pPr>
              <w:ind w:left="176"/>
              <w:rPr>
                <w:sz w:val="20"/>
                <w:szCs w:val="20"/>
              </w:rPr>
            </w:pPr>
            <w:r w:rsidRPr="008F0588">
              <w:rPr>
                <w:sz w:val="20"/>
                <w:szCs w:val="20"/>
              </w:rPr>
              <w:t>29 June 2018</w:t>
            </w:r>
          </w:p>
        </w:tc>
      </w:tr>
      <w:tr w:rsidR="00E660F2" w:rsidRPr="008F0588" w:rsidTr="008F0588">
        <w:tc>
          <w:tcPr>
            <w:tcW w:w="4360" w:type="dxa"/>
          </w:tcPr>
          <w:p w:rsidR="00E660F2" w:rsidRPr="008F0588" w:rsidRDefault="00E660F2" w:rsidP="008F0588">
            <w:pPr>
              <w:ind w:left="0" w:right="0"/>
              <w:rPr>
                <w:sz w:val="20"/>
                <w:szCs w:val="20"/>
              </w:rPr>
            </w:pPr>
            <w:r w:rsidRPr="008F0588">
              <w:rPr>
                <w:sz w:val="20"/>
                <w:szCs w:val="20"/>
              </w:rPr>
              <w:t>Sponsor’s pre-Advisory Committee response</w:t>
            </w:r>
          </w:p>
        </w:tc>
        <w:tc>
          <w:tcPr>
            <w:tcW w:w="4360" w:type="dxa"/>
          </w:tcPr>
          <w:p w:rsidR="00E660F2" w:rsidRPr="008F0588" w:rsidRDefault="00E660F2" w:rsidP="008F0588">
            <w:pPr>
              <w:ind w:left="176" w:right="0"/>
              <w:rPr>
                <w:sz w:val="20"/>
                <w:szCs w:val="20"/>
              </w:rPr>
            </w:pPr>
            <w:r w:rsidRPr="008F0588">
              <w:rPr>
                <w:sz w:val="20"/>
                <w:szCs w:val="20"/>
              </w:rPr>
              <w:t>Not applicable</w:t>
            </w:r>
          </w:p>
        </w:tc>
      </w:tr>
      <w:tr w:rsidR="00E660F2" w:rsidRPr="008F0588" w:rsidTr="008F0588">
        <w:tc>
          <w:tcPr>
            <w:tcW w:w="4360" w:type="dxa"/>
          </w:tcPr>
          <w:p w:rsidR="00E660F2" w:rsidRPr="008F0588" w:rsidRDefault="00E660F2" w:rsidP="008F0588">
            <w:pPr>
              <w:ind w:left="0" w:right="0"/>
              <w:rPr>
                <w:sz w:val="20"/>
                <w:szCs w:val="20"/>
              </w:rPr>
            </w:pPr>
            <w:r w:rsidRPr="008F0588">
              <w:rPr>
                <w:sz w:val="20"/>
                <w:szCs w:val="20"/>
              </w:rPr>
              <w:t>Advisory Committee meeting</w:t>
            </w:r>
          </w:p>
        </w:tc>
        <w:tc>
          <w:tcPr>
            <w:tcW w:w="4360" w:type="dxa"/>
          </w:tcPr>
          <w:p w:rsidR="00E660F2" w:rsidRPr="008F0588" w:rsidRDefault="00E660F2" w:rsidP="008F0588">
            <w:pPr>
              <w:ind w:left="176" w:right="0"/>
              <w:rPr>
                <w:sz w:val="20"/>
                <w:szCs w:val="20"/>
              </w:rPr>
            </w:pPr>
            <w:r w:rsidRPr="008F0588">
              <w:rPr>
                <w:sz w:val="20"/>
                <w:szCs w:val="20"/>
              </w:rPr>
              <w:t>Not applicable.</w:t>
            </w:r>
          </w:p>
        </w:tc>
      </w:tr>
      <w:tr w:rsidR="00E660F2" w:rsidRPr="008F0588" w:rsidTr="008F0588">
        <w:tc>
          <w:tcPr>
            <w:tcW w:w="4360" w:type="dxa"/>
          </w:tcPr>
          <w:p w:rsidR="00E660F2" w:rsidRPr="008F0588" w:rsidRDefault="00E660F2" w:rsidP="008F0588">
            <w:pPr>
              <w:ind w:left="0" w:right="0"/>
              <w:rPr>
                <w:sz w:val="20"/>
                <w:szCs w:val="20"/>
              </w:rPr>
            </w:pPr>
            <w:r w:rsidRPr="008F0588">
              <w:rPr>
                <w:sz w:val="20"/>
                <w:szCs w:val="20"/>
              </w:rPr>
              <w:t>Registration decision (Outcome)</w:t>
            </w:r>
          </w:p>
        </w:tc>
        <w:tc>
          <w:tcPr>
            <w:tcW w:w="4360" w:type="dxa"/>
          </w:tcPr>
          <w:p w:rsidR="00E660F2" w:rsidRPr="008F0588" w:rsidRDefault="00E660F2" w:rsidP="008F0588">
            <w:pPr>
              <w:ind w:left="176" w:right="0"/>
              <w:rPr>
                <w:sz w:val="20"/>
                <w:szCs w:val="20"/>
              </w:rPr>
            </w:pPr>
            <w:r w:rsidRPr="008F0588">
              <w:rPr>
                <w:sz w:val="20"/>
                <w:szCs w:val="20"/>
              </w:rPr>
              <w:t>4 July 2018</w:t>
            </w:r>
          </w:p>
        </w:tc>
      </w:tr>
      <w:tr w:rsidR="00E660F2" w:rsidRPr="008F0588" w:rsidTr="008F0588">
        <w:tc>
          <w:tcPr>
            <w:tcW w:w="4360" w:type="dxa"/>
          </w:tcPr>
          <w:p w:rsidR="00E660F2" w:rsidRPr="008F0588" w:rsidRDefault="00E660F2" w:rsidP="008F0588">
            <w:pPr>
              <w:ind w:left="0" w:right="0"/>
              <w:rPr>
                <w:sz w:val="20"/>
                <w:szCs w:val="20"/>
              </w:rPr>
            </w:pPr>
            <w:r w:rsidRPr="008F0588">
              <w:rPr>
                <w:sz w:val="20"/>
                <w:szCs w:val="20"/>
              </w:rPr>
              <w:t>Completion of administrative activities and registration on ARTG</w:t>
            </w:r>
          </w:p>
        </w:tc>
        <w:tc>
          <w:tcPr>
            <w:tcW w:w="4360" w:type="dxa"/>
          </w:tcPr>
          <w:p w:rsidR="00E660F2" w:rsidRPr="008F0588" w:rsidRDefault="00E660F2" w:rsidP="008F0588">
            <w:pPr>
              <w:ind w:left="176" w:right="0"/>
              <w:rPr>
                <w:sz w:val="20"/>
                <w:szCs w:val="20"/>
              </w:rPr>
            </w:pPr>
            <w:r w:rsidRPr="008F0588">
              <w:rPr>
                <w:sz w:val="20"/>
                <w:szCs w:val="20"/>
              </w:rPr>
              <w:t>5 July 2018</w:t>
            </w:r>
          </w:p>
        </w:tc>
      </w:tr>
      <w:tr w:rsidR="00E660F2" w:rsidRPr="008F0588" w:rsidTr="008F0588">
        <w:tc>
          <w:tcPr>
            <w:tcW w:w="4360" w:type="dxa"/>
          </w:tcPr>
          <w:p w:rsidR="00E660F2" w:rsidRPr="008F0588" w:rsidRDefault="00E660F2" w:rsidP="008F0588">
            <w:pPr>
              <w:ind w:left="0" w:right="0"/>
              <w:rPr>
                <w:sz w:val="20"/>
                <w:szCs w:val="20"/>
              </w:rPr>
            </w:pPr>
            <w:r w:rsidRPr="008F0588">
              <w:rPr>
                <w:sz w:val="20"/>
                <w:szCs w:val="20"/>
              </w:rPr>
              <w:t>Number of working days from submission dossier acceptance to registration decision*</w:t>
            </w:r>
          </w:p>
        </w:tc>
        <w:tc>
          <w:tcPr>
            <w:tcW w:w="4360" w:type="dxa"/>
          </w:tcPr>
          <w:p w:rsidR="00E660F2" w:rsidRPr="008F0588" w:rsidRDefault="00E660F2" w:rsidP="008F0588">
            <w:pPr>
              <w:ind w:left="176" w:right="0"/>
              <w:rPr>
                <w:sz w:val="20"/>
                <w:szCs w:val="20"/>
              </w:rPr>
            </w:pPr>
            <w:r w:rsidRPr="008F0588">
              <w:rPr>
                <w:sz w:val="20"/>
                <w:szCs w:val="20"/>
              </w:rPr>
              <w:t>80 days</w:t>
            </w:r>
          </w:p>
        </w:tc>
      </w:tr>
    </w:tbl>
    <w:p w:rsidR="00E660F2" w:rsidRDefault="00E660F2" w:rsidP="00E660F2">
      <w:pPr>
        <w:pStyle w:val="TableDescription"/>
      </w:pPr>
      <w:r>
        <w:t>*Target timeframe for priority applications is 150 working days from acceptance for evaluation to the decision.</w:t>
      </w:r>
    </w:p>
    <w:p w:rsidR="00E660F2" w:rsidRDefault="00E660F2" w:rsidP="00E660F2">
      <w:pPr>
        <w:pStyle w:val="Heading2"/>
        <w:ind w:left="-11"/>
      </w:pPr>
      <w:bookmarkStart w:id="35" w:name="_Toc523915052"/>
      <w:bookmarkStart w:id="36" w:name="_Toc5014052"/>
      <w:r>
        <w:lastRenderedPageBreak/>
        <w:t>III. Quality findings</w:t>
      </w:r>
      <w:bookmarkEnd w:id="30"/>
      <w:bookmarkEnd w:id="31"/>
      <w:bookmarkEnd w:id="35"/>
      <w:bookmarkEnd w:id="36"/>
    </w:p>
    <w:p w:rsidR="00E660F2" w:rsidRDefault="00E660F2" w:rsidP="00E660F2">
      <w:pPr>
        <w:pStyle w:val="Heading3"/>
      </w:pPr>
      <w:bookmarkStart w:id="37" w:name="_Toc247691507"/>
      <w:bookmarkStart w:id="38" w:name="_Toc314842488"/>
      <w:bookmarkStart w:id="39" w:name="_Toc523915053"/>
      <w:bookmarkStart w:id="40" w:name="_Toc5014053"/>
      <w:r w:rsidRPr="008751DC">
        <w:t xml:space="preserve">Drug </w:t>
      </w:r>
      <w:r>
        <w:t>s</w:t>
      </w:r>
      <w:r w:rsidRPr="008751DC">
        <w:t>ubstance</w:t>
      </w:r>
      <w:r>
        <w:t xml:space="preserve"> (active ingredient)</w:t>
      </w:r>
      <w:bookmarkEnd w:id="37"/>
      <w:bookmarkEnd w:id="38"/>
      <w:bookmarkEnd w:id="39"/>
      <w:bookmarkEnd w:id="40"/>
    </w:p>
    <w:p w:rsidR="00E660F2" w:rsidRPr="00513FBC" w:rsidRDefault="00E660F2" w:rsidP="00E660F2">
      <w:r w:rsidRPr="00513FBC">
        <w:t>Apalutamide is prepared by chemical synthesis. No products are currently included on the ARTG containing this ingredient.</w:t>
      </w:r>
    </w:p>
    <w:p w:rsidR="00E660F2" w:rsidRDefault="00E660F2" w:rsidP="00E660F2">
      <w:r w:rsidRPr="00B832C7">
        <w:t>There are no pharmacopoeia monographs for the drug substance.</w:t>
      </w:r>
    </w:p>
    <w:p w:rsidR="00E660F2" w:rsidRDefault="00E660F2" w:rsidP="00E660F2">
      <w:r>
        <w:t xml:space="preserve">Apalutamide is structurally similar to enzalutamide, currently registered in Australia by the trade name </w:t>
      </w:r>
      <w:r w:rsidRPr="00DD45F9">
        <w:t>Xtandi</w:t>
      </w:r>
      <w:r>
        <w:t>. Both molecules share similar modes of action on androgen receptors and have similar indications.</w:t>
      </w:r>
    </w:p>
    <w:p w:rsidR="00E660F2" w:rsidRDefault="00E660F2" w:rsidP="00E660F2">
      <w:r w:rsidRPr="00A02C70">
        <w:t>The drug substance specification is stated to be the same for Australia and Canada</w:t>
      </w:r>
      <w:r>
        <w:t>.</w:t>
      </w:r>
    </w:p>
    <w:p w:rsidR="00E660F2" w:rsidRDefault="00E660F2" w:rsidP="00E660F2">
      <w:r>
        <w:t>The following figure shows the chemical structure of apalutamide.</w:t>
      </w:r>
    </w:p>
    <w:p w:rsidR="00E660F2" w:rsidRDefault="00E660F2" w:rsidP="00E660F2">
      <w:pPr>
        <w:pStyle w:val="FigureTitle"/>
      </w:pPr>
      <w:r w:rsidRPr="00536AAC">
        <w:t>Figure 1: Chemical structure of apalutamide</w:t>
      </w:r>
    </w:p>
    <w:p w:rsidR="00E660F2" w:rsidRPr="00536AAC" w:rsidRDefault="00E660F2" w:rsidP="008F0588">
      <w:r>
        <w:rPr>
          <w:noProof/>
          <w:lang w:eastAsia="en-AU"/>
        </w:rPr>
        <w:drawing>
          <wp:inline distT="0" distB="0" distL="0" distR="0" wp14:anchorId="4EBFC5B3" wp14:editId="2E103793">
            <wp:extent cx="2748274" cy="1419438"/>
            <wp:effectExtent l="0" t="0" r="0" b="0"/>
            <wp:docPr id="4" name="Picture 4" descr="Chemical structure of apaluta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50819" cy="1420753"/>
                    </a:xfrm>
                    <a:prstGeom prst="rect">
                      <a:avLst/>
                    </a:prstGeom>
                  </pic:spPr>
                </pic:pic>
              </a:graphicData>
            </a:graphic>
          </wp:inline>
        </w:drawing>
      </w:r>
    </w:p>
    <w:p w:rsidR="00E660F2" w:rsidRDefault="00E660F2" w:rsidP="00E660F2">
      <w:pPr>
        <w:pStyle w:val="FigureDescription"/>
      </w:pPr>
      <w:r>
        <w:t>C</w:t>
      </w:r>
      <w:r w:rsidRPr="00536AAC">
        <w:t xml:space="preserve">AS number: 56104-40-8 </w:t>
      </w:r>
      <w:r>
        <w:t>Molecular formula: C</w:t>
      </w:r>
      <w:r>
        <w:rPr>
          <w:vertAlign w:val="subscript"/>
        </w:rPr>
        <w:t>21</w:t>
      </w:r>
      <w:r>
        <w:t>H</w:t>
      </w:r>
      <w:r>
        <w:rPr>
          <w:vertAlign w:val="subscript"/>
        </w:rPr>
        <w:t>15</w:t>
      </w:r>
      <w:r>
        <w:t>F</w:t>
      </w:r>
      <w:r>
        <w:rPr>
          <w:vertAlign w:val="subscript"/>
        </w:rPr>
        <w:t>4</w:t>
      </w:r>
      <w:r>
        <w:t>N</w:t>
      </w:r>
      <w:r>
        <w:rPr>
          <w:vertAlign w:val="subscript"/>
        </w:rPr>
        <w:t>5</w:t>
      </w:r>
      <w:r>
        <w:t>O</w:t>
      </w:r>
      <w:r>
        <w:rPr>
          <w:vertAlign w:val="subscript"/>
        </w:rPr>
        <w:t>2</w:t>
      </w:r>
      <w:r>
        <w:t>S. Molecular weight: 477.43.</w:t>
      </w:r>
    </w:p>
    <w:p w:rsidR="00E660F2" w:rsidRDefault="00E660F2" w:rsidP="00E660F2">
      <w:pPr>
        <w:pStyle w:val="Heading3"/>
      </w:pPr>
      <w:bookmarkStart w:id="41" w:name="_Toc247691508"/>
      <w:bookmarkStart w:id="42" w:name="_Toc314842490"/>
      <w:bookmarkStart w:id="43" w:name="_Toc523915054"/>
      <w:bookmarkStart w:id="44" w:name="_Toc5014054"/>
      <w:r w:rsidRPr="008751DC">
        <w:t xml:space="preserve">Drug </w:t>
      </w:r>
      <w:r>
        <w:t>p</w:t>
      </w:r>
      <w:r w:rsidRPr="008751DC">
        <w:t>roduct</w:t>
      </w:r>
      <w:bookmarkEnd w:id="41"/>
      <w:bookmarkEnd w:id="42"/>
      <w:bookmarkEnd w:id="43"/>
      <w:bookmarkEnd w:id="44"/>
    </w:p>
    <w:p w:rsidR="00E660F2" w:rsidRDefault="00E660F2" w:rsidP="00E660F2">
      <w:r>
        <w:t xml:space="preserve">The Erlyand tablets contain an </w:t>
      </w:r>
      <w:r w:rsidRPr="002613CD">
        <w:t>amorphous solid dispersion of apalutamide.</w:t>
      </w:r>
    </w:p>
    <w:p w:rsidR="00E660F2" w:rsidRDefault="00E660F2" w:rsidP="00E660F2">
      <w:r>
        <w:t>Erlyand is supplied as slightly yellowish green to greyish green, oblong-shaped, film coated tablets, debossed with ‘AR 60’ on one side.</w:t>
      </w:r>
    </w:p>
    <w:p w:rsidR="00E660F2" w:rsidRDefault="00E660F2" w:rsidP="00E660F2">
      <w:r>
        <w:t>The tablets are</w:t>
      </w:r>
      <w:r w:rsidRPr="00E044B6">
        <w:t xml:space="preserve"> available in opaque, high</w:t>
      </w:r>
      <w:r>
        <w:t xml:space="preserve"> </w:t>
      </w:r>
      <w:r w:rsidRPr="00E044B6">
        <w:t>density polyethylene bottles with child</w:t>
      </w:r>
      <w:r>
        <w:t xml:space="preserve"> </w:t>
      </w:r>
      <w:r w:rsidRPr="00E044B6">
        <w:t>resistant polypropylene closure and induction seal liner. Each bottle contains 120 tablets and a desiccant</w:t>
      </w:r>
      <w:r>
        <w:t>.</w:t>
      </w:r>
    </w:p>
    <w:p w:rsidR="00E660F2" w:rsidRDefault="00E660F2" w:rsidP="00E660F2">
      <w:r w:rsidRPr="002613CD">
        <w:t>The excipients used in the tablets (see below) are already used in other oral medicines registered in Australia. Hypromellose acetate succinate is not common, but is used in some other medicines (for example, duloxetine, omeprazole, posaconazole and ivacaftor).</w:t>
      </w:r>
    </w:p>
    <w:p w:rsidR="00E660F2" w:rsidRDefault="00E660F2" w:rsidP="00E660F2">
      <w:pPr>
        <w:rPr>
          <w:lang w:eastAsia="ja-JP"/>
        </w:rPr>
      </w:pPr>
      <w:r>
        <w:rPr>
          <w:lang w:eastAsia="ja-JP"/>
        </w:rPr>
        <w:t>The listed excipients for the tablet formulation in the tablet core are:</w:t>
      </w:r>
    </w:p>
    <w:p w:rsidR="00E660F2" w:rsidRPr="009F560F" w:rsidRDefault="00E660F2" w:rsidP="00E660F2">
      <w:pPr>
        <w:pStyle w:val="ListBullet"/>
        <w:numPr>
          <w:ilvl w:val="0"/>
          <w:numId w:val="1"/>
        </w:numPr>
        <w:rPr>
          <w:lang w:val="en-US" w:eastAsia="ja-JP"/>
        </w:rPr>
      </w:pPr>
      <w:r w:rsidRPr="009F560F">
        <w:rPr>
          <w:lang w:val="en-US" w:eastAsia="ja-JP"/>
        </w:rPr>
        <w:t>Colloidal anhydrous silica</w:t>
      </w:r>
    </w:p>
    <w:p w:rsidR="00E660F2" w:rsidRPr="009F560F" w:rsidRDefault="00E660F2" w:rsidP="00E660F2">
      <w:pPr>
        <w:pStyle w:val="ListBullet"/>
        <w:numPr>
          <w:ilvl w:val="0"/>
          <w:numId w:val="1"/>
        </w:numPr>
        <w:rPr>
          <w:lang w:val="en-US" w:eastAsia="ja-JP"/>
        </w:rPr>
      </w:pPr>
      <w:r w:rsidRPr="009F560F">
        <w:rPr>
          <w:lang w:val="en-US" w:eastAsia="ja-JP"/>
        </w:rPr>
        <w:t>Croscarmellose sodium</w:t>
      </w:r>
    </w:p>
    <w:p w:rsidR="00E660F2" w:rsidRPr="009F560F" w:rsidRDefault="00E660F2" w:rsidP="00E660F2">
      <w:pPr>
        <w:pStyle w:val="ListBullet"/>
        <w:numPr>
          <w:ilvl w:val="0"/>
          <w:numId w:val="1"/>
        </w:numPr>
        <w:rPr>
          <w:lang w:val="en-US" w:eastAsia="ja-JP"/>
        </w:rPr>
      </w:pPr>
      <w:r w:rsidRPr="009F560F">
        <w:rPr>
          <w:lang w:val="en-US" w:eastAsia="ja-JP"/>
        </w:rPr>
        <w:t>Hypromellose acetate succinate</w:t>
      </w:r>
    </w:p>
    <w:p w:rsidR="00E660F2" w:rsidRPr="009F560F" w:rsidRDefault="00E660F2" w:rsidP="00E660F2">
      <w:pPr>
        <w:pStyle w:val="ListBullet"/>
        <w:numPr>
          <w:ilvl w:val="0"/>
          <w:numId w:val="1"/>
        </w:numPr>
        <w:rPr>
          <w:lang w:val="en-US" w:eastAsia="ja-JP"/>
        </w:rPr>
      </w:pPr>
      <w:r w:rsidRPr="009F560F">
        <w:rPr>
          <w:lang w:val="en-US" w:eastAsia="ja-JP"/>
        </w:rPr>
        <w:t>Magnesium stearate</w:t>
      </w:r>
    </w:p>
    <w:p w:rsidR="00E660F2" w:rsidRDefault="00E660F2" w:rsidP="00E660F2">
      <w:pPr>
        <w:pStyle w:val="ListBullet"/>
        <w:numPr>
          <w:ilvl w:val="0"/>
          <w:numId w:val="1"/>
        </w:numPr>
        <w:rPr>
          <w:lang w:val="en-US" w:eastAsia="ja-JP"/>
        </w:rPr>
      </w:pPr>
      <w:r w:rsidRPr="009F560F">
        <w:rPr>
          <w:lang w:val="en-US" w:eastAsia="ja-JP"/>
        </w:rPr>
        <w:t>Microcrystalline cellulose</w:t>
      </w:r>
    </w:p>
    <w:p w:rsidR="00E660F2" w:rsidRDefault="00E660F2" w:rsidP="00E660F2">
      <w:pPr>
        <w:pStyle w:val="ListBullet"/>
        <w:numPr>
          <w:ilvl w:val="0"/>
          <w:numId w:val="1"/>
        </w:numPr>
        <w:rPr>
          <w:lang w:val="en-US" w:eastAsia="ja-JP"/>
        </w:rPr>
      </w:pPr>
      <w:r w:rsidRPr="009F560F">
        <w:rPr>
          <w:lang w:val="en-US" w:eastAsia="ja-JP"/>
        </w:rPr>
        <w:t>Silicified microcrystalline cellulose</w:t>
      </w:r>
    </w:p>
    <w:p w:rsidR="00E660F2" w:rsidRDefault="00E660F2" w:rsidP="00E660F2">
      <w:pPr>
        <w:rPr>
          <w:lang w:val="en-US"/>
        </w:rPr>
      </w:pPr>
      <w:r w:rsidRPr="00C235E3">
        <w:rPr>
          <w:lang w:val="en-US"/>
        </w:rPr>
        <w:t>Colouring agents used in the film coat are permitted for use in orally administered products. The individual components are stated to comply with compendial requirements.</w:t>
      </w:r>
    </w:p>
    <w:p w:rsidR="00E660F2" w:rsidRDefault="00E660F2" w:rsidP="00E660F2">
      <w:pPr>
        <w:rPr>
          <w:lang w:val="en-US"/>
        </w:rPr>
      </w:pPr>
      <w:r w:rsidRPr="00C235E3">
        <w:rPr>
          <w:lang w:val="en-US"/>
        </w:rPr>
        <w:lastRenderedPageBreak/>
        <w:t xml:space="preserve">The drug substance is stated to be a Class </w:t>
      </w:r>
      <w:r>
        <w:rPr>
          <w:lang w:val="en-US"/>
        </w:rPr>
        <w:t>II</w:t>
      </w:r>
      <w:r w:rsidRPr="00C235E3">
        <w:rPr>
          <w:lang w:val="en-US"/>
        </w:rPr>
        <w:t xml:space="preserve"> compound according to the Biopharmaceutics Classification Scheme (BCS).</w:t>
      </w:r>
      <w:r>
        <w:rPr>
          <w:rStyle w:val="FootnoteReference"/>
          <w:lang w:val="en-US"/>
        </w:rPr>
        <w:footnoteReference w:id="12"/>
      </w:r>
    </w:p>
    <w:p w:rsidR="00E660F2" w:rsidRDefault="00E660F2" w:rsidP="00E660F2">
      <w:pPr>
        <w:rPr>
          <w:lang w:val="en-US"/>
        </w:rPr>
      </w:pPr>
      <w:r>
        <w:rPr>
          <w:lang w:val="en-US"/>
        </w:rPr>
        <w:t>It was stated that there were n</w:t>
      </w:r>
      <w:r w:rsidRPr="002D3683">
        <w:rPr>
          <w:lang w:val="en-US"/>
        </w:rPr>
        <w:t>o differences between the Australian and Canadian manufacturing process.</w:t>
      </w:r>
    </w:p>
    <w:p w:rsidR="00E660F2" w:rsidRDefault="00E660F2" w:rsidP="00E660F2">
      <w:r>
        <w:rPr>
          <w:lang w:val="en-US"/>
        </w:rPr>
        <w:t>It was stated that there were n</w:t>
      </w:r>
      <w:r w:rsidRPr="002D3683">
        <w:rPr>
          <w:lang w:val="en-US"/>
        </w:rPr>
        <w:t>o</w:t>
      </w:r>
      <w:r>
        <w:t xml:space="preserve"> differences to the specifications applied in Australia and Canada.</w:t>
      </w:r>
    </w:p>
    <w:p w:rsidR="00E660F2" w:rsidRPr="00034309" w:rsidRDefault="00E660F2" w:rsidP="00E660F2">
      <w:pPr>
        <w:pStyle w:val="Heading5"/>
        <w:rPr>
          <w:lang w:eastAsia="en-AU"/>
        </w:rPr>
      </w:pPr>
      <w:r w:rsidRPr="00034309">
        <w:rPr>
          <w:lang w:eastAsia="en-AU"/>
        </w:rPr>
        <w:t>Recommended shelf</w:t>
      </w:r>
      <w:r>
        <w:rPr>
          <w:lang w:eastAsia="en-AU"/>
        </w:rPr>
        <w:t xml:space="preserve"> </w:t>
      </w:r>
      <w:r w:rsidRPr="00034309">
        <w:rPr>
          <w:lang w:eastAsia="en-AU"/>
        </w:rPr>
        <w:t>life</w:t>
      </w:r>
    </w:p>
    <w:p w:rsidR="00E660F2" w:rsidRDefault="00E660F2" w:rsidP="00E660F2">
      <w:pPr>
        <w:spacing w:before="0" w:after="200" w:line="240" w:lineRule="auto"/>
      </w:pPr>
      <w:r w:rsidRPr="00E26833">
        <w:t>The proposed shelf life of the tablets is 24 months</w:t>
      </w:r>
      <w:r>
        <w:t xml:space="preserve"> below 30 °C,</w:t>
      </w:r>
      <w:r w:rsidRPr="00E26833">
        <w:t xml:space="preserve"> store in </w:t>
      </w:r>
      <w:r>
        <w:t xml:space="preserve">the </w:t>
      </w:r>
      <w:r w:rsidRPr="00E26833">
        <w:t xml:space="preserve">original package. </w:t>
      </w:r>
      <w:r w:rsidRPr="0034140E">
        <w:t>The data have been assessed at the proposed storage condition and no changes are observed</w:t>
      </w:r>
      <w:r>
        <w:t xml:space="preserve"> over 12 months. It is reasonable to extrapolate the shelf life to 24 months in accordance with the </w:t>
      </w:r>
      <w:r w:rsidRPr="00A32091">
        <w:t>International C</w:t>
      </w:r>
      <w:r>
        <w:t xml:space="preserve">onference on </w:t>
      </w:r>
      <w:r w:rsidRPr="00A32091">
        <w:t>Harmonisation</w:t>
      </w:r>
      <w:r>
        <w:t xml:space="preserve"> (ICH)</w:t>
      </w:r>
      <w:r w:rsidRPr="00A32091">
        <w:t xml:space="preserve"> of Technical Requirements for Pharmaceuticals for Human Use</w:t>
      </w:r>
      <w:r>
        <w:t xml:space="preserve"> guidelines for the unopened product and the proposed shelf life will be accepted.</w:t>
      </w:r>
    </w:p>
    <w:p w:rsidR="00E660F2" w:rsidRDefault="00E660F2" w:rsidP="00E660F2">
      <w:pPr>
        <w:pStyle w:val="Heading5"/>
      </w:pPr>
      <w:r>
        <w:t>Packaging</w:t>
      </w:r>
    </w:p>
    <w:p w:rsidR="00E660F2" w:rsidRPr="00F7541C" w:rsidRDefault="00E660F2" w:rsidP="00E660F2">
      <w:pPr>
        <w:rPr>
          <w:lang w:eastAsia="en-AU"/>
        </w:rPr>
      </w:pPr>
      <w:r w:rsidRPr="002D3683">
        <w:rPr>
          <w:lang w:eastAsia="en-AU"/>
        </w:rPr>
        <w:t>The Therapeutic Goods Order (TGO80 → TGO95) for Child-resistant packaging requirements for medicines applies to this product and the bottles are stated to contain a child</w:t>
      </w:r>
      <w:r>
        <w:rPr>
          <w:lang w:eastAsia="en-AU"/>
        </w:rPr>
        <w:t>-</w:t>
      </w:r>
      <w:r w:rsidRPr="002D3683">
        <w:rPr>
          <w:lang w:eastAsia="en-AU"/>
        </w:rPr>
        <w:t>resistant closure, which is appropriate.</w:t>
      </w:r>
    </w:p>
    <w:p w:rsidR="00E660F2" w:rsidRPr="00942323" w:rsidRDefault="00E660F2" w:rsidP="00E660F2">
      <w:pPr>
        <w:pStyle w:val="Heading3"/>
      </w:pPr>
      <w:bookmarkStart w:id="45" w:name="_Toc5014055"/>
      <w:r w:rsidRPr="00942323">
        <w:t>Summary of human pharmacokinetics</w:t>
      </w:r>
      <w:bookmarkEnd w:id="45"/>
    </w:p>
    <w:p w:rsidR="00E660F2" w:rsidRPr="00781934" w:rsidRDefault="00E660F2" w:rsidP="00E660F2">
      <w:pPr>
        <w:pStyle w:val="Heading5"/>
      </w:pPr>
      <w:r w:rsidRPr="00781934">
        <w:t>Rate and extent of absorption</w:t>
      </w:r>
    </w:p>
    <w:p w:rsidR="00E660F2" w:rsidRDefault="00E660F2" w:rsidP="00E660F2">
      <w:pPr>
        <w:rPr>
          <w:color w:val="000000"/>
        </w:rPr>
      </w:pPr>
      <w:r w:rsidRPr="00781934">
        <w:rPr>
          <w:color w:val="000000"/>
          <w:lang w:val="en-US"/>
        </w:rPr>
        <w:t>Apalutamide</w:t>
      </w:r>
      <w:r w:rsidRPr="00781934">
        <w:rPr>
          <w:color w:val="000000"/>
        </w:rPr>
        <w:t xml:space="preserve"> is primarily absorbed from the </w:t>
      </w:r>
      <w:r>
        <w:rPr>
          <w:color w:val="000000"/>
        </w:rPr>
        <w:t>gastrointestinal (</w:t>
      </w:r>
      <w:r w:rsidRPr="00781934">
        <w:rPr>
          <w:color w:val="000000"/>
        </w:rPr>
        <w:t>GI</w:t>
      </w:r>
      <w:r>
        <w:rPr>
          <w:color w:val="000000"/>
        </w:rPr>
        <w:t>)</w:t>
      </w:r>
      <w:r w:rsidRPr="00781934">
        <w:rPr>
          <w:color w:val="000000"/>
        </w:rPr>
        <w:t xml:space="preserve"> tract and </w:t>
      </w:r>
      <w:r>
        <w:rPr>
          <w:color w:val="000000"/>
        </w:rPr>
        <w:t>is</w:t>
      </w:r>
      <w:r w:rsidRPr="00B24948">
        <w:rPr>
          <w:color w:val="000000"/>
        </w:rPr>
        <w:t xml:space="preserve"> rapidly (</w:t>
      </w:r>
      <w:r>
        <w:rPr>
          <w:color w:val="000000"/>
        </w:rPr>
        <w:t xml:space="preserve">approximately 2 </w:t>
      </w:r>
      <w:r w:rsidRPr="00B24948">
        <w:rPr>
          <w:color w:val="000000"/>
        </w:rPr>
        <w:t xml:space="preserve">h) and completely absorbed (F=1.11) with a peak plasma concentration of 3.25 </w:t>
      </w:r>
      <w:r>
        <w:rPr>
          <w:color w:val="000000"/>
        </w:rPr>
        <w:t>µ</w:t>
      </w:r>
      <w:r w:rsidRPr="00B24948">
        <w:rPr>
          <w:color w:val="000000"/>
        </w:rPr>
        <w:t>g/mL.</w:t>
      </w:r>
      <w:r>
        <w:rPr>
          <w:color w:val="000000"/>
        </w:rPr>
        <w:t xml:space="preserve"> </w:t>
      </w:r>
      <w:r>
        <w:t>This result is based on Study ARN-509-006 in healthy subjects after a single dose. Based on pooled data after repeat dosing in subjects with CRPC, the mean peak concentration was 5.97 µg/mL.</w:t>
      </w:r>
    </w:p>
    <w:p w:rsidR="00E660F2" w:rsidRDefault="00E660F2" w:rsidP="00E660F2">
      <w:pPr>
        <w:rPr>
          <w:color w:val="000000"/>
        </w:rPr>
      </w:pPr>
      <w:r w:rsidRPr="00B24948">
        <w:rPr>
          <w:color w:val="000000"/>
        </w:rPr>
        <w:t xml:space="preserve">Apalutamide and its </w:t>
      </w:r>
      <w:r>
        <w:rPr>
          <w:color w:val="000000"/>
        </w:rPr>
        <w:t xml:space="preserve">major </w:t>
      </w:r>
      <w:r w:rsidRPr="00B24948">
        <w:rPr>
          <w:color w:val="000000"/>
        </w:rPr>
        <w:t>metabolit</w:t>
      </w:r>
      <w:r>
        <w:rPr>
          <w:color w:val="000000"/>
        </w:rPr>
        <w:t>e</w:t>
      </w:r>
      <w:r w:rsidRPr="00B24948">
        <w:rPr>
          <w:color w:val="000000"/>
        </w:rPr>
        <w:t xml:space="preserve"> were equally distributed between plasma and red blood cells</w:t>
      </w:r>
      <w:r>
        <w:rPr>
          <w:color w:val="000000"/>
        </w:rPr>
        <w:t>.</w:t>
      </w:r>
    </w:p>
    <w:p w:rsidR="00E660F2" w:rsidRPr="00781934" w:rsidRDefault="00E660F2" w:rsidP="00E660F2">
      <w:pPr>
        <w:pStyle w:val="Heading5"/>
      </w:pPr>
      <w:r w:rsidRPr="00781934">
        <w:t>Metabolism and distribution</w:t>
      </w:r>
    </w:p>
    <w:p w:rsidR="00E660F2" w:rsidRDefault="00E660F2" w:rsidP="00E660F2">
      <w:r>
        <w:t>A</w:t>
      </w:r>
      <w:r w:rsidRPr="009D5D4D">
        <w:t>palutamide</w:t>
      </w:r>
      <w:r>
        <w:t>,</w:t>
      </w:r>
      <w:r w:rsidRPr="009D5D4D">
        <w:t xml:space="preserve"> its active metabolite </w:t>
      </w:r>
      <w:r w:rsidRPr="002575DB">
        <w:t>N</w:t>
      </w:r>
      <w:r w:rsidRPr="001A62E4">
        <w:t>-</w:t>
      </w:r>
      <w:r w:rsidRPr="009D5D4D">
        <w:t>desmethyl apalutamide</w:t>
      </w:r>
      <w:r>
        <w:t xml:space="preserve"> </w:t>
      </w:r>
      <w:r w:rsidRPr="009D5D4D">
        <w:t>are extensively bound to plasma proteins</w:t>
      </w:r>
      <w:r>
        <w:t>. Apalutamide is metabolised in the liver by cytochrome P450 isozymes CYP2C8 and CYP3A4 and is distributed extravascularly.</w:t>
      </w:r>
    </w:p>
    <w:p w:rsidR="00E660F2" w:rsidRPr="00883CEA" w:rsidRDefault="00E660F2" w:rsidP="00E660F2">
      <w:pPr>
        <w:pStyle w:val="Heading5"/>
      </w:pPr>
      <w:r w:rsidRPr="00883CEA">
        <w:t>Mode, route and rate of elimination</w:t>
      </w:r>
    </w:p>
    <w:p w:rsidR="00E660F2" w:rsidRPr="00AE063A" w:rsidRDefault="00E660F2" w:rsidP="00E660F2">
      <w:pPr>
        <w:rPr>
          <w:highlight w:val="lightGray"/>
        </w:rPr>
      </w:pPr>
      <w:r>
        <w:t>E</w:t>
      </w:r>
      <w:r w:rsidRPr="009D5D4D">
        <w:t>xcretion occur</w:t>
      </w:r>
      <w:r>
        <w:t xml:space="preserve">s principally via urine (64.64%) and, to a lesser degree, </w:t>
      </w:r>
      <w:r w:rsidRPr="009D5D4D">
        <w:t>faeces</w:t>
      </w:r>
      <w:r>
        <w:t xml:space="preserve"> (24%).</w:t>
      </w:r>
      <w:r w:rsidRPr="00171F08">
        <w:t xml:space="preserve"> </w:t>
      </w:r>
      <w:r>
        <w:t>Cumulative recovery of (</w:t>
      </w:r>
      <w:r w:rsidRPr="002613CD">
        <w:rPr>
          <w:vertAlign w:val="superscript"/>
        </w:rPr>
        <w:t>14</w:t>
      </w:r>
      <w:r>
        <w:t>C)-radioactivity was 88.9%; therefore, the fractions recovered in urine and faeces do not sum to 100%.</w:t>
      </w:r>
    </w:p>
    <w:p w:rsidR="00E660F2" w:rsidRPr="00781934" w:rsidRDefault="00E660F2" w:rsidP="00E660F2">
      <w:pPr>
        <w:pStyle w:val="Heading5"/>
      </w:pPr>
      <w:r w:rsidRPr="00781934">
        <w:t>Active entities</w:t>
      </w:r>
    </w:p>
    <w:p w:rsidR="00E660F2" w:rsidRPr="00781934" w:rsidRDefault="00E660F2" w:rsidP="00E660F2">
      <w:r w:rsidRPr="00781934">
        <w:t xml:space="preserve">Apalutamide and </w:t>
      </w:r>
      <w:r w:rsidRPr="002575DB">
        <w:t>N</w:t>
      </w:r>
      <w:r w:rsidRPr="00781934">
        <w:t>-desmethyl apalutamide</w:t>
      </w:r>
      <w:r>
        <w:t xml:space="preserve"> are both active entities</w:t>
      </w:r>
      <w:r w:rsidRPr="00781934">
        <w:t>.</w:t>
      </w:r>
    </w:p>
    <w:p w:rsidR="00E660F2" w:rsidRPr="00781934" w:rsidRDefault="00E660F2" w:rsidP="00E660F2">
      <w:pPr>
        <w:pStyle w:val="Heading5"/>
      </w:pPr>
      <w:r w:rsidRPr="00781934">
        <w:lastRenderedPageBreak/>
        <w:t>Dose response proportionality</w:t>
      </w:r>
    </w:p>
    <w:p w:rsidR="00E660F2" w:rsidRPr="00AE063A" w:rsidRDefault="00E660F2" w:rsidP="00E660F2">
      <w:pPr>
        <w:rPr>
          <w:highlight w:val="lightGray"/>
        </w:rPr>
      </w:pPr>
      <w:r w:rsidRPr="009D5D4D">
        <w:t>Following single and repeat once daily dosing, apalutamide exposure (</w:t>
      </w:r>
      <w:r>
        <w:t>peak plasma concentration (</w:t>
      </w:r>
      <w:r w:rsidRPr="009D5D4D">
        <w:t>C</w:t>
      </w:r>
      <w:r w:rsidRPr="00781934">
        <w:rPr>
          <w:vertAlign w:val="subscript"/>
        </w:rPr>
        <w:t>max</w:t>
      </w:r>
      <w:r>
        <w:t xml:space="preserve">) </w:t>
      </w:r>
      <w:r w:rsidRPr="009D5D4D">
        <w:t xml:space="preserve">and </w:t>
      </w:r>
      <w:r>
        <w:t>area under the plasma concentration versus time curve (</w:t>
      </w:r>
      <w:r w:rsidRPr="009D5D4D">
        <w:t>AUC</w:t>
      </w:r>
      <w:r>
        <w:t>)</w:t>
      </w:r>
      <w:r w:rsidRPr="009D5D4D">
        <w:t xml:space="preserve">) increased in a dose-proportional manner across </w:t>
      </w:r>
      <w:r>
        <w:t>the dose range of 30 to 480 mg.</w:t>
      </w:r>
    </w:p>
    <w:p w:rsidR="00E660F2" w:rsidRPr="00883CEA" w:rsidRDefault="00E660F2" w:rsidP="00E660F2">
      <w:pPr>
        <w:pStyle w:val="Heading5"/>
      </w:pPr>
      <w:r w:rsidRPr="00883CEA">
        <w:t>Effects of food</w:t>
      </w:r>
    </w:p>
    <w:p w:rsidR="00E660F2" w:rsidRPr="009F560F" w:rsidRDefault="00E660F2" w:rsidP="00E660F2">
      <w:pPr>
        <w:rPr>
          <w:lang w:val="en-US"/>
        </w:rPr>
      </w:pPr>
      <w:r w:rsidRPr="00883CEA">
        <w:t>A high fat meal reduced the rate of apalutamide absorption (</w:t>
      </w:r>
      <w:r>
        <w:t>b</w:t>
      </w:r>
      <w:r w:rsidRPr="00883CEA">
        <w:t xml:space="preserve">ased on the </w:t>
      </w:r>
      <w:r w:rsidRPr="00386040">
        <w:t xml:space="preserve">geometric mean ratios </w:t>
      </w:r>
      <w:r>
        <w:t>(</w:t>
      </w:r>
      <w:r w:rsidRPr="00883CEA">
        <w:t>GMR</w:t>
      </w:r>
      <w:r>
        <w:t>)</w:t>
      </w:r>
      <w:r w:rsidRPr="00883CEA">
        <w:t>, C</w:t>
      </w:r>
      <w:r w:rsidRPr="00386040">
        <w:rPr>
          <w:vertAlign w:val="subscript"/>
        </w:rPr>
        <w:t>max</w:t>
      </w:r>
      <w:r>
        <w:t xml:space="preserve"> decreased by 16% and time to C</w:t>
      </w:r>
      <w:r w:rsidRPr="009A37F5">
        <w:rPr>
          <w:vertAlign w:val="subscript"/>
        </w:rPr>
        <w:t>max</w:t>
      </w:r>
      <w:r>
        <w:t xml:space="preserve"> (T</w:t>
      </w:r>
      <w:r w:rsidRPr="00386040">
        <w:rPr>
          <w:vertAlign w:val="subscript"/>
        </w:rPr>
        <w:t>max</w:t>
      </w:r>
      <w:r>
        <w:t xml:space="preserve">) </w:t>
      </w:r>
      <w:r w:rsidRPr="00883CEA">
        <w:t xml:space="preserve">was about 2 h later with food) but the extent of absorption (AUC) was not changed. It is concluded by the </w:t>
      </w:r>
      <w:r>
        <w:t>sponsor</w:t>
      </w:r>
      <w:r w:rsidRPr="00883CEA">
        <w:t xml:space="preserve"> that food has no clinically relevant effect on apalutamide bioavailability therefore apalutamide can be taken with or without food.</w:t>
      </w:r>
    </w:p>
    <w:p w:rsidR="00E660F2" w:rsidRDefault="00E660F2" w:rsidP="00E660F2">
      <w:pPr>
        <w:pStyle w:val="Heading3"/>
      </w:pPr>
      <w:bookmarkStart w:id="46" w:name="_Toc523915055"/>
      <w:bookmarkStart w:id="47" w:name="_Toc196046439"/>
      <w:bookmarkStart w:id="48" w:name="_Toc247691510"/>
      <w:bookmarkStart w:id="49" w:name="_Toc314842494"/>
      <w:bookmarkStart w:id="50" w:name="_Toc5014056"/>
      <w:r>
        <w:t>Biopharmaceutics</w:t>
      </w:r>
      <w:bookmarkEnd w:id="50"/>
    </w:p>
    <w:p w:rsidR="00E660F2" w:rsidRDefault="00E660F2" w:rsidP="00E660F2">
      <w:r w:rsidRPr="0004164D">
        <w:t xml:space="preserve">Early development and clinical trials involved 30 mg </w:t>
      </w:r>
      <w:r>
        <w:t>soft gel</w:t>
      </w:r>
      <w:r w:rsidRPr="0004164D">
        <w:t xml:space="preserve"> capsules before patients were moved on to the proposed tablet formulation. Note that the commercial product is stated to differ from the pivotal </w:t>
      </w:r>
      <w:r>
        <w:t>P</w:t>
      </w:r>
      <w:r w:rsidRPr="0004164D">
        <w:t xml:space="preserve">hase </w:t>
      </w:r>
      <w:r>
        <w:t>III</w:t>
      </w:r>
      <w:r w:rsidRPr="0004164D">
        <w:t xml:space="preserve"> formulation only by debossme</w:t>
      </w:r>
      <w:r>
        <w:t>nt for identification purposes.</w:t>
      </w:r>
    </w:p>
    <w:p w:rsidR="00E660F2" w:rsidRPr="00BB20E8" w:rsidRDefault="00E660F2" w:rsidP="00E660F2">
      <w:pPr>
        <w:spacing w:before="0" w:after="200" w:line="240" w:lineRule="auto"/>
      </w:pPr>
      <w:r>
        <w:t>Bios</w:t>
      </w:r>
      <w:r w:rsidRPr="004E6DEC">
        <w:t xml:space="preserve">tudy </w:t>
      </w:r>
      <w:r w:rsidRPr="00D55398">
        <w:t>56021927PCR1017</w:t>
      </w:r>
      <w:r>
        <w:t xml:space="preserve"> </w:t>
      </w:r>
      <w:r w:rsidRPr="004E6DEC">
        <w:t xml:space="preserve">investigated changes </w:t>
      </w:r>
      <w:r>
        <w:t>to the</w:t>
      </w:r>
      <w:r w:rsidRPr="004E6DEC">
        <w:t xml:space="preserve"> manufacturing site, scale</w:t>
      </w:r>
      <w:r>
        <w:t xml:space="preserve"> and</w:t>
      </w:r>
      <w:r w:rsidRPr="004E6DEC">
        <w:t xml:space="preserve"> equipment on </w:t>
      </w:r>
      <w:r>
        <w:t xml:space="preserve">the </w:t>
      </w:r>
      <w:r w:rsidRPr="004E6DEC">
        <w:t xml:space="preserve">bioequivalence of </w:t>
      </w:r>
      <w:r w:rsidRPr="00BB20E8">
        <w:t>the products and no difference was noted.</w:t>
      </w:r>
    </w:p>
    <w:p w:rsidR="00E660F2" w:rsidRDefault="00E660F2" w:rsidP="00E660F2">
      <w:r w:rsidRPr="00BB20E8">
        <w:t xml:space="preserve">Debossing does not affect quality or performance of the tablet and in addition to the above biostudy the company has provided dissolution data for the </w:t>
      </w:r>
      <w:hyperlink r:id="rId16" w:history="1">
        <w:r w:rsidRPr="00C235E3">
          <w:t>batches</w:t>
        </w:r>
      </w:hyperlink>
      <w:r w:rsidRPr="00C235E3">
        <w:t xml:space="preserve"> used in key clinical, bioavailability/bioequivalence and pharmacokinetic studies against batches manufactured in accordance with the proposed method. It is not stated, but is assumed, that the proposed dissolution method has been used for this comparison. The dissolution </w:t>
      </w:r>
      <w:hyperlink r:id="rId17" w:history="1">
        <w:r w:rsidRPr="00C235E3">
          <w:t>profiles</w:t>
        </w:r>
      </w:hyperlink>
      <w:r>
        <w:t xml:space="preserve"> </w:t>
      </w:r>
      <w:r w:rsidRPr="00BB20E8">
        <w:t>appear similar and the provided similarity factor (</w:t>
      </w:r>
      <w:r w:rsidRPr="00BB20E8">
        <w:rPr>
          <w:i/>
        </w:rPr>
        <w:t>f</w:t>
      </w:r>
      <w:r w:rsidRPr="00BB20E8">
        <w:rPr>
          <w:vertAlign w:val="subscript"/>
        </w:rPr>
        <w:t>2</w:t>
      </w:r>
      <w:r w:rsidRPr="00BB20E8">
        <w:t xml:space="preserve">) values for all comparisons are greater than 50, which further support the similarity of the </w:t>
      </w:r>
      <w:r>
        <w:t>products.</w:t>
      </w:r>
    </w:p>
    <w:p w:rsidR="00E660F2" w:rsidRPr="00D55398" w:rsidRDefault="00E660F2" w:rsidP="00E660F2">
      <w:r w:rsidRPr="00D55398">
        <w:t>For reference</w:t>
      </w:r>
      <w:r>
        <w:t>,</w:t>
      </w:r>
      <w:r w:rsidRPr="00D55398">
        <w:t xml:space="preserve"> the following studies are </w:t>
      </w:r>
      <w:r>
        <w:t>noted:</w:t>
      </w:r>
    </w:p>
    <w:p w:rsidR="00E660F2" w:rsidRDefault="00E660F2" w:rsidP="00E660F2">
      <w:pPr>
        <w:pStyle w:val="ListBullet"/>
        <w:numPr>
          <w:ilvl w:val="0"/>
          <w:numId w:val="1"/>
        </w:numPr>
      </w:pPr>
      <w:r>
        <w:t>A</w:t>
      </w:r>
      <w:r w:rsidRPr="00A02C70">
        <w:t xml:space="preserve"> single-dose, open-label, </w:t>
      </w:r>
      <w:r>
        <w:t>randomised</w:t>
      </w:r>
      <w:r w:rsidRPr="00A02C70">
        <w:t>, parallel-group study to assess the relative bioavailability of 3 tablet formulations of jnj-56021927 with respect to the capsule formulation of JNJ-56021927 in healthy male subjects (Study 56021927PCR1011).</w:t>
      </w:r>
    </w:p>
    <w:p w:rsidR="00E660F2" w:rsidRPr="00A02C70" w:rsidRDefault="00E660F2" w:rsidP="00E660F2">
      <w:r w:rsidRPr="00A02C70">
        <w:t>A secondary objective was to investigate the effect of concomitant food intake.</w:t>
      </w:r>
      <w:r>
        <w:t xml:space="preserve"> </w:t>
      </w:r>
      <w:r w:rsidRPr="00A02C70">
        <w:t>The PI recommends dosing with or without food and the study found that food intake did not significantly alter AUC and C</w:t>
      </w:r>
      <w:r w:rsidRPr="00A02C70">
        <w:rPr>
          <w:vertAlign w:val="subscript"/>
        </w:rPr>
        <w:t>max</w:t>
      </w:r>
      <w:r w:rsidRPr="00A02C70">
        <w:t xml:space="preserve"> but did delay T</w:t>
      </w:r>
      <w:r w:rsidRPr="00A02C70">
        <w:rPr>
          <w:vertAlign w:val="subscript"/>
        </w:rPr>
        <w:t>max</w:t>
      </w:r>
      <w:r w:rsidRPr="00A02C70">
        <w:t xml:space="preserve"> by approximately 2 h.</w:t>
      </w:r>
    </w:p>
    <w:p w:rsidR="00E660F2" w:rsidRPr="00A02C70" w:rsidRDefault="00E660F2" w:rsidP="00E660F2">
      <w:pPr>
        <w:pStyle w:val="ListBullet"/>
        <w:numPr>
          <w:ilvl w:val="0"/>
          <w:numId w:val="1"/>
        </w:numPr>
      </w:pPr>
      <w:r>
        <w:t>A</w:t>
      </w:r>
      <w:r w:rsidRPr="00A02C70">
        <w:t xml:space="preserve"> s</w:t>
      </w:r>
      <w:r>
        <w:t>ingle-dose, open-label, randomis</w:t>
      </w:r>
      <w:r w:rsidRPr="00A02C70">
        <w:t>ed, crossover study to evaluate the bioavailability of JNJ-56021927 tablet formulation manufactured from different batches varying in particle size distribution in healthy male subjects (Study</w:t>
      </w:r>
      <w:r>
        <w:t> </w:t>
      </w:r>
      <w:r w:rsidRPr="00A02C70">
        <w:t>56021927PCR1015).</w:t>
      </w:r>
    </w:p>
    <w:p w:rsidR="00E660F2" w:rsidRPr="00A02C70" w:rsidRDefault="00E660F2" w:rsidP="00E660F2">
      <w:pPr>
        <w:pStyle w:val="ListBullet"/>
        <w:numPr>
          <w:ilvl w:val="0"/>
          <w:numId w:val="1"/>
        </w:numPr>
      </w:pPr>
      <w:r w:rsidRPr="00A02C70">
        <w:t xml:space="preserve">A single-dose, open-label, </w:t>
      </w:r>
      <w:r>
        <w:t>randomised</w:t>
      </w:r>
      <w:r w:rsidRPr="00A02C70">
        <w:t>, crossover study to evaluate the bioavailability of JNJ-56021927</w:t>
      </w:r>
      <w:r>
        <w:t xml:space="preserve"> </w:t>
      </w:r>
      <w:r w:rsidRPr="00A02C70">
        <w:t>tablet formulation from different manufacturing sites in healthy male subjects. (Study</w:t>
      </w:r>
      <w:r>
        <w:t xml:space="preserve"> </w:t>
      </w:r>
      <w:r w:rsidRPr="00A02C70">
        <w:t>56021927PCR1017)</w:t>
      </w:r>
      <w:r>
        <w:t>.</w:t>
      </w:r>
    </w:p>
    <w:p w:rsidR="00E660F2" w:rsidRDefault="00E660F2" w:rsidP="00E660F2">
      <w:pPr>
        <w:pStyle w:val="ListBullet"/>
        <w:numPr>
          <w:ilvl w:val="0"/>
          <w:numId w:val="1"/>
        </w:numPr>
      </w:pPr>
      <w:r w:rsidRPr="009A37F5">
        <w:rPr>
          <w:vertAlign w:val="superscript"/>
        </w:rPr>
        <w:t>14</w:t>
      </w:r>
      <w:r w:rsidRPr="00A02C70">
        <w:t>C-ARN-509 micro</w:t>
      </w:r>
      <w:r>
        <w:t xml:space="preserve"> </w:t>
      </w:r>
      <w:r w:rsidRPr="00A02C70">
        <w:t>dose absolute bioavailability and micro</w:t>
      </w:r>
      <w:r>
        <w:t xml:space="preserve"> </w:t>
      </w:r>
      <w:r w:rsidRPr="00A02C70">
        <w:t>tracer absorption, metabolism, and excretion study in healthy volunteers (Study ARN-509-006)</w:t>
      </w:r>
      <w:r>
        <w:t xml:space="preserve">. </w:t>
      </w:r>
      <w:r w:rsidRPr="00A02C70">
        <w:t xml:space="preserve">The study involved oral dosing (240 mg </w:t>
      </w:r>
      <w:r>
        <w:t>soft gel</w:t>
      </w:r>
      <w:r w:rsidRPr="00A02C70">
        <w:t xml:space="preserve"> capsules) followed by IV infusion (100 µg </w:t>
      </w:r>
      <w:r w:rsidRPr="00A02C70">
        <w:rPr>
          <w:vertAlign w:val="superscript"/>
        </w:rPr>
        <w:t>14</w:t>
      </w:r>
      <w:r w:rsidRPr="00A02C70">
        <w:t>C-apalutamide) 2 h later. Oral bioavailability was found to be approximately 100 % and is sta</w:t>
      </w:r>
      <w:r>
        <w:t>ted in the PI.</w:t>
      </w:r>
    </w:p>
    <w:p w:rsidR="00E660F2" w:rsidRPr="00494EE4" w:rsidRDefault="00E660F2" w:rsidP="00E660F2">
      <w:pPr>
        <w:rPr>
          <w:highlight w:val="yellow"/>
          <w:lang w:eastAsia="en-AU"/>
        </w:rPr>
      </w:pPr>
      <w:r w:rsidRPr="00894E59">
        <w:rPr>
          <w:lang w:eastAsia="en-AU"/>
        </w:rPr>
        <w:t xml:space="preserve">The </w:t>
      </w:r>
      <w:r>
        <w:rPr>
          <w:lang w:eastAsia="en-AU"/>
        </w:rPr>
        <w:t>sponsor</w:t>
      </w:r>
      <w:r w:rsidRPr="00894E59">
        <w:rPr>
          <w:lang w:eastAsia="en-AU"/>
        </w:rPr>
        <w:t xml:space="preserve"> states that they have performed a virtual bioequivalence trial, based on 10</w:t>
      </w:r>
      <w:r>
        <w:rPr>
          <w:lang w:eastAsia="en-AU"/>
        </w:rPr>
        <w:t> </w:t>
      </w:r>
      <w:r w:rsidRPr="00894E59">
        <w:rPr>
          <w:lang w:eastAsia="en-AU"/>
        </w:rPr>
        <w:t>virtual trials</w:t>
      </w:r>
      <w:r>
        <w:rPr>
          <w:lang w:eastAsia="en-AU"/>
        </w:rPr>
        <w:t>.</w:t>
      </w:r>
    </w:p>
    <w:p w:rsidR="00E660F2" w:rsidRPr="006276F4" w:rsidRDefault="00E660F2" w:rsidP="00E660F2">
      <w:r w:rsidRPr="006276F4">
        <w:t>The bioavailability and bioequivalence studie</w:t>
      </w:r>
      <w:r w:rsidR="00192C8B">
        <w:t>s are briefly summarised below.</w:t>
      </w:r>
    </w:p>
    <w:p w:rsidR="00E660F2" w:rsidRPr="00EE49EF" w:rsidRDefault="00E660F2" w:rsidP="00E660F2">
      <w:pPr>
        <w:pStyle w:val="Heading5"/>
      </w:pPr>
      <w:r w:rsidRPr="00B24948">
        <w:lastRenderedPageBreak/>
        <w:t xml:space="preserve">Absolute bioavailability </w:t>
      </w:r>
      <w:r>
        <w:t>(</w:t>
      </w:r>
      <w:r w:rsidRPr="00B24948">
        <w:t>Study ARN-509-006</w:t>
      </w:r>
      <w:r>
        <w:t>)</w:t>
      </w:r>
    </w:p>
    <w:p w:rsidR="00E660F2" w:rsidRDefault="00E660F2" w:rsidP="00E660F2">
      <w:r>
        <w:t>This study was designed to investigate the absolute bioavailability and absorption, distribution and metabolism of radiolabelled apalutamide (</w:t>
      </w:r>
      <w:r w:rsidRPr="00EE49EF">
        <w:rPr>
          <w:vertAlign w:val="superscript"/>
        </w:rPr>
        <w:t>14</w:t>
      </w:r>
      <w:r>
        <w:t xml:space="preserve">C-apalutamide). Healthy subjects were dosed with apalutamide, 240 mg as capsules, followed by 100 µg of </w:t>
      </w:r>
      <w:r w:rsidRPr="00B24948">
        <w:rPr>
          <w:vertAlign w:val="superscript"/>
        </w:rPr>
        <w:t>14</w:t>
      </w:r>
      <w:r>
        <w:t>C</w:t>
      </w:r>
      <w:r>
        <w:noBreakHyphen/>
        <w:t>apalutamide by IV infusion.</w:t>
      </w:r>
    </w:p>
    <w:p w:rsidR="00E660F2" w:rsidRDefault="00E660F2" w:rsidP="00E660F2">
      <w:r>
        <w:t>Selected summary data are presented below</w:t>
      </w:r>
      <w:r w:rsidRPr="00B24948">
        <w:t xml:space="preserve"> </w:t>
      </w:r>
      <w:r>
        <w:t xml:space="preserve">and an absolute bioavailability of 1.1 for the oral formulation is calculated. </w:t>
      </w:r>
      <w:r w:rsidRPr="0057218D">
        <w:t>A result &gt; 1 may be due to variability of analytical methods and this result will be accepted.</w:t>
      </w:r>
    </w:p>
    <w:p w:rsidR="00E660F2" w:rsidRPr="00165824" w:rsidRDefault="00E660F2" w:rsidP="00E660F2">
      <w:pPr>
        <w:pStyle w:val="TableTitle"/>
      </w:pPr>
      <w:r>
        <w:t xml:space="preserve">Table 1: Summary of statistics of PK parameters for ARN-509 (apalutamide), M3, M4 and </w:t>
      </w:r>
      <w:r w:rsidRPr="009A37F5">
        <w:rPr>
          <w:vertAlign w:val="superscript"/>
        </w:rPr>
        <w:t>14</w:t>
      </w:r>
      <w:r>
        <w:t>C</w:t>
      </w:r>
      <w:r>
        <w:noBreakHyphen/>
        <w:t>apalutamide in plasma</w:t>
      </w:r>
    </w:p>
    <w:p w:rsidR="00E660F2" w:rsidRPr="00B24948" w:rsidRDefault="00E660F2" w:rsidP="00E660F2">
      <w:r>
        <w:rPr>
          <w:noProof/>
          <w:lang w:eastAsia="en-AU"/>
        </w:rPr>
        <w:drawing>
          <wp:inline distT="0" distB="0" distL="0" distR="0" wp14:anchorId="0CCEEE6B" wp14:editId="799D3E08">
            <wp:extent cx="5619750" cy="2571750"/>
            <wp:effectExtent l="0" t="0" r="0" b="0"/>
            <wp:docPr id="8" name="Picture 8" descr="Summary of statistics of PK parameters for apalutamide, M3, M4 and 14C-apalutamide in pla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Lst>
                    </a:blip>
                    <a:srcRect l="1323" r="1137"/>
                    <a:stretch/>
                  </pic:blipFill>
                  <pic:spPr bwMode="auto">
                    <a:xfrm>
                      <a:off x="0" y="0"/>
                      <a:ext cx="5618981" cy="2571398"/>
                    </a:xfrm>
                    <a:prstGeom prst="rect">
                      <a:avLst/>
                    </a:prstGeom>
                    <a:ln>
                      <a:noFill/>
                    </a:ln>
                    <a:extLst>
                      <a:ext uri="{53640926-AAD7-44D8-BBD7-CCE9431645EC}">
                        <a14:shadowObscured xmlns:a14="http://schemas.microsoft.com/office/drawing/2010/main"/>
                      </a:ext>
                    </a:extLst>
                  </pic:spPr>
                </pic:pic>
              </a:graphicData>
            </a:graphic>
          </wp:inline>
        </w:drawing>
      </w:r>
    </w:p>
    <w:p w:rsidR="00E660F2" w:rsidRPr="00872055" w:rsidRDefault="00E660F2" w:rsidP="00E660F2">
      <w:pPr>
        <w:pStyle w:val="Heading5"/>
      </w:pPr>
      <w:r w:rsidRPr="00D26259">
        <w:t xml:space="preserve">Bioequivalence of market and clinical trial formulations </w:t>
      </w:r>
      <w:r>
        <w:t>and e</w:t>
      </w:r>
      <w:r w:rsidRPr="00872055">
        <w:t xml:space="preserve">ffect of food </w:t>
      </w:r>
      <w:r>
        <w:t>(</w:t>
      </w:r>
      <w:r w:rsidRPr="00872055">
        <w:t>Study</w:t>
      </w:r>
      <w:r>
        <w:t> </w:t>
      </w:r>
      <w:r w:rsidRPr="00872055">
        <w:t>56021927PCR1011</w:t>
      </w:r>
      <w:r>
        <w:t>)</w:t>
      </w:r>
    </w:p>
    <w:p w:rsidR="00E660F2" w:rsidRDefault="00E660F2" w:rsidP="00E660F2">
      <w:r>
        <w:t>This study was primarily designed to investigate bioavailability of various formulations with a secondary objective to investigate the effect of food.</w:t>
      </w:r>
    </w:p>
    <w:p w:rsidR="00E660F2" w:rsidRPr="00165824" w:rsidRDefault="00E660F2" w:rsidP="00E660F2">
      <w:pPr>
        <w:pStyle w:val="TableTitle"/>
      </w:pPr>
      <w:r>
        <w:t>Table 2: The effect of food on the comparative bioavailability of JNJ-56021927 (apalutamide)</w:t>
      </w:r>
    </w:p>
    <w:p w:rsidR="00E660F2" w:rsidRPr="00EE49EF" w:rsidRDefault="00E660F2" w:rsidP="00E660F2">
      <w:pPr>
        <w:rPr>
          <w:highlight w:val="yellow"/>
        </w:rPr>
      </w:pPr>
      <w:r w:rsidRPr="00EE49EF">
        <w:rPr>
          <w:noProof/>
          <w:highlight w:val="yellow"/>
          <w:lang w:eastAsia="en-AU"/>
        </w:rPr>
        <w:drawing>
          <wp:inline distT="0" distB="0" distL="0" distR="0" wp14:anchorId="2061BDD5" wp14:editId="60BC50B2">
            <wp:extent cx="5760720" cy="2012559"/>
            <wp:effectExtent l="0" t="0" r="0" b="6985"/>
            <wp:docPr id="6" name="Picture 6" descr="The effect of food on the comparative bioavailability of JNJ-5602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5760720" cy="2012559"/>
                    </a:xfrm>
                    <a:prstGeom prst="rect">
                      <a:avLst/>
                    </a:prstGeom>
                  </pic:spPr>
                </pic:pic>
              </a:graphicData>
            </a:graphic>
          </wp:inline>
        </w:drawing>
      </w:r>
    </w:p>
    <w:p w:rsidR="00E660F2" w:rsidRPr="00921002" w:rsidRDefault="00E660F2" w:rsidP="00E660F2">
      <w:r w:rsidRPr="00921002">
        <w:t>It was noted that:</w:t>
      </w:r>
    </w:p>
    <w:p w:rsidR="00E660F2" w:rsidRPr="00921002" w:rsidRDefault="00E660F2" w:rsidP="00E660F2">
      <w:pPr>
        <w:pStyle w:val="ListBullet"/>
        <w:numPr>
          <w:ilvl w:val="0"/>
          <w:numId w:val="1"/>
        </w:numPr>
      </w:pPr>
      <w:r w:rsidRPr="00921002">
        <w:t>The product fails to meet the bioequivalence criteria for C</w:t>
      </w:r>
      <w:r w:rsidRPr="00921002">
        <w:rPr>
          <w:vertAlign w:val="subscript"/>
        </w:rPr>
        <w:t>max</w:t>
      </w:r>
      <w:r w:rsidRPr="00921002">
        <w:t xml:space="preserve"> and AUC</w:t>
      </w:r>
      <w:r w:rsidRPr="00921002">
        <w:rPr>
          <w:vertAlign w:val="subscript"/>
        </w:rPr>
        <w:t xml:space="preserve">0-72 </w:t>
      </w:r>
      <w:r w:rsidRPr="00921002">
        <w:t>as the lower limits of the 90% CI fall below 80% (AUC</w:t>
      </w:r>
      <w:r w:rsidRPr="00921002">
        <w:rPr>
          <w:vertAlign w:val="subscript"/>
        </w:rPr>
        <w:t>0-72</w:t>
      </w:r>
      <w:r w:rsidRPr="00921002">
        <w:t xml:space="preserve"> ratio = 86.00 and 90% CI (74.71 </w:t>
      </w:r>
      <w:r>
        <w:t>to</w:t>
      </w:r>
      <w:r w:rsidRPr="00921002">
        <w:t xml:space="preserve"> 99.00). The </w:t>
      </w:r>
      <w:r w:rsidR="00192C8B">
        <w:t>evaluator</w:t>
      </w:r>
      <w:r w:rsidRPr="00921002">
        <w:t xml:space="preserve"> also notes that the 90 % CI of the recalculated AUC</w:t>
      </w:r>
      <w:r w:rsidRPr="00921002">
        <w:rPr>
          <w:vertAlign w:val="subscript"/>
        </w:rPr>
        <w:t>I</w:t>
      </w:r>
      <w:r w:rsidRPr="00921002">
        <w:t xml:space="preserve"> (AUC</w:t>
      </w:r>
      <w:r w:rsidRPr="00921002">
        <w:rPr>
          <w:vertAlign w:val="subscript"/>
        </w:rPr>
        <w:t>∞</w:t>
      </w:r>
      <w:r w:rsidRPr="00921002">
        <w:t>) exceeds 125% (133.83 %), which differs from that tabulated above.</w:t>
      </w:r>
    </w:p>
    <w:p w:rsidR="00E660F2" w:rsidRPr="00921002" w:rsidRDefault="00E660F2" w:rsidP="00E660F2">
      <w:pPr>
        <w:pStyle w:val="ListBullet"/>
        <w:numPr>
          <w:ilvl w:val="0"/>
          <w:numId w:val="1"/>
        </w:numPr>
      </w:pPr>
      <w:r w:rsidRPr="00921002">
        <w:lastRenderedPageBreak/>
        <w:t>The study demonstrates that food does not significantly affect the rate of absorption of apalutamide; C</w:t>
      </w:r>
      <w:r w:rsidRPr="00921002">
        <w:rPr>
          <w:vertAlign w:val="subscript"/>
        </w:rPr>
        <w:t>max</w:t>
      </w:r>
      <w:r w:rsidRPr="00921002">
        <w:t xml:space="preserve"> decreased by 15% and T</w:t>
      </w:r>
      <w:r w:rsidRPr="00921002">
        <w:rPr>
          <w:vertAlign w:val="subscript"/>
        </w:rPr>
        <w:t>max</w:t>
      </w:r>
      <w:r w:rsidRPr="00921002">
        <w:t xml:space="preserve"> was delayed by 2</w:t>
      </w:r>
      <w:r>
        <w:t> </w:t>
      </w:r>
      <w:r w:rsidRPr="00921002">
        <w:t>hours. However, food did affect the extent of absorption of apalutamide. Specifically, the lower limit of the 90% confidence interval for the geometric mean AUC</w:t>
      </w:r>
      <w:r w:rsidRPr="00921002">
        <w:rPr>
          <w:vertAlign w:val="subscript"/>
        </w:rPr>
        <w:t>0-72</w:t>
      </w:r>
      <w:r w:rsidRPr="00921002">
        <w:t xml:space="preserve"> falls below 80%.</w:t>
      </w:r>
    </w:p>
    <w:p w:rsidR="00E660F2" w:rsidRPr="00921002" w:rsidRDefault="00E660F2" w:rsidP="00E660F2">
      <w:pPr>
        <w:pStyle w:val="ListBullet"/>
        <w:numPr>
          <w:ilvl w:val="0"/>
          <w:numId w:val="1"/>
        </w:numPr>
      </w:pPr>
      <w:r w:rsidRPr="00921002">
        <w:t xml:space="preserve">The sponsor concluded that food does not have an effect on apalutamide exposure on the basis of the ratio of the geometric mean for AUC being within the 80.0% </w:t>
      </w:r>
      <w:r>
        <w:t>to</w:t>
      </w:r>
      <w:r w:rsidRPr="00921002">
        <w:t xml:space="preserve"> 125.0%</w:t>
      </w:r>
      <w:r>
        <w:t>.</w:t>
      </w:r>
    </w:p>
    <w:p w:rsidR="00E660F2" w:rsidRPr="00921002" w:rsidRDefault="00E660F2" w:rsidP="00E660F2">
      <w:pPr>
        <w:pStyle w:val="ListBullet"/>
        <w:numPr>
          <w:ilvl w:val="0"/>
          <w:numId w:val="1"/>
        </w:numPr>
      </w:pPr>
      <w:r w:rsidRPr="00921002">
        <w:t>The sponsor has acknowledged that the lower confidence interval limit for AUC</w:t>
      </w:r>
      <w:r w:rsidRPr="00921002">
        <w:rPr>
          <w:vertAlign w:val="subscript"/>
        </w:rPr>
        <w:t>0-72 h</w:t>
      </w:r>
      <w:r w:rsidRPr="00921002">
        <w:t xml:space="preserve"> is below 80.0%. However, the sponsor concluded that the differences in C</w:t>
      </w:r>
      <w:r w:rsidRPr="00921002">
        <w:rPr>
          <w:vertAlign w:val="subscript"/>
        </w:rPr>
        <w:t>max</w:t>
      </w:r>
      <w:r w:rsidRPr="00921002">
        <w:t xml:space="preserve"> and AUC observed with a high-fat, high-caloric meal are not clinically relevant. The sponsor has recommended that the product can be taken with or without food.</w:t>
      </w:r>
    </w:p>
    <w:p w:rsidR="00E660F2" w:rsidRPr="006B02BA" w:rsidRDefault="00E660F2" w:rsidP="00E660F2">
      <w:pPr>
        <w:pStyle w:val="ListBullet2"/>
        <w:numPr>
          <w:ilvl w:val="1"/>
          <w:numId w:val="1"/>
        </w:numPr>
      </w:pPr>
      <w:r w:rsidRPr="00921002">
        <w:t>This has been brought to the attention of the TGA clinical evaluation unit for their consideration</w:t>
      </w:r>
      <w:r>
        <w:t>.</w:t>
      </w:r>
    </w:p>
    <w:p w:rsidR="00E660F2" w:rsidRPr="00D26259" w:rsidRDefault="00E660F2" w:rsidP="00E660F2">
      <w:r w:rsidRPr="001B57C3">
        <w:t xml:space="preserve">The </w:t>
      </w:r>
      <w:r>
        <w:t>study also investigated bioequivalence of various (earlier) formulations.</w:t>
      </w:r>
    </w:p>
    <w:p w:rsidR="00E660F2" w:rsidRPr="00784356" w:rsidRDefault="00E660F2" w:rsidP="00E660F2">
      <w:pPr>
        <w:pStyle w:val="Heading5"/>
      </w:pPr>
      <w:r>
        <w:t>Bioequivalence of tablets with variously sized particles</w:t>
      </w:r>
      <w:r w:rsidRPr="00784356">
        <w:t xml:space="preserve"> </w:t>
      </w:r>
      <w:r>
        <w:t>(</w:t>
      </w:r>
      <w:r w:rsidRPr="00784356">
        <w:t>Study</w:t>
      </w:r>
      <w:r>
        <w:t> </w:t>
      </w:r>
      <w:r w:rsidRPr="00784356">
        <w:t>56021927PCR1015</w:t>
      </w:r>
      <w:r>
        <w:t>)</w:t>
      </w:r>
    </w:p>
    <w:p w:rsidR="00E660F2" w:rsidRDefault="00E660F2" w:rsidP="00E660F2">
      <w:r>
        <w:t>This was a randomised, open label, single centre, single dose, 2-way crossover study in 56 healthy male subjects that were randomly assigned to 1 of 8 treatment sequences. Four test formulations (Treatments B, C, D, and E</w:t>
      </w:r>
      <w:r w:rsidRPr="00784356">
        <w:t>), containing with various particle sizes, were evaluated relative to the refe</w:t>
      </w:r>
      <w:r>
        <w:t>rence (commercial) tablet (Treatment A).</w:t>
      </w:r>
    </w:p>
    <w:p w:rsidR="00E660F2" w:rsidRDefault="00E660F2" w:rsidP="00E660F2">
      <w:pPr>
        <w:pStyle w:val="TableTitle"/>
      </w:pPr>
      <w:r>
        <w:lastRenderedPageBreak/>
        <w:t>Table 3: Arithmetic mean pharmacokinetic parameters for JNJ-560021927 (apalutamide) by cross-over (Treatment A to E) (</w:t>
      </w:r>
      <w:r w:rsidRPr="00784356">
        <w:t>Study 56021927PCR1015</w:t>
      </w:r>
      <w:r>
        <w:t>)</w:t>
      </w:r>
    </w:p>
    <w:p w:rsidR="00E660F2" w:rsidRDefault="00E660F2" w:rsidP="008F0588">
      <w:r>
        <w:rPr>
          <w:noProof/>
          <w:lang w:eastAsia="en-AU"/>
        </w:rPr>
        <w:drawing>
          <wp:inline distT="0" distB="0" distL="0" distR="0" wp14:anchorId="39DB1FA5" wp14:editId="2659C21A">
            <wp:extent cx="5537051" cy="6257925"/>
            <wp:effectExtent l="0" t="0" r="6985" b="0"/>
            <wp:docPr id="11" name="Picture 11" descr="Table 3: Arithmetic mean pharmacokinetic parameters for JNJ-560021927 (apalutamide) by cross-over (Treatment A to E) (Study 56021927PCR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Lst>
                    </a:blip>
                    <a:srcRect t="1202" b="2511"/>
                    <a:stretch/>
                  </pic:blipFill>
                  <pic:spPr bwMode="auto">
                    <a:xfrm>
                      <a:off x="0" y="0"/>
                      <a:ext cx="5546182" cy="6268244"/>
                    </a:xfrm>
                    <a:prstGeom prst="rect">
                      <a:avLst/>
                    </a:prstGeom>
                    <a:ln>
                      <a:noFill/>
                    </a:ln>
                    <a:extLst>
                      <a:ext uri="{53640926-AAD7-44D8-BBD7-CCE9431645EC}">
                        <a14:shadowObscured xmlns:a14="http://schemas.microsoft.com/office/drawing/2010/main"/>
                      </a:ext>
                    </a:extLst>
                  </pic:spPr>
                </pic:pic>
              </a:graphicData>
            </a:graphic>
          </wp:inline>
        </w:drawing>
      </w:r>
    </w:p>
    <w:p w:rsidR="00E660F2" w:rsidRDefault="00E660F2" w:rsidP="00E660F2">
      <w:pPr>
        <w:pStyle w:val="TableDescription"/>
      </w:pPr>
      <w:r>
        <w:t>Note: Commercial in confidence material has been removed from table legend.</w:t>
      </w:r>
    </w:p>
    <w:p w:rsidR="00E660F2" w:rsidRPr="00781934" w:rsidRDefault="00E660F2" w:rsidP="00E660F2">
      <w:pPr>
        <w:pStyle w:val="Heading5"/>
      </w:pPr>
      <w:r w:rsidRPr="00781934">
        <w:t xml:space="preserve">Bioavailability of batches manufactured at different sites </w:t>
      </w:r>
      <w:r>
        <w:t>(</w:t>
      </w:r>
      <w:r w:rsidRPr="00781934">
        <w:t>Study 56021927PCR1017</w:t>
      </w:r>
      <w:r>
        <w:t>)</w:t>
      </w:r>
    </w:p>
    <w:p w:rsidR="00E660F2" w:rsidRDefault="00E660F2" w:rsidP="00E660F2">
      <w:pPr>
        <w:spacing w:before="0" w:after="0" w:line="240" w:lineRule="auto"/>
      </w:pPr>
      <w:r>
        <w:t>This was a randomised, open-label, single-centre, single-dose, 4-sequence, 2-period, 2-way crossover study in 48 healthy male subjects. Two batches (Treatment B and C) of the proposed tablets from different manufacturing sites were evaluated relative to the reference batch.</w:t>
      </w:r>
    </w:p>
    <w:p w:rsidR="00E660F2" w:rsidRDefault="00E660F2" w:rsidP="00E660F2">
      <w:r w:rsidRPr="007A6889">
        <w:t>No notable differences are reported.</w:t>
      </w:r>
    </w:p>
    <w:p w:rsidR="00E660F2" w:rsidRPr="00942323" w:rsidRDefault="00E660F2" w:rsidP="00E660F2">
      <w:pPr>
        <w:pStyle w:val="Heading5"/>
      </w:pPr>
      <w:bookmarkStart w:id="51" w:name="_Toc424563235"/>
      <w:bookmarkStart w:id="52" w:name="_Toc517695801"/>
      <w:r w:rsidRPr="00942323">
        <w:t xml:space="preserve">In vitro </w:t>
      </w:r>
      <w:r>
        <w:t>versus</w:t>
      </w:r>
      <w:r w:rsidRPr="00942323">
        <w:t xml:space="preserve"> in vivo correlation studies reports</w:t>
      </w:r>
      <w:bookmarkEnd w:id="51"/>
      <w:bookmarkEnd w:id="52"/>
    </w:p>
    <w:p w:rsidR="00E660F2" w:rsidRPr="00080CEC" w:rsidRDefault="00E660F2" w:rsidP="00E660F2">
      <w:r w:rsidRPr="00080CEC">
        <w:t xml:space="preserve">Modelling (‘virtual bioequivalence’) </w:t>
      </w:r>
      <w:hyperlink r:id="rId24" w:history="1">
        <w:r w:rsidRPr="00080CEC">
          <w:rPr>
            <w:rStyle w:val="Hyperlink"/>
            <w:color w:val="auto"/>
            <w:u w:val="none"/>
          </w:rPr>
          <w:t>studies</w:t>
        </w:r>
      </w:hyperlink>
      <w:r w:rsidRPr="00080CEC">
        <w:t xml:space="preserve"> have been performed to investigate effects of manufacturing processes</w:t>
      </w:r>
      <w:r>
        <w:t xml:space="preserve"> and</w:t>
      </w:r>
      <w:r w:rsidRPr="00080CEC">
        <w:t xml:space="preserve"> apalutamide crystallinity on dissolution and absorption of </w:t>
      </w:r>
      <w:r w:rsidRPr="00080CEC">
        <w:lastRenderedPageBreak/>
        <w:t>apalutamide. The basis of this study is stated to be the results of the previously performed biostudies and the results have not been assessed here.</w:t>
      </w:r>
    </w:p>
    <w:p w:rsidR="00E660F2" w:rsidRDefault="00E660F2" w:rsidP="00E660F2">
      <w:pPr>
        <w:pStyle w:val="Heading3"/>
      </w:pPr>
      <w:bookmarkStart w:id="53" w:name="_Toc5014057"/>
      <w:r>
        <w:t>Quality summary and recommendation</w:t>
      </w:r>
      <w:bookmarkEnd w:id="46"/>
      <w:bookmarkEnd w:id="53"/>
    </w:p>
    <w:p w:rsidR="00E660F2" w:rsidRPr="00386040" w:rsidRDefault="00E660F2" w:rsidP="00E660F2">
      <w:r w:rsidRPr="00386040">
        <w:t>The application and the supporting data relating to the composition, development, manufacture, quality control, stability and bioavailability of the product have been assessed and checked for compliance, as applicable, with Australian legislation and requirements for new medicines and in accordance with pharmacopoeial standards and the technical guidelines adopted by the TGA.</w:t>
      </w:r>
    </w:p>
    <w:p w:rsidR="00E660F2" w:rsidRPr="00B90C95" w:rsidRDefault="00E660F2" w:rsidP="00E660F2">
      <w:r w:rsidRPr="00B90C95">
        <w:t>There are no further issues outstanding regarding Australian specific documents (labels and PI) and requirements (Therapeutic Goods Orders).</w:t>
      </w:r>
    </w:p>
    <w:p w:rsidR="00E660F2" w:rsidRPr="00B90C95" w:rsidRDefault="00192C8B" w:rsidP="00E660F2">
      <w:r>
        <w:t>A</w:t>
      </w:r>
      <w:r w:rsidR="00E660F2" w:rsidRPr="00B90C95">
        <w:t xml:space="preserve">pproval is </w:t>
      </w:r>
      <w:sdt>
        <w:sdtPr>
          <w:alias w:val="Approval"/>
          <w:tag w:val="Approval"/>
          <w:id w:val="484980185"/>
          <w:dropDownList>
            <w:listItem w:displayText="recommended" w:value="recommended"/>
            <w:listItem w:displayText="not recommended " w:value="not recommended "/>
            <w:listItem w:displayText="Choose an item" w:value="Choose an item"/>
          </w:dropDownList>
        </w:sdtPr>
        <w:sdtContent>
          <w:r w:rsidR="00E660F2" w:rsidRPr="00B90C95">
            <w:t>recommended</w:t>
          </w:r>
        </w:sdtContent>
      </w:sdt>
      <w:r w:rsidR="00E660F2" w:rsidRPr="00B90C95">
        <w:t xml:space="preserve"> for registration of the proposed product</w:t>
      </w:r>
      <w:r w:rsidR="00E660F2" w:rsidRPr="00B90C95">
        <w:rPr>
          <w:b/>
        </w:rPr>
        <w:t xml:space="preserve"> </w:t>
      </w:r>
      <w:r w:rsidR="00E660F2" w:rsidRPr="00B90C95">
        <w:t>from a pharmaceutical chemistry perspective.</w:t>
      </w:r>
    </w:p>
    <w:p w:rsidR="00E660F2" w:rsidRDefault="00E660F2" w:rsidP="00E660F2">
      <w:r w:rsidRPr="00B90C95">
        <w:t xml:space="preserve">The following details </w:t>
      </w:r>
      <w:r>
        <w:t xml:space="preserve">(Table 4) </w:t>
      </w:r>
      <w:r w:rsidRPr="00B90C95">
        <w:t>relate to this submission</w:t>
      </w:r>
      <w:r>
        <w:t>.</w:t>
      </w:r>
    </w:p>
    <w:p w:rsidR="00E660F2" w:rsidRDefault="00E660F2" w:rsidP="00E660F2">
      <w:pPr>
        <w:pStyle w:val="TableTitle"/>
      </w:pPr>
      <w:r>
        <w:t>Table 4: Submission details</w:t>
      </w:r>
    </w:p>
    <w:tbl>
      <w:tblPr>
        <w:tblStyle w:val="TableGrid2"/>
        <w:tblW w:w="8188" w:type="dxa"/>
        <w:tblLook w:val="04A0" w:firstRow="1" w:lastRow="0" w:firstColumn="1" w:lastColumn="0" w:noHBand="0" w:noVBand="1"/>
      </w:tblPr>
      <w:tblGrid>
        <w:gridCol w:w="2235"/>
        <w:gridCol w:w="5953"/>
      </w:tblGrid>
      <w:tr w:rsidR="00E660F2" w:rsidRPr="00291149" w:rsidTr="008F0588">
        <w:trPr>
          <w:tblHeader/>
        </w:trPr>
        <w:tc>
          <w:tcPr>
            <w:tcW w:w="2235" w:type="dxa"/>
            <w:shd w:val="clear" w:color="auto" w:fill="006DA9"/>
          </w:tcPr>
          <w:p w:rsidR="00E660F2" w:rsidRPr="00A32091" w:rsidRDefault="00E660F2" w:rsidP="008F0588">
            <w:pPr>
              <w:rPr>
                <w:b/>
                <w:color w:val="FFFFFF" w:themeColor="background1"/>
                <w:lang w:eastAsia="en-US"/>
              </w:rPr>
            </w:pPr>
            <w:r w:rsidRPr="00A32091">
              <w:rPr>
                <w:b/>
                <w:color w:val="FFFFFF" w:themeColor="background1"/>
                <w:lang w:eastAsia="en-US"/>
              </w:rPr>
              <w:t>Topic</w:t>
            </w:r>
          </w:p>
        </w:tc>
        <w:tc>
          <w:tcPr>
            <w:tcW w:w="5953" w:type="dxa"/>
            <w:shd w:val="clear" w:color="auto" w:fill="006DA9"/>
          </w:tcPr>
          <w:p w:rsidR="00E660F2" w:rsidRPr="00A32091" w:rsidRDefault="00E660F2" w:rsidP="008F0588">
            <w:pPr>
              <w:rPr>
                <w:b/>
                <w:color w:val="FFFFFF" w:themeColor="background1"/>
                <w:lang w:eastAsia="en-US"/>
              </w:rPr>
            </w:pPr>
            <w:r w:rsidRPr="00A32091">
              <w:rPr>
                <w:b/>
                <w:color w:val="FFFFFF" w:themeColor="background1"/>
                <w:lang w:eastAsia="en-US"/>
              </w:rPr>
              <w:t>Details</w:t>
            </w:r>
          </w:p>
        </w:tc>
      </w:tr>
      <w:tr w:rsidR="00E660F2" w:rsidRPr="00291149" w:rsidTr="008F0588">
        <w:tc>
          <w:tcPr>
            <w:tcW w:w="2235" w:type="dxa"/>
          </w:tcPr>
          <w:p w:rsidR="00E660F2" w:rsidRPr="00291149" w:rsidRDefault="00E660F2" w:rsidP="008F0588">
            <w:pPr>
              <w:rPr>
                <w:lang w:eastAsia="en-US"/>
              </w:rPr>
            </w:pPr>
            <w:r w:rsidRPr="00291149">
              <w:rPr>
                <w:lang w:eastAsia="en-US"/>
              </w:rPr>
              <w:t>Trade names</w:t>
            </w:r>
          </w:p>
        </w:tc>
        <w:tc>
          <w:tcPr>
            <w:tcW w:w="5953" w:type="dxa"/>
          </w:tcPr>
          <w:p w:rsidR="00E660F2" w:rsidRPr="00291149" w:rsidRDefault="00E660F2" w:rsidP="008F0588">
            <w:pPr>
              <w:rPr>
                <w:lang w:eastAsia="en-US"/>
              </w:rPr>
            </w:pPr>
            <w:r w:rsidRPr="00A32091">
              <w:rPr>
                <w:lang w:eastAsia="en-US"/>
              </w:rPr>
              <w:t>The trade</w:t>
            </w:r>
            <w:r>
              <w:rPr>
                <w:lang w:eastAsia="en-US"/>
              </w:rPr>
              <w:t xml:space="preserve"> </w:t>
            </w:r>
            <w:r w:rsidRPr="00A32091">
              <w:rPr>
                <w:lang w:eastAsia="en-US"/>
              </w:rPr>
              <w:t>names are:</w:t>
            </w:r>
            <w:r>
              <w:rPr>
                <w:lang w:eastAsia="en-US"/>
              </w:rPr>
              <w:t xml:space="preserve"> </w:t>
            </w:r>
            <w:r w:rsidRPr="00A32091">
              <w:t>Erlyand</w:t>
            </w:r>
            <w:r>
              <w:t xml:space="preserve"> / </w:t>
            </w:r>
            <w:r w:rsidRPr="00A32091">
              <w:t>Janssen Apalutamide</w:t>
            </w:r>
            <w:r w:rsidRPr="001F0D8E">
              <w:t xml:space="preserve"> </w:t>
            </w:r>
          </w:p>
        </w:tc>
      </w:tr>
      <w:tr w:rsidR="00E660F2" w:rsidRPr="00291149" w:rsidTr="008F0588">
        <w:tc>
          <w:tcPr>
            <w:tcW w:w="2235" w:type="dxa"/>
          </w:tcPr>
          <w:p w:rsidR="00E660F2" w:rsidRPr="00291149" w:rsidRDefault="00E660F2" w:rsidP="008F0588">
            <w:pPr>
              <w:rPr>
                <w:lang w:eastAsia="en-US"/>
              </w:rPr>
            </w:pPr>
            <w:r w:rsidRPr="00291149">
              <w:rPr>
                <w:lang w:eastAsia="en-US"/>
              </w:rPr>
              <w:t>Product Information (PI)</w:t>
            </w:r>
          </w:p>
        </w:tc>
        <w:tc>
          <w:tcPr>
            <w:tcW w:w="5953" w:type="dxa"/>
          </w:tcPr>
          <w:p w:rsidR="00E660F2" w:rsidRPr="001B6F85" w:rsidRDefault="00E660F2" w:rsidP="008F0588">
            <w:pPr>
              <w:rPr>
                <w:lang w:eastAsia="en-US"/>
              </w:rPr>
            </w:pPr>
            <w:r>
              <w:rPr>
                <w:lang w:eastAsia="en-US"/>
              </w:rPr>
              <w:t>Acceptable from a quality perspective.</w:t>
            </w:r>
            <w:r w:rsidRPr="001F0D8E">
              <w:rPr>
                <w:smallCaps/>
              </w:rPr>
              <w:t xml:space="preserve"> </w:t>
            </w:r>
          </w:p>
        </w:tc>
      </w:tr>
      <w:tr w:rsidR="00E660F2" w:rsidRPr="00291149" w:rsidTr="008F0588">
        <w:tc>
          <w:tcPr>
            <w:tcW w:w="2235" w:type="dxa"/>
          </w:tcPr>
          <w:p w:rsidR="00E660F2" w:rsidRPr="00291149" w:rsidRDefault="00E660F2" w:rsidP="008F0588">
            <w:pPr>
              <w:rPr>
                <w:lang w:eastAsia="en-US"/>
              </w:rPr>
            </w:pPr>
            <w:r w:rsidRPr="00291149">
              <w:rPr>
                <w:lang w:eastAsia="en-US"/>
              </w:rPr>
              <w:t>Labels</w:t>
            </w:r>
          </w:p>
        </w:tc>
        <w:tc>
          <w:tcPr>
            <w:tcW w:w="5953" w:type="dxa"/>
          </w:tcPr>
          <w:p w:rsidR="00E660F2" w:rsidRPr="00291149" w:rsidRDefault="008F0588" w:rsidP="008F0588">
            <w:pPr>
              <w:rPr>
                <w:lang w:eastAsia="en-US"/>
              </w:rPr>
            </w:pPr>
            <w:hyperlink r:id="rId25" w:history="1">
              <w:r w:rsidR="00E660F2" w:rsidRPr="00F166A5">
                <w:rPr>
                  <w:rStyle w:val="Hyperlink"/>
                  <w:color w:val="auto"/>
                  <w:u w:val="none"/>
                </w:rPr>
                <w:t>Erlyand</w:t>
              </w:r>
            </w:hyperlink>
            <w:r w:rsidR="00E660F2">
              <w:rPr>
                <w:rStyle w:val="Hyperlink"/>
                <w:color w:val="auto"/>
                <w:u w:val="none"/>
              </w:rPr>
              <w:t>/</w:t>
            </w:r>
            <w:hyperlink r:id="rId26" w:history="1">
              <w:r w:rsidR="00E660F2" w:rsidRPr="00F166A5">
                <w:rPr>
                  <w:rStyle w:val="Hyperlink"/>
                  <w:color w:val="auto"/>
                  <w:u w:val="none"/>
                </w:rPr>
                <w:t>Janssen Apalutamide</w:t>
              </w:r>
            </w:hyperlink>
          </w:p>
        </w:tc>
      </w:tr>
      <w:tr w:rsidR="00E660F2" w:rsidRPr="00291149" w:rsidTr="008F0588">
        <w:tc>
          <w:tcPr>
            <w:tcW w:w="2235" w:type="dxa"/>
          </w:tcPr>
          <w:p w:rsidR="00E660F2" w:rsidRPr="00291149" w:rsidRDefault="00E660F2" w:rsidP="008F0588">
            <w:pPr>
              <w:rPr>
                <w:lang w:eastAsia="en-US"/>
              </w:rPr>
            </w:pPr>
            <w:r w:rsidRPr="00291149">
              <w:rPr>
                <w:lang w:eastAsia="en-US"/>
              </w:rPr>
              <w:t>Shelf life</w:t>
            </w:r>
          </w:p>
        </w:tc>
        <w:tc>
          <w:tcPr>
            <w:tcW w:w="5953" w:type="dxa"/>
          </w:tcPr>
          <w:p w:rsidR="00E660F2" w:rsidRPr="00AA0BB2" w:rsidRDefault="00E660F2" w:rsidP="008F0588">
            <w:pPr>
              <w:rPr>
                <w:lang w:eastAsia="en-US"/>
              </w:rPr>
            </w:pPr>
            <w:r w:rsidRPr="00AA0BB2">
              <w:rPr>
                <w:lang w:eastAsia="en-US"/>
              </w:rPr>
              <w:t>24 months when stored below 30°C.</w:t>
            </w:r>
          </w:p>
          <w:p w:rsidR="00E660F2" w:rsidRPr="00291149" w:rsidRDefault="00E660F2" w:rsidP="008F0588">
            <w:pPr>
              <w:rPr>
                <w:lang w:eastAsia="en-US"/>
              </w:rPr>
            </w:pPr>
            <w:r w:rsidRPr="00AA0BB2">
              <w:rPr>
                <w:lang w:eastAsia="en-US"/>
              </w:rPr>
              <w:t>Protect from light and moisture.</w:t>
            </w:r>
          </w:p>
        </w:tc>
      </w:tr>
      <w:tr w:rsidR="00E660F2" w:rsidRPr="00291149" w:rsidTr="008F0588">
        <w:trPr>
          <w:trHeight w:val="70"/>
        </w:trPr>
        <w:tc>
          <w:tcPr>
            <w:tcW w:w="2235" w:type="dxa"/>
          </w:tcPr>
          <w:p w:rsidR="00E660F2" w:rsidRPr="009E45A6" w:rsidRDefault="00E660F2" w:rsidP="008F0588">
            <w:pPr>
              <w:rPr>
                <w:lang w:eastAsia="en-US"/>
              </w:rPr>
            </w:pPr>
            <w:r w:rsidRPr="009E45A6">
              <w:rPr>
                <w:lang w:eastAsia="en-US"/>
              </w:rPr>
              <w:t>Endotoxin</w:t>
            </w:r>
          </w:p>
        </w:tc>
        <w:sdt>
          <w:sdtPr>
            <w:id w:val="-657298533"/>
            <w:dropDownList>
              <w:listItem w:value="Choose an item."/>
              <w:listItem w:displayText="Complete" w:value="Complete"/>
              <w:listItem w:displayText="Not required" w:value="Not required"/>
            </w:dropDownList>
          </w:sdtPr>
          <w:sdtContent>
            <w:tc>
              <w:tcPr>
                <w:tcW w:w="5953" w:type="dxa"/>
              </w:tcPr>
              <w:p w:rsidR="00E660F2" w:rsidRPr="00291149" w:rsidRDefault="00E660F2" w:rsidP="008F0588">
                <w:pPr>
                  <w:rPr>
                    <w:lang w:eastAsia="en-US"/>
                  </w:rPr>
                </w:pPr>
                <w:r>
                  <w:t>Not required</w:t>
                </w:r>
              </w:p>
            </w:tc>
          </w:sdtContent>
        </w:sdt>
      </w:tr>
      <w:tr w:rsidR="00E660F2" w:rsidRPr="00291149" w:rsidTr="008F0588">
        <w:trPr>
          <w:trHeight w:val="70"/>
        </w:trPr>
        <w:tc>
          <w:tcPr>
            <w:tcW w:w="2235" w:type="dxa"/>
          </w:tcPr>
          <w:p w:rsidR="00E660F2" w:rsidRPr="009E45A6" w:rsidRDefault="00E660F2" w:rsidP="008F0588">
            <w:pPr>
              <w:rPr>
                <w:lang w:eastAsia="en-US"/>
              </w:rPr>
            </w:pPr>
            <w:r w:rsidRPr="009E45A6">
              <w:rPr>
                <w:lang w:eastAsia="en-US"/>
              </w:rPr>
              <w:t>Container Safety</w:t>
            </w:r>
          </w:p>
        </w:tc>
        <w:sdt>
          <w:sdtPr>
            <w:id w:val="511193489"/>
            <w:dropDownList>
              <w:listItem w:value="Choose an item."/>
              <w:listItem w:displayText="Complete" w:value="Complete"/>
              <w:listItem w:displayText="Not required" w:value="Not required"/>
            </w:dropDownList>
          </w:sdtPr>
          <w:sdtContent>
            <w:tc>
              <w:tcPr>
                <w:tcW w:w="5953" w:type="dxa"/>
              </w:tcPr>
              <w:p w:rsidR="00E660F2" w:rsidRPr="00291149" w:rsidRDefault="00E660F2" w:rsidP="008F0588">
                <w:pPr>
                  <w:rPr>
                    <w:lang w:eastAsia="en-US"/>
                  </w:rPr>
                </w:pPr>
                <w:r>
                  <w:t>Not required</w:t>
                </w:r>
              </w:p>
            </w:tc>
          </w:sdtContent>
        </w:sdt>
      </w:tr>
      <w:tr w:rsidR="00E660F2" w:rsidRPr="00291149" w:rsidTr="008F0588">
        <w:trPr>
          <w:trHeight w:val="70"/>
        </w:trPr>
        <w:tc>
          <w:tcPr>
            <w:tcW w:w="2235" w:type="dxa"/>
          </w:tcPr>
          <w:p w:rsidR="00E660F2" w:rsidRPr="009E45A6" w:rsidRDefault="00E660F2" w:rsidP="008F0588">
            <w:pPr>
              <w:rPr>
                <w:lang w:eastAsia="en-US"/>
              </w:rPr>
            </w:pPr>
            <w:r w:rsidRPr="009E45A6">
              <w:rPr>
                <w:lang w:eastAsia="en-US"/>
              </w:rPr>
              <w:t>Sterility</w:t>
            </w:r>
          </w:p>
        </w:tc>
        <w:sdt>
          <w:sdtPr>
            <w:id w:val="686480536"/>
            <w:dropDownList>
              <w:listItem w:value="Choose an item."/>
              <w:listItem w:displayText="Complete" w:value="Complete"/>
              <w:listItem w:displayText="Not required" w:value="Not required"/>
            </w:dropDownList>
          </w:sdtPr>
          <w:sdtContent>
            <w:tc>
              <w:tcPr>
                <w:tcW w:w="5953" w:type="dxa"/>
              </w:tcPr>
              <w:p w:rsidR="00E660F2" w:rsidRPr="00291149" w:rsidRDefault="00E660F2" w:rsidP="008F0588">
                <w:pPr>
                  <w:rPr>
                    <w:lang w:eastAsia="en-US"/>
                  </w:rPr>
                </w:pPr>
                <w:r>
                  <w:t>Not required</w:t>
                </w:r>
              </w:p>
            </w:tc>
          </w:sdtContent>
        </w:sdt>
      </w:tr>
      <w:tr w:rsidR="00E660F2" w:rsidRPr="00291149" w:rsidTr="008F0588">
        <w:trPr>
          <w:trHeight w:val="70"/>
        </w:trPr>
        <w:tc>
          <w:tcPr>
            <w:tcW w:w="2235" w:type="dxa"/>
          </w:tcPr>
          <w:p w:rsidR="00E660F2" w:rsidRPr="00291149" w:rsidRDefault="00E660F2" w:rsidP="008F0588">
            <w:pPr>
              <w:rPr>
                <w:lang w:eastAsia="en-US"/>
              </w:rPr>
            </w:pPr>
            <w:r w:rsidRPr="00291149">
              <w:rPr>
                <w:lang w:eastAsia="en-US"/>
              </w:rPr>
              <w:t>Toxicology</w:t>
            </w:r>
          </w:p>
        </w:tc>
        <w:tc>
          <w:tcPr>
            <w:tcW w:w="5953" w:type="dxa"/>
          </w:tcPr>
          <w:p w:rsidR="00E660F2" w:rsidRPr="00291149" w:rsidRDefault="00E660F2" w:rsidP="008F0588">
            <w:pPr>
              <w:rPr>
                <w:lang w:eastAsia="en-US"/>
              </w:rPr>
            </w:pPr>
            <w:r w:rsidRPr="00136E28">
              <w:rPr>
                <w:lang w:eastAsia="en-US"/>
              </w:rPr>
              <w:t>Specified impurities are toxicologically qualified</w:t>
            </w:r>
          </w:p>
        </w:tc>
      </w:tr>
      <w:tr w:rsidR="00E660F2" w:rsidRPr="00291149" w:rsidTr="008F0588">
        <w:trPr>
          <w:trHeight w:val="70"/>
        </w:trPr>
        <w:tc>
          <w:tcPr>
            <w:tcW w:w="2235" w:type="dxa"/>
          </w:tcPr>
          <w:p w:rsidR="00E660F2" w:rsidRPr="00197FC3" w:rsidRDefault="00E660F2" w:rsidP="008F0588">
            <w:pPr>
              <w:rPr>
                <w:highlight w:val="yellow"/>
                <w:lang w:eastAsia="en-US"/>
              </w:rPr>
            </w:pPr>
            <w:r w:rsidRPr="00136E28">
              <w:rPr>
                <w:lang w:eastAsia="en-US"/>
              </w:rPr>
              <w:t>Bioequivalence</w:t>
            </w:r>
          </w:p>
        </w:tc>
        <w:tc>
          <w:tcPr>
            <w:tcW w:w="5953" w:type="dxa"/>
          </w:tcPr>
          <w:p w:rsidR="00E660F2" w:rsidRDefault="00E660F2" w:rsidP="008F0588">
            <w:pPr>
              <w:rPr>
                <w:lang w:eastAsia="en-US"/>
              </w:rPr>
            </w:pPr>
            <w:r>
              <w:rPr>
                <w:lang w:eastAsia="en-US"/>
              </w:rPr>
              <w:t>Biopharmaceutic studies show:</w:t>
            </w:r>
          </w:p>
          <w:p w:rsidR="00E660F2" w:rsidRPr="003918F2" w:rsidRDefault="00E660F2" w:rsidP="00E660F2">
            <w:pPr>
              <w:pStyle w:val="ListBullet"/>
              <w:numPr>
                <w:ilvl w:val="0"/>
                <w:numId w:val="1"/>
              </w:numPr>
              <w:rPr>
                <w:sz w:val="22"/>
                <w:szCs w:val="22"/>
                <w:lang w:eastAsia="en-US"/>
              </w:rPr>
            </w:pPr>
            <w:r w:rsidRPr="003918F2">
              <w:rPr>
                <w:lang w:eastAsia="en-US"/>
              </w:rPr>
              <w:t>Absolute bioavailability (100%)</w:t>
            </w:r>
            <w:r>
              <w:rPr>
                <w:lang w:eastAsia="en-US"/>
              </w:rPr>
              <w:t>.</w:t>
            </w:r>
          </w:p>
          <w:p w:rsidR="00E660F2" w:rsidRPr="00136E28" w:rsidRDefault="00E660F2" w:rsidP="00E660F2">
            <w:pPr>
              <w:pStyle w:val="ListBullet"/>
              <w:numPr>
                <w:ilvl w:val="0"/>
                <w:numId w:val="1"/>
              </w:numPr>
              <w:rPr>
                <w:sz w:val="22"/>
                <w:szCs w:val="22"/>
                <w:lang w:eastAsia="en-US"/>
              </w:rPr>
            </w:pPr>
            <w:r w:rsidRPr="003918F2">
              <w:rPr>
                <w:lang w:eastAsia="en-US"/>
              </w:rPr>
              <w:t>A food effect</w:t>
            </w:r>
            <w:r>
              <w:rPr>
                <w:lang w:eastAsia="en-US"/>
              </w:rPr>
              <w:t>.</w:t>
            </w:r>
          </w:p>
        </w:tc>
      </w:tr>
    </w:tbl>
    <w:p w:rsidR="00E660F2" w:rsidRDefault="00E660F2" w:rsidP="00E660F2">
      <w:pPr>
        <w:pStyle w:val="Heading2"/>
      </w:pPr>
      <w:bookmarkStart w:id="54" w:name="_Toc523915056"/>
      <w:bookmarkStart w:id="55" w:name="_Toc5014058"/>
      <w:r>
        <w:t>IV. Nonclinical</w:t>
      </w:r>
      <w:bookmarkEnd w:id="47"/>
      <w:r>
        <w:t xml:space="preserve"> findings</w:t>
      </w:r>
      <w:bookmarkEnd w:id="48"/>
      <w:bookmarkEnd w:id="49"/>
      <w:bookmarkEnd w:id="54"/>
      <w:bookmarkEnd w:id="55"/>
    </w:p>
    <w:p w:rsidR="00E660F2" w:rsidRDefault="00E660F2" w:rsidP="00E660F2">
      <w:pPr>
        <w:pStyle w:val="Heading3"/>
      </w:pPr>
      <w:bookmarkStart w:id="56" w:name="_Toc247691511"/>
      <w:bookmarkStart w:id="57" w:name="_Toc314842495"/>
      <w:bookmarkStart w:id="58" w:name="_Toc523915057"/>
      <w:bookmarkStart w:id="59" w:name="_Toc5014059"/>
      <w:r>
        <w:t>Introduction</w:t>
      </w:r>
      <w:bookmarkEnd w:id="56"/>
      <w:bookmarkEnd w:id="57"/>
      <w:bookmarkEnd w:id="58"/>
      <w:bookmarkEnd w:id="59"/>
    </w:p>
    <w:p w:rsidR="00E660F2" w:rsidRDefault="00E660F2" w:rsidP="00E660F2">
      <w:r>
        <w:t xml:space="preserve">The submitted nonclinical data were in general accordance with </w:t>
      </w:r>
      <w:r w:rsidRPr="00A32091">
        <w:t>ICH</w:t>
      </w:r>
      <w:r>
        <w:t xml:space="preserve"> guideline on the nonclinical evaluation of anticancer pharmaceuticals.</w:t>
      </w:r>
      <w:bookmarkStart w:id="60" w:name="_Ref523835990"/>
      <w:r>
        <w:rPr>
          <w:rStyle w:val="FootnoteReference"/>
        </w:rPr>
        <w:footnoteReference w:id="13"/>
      </w:r>
      <w:bookmarkEnd w:id="60"/>
      <w:r>
        <w:t xml:space="preserve"> The overall quality was generally </w:t>
      </w:r>
      <w:r>
        <w:lastRenderedPageBreak/>
        <w:t>high. All pivotal toxicity studies in rats and dogs were conducted under Good Laboratory Practice (GLP) conditions using the proposed clinical route (oral/PO).</w:t>
      </w:r>
    </w:p>
    <w:p w:rsidR="00E660F2" w:rsidRPr="004334C7" w:rsidRDefault="00E660F2" w:rsidP="00E660F2">
      <w:r>
        <w:t>Apalutamide and the metabolite M3 were the main circulating drug related compounds (40 to 50% each) in male dogs and male humans. As dog exposure of M3 generally covered (and sometimes marginally exceeded) M3 exposure in humans, the toxicity profile of this metabolite is considered adequately addressed by the submitted nonclinical data. Studies carried out for the main human metabolite M3 included plasma protein binding, blood distribution, metabolic phenotyping, drug-drug interaction potential and toxicokinetic investigations in animal toxicity studies in parallel with apalutamide. In addition, the M3 metabolite was tested in primary and secondary pharmacology studies as well as in in vitro and in vivo safety pharmacology studies and in vitro and in vivo genotoxicity studies and in an in vitro phototoxicity study.</w:t>
      </w:r>
    </w:p>
    <w:p w:rsidR="00E660F2" w:rsidRDefault="00E660F2" w:rsidP="00E660F2">
      <w:pPr>
        <w:pStyle w:val="Heading3"/>
      </w:pPr>
      <w:bookmarkStart w:id="61" w:name="_Toc247691512"/>
      <w:bookmarkStart w:id="62" w:name="_Toc314842496"/>
      <w:bookmarkStart w:id="63" w:name="_Toc523915058"/>
      <w:bookmarkStart w:id="64" w:name="_Toc5014060"/>
      <w:r w:rsidRPr="00020030">
        <w:t>Pharmacology</w:t>
      </w:r>
      <w:bookmarkEnd w:id="61"/>
      <w:bookmarkEnd w:id="62"/>
      <w:bookmarkEnd w:id="63"/>
      <w:bookmarkEnd w:id="64"/>
    </w:p>
    <w:p w:rsidR="00E660F2" w:rsidRPr="00A532D3" w:rsidRDefault="00E660F2" w:rsidP="00E660F2">
      <w:pPr>
        <w:pStyle w:val="Heading4"/>
      </w:pPr>
      <w:r w:rsidRPr="00A532D3">
        <w:t>Primary pharmacology</w:t>
      </w:r>
    </w:p>
    <w:p w:rsidR="00E660F2" w:rsidRPr="00A532D3" w:rsidRDefault="00E660F2" w:rsidP="00E660F2">
      <w:pPr>
        <w:pStyle w:val="Heading5"/>
      </w:pPr>
      <w:r w:rsidRPr="00A532D3">
        <w:t>In vitro</w:t>
      </w:r>
    </w:p>
    <w:p w:rsidR="00E660F2" w:rsidRPr="00A532D3" w:rsidRDefault="00E660F2" w:rsidP="00E660F2">
      <w:pPr>
        <w:rPr>
          <w:snapToGrid w:val="0"/>
        </w:rPr>
      </w:pPr>
      <w:r w:rsidRPr="00A532D3">
        <w:rPr>
          <w:snapToGrid w:val="0"/>
        </w:rPr>
        <w:t xml:space="preserve">Studies investigating the binding of apalutamide </w:t>
      </w:r>
      <w:r>
        <w:rPr>
          <w:snapToGrid w:val="0"/>
        </w:rPr>
        <w:t>to</w:t>
      </w:r>
      <w:r w:rsidRPr="00A532D3">
        <w:rPr>
          <w:snapToGrid w:val="0"/>
        </w:rPr>
        <w:t xml:space="preserve"> AR employed </w:t>
      </w:r>
      <w:r w:rsidRPr="00A532D3">
        <w:rPr>
          <w:snapToGrid w:val="0"/>
          <w:szCs w:val="24"/>
        </w:rPr>
        <w:t>lymph node</w:t>
      </w:r>
      <w:r>
        <w:rPr>
          <w:snapToGrid w:val="0"/>
          <w:szCs w:val="24"/>
        </w:rPr>
        <w:t xml:space="preserve"> </w:t>
      </w:r>
      <w:r w:rsidRPr="00A532D3">
        <w:rPr>
          <w:snapToGrid w:val="0"/>
          <w:szCs w:val="24"/>
        </w:rPr>
        <w:t xml:space="preserve">derived carcinoma cells of the prostate </w:t>
      </w:r>
      <w:r w:rsidRPr="00A532D3">
        <w:rPr>
          <w:snapToGrid w:val="0"/>
        </w:rPr>
        <w:t xml:space="preserve">(LNCaP/AR(cs)) </w:t>
      </w:r>
      <w:r w:rsidRPr="00A532D3">
        <w:rPr>
          <w:snapToGrid w:val="0"/>
          <w:szCs w:val="24"/>
        </w:rPr>
        <w:t>with elevated expression of AR</w:t>
      </w:r>
      <w:r w:rsidRPr="00A532D3">
        <w:rPr>
          <w:snapToGrid w:val="0"/>
        </w:rPr>
        <w:t xml:space="preserve">, which harbor exogenous wild-type AR and an endogenous mutant AR (T877A). Apalutamide is a competitive inhibitor at AR and binds to the ligand-binding pocket of AR. It inhibited binding of dihydroxytestosterone (DHT) to AR with a </w:t>
      </w:r>
      <w:r>
        <w:rPr>
          <w:snapToGrid w:val="0"/>
        </w:rPr>
        <w:t>50% inhibitory concentration (</w:t>
      </w:r>
      <w:r w:rsidRPr="00A532D3">
        <w:rPr>
          <w:snapToGrid w:val="0"/>
        </w:rPr>
        <w:t>IC</w:t>
      </w:r>
      <w:r w:rsidRPr="00A532D3">
        <w:rPr>
          <w:snapToGrid w:val="0"/>
          <w:vertAlign w:val="subscript"/>
        </w:rPr>
        <w:t>50</w:t>
      </w:r>
      <w:r>
        <w:rPr>
          <w:snapToGrid w:val="0"/>
        </w:rPr>
        <w:t xml:space="preserve">) </w:t>
      </w:r>
      <w:r w:rsidRPr="00A532D3">
        <w:rPr>
          <w:snapToGrid w:val="0"/>
        </w:rPr>
        <w:t xml:space="preserve">of 16 nM (&gt;20 times below the apalutamide </w:t>
      </w:r>
      <w:r w:rsidRPr="00A532D3">
        <w:rPr>
          <w:snapToGrid w:val="0"/>
          <w:szCs w:val="24"/>
        </w:rPr>
        <w:t xml:space="preserve">clinical free </w:t>
      </w:r>
      <w:r>
        <w:rPr>
          <w:snapToGrid w:val="0"/>
          <w:szCs w:val="24"/>
        </w:rPr>
        <w:t xml:space="preserve">minimum measured </w:t>
      </w:r>
      <w:r w:rsidRPr="00A532D3">
        <w:rPr>
          <w:snapToGrid w:val="0"/>
          <w:szCs w:val="24"/>
        </w:rPr>
        <w:t xml:space="preserve">plasma </w:t>
      </w:r>
      <w:r>
        <w:rPr>
          <w:snapToGrid w:val="0"/>
          <w:szCs w:val="24"/>
        </w:rPr>
        <w:t>concentration (</w:t>
      </w:r>
      <w:r w:rsidRPr="00A532D3">
        <w:rPr>
          <w:snapToGrid w:val="0"/>
          <w:szCs w:val="24"/>
        </w:rPr>
        <w:t>C</w:t>
      </w:r>
      <w:r w:rsidRPr="00A532D3">
        <w:rPr>
          <w:snapToGrid w:val="0"/>
          <w:szCs w:val="24"/>
          <w:vertAlign w:val="subscript"/>
        </w:rPr>
        <w:t>min</w:t>
      </w:r>
      <w:r>
        <w:rPr>
          <w:snapToGrid w:val="0"/>
          <w:szCs w:val="24"/>
        </w:rPr>
        <w:t xml:space="preserve">) </w:t>
      </w:r>
      <w:r w:rsidRPr="00A532D3">
        <w:rPr>
          <w:snapToGrid w:val="0"/>
          <w:szCs w:val="24"/>
        </w:rPr>
        <w:t>of 355 nM</w:t>
      </w:r>
      <w:bookmarkStart w:id="65" w:name="_Ref515876688"/>
      <w:r>
        <w:rPr>
          <w:snapToGrid w:val="0"/>
          <w:szCs w:val="24"/>
        </w:rPr>
        <w:t>).</w:t>
      </w:r>
      <w:r w:rsidRPr="00A532D3">
        <w:rPr>
          <w:snapToGrid w:val="0"/>
          <w:szCs w:val="24"/>
          <w:vertAlign w:val="superscript"/>
        </w:rPr>
        <w:footnoteReference w:id="14"/>
      </w:r>
      <w:bookmarkEnd w:id="65"/>
      <w:r w:rsidRPr="00A532D3">
        <w:rPr>
          <w:snapToGrid w:val="0"/>
          <w:szCs w:val="24"/>
        </w:rPr>
        <w:t xml:space="preserve"> Apalutamide induced minimal nucleus </w:t>
      </w:r>
      <w:r w:rsidRPr="00A532D3">
        <w:rPr>
          <w:snapToGrid w:val="0"/>
        </w:rPr>
        <w:t xml:space="preserve">translocation of AR from cytoplasm in LNCap cells (nucleus/cytoplasm AR ratio 2.5 </w:t>
      </w:r>
      <w:r>
        <w:rPr>
          <w:snapToGrid w:val="0"/>
        </w:rPr>
        <w:t>compared to</w:t>
      </w:r>
      <w:r w:rsidRPr="00A532D3">
        <w:rPr>
          <w:snapToGrid w:val="0"/>
        </w:rPr>
        <w:t xml:space="preserve"> 0.7 for vehicle control, 29 for the AR ligand R1881, 14 for bicalutamide and 3 for enzalutamide).</w:t>
      </w:r>
    </w:p>
    <w:p w:rsidR="00E660F2" w:rsidRPr="00A532D3" w:rsidRDefault="00E660F2" w:rsidP="00E660F2">
      <w:pPr>
        <w:rPr>
          <w:snapToGrid w:val="0"/>
        </w:rPr>
      </w:pPr>
      <w:r w:rsidRPr="00A532D3">
        <w:rPr>
          <w:snapToGrid w:val="0"/>
        </w:rPr>
        <w:t xml:space="preserve">In LNCaP/AR(cs) cells, apalutamide (10 μM) completely inhibited R1881-induced AR binding to promoter regions of </w:t>
      </w:r>
      <w:r>
        <w:rPr>
          <w:snapToGrid w:val="0"/>
        </w:rPr>
        <w:t>AR dependent</w:t>
      </w:r>
      <w:r w:rsidRPr="00A532D3">
        <w:rPr>
          <w:snapToGrid w:val="0"/>
        </w:rPr>
        <w:t xml:space="preserve"> genes (prostate-specific antigen </w:t>
      </w:r>
      <w:r>
        <w:rPr>
          <w:snapToGrid w:val="0"/>
        </w:rPr>
        <w:t>(</w:t>
      </w:r>
      <w:r w:rsidRPr="00A532D3">
        <w:rPr>
          <w:snapToGrid w:val="0"/>
        </w:rPr>
        <w:t>PSA</w:t>
      </w:r>
      <w:r>
        <w:rPr>
          <w:snapToGrid w:val="0"/>
        </w:rPr>
        <w:t>)</w:t>
      </w:r>
      <w:r w:rsidRPr="00A532D3">
        <w:rPr>
          <w:snapToGrid w:val="0"/>
        </w:rPr>
        <w:t xml:space="preserve"> and transmembrane protease serine 2 </w:t>
      </w:r>
      <w:r>
        <w:rPr>
          <w:snapToGrid w:val="0"/>
        </w:rPr>
        <w:t>(</w:t>
      </w:r>
      <w:r w:rsidRPr="00A532D3">
        <w:rPr>
          <w:snapToGrid w:val="0"/>
        </w:rPr>
        <w:t>TMPRSS2</w:t>
      </w:r>
      <w:r>
        <w:rPr>
          <w:snapToGrid w:val="0"/>
        </w:rPr>
        <w:t>)</w:t>
      </w:r>
      <w:r w:rsidRPr="00A532D3">
        <w:rPr>
          <w:snapToGrid w:val="0"/>
        </w:rPr>
        <w:t xml:space="preserve">), without agonistic effects. Apalutamide also inhibited </w:t>
      </w:r>
      <w:r>
        <w:rPr>
          <w:snapToGrid w:val="0"/>
        </w:rPr>
        <w:t>AR dependent</w:t>
      </w:r>
      <w:r w:rsidRPr="00A532D3">
        <w:rPr>
          <w:snapToGrid w:val="0"/>
        </w:rPr>
        <w:t xml:space="preserve"> gene transcription in Hep-G2 hepatocellular carcinoma cells engineered to express AR (IC</w:t>
      </w:r>
      <w:r w:rsidRPr="00A532D3">
        <w:rPr>
          <w:snapToGrid w:val="0"/>
          <w:vertAlign w:val="subscript"/>
        </w:rPr>
        <w:t>50</w:t>
      </w:r>
      <w:r w:rsidRPr="00A532D3">
        <w:rPr>
          <w:snapToGrid w:val="0"/>
        </w:rPr>
        <w:t>s 0.2 μM; 1.8 times below the clinical free plasma C</w:t>
      </w:r>
      <w:r w:rsidRPr="00A532D3">
        <w:rPr>
          <w:snapToGrid w:val="0"/>
          <w:vertAlign w:val="subscript"/>
        </w:rPr>
        <w:t>min</w:t>
      </w:r>
      <w:r w:rsidRPr="00A532D3">
        <w:rPr>
          <w:snapToGrid w:val="0"/>
        </w:rPr>
        <w:t xml:space="preserve">), with no agonistic activity at 10 μM, although it increased </w:t>
      </w:r>
      <w:r>
        <w:rPr>
          <w:snapToGrid w:val="0"/>
        </w:rPr>
        <w:t>AR dependent</w:t>
      </w:r>
      <w:r w:rsidRPr="00A532D3">
        <w:rPr>
          <w:snapToGrid w:val="0"/>
        </w:rPr>
        <w:t xml:space="preserve"> gene transcription at 50</w:t>
      </w:r>
      <w:r>
        <w:rPr>
          <w:snapToGrid w:val="0"/>
        </w:rPr>
        <w:t> µ</w:t>
      </w:r>
      <w:r w:rsidRPr="00A532D3">
        <w:rPr>
          <w:snapToGrid w:val="0"/>
        </w:rPr>
        <w:t xml:space="preserve">M (9 fold increase in gene transcription relative to the vehicle control, </w:t>
      </w:r>
      <w:r>
        <w:rPr>
          <w:snapToGrid w:val="0"/>
        </w:rPr>
        <w:t>compared to</w:t>
      </w:r>
      <w:r w:rsidRPr="00A532D3">
        <w:rPr>
          <w:snapToGrid w:val="0"/>
        </w:rPr>
        <w:t xml:space="preserve"> 48 increase for bicalutamide).</w:t>
      </w:r>
    </w:p>
    <w:p w:rsidR="00E660F2" w:rsidRPr="00A532D3" w:rsidRDefault="00E660F2" w:rsidP="00E660F2">
      <w:pPr>
        <w:rPr>
          <w:snapToGrid w:val="0"/>
        </w:rPr>
      </w:pPr>
      <w:r w:rsidRPr="00A532D3">
        <w:rPr>
          <w:snapToGrid w:val="0"/>
        </w:rPr>
        <w:t>Inhibition by apalutamide (and enzalutamide) of synthetic androgen R1881</w:t>
      </w:r>
      <w:r>
        <w:rPr>
          <w:snapToGrid w:val="0"/>
        </w:rPr>
        <w:t xml:space="preserve"> </w:t>
      </w:r>
      <w:r w:rsidRPr="00A532D3">
        <w:rPr>
          <w:snapToGrid w:val="0"/>
        </w:rPr>
        <w:t>induced proliferation of human vertebra</w:t>
      </w:r>
      <w:r>
        <w:rPr>
          <w:snapToGrid w:val="0"/>
        </w:rPr>
        <w:t xml:space="preserve"> </w:t>
      </w:r>
      <w:r w:rsidRPr="00A532D3">
        <w:rPr>
          <w:snapToGrid w:val="0"/>
        </w:rPr>
        <w:t>derived carcinoma cells of the prostate (VCaP) cells was concentration</w:t>
      </w:r>
      <w:r>
        <w:rPr>
          <w:snapToGrid w:val="0"/>
        </w:rPr>
        <w:t xml:space="preserve"> </w:t>
      </w:r>
      <w:r w:rsidRPr="00A532D3">
        <w:rPr>
          <w:snapToGrid w:val="0"/>
        </w:rPr>
        <w:t>dependent with IC</w:t>
      </w:r>
      <w:r w:rsidRPr="00A532D3">
        <w:rPr>
          <w:snapToGrid w:val="0"/>
          <w:vertAlign w:val="subscript"/>
        </w:rPr>
        <w:t>50</w:t>
      </w:r>
      <w:r w:rsidRPr="00A532D3">
        <w:rPr>
          <w:snapToGrid w:val="0"/>
        </w:rPr>
        <w:t xml:space="preserve"> </w:t>
      </w:r>
      <w:r>
        <w:rPr>
          <w:snapToGrid w:val="0"/>
        </w:rPr>
        <w:t>of circa</w:t>
      </w:r>
      <w:r w:rsidRPr="00A532D3">
        <w:rPr>
          <w:snapToGrid w:val="0"/>
        </w:rPr>
        <w:t xml:space="preserve"> 100 nM (below the clinical free plasma C</w:t>
      </w:r>
      <w:r w:rsidRPr="00A532D3">
        <w:rPr>
          <w:snapToGrid w:val="0"/>
          <w:vertAlign w:val="subscript"/>
        </w:rPr>
        <w:t>min</w:t>
      </w:r>
      <w:r w:rsidRPr="00A532D3">
        <w:rPr>
          <w:snapToGrid w:val="0"/>
        </w:rPr>
        <w:t xml:space="preserve">). No agonistic proliferative effects were observed for apalutamide (and enzalutamide) in the assay. Bicalutamide induced cell proliferation in a </w:t>
      </w:r>
      <w:r>
        <w:rPr>
          <w:snapToGrid w:val="0"/>
        </w:rPr>
        <w:t>dose dependent</w:t>
      </w:r>
      <w:r w:rsidRPr="00A532D3">
        <w:rPr>
          <w:snapToGrid w:val="0"/>
        </w:rPr>
        <w:t xml:space="preserve"> manner and only partially antagonised the effect of R1881.</w:t>
      </w:r>
    </w:p>
    <w:p w:rsidR="00E660F2" w:rsidRPr="00A532D3" w:rsidRDefault="00E660F2" w:rsidP="00E660F2">
      <w:pPr>
        <w:rPr>
          <w:snapToGrid w:val="0"/>
        </w:rPr>
      </w:pPr>
      <w:r w:rsidRPr="00A532D3">
        <w:rPr>
          <w:snapToGrid w:val="0"/>
        </w:rPr>
        <w:t>Metabolites of apalutamide (M1, M2 - oxidative desul</w:t>
      </w:r>
      <w:r>
        <w:rPr>
          <w:snapToGrid w:val="0"/>
        </w:rPr>
        <w:t>ph</w:t>
      </w:r>
      <w:r w:rsidRPr="00A532D3">
        <w:rPr>
          <w:snapToGrid w:val="0"/>
        </w:rPr>
        <w:t xml:space="preserve">uration metabolite, M3 - N-desmethyl metabolite and M4- amide hydrolysis metabolite) were also assessed for their pharmacological effects in cell-based assays. </w:t>
      </w:r>
      <w:r>
        <w:rPr>
          <w:snapToGrid w:val="0"/>
        </w:rPr>
        <w:t xml:space="preserve">Among the 4 metabolites, </w:t>
      </w:r>
      <w:r w:rsidRPr="00A532D3">
        <w:rPr>
          <w:snapToGrid w:val="0"/>
        </w:rPr>
        <w:t>M3 was the most potent inhibitor against AR</w:t>
      </w:r>
      <w:r>
        <w:rPr>
          <w:snapToGrid w:val="0"/>
        </w:rPr>
        <w:t xml:space="preserve"> </w:t>
      </w:r>
      <w:r w:rsidRPr="00A532D3">
        <w:rPr>
          <w:snapToGrid w:val="0"/>
        </w:rPr>
        <w:t xml:space="preserve">ligand binding </w:t>
      </w:r>
      <w:r w:rsidRPr="00A12E99">
        <w:rPr>
          <w:snapToGrid w:val="0"/>
        </w:rPr>
        <w:t>in vitro</w:t>
      </w:r>
      <w:r>
        <w:rPr>
          <w:i/>
          <w:snapToGrid w:val="0"/>
        </w:rPr>
        <w:t xml:space="preserve"> </w:t>
      </w:r>
      <w:r w:rsidRPr="00A532D3">
        <w:rPr>
          <w:snapToGrid w:val="0"/>
        </w:rPr>
        <w:t>(</w:t>
      </w:r>
      <w:r>
        <w:rPr>
          <w:snapToGrid w:val="0"/>
        </w:rPr>
        <w:t xml:space="preserve">approximately </w:t>
      </w:r>
      <w:r w:rsidRPr="00A532D3">
        <w:rPr>
          <w:snapToGrid w:val="0"/>
        </w:rPr>
        <w:t>3</w:t>
      </w:r>
      <w:r>
        <w:rPr>
          <w:snapToGrid w:val="0"/>
        </w:rPr>
        <w:t xml:space="preserve"> fold</w:t>
      </w:r>
      <w:r w:rsidRPr="00A532D3">
        <w:rPr>
          <w:snapToGrid w:val="0"/>
        </w:rPr>
        <w:t xml:space="preserve"> less potent than apalutamide) while the other metabolites were considered inactive being up to 30</w:t>
      </w:r>
      <w:r>
        <w:rPr>
          <w:snapToGrid w:val="0"/>
        </w:rPr>
        <w:t xml:space="preserve"> fold</w:t>
      </w:r>
      <w:r w:rsidRPr="00A532D3">
        <w:rPr>
          <w:snapToGrid w:val="0"/>
        </w:rPr>
        <w:t xml:space="preserve"> less potent. As apalutamide and M3 represent 45% and 44% of total plasma AUC in </w:t>
      </w:r>
      <w:r w:rsidRPr="00A532D3">
        <w:rPr>
          <w:snapToGrid w:val="0"/>
        </w:rPr>
        <w:lastRenderedPageBreak/>
        <w:t>humans, respectively, following a single oral dose of 240 mg apalutamide, it is likely that the M3 metabolite also contributes to the pharmacological activity of apalutamide.</w:t>
      </w:r>
    </w:p>
    <w:p w:rsidR="00E660F2" w:rsidRPr="00A532D3" w:rsidRDefault="00E660F2" w:rsidP="00E660F2">
      <w:pPr>
        <w:pStyle w:val="Heading5"/>
        <w:rPr>
          <w:snapToGrid w:val="0"/>
        </w:rPr>
      </w:pPr>
      <w:r w:rsidRPr="00A532D3">
        <w:rPr>
          <w:snapToGrid w:val="0"/>
        </w:rPr>
        <w:t>In vivo</w:t>
      </w:r>
    </w:p>
    <w:p w:rsidR="00E660F2" w:rsidRPr="00A532D3" w:rsidRDefault="00E660F2" w:rsidP="00E660F2">
      <w:pPr>
        <w:rPr>
          <w:snapToGrid w:val="0"/>
        </w:rPr>
      </w:pPr>
      <w:r w:rsidRPr="00A532D3">
        <w:rPr>
          <w:snapToGrid w:val="0"/>
        </w:rPr>
        <w:t>The anti-tumour activity of apalutamide was examined in SCID immunodeficient castrated male mice bearing xenografts of human castration-resistant prostate cancer cells (LNCaP/AR(cs)). This is an acceptable animal model for castration</w:t>
      </w:r>
      <w:r>
        <w:rPr>
          <w:snapToGrid w:val="0"/>
        </w:rPr>
        <w:t xml:space="preserve"> </w:t>
      </w:r>
      <w:r w:rsidRPr="00A532D3">
        <w:rPr>
          <w:snapToGrid w:val="0"/>
        </w:rPr>
        <w:t xml:space="preserve">resistant prostate cancer. </w:t>
      </w:r>
      <w:r>
        <w:rPr>
          <w:snapToGrid w:val="0"/>
        </w:rPr>
        <w:t>Dose dependent</w:t>
      </w:r>
      <w:r w:rsidRPr="00A532D3">
        <w:rPr>
          <w:snapToGrid w:val="0"/>
        </w:rPr>
        <w:t xml:space="preserve"> decreases in tumour growth were seen at ≥1 mg/kg/day PO for ≥28 days, with statistically significant tumour inhibition and regression at ≥</w:t>
      </w:r>
      <w:r>
        <w:rPr>
          <w:snapToGrid w:val="0"/>
        </w:rPr>
        <w:t> </w:t>
      </w:r>
      <w:r w:rsidRPr="00A532D3">
        <w:rPr>
          <w:snapToGrid w:val="0"/>
        </w:rPr>
        <w:t>10</w:t>
      </w:r>
      <w:r>
        <w:rPr>
          <w:snapToGrid w:val="0"/>
        </w:rPr>
        <w:t> </w:t>
      </w:r>
      <w:r w:rsidRPr="00A532D3">
        <w:rPr>
          <w:snapToGrid w:val="0"/>
        </w:rPr>
        <w:t>mg/kg/day (C</w:t>
      </w:r>
      <w:r w:rsidRPr="00A532D3">
        <w:rPr>
          <w:snapToGrid w:val="0"/>
          <w:vertAlign w:val="subscript"/>
        </w:rPr>
        <w:t>max</w:t>
      </w:r>
      <w:r>
        <w:rPr>
          <w:snapToGrid w:val="0"/>
        </w:rPr>
        <w:t xml:space="preserve"> approximately </w:t>
      </w:r>
      <w:r w:rsidRPr="00A532D3">
        <w:rPr>
          <w:snapToGrid w:val="0"/>
        </w:rPr>
        <w:t xml:space="preserve">10 μg/mL and AUC </w:t>
      </w:r>
      <w:r>
        <w:rPr>
          <w:snapToGrid w:val="0"/>
        </w:rPr>
        <w:t xml:space="preserve">approximately </w:t>
      </w:r>
      <w:r w:rsidRPr="00A532D3">
        <w:rPr>
          <w:snapToGrid w:val="0"/>
        </w:rPr>
        <w:t xml:space="preserve">160 μg.h/mL </w:t>
      </w:r>
      <w:r>
        <w:rPr>
          <w:snapToGrid w:val="0"/>
        </w:rPr>
        <w:t>compared to</w:t>
      </w:r>
      <w:r w:rsidRPr="00A532D3">
        <w:rPr>
          <w:snapToGrid w:val="0"/>
        </w:rPr>
        <w:t xml:space="preserve"> clinical steady state C</w:t>
      </w:r>
      <w:r w:rsidRPr="00A532D3">
        <w:rPr>
          <w:snapToGrid w:val="0"/>
          <w:vertAlign w:val="subscript"/>
        </w:rPr>
        <w:t>max</w:t>
      </w:r>
      <w:r>
        <w:rPr>
          <w:snapToGrid w:val="0"/>
          <w:vertAlign w:val="subscript"/>
        </w:rPr>
        <w:t xml:space="preserve"> </w:t>
      </w:r>
      <w:r w:rsidRPr="00A532D3">
        <w:rPr>
          <w:snapToGrid w:val="0"/>
        </w:rPr>
        <w:t>5.81 µg/mL and AUC 115 µ</w:t>
      </w:r>
      <w:proofErr w:type="spellStart"/>
      <w:r w:rsidRPr="00A532D3">
        <w:rPr>
          <w:snapToGrid w:val="0"/>
        </w:rPr>
        <w:t>g.h</w:t>
      </w:r>
      <w:proofErr w:type="spellEnd"/>
      <w:r w:rsidRPr="00A532D3">
        <w:rPr>
          <w:snapToGrid w:val="0"/>
        </w:rPr>
        <w:t>/mL</w:t>
      </w:r>
      <w:r w:rsidRPr="00A532D3">
        <w:rPr>
          <w:snapToGrid w:val="0"/>
          <w:vertAlign w:val="superscript"/>
        </w:rPr>
        <w:fldChar w:fldCharType="begin"/>
      </w:r>
      <w:r w:rsidRPr="00A532D3">
        <w:rPr>
          <w:snapToGrid w:val="0"/>
          <w:vertAlign w:val="superscript"/>
        </w:rPr>
        <w:instrText xml:space="preserve"> NOTEREF _Ref515876688 \h  \* MERGEFORMAT </w:instrText>
      </w:r>
      <w:r w:rsidRPr="00A532D3">
        <w:rPr>
          <w:snapToGrid w:val="0"/>
          <w:vertAlign w:val="superscript"/>
        </w:rPr>
      </w:r>
      <w:r w:rsidRPr="00A532D3">
        <w:rPr>
          <w:snapToGrid w:val="0"/>
          <w:vertAlign w:val="superscript"/>
        </w:rPr>
        <w:fldChar w:fldCharType="separate"/>
      </w:r>
      <w:r w:rsidR="00914DE0">
        <w:rPr>
          <w:snapToGrid w:val="0"/>
          <w:vertAlign w:val="superscript"/>
        </w:rPr>
        <w:t>14</w:t>
      </w:r>
      <w:r w:rsidRPr="00A532D3">
        <w:rPr>
          <w:snapToGrid w:val="0"/>
          <w:vertAlign w:val="superscript"/>
        </w:rPr>
        <w:fldChar w:fldCharType="end"/>
      </w:r>
      <w:r w:rsidRPr="00A532D3">
        <w:rPr>
          <w:snapToGrid w:val="0"/>
        </w:rPr>
        <w:t>). Generally, enzalutamide showed comparable efficacy in this model, although plasma C</w:t>
      </w:r>
      <w:r w:rsidRPr="00A532D3">
        <w:rPr>
          <w:snapToGrid w:val="0"/>
          <w:vertAlign w:val="subscript"/>
        </w:rPr>
        <w:t>max</w:t>
      </w:r>
      <w:r w:rsidRPr="00A532D3">
        <w:rPr>
          <w:snapToGrid w:val="0"/>
        </w:rPr>
        <w:t xml:space="preserve"> and AUC levels were 3 to 4 fold higher. In contrast, the antitumour activity of bicalutamide (10 mg/kg/day) was limited to growth inhibition rather than tumour regression.</w:t>
      </w:r>
    </w:p>
    <w:p w:rsidR="00E660F2" w:rsidRPr="00A532D3" w:rsidRDefault="00E660F2" w:rsidP="00E660F2">
      <w:pPr>
        <w:rPr>
          <w:snapToGrid w:val="0"/>
        </w:rPr>
      </w:pPr>
      <w:r w:rsidRPr="00A532D3">
        <w:rPr>
          <w:snapToGrid w:val="0"/>
        </w:rPr>
        <w:t>Consistent with the anti</w:t>
      </w:r>
      <w:r>
        <w:rPr>
          <w:snapToGrid w:val="0"/>
        </w:rPr>
        <w:t>-</w:t>
      </w:r>
      <w:r w:rsidRPr="00A532D3">
        <w:rPr>
          <w:snapToGrid w:val="0"/>
        </w:rPr>
        <w:t xml:space="preserve">tumour effect, </w:t>
      </w:r>
      <w:r>
        <w:rPr>
          <w:snapToGrid w:val="0"/>
        </w:rPr>
        <w:t>apalutamide treated</w:t>
      </w:r>
      <w:r w:rsidRPr="00A532D3">
        <w:rPr>
          <w:snapToGrid w:val="0"/>
        </w:rPr>
        <w:t xml:space="preserve"> LNCaP/AR(cs)</w:t>
      </w:r>
      <w:r w:rsidRPr="00A532D3">
        <w:rPr>
          <w:i/>
          <w:snapToGrid w:val="0"/>
        </w:rPr>
        <w:t xml:space="preserve"> </w:t>
      </w:r>
      <w:r w:rsidRPr="00A532D3">
        <w:rPr>
          <w:snapToGrid w:val="0"/>
        </w:rPr>
        <w:t>tumours showed a decrease in proliferative index and an increase in apoptotic rate monitored by Ki-67 staining</w:t>
      </w:r>
      <w:r>
        <w:rPr>
          <w:snapToGrid w:val="0"/>
        </w:rPr>
        <w:t>;</w:t>
      </w:r>
      <w:r>
        <w:rPr>
          <w:rStyle w:val="FootnoteReference"/>
          <w:snapToGrid w:val="0"/>
        </w:rPr>
        <w:footnoteReference w:id="15"/>
      </w:r>
      <w:r w:rsidRPr="00A532D3">
        <w:rPr>
          <w:snapToGrid w:val="0"/>
        </w:rPr>
        <w:t xml:space="preserve"> and a </w:t>
      </w:r>
      <w:r>
        <w:rPr>
          <w:snapToGrid w:val="0"/>
        </w:rPr>
        <w:t>t</w:t>
      </w:r>
      <w:r w:rsidRPr="00C4668A">
        <w:rPr>
          <w:snapToGrid w:val="0"/>
        </w:rPr>
        <w:t xml:space="preserve">erminal deoxynucleotidyl transferase dUTP nick end </w:t>
      </w:r>
      <w:r w:rsidR="00C31962" w:rsidRPr="00C4668A">
        <w:rPr>
          <w:snapToGrid w:val="0"/>
        </w:rPr>
        <w:t>labelling</w:t>
      </w:r>
      <w:r w:rsidRPr="00C4668A">
        <w:rPr>
          <w:snapToGrid w:val="0"/>
        </w:rPr>
        <w:t xml:space="preserve"> </w:t>
      </w:r>
      <w:r>
        <w:rPr>
          <w:snapToGrid w:val="0"/>
        </w:rPr>
        <w:t>(</w:t>
      </w:r>
      <w:r w:rsidRPr="00A532D3">
        <w:rPr>
          <w:snapToGrid w:val="0"/>
        </w:rPr>
        <w:t>TUNEL</w:t>
      </w:r>
      <w:r>
        <w:rPr>
          <w:snapToGrid w:val="0"/>
        </w:rPr>
        <w:t>)</w:t>
      </w:r>
      <w:r w:rsidRPr="00A532D3">
        <w:rPr>
          <w:snapToGrid w:val="0"/>
        </w:rPr>
        <w:t xml:space="preserve"> assay</w:t>
      </w:r>
      <w:r>
        <w:rPr>
          <w:snapToGrid w:val="0"/>
        </w:rPr>
        <w:t>;</w:t>
      </w:r>
      <w:r>
        <w:rPr>
          <w:rStyle w:val="FootnoteReference"/>
          <w:snapToGrid w:val="0"/>
        </w:rPr>
        <w:footnoteReference w:id="16"/>
      </w:r>
      <w:r w:rsidRPr="00A532D3">
        <w:rPr>
          <w:snapToGrid w:val="0"/>
        </w:rPr>
        <w:t xml:space="preserve"> respectively. Pharmacodynamic studies in xenograft models in immunodeficient castrated mice bearing luciferase expressing LNCaP/AR (LNCaP/AR</w:t>
      </w:r>
      <w:r>
        <w:rPr>
          <w:snapToGrid w:val="0"/>
        </w:rPr>
        <w:noBreakHyphen/>
      </w:r>
      <w:r w:rsidRPr="00A532D3">
        <w:rPr>
          <w:snapToGrid w:val="0"/>
        </w:rPr>
        <w:t xml:space="preserve">Luc) tumours also demonstrated AR inhibition with reductions in reporter-gene activity, reflecting inhibition of </w:t>
      </w:r>
      <w:r>
        <w:rPr>
          <w:snapToGrid w:val="0"/>
        </w:rPr>
        <w:t>AR dependent</w:t>
      </w:r>
      <w:r w:rsidRPr="00A532D3">
        <w:rPr>
          <w:snapToGrid w:val="0"/>
        </w:rPr>
        <w:t xml:space="preserve"> gene transcription </w:t>
      </w:r>
      <w:r w:rsidRPr="00220CAE">
        <w:rPr>
          <w:snapToGrid w:val="0"/>
        </w:rPr>
        <w:t>in vivo</w:t>
      </w:r>
      <w:r w:rsidRPr="00A532D3">
        <w:rPr>
          <w:snapToGrid w:val="0"/>
        </w:rPr>
        <w:t>.</w:t>
      </w:r>
    </w:p>
    <w:p w:rsidR="00E660F2" w:rsidRPr="00A532D3" w:rsidRDefault="00E660F2" w:rsidP="00E660F2">
      <w:pPr>
        <w:rPr>
          <w:snapToGrid w:val="0"/>
        </w:rPr>
      </w:pPr>
      <w:r w:rsidRPr="00A532D3">
        <w:rPr>
          <w:snapToGrid w:val="0"/>
        </w:rPr>
        <w:t>Overall, apalutamide is an AR inhibitor that binds directly to the ligand</w:t>
      </w:r>
      <w:r>
        <w:rPr>
          <w:snapToGrid w:val="0"/>
        </w:rPr>
        <w:t xml:space="preserve"> </w:t>
      </w:r>
      <w:r w:rsidRPr="00A532D3">
        <w:rPr>
          <w:snapToGrid w:val="0"/>
        </w:rPr>
        <w:t>binding domain of the AR, inhibits AR</w:t>
      </w:r>
      <w:r>
        <w:rPr>
          <w:snapToGrid w:val="0"/>
        </w:rPr>
        <w:t xml:space="preserve"> </w:t>
      </w:r>
      <w:r w:rsidRPr="00A532D3">
        <w:rPr>
          <w:snapToGrid w:val="0"/>
        </w:rPr>
        <w:t xml:space="preserve">mediated gene transcription. It has minimal effects on AR nuclear translocation. Apalutamide lacked androgen receptor agonist activity </w:t>
      </w:r>
      <w:r w:rsidRPr="006B7307">
        <w:rPr>
          <w:snapToGrid w:val="0"/>
        </w:rPr>
        <w:t xml:space="preserve">in in vitro assays. In vivo studies in xenograft prostate cancer models showed </w:t>
      </w:r>
      <w:r w:rsidRPr="006B7307">
        <w:rPr>
          <w:rFonts w:eastAsia="TimesNewRoman"/>
          <w:snapToGrid w:val="0"/>
        </w:rPr>
        <w:t>dose depende</w:t>
      </w:r>
      <w:r>
        <w:rPr>
          <w:rFonts w:eastAsia="TimesNewRoman"/>
          <w:snapToGrid w:val="0"/>
        </w:rPr>
        <w:t>nt</w:t>
      </w:r>
      <w:r w:rsidRPr="00A532D3">
        <w:rPr>
          <w:rFonts w:eastAsia="TimesNewRoman"/>
          <w:snapToGrid w:val="0"/>
        </w:rPr>
        <w:t xml:space="preserve"> </w:t>
      </w:r>
      <w:r w:rsidRPr="00A532D3">
        <w:rPr>
          <w:snapToGrid w:val="0"/>
        </w:rPr>
        <w:t>reductions in tumour cell proliferation and increased apoptosis, resulting in tumour regression.</w:t>
      </w:r>
    </w:p>
    <w:p w:rsidR="00E660F2" w:rsidRPr="00A532D3" w:rsidRDefault="00E660F2" w:rsidP="00E660F2">
      <w:pPr>
        <w:pStyle w:val="Heading5"/>
        <w:rPr>
          <w:snapToGrid w:val="0"/>
        </w:rPr>
      </w:pPr>
      <w:r w:rsidRPr="00A532D3">
        <w:rPr>
          <w:snapToGrid w:val="0"/>
        </w:rPr>
        <w:t>Resistance to treatment with apalutamide</w:t>
      </w:r>
    </w:p>
    <w:p w:rsidR="00E660F2" w:rsidRPr="00A532D3" w:rsidRDefault="00E660F2" w:rsidP="00E660F2">
      <w:pPr>
        <w:rPr>
          <w:snapToGrid w:val="0"/>
        </w:rPr>
      </w:pPr>
      <w:r w:rsidRPr="00A532D3">
        <w:rPr>
          <w:snapToGrid w:val="0"/>
        </w:rPr>
        <w:t>Resistance to treatment with apalutamide was not evaluated. It is expected that resistance to apalutamide may develop with mechanisms similar to enzalutamide. Potential mechanisms for resistance to enzlutamide include AR gene rearrangement, resulting in a constitutively</w:t>
      </w:r>
      <w:r>
        <w:rPr>
          <w:snapToGrid w:val="0"/>
        </w:rPr>
        <w:t xml:space="preserve"> </w:t>
      </w:r>
      <w:r w:rsidRPr="00A532D3">
        <w:rPr>
          <w:snapToGrid w:val="0"/>
        </w:rPr>
        <w:t xml:space="preserve">active AR that lacks a ligand binding domain and overexpression of </w:t>
      </w:r>
      <w:r w:rsidRPr="00220CAE">
        <w:rPr>
          <w:snapToGrid w:val="0"/>
        </w:rPr>
        <w:t xml:space="preserve">Cytochrome P450 </w:t>
      </w:r>
      <w:r>
        <w:rPr>
          <w:snapToGrid w:val="0"/>
        </w:rPr>
        <w:t xml:space="preserve">isozyme </w:t>
      </w:r>
      <w:r w:rsidRPr="00220CAE">
        <w:rPr>
          <w:snapToGrid w:val="0"/>
        </w:rPr>
        <w:t>1</w:t>
      </w:r>
      <w:r>
        <w:rPr>
          <w:snapToGrid w:val="0"/>
        </w:rPr>
        <w:t>7</w:t>
      </w:r>
      <w:r w:rsidRPr="00220CAE">
        <w:rPr>
          <w:snapToGrid w:val="0"/>
        </w:rPr>
        <w:t xml:space="preserve"> </w:t>
      </w:r>
      <w:r>
        <w:rPr>
          <w:snapToGrid w:val="0"/>
        </w:rPr>
        <w:t>(</w:t>
      </w:r>
      <w:r w:rsidRPr="00A532D3">
        <w:rPr>
          <w:snapToGrid w:val="0"/>
        </w:rPr>
        <w:t>CYP17</w:t>
      </w:r>
      <w:r>
        <w:rPr>
          <w:snapToGrid w:val="0"/>
        </w:rPr>
        <w:t>)</w:t>
      </w:r>
      <w:r w:rsidRPr="00A532D3">
        <w:rPr>
          <w:snapToGrid w:val="0"/>
        </w:rPr>
        <w:t xml:space="preserve"> leading to elevations in testosterone and </w:t>
      </w:r>
      <w:r>
        <w:rPr>
          <w:snapToGrid w:val="0"/>
        </w:rPr>
        <w:t>d</w:t>
      </w:r>
      <w:r w:rsidRPr="00220CAE">
        <w:rPr>
          <w:snapToGrid w:val="0"/>
        </w:rPr>
        <w:t>ihydrotestosterone (DHT)</w:t>
      </w:r>
      <w:r w:rsidRPr="00A532D3">
        <w:rPr>
          <w:snapToGrid w:val="0"/>
        </w:rPr>
        <w:t xml:space="preserve"> which may promote tumour growth</w:t>
      </w:r>
      <w:r>
        <w:rPr>
          <w:snapToGrid w:val="0"/>
        </w:rPr>
        <w:t>.</w:t>
      </w:r>
      <w:r w:rsidRPr="00A532D3">
        <w:rPr>
          <w:snapToGrid w:val="0"/>
          <w:vertAlign w:val="superscript"/>
        </w:rPr>
        <w:footnoteReference w:id="17"/>
      </w:r>
    </w:p>
    <w:p w:rsidR="00E660F2" w:rsidRPr="00A532D3" w:rsidRDefault="00E660F2" w:rsidP="00E660F2">
      <w:pPr>
        <w:pStyle w:val="Heading5"/>
      </w:pPr>
      <w:r w:rsidRPr="00A532D3">
        <w:t xml:space="preserve">Secondary pharmacodynamics </w:t>
      </w:r>
    </w:p>
    <w:p w:rsidR="00E660F2" w:rsidRPr="00A532D3" w:rsidRDefault="00E660F2" w:rsidP="00E660F2">
      <w:r w:rsidRPr="00A532D3">
        <w:t xml:space="preserve">Apalutamide was assessed for inhibitory activity at </w:t>
      </w:r>
      <w:r>
        <w:t xml:space="preserve">approximately </w:t>
      </w:r>
      <w:r w:rsidRPr="00A532D3">
        <w:t>55 receptors, channels and transporters</w:t>
      </w:r>
      <w:r>
        <w:t xml:space="preserve"> </w:t>
      </w:r>
      <w:r w:rsidRPr="00A532D3">
        <w:t xml:space="preserve">at 10 µM (20 times the clinical </w:t>
      </w:r>
      <w:r w:rsidRPr="00A532D3">
        <w:rPr>
          <w:rFonts w:eastAsia="Times New Roman"/>
          <w:snapToGrid w:val="0"/>
          <w:kern w:val="16"/>
        </w:rPr>
        <w:t xml:space="preserve">steady state </w:t>
      </w:r>
      <w:r w:rsidRPr="00A532D3">
        <w:t>unbound C</w:t>
      </w:r>
      <w:r w:rsidRPr="00A532D3">
        <w:rPr>
          <w:vertAlign w:val="subscript"/>
        </w:rPr>
        <w:t>max</w:t>
      </w:r>
      <w:r w:rsidRPr="00A532D3">
        <w:t xml:space="preserve"> level of 487</w:t>
      </w:r>
      <w:r>
        <w:t> </w:t>
      </w:r>
      <w:r w:rsidRPr="00A532D3">
        <w:t xml:space="preserve">nM). </w:t>
      </w:r>
      <w:r>
        <w:t xml:space="preserve">Apalutamide had no affinity for </w:t>
      </w:r>
      <w:r w:rsidRPr="00A532D3">
        <w:rPr>
          <w:rFonts w:eastAsia="Times New Roman"/>
          <w:snapToGrid w:val="0"/>
          <w:kern w:val="16"/>
        </w:rPr>
        <w:t>human progesterone beta receptor, progesterone alpha receptor or oestrogen receptor</w:t>
      </w:r>
      <w:r>
        <w:rPr>
          <w:rFonts w:eastAsia="Times New Roman"/>
          <w:snapToGrid w:val="0"/>
          <w:kern w:val="16"/>
        </w:rPr>
        <w:t>.</w:t>
      </w:r>
      <w:r w:rsidRPr="00A532D3">
        <w:rPr>
          <w:rFonts w:eastAsia="Times New Roman"/>
          <w:snapToGrid w:val="0"/>
          <w:kern w:val="16"/>
        </w:rPr>
        <w:t xml:space="preserve"> </w:t>
      </w:r>
      <w:r w:rsidRPr="00A532D3">
        <w:t>The only notable off</w:t>
      </w:r>
      <w:r w:rsidRPr="00A532D3">
        <w:noBreakHyphen/>
        <w:t xml:space="preserve">target activity was at the </w:t>
      </w:r>
      <w:r w:rsidRPr="00220CAE">
        <w:t>gamma-</w:t>
      </w:r>
      <w:r>
        <w:t>a</w:t>
      </w:r>
      <w:r w:rsidRPr="00220CAE">
        <w:t xml:space="preserve">minobutyric acid </w:t>
      </w:r>
      <w:r>
        <w:t>(</w:t>
      </w:r>
      <w:r w:rsidRPr="00A532D3">
        <w:t>GABA</w:t>
      </w:r>
      <w:r>
        <w:t xml:space="preserve">) </w:t>
      </w:r>
      <w:r w:rsidRPr="00A532D3">
        <w:t>gated chloride channel (IC</w:t>
      </w:r>
      <w:r w:rsidRPr="00A532D3">
        <w:rPr>
          <w:vertAlign w:val="subscript"/>
        </w:rPr>
        <w:t>50</w:t>
      </w:r>
      <w:r w:rsidRPr="00A532D3">
        <w:t xml:space="preserve"> </w:t>
      </w:r>
      <w:r>
        <w:t xml:space="preserve">approximately </w:t>
      </w:r>
      <w:r w:rsidRPr="00A532D3">
        <w:t xml:space="preserve">3 µM, </w:t>
      </w:r>
      <w:r>
        <w:t xml:space="preserve">approximately </w:t>
      </w:r>
      <w:r w:rsidRPr="00A532D3">
        <w:t xml:space="preserve">6 times </w:t>
      </w:r>
      <w:r>
        <w:t xml:space="preserve">the </w:t>
      </w:r>
      <w:r w:rsidRPr="00A532D3">
        <w:t xml:space="preserve">clinical unbound </w:t>
      </w:r>
      <w:r w:rsidRPr="00A532D3">
        <w:rPr>
          <w:rFonts w:eastAsia="Times New Roman"/>
          <w:snapToGrid w:val="0"/>
          <w:kern w:val="16"/>
        </w:rPr>
        <w:t>C</w:t>
      </w:r>
      <w:r w:rsidRPr="00A532D3">
        <w:rPr>
          <w:rFonts w:eastAsia="Times New Roman"/>
          <w:snapToGrid w:val="0"/>
          <w:kern w:val="16"/>
          <w:vertAlign w:val="subscript"/>
        </w:rPr>
        <w:t>max</w:t>
      </w:r>
      <w:r w:rsidRPr="00A532D3">
        <w:rPr>
          <w:rFonts w:eastAsia="Times New Roman"/>
          <w:snapToGrid w:val="0"/>
          <w:kern w:val="16"/>
        </w:rPr>
        <w:t>).</w:t>
      </w:r>
      <w:r>
        <w:rPr>
          <w:rFonts w:eastAsia="Times New Roman"/>
          <w:snapToGrid w:val="0"/>
          <w:kern w:val="16"/>
        </w:rPr>
        <w:t xml:space="preserve"> </w:t>
      </w:r>
      <w:r w:rsidRPr="00A532D3">
        <w:t>No analysis of GABA channel currents was undertaken to characterise the reversibility of binding. Inhibition by apalutamide of the GABA</w:t>
      </w:r>
      <w:r w:rsidRPr="00A532D3">
        <w:rPr>
          <w:vertAlign w:val="subscript"/>
        </w:rPr>
        <w:t>A</w:t>
      </w:r>
      <w:r w:rsidRPr="00A532D3">
        <w:t xml:space="preserve"> receptor with an IC</w:t>
      </w:r>
      <w:r w:rsidRPr="00A532D3">
        <w:rPr>
          <w:vertAlign w:val="subscript"/>
        </w:rPr>
        <w:t>50</w:t>
      </w:r>
      <w:r w:rsidRPr="00A532D3">
        <w:t xml:space="preserve"> of 0.88 μM (&lt;2</w:t>
      </w:r>
      <w:r>
        <w:t xml:space="preserve"> fold</w:t>
      </w:r>
      <w:r w:rsidRPr="00A532D3">
        <w:t xml:space="preserve"> the clinical free C</w:t>
      </w:r>
      <w:r w:rsidRPr="00A532D3">
        <w:rPr>
          <w:vertAlign w:val="subscript"/>
        </w:rPr>
        <w:t>max</w:t>
      </w:r>
      <w:r w:rsidRPr="00A532D3">
        <w:t>) was established in a tissue</w:t>
      </w:r>
      <w:r>
        <w:t xml:space="preserve"> </w:t>
      </w:r>
      <w:r w:rsidRPr="00A532D3">
        <w:t xml:space="preserve">based functional assay (guinea pig ileum bioassay). Whilst metabolite M1 </w:t>
      </w:r>
      <w:r w:rsidRPr="00A532D3">
        <w:lastRenderedPageBreak/>
        <w:t>showed negligible inhibitory activity against the GABA</w:t>
      </w:r>
      <w:r>
        <w:t xml:space="preserve"> </w:t>
      </w:r>
      <w:r w:rsidRPr="00A532D3">
        <w:t>gated chloride channel, M2, M3 and M4 showed some activity (IC</w:t>
      </w:r>
      <w:r w:rsidRPr="00A532D3">
        <w:rPr>
          <w:vertAlign w:val="subscript"/>
        </w:rPr>
        <w:t>50</w:t>
      </w:r>
      <w:r w:rsidRPr="00A532D3">
        <w:t xml:space="preserve"> values of IC</w:t>
      </w:r>
      <w:r w:rsidRPr="00A532D3">
        <w:rPr>
          <w:vertAlign w:val="subscript"/>
        </w:rPr>
        <w:t>50</w:t>
      </w:r>
      <w:r w:rsidRPr="00A532D3">
        <w:t xml:space="preserve">s of 19, 3.2, 25 µM, respectively). </w:t>
      </w:r>
      <w:r w:rsidRPr="00663531">
        <w:t>The IC</w:t>
      </w:r>
      <w:r w:rsidRPr="00663531">
        <w:rPr>
          <w:vertAlign w:val="subscript"/>
        </w:rPr>
        <w:t>50</w:t>
      </w:r>
      <w:r w:rsidRPr="00663531">
        <w:t xml:space="preserve"> value for M3 was similar to that of the parent and also </w:t>
      </w:r>
      <w:r>
        <w:t xml:space="preserve">approximately </w:t>
      </w:r>
      <w:r w:rsidRPr="00663531">
        <w:t xml:space="preserve">6 times the clinical </w:t>
      </w:r>
      <w:r w:rsidRPr="00663531">
        <w:rPr>
          <w:rFonts w:eastAsia="Times New Roman"/>
          <w:snapToGrid w:val="0"/>
          <w:kern w:val="16"/>
        </w:rPr>
        <w:t xml:space="preserve">steady state </w:t>
      </w:r>
      <w:r w:rsidRPr="00663531">
        <w:t>free C</w:t>
      </w:r>
      <w:r w:rsidRPr="00663531">
        <w:rPr>
          <w:vertAlign w:val="subscript"/>
        </w:rPr>
        <w:t>max</w:t>
      </w:r>
      <w:r w:rsidRPr="00A532D3">
        <w:t xml:space="preserve"> of 550 nM.</w:t>
      </w:r>
    </w:p>
    <w:p w:rsidR="00E660F2" w:rsidRPr="00A532D3" w:rsidRDefault="00E660F2" w:rsidP="00E660F2">
      <w:r w:rsidRPr="00A532D3">
        <w:t xml:space="preserve">Potential inhibition by apalutamide of </w:t>
      </w:r>
      <w:r w:rsidRPr="00A532D3">
        <w:rPr>
          <w:rFonts w:eastAsia="Times New Roman"/>
          <w:snapToGrid w:val="0"/>
          <w:kern w:val="16"/>
        </w:rPr>
        <w:t xml:space="preserve">non-kinase enzymes, kinases or deacetylases in preliminary screening assays </w:t>
      </w:r>
      <w:r w:rsidRPr="00A532D3">
        <w:t xml:space="preserve">could have been investigated. </w:t>
      </w:r>
      <w:r>
        <w:t>E</w:t>
      </w:r>
      <w:r w:rsidRPr="00A532D3">
        <w:t>xcept for interaction studies with the GABA</w:t>
      </w:r>
      <w:r>
        <w:t xml:space="preserve"> </w:t>
      </w:r>
      <w:r w:rsidRPr="00A532D3">
        <w:t>gated chloride channel, M3 was not assessed in standard screening assays.</w:t>
      </w:r>
    </w:p>
    <w:p w:rsidR="00E660F2" w:rsidRPr="00A532D3" w:rsidRDefault="00E660F2" w:rsidP="00E660F2">
      <w:pPr>
        <w:pStyle w:val="Heading5"/>
      </w:pPr>
      <w:r w:rsidRPr="00A532D3">
        <w:t>Safety pharmacology</w:t>
      </w:r>
    </w:p>
    <w:p w:rsidR="00E660F2" w:rsidRPr="00A532D3" w:rsidRDefault="00E660F2" w:rsidP="00E660F2">
      <w:pPr>
        <w:rPr>
          <w:snapToGrid w:val="0"/>
        </w:rPr>
      </w:pPr>
      <w:r w:rsidRPr="00A532D3">
        <w:rPr>
          <w:snapToGrid w:val="0"/>
        </w:rPr>
        <w:t xml:space="preserve">Specialised safety pharmacology studies examined potential effects of PO dosing of apalutamide on the </w:t>
      </w:r>
      <w:r>
        <w:rPr>
          <w:snapToGrid w:val="0"/>
        </w:rPr>
        <w:t>central nervous system (</w:t>
      </w:r>
      <w:r w:rsidRPr="00A532D3">
        <w:rPr>
          <w:snapToGrid w:val="0"/>
        </w:rPr>
        <w:t>CNS</w:t>
      </w:r>
      <w:r>
        <w:rPr>
          <w:snapToGrid w:val="0"/>
        </w:rPr>
        <w:t>)</w:t>
      </w:r>
      <w:r w:rsidRPr="00A532D3">
        <w:rPr>
          <w:snapToGrid w:val="0"/>
        </w:rPr>
        <w:t xml:space="preserve">, cardiovascular and respiratory systems. In addition, </w:t>
      </w:r>
      <w:r w:rsidRPr="00970172">
        <w:rPr>
          <w:snapToGrid w:val="0"/>
        </w:rPr>
        <w:t>in vitro</w:t>
      </w:r>
      <w:r w:rsidRPr="00A532D3">
        <w:rPr>
          <w:i/>
          <w:snapToGrid w:val="0"/>
        </w:rPr>
        <w:t xml:space="preserve"> </w:t>
      </w:r>
      <w:r w:rsidRPr="00A532D3">
        <w:rPr>
          <w:snapToGrid w:val="0"/>
        </w:rPr>
        <w:t xml:space="preserve">studies were also conducted with the active metabolite, M3 for cardiac effects and an </w:t>
      </w:r>
      <w:r w:rsidRPr="00970172">
        <w:rPr>
          <w:snapToGrid w:val="0"/>
        </w:rPr>
        <w:t>in vivo</w:t>
      </w:r>
      <w:r w:rsidRPr="00A532D3">
        <w:rPr>
          <w:snapToGrid w:val="0"/>
        </w:rPr>
        <w:t xml:space="preserve"> study for effects on respiratory function.</w:t>
      </w:r>
    </w:p>
    <w:p w:rsidR="00E660F2" w:rsidRPr="00A532D3" w:rsidRDefault="00E660F2" w:rsidP="00E660F2">
      <w:pPr>
        <w:rPr>
          <w:snapToGrid w:val="0"/>
        </w:rPr>
      </w:pPr>
      <w:r w:rsidRPr="00A532D3">
        <w:rPr>
          <w:snapToGrid w:val="0"/>
        </w:rPr>
        <w:t xml:space="preserve">CNS function (functional observation battery in </w:t>
      </w:r>
      <w:r>
        <w:rPr>
          <w:snapToGrid w:val="0"/>
        </w:rPr>
        <w:t xml:space="preserve">the </w:t>
      </w:r>
      <w:r w:rsidRPr="00A532D3">
        <w:rPr>
          <w:snapToGrid w:val="0"/>
        </w:rPr>
        <w:t xml:space="preserve">28 day </w:t>
      </w:r>
      <w:r>
        <w:rPr>
          <w:snapToGrid w:val="0"/>
        </w:rPr>
        <w:t xml:space="preserve">repeat dose </w:t>
      </w:r>
      <w:r w:rsidRPr="00A532D3">
        <w:rPr>
          <w:snapToGrid w:val="0"/>
        </w:rPr>
        <w:t>toxicity study at up to 150 mg/kg/day) and respiration (up to 100 mg/kg) were unaffected in male rats. The plasma apalutamide C</w:t>
      </w:r>
      <w:r w:rsidRPr="00A532D3">
        <w:rPr>
          <w:snapToGrid w:val="0"/>
          <w:vertAlign w:val="subscript"/>
        </w:rPr>
        <w:t>max</w:t>
      </w:r>
      <w:r w:rsidRPr="00A532D3">
        <w:rPr>
          <w:snapToGrid w:val="0"/>
        </w:rPr>
        <w:t xml:space="preserve"> at 150 mg/kg/day in the 4</w:t>
      </w:r>
      <w:r>
        <w:rPr>
          <w:snapToGrid w:val="0"/>
        </w:rPr>
        <w:t xml:space="preserve"> </w:t>
      </w:r>
      <w:r w:rsidRPr="00A532D3">
        <w:rPr>
          <w:snapToGrid w:val="0"/>
        </w:rPr>
        <w:t>week study (31.5 µg/mL) and at 100 mg/kg after a single dose (15.5 μg/mL on day 1 from the 13</w:t>
      </w:r>
      <w:r>
        <w:rPr>
          <w:snapToGrid w:val="0"/>
        </w:rPr>
        <w:t xml:space="preserve"> week</w:t>
      </w:r>
      <w:r w:rsidRPr="00A532D3">
        <w:rPr>
          <w:snapToGrid w:val="0"/>
        </w:rPr>
        <w:t xml:space="preserve"> male rat study) were 5 and 3 times the clinical steady state C</w:t>
      </w:r>
      <w:r w:rsidRPr="00A532D3">
        <w:rPr>
          <w:snapToGrid w:val="0"/>
          <w:vertAlign w:val="subscript"/>
        </w:rPr>
        <w:t xml:space="preserve">max </w:t>
      </w:r>
      <w:r w:rsidRPr="00A532D3">
        <w:rPr>
          <w:snapToGrid w:val="0"/>
        </w:rPr>
        <w:t>(5.81 µg/mL). No clinical signs of CNS effects were observed in repeat dose toxicity studies in rats.</w:t>
      </w:r>
    </w:p>
    <w:p w:rsidR="00E660F2" w:rsidRPr="00A532D3" w:rsidRDefault="00E660F2" w:rsidP="00E660F2">
      <w:pPr>
        <w:rPr>
          <w:snapToGrid w:val="0"/>
        </w:rPr>
      </w:pPr>
      <w:r w:rsidRPr="00A532D3">
        <w:rPr>
          <w:snapToGrid w:val="0"/>
        </w:rPr>
        <w:t>However, apalutamide resulted in seizures/convulsions in mice after a single high dose at 500 mg/kg (apalutamide and M3 C</w:t>
      </w:r>
      <w:r w:rsidRPr="00A532D3">
        <w:rPr>
          <w:snapToGrid w:val="0"/>
          <w:vertAlign w:val="subscript"/>
        </w:rPr>
        <w:t>max</w:t>
      </w:r>
      <w:r w:rsidRPr="00A532D3">
        <w:rPr>
          <w:snapToGrid w:val="0"/>
        </w:rPr>
        <w:t xml:space="preserve"> 71 and 17.8 µg/mL, 12 and 3 times the clinical steady state C</w:t>
      </w:r>
      <w:r w:rsidRPr="00A532D3">
        <w:rPr>
          <w:snapToGrid w:val="0"/>
          <w:vertAlign w:val="subscript"/>
        </w:rPr>
        <w:t>max</w:t>
      </w:r>
      <w:r w:rsidRPr="00A532D3">
        <w:rPr>
          <w:snapToGrid w:val="0"/>
        </w:rPr>
        <w:t>, respectively) and after repeated PO doses at 175 mg/kg/day (apalutamide and M3 C</w:t>
      </w:r>
      <w:r w:rsidRPr="00A532D3">
        <w:rPr>
          <w:snapToGrid w:val="0"/>
          <w:vertAlign w:val="subscript"/>
        </w:rPr>
        <w:t>max</w:t>
      </w:r>
      <w:r w:rsidRPr="00A532D3">
        <w:rPr>
          <w:snapToGrid w:val="0"/>
        </w:rPr>
        <w:t xml:space="preserve"> </w:t>
      </w:r>
      <w:r>
        <w:rPr>
          <w:snapToGrid w:val="0"/>
        </w:rPr>
        <w:t xml:space="preserve">approximately </w:t>
      </w:r>
      <w:r w:rsidRPr="00D702C7">
        <w:rPr>
          <w:snapToGrid w:val="0"/>
        </w:rPr>
        <w:t>50 µg/mL and 18 µg/mL, 9 and 3 times the clinical C</w:t>
      </w:r>
      <w:r w:rsidRPr="00D702C7">
        <w:rPr>
          <w:snapToGrid w:val="0"/>
          <w:vertAlign w:val="subscript"/>
        </w:rPr>
        <w:t>max</w:t>
      </w:r>
      <w:r w:rsidRPr="00D702C7">
        <w:rPr>
          <w:snapToGrid w:val="0"/>
        </w:rPr>
        <w:t xml:space="preserve">, respectively). </w:t>
      </w:r>
      <w:r w:rsidRPr="00A532D3">
        <w:rPr>
          <w:snapToGrid w:val="0"/>
        </w:rPr>
        <w:t xml:space="preserve">A study assessing the potential of apalutamide for latency of seizure induction by pentylenetetrazole in mice was inconclusive because of variable </w:t>
      </w:r>
      <w:r w:rsidRPr="00D702C7">
        <w:rPr>
          <w:snapToGrid w:val="0"/>
        </w:rPr>
        <w:t>results</w:t>
      </w:r>
      <w:r w:rsidRPr="00A532D3">
        <w:rPr>
          <w:snapToGrid w:val="0"/>
        </w:rPr>
        <w:t xml:space="preserve"> </w:t>
      </w:r>
      <w:r>
        <w:rPr>
          <w:snapToGrid w:val="0"/>
        </w:rPr>
        <w:t xml:space="preserve">with apalutamide </w:t>
      </w:r>
      <w:r w:rsidRPr="00A532D3">
        <w:rPr>
          <w:snapToGrid w:val="0"/>
        </w:rPr>
        <w:t>and inconsistent findings with the positive control</w:t>
      </w:r>
      <w:r>
        <w:rPr>
          <w:snapToGrid w:val="0"/>
        </w:rPr>
        <w:t xml:space="preserve"> </w:t>
      </w:r>
      <w:r w:rsidRPr="00A532D3">
        <w:rPr>
          <w:snapToGrid w:val="0"/>
        </w:rPr>
        <w:t>enzalutamide.</w:t>
      </w:r>
    </w:p>
    <w:p w:rsidR="00E660F2" w:rsidRPr="00A532D3" w:rsidRDefault="00E660F2" w:rsidP="00E660F2">
      <w:pPr>
        <w:rPr>
          <w:snapToGrid w:val="0"/>
        </w:rPr>
      </w:pPr>
      <w:r>
        <w:rPr>
          <w:snapToGrid w:val="0"/>
        </w:rPr>
        <w:t>T</w:t>
      </w:r>
      <w:r w:rsidRPr="00A532D3">
        <w:rPr>
          <w:snapToGrid w:val="0"/>
        </w:rPr>
        <w:t xml:space="preserve">remors, </w:t>
      </w:r>
      <w:r w:rsidRPr="00A532D3">
        <w:t xml:space="preserve">wobbly gait and ataxia </w:t>
      </w:r>
      <w:r w:rsidRPr="00A532D3">
        <w:rPr>
          <w:snapToGrid w:val="0"/>
        </w:rPr>
        <w:t xml:space="preserve">were observed in dogs dosed with apalutamide </w:t>
      </w:r>
      <w:r>
        <w:rPr>
          <w:snapToGrid w:val="0"/>
        </w:rPr>
        <w:t xml:space="preserve">at </w:t>
      </w:r>
      <w:r w:rsidRPr="00A532D3">
        <w:rPr>
          <w:snapToGrid w:val="0"/>
        </w:rPr>
        <w:t xml:space="preserve">≥ 20 mg/kg/day </w:t>
      </w:r>
      <w:r>
        <w:rPr>
          <w:snapToGrid w:val="0"/>
        </w:rPr>
        <w:t>and convulsions at ≥ 25 mg/kg/day</w:t>
      </w:r>
      <w:r w:rsidRPr="00A532D3">
        <w:rPr>
          <w:snapToGrid w:val="0"/>
        </w:rPr>
        <w:t>.</w:t>
      </w:r>
      <w:r>
        <w:rPr>
          <w:snapToGrid w:val="0"/>
        </w:rPr>
        <w:t xml:space="preserve"> </w:t>
      </w:r>
      <w:r w:rsidRPr="00A532D3">
        <w:rPr>
          <w:snapToGrid w:val="0"/>
        </w:rPr>
        <w:t>Plasma C</w:t>
      </w:r>
      <w:r w:rsidRPr="00A532D3">
        <w:rPr>
          <w:snapToGrid w:val="0"/>
          <w:vertAlign w:val="subscript"/>
        </w:rPr>
        <w:t>max</w:t>
      </w:r>
      <w:r w:rsidRPr="00A532D3">
        <w:rPr>
          <w:snapToGrid w:val="0"/>
        </w:rPr>
        <w:t xml:space="preserve"> of apalutamide and M3 associated with CNS toxicity was </w:t>
      </w:r>
      <w:r>
        <w:rPr>
          <w:snapToGrid w:val="0"/>
        </w:rPr>
        <w:t xml:space="preserve">approximately </w:t>
      </w:r>
      <w:r w:rsidRPr="00A532D3">
        <w:rPr>
          <w:snapToGrid w:val="0"/>
        </w:rPr>
        <w:t>30 and 20 µg/mL, respectively (5 and 3 times the clinical steady state C</w:t>
      </w:r>
      <w:r w:rsidRPr="00A532D3">
        <w:rPr>
          <w:snapToGrid w:val="0"/>
          <w:vertAlign w:val="subscript"/>
        </w:rPr>
        <w:t>max</w:t>
      </w:r>
      <w:r w:rsidRPr="00A532D3">
        <w:rPr>
          <w:snapToGrid w:val="0"/>
        </w:rPr>
        <w:t>). No CNS effects were apparent in dogs at 10 mg/kg/day (apalutamide and M3 C</w:t>
      </w:r>
      <w:r w:rsidRPr="00A532D3">
        <w:rPr>
          <w:snapToGrid w:val="0"/>
          <w:vertAlign w:val="subscript"/>
        </w:rPr>
        <w:t>max</w:t>
      </w:r>
      <w:r w:rsidRPr="00A532D3">
        <w:rPr>
          <w:snapToGrid w:val="0"/>
        </w:rPr>
        <w:t xml:space="preserve"> </w:t>
      </w:r>
      <w:r>
        <w:rPr>
          <w:snapToGrid w:val="0"/>
        </w:rPr>
        <w:t xml:space="preserve">approximately </w:t>
      </w:r>
      <w:r w:rsidRPr="00A532D3">
        <w:rPr>
          <w:snapToGrid w:val="0"/>
        </w:rPr>
        <w:t>3 and 1.5x the clinical C</w:t>
      </w:r>
      <w:r w:rsidRPr="00A532D3">
        <w:rPr>
          <w:snapToGrid w:val="0"/>
          <w:vertAlign w:val="subscript"/>
        </w:rPr>
        <w:t>max</w:t>
      </w:r>
      <w:r w:rsidRPr="00A532D3">
        <w:rPr>
          <w:snapToGrid w:val="0"/>
        </w:rPr>
        <w:t>).</w:t>
      </w:r>
    </w:p>
    <w:p w:rsidR="00E660F2" w:rsidRPr="00A532D3" w:rsidRDefault="00E660F2" w:rsidP="00E660F2">
      <w:pPr>
        <w:rPr>
          <w:snapToGrid w:val="0"/>
        </w:rPr>
      </w:pPr>
      <w:r w:rsidRPr="00A532D3">
        <w:rPr>
          <w:snapToGrid w:val="0"/>
        </w:rPr>
        <w:t>CNS toxicity was probably related to the off-target activity at the GABA</w:t>
      </w:r>
      <w:r>
        <w:rPr>
          <w:snapToGrid w:val="0"/>
        </w:rPr>
        <w:t xml:space="preserve"> </w:t>
      </w:r>
      <w:r w:rsidRPr="00A532D3">
        <w:rPr>
          <w:snapToGrid w:val="0"/>
        </w:rPr>
        <w:t>gated chloride channel. Similar effects were reported for enzalutamide, which also binds to the GABA</w:t>
      </w:r>
      <w:r>
        <w:rPr>
          <w:snapToGrid w:val="0"/>
        </w:rPr>
        <w:t xml:space="preserve"> </w:t>
      </w:r>
      <w:r w:rsidRPr="00A532D3">
        <w:rPr>
          <w:snapToGrid w:val="0"/>
        </w:rPr>
        <w:t xml:space="preserve">gated chloride channel and causes seizures in animal species and patients. Distribution of apalutamide and M3 to brain was demonstrated in mice, rats and dogs. The brain apalutamide or M3 level was </w:t>
      </w:r>
      <w:r>
        <w:rPr>
          <w:snapToGrid w:val="0"/>
        </w:rPr>
        <w:t>3</w:t>
      </w:r>
      <w:r w:rsidRPr="00A532D3">
        <w:rPr>
          <w:snapToGrid w:val="0"/>
        </w:rPr>
        <w:t>0% to 1</w:t>
      </w:r>
      <w:r>
        <w:rPr>
          <w:snapToGrid w:val="0"/>
        </w:rPr>
        <w:t>4</w:t>
      </w:r>
      <w:r w:rsidRPr="00A532D3">
        <w:rPr>
          <w:snapToGrid w:val="0"/>
        </w:rPr>
        <w:t xml:space="preserve">0% of plasma levels. Apalutamide and M3 in </w:t>
      </w:r>
      <w:r>
        <w:rPr>
          <w:snapToGrid w:val="0"/>
        </w:rPr>
        <w:t>cerebrospinal fluid (</w:t>
      </w:r>
      <w:r w:rsidRPr="00A532D3">
        <w:rPr>
          <w:snapToGrid w:val="0"/>
        </w:rPr>
        <w:t>CSF</w:t>
      </w:r>
      <w:r>
        <w:rPr>
          <w:snapToGrid w:val="0"/>
        </w:rPr>
        <w:t>)</w:t>
      </w:r>
      <w:r w:rsidRPr="00A532D3">
        <w:rPr>
          <w:snapToGrid w:val="0"/>
        </w:rPr>
        <w:t xml:space="preserve"> assessed in dogs, were low, 2-5% of plasma levels.</w:t>
      </w:r>
    </w:p>
    <w:p w:rsidR="00E660F2" w:rsidRPr="00A532D3" w:rsidRDefault="00E660F2" w:rsidP="00E660F2">
      <w:r w:rsidRPr="00A532D3">
        <w:t>Given that CNS toxicity occurred at relatively low plasma levels of apalutamide, combined with the significant inhibitory activity at the GABA</w:t>
      </w:r>
      <w:r>
        <w:t xml:space="preserve"> </w:t>
      </w:r>
      <w:r w:rsidRPr="00A532D3">
        <w:t xml:space="preserve">gated chloride channel by both apalutamide and M3 and the significant CNS exposures to both </w:t>
      </w:r>
      <w:r>
        <w:t>apalutamide and M3</w:t>
      </w:r>
      <w:r w:rsidRPr="00A532D3">
        <w:t>, seizures (and potentially other CNS effects</w:t>
      </w:r>
      <w:r>
        <w:t xml:space="preserve"> such as</w:t>
      </w:r>
      <w:r w:rsidRPr="00A532D3">
        <w:t xml:space="preserve"> tremors) should be considered as a potential risk in patients taking apalutamide. Consideration should also be given to patients that may be currently taking GABA acting compounds and the potential risk for seizures in the event of withdrawal of these compounds.</w:t>
      </w:r>
      <w:r>
        <w:t xml:space="preserve"> </w:t>
      </w:r>
      <w:r w:rsidRPr="00A532D3">
        <w:t>Seizures (and increased incidences of falls and fractures</w:t>
      </w:r>
      <w:r>
        <w:t>, possibly CNS effects-related</w:t>
      </w:r>
      <w:r w:rsidRPr="00A532D3">
        <w:t>) were reported in clinical trials.</w:t>
      </w:r>
    </w:p>
    <w:p w:rsidR="00E660F2" w:rsidRPr="004334C7" w:rsidRDefault="00E660F2" w:rsidP="00E660F2">
      <w:r w:rsidRPr="00A532D3">
        <w:t xml:space="preserve">Both apalutamide and M3 inhibited the </w:t>
      </w:r>
      <w:r>
        <w:t>potassium (</w:t>
      </w:r>
      <w:r w:rsidRPr="00A532D3">
        <w:t>hERG K</w:t>
      </w:r>
      <w:r w:rsidRPr="00A532D3">
        <w:rPr>
          <w:vertAlign w:val="superscript"/>
        </w:rPr>
        <w:t>+</w:t>
      </w:r>
      <w:r>
        <w:t>)</w:t>
      </w:r>
      <w:r w:rsidRPr="00A532D3">
        <w:t xml:space="preserve"> tail currents in hERG-transfected </w:t>
      </w:r>
      <w:r>
        <w:t>Chinese hamster ovary (</w:t>
      </w:r>
      <w:r w:rsidRPr="00A532D3">
        <w:t>CHO</w:t>
      </w:r>
      <w:r>
        <w:t>)</w:t>
      </w:r>
      <w:r w:rsidRPr="00A532D3">
        <w:t>-K1 cells with IC</w:t>
      </w:r>
      <w:r w:rsidRPr="00A532D3">
        <w:rPr>
          <w:vertAlign w:val="subscript"/>
        </w:rPr>
        <w:t>50</w:t>
      </w:r>
      <w:r w:rsidRPr="00A532D3">
        <w:t xml:space="preserve"> values of 6.17 µM (</w:t>
      </w:r>
      <w:r>
        <w:t xml:space="preserve">approximately </w:t>
      </w:r>
      <w:r w:rsidRPr="00A532D3">
        <w:t>2.95 µg/mL) and 4.56 µM (</w:t>
      </w:r>
      <w:r>
        <w:t xml:space="preserve">approximately </w:t>
      </w:r>
      <w:r w:rsidRPr="00A532D3">
        <w:t>2.11 µg/mL), respectively, 13 and 8 times the clinical steady state unbound C</w:t>
      </w:r>
      <w:r w:rsidRPr="00A532D3">
        <w:rPr>
          <w:vertAlign w:val="subscript"/>
        </w:rPr>
        <w:t>max</w:t>
      </w:r>
      <w:r w:rsidRPr="00A532D3">
        <w:t xml:space="preserve">. In an </w:t>
      </w:r>
      <w:r w:rsidRPr="00970172">
        <w:t>in vitro</w:t>
      </w:r>
      <w:r w:rsidRPr="00A532D3">
        <w:t xml:space="preserve"> study of potential effects on action potential in isolated canine cardiac Purkinje fibres from female Beagle dogs, </w:t>
      </w:r>
      <w:r w:rsidRPr="00A532D3">
        <w:lastRenderedPageBreak/>
        <w:t xml:space="preserve">apalutamide and M3 (both up to 30 µM; </w:t>
      </w:r>
      <w:r>
        <w:t xml:space="preserve">approximately </w:t>
      </w:r>
      <w:r w:rsidRPr="00A532D3">
        <w:t>60 times the clinical unbound C</w:t>
      </w:r>
      <w:r w:rsidRPr="00A532D3">
        <w:rPr>
          <w:vertAlign w:val="subscript"/>
        </w:rPr>
        <w:t>max</w:t>
      </w:r>
      <w:r w:rsidRPr="00A532D3">
        <w:t>) resulted in no significant and concentration</w:t>
      </w:r>
      <w:r>
        <w:t xml:space="preserve"> </w:t>
      </w:r>
      <w:r w:rsidRPr="00A532D3">
        <w:t xml:space="preserve">dependent effects. Similarly, in a 24 h telemetered dog study, there were no adverse effects on cardiovascular function (blood pressure and </w:t>
      </w:r>
      <w:r>
        <w:t>electrocardiogram (</w:t>
      </w:r>
      <w:r w:rsidRPr="00A532D3">
        <w:t>ECG</w:t>
      </w:r>
      <w:r>
        <w:t>)</w:t>
      </w:r>
      <w:r w:rsidRPr="00A532D3">
        <w:t>) after a single oral dose of apalutamide at up to 40 mg/kg. The plasma apalutamide levels 5 and 25 h after dosing in dogs (5.6</w:t>
      </w:r>
      <w:r>
        <w:t xml:space="preserve"> to </w:t>
      </w:r>
      <w:r w:rsidRPr="00A532D3">
        <w:t>10</w:t>
      </w:r>
      <w:r>
        <w:t> </w:t>
      </w:r>
      <w:r w:rsidRPr="00A532D3">
        <w:t>µg/mL) were similar to the clinical steady state C</w:t>
      </w:r>
      <w:r w:rsidRPr="00A532D3">
        <w:rPr>
          <w:vertAlign w:val="subscript"/>
        </w:rPr>
        <w:t>max</w:t>
      </w:r>
      <w:r w:rsidRPr="00A532D3">
        <w:t xml:space="preserve"> (5.81 µg/mL) but the M3 levels (0.5</w:t>
      </w:r>
      <w:r>
        <w:t xml:space="preserve"> to </w:t>
      </w:r>
      <w:r w:rsidRPr="00A532D3">
        <w:t>2 µg/mL) were below the clinical C</w:t>
      </w:r>
      <w:r w:rsidRPr="00A532D3">
        <w:rPr>
          <w:vertAlign w:val="subscript"/>
        </w:rPr>
        <w:t>max</w:t>
      </w:r>
      <w:r w:rsidRPr="00A532D3">
        <w:t xml:space="preserve"> (6.37 µg/mL). </w:t>
      </w:r>
      <w:r w:rsidRPr="00A532D3">
        <w:rPr>
          <w:snapToGrid w:val="0"/>
        </w:rPr>
        <w:t>No ECG abnormalities were seen in the pivotal repeat dose toxicity studies in male or female dogs at up to 10</w:t>
      </w:r>
      <w:r>
        <w:rPr>
          <w:snapToGrid w:val="0"/>
        </w:rPr>
        <w:t> </w:t>
      </w:r>
      <w:r w:rsidRPr="00A532D3">
        <w:rPr>
          <w:snapToGrid w:val="0"/>
        </w:rPr>
        <w:t>mg/kg/day (apalutamide and M3 C</w:t>
      </w:r>
      <w:r w:rsidRPr="00A532D3">
        <w:rPr>
          <w:snapToGrid w:val="0"/>
          <w:vertAlign w:val="subscript"/>
        </w:rPr>
        <w:t>max</w:t>
      </w:r>
      <w:r w:rsidRPr="00A532D3">
        <w:rPr>
          <w:snapToGrid w:val="0"/>
        </w:rPr>
        <w:t xml:space="preserve"> </w:t>
      </w:r>
      <w:r>
        <w:rPr>
          <w:snapToGrid w:val="0"/>
        </w:rPr>
        <w:t xml:space="preserve">approximately </w:t>
      </w:r>
      <w:r w:rsidRPr="00A532D3">
        <w:rPr>
          <w:snapToGrid w:val="0"/>
        </w:rPr>
        <w:t xml:space="preserve">3.5 and </w:t>
      </w:r>
      <w:r>
        <w:rPr>
          <w:snapToGrid w:val="0"/>
        </w:rPr>
        <w:t xml:space="preserve">approximately </w:t>
      </w:r>
      <w:r w:rsidRPr="00A532D3">
        <w:rPr>
          <w:snapToGrid w:val="0"/>
        </w:rPr>
        <w:t>1.5 times the clinical steady state C</w:t>
      </w:r>
      <w:r w:rsidRPr="00A532D3">
        <w:rPr>
          <w:snapToGrid w:val="0"/>
          <w:vertAlign w:val="subscript"/>
        </w:rPr>
        <w:t>max</w:t>
      </w:r>
      <w:r>
        <w:rPr>
          <w:snapToGrid w:val="0"/>
        </w:rPr>
        <w:t>, respectively).</w:t>
      </w:r>
      <w:r w:rsidRPr="00F17464">
        <w:rPr>
          <w:snapToGrid w:val="0"/>
        </w:rPr>
        <w:t xml:space="preserve"> QT prolongation</w:t>
      </w:r>
      <w:r>
        <w:rPr>
          <w:snapToGrid w:val="0"/>
        </w:rPr>
        <w:t>;</w:t>
      </w:r>
      <w:r>
        <w:rPr>
          <w:rStyle w:val="FootnoteReference"/>
          <w:snapToGrid w:val="0"/>
        </w:rPr>
        <w:footnoteReference w:id="18"/>
      </w:r>
      <w:r w:rsidRPr="00F17464">
        <w:rPr>
          <w:snapToGrid w:val="0"/>
        </w:rPr>
        <w:t xml:space="preserve"> in patients taking apalutamide cannot be excluded.</w:t>
      </w:r>
    </w:p>
    <w:p w:rsidR="00E660F2" w:rsidRDefault="00E660F2" w:rsidP="00E660F2">
      <w:pPr>
        <w:pStyle w:val="Heading3"/>
      </w:pPr>
      <w:bookmarkStart w:id="66" w:name="_Toc247691513"/>
      <w:bookmarkStart w:id="67" w:name="_Toc314842497"/>
      <w:bookmarkStart w:id="68" w:name="_Toc523915059"/>
      <w:bookmarkStart w:id="69" w:name="_Toc5014061"/>
      <w:r>
        <w:t>Pharmacokinetics</w:t>
      </w:r>
      <w:bookmarkEnd w:id="66"/>
      <w:bookmarkEnd w:id="67"/>
      <w:bookmarkEnd w:id="68"/>
      <w:bookmarkEnd w:id="69"/>
    </w:p>
    <w:p w:rsidR="00E660F2" w:rsidRPr="00A532D3" w:rsidRDefault="00E660F2" w:rsidP="00E660F2">
      <w:pPr>
        <w:rPr>
          <w:snapToGrid w:val="0"/>
        </w:rPr>
      </w:pPr>
      <w:bookmarkStart w:id="70" w:name="_Toc294861725"/>
      <w:r w:rsidRPr="00A532D3">
        <w:rPr>
          <w:snapToGrid w:val="0"/>
        </w:rPr>
        <w:t xml:space="preserve">Apalutamide was well absorbed in animal species. High permeability through Caco-2 and kidney cell monolayers was observed </w:t>
      </w:r>
      <w:r w:rsidRPr="0082528A">
        <w:rPr>
          <w:snapToGrid w:val="0"/>
        </w:rPr>
        <w:t>in vitro</w:t>
      </w:r>
      <w:r w:rsidRPr="00A532D3">
        <w:rPr>
          <w:snapToGrid w:val="0"/>
        </w:rPr>
        <w:t>. With the oral ‘lipid-based emulsion’ formulation (containin</w:t>
      </w:r>
      <w:r w:rsidRPr="00A532D3">
        <w:rPr>
          <w:snapToGrid w:val="0"/>
          <w:u w:val="single"/>
        </w:rPr>
        <w:t>g</w:t>
      </w:r>
      <w:r w:rsidRPr="00A532D3">
        <w:rPr>
          <w:snapToGrid w:val="0"/>
        </w:rPr>
        <w:t xml:space="preserve"> Acconon MC8-2/Capmul MCM/PEG-400/VitE-TPGS [10:45:30:15]) high oral bioavailability was reported in mice (93%) and rats (100%), similar to that in humans. Oral bioavailability in dogs could not be reliably estimated due to insufficient blood sampling but is expected to be high. Following oral dosing to animals, peak plasma levels of apalutamide were reached in 2</w:t>
      </w:r>
      <w:r>
        <w:rPr>
          <w:snapToGrid w:val="0"/>
        </w:rPr>
        <w:t xml:space="preserve"> to </w:t>
      </w:r>
      <w:r w:rsidRPr="00A532D3">
        <w:rPr>
          <w:snapToGrid w:val="0"/>
        </w:rPr>
        <w:t>12 h.</w:t>
      </w:r>
      <w:r>
        <w:rPr>
          <w:snapToGrid w:val="0"/>
        </w:rPr>
        <w:t xml:space="preserve"> </w:t>
      </w:r>
      <w:r w:rsidRPr="00A532D3">
        <w:rPr>
          <w:snapToGrid w:val="0"/>
        </w:rPr>
        <w:t>Clearance of apalutamide was slow in dogs (</w:t>
      </w:r>
      <w:r>
        <w:rPr>
          <w:snapToGrid w:val="0"/>
        </w:rPr>
        <w:t xml:space="preserve">approximately </w:t>
      </w:r>
      <w:r w:rsidRPr="00A532D3">
        <w:rPr>
          <w:snapToGrid w:val="0"/>
        </w:rPr>
        <w:t>0.5 mL/min/kg) and moderate in rodents (1.3</w:t>
      </w:r>
      <w:r>
        <w:rPr>
          <w:snapToGrid w:val="0"/>
        </w:rPr>
        <w:t xml:space="preserve"> to </w:t>
      </w:r>
      <w:r w:rsidRPr="00A532D3">
        <w:rPr>
          <w:snapToGrid w:val="0"/>
        </w:rPr>
        <w:t xml:space="preserve"> 4</w:t>
      </w:r>
      <w:r>
        <w:rPr>
          <w:snapToGrid w:val="0"/>
        </w:rPr>
        <w:t> </w:t>
      </w:r>
      <w:r w:rsidRPr="00A532D3">
        <w:rPr>
          <w:snapToGrid w:val="0"/>
        </w:rPr>
        <w:t xml:space="preserve">mL/min/kg), </w:t>
      </w:r>
      <w:r>
        <w:rPr>
          <w:snapToGrid w:val="0"/>
        </w:rPr>
        <w:t>compared to</w:t>
      </w:r>
      <w:r w:rsidRPr="00A532D3">
        <w:rPr>
          <w:snapToGrid w:val="0"/>
        </w:rPr>
        <w:t xml:space="preserve"> steady state clearance of 2.04 L/h (</w:t>
      </w:r>
      <w:r>
        <w:rPr>
          <w:snapToGrid w:val="0"/>
        </w:rPr>
        <w:t xml:space="preserve">approximately </w:t>
      </w:r>
      <w:r w:rsidRPr="00A532D3">
        <w:rPr>
          <w:snapToGrid w:val="0"/>
        </w:rPr>
        <w:t>0.5</w:t>
      </w:r>
      <w:r>
        <w:rPr>
          <w:snapToGrid w:val="0"/>
        </w:rPr>
        <w:t> </w:t>
      </w:r>
      <w:r w:rsidRPr="00A532D3">
        <w:rPr>
          <w:snapToGrid w:val="0"/>
        </w:rPr>
        <w:t>mL/min/kg for a 70 kg person) in humans. The plasma elimination half-life was shorter in rodents (8</w:t>
      </w:r>
      <w:r>
        <w:rPr>
          <w:snapToGrid w:val="0"/>
        </w:rPr>
        <w:t xml:space="preserve"> to </w:t>
      </w:r>
      <w:r w:rsidRPr="00A532D3">
        <w:rPr>
          <w:snapToGrid w:val="0"/>
        </w:rPr>
        <w:t>20 h) than dogs (3</w:t>
      </w:r>
      <w:r>
        <w:rPr>
          <w:snapToGrid w:val="0"/>
        </w:rPr>
        <w:t xml:space="preserve"> to </w:t>
      </w:r>
      <w:r w:rsidRPr="00A532D3">
        <w:rPr>
          <w:snapToGrid w:val="0"/>
        </w:rPr>
        <w:t>4 days) and human patients (3.3 days). After repeated dosing, accumulation was observed in rats after 3 months of dosing and in dogs after 4 weeks. In all examined species, the volume of distribution of apalutamide was 2</w:t>
      </w:r>
      <w:r>
        <w:rPr>
          <w:snapToGrid w:val="0"/>
        </w:rPr>
        <w:t xml:space="preserve"> to </w:t>
      </w:r>
      <w:r w:rsidRPr="00A532D3">
        <w:rPr>
          <w:snapToGrid w:val="0"/>
        </w:rPr>
        <w:t>3 L/kg (</w:t>
      </w:r>
      <w:r>
        <w:rPr>
          <w:snapToGrid w:val="0"/>
        </w:rPr>
        <w:t>compared to</w:t>
      </w:r>
      <w:r w:rsidRPr="00A532D3">
        <w:rPr>
          <w:snapToGrid w:val="0"/>
        </w:rPr>
        <w:t xml:space="preserve"> 3.9 L/kg in humans), consistent with wide and rapid tissue distribution in rats.</w:t>
      </w:r>
    </w:p>
    <w:p w:rsidR="00E660F2" w:rsidRPr="00A532D3" w:rsidRDefault="00E660F2" w:rsidP="00E660F2">
      <w:r w:rsidRPr="00A532D3">
        <w:t>Protein binding of apalutamide and the active metabolite, M3 was high and similar in the plasma of mice, rats, rabbits and dogs (86</w:t>
      </w:r>
      <w:r>
        <w:t xml:space="preserve"> to </w:t>
      </w:r>
      <w:r w:rsidRPr="00A532D3">
        <w:t xml:space="preserve">90%) and slightly higher in humans (96%). Binding in human plasma was attributable to albumin (94% bound, with </w:t>
      </w:r>
      <w:r>
        <w:t xml:space="preserve">approximately </w:t>
      </w:r>
      <w:r w:rsidRPr="00A532D3">
        <w:t>20% binding to α1-acid glycoprotein for both compounds). There was no specific affinity of drug</w:t>
      </w:r>
      <w:r>
        <w:t xml:space="preserve"> </w:t>
      </w:r>
      <w:r w:rsidRPr="00A532D3">
        <w:t xml:space="preserve">related material to blood cells. Following oral dosing of radiolabelled </w:t>
      </w:r>
      <w:r>
        <w:t>(</w:t>
      </w:r>
      <w:r w:rsidRPr="00A532D3">
        <w:rPr>
          <w:vertAlign w:val="superscript"/>
        </w:rPr>
        <w:t>14</w:t>
      </w:r>
      <w:r w:rsidRPr="00A532D3">
        <w:t>C</w:t>
      </w:r>
      <w:r>
        <w:t>)</w:t>
      </w:r>
      <w:r>
        <w:noBreakHyphen/>
      </w:r>
      <w:r w:rsidRPr="00A532D3">
        <w:t>apalutamide to male rats, radioactivity was rapidly distributed to tissues and tissue levels of radioactivity were generally greater than plasma levels. There was no retention of radioactivity in any tissue. Aside from tissues involved in absorption/excretion, notably high levels were seen in fat (16 times the plasma AUC or C</w:t>
      </w:r>
      <w:r w:rsidRPr="00A532D3">
        <w:rPr>
          <w:vertAlign w:val="subscript"/>
        </w:rPr>
        <w:t>max</w:t>
      </w:r>
      <w:r w:rsidRPr="00A532D3">
        <w:t>), which is consistent with the high octanol-water partition coefficient (LogP</w:t>
      </w:r>
      <w:r w:rsidRPr="00A532D3">
        <w:rPr>
          <w:vertAlign w:val="subscript"/>
        </w:rPr>
        <w:t xml:space="preserve">OW </w:t>
      </w:r>
      <w:r w:rsidRPr="00A532D3">
        <w:t>2.89). Radioactivity activity levels in brain and testes were similar to the plasma level.</w:t>
      </w:r>
    </w:p>
    <w:p w:rsidR="00E660F2" w:rsidRPr="00A532D3" w:rsidRDefault="00E660F2" w:rsidP="00E660F2">
      <w:r w:rsidRPr="00A532D3">
        <w:t xml:space="preserve">Following administration of a single dose of apalutamide or M3 to rodents, </w:t>
      </w:r>
      <w:r>
        <w:t>each</w:t>
      </w:r>
      <w:r w:rsidRPr="00A532D3">
        <w:t xml:space="preserve"> </w:t>
      </w:r>
      <w:r>
        <w:t xml:space="preserve">compound </w:t>
      </w:r>
      <w:r w:rsidRPr="00A532D3">
        <w:t>partitioned into the brain at concentrations of 30-106% of plasma concentration in rats and 30</w:t>
      </w:r>
      <w:r>
        <w:t xml:space="preserve"> to </w:t>
      </w:r>
      <w:r w:rsidRPr="00A532D3">
        <w:t>145% in mice. In female dogs, after 3 weeks of apalutamide dosing, brain levels of apalutamide and M3 were similar to plasma concentrations (brain-to-plasma ratio 1.1</w:t>
      </w:r>
      <w:r>
        <w:t xml:space="preserve"> to </w:t>
      </w:r>
      <w:r w:rsidRPr="00A532D3">
        <w:t>1.4). Slightly lower brain penetration was detected in male dogs after 13 weeks of apalutamide dosing, with brain-to-plasma ratios of 0.5</w:t>
      </w:r>
      <w:r>
        <w:t xml:space="preserve"> to </w:t>
      </w:r>
      <w:r w:rsidRPr="00A532D3">
        <w:t xml:space="preserve">0.8 for </w:t>
      </w:r>
      <w:r w:rsidRPr="00A532D3">
        <w:lastRenderedPageBreak/>
        <w:t>apalutamide and 0.8-1 for M3. CSF levels of apalutamide and M3 measured in male dogs after 13 weeks were low (</w:t>
      </w:r>
      <w:r>
        <w:t xml:space="preserve">approximately </w:t>
      </w:r>
      <w:r w:rsidRPr="00A532D3">
        <w:t>5% of plasma levels).</w:t>
      </w:r>
    </w:p>
    <w:p w:rsidR="00E660F2" w:rsidRPr="00A532D3" w:rsidRDefault="00E660F2" w:rsidP="00E660F2">
      <w:r w:rsidRPr="00A532D3">
        <w:t xml:space="preserve">Apalutamide was extensively metabolised in all species with at least 22 metabolites identified across species. Apalutamide undergoes </w:t>
      </w:r>
      <w:r w:rsidRPr="00077C52">
        <w:t>N</w:t>
      </w:r>
      <w:r w:rsidRPr="00A532D3">
        <w:t>-demethylation, amide hydrolysis, oxidation, nitrile hydrolysis,</w:t>
      </w:r>
      <w:r>
        <w:t xml:space="preserve"> </w:t>
      </w:r>
      <w:r w:rsidRPr="00A532D3">
        <w:t>cysteine condensation, conjugation reactions (</w:t>
      </w:r>
      <w:r w:rsidRPr="00A532D3">
        <w:rPr>
          <w:rFonts w:eastAsia="TimesNewRoman" w:cs="TimesNewRoman"/>
        </w:rPr>
        <w:t>glucuronidation</w:t>
      </w:r>
      <w:r w:rsidRPr="00A532D3">
        <w:t>) and various combinations of these. Metabolism principally involved N-demethylation to an amide (M3) in dogs and humans and amide hydrolysis of apalutamide or M3 to a carboxylic acid (M4) in rats. Apalutamide and M3 were the main circulating drug</w:t>
      </w:r>
      <w:r>
        <w:t xml:space="preserve"> </w:t>
      </w:r>
      <w:r w:rsidRPr="00A532D3">
        <w:t>related compounds (40</w:t>
      </w:r>
      <w:r>
        <w:t xml:space="preserve"> to </w:t>
      </w:r>
      <w:r w:rsidRPr="00A532D3">
        <w:t>50% each) in dogs and humans while in</w:t>
      </w:r>
      <w:r>
        <w:t xml:space="preserve"> </w:t>
      </w:r>
      <w:r w:rsidRPr="00A532D3">
        <w:t>rats apalutamide (</w:t>
      </w:r>
      <w:r>
        <w:t xml:space="preserve">approximately </w:t>
      </w:r>
      <w:r w:rsidRPr="00A532D3">
        <w:t>60%) and M4 (</w:t>
      </w:r>
      <w:r>
        <w:t xml:space="preserve">approximately </w:t>
      </w:r>
      <w:r w:rsidRPr="00A532D3">
        <w:t xml:space="preserve">15%) were prominent in plasma. There were no human specific metabolites identified (except for M11 in urine, at a level of </w:t>
      </w:r>
      <w:r>
        <w:t xml:space="preserve">approximately </w:t>
      </w:r>
      <w:r w:rsidRPr="00A532D3">
        <w:t xml:space="preserve">1% of dose). CYP2C8 and to </w:t>
      </w:r>
      <w:r>
        <w:t xml:space="preserve">a </w:t>
      </w:r>
      <w:r w:rsidRPr="00A532D3">
        <w:t>lesser extent, CYP3A4 were identified to be the main CYP isoform involved in the formation of M3. Carboxylesterase was involved in the formation of M4 from apalutamide and/or M3.</w:t>
      </w:r>
    </w:p>
    <w:p w:rsidR="00E660F2" w:rsidRPr="00A532D3" w:rsidRDefault="00E660F2" w:rsidP="00E660F2">
      <w:pPr>
        <w:rPr>
          <w:snapToGrid w:val="0"/>
        </w:rPr>
      </w:pPr>
      <w:r w:rsidRPr="00A532D3">
        <w:rPr>
          <w:snapToGrid w:val="0"/>
        </w:rPr>
        <w:t>Excretion of drug</w:t>
      </w:r>
      <w:r>
        <w:rPr>
          <w:snapToGrid w:val="0"/>
        </w:rPr>
        <w:t xml:space="preserve"> </w:t>
      </w:r>
      <w:r w:rsidRPr="00A532D3">
        <w:rPr>
          <w:snapToGrid w:val="0"/>
        </w:rPr>
        <w:t xml:space="preserve">related material was equally </w:t>
      </w:r>
      <w:r w:rsidRPr="00CE424E">
        <w:rPr>
          <w:snapToGrid w:val="0"/>
        </w:rPr>
        <w:t>via</w:t>
      </w:r>
      <w:r w:rsidRPr="00A532D3">
        <w:rPr>
          <w:snapToGrid w:val="0"/>
        </w:rPr>
        <w:t xml:space="preserve"> the urine and faeces in dogs, predominantly via the urine in humans (64% v</w:t>
      </w:r>
      <w:r>
        <w:rPr>
          <w:snapToGrid w:val="0"/>
        </w:rPr>
        <w:t>ersus</w:t>
      </w:r>
      <w:r w:rsidRPr="00A532D3">
        <w:rPr>
          <w:snapToGrid w:val="0"/>
        </w:rPr>
        <w:t xml:space="preserve"> 24% of dose), and mainly via faeces in rats (58% </w:t>
      </w:r>
      <w:r>
        <w:rPr>
          <w:snapToGrid w:val="0"/>
        </w:rPr>
        <w:t>compared to</w:t>
      </w:r>
      <w:r w:rsidRPr="00A532D3">
        <w:rPr>
          <w:snapToGrid w:val="0"/>
        </w:rPr>
        <w:t xml:space="preserve"> 34% of dose in urine). Studies in bile</w:t>
      </w:r>
      <w:r>
        <w:rPr>
          <w:snapToGrid w:val="0"/>
        </w:rPr>
        <w:t xml:space="preserve"> </w:t>
      </w:r>
      <w:r w:rsidRPr="00A532D3">
        <w:rPr>
          <w:snapToGrid w:val="0"/>
        </w:rPr>
        <w:t>cannulated rats showed rapid and extensive biliary excretion (</w:t>
      </w:r>
      <w:r>
        <w:rPr>
          <w:snapToGrid w:val="0"/>
        </w:rPr>
        <w:t xml:space="preserve">approximately </w:t>
      </w:r>
      <w:r w:rsidRPr="00A532D3">
        <w:rPr>
          <w:snapToGrid w:val="0"/>
        </w:rPr>
        <w:t>50% of dose).</w:t>
      </w:r>
    </w:p>
    <w:p w:rsidR="00E660F2" w:rsidRPr="00192880" w:rsidRDefault="00E660F2" w:rsidP="00E660F2">
      <w:pPr>
        <w:rPr>
          <w:snapToGrid w:val="0"/>
        </w:rPr>
      </w:pPr>
      <w:r w:rsidRPr="00A532D3">
        <w:rPr>
          <w:snapToGrid w:val="0"/>
        </w:rPr>
        <w:t>Excreted drug</w:t>
      </w:r>
      <w:r>
        <w:rPr>
          <w:snapToGrid w:val="0"/>
        </w:rPr>
        <w:t xml:space="preserve"> </w:t>
      </w:r>
      <w:r w:rsidRPr="00A532D3">
        <w:rPr>
          <w:snapToGrid w:val="0"/>
        </w:rPr>
        <w:t>related material (urine, bile and faeces) consisted predominantly of M4 in rats, dogs and humans, though significant levels of unchanged drug were detected in the faeces of rats (8</w:t>
      </w:r>
      <w:r>
        <w:rPr>
          <w:snapToGrid w:val="0"/>
        </w:rPr>
        <w:t xml:space="preserve"> to </w:t>
      </w:r>
      <w:r w:rsidRPr="00A532D3">
        <w:rPr>
          <w:snapToGrid w:val="0"/>
        </w:rPr>
        <w:t>14%).</w:t>
      </w:r>
      <w:r>
        <w:rPr>
          <w:snapToGrid w:val="0"/>
        </w:rPr>
        <w:t xml:space="preserve"> </w:t>
      </w:r>
      <w:r w:rsidRPr="00192880">
        <w:rPr>
          <w:snapToGrid w:val="0"/>
        </w:rPr>
        <w:t>M4 is present at the highest level in urine (rat, dog, human; 16</w:t>
      </w:r>
      <w:r>
        <w:rPr>
          <w:snapToGrid w:val="0"/>
        </w:rPr>
        <w:t xml:space="preserve"> to</w:t>
      </w:r>
      <w:r w:rsidRPr="00192880">
        <w:rPr>
          <w:snapToGrid w:val="0"/>
        </w:rPr>
        <w:t>31%), faeces (rat, dog; 19-26%; human 2%) and rat bile (48%). M21 and M22 conjugated metabolites of apalutamide were only seen in urine samples of dogs and humans.</w:t>
      </w:r>
    </w:p>
    <w:p w:rsidR="00E660F2" w:rsidRPr="00192880" w:rsidRDefault="00E660F2" w:rsidP="00E660F2">
      <w:pPr>
        <w:rPr>
          <w:snapToGrid w:val="0"/>
        </w:rPr>
      </w:pPr>
      <w:r w:rsidRPr="00192880">
        <w:rPr>
          <w:snapToGrid w:val="0"/>
        </w:rPr>
        <w:t>Aside from the low levels of M3 and higher levels of M4 in plasma of rats compared to humans, the pharmacokinetic profile of apalutamide is sufficiently similar in mice, rats, dogs and humans, allowing these animal species serving as appropriate animal models.</w:t>
      </w:r>
    </w:p>
    <w:p w:rsidR="00E660F2" w:rsidRPr="00A532D3" w:rsidRDefault="00E660F2" w:rsidP="00E660F2">
      <w:pPr>
        <w:pStyle w:val="Heading5"/>
      </w:pPr>
      <w:r w:rsidRPr="00A532D3">
        <w:t>Pharmacokinetic drug interactions</w:t>
      </w:r>
      <w:bookmarkEnd w:id="70"/>
    </w:p>
    <w:p w:rsidR="00E660F2" w:rsidRPr="00A532D3" w:rsidRDefault="00E660F2" w:rsidP="00E660F2">
      <w:r w:rsidRPr="00A532D3">
        <w:t xml:space="preserve">As CYP2C8 and </w:t>
      </w:r>
      <w:r>
        <w:t>CYP</w:t>
      </w:r>
      <w:r w:rsidRPr="00A532D3">
        <w:t>3A4 are involved in the metabolism of apalutamide to form M3, inhibitors or inducers of these enzymes are likely to increase and decrease, respectively, plasma apalutamide concentrations in patients.</w:t>
      </w:r>
    </w:p>
    <w:p w:rsidR="00E660F2" w:rsidRPr="00A532D3" w:rsidRDefault="00E660F2" w:rsidP="00E660F2">
      <w:r w:rsidRPr="00CE424E">
        <w:t>In vitro assays showed that apalutamide or M3 was not an inhibitor of CYP1A2, 2A6, 2D6 or 2E1. Apalutamide</w:t>
      </w:r>
      <w:r w:rsidRPr="00A532D3">
        <w:t xml:space="preserve"> was a moderate inhibitor of CYP2B6 (IC</w:t>
      </w:r>
      <w:r w:rsidRPr="00A532D3">
        <w:rPr>
          <w:vertAlign w:val="subscript"/>
        </w:rPr>
        <w:t>50</w:t>
      </w:r>
      <w:r w:rsidRPr="00A532D3">
        <w:t xml:space="preserve"> 36 </w:t>
      </w:r>
      <w:r w:rsidRPr="00A532D3">
        <w:rPr>
          <w:rFonts w:eastAsia="MS Mincho"/>
          <w:kern w:val="2"/>
        </w:rPr>
        <w:t>µM</w:t>
      </w:r>
      <w:r w:rsidRPr="00A532D3">
        <w:t>) and CYP2C8 (IC</w:t>
      </w:r>
      <w:r w:rsidRPr="00A532D3">
        <w:rPr>
          <w:vertAlign w:val="subscript"/>
        </w:rPr>
        <w:t>50</w:t>
      </w:r>
      <w:r w:rsidRPr="00A532D3">
        <w:t xml:space="preserve"> 18 </w:t>
      </w:r>
      <w:r w:rsidRPr="00A532D3">
        <w:rPr>
          <w:rFonts w:eastAsia="MS Mincho"/>
          <w:kern w:val="2"/>
        </w:rPr>
        <w:t>µM</w:t>
      </w:r>
      <w:r w:rsidRPr="00A532D3">
        <w:t>) and a weak inhibitor of CYP2C9, 2C19 and 3A4 with IC</w:t>
      </w:r>
      <w:r w:rsidRPr="00A532D3">
        <w:rPr>
          <w:vertAlign w:val="subscript"/>
        </w:rPr>
        <w:t>50</w:t>
      </w:r>
      <w:r w:rsidRPr="00A532D3">
        <w:t xml:space="preserve"> values ranging from 54 </w:t>
      </w:r>
      <w:r w:rsidRPr="00A532D3">
        <w:noBreakHyphen/>
        <w:t> 67 μM. Similarly, M3 was a moderate inhibitor of CYP</w:t>
      </w:r>
      <w:r>
        <w:t xml:space="preserve">s </w:t>
      </w:r>
      <w:r w:rsidRPr="00A532D3">
        <w:t>2B6, 2C8 and 2C9 (IC</w:t>
      </w:r>
      <w:r w:rsidRPr="00A532D3">
        <w:rPr>
          <w:vertAlign w:val="subscript"/>
        </w:rPr>
        <w:t>50</w:t>
      </w:r>
      <w:r w:rsidRPr="00A532D3">
        <w:t xml:space="preserve">s 38-49 </w:t>
      </w:r>
      <w:r w:rsidRPr="00A532D3">
        <w:rPr>
          <w:rFonts w:eastAsia="MS Mincho"/>
          <w:kern w:val="2"/>
        </w:rPr>
        <w:t>µM</w:t>
      </w:r>
      <w:r w:rsidRPr="00A532D3">
        <w:t>) and a weak inhibitor of CYP2C19 and 3A4 (IC</w:t>
      </w:r>
      <w:r w:rsidRPr="00A532D3">
        <w:rPr>
          <w:vertAlign w:val="subscript"/>
        </w:rPr>
        <w:t>50</w:t>
      </w:r>
      <w:r w:rsidRPr="00A532D3">
        <w:t xml:space="preserve"> &gt; 50 μM). </w:t>
      </w:r>
      <w:r>
        <w:t>B</w:t>
      </w:r>
      <w:r w:rsidRPr="00A532D3">
        <w:t>oth apalutamide and M3 inhibited CYP2B6 and CYP2C8 and the IC</w:t>
      </w:r>
      <w:r w:rsidRPr="00A532D3">
        <w:rPr>
          <w:vertAlign w:val="subscript"/>
        </w:rPr>
        <w:t>50</w:t>
      </w:r>
      <w:r w:rsidRPr="00A532D3">
        <w:t xml:space="preserve"> values were &lt; 50 times the combined clinical steady state free C</w:t>
      </w:r>
      <w:r w:rsidRPr="00A532D3">
        <w:rPr>
          <w:vertAlign w:val="subscript"/>
        </w:rPr>
        <w:t>max</w:t>
      </w:r>
      <w:r w:rsidRPr="00A532D3">
        <w:t xml:space="preserve"> of apalutamide and M3 (</w:t>
      </w:r>
      <w:r>
        <w:t xml:space="preserve">approximately </w:t>
      </w:r>
      <w:r w:rsidRPr="00A532D3">
        <w:t>1 µM), suggesting potential interactions in patients. However, a clinical study in subjects co-administered with warfarin (a CYP2C9 substrate) and pioglitazone (a CYP2C8 substrate) showed no inhibition of CYP2C8 or 2C9.</w:t>
      </w:r>
    </w:p>
    <w:p w:rsidR="00E660F2" w:rsidRPr="00A532D3" w:rsidRDefault="00E660F2" w:rsidP="00E660F2">
      <w:r w:rsidRPr="00A532D3">
        <w:t>In 13</w:t>
      </w:r>
      <w:r>
        <w:t xml:space="preserve"> week</w:t>
      </w:r>
      <w:r w:rsidRPr="00A532D3">
        <w:t xml:space="preserve"> toxicity studies in male rats and male dogs, CYP1A was increased in rats by 2</w:t>
      </w:r>
      <w:r>
        <w:t> </w:t>
      </w:r>
      <w:r w:rsidRPr="00A532D3">
        <w:t>fold at all doses (25</w:t>
      </w:r>
      <w:r>
        <w:t xml:space="preserve"> to </w:t>
      </w:r>
      <w:r w:rsidRPr="00A532D3">
        <w:t>100 mg/kg/day) and CYP2B in dogs at the high dose (10</w:t>
      </w:r>
      <w:r>
        <w:t> </w:t>
      </w:r>
      <w:r w:rsidRPr="00A532D3">
        <w:t xml:space="preserve">mg/kg/day) at study termination. Total P450 content, rates of testosterone metabolism and CYP2C, CYP3A and CYP4A activities were unaltered. </w:t>
      </w:r>
      <w:r w:rsidRPr="00EA1045">
        <w:t>In vitro</w:t>
      </w:r>
      <w:r w:rsidRPr="00A532D3">
        <w:t>, apalutamide and M3 did not induce CYP1A2, but were moderate to strong inducers of CYP3A4 and 2B6 in primary cultures of human hepatocytes (4-33 fold increase in CYP3A4 activity and 2</w:t>
      </w:r>
      <w:r>
        <w:t xml:space="preserve"> to </w:t>
      </w:r>
      <w:r w:rsidRPr="00A532D3">
        <w:t xml:space="preserve">7 fold increase in </w:t>
      </w:r>
      <w:r>
        <w:t>CYP</w:t>
      </w:r>
      <w:r w:rsidRPr="00A532D3">
        <w:t xml:space="preserve">2B6 activity). </w:t>
      </w:r>
      <w:r w:rsidRPr="00EA1045">
        <w:t>In vitro</w:t>
      </w:r>
      <w:r w:rsidRPr="00A532D3">
        <w:t xml:space="preserve"> studies suggest that apalutamide may accelerate the metabolism of CYP2B and CYP3A substrates in patients. Induction of CYP3A4, as well as CYP2C9 and CYP2C19 was observed in clinical studies. The mechanism </w:t>
      </w:r>
      <w:r w:rsidRPr="00A532D3">
        <w:lastRenderedPageBreak/>
        <w:t xml:space="preserve">of CYP450 induction was not studied, but it was probably via the activation of the nuclear Pregnane X receptor (PXR) and/or constitutive androstane receptor (CAR), suggesting UDP-glucuronosyl transferase (UGT) and transporters, such as P-gp and </w:t>
      </w:r>
      <w:r>
        <w:t>organic anion transporter (</w:t>
      </w:r>
      <w:r w:rsidRPr="00A532D3">
        <w:t>OAT</w:t>
      </w:r>
      <w:r>
        <w:t xml:space="preserve">) </w:t>
      </w:r>
      <w:r w:rsidRPr="00A532D3">
        <w:t>P1B1 might also be induced by apalutamide</w:t>
      </w:r>
      <w:r w:rsidRPr="00A532D3">
        <w:rPr>
          <w:rStyle w:val="FootnoteReference"/>
        </w:rPr>
        <w:footnoteReference w:id="19"/>
      </w:r>
      <w:r w:rsidRPr="00A532D3">
        <w:rPr>
          <w:vertAlign w:val="superscript"/>
        </w:rPr>
        <w:t>,</w:t>
      </w:r>
      <w:r w:rsidRPr="00A532D3">
        <w:rPr>
          <w:rStyle w:val="FootnoteReference"/>
        </w:rPr>
        <w:footnoteReference w:id="20"/>
      </w:r>
      <w:r w:rsidRPr="00A532D3">
        <w:t xml:space="preserve">. No </w:t>
      </w:r>
      <w:r w:rsidRPr="00EA1045">
        <w:t>in vitro</w:t>
      </w:r>
      <w:r w:rsidRPr="00A532D3">
        <w:t xml:space="preserve"> studies were conducted to examine induction of UGTs or transporters.</w:t>
      </w:r>
    </w:p>
    <w:p w:rsidR="00E660F2" w:rsidRPr="00A532D3" w:rsidRDefault="00E660F2" w:rsidP="00E660F2">
      <w:r w:rsidRPr="00EA1045">
        <w:t>In vitro</w:t>
      </w:r>
      <w:r w:rsidRPr="00A532D3">
        <w:t xml:space="preserve"> studies with cells expressing specific human transporters showed apalutamide is not a substrate of P-gp in the Caco-2 cell assay but apalutamide and M3 were shown to be substrates of P-gp in P-gp-transfected porcine kidney LLC-PK cells (efflux ratio </w:t>
      </w:r>
      <w:r>
        <w:t xml:space="preserve">approximately </w:t>
      </w:r>
      <w:r w:rsidRPr="00A532D3">
        <w:t>1.3</w:t>
      </w:r>
      <w:r>
        <w:t xml:space="preserve"> to </w:t>
      </w:r>
      <w:r w:rsidRPr="00A532D3">
        <w:t>1.5 and 1.6</w:t>
      </w:r>
      <w:r>
        <w:t xml:space="preserve"> to </w:t>
      </w:r>
      <w:r w:rsidRPr="00A532D3">
        <w:t>2, respectively). Given the high permeability of apalutamide and/or M3 across the Caco-2 and LLC-PK cell membrane (apparent permeability co-efficient 20-40 x</w:t>
      </w:r>
      <w:r>
        <w:t> </w:t>
      </w:r>
      <w:r w:rsidRPr="00A532D3">
        <w:t>10</w:t>
      </w:r>
      <w:r w:rsidRPr="00A532D3">
        <w:rPr>
          <w:vertAlign w:val="superscript"/>
        </w:rPr>
        <w:t>6</w:t>
      </w:r>
      <w:r w:rsidRPr="00A532D3">
        <w:t xml:space="preserve"> cm/sec) and complete bioavailability in humans, inhibition or induction of P-gp is not expected to change the disposition of apalutamide and M3 in patients.</w:t>
      </w:r>
    </w:p>
    <w:p w:rsidR="00E660F2" w:rsidRPr="00A532D3" w:rsidRDefault="00E660F2" w:rsidP="00E660F2">
      <w:r w:rsidRPr="00A532D3">
        <w:t xml:space="preserve">Apalutamide and M3 are not substrates of </w:t>
      </w:r>
      <w:r>
        <w:t>breast cancer resistance protein (</w:t>
      </w:r>
      <w:r w:rsidRPr="00A532D3">
        <w:t>BCRP</w:t>
      </w:r>
      <w:r>
        <w:t>)</w:t>
      </w:r>
      <w:r w:rsidRPr="00A532D3">
        <w:t>, OATP1B1 and OATP1B3.</w:t>
      </w:r>
    </w:p>
    <w:p w:rsidR="00E660F2" w:rsidRPr="00A532D3" w:rsidRDefault="00E660F2" w:rsidP="00E660F2">
      <w:r w:rsidRPr="00A532D3">
        <w:t>No inhibitory activity was seen on the renal uptake transporter OAT1 at 50 µM apalutamide or M3 (</w:t>
      </w:r>
      <w:r>
        <w:t>compared to</w:t>
      </w:r>
      <w:r w:rsidRPr="00A532D3">
        <w:t xml:space="preserve"> the respective clinical free C</w:t>
      </w:r>
      <w:r w:rsidRPr="00A532D3">
        <w:rPr>
          <w:vertAlign w:val="subscript"/>
        </w:rPr>
        <w:t>max</w:t>
      </w:r>
      <w:r w:rsidRPr="00A532D3">
        <w:t xml:space="preserve"> of 487 nM and 550 nM). Some inhibition on the efflux transporters P-gp, BCRP, and </w:t>
      </w:r>
      <w:r w:rsidRPr="00EA1045">
        <w:t>multidrug and toxin extrusion transporter-2</w:t>
      </w:r>
      <w:r>
        <w:t>K (</w:t>
      </w:r>
      <w:r w:rsidRPr="00A532D3">
        <w:t>MATE-2K</w:t>
      </w:r>
      <w:r>
        <w:t>)</w:t>
      </w:r>
      <w:r w:rsidRPr="00A532D3">
        <w:t xml:space="preserve"> was seen at 30 µM apalutamide or M3 (33-56% inhibition), with no inhibition at ≤ 1 to 10 µM apalutamide or M3 except for M3 against P-gp (no effect at 0.3 µM and 42% inhibition at 30 µM). Compared with the clinical combined unbound C</w:t>
      </w:r>
      <w:r w:rsidRPr="00A532D3">
        <w:rPr>
          <w:vertAlign w:val="subscript"/>
        </w:rPr>
        <w:t>max</w:t>
      </w:r>
      <w:r w:rsidRPr="00A532D3">
        <w:t xml:space="preserve"> for apalutamide and M3 (</w:t>
      </w:r>
      <w:r>
        <w:t xml:space="preserve">approximately </w:t>
      </w:r>
      <w:r w:rsidRPr="00A532D3">
        <w:t>1 µM), the likelihood of clinically significant interactions with these transporters is low.</w:t>
      </w:r>
    </w:p>
    <w:p w:rsidR="00E660F2" w:rsidRPr="00A532D3" w:rsidRDefault="00E660F2" w:rsidP="00E660F2">
      <w:r w:rsidRPr="00A532D3">
        <w:t>For the hepatic uptake transporters OATP1B1 and OATP1B1, ≤50% inhibition of both transporters was seen at the highest test concentration of 30 µM (OATP1B1: 33% for apalutamide, 42% for M3; OATP1B3: 52% for apalutamide, 38% for M3) with ≤15% inhibition at 1</w:t>
      </w:r>
      <w:r>
        <w:t xml:space="preserve"> to </w:t>
      </w:r>
      <w:r w:rsidRPr="00A532D3">
        <w:t>10 µM. At the estimated steady state unbound concentration of apalutamide in the portal vein (</w:t>
      </w:r>
      <w:r>
        <w:t xml:space="preserve">approximately </w:t>
      </w:r>
      <w:r w:rsidRPr="00A532D3">
        <w:t>3.2 µM, based on the absorption rate constant of 0.216 L/min and 100% absolute oral bioavailability in humans), apalutamide might inhibit hepatic uptake of OATP substrates. However, such an interaction was not apparent in a clinical study in subjects co-administered with rosuvastatin, an OATP1B1 substrate.</w:t>
      </w:r>
    </w:p>
    <w:p w:rsidR="00E660F2" w:rsidRPr="00A532D3" w:rsidRDefault="00E660F2" w:rsidP="00E660F2">
      <w:r w:rsidRPr="00A532D3">
        <w:t>Both apalutamide and M3 inhibited OAT3 (respective IC</w:t>
      </w:r>
      <w:r w:rsidRPr="00A532D3">
        <w:rPr>
          <w:vertAlign w:val="subscript"/>
        </w:rPr>
        <w:t>50</w:t>
      </w:r>
      <w:r w:rsidRPr="00A532D3">
        <w:t xml:space="preserve"> 12 µM and 7.6 µM), MATE-1 (IC</w:t>
      </w:r>
      <w:r w:rsidRPr="00A532D3">
        <w:rPr>
          <w:vertAlign w:val="subscript"/>
        </w:rPr>
        <w:t>50</w:t>
      </w:r>
      <w:r w:rsidRPr="00A532D3">
        <w:t> 13.8 µM and 17.6 µM) and OCT2 (IC</w:t>
      </w:r>
      <w:r w:rsidRPr="00A532D3">
        <w:rPr>
          <w:vertAlign w:val="subscript"/>
        </w:rPr>
        <w:t>50</w:t>
      </w:r>
      <w:r w:rsidRPr="00A532D3">
        <w:t xml:space="preserve"> 27.2 and 4.76 µM). The IC</w:t>
      </w:r>
      <w:r w:rsidRPr="00A532D3">
        <w:rPr>
          <w:vertAlign w:val="subscript"/>
        </w:rPr>
        <w:t>50</w:t>
      </w:r>
      <w:r w:rsidRPr="00A532D3">
        <w:t xml:space="preserve"> values were only slightly above the clinical steady state free C</w:t>
      </w:r>
      <w:r w:rsidRPr="00A532D3">
        <w:rPr>
          <w:vertAlign w:val="subscript"/>
        </w:rPr>
        <w:t>max</w:t>
      </w:r>
      <w:r w:rsidRPr="00A532D3">
        <w:t xml:space="preserve"> of apalutamide and M3 (combined free C</w:t>
      </w:r>
      <w:r w:rsidRPr="00A532D3">
        <w:rPr>
          <w:vertAlign w:val="subscript"/>
        </w:rPr>
        <w:t>max</w:t>
      </w:r>
      <w:r w:rsidRPr="00A532D3">
        <w:t xml:space="preserve"> </w:t>
      </w:r>
      <w:r>
        <w:t xml:space="preserve">approximately </w:t>
      </w:r>
      <w:r w:rsidRPr="00A532D3">
        <w:t>1 µM) and clinically relevant inhibition of these transporters is possible during clinical use.</w:t>
      </w:r>
    </w:p>
    <w:p w:rsidR="00E660F2" w:rsidRPr="00A532D3" w:rsidRDefault="00E660F2" w:rsidP="00E660F2">
      <w:r w:rsidRPr="00A532D3">
        <w:t>As mentioned above, inhibition of P</w:t>
      </w:r>
      <w:r w:rsidRPr="00A532D3">
        <w:noBreakHyphen/>
        <w:t>gp was seen at 30 µM of apalutamide and M3 (56% and 42%, respectively), as it was for BCRP at 30 µM of apalutamide and M3 (45% and 33% respectively).</w:t>
      </w:r>
      <w:r>
        <w:t xml:space="preserve"> </w:t>
      </w:r>
      <w:r w:rsidRPr="00A532D3">
        <w:t xml:space="preserve">Concentrations of apalutamide in the GI tract will be significantly higher than plasma levels. Based on the </w:t>
      </w:r>
      <w:r w:rsidRPr="00C81E67">
        <w:t>in vitro</w:t>
      </w:r>
      <w:r w:rsidRPr="00A532D3">
        <w:t xml:space="preserve"> data, apalutamide might increase the oral absorption of P</w:t>
      </w:r>
      <w:r w:rsidRPr="00A532D3">
        <w:noBreakHyphen/>
        <w:t>gp and BCRP substrates. However, as noted above, such an interaction was not observed in a clinical study in subjects co-administered with fexofenadine, a P</w:t>
      </w:r>
      <w:r w:rsidRPr="00A532D3">
        <w:noBreakHyphen/>
        <w:t>gp substrate.</w:t>
      </w:r>
    </w:p>
    <w:p w:rsidR="00E660F2" w:rsidRDefault="00E660F2" w:rsidP="00E660F2">
      <w:r w:rsidRPr="00A532D3">
        <w:lastRenderedPageBreak/>
        <w:t>Overall, the disposition of apalutamide may be affected by CYP3A4 and CYP2C8 inhibitors and inducers, and apalutamide has the potential to alter the disposition of drugs that are substrates of CYP2B6, CYP3A4, OAT3, MATE-1, OCT2 and possibly UGT.</w:t>
      </w:r>
    </w:p>
    <w:p w:rsidR="00E660F2" w:rsidRPr="00A532D3" w:rsidRDefault="00E660F2" w:rsidP="00E660F2">
      <w:pPr>
        <w:pStyle w:val="Heading3"/>
      </w:pPr>
      <w:bookmarkStart w:id="71" w:name="_Toc516759432"/>
      <w:bookmarkStart w:id="72" w:name="_Toc523915060"/>
      <w:bookmarkStart w:id="73" w:name="_Toc5014062"/>
      <w:r w:rsidRPr="00A532D3">
        <w:t>Toxi</w:t>
      </w:r>
      <w:r>
        <w:t>cology</w:t>
      </w:r>
      <w:bookmarkEnd w:id="71"/>
      <w:bookmarkEnd w:id="72"/>
      <w:bookmarkEnd w:id="73"/>
    </w:p>
    <w:p w:rsidR="00E660F2" w:rsidRPr="00A532D3" w:rsidRDefault="00E660F2" w:rsidP="00E660F2">
      <w:pPr>
        <w:pStyle w:val="Heading4"/>
      </w:pPr>
      <w:bookmarkStart w:id="74" w:name="_Toc294861727"/>
      <w:r w:rsidRPr="00A532D3">
        <w:t>Acute toxicity</w:t>
      </w:r>
      <w:bookmarkEnd w:id="74"/>
    </w:p>
    <w:p w:rsidR="00E660F2" w:rsidRPr="00A532D3" w:rsidRDefault="00E660F2" w:rsidP="00E660F2">
      <w:r w:rsidRPr="00A532D3">
        <w:t xml:space="preserve">No specific single dose toxicity studies were carried out in male rats or dogs. Acute toxicity of apalutamide following a single dose by the proposed clinical route (PO) was investigated in </w:t>
      </w:r>
      <w:r>
        <w:t xml:space="preserve">male and female </w:t>
      </w:r>
      <w:r w:rsidRPr="00A532D3">
        <w:t>mice (19 days observation), female rats (3</w:t>
      </w:r>
      <w:r>
        <w:t xml:space="preserve"> to </w:t>
      </w:r>
      <w:r w:rsidRPr="00A532D3">
        <w:t xml:space="preserve">4 days observation) and </w:t>
      </w:r>
      <w:r>
        <w:t xml:space="preserve">female dogs (24 h observation). </w:t>
      </w:r>
      <w:r w:rsidRPr="00A532D3">
        <w:rPr>
          <w:rFonts w:asciiTheme="minorHAnsi" w:hAnsiTheme="minorHAnsi"/>
        </w:rPr>
        <w:t xml:space="preserve">Acute toxicity by the proposed clinical route was also investigated in rodents and dogs (both sexes) in the repeat dose </w:t>
      </w:r>
      <w:r w:rsidRPr="00A532D3">
        <w:t>toxicity studies.</w:t>
      </w:r>
    </w:p>
    <w:p w:rsidR="00E660F2" w:rsidRPr="00A532D3" w:rsidRDefault="00E660F2" w:rsidP="00E660F2">
      <w:pPr>
        <w:rPr>
          <w:rFonts w:asciiTheme="minorHAnsi" w:hAnsiTheme="minorHAnsi"/>
        </w:rPr>
      </w:pPr>
      <w:r w:rsidRPr="00A532D3">
        <w:rPr>
          <w:rFonts w:asciiTheme="minorHAnsi" w:hAnsiTheme="minorHAnsi"/>
        </w:rPr>
        <w:t>Following a single PO dose, the maximum non-lethal doses were 100, 250, and 20</w:t>
      </w:r>
      <w:r>
        <w:rPr>
          <w:rFonts w:asciiTheme="minorHAnsi" w:hAnsiTheme="minorHAnsi"/>
        </w:rPr>
        <w:t> </w:t>
      </w:r>
      <w:r w:rsidRPr="00A532D3">
        <w:rPr>
          <w:rFonts w:asciiTheme="minorHAnsi" w:hAnsiTheme="minorHAnsi"/>
        </w:rPr>
        <w:t>mg/kg/day in mice (both sexes), female rats and female dogs, respectively. The C</w:t>
      </w:r>
      <w:r w:rsidRPr="00A532D3">
        <w:rPr>
          <w:rFonts w:asciiTheme="minorHAnsi" w:hAnsiTheme="minorHAnsi"/>
          <w:vertAlign w:val="subscript"/>
        </w:rPr>
        <w:t>max</w:t>
      </w:r>
      <w:r w:rsidRPr="00A532D3">
        <w:rPr>
          <w:rFonts w:asciiTheme="minorHAnsi" w:hAnsiTheme="minorHAnsi"/>
        </w:rPr>
        <w:t xml:space="preserve"> for apalutamide at these doses were 4.8, 5 and 1.4 times the clinical C</w:t>
      </w:r>
      <w:r w:rsidRPr="00A532D3">
        <w:rPr>
          <w:rFonts w:asciiTheme="minorHAnsi" w:hAnsiTheme="minorHAnsi"/>
          <w:vertAlign w:val="subscript"/>
        </w:rPr>
        <w:t xml:space="preserve">max </w:t>
      </w:r>
      <w:r w:rsidRPr="00A532D3">
        <w:rPr>
          <w:rFonts w:asciiTheme="minorHAnsi" w:hAnsiTheme="minorHAnsi"/>
        </w:rPr>
        <w:t>at the proposed clinical dose of 240 mg.</w:t>
      </w:r>
    </w:p>
    <w:p w:rsidR="00E660F2" w:rsidRDefault="00E660F2" w:rsidP="00E660F2">
      <w:r w:rsidRPr="00A532D3">
        <w:rPr>
          <w:rFonts w:asciiTheme="minorHAnsi" w:hAnsiTheme="minorHAnsi"/>
        </w:rPr>
        <w:t>In mice, a single dose of 500 mg/kg resulted in lethality (both sexes), convulsions (2/6 females) and tremors (1/6 females).</w:t>
      </w:r>
      <w:r w:rsidRPr="00A532D3">
        <w:t xml:space="preserve"> The C</w:t>
      </w:r>
      <w:r w:rsidRPr="00A532D3">
        <w:rPr>
          <w:vertAlign w:val="subscript"/>
        </w:rPr>
        <w:t>max</w:t>
      </w:r>
      <w:r w:rsidRPr="00A532D3">
        <w:t xml:space="preserve"> in mice for apalutamide at 500 mg/kg was 14.5 times the clinical C</w:t>
      </w:r>
      <w:r w:rsidRPr="00A532D3">
        <w:rPr>
          <w:vertAlign w:val="subscript"/>
        </w:rPr>
        <w:t>max</w:t>
      </w:r>
      <w:r w:rsidRPr="00A532D3">
        <w:t>.</w:t>
      </w:r>
      <w:r>
        <w:t xml:space="preserve"> </w:t>
      </w:r>
      <w:r w:rsidRPr="00A532D3">
        <w:t>In rats, there was mortality after repeated oral administration at 250 mg/kg/day in male rats (6/15 found dead on Day 3) with C</w:t>
      </w:r>
      <w:r w:rsidRPr="00A532D3">
        <w:rPr>
          <w:vertAlign w:val="subscript"/>
        </w:rPr>
        <w:t>max</w:t>
      </w:r>
      <w:r w:rsidRPr="00A532D3">
        <w:t xml:space="preserve"> (</w:t>
      </w:r>
      <w:r>
        <w:t>D</w:t>
      </w:r>
      <w:r w:rsidRPr="00A532D3">
        <w:t>ay</w:t>
      </w:r>
      <w:r>
        <w:t> </w:t>
      </w:r>
      <w:r w:rsidRPr="00A532D3">
        <w:t>1) 7 times the clinical C</w:t>
      </w:r>
      <w:r w:rsidRPr="00A532D3">
        <w:rPr>
          <w:vertAlign w:val="subscript"/>
        </w:rPr>
        <w:t>max</w:t>
      </w:r>
      <w:r w:rsidRPr="00A532D3">
        <w:t>.</w:t>
      </w:r>
    </w:p>
    <w:p w:rsidR="00E660F2" w:rsidRPr="00A532D3" w:rsidRDefault="00E660F2" w:rsidP="00E660F2">
      <w:r>
        <w:t xml:space="preserve">Mortalities </w:t>
      </w:r>
      <w:r w:rsidRPr="008C4C2B">
        <w:t xml:space="preserve">(early sacrifices) </w:t>
      </w:r>
      <w:r>
        <w:t xml:space="preserve">occurred in </w:t>
      </w:r>
      <w:r w:rsidRPr="008C4C2B">
        <w:t xml:space="preserve">male </w:t>
      </w:r>
      <w:r>
        <w:t>dogs only after repeated dosing at ≥ 25 mg/kg/day</w:t>
      </w:r>
      <w:r w:rsidRPr="008C4C2B">
        <w:t xml:space="preserve"> and a </w:t>
      </w:r>
      <w:r>
        <w:t xml:space="preserve">single </w:t>
      </w:r>
      <w:r w:rsidRPr="008C4C2B">
        <w:t>female dog only after repeated dosing at 20 mg/kg/day</w:t>
      </w:r>
      <w:r>
        <w:t>.</w:t>
      </w:r>
    </w:p>
    <w:p w:rsidR="00E660F2" w:rsidRPr="00A532D3" w:rsidRDefault="00E660F2" w:rsidP="00E660F2">
      <w:pPr>
        <w:pStyle w:val="Heading4"/>
      </w:pPr>
      <w:bookmarkStart w:id="75" w:name="_Toc294861728"/>
      <w:r w:rsidRPr="00A532D3">
        <w:t>Repeat-dose toxicity</w:t>
      </w:r>
      <w:bookmarkEnd w:id="75"/>
    </w:p>
    <w:p w:rsidR="00E660F2" w:rsidRDefault="00E660F2" w:rsidP="00E660F2">
      <w:pPr>
        <w:rPr>
          <w:snapToGrid w:val="0"/>
        </w:rPr>
      </w:pPr>
      <w:r w:rsidRPr="00A532D3">
        <w:rPr>
          <w:snapToGrid w:val="0"/>
        </w:rPr>
        <w:t>Repeat-dose toxicity studies were conducted in rats (up to 26 weeks) and dogs (up to 39 weeks) using the proposed clinical route (PO). Most studies were conducted in males</w:t>
      </w:r>
      <w:r>
        <w:rPr>
          <w:snapToGrid w:val="0"/>
        </w:rPr>
        <w:t>;</w:t>
      </w:r>
      <w:r w:rsidRPr="00A532D3">
        <w:rPr>
          <w:snapToGrid w:val="0"/>
        </w:rPr>
        <w:t xml:space="preserve"> investigations in females were carried out in separate studies in rats (up to 26 week) and do</w:t>
      </w:r>
      <w:r>
        <w:rPr>
          <w:snapToGrid w:val="0"/>
        </w:rPr>
        <w:t xml:space="preserve">gs (up to 13 weeks). Dose range </w:t>
      </w:r>
      <w:r w:rsidRPr="00A532D3">
        <w:rPr>
          <w:snapToGrid w:val="0"/>
        </w:rPr>
        <w:t>finding studies were performed in both sexes of mice to determine doses for a future carcinogenicity study. All pivotal rat and dog studies were GLP compliant and were adequately conducted. The duration of the pivotal studies is considered acceptable to support th</w:t>
      </w:r>
      <w:r>
        <w:rPr>
          <w:snapToGrid w:val="0"/>
        </w:rPr>
        <w:t>e proposed clinical use</w:t>
      </w:r>
      <w:r w:rsidRPr="00A532D3">
        <w:rPr>
          <w:snapToGrid w:val="0"/>
        </w:rPr>
        <w:t>.</w:t>
      </w:r>
      <w:r w:rsidRPr="00C81E67">
        <w:rPr>
          <w:snapToGrid w:val="0"/>
          <w:vertAlign w:val="superscript"/>
        </w:rPr>
        <w:fldChar w:fldCharType="begin"/>
      </w:r>
      <w:r w:rsidRPr="00C81E67">
        <w:rPr>
          <w:snapToGrid w:val="0"/>
          <w:vertAlign w:val="superscript"/>
        </w:rPr>
        <w:instrText xml:space="preserve"> NOTEREF _Ref523835990 \h </w:instrText>
      </w:r>
      <w:r>
        <w:rPr>
          <w:snapToGrid w:val="0"/>
          <w:vertAlign w:val="superscript"/>
        </w:rPr>
        <w:instrText xml:space="preserve"> \* MERGEFORMAT </w:instrText>
      </w:r>
      <w:r w:rsidRPr="00C81E67">
        <w:rPr>
          <w:snapToGrid w:val="0"/>
          <w:vertAlign w:val="superscript"/>
        </w:rPr>
      </w:r>
      <w:r w:rsidRPr="00C81E67">
        <w:rPr>
          <w:snapToGrid w:val="0"/>
          <w:vertAlign w:val="superscript"/>
        </w:rPr>
        <w:fldChar w:fldCharType="separate"/>
      </w:r>
      <w:r w:rsidR="00914DE0">
        <w:rPr>
          <w:snapToGrid w:val="0"/>
          <w:vertAlign w:val="superscript"/>
        </w:rPr>
        <w:t>13</w:t>
      </w:r>
      <w:r w:rsidRPr="00C81E67">
        <w:rPr>
          <w:snapToGrid w:val="0"/>
          <w:vertAlign w:val="superscript"/>
        </w:rPr>
        <w:fldChar w:fldCharType="end"/>
      </w:r>
      <w:r w:rsidRPr="00A532D3">
        <w:rPr>
          <w:snapToGrid w:val="0"/>
        </w:rPr>
        <w:t xml:space="preserve"> To investigate the reversibility of effects, studies were conducted in both species with 30 and 60</w:t>
      </w:r>
      <w:r>
        <w:rPr>
          <w:snapToGrid w:val="0"/>
        </w:rPr>
        <w:t xml:space="preserve"> </w:t>
      </w:r>
      <w:r w:rsidRPr="00A532D3">
        <w:rPr>
          <w:snapToGrid w:val="0"/>
        </w:rPr>
        <w:t>day recovery periods, respectively. Apalutamide was administered</w:t>
      </w:r>
      <w:r w:rsidRPr="00A532D3">
        <w:t xml:space="preserve"> as </w:t>
      </w:r>
      <w:r w:rsidRPr="00A532D3">
        <w:rPr>
          <w:snapToGrid w:val="0"/>
        </w:rPr>
        <w:t xml:space="preserve">the ethanolate form in a </w:t>
      </w:r>
      <w:r w:rsidRPr="00A532D3">
        <w:rPr>
          <w:snapToGrid w:val="0"/>
          <w:kern w:val="2"/>
        </w:rPr>
        <w:t>lipid</w:t>
      </w:r>
      <w:r>
        <w:rPr>
          <w:snapToGrid w:val="0"/>
          <w:kern w:val="2"/>
        </w:rPr>
        <w:t xml:space="preserve"> </w:t>
      </w:r>
      <w:r w:rsidRPr="00A532D3">
        <w:rPr>
          <w:snapToGrid w:val="0"/>
          <w:kern w:val="2"/>
        </w:rPr>
        <w:t>based emulsion formulation</w:t>
      </w:r>
      <w:r w:rsidRPr="00A532D3">
        <w:rPr>
          <w:snapToGrid w:val="0"/>
        </w:rPr>
        <w:t xml:space="preserve"> and the dose was expressed as base equivalent in all repeated-dose toxicity studies. </w:t>
      </w:r>
      <w:r w:rsidRPr="00A532D3">
        <w:rPr>
          <w:kern w:val="2"/>
        </w:rPr>
        <w:t>A single dose PO toxicokinetic bridging study with the ethanolate and free base forms in rats demonstrated comparability</w:t>
      </w:r>
      <w:r w:rsidRPr="00A532D3">
        <w:t xml:space="preserve"> of </w:t>
      </w:r>
      <w:r w:rsidRPr="00A532D3">
        <w:rPr>
          <w:kern w:val="2"/>
        </w:rPr>
        <w:t xml:space="preserve">exposure of apalutamide </w:t>
      </w:r>
      <w:r w:rsidRPr="00A532D3">
        <w:t xml:space="preserve">and its active N- desmethyl metabolite, M3. </w:t>
      </w:r>
      <w:r w:rsidRPr="00A532D3">
        <w:rPr>
          <w:snapToGrid w:val="0"/>
        </w:rPr>
        <w:t>Gavage was used in the rodent studies. To reduce vomiting in dog studies, apalutamide was delivered in hard gelatin</w:t>
      </w:r>
      <w:r w:rsidR="00C31962">
        <w:rPr>
          <w:snapToGrid w:val="0"/>
        </w:rPr>
        <w:t>e</w:t>
      </w:r>
      <w:r w:rsidRPr="00A532D3">
        <w:rPr>
          <w:snapToGrid w:val="0"/>
        </w:rPr>
        <w:t xml:space="preserve"> capsules.</w:t>
      </w:r>
    </w:p>
    <w:p w:rsidR="00E660F2" w:rsidRPr="00A532D3" w:rsidRDefault="00E660F2" w:rsidP="00E660F2">
      <w:pPr>
        <w:rPr>
          <w:snapToGrid w:val="0"/>
        </w:rPr>
      </w:pPr>
      <w:r w:rsidRPr="00A532D3">
        <w:rPr>
          <w:snapToGrid w:val="0"/>
        </w:rPr>
        <w:t>Rats and dogs used in the pivotal repeat-dose toxicity studies are considered appropriate species for toxicity testing as discussed in the pharmacology and pharmacokinetics sections. Maximum tolerated doses were used in the pivotal repeat dose toxicity studies.</w:t>
      </w:r>
    </w:p>
    <w:p w:rsidR="00E660F2" w:rsidRPr="00A532D3" w:rsidRDefault="00E660F2" w:rsidP="00E660F2">
      <w:pPr>
        <w:pStyle w:val="Heading5"/>
      </w:pPr>
      <w:r w:rsidRPr="00A532D3">
        <w:t>Relative exposure</w:t>
      </w:r>
    </w:p>
    <w:p w:rsidR="00E660F2" w:rsidRPr="00E044B6" w:rsidRDefault="00E660F2" w:rsidP="00E660F2">
      <w:r w:rsidRPr="00A532D3">
        <w:t xml:space="preserve">Exposures in animal species are compared with human exposure based on plasma AUC </w:t>
      </w:r>
      <w:r w:rsidRPr="00E044B6">
        <w:t>of apalutamide and the active metabolite, M3. Apalutamide exposures (based on AUC) were low in rats and dogs, and the highest animal:</w:t>
      </w:r>
      <w:r>
        <w:t xml:space="preserve"> </w:t>
      </w:r>
      <w:r w:rsidRPr="00E044B6">
        <w:t>human exposure ratios (ER) for apalutamide and M3 were 2</w:t>
      </w:r>
      <w:r>
        <w:t xml:space="preserve"> to </w:t>
      </w:r>
      <w:r w:rsidRPr="00E044B6">
        <w:t xml:space="preserve">3 in both species (Table </w:t>
      </w:r>
      <w:r>
        <w:t>5</w:t>
      </w:r>
      <w:r w:rsidRPr="00E044B6">
        <w:t xml:space="preserve">). Plasma protein binding was slightly higher in </w:t>
      </w:r>
      <w:r w:rsidRPr="00E044B6">
        <w:lastRenderedPageBreak/>
        <w:t xml:space="preserve">humans than in animal species. Based on unbound AUC values, </w:t>
      </w:r>
      <w:r>
        <w:t xml:space="preserve">the </w:t>
      </w:r>
      <w:r w:rsidRPr="00E044B6">
        <w:t>animal:</w:t>
      </w:r>
      <w:r>
        <w:t xml:space="preserve"> </w:t>
      </w:r>
      <w:r w:rsidRPr="00E044B6">
        <w:t>human ERs are 2</w:t>
      </w:r>
      <w:r>
        <w:t xml:space="preserve"> to </w:t>
      </w:r>
      <w:r w:rsidRPr="00E044B6">
        <w:t>3 fold higher.</w:t>
      </w:r>
    </w:p>
    <w:p w:rsidR="00E660F2" w:rsidRPr="00A532D3" w:rsidRDefault="00E660F2" w:rsidP="00E660F2">
      <w:pPr>
        <w:pStyle w:val="TableTitle"/>
        <w:rPr>
          <w:snapToGrid w:val="0"/>
        </w:rPr>
      </w:pPr>
      <w:r w:rsidRPr="00A532D3">
        <w:rPr>
          <w:snapToGrid w:val="0"/>
        </w:rPr>
        <w:t xml:space="preserve">Table </w:t>
      </w:r>
      <w:r>
        <w:rPr>
          <w:snapToGrid w:val="0"/>
        </w:rPr>
        <w:t>5:</w:t>
      </w:r>
      <w:r w:rsidRPr="00A532D3">
        <w:rPr>
          <w:snapToGrid w:val="0"/>
        </w:rPr>
        <w:t xml:space="preserve"> Relative exposure in repeat-dose toxicity studies in rats and dogs</w:t>
      </w:r>
    </w:p>
    <w:tbl>
      <w:tblPr>
        <w:tblStyle w:val="TableTGAblue"/>
        <w:tblW w:w="5101" w:type="pct"/>
        <w:tblLayout w:type="fixed"/>
        <w:tblLook w:val="01E0" w:firstRow="1" w:lastRow="1" w:firstColumn="1" w:lastColumn="1" w:noHBand="0" w:noVBand="0"/>
      </w:tblPr>
      <w:tblGrid>
        <w:gridCol w:w="1241"/>
        <w:gridCol w:w="1133"/>
        <w:gridCol w:w="995"/>
        <w:gridCol w:w="993"/>
        <w:gridCol w:w="849"/>
        <w:gridCol w:w="993"/>
        <w:gridCol w:w="850"/>
        <w:gridCol w:w="993"/>
        <w:gridCol w:w="849"/>
      </w:tblGrid>
      <w:tr w:rsidR="00E660F2" w:rsidRPr="0080038B" w:rsidTr="008F0588">
        <w:trPr>
          <w:cnfStyle w:val="100000000000" w:firstRow="1" w:lastRow="0" w:firstColumn="0" w:lastColumn="0" w:oddVBand="0" w:evenVBand="0" w:oddHBand="0" w:evenHBand="0" w:firstRowFirstColumn="0" w:firstRowLastColumn="0" w:lastRowFirstColumn="0" w:lastRowLastColumn="0"/>
          <w:cantSplit/>
        </w:trPr>
        <w:tc>
          <w:tcPr>
            <w:tcW w:w="1894" w:type="pct"/>
            <w:gridSpan w:val="3"/>
            <w:vMerge w:val="restart"/>
          </w:tcPr>
          <w:p w:rsidR="00E660F2" w:rsidRDefault="00E660F2" w:rsidP="008F0588">
            <w:pPr>
              <w:rPr>
                <w:sz w:val="18"/>
                <w:szCs w:val="18"/>
              </w:rPr>
            </w:pPr>
            <w:r>
              <w:rPr>
                <w:sz w:val="18"/>
                <w:szCs w:val="18"/>
              </w:rPr>
              <w:t>Species</w:t>
            </w:r>
          </w:p>
          <w:p w:rsidR="00E660F2" w:rsidRPr="0080038B" w:rsidRDefault="00E660F2" w:rsidP="008F0588">
            <w:pPr>
              <w:rPr>
                <w:b w:val="0"/>
                <w:sz w:val="18"/>
                <w:szCs w:val="18"/>
              </w:rPr>
            </w:pPr>
            <w:r w:rsidRPr="0080038B">
              <w:rPr>
                <w:sz w:val="18"/>
                <w:szCs w:val="18"/>
              </w:rPr>
              <w:t>Study duration</w:t>
            </w:r>
          </w:p>
          <w:p w:rsidR="00E660F2" w:rsidRPr="0080038B" w:rsidRDefault="00E660F2" w:rsidP="008F0588">
            <w:pPr>
              <w:rPr>
                <w:sz w:val="18"/>
                <w:szCs w:val="18"/>
              </w:rPr>
            </w:pPr>
            <w:r>
              <w:rPr>
                <w:sz w:val="18"/>
                <w:szCs w:val="18"/>
              </w:rPr>
              <w:t>mg/kg/day</w:t>
            </w:r>
          </w:p>
        </w:tc>
        <w:tc>
          <w:tcPr>
            <w:tcW w:w="1035" w:type="pct"/>
            <w:gridSpan w:val="2"/>
          </w:tcPr>
          <w:p w:rsidR="00E660F2" w:rsidRPr="0080038B" w:rsidRDefault="00E660F2" w:rsidP="008F0588">
            <w:pPr>
              <w:rPr>
                <w:sz w:val="18"/>
                <w:szCs w:val="18"/>
              </w:rPr>
            </w:pPr>
            <w:r w:rsidRPr="0080038B">
              <w:rPr>
                <w:sz w:val="18"/>
                <w:szCs w:val="18"/>
              </w:rPr>
              <w:t>Apalutamide</w:t>
            </w:r>
          </w:p>
        </w:tc>
        <w:tc>
          <w:tcPr>
            <w:tcW w:w="1036" w:type="pct"/>
            <w:gridSpan w:val="2"/>
          </w:tcPr>
          <w:p w:rsidR="00E660F2" w:rsidRPr="0080038B" w:rsidRDefault="00E660F2" w:rsidP="008F0588">
            <w:pPr>
              <w:rPr>
                <w:i/>
                <w:sz w:val="18"/>
                <w:szCs w:val="18"/>
                <w:vertAlign w:val="superscript"/>
              </w:rPr>
            </w:pPr>
            <w:r w:rsidRPr="0080038B">
              <w:rPr>
                <w:sz w:val="18"/>
                <w:szCs w:val="18"/>
              </w:rPr>
              <w:t>M3</w:t>
            </w:r>
          </w:p>
        </w:tc>
        <w:tc>
          <w:tcPr>
            <w:tcW w:w="1035" w:type="pct"/>
            <w:gridSpan w:val="2"/>
          </w:tcPr>
          <w:p w:rsidR="00E660F2" w:rsidRPr="0080038B" w:rsidRDefault="00E660F2" w:rsidP="008F0588">
            <w:pPr>
              <w:rPr>
                <w:sz w:val="18"/>
                <w:szCs w:val="18"/>
              </w:rPr>
            </w:pPr>
            <w:r w:rsidRPr="0080038B">
              <w:rPr>
                <w:sz w:val="18"/>
                <w:szCs w:val="18"/>
              </w:rPr>
              <w:t>Apalutamide + M3</w:t>
            </w:r>
          </w:p>
        </w:tc>
      </w:tr>
      <w:tr w:rsidR="00E660F2" w:rsidRPr="0080038B" w:rsidTr="008F0588">
        <w:trPr>
          <w:cantSplit/>
        </w:trPr>
        <w:tc>
          <w:tcPr>
            <w:tcW w:w="1894" w:type="pct"/>
            <w:gridSpan w:val="3"/>
            <w:vMerge/>
          </w:tcPr>
          <w:p w:rsidR="00E660F2" w:rsidRPr="0080038B" w:rsidRDefault="00E660F2" w:rsidP="008F0588">
            <w:pPr>
              <w:rPr>
                <w:sz w:val="18"/>
                <w:szCs w:val="18"/>
              </w:rPr>
            </w:pPr>
          </w:p>
        </w:tc>
        <w:tc>
          <w:tcPr>
            <w:tcW w:w="558" w:type="pct"/>
          </w:tcPr>
          <w:p w:rsidR="00E660F2" w:rsidRPr="0080038B" w:rsidRDefault="00E660F2" w:rsidP="008F0588">
            <w:pPr>
              <w:rPr>
                <w:sz w:val="18"/>
                <w:szCs w:val="18"/>
              </w:rPr>
            </w:pPr>
            <w:r w:rsidRPr="0080038B">
              <w:rPr>
                <w:sz w:val="18"/>
                <w:szCs w:val="18"/>
              </w:rPr>
              <w:t>AUC</w:t>
            </w:r>
            <w:r w:rsidRPr="0080038B">
              <w:rPr>
                <w:sz w:val="18"/>
                <w:szCs w:val="18"/>
                <w:vertAlign w:val="subscript"/>
              </w:rPr>
              <w:t>0</w:t>
            </w:r>
            <w:r>
              <w:rPr>
                <w:sz w:val="18"/>
                <w:szCs w:val="18"/>
                <w:vertAlign w:val="subscript"/>
              </w:rPr>
              <w:t> </w:t>
            </w:r>
            <w:r w:rsidRPr="0080038B">
              <w:rPr>
                <w:sz w:val="18"/>
                <w:szCs w:val="18"/>
                <w:vertAlign w:val="subscript"/>
              </w:rPr>
              <w:t>24</w:t>
            </w:r>
            <w:r w:rsidRPr="0080038B">
              <w:rPr>
                <w:w w:val="50"/>
                <w:sz w:val="18"/>
                <w:szCs w:val="18"/>
                <w:vertAlign w:val="subscript"/>
              </w:rPr>
              <w:t> </w:t>
            </w:r>
            <w:r w:rsidRPr="0080038B">
              <w:rPr>
                <w:sz w:val="18"/>
                <w:szCs w:val="18"/>
                <w:vertAlign w:val="subscript"/>
              </w:rPr>
              <w:t>h</w:t>
            </w:r>
            <w:r>
              <w:rPr>
                <w:sz w:val="18"/>
                <w:szCs w:val="18"/>
                <w:vertAlign w:val="subscript"/>
              </w:rPr>
              <w:t xml:space="preserve"> </w:t>
            </w:r>
            <w:r w:rsidRPr="0080038B">
              <w:rPr>
                <w:sz w:val="18"/>
                <w:szCs w:val="18"/>
              </w:rPr>
              <w:t>µg∙h/mL</w:t>
            </w:r>
          </w:p>
        </w:tc>
        <w:tc>
          <w:tcPr>
            <w:tcW w:w="477" w:type="pct"/>
          </w:tcPr>
          <w:p w:rsidR="00E660F2" w:rsidRPr="0080038B" w:rsidRDefault="00E660F2" w:rsidP="008F0588">
            <w:pPr>
              <w:rPr>
                <w:sz w:val="18"/>
                <w:szCs w:val="18"/>
              </w:rPr>
            </w:pPr>
            <w:r>
              <w:rPr>
                <w:sz w:val="18"/>
                <w:szCs w:val="18"/>
              </w:rPr>
              <w:t>ER</w:t>
            </w:r>
            <w:r w:rsidRPr="0080038B">
              <w:rPr>
                <w:sz w:val="18"/>
                <w:szCs w:val="18"/>
                <w:vertAlign w:val="superscript"/>
              </w:rPr>
              <w:t>a</w:t>
            </w:r>
            <w:r w:rsidRPr="0080038B">
              <w:rPr>
                <w:sz w:val="18"/>
                <w:szCs w:val="18"/>
              </w:rPr>
              <w:t xml:space="preserve"> </w:t>
            </w:r>
          </w:p>
        </w:tc>
        <w:tc>
          <w:tcPr>
            <w:tcW w:w="558" w:type="pct"/>
          </w:tcPr>
          <w:p w:rsidR="00E660F2" w:rsidRPr="0080038B" w:rsidRDefault="00E660F2" w:rsidP="008F0588">
            <w:pPr>
              <w:rPr>
                <w:sz w:val="18"/>
                <w:szCs w:val="18"/>
              </w:rPr>
            </w:pPr>
            <w:r w:rsidRPr="0080038B">
              <w:rPr>
                <w:sz w:val="18"/>
                <w:szCs w:val="18"/>
              </w:rPr>
              <w:t>AUC</w:t>
            </w:r>
            <w:r w:rsidRPr="0080038B">
              <w:rPr>
                <w:sz w:val="18"/>
                <w:szCs w:val="18"/>
                <w:vertAlign w:val="subscript"/>
              </w:rPr>
              <w:t>0–24</w:t>
            </w:r>
            <w:r w:rsidRPr="0080038B">
              <w:rPr>
                <w:w w:val="50"/>
                <w:sz w:val="18"/>
                <w:szCs w:val="18"/>
                <w:vertAlign w:val="subscript"/>
              </w:rPr>
              <w:t> </w:t>
            </w:r>
            <w:r w:rsidRPr="0080038B">
              <w:rPr>
                <w:sz w:val="18"/>
                <w:szCs w:val="18"/>
                <w:vertAlign w:val="subscript"/>
              </w:rPr>
              <w:t>h</w:t>
            </w:r>
            <w:r w:rsidRPr="0080038B">
              <w:rPr>
                <w:sz w:val="18"/>
                <w:szCs w:val="18"/>
              </w:rPr>
              <w:br/>
              <w:t>µg∙h/mL</w:t>
            </w:r>
          </w:p>
        </w:tc>
        <w:tc>
          <w:tcPr>
            <w:tcW w:w="478" w:type="pct"/>
          </w:tcPr>
          <w:p w:rsidR="00E660F2" w:rsidRPr="0080038B" w:rsidRDefault="00E660F2" w:rsidP="008F0588">
            <w:pPr>
              <w:rPr>
                <w:sz w:val="18"/>
                <w:szCs w:val="18"/>
              </w:rPr>
            </w:pPr>
            <w:r>
              <w:rPr>
                <w:sz w:val="18"/>
                <w:szCs w:val="18"/>
              </w:rPr>
              <w:t>ER</w:t>
            </w:r>
            <w:r w:rsidRPr="0080038B">
              <w:rPr>
                <w:sz w:val="18"/>
                <w:szCs w:val="18"/>
                <w:vertAlign w:val="superscript"/>
              </w:rPr>
              <w:t>a</w:t>
            </w:r>
          </w:p>
        </w:tc>
        <w:tc>
          <w:tcPr>
            <w:tcW w:w="558" w:type="pct"/>
          </w:tcPr>
          <w:p w:rsidR="00E660F2" w:rsidRPr="0080038B" w:rsidRDefault="00E660F2" w:rsidP="008F0588">
            <w:pPr>
              <w:rPr>
                <w:sz w:val="18"/>
                <w:szCs w:val="18"/>
              </w:rPr>
            </w:pPr>
            <w:r w:rsidRPr="0080038B">
              <w:rPr>
                <w:sz w:val="18"/>
                <w:szCs w:val="18"/>
              </w:rPr>
              <w:t>AUC</w:t>
            </w:r>
            <w:r w:rsidRPr="0080038B">
              <w:rPr>
                <w:sz w:val="18"/>
                <w:szCs w:val="18"/>
                <w:vertAlign w:val="subscript"/>
              </w:rPr>
              <w:t>0</w:t>
            </w:r>
            <w:r>
              <w:rPr>
                <w:sz w:val="18"/>
                <w:szCs w:val="18"/>
                <w:vertAlign w:val="subscript"/>
              </w:rPr>
              <w:noBreakHyphen/>
            </w:r>
            <w:r w:rsidRPr="0080038B">
              <w:rPr>
                <w:sz w:val="18"/>
                <w:szCs w:val="18"/>
                <w:vertAlign w:val="subscript"/>
              </w:rPr>
              <w:t>24</w:t>
            </w:r>
            <w:r w:rsidRPr="0080038B">
              <w:rPr>
                <w:w w:val="50"/>
                <w:sz w:val="18"/>
                <w:szCs w:val="18"/>
                <w:vertAlign w:val="subscript"/>
              </w:rPr>
              <w:t> </w:t>
            </w:r>
            <w:r w:rsidRPr="0080038B">
              <w:rPr>
                <w:sz w:val="18"/>
                <w:szCs w:val="18"/>
                <w:vertAlign w:val="subscript"/>
              </w:rPr>
              <w:t>h</w:t>
            </w:r>
            <w:r w:rsidRPr="0080038B">
              <w:rPr>
                <w:sz w:val="18"/>
                <w:szCs w:val="18"/>
              </w:rPr>
              <w:br/>
              <w:t>µg∙h/mL</w:t>
            </w:r>
          </w:p>
        </w:tc>
        <w:tc>
          <w:tcPr>
            <w:tcW w:w="477" w:type="pct"/>
          </w:tcPr>
          <w:p w:rsidR="00E660F2" w:rsidRPr="0080038B" w:rsidRDefault="00E660F2" w:rsidP="008F0588">
            <w:pPr>
              <w:rPr>
                <w:sz w:val="18"/>
                <w:szCs w:val="18"/>
              </w:rPr>
            </w:pPr>
            <w:r>
              <w:rPr>
                <w:sz w:val="18"/>
                <w:szCs w:val="18"/>
              </w:rPr>
              <w:t>ER</w:t>
            </w:r>
            <w:r w:rsidRPr="0080038B">
              <w:rPr>
                <w:sz w:val="18"/>
                <w:szCs w:val="18"/>
                <w:vertAlign w:val="superscript"/>
              </w:rPr>
              <w:t>a</w:t>
            </w:r>
          </w:p>
        </w:tc>
      </w:tr>
      <w:tr w:rsidR="00E660F2" w:rsidRPr="0080038B" w:rsidTr="008F0588">
        <w:trPr>
          <w:trHeight w:val="32"/>
        </w:trPr>
        <w:tc>
          <w:tcPr>
            <w:tcW w:w="698" w:type="pct"/>
            <w:vMerge w:val="restart"/>
          </w:tcPr>
          <w:p w:rsidR="00E660F2" w:rsidRPr="0080038B" w:rsidRDefault="00E660F2" w:rsidP="008F0588">
            <w:pPr>
              <w:rPr>
                <w:rFonts w:eastAsia="Times New Roman"/>
                <w:snapToGrid w:val="0"/>
                <w:color w:val="auto"/>
                <w:sz w:val="18"/>
                <w:szCs w:val="18"/>
                <w:lang w:eastAsia="en-US"/>
              </w:rPr>
            </w:pPr>
            <w:r w:rsidRPr="0080038B">
              <w:rPr>
                <w:rFonts w:eastAsia="Times New Roman"/>
                <w:snapToGrid w:val="0"/>
                <w:sz w:val="18"/>
                <w:szCs w:val="18"/>
              </w:rPr>
              <w:t>Rat(SD)</w:t>
            </w:r>
            <w:r w:rsidR="008F0588">
              <w:rPr>
                <w:rFonts w:eastAsia="Times New Roman"/>
                <w:snapToGrid w:val="0"/>
                <w:sz w:val="18"/>
                <w:szCs w:val="18"/>
              </w:rPr>
              <w:t xml:space="preserve"> </w:t>
            </w:r>
            <w:r w:rsidRPr="0080038B">
              <w:rPr>
                <w:rFonts w:eastAsia="Times New Roman"/>
                <w:snapToGrid w:val="0"/>
                <w:sz w:val="18"/>
                <w:szCs w:val="18"/>
              </w:rPr>
              <w:t>Males</w:t>
            </w:r>
          </w:p>
        </w:tc>
        <w:tc>
          <w:tcPr>
            <w:tcW w:w="637" w:type="pct"/>
            <w:vMerge w:val="restar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 xml:space="preserve">4 </w:t>
            </w:r>
            <w:r>
              <w:rPr>
                <w:rFonts w:eastAsia="Times New Roman"/>
                <w:snapToGrid w:val="0"/>
                <w:sz w:val="18"/>
                <w:szCs w:val="18"/>
              </w:rPr>
              <w:t>week</w:t>
            </w:r>
            <w:r w:rsidRPr="0080038B">
              <w:rPr>
                <w:rFonts w:eastAsia="Times New Roman"/>
                <w:snapToGrid w:val="0"/>
                <w:sz w:val="18"/>
                <w:szCs w:val="18"/>
                <w:vertAlign w:val="superscript"/>
              </w:rPr>
              <w:t>d</w:t>
            </w:r>
          </w:p>
        </w:tc>
        <w:tc>
          <w:tcPr>
            <w:tcW w:w="559"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25</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112</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8.97</w:t>
            </w:r>
          </w:p>
        </w:tc>
        <w:tc>
          <w:tcPr>
            <w:tcW w:w="47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0.06</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116</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0.4</w:t>
            </w:r>
          </w:p>
        </w:tc>
      </w:tr>
      <w:tr w:rsidR="00E660F2" w:rsidRPr="0080038B" w:rsidTr="008F0588">
        <w:trPr>
          <w:trHeight w:val="227"/>
        </w:trPr>
        <w:tc>
          <w:tcPr>
            <w:tcW w:w="698" w:type="pct"/>
            <w:vMerge/>
          </w:tcPr>
          <w:p w:rsidR="00E660F2" w:rsidRPr="0080038B" w:rsidRDefault="00E660F2" w:rsidP="008F0588">
            <w:pPr>
              <w:rPr>
                <w:rFonts w:eastAsia="Times New Roman"/>
                <w:snapToGrid w:val="0"/>
                <w:sz w:val="18"/>
                <w:szCs w:val="18"/>
              </w:rPr>
            </w:pPr>
          </w:p>
        </w:tc>
        <w:tc>
          <w:tcPr>
            <w:tcW w:w="637" w:type="pct"/>
            <w:vMerge/>
          </w:tcPr>
          <w:p w:rsidR="00E660F2" w:rsidRPr="0080038B" w:rsidRDefault="00E660F2" w:rsidP="008F0588">
            <w:pPr>
              <w:rPr>
                <w:rFonts w:eastAsia="Times New Roman"/>
                <w:snapToGrid w:val="0"/>
                <w:sz w:val="18"/>
                <w:szCs w:val="18"/>
              </w:rPr>
            </w:pPr>
          </w:p>
        </w:tc>
        <w:tc>
          <w:tcPr>
            <w:tcW w:w="559"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50</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201</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1.7</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w:t>
            </w:r>
          </w:p>
        </w:tc>
        <w:tc>
          <w:tcPr>
            <w:tcW w:w="47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w:t>
            </w:r>
          </w:p>
        </w:tc>
      </w:tr>
      <w:tr w:rsidR="00E660F2" w:rsidRPr="0080038B" w:rsidTr="008F0588">
        <w:trPr>
          <w:trHeight w:val="227"/>
        </w:trPr>
        <w:tc>
          <w:tcPr>
            <w:tcW w:w="698" w:type="pct"/>
            <w:vMerge/>
          </w:tcPr>
          <w:p w:rsidR="00E660F2" w:rsidRPr="0080038B" w:rsidRDefault="00E660F2" w:rsidP="008F0588">
            <w:pPr>
              <w:rPr>
                <w:rFonts w:eastAsia="Times New Roman"/>
                <w:snapToGrid w:val="0"/>
                <w:sz w:val="18"/>
                <w:szCs w:val="18"/>
              </w:rPr>
            </w:pPr>
          </w:p>
        </w:tc>
        <w:tc>
          <w:tcPr>
            <w:tcW w:w="637" w:type="pct"/>
            <w:vMerge/>
          </w:tcPr>
          <w:p w:rsidR="00E660F2" w:rsidRPr="0080038B" w:rsidRDefault="00E660F2" w:rsidP="008F0588">
            <w:pPr>
              <w:rPr>
                <w:rFonts w:eastAsia="Times New Roman"/>
                <w:snapToGrid w:val="0"/>
                <w:sz w:val="18"/>
                <w:szCs w:val="18"/>
              </w:rPr>
            </w:pPr>
          </w:p>
        </w:tc>
        <w:tc>
          <w:tcPr>
            <w:tcW w:w="559"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100</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210</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1.8</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23.7</w:t>
            </w:r>
          </w:p>
        </w:tc>
        <w:tc>
          <w:tcPr>
            <w:tcW w:w="47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0.16</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234</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0.9</w:t>
            </w:r>
          </w:p>
        </w:tc>
      </w:tr>
      <w:tr w:rsidR="00E660F2" w:rsidRPr="0080038B" w:rsidTr="008F0588">
        <w:trPr>
          <w:trHeight w:val="227"/>
        </w:trPr>
        <w:tc>
          <w:tcPr>
            <w:tcW w:w="698" w:type="pct"/>
            <w:vMerge/>
          </w:tcPr>
          <w:p w:rsidR="00E660F2" w:rsidRPr="0080038B" w:rsidRDefault="00E660F2" w:rsidP="008F0588">
            <w:pPr>
              <w:rPr>
                <w:rFonts w:eastAsia="Times New Roman"/>
                <w:snapToGrid w:val="0"/>
                <w:sz w:val="18"/>
                <w:szCs w:val="18"/>
              </w:rPr>
            </w:pPr>
          </w:p>
        </w:tc>
        <w:tc>
          <w:tcPr>
            <w:tcW w:w="637" w:type="pct"/>
            <w:vMerge/>
          </w:tcPr>
          <w:p w:rsidR="00E660F2" w:rsidRPr="0080038B" w:rsidRDefault="00E660F2" w:rsidP="008F0588">
            <w:pPr>
              <w:rPr>
                <w:rFonts w:eastAsia="Times New Roman"/>
                <w:snapToGrid w:val="0"/>
                <w:sz w:val="18"/>
                <w:szCs w:val="18"/>
              </w:rPr>
            </w:pPr>
          </w:p>
        </w:tc>
        <w:tc>
          <w:tcPr>
            <w:tcW w:w="559"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150</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572</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5.0</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w:t>
            </w:r>
          </w:p>
        </w:tc>
        <w:tc>
          <w:tcPr>
            <w:tcW w:w="47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w:t>
            </w:r>
          </w:p>
        </w:tc>
      </w:tr>
      <w:tr w:rsidR="00E660F2" w:rsidRPr="0080038B" w:rsidTr="008F0588">
        <w:trPr>
          <w:trHeight w:val="227"/>
        </w:trPr>
        <w:tc>
          <w:tcPr>
            <w:tcW w:w="698" w:type="pct"/>
            <w:vMerge/>
          </w:tcPr>
          <w:p w:rsidR="00E660F2" w:rsidRPr="0080038B" w:rsidRDefault="00E660F2" w:rsidP="008F0588">
            <w:pPr>
              <w:rPr>
                <w:rFonts w:eastAsia="Times New Roman"/>
                <w:snapToGrid w:val="0"/>
                <w:sz w:val="18"/>
                <w:szCs w:val="18"/>
              </w:rPr>
            </w:pPr>
          </w:p>
        </w:tc>
        <w:tc>
          <w:tcPr>
            <w:tcW w:w="637" w:type="pct"/>
            <w:vMerge/>
          </w:tcPr>
          <w:p w:rsidR="00E660F2" w:rsidRPr="0080038B" w:rsidRDefault="00E660F2" w:rsidP="008F0588">
            <w:pPr>
              <w:rPr>
                <w:rFonts w:eastAsia="Times New Roman"/>
                <w:snapToGrid w:val="0"/>
                <w:sz w:val="18"/>
                <w:szCs w:val="18"/>
              </w:rPr>
            </w:pPr>
          </w:p>
        </w:tc>
        <w:tc>
          <w:tcPr>
            <w:tcW w:w="559"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250</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 xml:space="preserve">NA </w:t>
            </w:r>
            <w:r w:rsidRPr="0080038B">
              <w:rPr>
                <w:rFonts w:eastAsia="Times New Roman"/>
                <w:snapToGrid w:val="0"/>
                <w:sz w:val="18"/>
                <w:szCs w:val="18"/>
                <w:vertAlign w:val="superscript"/>
              </w:rPr>
              <w:t>b</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w:t>
            </w:r>
          </w:p>
        </w:tc>
        <w:tc>
          <w:tcPr>
            <w:tcW w:w="47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w:t>
            </w:r>
          </w:p>
        </w:tc>
      </w:tr>
      <w:tr w:rsidR="00E660F2" w:rsidRPr="0080038B" w:rsidTr="008F0588">
        <w:trPr>
          <w:trHeight w:val="227"/>
        </w:trPr>
        <w:tc>
          <w:tcPr>
            <w:tcW w:w="698" w:type="pct"/>
            <w:vMerge/>
          </w:tcPr>
          <w:p w:rsidR="00E660F2" w:rsidRPr="0080038B" w:rsidRDefault="00E660F2" w:rsidP="008F0588">
            <w:pPr>
              <w:rPr>
                <w:rFonts w:eastAsia="Times New Roman"/>
                <w:snapToGrid w:val="0"/>
                <w:sz w:val="18"/>
                <w:szCs w:val="18"/>
              </w:rPr>
            </w:pPr>
          </w:p>
        </w:tc>
        <w:tc>
          <w:tcPr>
            <w:tcW w:w="637" w:type="pct"/>
            <w:vMerge w:val="restar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13</w:t>
            </w:r>
            <w:r>
              <w:rPr>
                <w:rFonts w:eastAsia="Times New Roman"/>
                <w:snapToGrid w:val="0"/>
                <w:sz w:val="18"/>
                <w:szCs w:val="18"/>
              </w:rPr>
              <w:t xml:space="preserve"> week</w:t>
            </w:r>
          </w:p>
        </w:tc>
        <w:tc>
          <w:tcPr>
            <w:tcW w:w="559"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25</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 xml:space="preserve">136 </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1.2</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 xml:space="preserve">3.86 </w:t>
            </w:r>
          </w:p>
        </w:tc>
        <w:tc>
          <w:tcPr>
            <w:tcW w:w="47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0.03</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140</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0.5</w:t>
            </w:r>
          </w:p>
        </w:tc>
      </w:tr>
      <w:tr w:rsidR="00E660F2" w:rsidRPr="0080038B" w:rsidTr="008F0588">
        <w:trPr>
          <w:trHeight w:val="227"/>
        </w:trPr>
        <w:tc>
          <w:tcPr>
            <w:tcW w:w="698" w:type="pct"/>
            <w:vMerge/>
          </w:tcPr>
          <w:p w:rsidR="00E660F2" w:rsidRPr="0080038B" w:rsidRDefault="00E660F2" w:rsidP="008F0588">
            <w:pPr>
              <w:rPr>
                <w:rFonts w:eastAsia="Times New Roman"/>
                <w:snapToGrid w:val="0"/>
                <w:sz w:val="18"/>
                <w:szCs w:val="18"/>
              </w:rPr>
            </w:pPr>
          </w:p>
        </w:tc>
        <w:tc>
          <w:tcPr>
            <w:tcW w:w="637" w:type="pct"/>
            <w:vMerge/>
          </w:tcPr>
          <w:p w:rsidR="00E660F2" w:rsidRPr="0080038B" w:rsidRDefault="00E660F2" w:rsidP="008F0588">
            <w:pPr>
              <w:rPr>
                <w:rFonts w:eastAsia="Times New Roman"/>
                <w:snapToGrid w:val="0"/>
                <w:sz w:val="18"/>
                <w:szCs w:val="18"/>
              </w:rPr>
            </w:pPr>
          </w:p>
        </w:tc>
        <w:tc>
          <w:tcPr>
            <w:tcW w:w="559"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50</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 xml:space="preserve">240 </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2.1</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 xml:space="preserve">8.57 </w:t>
            </w:r>
          </w:p>
        </w:tc>
        <w:tc>
          <w:tcPr>
            <w:tcW w:w="47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0.06</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249</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0.9</w:t>
            </w:r>
          </w:p>
        </w:tc>
      </w:tr>
      <w:tr w:rsidR="00E660F2" w:rsidRPr="0080038B" w:rsidTr="008F0588">
        <w:trPr>
          <w:trHeight w:val="227"/>
        </w:trPr>
        <w:tc>
          <w:tcPr>
            <w:tcW w:w="698" w:type="pct"/>
            <w:vMerge/>
          </w:tcPr>
          <w:p w:rsidR="00E660F2" w:rsidRPr="0080038B" w:rsidRDefault="00E660F2" w:rsidP="008F0588">
            <w:pPr>
              <w:rPr>
                <w:rFonts w:eastAsia="Times New Roman"/>
                <w:snapToGrid w:val="0"/>
                <w:sz w:val="18"/>
                <w:szCs w:val="18"/>
              </w:rPr>
            </w:pPr>
          </w:p>
        </w:tc>
        <w:tc>
          <w:tcPr>
            <w:tcW w:w="637" w:type="pct"/>
            <w:vMerge/>
          </w:tcPr>
          <w:p w:rsidR="00E660F2" w:rsidRPr="0080038B" w:rsidRDefault="00E660F2" w:rsidP="008F0588">
            <w:pPr>
              <w:rPr>
                <w:rFonts w:eastAsia="Times New Roman"/>
                <w:snapToGrid w:val="0"/>
                <w:sz w:val="18"/>
                <w:szCs w:val="18"/>
              </w:rPr>
            </w:pPr>
          </w:p>
        </w:tc>
        <w:tc>
          <w:tcPr>
            <w:tcW w:w="559"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100</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521</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4.5</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 xml:space="preserve">28.5 </w:t>
            </w:r>
          </w:p>
        </w:tc>
        <w:tc>
          <w:tcPr>
            <w:tcW w:w="47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0.20</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550</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2.1</w:t>
            </w:r>
          </w:p>
        </w:tc>
      </w:tr>
      <w:tr w:rsidR="00E660F2" w:rsidRPr="0080038B" w:rsidTr="008F0588">
        <w:trPr>
          <w:trHeight w:val="227"/>
        </w:trPr>
        <w:tc>
          <w:tcPr>
            <w:tcW w:w="698" w:type="pct"/>
            <w:vMerge/>
          </w:tcPr>
          <w:p w:rsidR="00E660F2" w:rsidRPr="0080038B" w:rsidRDefault="00E660F2" w:rsidP="008F0588">
            <w:pPr>
              <w:rPr>
                <w:rFonts w:eastAsia="Times New Roman"/>
                <w:snapToGrid w:val="0"/>
                <w:sz w:val="18"/>
                <w:szCs w:val="18"/>
              </w:rPr>
            </w:pPr>
          </w:p>
        </w:tc>
        <w:tc>
          <w:tcPr>
            <w:tcW w:w="637" w:type="pct"/>
            <w:vMerge w:val="restar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26 week</w:t>
            </w:r>
          </w:p>
        </w:tc>
        <w:tc>
          <w:tcPr>
            <w:tcW w:w="559"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25</w:t>
            </w:r>
          </w:p>
        </w:tc>
        <w:tc>
          <w:tcPr>
            <w:tcW w:w="558" w:type="pct"/>
          </w:tcPr>
          <w:p w:rsidR="00E660F2" w:rsidRPr="0080038B" w:rsidRDefault="00E660F2" w:rsidP="008F0588">
            <w:pPr>
              <w:rPr>
                <w:rFonts w:asciiTheme="minorHAnsi" w:hAnsiTheme="minorHAnsi"/>
                <w:spacing w:val="-2"/>
                <w:sz w:val="18"/>
                <w:szCs w:val="18"/>
                <w:lang w:val="en-US"/>
              </w:rPr>
            </w:pPr>
            <w:r w:rsidRPr="0080038B">
              <w:rPr>
                <w:rFonts w:asciiTheme="minorHAnsi" w:hAnsiTheme="minorHAnsi"/>
                <w:spacing w:val="-2"/>
                <w:sz w:val="18"/>
                <w:szCs w:val="18"/>
                <w:lang w:val="en-US"/>
              </w:rPr>
              <w:t xml:space="preserve">135 </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1.2</w:t>
            </w:r>
          </w:p>
        </w:tc>
        <w:tc>
          <w:tcPr>
            <w:tcW w:w="558" w:type="pct"/>
          </w:tcPr>
          <w:p w:rsidR="00E660F2" w:rsidRPr="0080038B" w:rsidRDefault="00E660F2" w:rsidP="008F0588">
            <w:pPr>
              <w:rPr>
                <w:rFonts w:eastAsia="Times New Roman"/>
                <w:spacing w:val="-2"/>
                <w:sz w:val="18"/>
                <w:szCs w:val="18"/>
                <w:lang w:val="en-US"/>
              </w:rPr>
            </w:pPr>
            <w:r w:rsidRPr="0080038B">
              <w:rPr>
                <w:rFonts w:eastAsia="Times New Roman"/>
                <w:spacing w:val="-2"/>
                <w:sz w:val="18"/>
                <w:szCs w:val="18"/>
                <w:lang w:val="en-US"/>
              </w:rPr>
              <w:t xml:space="preserve">4.58 </w:t>
            </w:r>
          </w:p>
        </w:tc>
        <w:tc>
          <w:tcPr>
            <w:tcW w:w="47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0.03</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140</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0.5</w:t>
            </w:r>
          </w:p>
        </w:tc>
      </w:tr>
      <w:tr w:rsidR="00E660F2" w:rsidRPr="0080038B" w:rsidTr="008F0588">
        <w:trPr>
          <w:trHeight w:val="227"/>
        </w:trPr>
        <w:tc>
          <w:tcPr>
            <w:tcW w:w="698" w:type="pct"/>
            <w:vMerge/>
          </w:tcPr>
          <w:p w:rsidR="00E660F2" w:rsidRPr="0080038B" w:rsidRDefault="00E660F2" w:rsidP="008F0588">
            <w:pPr>
              <w:rPr>
                <w:rFonts w:eastAsia="Times New Roman"/>
                <w:snapToGrid w:val="0"/>
                <w:sz w:val="18"/>
                <w:szCs w:val="18"/>
              </w:rPr>
            </w:pPr>
          </w:p>
        </w:tc>
        <w:tc>
          <w:tcPr>
            <w:tcW w:w="637" w:type="pct"/>
            <w:vMerge/>
          </w:tcPr>
          <w:p w:rsidR="00E660F2" w:rsidRPr="0080038B" w:rsidRDefault="00E660F2" w:rsidP="008F0588">
            <w:pPr>
              <w:rPr>
                <w:rFonts w:eastAsia="Times New Roman"/>
                <w:snapToGrid w:val="0"/>
                <w:sz w:val="18"/>
                <w:szCs w:val="18"/>
              </w:rPr>
            </w:pPr>
          </w:p>
        </w:tc>
        <w:tc>
          <w:tcPr>
            <w:tcW w:w="559"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75</w:t>
            </w:r>
          </w:p>
        </w:tc>
        <w:tc>
          <w:tcPr>
            <w:tcW w:w="558" w:type="pct"/>
          </w:tcPr>
          <w:p w:rsidR="00E660F2" w:rsidRPr="0080038B" w:rsidRDefault="00E660F2" w:rsidP="008F0588">
            <w:pPr>
              <w:rPr>
                <w:rFonts w:asciiTheme="minorHAnsi" w:hAnsiTheme="minorHAnsi"/>
                <w:spacing w:val="-2"/>
                <w:sz w:val="18"/>
                <w:szCs w:val="18"/>
                <w:lang w:val="en-US"/>
              </w:rPr>
            </w:pPr>
            <w:r w:rsidRPr="0080038B">
              <w:rPr>
                <w:rFonts w:asciiTheme="minorHAnsi" w:hAnsiTheme="minorHAnsi"/>
                <w:spacing w:val="-2"/>
                <w:sz w:val="18"/>
                <w:szCs w:val="18"/>
                <w:lang w:val="en-US"/>
              </w:rPr>
              <w:t xml:space="preserve">389 </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3.4</w:t>
            </w:r>
          </w:p>
        </w:tc>
        <w:tc>
          <w:tcPr>
            <w:tcW w:w="558" w:type="pct"/>
          </w:tcPr>
          <w:p w:rsidR="00E660F2" w:rsidRPr="0080038B" w:rsidRDefault="00E660F2" w:rsidP="008F0588">
            <w:pPr>
              <w:rPr>
                <w:rFonts w:eastAsia="Times New Roman"/>
                <w:spacing w:val="-2"/>
                <w:sz w:val="18"/>
                <w:szCs w:val="18"/>
                <w:lang w:val="en-US"/>
              </w:rPr>
            </w:pPr>
            <w:r w:rsidRPr="0080038B">
              <w:rPr>
                <w:rFonts w:eastAsia="Times New Roman"/>
                <w:spacing w:val="-2"/>
                <w:sz w:val="18"/>
                <w:szCs w:val="18"/>
                <w:lang w:val="en-US"/>
              </w:rPr>
              <w:t xml:space="preserve">20.6 </w:t>
            </w:r>
          </w:p>
        </w:tc>
        <w:tc>
          <w:tcPr>
            <w:tcW w:w="47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0.14</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410</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1.5</w:t>
            </w:r>
          </w:p>
        </w:tc>
      </w:tr>
      <w:tr w:rsidR="00E660F2" w:rsidRPr="0080038B" w:rsidTr="008F0588">
        <w:trPr>
          <w:trHeight w:val="227"/>
        </w:trPr>
        <w:tc>
          <w:tcPr>
            <w:tcW w:w="698" w:type="pct"/>
            <w:vMerge/>
          </w:tcPr>
          <w:p w:rsidR="00E660F2" w:rsidRPr="0080038B" w:rsidRDefault="00E660F2" w:rsidP="008F0588">
            <w:pPr>
              <w:rPr>
                <w:rFonts w:eastAsia="Times New Roman"/>
                <w:snapToGrid w:val="0"/>
                <w:sz w:val="18"/>
                <w:szCs w:val="18"/>
              </w:rPr>
            </w:pPr>
          </w:p>
        </w:tc>
        <w:tc>
          <w:tcPr>
            <w:tcW w:w="637" w:type="pct"/>
            <w:vMerge/>
          </w:tcPr>
          <w:p w:rsidR="00E660F2" w:rsidRPr="0080038B" w:rsidRDefault="00E660F2" w:rsidP="008F0588">
            <w:pPr>
              <w:rPr>
                <w:rFonts w:eastAsia="Times New Roman"/>
                <w:snapToGrid w:val="0"/>
                <w:sz w:val="18"/>
                <w:szCs w:val="18"/>
              </w:rPr>
            </w:pPr>
          </w:p>
        </w:tc>
        <w:tc>
          <w:tcPr>
            <w:tcW w:w="559"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150</w:t>
            </w:r>
          </w:p>
        </w:tc>
        <w:tc>
          <w:tcPr>
            <w:tcW w:w="558" w:type="pct"/>
          </w:tcPr>
          <w:p w:rsidR="00E660F2" w:rsidRPr="0080038B" w:rsidRDefault="00E660F2" w:rsidP="008F0588">
            <w:pPr>
              <w:rPr>
                <w:rFonts w:asciiTheme="minorHAnsi" w:hAnsiTheme="minorHAnsi"/>
                <w:spacing w:val="-2"/>
                <w:sz w:val="18"/>
                <w:szCs w:val="18"/>
                <w:lang w:val="en-US"/>
              </w:rPr>
            </w:pPr>
            <w:r w:rsidRPr="0080038B">
              <w:rPr>
                <w:rFonts w:asciiTheme="minorHAnsi" w:hAnsiTheme="minorHAnsi"/>
                <w:spacing w:val="-2"/>
                <w:sz w:val="18"/>
                <w:szCs w:val="18"/>
                <w:lang w:val="en-US"/>
              </w:rPr>
              <w:t xml:space="preserve">508 </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4.4</w:t>
            </w:r>
          </w:p>
        </w:tc>
        <w:tc>
          <w:tcPr>
            <w:tcW w:w="558" w:type="pct"/>
          </w:tcPr>
          <w:p w:rsidR="00E660F2" w:rsidRPr="0080038B" w:rsidRDefault="00E660F2" w:rsidP="008F0588">
            <w:pPr>
              <w:rPr>
                <w:rFonts w:eastAsia="Times New Roman"/>
                <w:spacing w:val="-2"/>
                <w:sz w:val="18"/>
                <w:szCs w:val="18"/>
                <w:lang w:val="en-US"/>
              </w:rPr>
            </w:pPr>
            <w:r w:rsidRPr="0080038B">
              <w:rPr>
                <w:rFonts w:eastAsia="Times New Roman"/>
                <w:spacing w:val="-2"/>
                <w:sz w:val="18"/>
                <w:szCs w:val="18"/>
                <w:lang w:val="en-US"/>
              </w:rPr>
              <w:t xml:space="preserve">27.7 </w:t>
            </w:r>
          </w:p>
        </w:tc>
        <w:tc>
          <w:tcPr>
            <w:tcW w:w="47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0.18</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536</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2.0</w:t>
            </w:r>
          </w:p>
        </w:tc>
      </w:tr>
      <w:tr w:rsidR="00E660F2" w:rsidRPr="0080038B" w:rsidTr="008F0588">
        <w:trPr>
          <w:trHeight w:val="227"/>
        </w:trPr>
        <w:tc>
          <w:tcPr>
            <w:tcW w:w="698" w:type="pct"/>
            <w:vMerge w:val="restar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Females</w:t>
            </w:r>
          </w:p>
        </w:tc>
        <w:tc>
          <w:tcPr>
            <w:tcW w:w="637" w:type="pct"/>
            <w:vMerge w:val="restar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26</w:t>
            </w:r>
            <w:r>
              <w:rPr>
                <w:rFonts w:eastAsia="Times New Roman"/>
                <w:snapToGrid w:val="0"/>
                <w:sz w:val="18"/>
                <w:szCs w:val="18"/>
              </w:rPr>
              <w:t xml:space="preserve"> week</w:t>
            </w:r>
          </w:p>
        </w:tc>
        <w:tc>
          <w:tcPr>
            <w:tcW w:w="559"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25</w:t>
            </w:r>
          </w:p>
        </w:tc>
        <w:tc>
          <w:tcPr>
            <w:tcW w:w="558" w:type="pct"/>
          </w:tcPr>
          <w:p w:rsidR="00E660F2" w:rsidRPr="0080038B" w:rsidRDefault="00E660F2" w:rsidP="008F0588">
            <w:pPr>
              <w:rPr>
                <w:rFonts w:asciiTheme="minorHAnsi" w:hAnsiTheme="minorHAnsi"/>
                <w:spacing w:val="-2"/>
                <w:sz w:val="18"/>
                <w:szCs w:val="18"/>
                <w:lang w:val="en-US"/>
              </w:rPr>
            </w:pPr>
            <w:r w:rsidRPr="0080038B">
              <w:rPr>
                <w:rFonts w:asciiTheme="minorHAnsi" w:hAnsiTheme="minorHAnsi"/>
                <w:spacing w:val="-2"/>
                <w:sz w:val="18"/>
                <w:szCs w:val="18"/>
                <w:lang w:val="en-US"/>
              </w:rPr>
              <w:t xml:space="preserve">282 </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2.5</w:t>
            </w:r>
          </w:p>
        </w:tc>
        <w:tc>
          <w:tcPr>
            <w:tcW w:w="558" w:type="pct"/>
          </w:tcPr>
          <w:p w:rsidR="00E660F2" w:rsidRPr="0080038B" w:rsidRDefault="00E660F2" w:rsidP="008F0588">
            <w:pPr>
              <w:rPr>
                <w:sz w:val="18"/>
                <w:szCs w:val="18"/>
              </w:rPr>
            </w:pPr>
            <w:r w:rsidRPr="0080038B">
              <w:rPr>
                <w:rFonts w:eastAsia="Times New Roman"/>
                <w:spacing w:val="-2"/>
                <w:sz w:val="18"/>
                <w:szCs w:val="18"/>
                <w:lang w:val="en-US"/>
              </w:rPr>
              <w:t xml:space="preserve">4.88 </w:t>
            </w:r>
          </w:p>
        </w:tc>
        <w:tc>
          <w:tcPr>
            <w:tcW w:w="47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0.03</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287</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1.1</w:t>
            </w:r>
          </w:p>
        </w:tc>
      </w:tr>
      <w:tr w:rsidR="00E660F2" w:rsidRPr="0080038B" w:rsidTr="008F0588">
        <w:trPr>
          <w:trHeight w:val="227"/>
        </w:trPr>
        <w:tc>
          <w:tcPr>
            <w:tcW w:w="698" w:type="pct"/>
            <w:vMerge/>
          </w:tcPr>
          <w:p w:rsidR="00E660F2" w:rsidRPr="0080038B" w:rsidRDefault="00E660F2" w:rsidP="008F0588">
            <w:pPr>
              <w:rPr>
                <w:rFonts w:eastAsia="Times New Roman"/>
                <w:snapToGrid w:val="0"/>
                <w:sz w:val="18"/>
                <w:szCs w:val="18"/>
              </w:rPr>
            </w:pPr>
          </w:p>
        </w:tc>
        <w:tc>
          <w:tcPr>
            <w:tcW w:w="637" w:type="pct"/>
            <w:vMerge/>
          </w:tcPr>
          <w:p w:rsidR="00E660F2" w:rsidRPr="0080038B" w:rsidRDefault="00E660F2" w:rsidP="008F0588">
            <w:pPr>
              <w:rPr>
                <w:rFonts w:eastAsia="Times New Roman"/>
                <w:snapToGrid w:val="0"/>
                <w:sz w:val="18"/>
                <w:szCs w:val="18"/>
              </w:rPr>
            </w:pPr>
          </w:p>
        </w:tc>
        <w:tc>
          <w:tcPr>
            <w:tcW w:w="559"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50</w:t>
            </w:r>
          </w:p>
        </w:tc>
        <w:tc>
          <w:tcPr>
            <w:tcW w:w="558" w:type="pct"/>
          </w:tcPr>
          <w:p w:rsidR="00E660F2" w:rsidRPr="0080038B" w:rsidRDefault="00E660F2" w:rsidP="008F0588">
            <w:pPr>
              <w:rPr>
                <w:rFonts w:asciiTheme="minorHAnsi" w:hAnsiTheme="minorHAnsi"/>
                <w:spacing w:val="-2"/>
                <w:sz w:val="18"/>
                <w:szCs w:val="18"/>
                <w:lang w:val="en-US"/>
              </w:rPr>
            </w:pPr>
            <w:r w:rsidRPr="0080038B">
              <w:rPr>
                <w:rFonts w:asciiTheme="minorHAnsi" w:hAnsiTheme="minorHAnsi"/>
                <w:spacing w:val="-2"/>
                <w:sz w:val="18"/>
                <w:szCs w:val="18"/>
                <w:lang w:val="en-US"/>
              </w:rPr>
              <w:t xml:space="preserve">566 </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4.9</w:t>
            </w:r>
          </w:p>
        </w:tc>
        <w:tc>
          <w:tcPr>
            <w:tcW w:w="558" w:type="pct"/>
          </w:tcPr>
          <w:p w:rsidR="00E660F2" w:rsidRPr="0080038B" w:rsidRDefault="00E660F2" w:rsidP="008F0588">
            <w:pPr>
              <w:rPr>
                <w:sz w:val="18"/>
                <w:szCs w:val="18"/>
              </w:rPr>
            </w:pPr>
            <w:r w:rsidRPr="0080038B">
              <w:rPr>
                <w:rFonts w:eastAsia="Times New Roman"/>
                <w:spacing w:val="-2"/>
                <w:sz w:val="18"/>
                <w:szCs w:val="18"/>
                <w:lang w:val="en-US"/>
              </w:rPr>
              <w:t xml:space="preserve">14.5 </w:t>
            </w:r>
          </w:p>
        </w:tc>
        <w:tc>
          <w:tcPr>
            <w:tcW w:w="47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0.1</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581</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2.2</w:t>
            </w:r>
          </w:p>
        </w:tc>
      </w:tr>
      <w:tr w:rsidR="00E660F2" w:rsidRPr="0080038B" w:rsidTr="008F0588">
        <w:trPr>
          <w:trHeight w:val="32"/>
        </w:trPr>
        <w:tc>
          <w:tcPr>
            <w:tcW w:w="698" w:type="pct"/>
            <w:vMerge/>
          </w:tcPr>
          <w:p w:rsidR="00E660F2" w:rsidRPr="0080038B" w:rsidRDefault="00E660F2" w:rsidP="008F0588">
            <w:pPr>
              <w:rPr>
                <w:rFonts w:eastAsia="Times New Roman"/>
                <w:snapToGrid w:val="0"/>
                <w:sz w:val="18"/>
                <w:szCs w:val="18"/>
              </w:rPr>
            </w:pPr>
          </w:p>
        </w:tc>
        <w:tc>
          <w:tcPr>
            <w:tcW w:w="637" w:type="pct"/>
            <w:vMerge/>
          </w:tcPr>
          <w:p w:rsidR="00E660F2" w:rsidRPr="0080038B" w:rsidRDefault="00E660F2" w:rsidP="008F0588">
            <w:pPr>
              <w:rPr>
                <w:rFonts w:eastAsia="Times New Roman"/>
                <w:snapToGrid w:val="0"/>
                <w:sz w:val="18"/>
                <w:szCs w:val="18"/>
              </w:rPr>
            </w:pPr>
          </w:p>
        </w:tc>
        <w:tc>
          <w:tcPr>
            <w:tcW w:w="559"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100</w:t>
            </w:r>
          </w:p>
        </w:tc>
        <w:tc>
          <w:tcPr>
            <w:tcW w:w="558" w:type="pct"/>
          </w:tcPr>
          <w:p w:rsidR="00E660F2" w:rsidRPr="0080038B" w:rsidRDefault="00E660F2" w:rsidP="008F0588">
            <w:pPr>
              <w:rPr>
                <w:rFonts w:asciiTheme="minorHAnsi" w:hAnsiTheme="minorHAnsi"/>
                <w:spacing w:val="-2"/>
                <w:sz w:val="18"/>
                <w:szCs w:val="18"/>
                <w:lang w:val="en-US"/>
              </w:rPr>
            </w:pPr>
            <w:r w:rsidRPr="0080038B">
              <w:rPr>
                <w:rFonts w:asciiTheme="minorHAnsi" w:hAnsiTheme="minorHAnsi"/>
                <w:spacing w:val="-2"/>
                <w:sz w:val="18"/>
                <w:szCs w:val="18"/>
                <w:lang w:val="en-US"/>
              </w:rPr>
              <w:t>834</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7.3</w:t>
            </w:r>
          </w:p>
        </w:tc>
        <w:tc>
          <w:tcPr>
            <w:tcW w:w="558" w:type="pct"/>
          </w:tcPr>
          <w:p w:rsidR="00E660F2" w:rsidRPr="0080038B" w:rsidRDefault="00E660F2" w:rsidP="008F0588">
            <w:pPr>
              <w:rPr>
                <w:sz w:val="18"/>
                <w:szCs w:val="18"/>
              </w:rPr>
            </w:pPr>
            <w:r w:rsidRPr="0080038B">
              <w:rPr>
                <w:rFonts w:eastAsia="Times New Roman"/>
                <w:spacing w:val="-2"/>
                <w:sz w:val="18"/>
                <w:szCs w:val="18"/>
                <w:lang w:val="en-US"/>
              </w:rPr>
              <w:t xml:space="preserve">31.3 </w:t>
            </w:r>
          </w:p>
        </w:tc>
        <w:tc>
          <w:tcPr>
            <w:tcW w:w="47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0.2</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865</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3.2</w:t>
            </w:r>
          </w:p>
        </w:tc>
      </w:tr>
      <w:tr w:rsidR="00E660F2" w:rsidRPr="0080038B" w:rsidTr="008F0588">
        <w:trPr>
          <w:trHeight w:val="227"/>
        </w:trPr>
        <w:tc>
          <w:tcPr>
            <w:tcW w:w="698" w:type="pct"/>
            <w:vMerge/>
          </w:tcPr>
          <w:p w:rsidR="00E660F2" w:rsidRPr="0080038B" w:rsidRDefault="00E660F2" w:rsidP="008F0588">
            <w:pPr>
              <w:rPr>
                <w:rFonts w:eastAsia="Times New Roman"/>
                <w:snapToGrid w:val="0"/>
                <w:sz w:val="18"/>
                <w:szCs w:val="18"/>
              </w:rPr>
            </w:pPr>
          </w:p>
        </w:tc>
        <w:tc>
          <w:tcPr>
            <w:tcW w:w="637" w:type="pct"/>
            <w:vMerge/>
          </w:tcPr>
          <w:p w:rsidR="00E660F2" w:rsidRPr="0080038B" w:rsidRDefault="00E660F2" w:rsidP="008F0588">
            <w:pPr>
              <w:rPr>
                <w:rFonts w:eastAsia="Times New Roman"/>
                <w:snapToGrid w:val="0"/>
                <w:sz w:val="18"/>
                <w:szCs w:val="18"/>
              </w:rPr>
            </w:pPr>
          </w:p>
        </w:tc>
        <w:tc>
          <w:tcPr>
            <w:tcW w:w="559"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150</w:t>
            </w:r>
          </w:p>
        </w:tc>
        <w:tc>
          <w:tcPr>
            <w:tcW w:w="558" w:type="pct"/>
          </w:tcPr>
          <w:p w:rsidR="00E660F2" w:rsidRPr="0080038B" w:rsidRDefault="00E660F2" w:rsidP="008F0588">
            <w:pPr>
              <w:rPr>
                <w:rFonts w:asciiTheme="minorHAnsi" w:hAnsiTheme="minorHAnsi"/>
                <w:spacing w:val="-2"/>
                <w:sz w:val="18"/>
                <w:szCs w:val="18"/>
                <w:lang w:val="en-US"/>
              </w:rPr>
            </w:pPr>
            <w:r w:rsidRPr="0080038B">
              <w:rPr>
                <w:rFonts w:asciiTheme="minorHAnsi" w:hAnsiTheme="minorHAnsi"/>
                <w:spacing w:val="-2"/>
                <w:sz w:val="18"/>
                <w:szCs w:val="18"/>
                <w:lang w:val="en-US"/>
              </w:rPr>
              <w:t xml:space="preserve">785 </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6.8</w:t>
            </w:r>
          </w:p>
        </w:tc>
        <w:tc>
          <w:tcPr>
            <w:tcW w:w="558" w:type="pct"/>
          </w:tcPr>
          <w:p w:rsidR="00E660F2" w:rsidRPr="0080038B" w:rsidRDefault="00E660F2" w:rsidP="008F0588">
            <w:pPr>
              <w:rPr>
                <w:sz w:val="18"/>
                <w:szCs w:val="18"/>
              </w:rPr>
            </w:pPr>
            <w:r w:rsidRPr="0080038B">
              <w:rPr>
                <w:rFonts w:eastAsia="Times New Roman"/>
                <w:spacing w:val="-2"/>
                <w:sz w:val="18"/>
                <w:szCs w:val="18"/>
                <w:lang w:val="en-US"/>
              </w:rPr>
              <w:t xml:space="preserve">29 </w:t>
            </w:r>
          </w:p>
        </w:tc>
        <w:tc>
          <w:tcPr>
            <w:tcW w:w="47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0.2</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814</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3.0</w:t>
            </w:r>
          </w:p>
        </w:tc>
      </w:tr>
      <w:tr w:rsidR="00E660F2" w:rsidRPr="0080038B" w:rsidTr="008F0588">
        <w:trPr>
          <w:trHeight w:val="32"/>
        </w:trPr>
        <w:tc>
          <w:tcPr>
            <w:tcW w:w="698" w:type="pct"/>
            <w:vMerge w:val="restar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Dog</w:t>
            </w:r>
            <w:r w:rsidR="008F0588">
              <w:rPr>
                <w:rFonts w:eastAsia="Times New Roman"/>
                <w:snapToGrid w:val="0"/>
                <w:sz w:val="18"/>
                <w:szCs w:val="18"/>
              </w:rPr>
              <w:t xml:space="preserve"> </w:t>
            </w:r>
            <w:r>
              <w:rPr>
                <w:rFonts w:eastAsia="Times New Roman"/>
                <w:snapToGrid w:val="0"/>
                <w:sz w:val="18"/>
                <w:szCs w:val="18"/>
              </w:rPr>
              <w:t>Beagle</w:t>
            </w:r>
            <w:r w:rsidR="008F0588">
              <w:rPr>
                <w:rFonts w:eastAsia="Times New Roman"/>
                <w:snapToGrid w:val="0"/>
                <w:sz w:val="18"/>
                <w:szCs w:val="18"/>
              </w:rPr>
              <w:t xml:space="preserve"> </w:t>
            </w:r>
            <w:r w:rsidRPr="0080038B">
              <w:rPr>
                <w:rFonts w:eastAsia="Times New Roman"/>
                <w:snapToGrid w:val="0"/>
                <w:sz w:val="18"/>
                <w:szCs w:val="18"/>
              </w:rPr>
              <w:t>Males</w:t>
            </w:r>
          </w:p>
        </w:tc>
        <w:tc>
          <w:tcPr>
            <w:tcW w:w="637" w:type="pct"/>
            <w:vMerge w:val="restar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4 week</w:t>
            </w:r>
          </w:p>
        </w:tc>
        <w:tc>
          <w:tcPr>
            <w:tcW w:w="559"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5</w:t>
            </w:r>
          </w:p>
        </w:tc>
        <w:tc>
          <w:tcPr>
            <w:tcW w:w="558" w:type="pct"/>
          </w:tcPr>
          <w:p w:rsidR="00E660F2" w:rsidRPr="0080038B" w:rsidRDefault="00E660F2" w:rsidP="008F0588">
            <w:pPr>
              <w:rPr>
                <w:sz w:val="18"/>
                <w:szCs w:val="18"/>
              </w:rPr>
            </w:pPr>
            <w:r w:rsidRPr="0080038B">
              <w:rPr>
                <w:rFonts w:eastAsia="Times New Roman"/>
                <w:snapToGrid w:val="0"/>
                <w:kern w:val="16"/>
                <w:sz w:val="18"/>
                <w:szCs w:val="18"/>
              </w:rPr>
              <w:t>116</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1.0</w:t>
            </w:r>
          </w:p>
        </w:tc>
        <w:tc>
          <w:tcPr>
            <w:tcW w:w="558" w:type="pct"/>
          </w:tcPr>
          <w:p w:rsidR="00E660F2" w:rsidRPr="0080038B" w:rsidRDefault="00E660F2" w:rsidP="008F0588">
            <w:pPr>
              <w:rPr>
                <w:sz w:val="18"/>
                <w:szCs w:val="18"/>
              </w:rPr>
            </w:pPr>
            <w:r w:rsidRPr="0080038B">
              <w:rPr>
                <w:rFonts w:eastAsia="Times New Roman"/>
                <w:snapToGrid w:val="0"/>
                <w:kern w:val="16"/>
                <w:sz w:val="18"/>
                <w:szCs w:val="18"/>
              </w:rPr>
              <w:t>96.5</w:t>
            </w:r>
          </w:p>
        </w:tc>
        <w:tc>
          <w:tcPr>
            <w:tcW w:w="47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0.6</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213</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0.8</w:t>
            </w:r>
          </w:p>
        </w:tc>
      </w:tr>
      <w:tr w:rsidR="00E660F2" w:rsidRPr="0080038B" w:rsidTr="008F0588">
        <w:trPr>
          <w:trHeight w:val="227"/>
        </w:trPr>
        <w:tc>
          <w:tcPr>
            <w:tcW w:w="698" w:type="pct"/>
            <w:vMerge/>
          </w:tcPr>
          <w:p w:rsidR="00E660F2" w:rsidRPr="0080038B" w:rsidRDefault="00E660F2" w:rsidP="008F0588">
            <w:pPr>
              <w:rPr>
                <w:rFonts w:eastAsia="Times New Roman"/>
                <w:snapToGrid w:val="0"/>
                <w:sz w:val="18"/>
                <w:szCs w:val="18"/>
              </w:rPr>
            </w:pPr>
          </w:p>
        </w:tc>
        <w:tc>
          <w:tcPr>
            <w:tcW w:w="637" w:type="pct"/>
            <w:vMerge/>
          </w:tcPr>
          <w:p w:rsidR="00E660F2" w:rsidRPr="0080038B" w:rsidRDefault="00E660F2" w:rsidP="008F0588">
            <w:pPr>
              <w:rPr>
                <w:rFonts w:eastAsia="Times New Roman"/>
                <w:snapToGrid w:val="0"/>
                <w:sz w:val="18"/>
                <w:szCs w:val="18"/>
              </w:rPr>
            </w:pPr>
          </w:p>
        </w:tc>
        <w:tc>
          <w:tcPr>
            <w:tcW w:w="559"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 xml:space="preserve">10 </w:t>
            </w:r>
          </w:p>
        </w:tc>
        <w:tc>
          <w:tcPr>
            <w:tcW w:w="558" w:type="pct"/>
          </w:tcPr>
          <w:p w:rsidR="00E660F2" w:rsidRPr="0080038B" w:rsidRDefault="00E660F2" w:rsidP="008F0588">
            <w:pPr>
              <w:rPr>
                <w:sz w:val="18"/>
                <w:szCs w:val="18"/>
              </w:rPr>
            </w:pPr>
            <w:r w:rsidRPr="0080038B">
              <w:rPr>
                <w:rFonts w:eastAsia="Times New Roman"/>
                <w:snapToGrid w:val="0"/>
                <w:kern w:val="16"/>
                <w:sz w:val="18"/>
                <w:szCs w:val="18"/>
              </w:rPr>
              <w:t>290</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2.5</w:t>
            </w:r>
          </w:p>
        </w:tc>
        <w:tc>
          <w:tcPr>
            <w:tcW w:w="558" w:type="pct"/>
          </w:tcPr>
          <w:p w:rsidR="00E660F2" w:rsidRPr="0080038B" w:rsidRDefault="00E660F2" w:rsidP="008F0588">
            <w:pPr>
              <w:rPr>
                <w:sz w:val="18"/>
                <w:szCs w:val="18"/>
              </w:rPr>
            </w:pPr>
            <w:r w:rsidRPr="0080038B">
              <w:rPr>
                <w:rFonts w:eastAsia="Times New Roman"/>
                <w:snapToGrid w:val="0"/>
                <w:kern w:val="16"/>
                <w:sz w:val="18"/>
                <w:szCs w:val="18"/>
              </w:rPr>
              <w:t>172</w:t>
            </w:r>
          </w:p>
        </w:tc>
        <w:tc>
          <w:tcPr>
            <w:tcW w:w="47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1.1</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462</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1.8</w:t>
            </w:r>
          </w:p>
        </w:tc>
      </w:tr>
      <w:tr w:rsidR="00E660F2" w:rsidRPr="0080038B" w:rsidTr="008F0588">
        <w:trPr>
          <w:trHeight w:val="227"/>
        </w:trPr>
        <w:tc>
          <w:tcPr>
            <w:tcW w:w="698" w:type="pct"/>
            <w:vMerge/>
          </w:tcPr>
          <w:p w:rsidR="00E660F2" w:rsidRPr="0080038B" w:rsidRDefault="00E660F2" w:rsidP="008F0588">
            <w:pPr>
              <w:rPr>
                <w:rFonts w:eastAsia="Times New Roman"/>
                <w:snapToGrid w:val="0"/>
                <w:sz w:val="18"/>
                <w:szCs w:val="18"/>
              </w:rPr>
            </w:pPr>
          </w:p>
        </w:tc>
        <w:tc>
          <w:tcPr>
            <w:tcW w:w="637" w:type="pct"/>
            <w:vMerge/>
          </w:tcPr>
          <w:p w:rsidR="00E660F2" w:rsidRPr="0080038B" w:rsidRDefault="00E660F2" w:rsidP="008F0588">
            <w:pPr>
              <w:rPr>
                <w:rFonts w:eastAsia="Times New Roman"/>
                <w:snapToGrid w:val="0"/>
                <w:sz w:val="18"/>
                <w:szCs w:val="18"/>
              </w:rPr>
            </w:pPr>
          </w:p>
        </w:tc>
        <w:tc>
          <w:tcPr>
            <w:tcW w:w="559"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25</w:t>
            </w:r>
          </w:p>
        </w:tc>
        <w:tc>
          <w:tcPr>
            <w:tcW w:w="558" w:type="pct"/>
          </w:tcPr>
          <w:p w:rsidR="00E660F2" w:rsidRPr="0080038B" w:rsidRDefault="00E660F2" w:rsidP="008F0588">
            <w:pPr>
              <w:rPr>
                <w:sz w:val="18"/>
                <w:szCs w:val="18"/>
              </w:rPr>
            </w:pPr>
            <w:r w:rsidRPr="0080038B">
              <w:rPr>
                <w:rFonts w:eastAsia="Times New Roman"/>
                <w:snapToGrid w:val="0"/>
                <w:sz w:val="18"/>
                <w:szCs w:val="18"/>
              </w:rPr>
              <w:t xml:space="preserve">NA </w:t>
            </w:r>
            <w:r w:rsidRPr="0080038B">
              <w:rPr>
                <w:rFonts w:eastAsia="Times New Roman"/>
                <w:snapToGrid w:val="0"/>
                <w:sz w:val="18"/>
                <w:szCs w:val="18"/>
                <w:vertAlign w:val="superscript"/>
              </w:rPr>
              <w:t>c</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w:t>
            </w:r>
          </w:p>
        </w:tc>
        <w:tc>
          <w:tcPr>
            <w:tcW w:w="558" w:type="pct"/>
          </w:tcPr>
          <w:p w:rsidR="00E660F2" w:rsidRPr="0080038B" w:rsidRDefault="00E660F2" w:rsidP="008F0588">
            <w:pPr>
              <w:rPr>
                <w:sz w:val="18"/>
                <w:szCs w:val="18"/>
              </w:rPr>
            </w:pPr>
            <w:r w:rsidRPr="0080038B">
              <w:rPr>
                <w:rFonts w:eastAsia="Times New Roman"/>
                <w:snapToGrid w:val="0"/>
                <w:sz w:val="18"/>
                <w:szCs w:val="18"/>
              </w:rPr>
              <w:t xml:space="preserve">NA </w:t>
            </w:r>
            <w:r w:rsidRPr="0080038B">
              <w:rPr>
                <w:rFonts w:eastAsia="Times New Roman"/>
                <w:snapToGrid w:val="0"/>
                <w:sz w:val="18"/>
                <w:szCs w:val="18"/>
                <w:vertAlign w:val="superscript"/>
              </w:rPr>
              <w:t>c</w:t>
            </w:r>
          </w:p>
        </w:tc>
        <w:tc>
          <w:tcPr>
            <w:tcW w:w="47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w:t>
            </w:r>
          </w:p>
        </w:tc>
      </w:tr>
      <w:tr w:rsidR="00E660F2" w:rsidRPr="0080038B" w:rsidTr="008F0588">
        <w:trPr>
          <w:trHeight w:val="227"/>
        </w:trPr>
        <w:tc>
          <w:tcPr>
            <w:tcW w:w="698" w:type="pct"/>
            <w:vMerge/>
          </w:tcPr>
          <w:p w:rsidR="00E660F2" w:rsidRPr="0080038B" w:rsidRDefault="00E660F2" w:rsidP="008F0588">
            <w:pPr>
              <w:rPr>
                <w:rFonts w:eastAsia="Times New Roman"/>
                <w:snapToGrid w:val="0"/>
                <w:sz w:val="18"/>
                <w:szCs w:val="18"/>
              </w:rPr>
            </w:pPr>
          </w:p>
        </w:tc>
        <w:tc>
          <w:tcPr>
            <w:tcW w:w="637" w:type="pct"/>
            <w:vMerge w:val="restar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13</w:t>
            </w:r>
            <w:r>
              <w:rPr>
                <w:rFonts w:eastAsia="Times New Roman"/>
                <w:snapToGrid w:val="0"/>
                <w:sz w:val="18"/>
                <w:szCs w:val="18"/>
              </w:rPr>
              <w:t xml:space="preserve"> </w:t>
            </w:r>
            <w:r w:rsidRPr="0080038B">
              <w:rPr>
                <w:rFonts w:eastAsia="Times New Roman"/>
                <w:snapToGrid w:val="0"/>
                <w:sz w:val="18"/>
                <w:szCs w:val="18"/>
              </w:rPr>
              <w:t>week</w:t>
            </w:r>
          </w:p>
        </w:tc>
        <w:tc>
          <w:tcPr>
            <w:tcW w:w="559"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2.5</w:t>
            </w:r>
          </w:p>
        </w:tc>
        <w:tc>
          <w:tcPr>
            <w:tcW w:w="558" w:type="pct"/>
          </w:tcPr>
          <w:p w:rsidR="00E660F2" w:rsidRPr="0080038B" w:rsidRDefault="00E660F2" w:rsidP="008F0588">
            <w:pPr>
              <w:rPr>
                <w:rFonts w:eastAsia="Times New Roman"/>
                <w:snapToGrid w:val="0"/>
                <w:kern w:val="16"/>
                <w:sz w:val="18"/>
                <w:szCs w:val="18"/>
              </w:rPr>
            </w:pPr>
            <w:r w:rsidRPr="0080038B">
              <w:rPr>
                <w:rFonts w:eastAsia="Times New Roman"/>
                <w:snapToGrid w:val="0"/>
                <w:kern w:val="16"/>
                <w:sz w:val="18"/>
                <w:szCs w:val="18"/>
              </w:rPr>
              <w:t>84.2</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0.7</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57.4</w:t>
            </w:r>
          </w:p>
        </w:tc>
        <w:tc>
          <w:tcPr>
            <w:tcW w:w="47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0.4</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142</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0.5</w:t>
            </w:r>
          </w:p>
        </w:tc>
      </w:tr>
      <w:tr w:rsidR="00E660F2" w:rsidRPr="0080038B" w:rsidTr="008F0588">
        <w:trPr>
          <w:trHeight w:val="227"/>
        </w:trPr>
        <w:tc>
          <w:tcPr>
            <w:tcW w:w="698" w:type="pct"/>
            <w:vMerge/>
          </w:tcPr>
          <w:p w:rsidR="00E660F2" w:rsidRPr="0080038B" w:rsidRDefault="00E660F2" w:rsidP="008F0588">
            <w:pPr>
              <w:rPr>
                <w:rFonts w:eastAsia="Times New Roman"/>
                <w:snapToGrid w:val="0"/>
                <w:sz w:val="18"/>
                <w:szCs w:val="18"/>
              </w:rPr>
            </w:pPr>
          </w:p>
        </w:tc>
        <w:tc>
          <w:tcPr>
            <w:tcW w:w="637" w:type="pct"/>
            <w:vMerge/>
          </w:tcPr>
          <w:p w:rsidR="00E660F2" w:rsidRPr="0080038B" w:rsidRDefault="00E660F2" w:rsidP="008F0588">
            <w:pPr>
              <w:rPr>
                <w:rFonts w:eastAsia="Times New Roman"/>
                <w:snapToGrid w:val="0"/>
                <w:sz w:val="18"/>
                <w:szCs w:val="18"/>
              </w:rPr>
            </w:pPr>
          </w:p>
        </w:tc>
        <w:tc>
          <w:tcPr>
            <w:tcW w:w="559"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5</w:t>
            </w:r>
          </w:p>
        </w:tc>
        <w:tc>
          <w:tcPr>
            <w:tcW w:w="558" w:type="pct"/>
          </w:tcPr>
          <w:p w:rsidR="00E660F2" w:rsidRPr="0080038B" w:rsidRDefault="00E660F2" w:rsidP="008F0588">
            <w:pPr>
              <w:rPr>
                <w:rFonts w:eastAsia="Times New Roman"/>
                <w:snapToGrid w:val="0"/>
                <w:kern w:val="16"/>
                <w:sz w:val="18"/>
                <w:szCs w:val="18"/>
              </w:rPr>
            </w:pPr>
            <w:r w:rsidRPr="0080038B">
              <w:rPr>
                <w:rFonts w:eastAsia="Times New Roman"/>
                <w:snapToGrid w:val="0"/>
                <w:kern w:val="16"/>
                <w:sz w:val="18"/>
                <w:szCs w:val="18"/>
              </w:rPr>
              <w:t>202</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1.8</w:t>
            </w:r>
          </w:p>
        </w:tc>
        <w:tc>
          <w:tcPr>
            <w:tcW w:w="558" w:type="pct"/>
          </w:tcPr>
          <w:p w:rsidR="00E660F2" w:rsidRPr="0080038B" w:rsidRDefault="00E660F2" w:rsidP="008F0588">
            <w:pPr>
              <w:rPr>
                <w:rFonts w:eastAsia="Times New Roman"/>
                <w:snapToGrid w:val="0"/>
                <w:sz w:val="18"/>
                <w:szCs w:val="18"/>
              </w:rPr>
            </w:pPr>
            <w:r w:rsidRPr="0080038B">
              <w:rPr>
                <w:rFonts w:eastAsia="Times New Roman"/>
                <w:sz w:val="18"/>
                <w:szCs w:val="18"/>
              </w:rPr>
              <w:t>100</w:t>
            </w:r>
          </w:p>
        </w:tc>
        <w:tc>
          <w:tcPr>
            <w:tcW w:w="47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0.7</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302</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1.1</w:t>
            </w:r>
          </w:p>
        </w:tc>
      </w:tr>
      <w:tr w:rsidR="00E660F2" w:rsidRPr="0080038B" w:rsidTr="008F0588">
        <w:trPr>
          <w:trHeight w:val="227"/>
        </w:trPr>
        <w:tc>
          <w:tcPr>
            <w:tcW w:w="698" w:type="pct"/>
            <w:vMerge/>
          </w:tcPr>
          <w:p w:rsidR="00E660F2" w:rsidRPr="0080038B" w:rsidRDefault="00E660F2" w:rsidP="008F0588">
            <w:pPr>
              <w:rPr>
                <w:rFonts w:eastAsia="Times New Roman"/>
                <w:snapToGrid w:val="0"/>
                <w:sz w:val="18"/>
                <w:szCs w:val="18"/>
              </w:rPr>
            </w:pPr>
          </w:p>
        </w:tc>
        <w:tc>
          <w:tcPr>
            <w:tcW w:w="637" w:type="pct"/>
            <w:vMerge/>
          </w:tcPr>
          <w:p w:rsidR="00E660F2" w:rsidRPr="0080038B" w:rsidRDefault="00E660F2" w:rsidP="008F0588">
            <w:pPr>
              <w:rPr>
                <w:rFonts w:eastAsia="Times New Roman"/>
                <w:snapToGrid w:val="0"/>
                <w:sz w:val="18"/>
                <w:szCs w:val="18"/>
              </w:rPr>
            </w:pPr>
          </w:p>
        </w:tc>
        <w:tc>
          <w:tcPr>
            <w:tcW w:w="559"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10</w:t>
            </w:r>
          </w:p>
        </w:tc>
        <w:tc>
          <w:tcPr>
            <w:tcW w:w="558" w:type="pct"/>
          </w:tcPr>
          <w:p w:rsidR="00E660F2" w:rsidRPr="0080038B" w:rsidRDefault="00E660F2" w:rsidP="008F0588">
            <w:pPr>
              <w:rPr>
                <w:rFonts w:eastAsia="Times New Roman"/>
                <w:snapToGrid w:val="0"/>
                <w:kern w:val="16"/>
                <w:sz w:val="18"/>
                <w:szCs w:val="18"/>
              </w:rPr>
            </w:pPr>
            <w:r w:rsidRPr="0080038B">
              <w:rPr>
                <w:rFonts w:eastAsia="Times New Roman"/>
                <w:snapToGrid w:val="0"/>
                <w:kern w:val="16"/>
                <w:sz w:val="18"/>
                <w:szCs w:val="18"/>
              </w:rPr>
              <w:t>419</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3.6</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196</w:t>
            </w:r>
          </w:p>
        </w:tc>
        <w:tc>
          <w:tcPr>
            <w:tcW w:w="47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1.3</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615</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2.3</w:t>
            </w:r>
          </w:p>
        </w:tc>
      </w:tr>
      <w:tr w:rsidR="00E660F2" w:rsidRPr="0080038B" w:rsidTr="008F0588">
        <w:trPr>
          <w:trHeight w:val="227"/>
        </w:trPr>
        <w:tc>
          <w:tcPr>
            <w:tcW w:w="698" w:type="pct"/>
            <w:vMerge/>
          </w:tcPr>
          <w:p w:rsidR="00E660F2" w:rsidRPr="0080038B" w:rsidRDefault="00E660F2" w:rsidP="008F0588">
            <w:pPr>
              <w:rPr>
                <w:rFonts w:eastAsia="Times New Roman"/>
                <w:snapToGrid w:val="0"/>
                <w:sz w:val="18"/>
                <w:szCs w:val="18"/>
              </w:rPr>
            </w:pPr>
          </w:p>
        </w:tc>
        <w:tc>
          <w:tcPr>
            <w:tcW w:w="637" w:type="pct"/>
            <w:vMerge w:val="restar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39</w:t>
            </w:r>
            <w:r>
              <w:rPr>
                <w:rFonts w:eastAsia="Times New Roman"/>
                <w:snapToGrid w:val="0"/>
                <w:sz w:val="18"/>
                <w:szCs w:val="18"/>
              </w:rPr>
              <w:t xml:space="preserve"> </w:t>
            </w:r>
            <w:r w:rsidRPr="0080038B">
              <w:rPr>
                <w:rFonts w:eastAsia="Times New Roman"/>
                <w:snapToGrid w:val="0"/>
                <w:sz w:val="18"/>
                <w:szCs w:val="18"/>
              </w:rPr>
              <w:t>week</w:t>
            </w:r>
          </w:p>
        </w:tc>
        <w:tc>
          <w:tcPr>
            <w:tcW w:w="559"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2.5</w:t>
            </w:r>
          </w:p>
        </w:tc>
        <w:tc>
          <w:tcPr>
            <w:tcW w:w="558" w:type="pct"/>
          </w:tcPr>
          <w:p w:rsidR="00E660F2" w:rsidRPr="0080038B" w:rsidRDefault="00E660F2" w:rsidP="008F0588">
            <w:pPr>
              <w:rPr>
                <w:rFonts w:eastAsia="Times New Roman"/>
                <w:snapToGrid w:val="0"/>
                <w:kern w:val="16"/>
                <w:sz w:val="18"/>
                <w:szCs w:val="18"/>
              </w:rPr>
            </w:pPr>
            <w:r w:rsidRPr="0080038B">
              <w:rPr>
                <w:rFonts w:eastAsia="Times New Roman"/>
                <w:snapToGrid w:val="0"/>
                <w:kern w:val="16"/>
                <w:sz w:val="18"/>
                <w:szCs w:val="18"/>
              </w:rPr>
              <w:t>86.6</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0.8</w:t>
            </w:r>
          </w:p>
        </w:tc>
        <w:tc>
          <w:tcPr>
            <w:tcW w:w="558" w:type="pct"/>
          </w:tcPr>
          <w:p w:rsidR="00E660F2" w:rsidRPr="0080038B" w:rsidRDefault="00E660F2" w:rsidP="008F0588">
            <w:pPr>
              <w:rPr>
                <w:rFonts w:eastAsia="Times New Roman"/>
                <w:snapToGrid w:val="0"/>
                <w:kern w:val="16"/>
                <w:sz w:val="18"/>
                <w:szCs w:val="18"/>
              </w:rPr>
            </w:pPr>
            <w:r w:rsidRPr="0080038B">
              <w:rPr>
                <w:rFonts w:eastAsia="Times New Roman"/>
                <w:snapToGrid w:val="0"/>
                <w:kern w:val="16"/>
                <w:sz w:val="18"/>
                <w:szCs w:val="18"/>
              </w:rPr>
              <w:t>69.7</w:t>
            </w:r>
          </w:p>
        </w:tc>
        <w:tc>
          <w:tcPr>
            <w:tcW w:w="47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0.5</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157</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0.6</w:t>
            </w:r>
          </w:p>
        </w:tc>
      </w:tr>
      <w:tr w:rsidR="00E660F2" w:rsidRPr="0080038B" w:rsidTr="008F0588">
        <w:trPr>
          <w:trHeight w:val="227"/>
        </w:trPr>
        <w:tc>
          <w:tcPr>
            <w:tcW w:w="698" w:type="pct"/>
            <w:vMerge/>
          </w:tcPr>
          <w:p w:rsidR="00E660F2" w:rsidRPr="0080038B" w:rsidRDefault="00E660F2" w:rsidP="008F0588">
            <w:pPr>
              <w:rPr>
                <w:rFonts w:eastAsia="Times New Roman"/>
                <w:snapToGrid w:val="0"/>
                <w:sz w:val="18"/>
                <w:szCs w:val="18"/>
              </w:rPr>
            </w:pPr>
          </w:p>
        </w:tc>
        <w:tc>
          <w:tcPr>
            <w:tcW w:w="637" w:type="pct"/>
            <w:vMerge/>
          </w:tcPr>
          <w:p w:rsidR="00E660F2" w:rsidRPr="0080038B" w:rsidRDefault="00E660F2" w:rsidP="008F0588">
            <w:pPr>
              <w:rPr>
                <w:rFonts w:eastAsia="Times New Roman"/>
                <w:snapToGrid w:val="0"/>
                <w:sz w:val="18"/>
                <w:szCs w:val="18"/>
              </w:rPr>
            </w:pPr>
          </w:p>
        </w:tc>
        <w:tc>
          <w:tcPr>
            <w:tcW w:w="559"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5</w:t>
            </w:r>
          </w:p>
        </w:tc>
        <w:tc>
          <w:tcPr>
            <w:tcW w:w="558" w:type="pct"/>
          </w:tcPr>
          <w:p w:rsidR="00E660F2" w:rsidRPr="0080038B" w:rsidRDefault="00E660F2" w:rsidP="008F0588">
            <w:pPr>
              <w:rPr>
                <w:rFonts w:eastAsia="Times New Roman"/>
                <w:snapToGrid w:val="0"/>
                <w:kern w:val="16"/>
                <w:sz w:val="18"/>
                <w:szCs w:val="18"/>
              </w:rPr>
            </w:pPr>
            <w:r w:rsidRPr="0080038B">
              <w:rPr>
                <w:rFonts w:eastAsia="Times New Roman"/>
                <w:snapToGrid w:val="0"/>
                <w:kern w:val="16"/>
                <w:sz w:val="18"/>
                <w:szCs w:val="18"/>
              </w:rPr>
              <w:t>197</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1.7</w:t>
            </w:r>
          </w:p>
        </w:tc>
        <w:tc>
          <w:tcPr>
            <w:tcW w:w="558" w:type="pct"/>
          </w:tcPr>
          <w:p w:rsidR="00E660F2" w:rsidRPr="0080038B" w:rsidRDefault="00E660F2" w:rsidP="008F0588">
            <w:pPr>
              <w:rPr>
                <w:rFonts w:eastAsia="Times New Roman"/>
                <w:snapToGrid w:val="0"/>
                <w:kern w:val="16"/>
                <w:sz w:val="18"/>
                <w:szCs w:val="18"/>
              </w:rPr>
            </w:pPr>
            <w:r w:rsidRPr="0080038B">
              <w:rPr>
                <w:rFonts w:eastAsia="Times New Roman"/>
                <w:snapToGrid w:val="0"/>
                <w:kern w:val="16"/>
                <w:sz w:val="18"/>
                <w:szCs w:val="18"/>
              </w:rPr>
              <w:t>116</w:t>
            </w:r>
          </w:p>
        </w:tc>
        <w:tc>
          <w:tcPr>
            <w:tcW w:w="47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0.8</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313</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1.2</w:t>
            </w:r>
          </w:p>
        </w:tc>
      </w:tr>
      <w:tr w:rsidR="00E660F2" w:rsidRPr="0080038B" w:rsidTr="008F0588">
        <w:trPr>
          <w:trHeight w:val="227"/>
        </w:trPr>
        <w:tc>
          <w:tcPr>
            <w:tcW w:w="698" w:type="pct"/>
            <w:vMerge/>
          </w:tcPr>
          <w:p w:rsidR="00E660F2" w:rsidRPr="0080038B" w:rsidRDefault="00E660F2" w:rsidP="008F0588">
            <w:pPr>
              <w:rPr>
                <w:rFonts w:eastAsia="Times New Roman"/>
                <w:snapToGrid w:val="0"/>
                <w:sz w:val="18"/>
                <w:szCs w:val="18"/>
              </w:rPr>
            </w:pPr>
          </w:p>
        </w:tc>
        <w:tc>
          <w:tcPr>
            <w:tcW w:w="637" w:type="pct"/>
            <w:vMerge/>
          </w:tcPr>
          <w:p w:rsidR="00E660F2" w:rsidRPr="0080038B" w:rsidRDefault="00E660F2" w:rsidP="008F0588">
            <w:pPr>
              <w:rPr>
                <w:rFonts w:eastAsia="Times New Roman"/>
                <w:snapToGrid w:val="0"/>
                <w:sz w:val="18"/>
                <w:szCs w:val="18"/>
              </w:rPr>
            </w:pPr>
          </w:p>
        </w:tc>
        <w:tc>
          <w:tcPr>
            <w:tcW w:w="559"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10</w:t>
            </w:r>
          </w:p>
        </w:tc>
        <w:tc>
          <w:tcPr>
            <w:tcW w:w="558" w:type="pct"/>
          </w:tcPr>
          <w:p w:rsidR="00E660F2" w:rsidRPr="0080038B" w:rsidRDefault="00E660F2" w:rsidP="008F0588">
            <w:pPr>
              <w:rPr>
                <w:rFonts w:eastAsia="Times New Roman"/>
                <w:snapToGrid w:val="0"/>
                <w:kern w:val="16"/>
                <w:sz w:val="18"/>
                <w:szCs w:val="18"/>
              </w:rPr>
            </w:pPr>
            <w:r w:rsidRPr="0080038B">
              <w:rPr>
                <w:rFonts w:eastAsia="Times New Roman"/>
                <w:snapToGrid w:val="0"/>
                <w:kern w:val="16"/>
                <w:sz w:val="18"/>
                <w:szCs w:val="18"/>
              </w:rPr>
              <w:t>427</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3.7</w:t>
            </w:r>
          </w:p>
        </w:tc>
        <w:tc>
          <w:tcPr>
            <w:tcW w:w="558" w:type="pct"/>
          </w:tcPr>
          <w:p w:rsidR="00E660F2" w:rsidRPr="0080038B" w:rsidRDefault="00E660F2" w:rsidP="008F0588">
            <w:pPr>
              <w:rPr>
                <w:rFonts w:eastAsia="Times New Roman"/>
                <w:snapToGrid w:val="0"/>
                <w:kern w:val="16"/>
                <w:sz w:val="18"/>
                <w:szCs w:val="18"/>
              </w:rPr>
            </w:pPr>
            <w:r w:rsidRPr="0080038B">
              <w:rPr>
                <w:rFonts w:eastAsia="Times New Roman"/>
                <w:snapToGrid w:val="0"/>
                <w:kern w:val="16"/>
                <w:sz w:val="18"/>
                <w:szCs w:val="18"/>
              </w:rPr>
              <w:t>189</w:t>
            </w:r>
          </w:p>
        </w:tc>
        <w:tc>
          <w:tcPr>
            <w:tcW w:w="47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1.2</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616</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2.3</w:t>
            </w:r>
          </w:p>
        </w:tc>
      </w:tr>
      <w:tr w:rsidR="00E660F2" w:rsidRPr="0080038B" w:rsidTr="008F0588">
        <w:trPr>
          <w:trHeight w:val="227"/>
        </w:trPr>
        <w:tc>
          <w:tcPr>
            <w:tcW w:w="698" w:type="pct"/>
            <w:vMerge w:val="restar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Females</w:t>
            </w:r>
          </w:p>
        </w:tc>
        <w:tc>
          <w:tcPr>
            <w:tcW w:w="637" w:type="pct"/>
            <w:vMerge w:val="restar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13 week</w:t>
            </w:r>
          </w:p>
        </w:tc>
        <w:tc>
          <w:tcPr>
            <w:tcW w:w="559"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2.5</w:t>
            </w:r>
          </w:p>
        </w:tc>
        <w:tc>
          <w:tcPr>
            <w:tcW w:w="558" w:type="pct"/>
          </w:tcPr>
          <w:p w:rsidR="00E660F2" w:rsidRPr="0080038B" w:rsidRDefault="00E660F2" w:rsidP="008F0588">
            <w:pPr>
              <w:rPr>
                <w:rFonts w:eastAsia="Times New Roman"/>
                <w:snapToGrid w:val="0"/>
                <w:kern w:val="16"/>
                <w:sz w:val="18"/>
                <w:szCs w:val="18"/>
              </w:rPr>
            </w:pPr>
            <w:r w:rsidRPr="0080038B">
              <w:rPr>
                <w:rFonts w:eastAsia="Times New Roman"/>
                <w:snapToGrid w:val="0"/>
                <w:kern w:val="16"/>
                <w:sz w:val="18"/>
                <w:szCs w:val="18"/>
              </w:rPr>
              <w:t>79.8</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0.7</w:t>
            </w:r>
          </w:p>
        </w:tc>
        <w:tc>
          <w:tcPr>
            <w:tcW w:w="558" w:type="pct"/>
          </w:tcPr>
          <w:p w:rsidR="00E660F2" w:rsidRPr="0080038B" w:rsidRDefault="00E660F2" w:rsidP="008F0588">
            <w:pPr>
              <w:rPr>
                <w:rFonts w:eastAsia="Times New Roman"/>
                <w:snapToGrid w:val="0"/>
                <w:kern w:val="16"/>
                <w:sz w:val="18"/>
                <w:szCs w:val="18"/>
              </w:rPr>
            </w:pPr>
            <w:r w:rsidRPr="0080038B">
              <w:rPr>
                <w:rFonts w:eastAsia="Times New Roman"/>
                <w:snapToGrid w:val="0"/>
                <w:kern w:val="16"/>
                <w:sz w:val="18"/>
                <w:szCs w:val="18"/>
              </w:rPr>
              <w:t>63.2</w:t>
            </w:r>
          </w:p>
        </w:tc>
        <w:tc>
          <w:tcPr>
            <w:tcW w:w="47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0.4</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143</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0.5</w:t>
            </w:r>
          </w:p>
        </w:tc>
      </w:tr>
      <w:tr w:rsidR="00E660F2" w:rsidRPr="0080038B" w:rsidTr="008F0588">
        <w:trPr>
          <w:trHeight w:val="32"/>
        </w:trPr>
        <w:tc>
          <w:tcPr>
            <w:tcW w:w="698" w:type="pct"/>
            <w:vMerge/>
          </w:tcPr>
          <w:p w:rsidR="00E660F2" w:rsidRPr="0080038B" w:rsidRDefault="00E660F2" w:rsidP="008F0588">
            <w:pPr>
              <w:rPr>
                <w:rFonts w:eastAsia="Times New Roman"/>
                <w:snapToGrid w:val="0"/>
                <w:sz w:val="18"/>
                <w:szCs w:val="18"/>
              </w:rPr>
            </w:pPr>
          </w:p>
        </w:tc>
        <w:tc>
          <w:tcPr>
            <w:tcW w:w="637" w:type="pct"/>
            <w:vMerge/>
          </w:tcPr>
          <w:p w:rsidR="00E660F2" w:rsidRPr="0080038B" w:rsidRDefault="00E660F2" w:rsidP="008F0588">
            <w:pPr>
              <w:rPr>
                <w:rFonts w:eastAsia="Times New Roman"/>
                <w:snapToGrid w:val="0"/>
                <w:sz w:val="18"/>
                <w:szCs w:val="18"/>
              </w:rPr>
            </w:pPr>
          </w:p>
        </w:tc>
        <w:tc>
          <w:tcPr>
            <w:tcW w:w="559"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5</w:t>
            </w:r>
          </w:p>
        </w:tc>
        <w:tc>
          <w:tcPr>
            <w:tcW w:w="558" w:type="pct"/>
          </w:tcPr>
          <w:p w:rsidR="00E660F2" w:rsidRPr="0080038B" w:rsidRDefault="00E660F2" w:rsidP="008F0588">
            <w:pPr>
              <w:rPr>
                <w:rFonts w:eastAsia="Times New Roman"/>
                <w:snapToGrid w:val="0"/>
                <w:kern w:val="16"/>
                <w:sz w:val="18"/>
                <w:szCs w:val="18"/>
              </w:rPr>
            </w:pPr>
            <w:r w:rsidRPr="0080038B">
              <w:rPr>
                <w:rFonts w:eastAsia="Times New Roman"/>
                <w:snapToGrid w:val="0"/>
                <w:kern w:val="16"/>
                <w:sz w:val="18"/>
                <w:szCs w:val="18"/>
              </w:rPr>
              <w:t>192</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1.7</w:t>
            </w:r>
          </w:p>
        </w:tc>
        <w:tc>
          <w:tcPr>
            <w:tcW w:w="558" w:type="pct"/>
          </w:tcPr>
          <w:p w:rsidR="00E660F2" w:rsidRPr="0080038B" w:rsidRDefault="00E660F2" w:rsidP="008F0588">
            <w:pPr>
              <w:rPr>
                <w:rFonts w:eastAsia="Times New Roman"/>
                <w:snapToGrid w:val="0"/>
                <w:kern w:val="16"/>
                <w:sz w:val="18"/>
                <w:szCs w:val="18"/>
              </w:rPr>
            </w:pPr>
            <w:r w:rsidRPr="0080038B">
              <w:rPr>
                <w:rFonts w:eastAsia="Times New Roman"/>
                <w:snapToGrid w:val="0"/>
                <w:kern w:val="16"/>
                <w:sz w:val="18"/>
                <w:szCs w:val="18"/>
              </w:rPr>
              <w:t>112</w:t>
            </w:r>
          </w:p>
        </w:tc>
        <w:tc>
          <w:tcPr>
            <w:tcW w:w="47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0.7</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304</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1.1</w:t>
            </w:r>
          </w:p>
        </w:tc>
      </w:tr>
      <w:tr w:rsidR="00E660F2" w:rsidRPr="0080038B" w:rsidTr="008F0588">
        <w:trPr>
          <w:trHeight w:val="227"/>
        </w:trPr>
        <w:tc>
          <w:tcPr>
            <w:tcW w:w="698" w:type="pct"/>
            <w:vMerge/>
          </w:tcPr>
          <w:p w:rsidR="00E660F2" w:rsidRPr="0080038B" w:rsidRDefault="00E660F2" w:rsidP="008F0588">
            <w:pPr>
              <w:rPr>
                <w:rFonts w:eastAsia="Times New Roman"/>
                <w:snapToGrid w:val="0"/>
                <w:sz w:val="18"/>
                <w:szCs w:val="18"/>
              </w:rPr>
            </w:pPr>
          </w:p>
        </w:tc>
        <w:tc>
          <w:tcPr>
            <w:tcW w:w="637" w:type="pct"/>
            <w:vMerge/>
          </w:tcPr>
          <w:p w:rsidR="00E660F2" w:rsidRPr="0080038B" w:rsidRDefault="00E660F2" w:rsidP="008F0588">
            <w:pPr>
              <w:rPr>
                <w:rFonts w:eastAsia="Times New Roman"/>
                <w:snapToGrid w:val="0"/>
                <w:sz w:val="18"/>
                <w:szCs w:val="18"/>
              </w:rPr>
            </w:pPr>
          </w:p>
        </w:tc>
        <w:tc>
          <w:tcPr>
            <w:tcW w:w="559"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10</w:t>
            </w:r>
          </w:p>
        </w:tc>
        <w:tc>
          <w:tcPr>
            <w:tcW w:w="558" w:type="pct"/>
          </w:tcPr>
          <w:p w:rsidR="00E660F2" w:rsidRPr="0080038B" w:rsidRDefault="00E660F2" w:rsidP="008F0588">
            <w:pPr>
              <w:rPr>
                <w:rFonts w:eastAsia="Times New Roman"/>
                <w:snapToGrid w:val="0"/>
                <w:kern w:val="16"/>
                <w:sz w:val="18"/>
                <w:szCs w:val="18"/>
              </w:rPr>
            </w:pPr>
            <w:r w:rsidRPr="0080038B">
              <w:rPr>
                <w:rFonts w:eastAsia="Times New Roman"/>
                <w:snapToGrid w:val="0"/>
                <w:kern w:val="16"/>
                <w:sz w:val="18"/>
                <w:szCs w:val="18"/>
              </w:rPr>
              <w:t>385</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3.3</w:t>
            </w:r>
          </w:p>
        </w:tc>
        <w:tc>
          <w:tcPr>
            <w:tcW w:w="558" w:type="pct"/>
          </w:tcPr>
          <w:p w:rsidR="00E660F2" w:rsidRPr="0080038B" w:rsidRDefault="00E660F2" w:rsidP="008F0588">
            <w:pPr>
              <w:rPr>
                <w:rFonts w:eastAsia="Times New Roman"/>
                <w:snapToGrid w:val="0"/>
                <w:kern w:val="16"/>
                <w:sz w:val="18"/>
                <w:szCs w:val="18"/>
              </w:rPr>
            </w:pPr>
            <w:r w:rsidRPr="0080038B">
              <w:rPr>
                <w:rFonts w:eastAsia="Times New Roman"/>
                <w:snapToGrid w:val="0"/>
                <w:kern w:val="16"/>
                <w:sz w:val="18"/>
                <w:szCs w:val="18"/>
              </w:rPr>
              <w:t>206</w:t>
            </w:r>
          </w:p>
        </w:tc>
        <w:tc>
          <w:tcPr>
            <w:tcW w:w="47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1.4</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591</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2.2</w:t>
            </w:r>
          </w:p>
        </w:tc>
      </w:tr>
      <w:tr w:rsidR="00E660F2" w:rsidRPr="0080038B" w:rsidTr="008F0588">
        <w:trPr>
          <w:trHeight w:val="227"/>
        </w:trPr>
        <w:tc>
          <w:tcPr>
            <w:tcW w:w="69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Human</w:t>
            </w:r>
            <w:r>
              <w:rPr>
                <w:rFonts w:eastAsia="Times New Roman"/>
                <w:snapToGrid w:val="0"/>
                <w:sz w:val="18"/>
                <w:szCs w:val="18"/>
              </w:rPr>
              <w:t xml:space="preserve"> </w:t>
            </w:r>
            <w:r w:rsidRPr="0080038B">
              <w:rPr>
                <w:rFonts w:eastAsia="Times New Roman"/>
                <w:snapToGrid w:val="0"/>
                <w:kern w:val="16"/>
                <w:sz w:val="18"/>
                <w:szCs w:val="18"/>
              </w:rPr>
              <w:t>NM-CRPC patients</w:t>
            </w:r>
          </w:p>
        </w:tc>
        <w:tc>
          <w:tcPr>
            <w:tcW w:w="63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steady state</w:t>
            </w:r>
            <w:bookmarkStart w:id="76" w:name="_Ref515972673"/>
            <w:r w:rsidRPr="0080038B">
              <w:rPr>
                <w:rStyle w:val="FootnoteReference"/>
                <w:rFonts w:eastAsia="Times New Roman"/>
                <w:snapToGrid w:val="0"/>
                <w:kern w:val="2"/>
                <w:sz w:val="18"/>
                <w:szCs w:val="18"/>
              </w:rPr>
              <w:footnoteReference w:id="21"/>
            </w:r>
            <w:bookmarkEnd w:id="76"/>
          </w:p>
        </w:tc>
        <w:tc>
          <w:tcPr>
            <w:tcW w:w="559"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[240 mg]</w:t>
            </w:r>
          </w:p>
        </w:tc>
        <w:tc>
          <w:tcPr>
            <w:tcW w:w="558" w:type="pct"/>
          </w:tcPr>
          <w:p w:rsidR="00E660F2" w:rsidRPr="0080038B" w:rsidRDefault="00E660F2" w:rsidP="008F0588">
            <w:pPr>
              <w:rPr>
                <w:rFonts w:eastAsia="Times New Roman"/>
                <w:snapToGrid w:val="0"/>
                <w:sz w:val="18"/>
                <w:szCs w:val="18"/>
              </w:rPr>
            </w:pPr>
            <w:r w:rsidRPr="0080038B">
              <w:rPr>
                <w:sz w:val="18"/>
                <w:szCs w:val="18"/>
              </w:rPr>
              <w:t xml:space="preserve">115 </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w:t>
            </w:r>
          </w:p>
        </w:tc>
        <w:tc>
          <w:tcPr>
            <w:tcW w:w="558" w:type="pct"/>
          </w:tcPr>
          <w:p w:rsidR="00E660F2" w:rsidRPr="0080038B" w:rsidRDefault="00E660F2" w:rsidP="008F0588">
            <w:pPr>
              <w:rPr>
                <w:rFonts w:eastAsia="Times New Roman"/>
                <w:snapToGrid w:val="0"/>
                <w:sz w:val="18"/>
                <w:szCs w:val="18"/>
              </w:rPr>
            </w:pPr>
            <w:r w:rsidRPr="0080038B">
              <w:rPr>
                <w:sz w:val="18"/>
                <w:szCs w:val="18"/>
              </w:rPr>
              <w:t xml:space="preserve">152 </w:t>
            </w:r>
          </w:p>
        </w:tc>
        <w:tc>
          <w:tcPr>
            <w:tcW w:w="47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w:t>
            </w:r>
          </w:p>
        </w:tc>
        <w:tc>
          <w:tcPr>
            <w:tcW w:w="558"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267</w:t>
            </w:r>
          </w:p>
        </w:tc>
        <w:tc>
          <w:tcPr>
            <w:tcW w:w="477" w:type="pct"/>
          </w:tcPr>
          <w:p w:rsidR="00E660F2" w:rsidRPr="0080038B" w:rsidRDefault="00E660F2" w:rsidP="008F0588">
            <w:pPr>
              <w:rPr>
                <w:rFonts w:eastAsia="Times New Roman"/>
                <w:snapToGrid w:val="0"/>
                <w:sz w:val="18"/>
                <w:szCs w:val="18"/>
              </w:rPr>
            </w:pPr>
            <w:r w:rsidRPr="0080038B">
              <w:rPr>
                <w:rFonts w:eastAsia="Times New Roman"/>
                <w:snapToGrid w:val="0"/>
                <w:sz w:val="18"/>
                <w:szCs w:val="18"/>
              </w:rPr>
              <w:t>–</w:t>
            </w:r>
          </w:p>
        </w:tc>
      </w:tr>
    </w:tbl>
    <w:p w:rsidR="00E660F2" w:rsidRPr="00DE680B" w:rsidRDefault="00E660F2" w:rsidP="00E660F2">
      <w:pPr>
        <w:pStyle w:val="TableDescription"/>
      </w:pPr>
      <w:r w:rsidRPr="00DE680B">
        <w:t>‒ = not determined; NA: No data. a: = Animal:</w:t>
      </w:r>
      <w:r>
        <w:t xml:space="preserve"> </w:t>
      </w:r>
      <w:r w:rsidRPr="00DE680B">
        <w:t>Human plasma AUC</w:t>
      </w:r>
      <w:r w:rsidRPr="003B7590">
        <w:rPr>
          <w:vertAlign w:val="subscript"/>
        </w:rPr>
        <w:t>0–24 h</w:t>
      </w:r>
      <w:r w:rsidRPr="00DE680B">
        <w:t xml:space="preserve"> b: High dose animals sacrificed on </w:t>
      </w:r>
      <w:r>
        <w:t>D</w:t>
      </w:r>
      <w:r w:rsidRPr="00DE680B">
        <w:t xml:space="preserve">ay 3 </w:t>
      </w:r>
      <w:r>
        <w:t>and</w:t>
      </w:r>
      <w:r w:rsidRPr="00DE680B">
        <w:t xml:space="preserve"> 4 c: High dose animals were sacrificed on Day 9 or not dosed from </w:t>
      </w:r>
      <w:r>
        <w:t>D</w:t>
      </w:r>
      <w:r w:rsidRPr="00DE680B">
        <w:t>ay 9 d: Data from Study VUM00004 and TOX11086.</w:t>
      </w:r>
    </w:p>
    <w:p w:rsidR="00E660F2" w:rsidRPr="00DE680B" w:rsidRDefault="00E660F2" w:rsidP="00E660F2">
      <w:pPr>
        <w:pStyle w:val="Heading5"/>
      </w:pPr>
      <w:r w:rsidRPr="00A532D3">
        <w:t>Major toxicities</w:t>
      </w:r>
    </w:p>
    <w:p w:rsidR="00E660F2" w:rsidRPr="00A532D3" w:rsidRDefault="00E660F2" w:rsidP="00E660F2">
      <w:pPr>
        <w:rPr>
          <w:rFonts w:eastAsia="Times New Roman"/>
          <w:snapToGrid w:val="0"/>
          <w:kern w:val="16"/>
          <w:szCs w:val="24"/>
        </w:rPr>
      </w:pPr>
      <w:r w:rsidRPr="00A532D3">
        <w:rPr>
          <w:rFonts w:eastAsia="Times New Roman"/>
          <w:snapToGrid w:val="0"/>
          <w:kern w:val="16"/>
          <w:szCs w:val="24"/>
        </w:rPr>
        <w:t>The majority of the toxicities observed with apalutamide were consistent with the pharmacological action of the drug, with effects on the reproductive organs</w:t>
      </w:r>
      <w:r>
        <w:rPr>
          <w:rFonts w:eastAsia="Times New Roman"/>
          <w:snapToGrid w:val="0"/>
          <w:kern w:val="16"/>
          <w:szCs w:val="24"/>
        </w:rPr>
        <w:t>,</w:t>
      </w:r>
      <w:r w:rsidRPr="00A532D3">
        <w:rPr>
          <w:rFonts w:eastAsia="Times New Roman"/>
          <w:snapToGrid w:val="0"/>
          <w:kern w:val="16"/>
          <w:szCs w:val="24"/>
        </w:rPr>
        <w:t xml:space="preserve"> </w:t>
      </w:r>
      <w:r>
        <w:rPr>
          <w:rFonts w:eastAsia="Times New Roman"/>
          <w:snapToGrid w:val="0"/>
          <w:kern w:val="16"/>
          <w:szCs w:val="24"/>
        </w:rPr>
        <w:t xml:space="preserve">mammary gland, </w:t>
      </w:r>
      <w:r w:rsidRPr="00A532D3">
        <w:rPr>
          <w:rFonts w:eastAsia="Times New Roman"/>
          <w:snapToGrid w:val="0"/>
          <w:kern w:val="16"/>
          <w:szCs w:val="24"/>
        </w:rPr>
        <w:t>pituitary gla</w:t>
      </w:r>
      <w:r>
        <w:rPr>
          <w:rFonts w:eastAsia="Times New Roman"/>
          <w:snapToGrid w:val="0"/>
          <w:kern w:val="16"/>
          <w:szCs w:val="24"/>
        </w:rPr>
        <w:t>nd a</w:t>
      </w:r>
      <w:r w:rsidRPr="00A532D3">
        <w:rPr>
          <w:rFonts w:eastAsia="Times New Roman"/>
          <w:snapToGrid w:val="0"/>
          <w:kern w:val="16"/>
          <w:szCs w:val="24"/>
        </w:rPr>
        <w:t xml:space="preserve">nd adrenal gland. Other target organs included CNS (discussed under </w:t>
      </w:r>
      <w:r w:rsidRPr="00A532D3">
        <w:rPr>
          <w:rFonts w:eastAsia="Times New Roman"/>
          <w:i/>
          <w:snapToGrid w:val="0"/>
          <w:kern w:val="16"/>
          <w:szCs w:val="24"/>
        </w:rPr>
        <w:t xml:space="preserve">Safety Pharmacology </w:t>
      </w:r>
      <w:r w:rsidRPr="00A532D3">
        <w:rPr>
          <w:rFonts w:eastAsia="Times New Roman"/>
          <w:snapToGrid w:val="0"/>
          <w:kern w:val="16"/>
          <w:szCs w:val="24"/>
        </w:rPr>
        <w:t xml:space="preserve">above), thymus, </w:t>
      </w:r>
      <w:r>
        <w:rPr>
          <w:rFonts w:eastAsia="Times New Roman"/>
          <w:snapToGrid w:val="0"/>
          <w:kern w:val="16"/>
          <w:szCs w:val="24"/>
        </w:rPr>
        <w:t>red blood cells (</w:t>
      </w:r>
      <w:r w:rsidRPr="00A532D3">
        <w:rPr>
          <w:rFonts w:eastAsia="Times New Roman"/>
          <w:snapToGrid w:val="0"/>
          <w:kern w:val="16"/>
          <w:szCs w:val="24"/>
        </w:rPr>
        <w:t>RBC</w:t>
      </w:r>
      <w:r>
        <w:rPr>
          <w:rFonts w:eastAsia="Times New Roman"/>
          <w:snapToGrid w:val="0"/>
          <w:kern w:val="16"/>
          <w:szCs w:val="24"/>
        </w:rPr>
        <w:t>)</w:t>
      </w:r>
      <w:r w:rsidRPr="00A532D3">
        <w:rPr>
          <w:rFonts w:eastAsia="Times New Roman"/>
          <w:snapToGrid w:val="0"/>
          <w:kern w:val="16"/>
          <w:szCs w:val="24"/>
        </w:rPr>
        <w:t xml:space="preserve"> and </w:t>
      </w:r>
      <w:r>
        <w:rPr>
          <w:rFonts w:eastAsia="Times New Roman"/>
          <w:snapToGrid w:val="0"/>
          <w:kern w:val="16"/>
          <w:szCs w:val="24"/>
        </w:rPr>
        <w:t>white blood cells (</w:t>
      </w:r>
      <w:r w:rsidRPr="00A532D3">
        <w:rPr>
          <w:rFonts w:eastAsia="Times New Roman"/>
          <w:snapToGrid w:val="0"/>
          <w:kern w:val="16"/>
          <w:szCs w:val="24"/>
        </w:rPr>
        <w:t>WBC</w:t>
      </w:r>
      <w:r>
        <w:rPr>
          <w:rFonts w:eastAsia="Times New Roman"/>
          <w:snapToGrid w:val="0"/>
          <w:kern w:val="16"/>
          <w:szCs w:val="24"/>
        </w:rPr>
        <w:t>)</w:t>
      </w:r>
      <w:r w:rsidRPr="00A532D3">
        <w:rPr>
          <w:rFonts w:eastAsia="Times New Roman"/>
          <w:snapToGrid w:val="0"/>
          <w:kern w:val="16"/>
          <w:szCs w:val="24"/>
        </w:rPr>
        <w:t>, liver and thyroid gland. All toxicity findings were fully or partially reversible within 30 to 60 days in both rats and dogs. Reversibility of liver findings in dogs was not assessed.</w:t>
      </w:r>
    </w:p>
    <w:p w:rsidR="00E660F2" w:rsidRPr="00A532D3" w:rsidRDefault="00E660F2" w:rsidP="00E660F2">
      <w:pPr>
        <w:pStyle w:val="Heading6"/>
        <w:rPr>
          <w:snapToGrid w:val="0"/>
        </w:rPr>
      </w:pPr>
      <w:r w:rsidRPr="00A532D3">
        <w:rPr>
          <w:snapToGrid w:val="0"/>
        </w:rPr>
        <w:t>Findings associated with pharmacological action</w:t>
      </w:r>
    </w:p>
    <w:p w:rsidR="00E660F2" w:rsidRPr="00A532D3" w:rsidRDefault="00E660F2" w:rsidP="00E660F2">
      <w:pPr>
        <w:rPr>
          <w:snapToGrid w:val="0"/>
        </w:rPr>
      </w:pPr>
      <w:r w:rsidRPr="00A532D3">
        <w:rPr>
          <w:i/>
          <w:snapToGrid w:val="0"/>
        </w:rPr>
        <w:t>Reproductive organs</w:t>
      </w:r>
      <w:r>
        <w:rPr>
          <w:i/>
          <w:snapToGrid w:val="0"/>
        </w:rPr>
        <w:t>:</w:t>
      </w:r>
      <w:r>
        <w:rPr>
          <w:snapToGrid w:val="0"/>
        </w:rPr>
        <w:t xml:space="preserve"> </w:t>
      </w:r>
      <w:r w:rsidRPr="00A532D3">
        <w:rPr>
          <w:snapToGrid w:val="0"/>
        </w:rPr>
        <w:t>Anti-androgenic (pharmacological) effects of apalutamide were seen at all doses in rats and dogs. Findings included atrophy of all male reproductive organs (testes, epididymides, prostate and seminal vesicles) characterised by decreased organ weights, aspermia/ hypospermia of epididymides and testes, and seminiferous tubule degeneration in testes, and interstitial (Leydig) cell hyperplasia (rats)/ hypertrophy (dogs) of the testes. Apoptosis of epithelial cells of epididymides and seminal vesicles, prostate acinar cells and mammary gland was observed in rats at high doses (250</w:t>
      </w:r>
      <w:r>
        <w:rPr>
          <w:snapToGrid w:val="0"/>
        </w:rPr>
        <w:t> </w:t>
      </w:r>
      <w:r w:rsidRPr="00A532D3">
        <w:rPr>
          <w:snapToGrid w:val="0"/>
        </w:rPr>
        <w:t xml:space="preserve">mg/kg/day). Leydig cell adenoma was observed in rats after long term dosing (26 weeks) at ≥ 75 mg/kg/day. </w:t>
      </w:r>
      <w:r>
        <w:rPr>
          <w:snapToGrid w:val="0"/>
        </w:rPr>
        <w:t xml:space="preserve">Leydig cell hyperplasia and adenoma were also observed in rats dosed with bicalutamide. </w:t>
      </w:r>
      <w:r w:rsidRPr="008E3715">
        <w:rPr>
          <w:snapToGrid w:val="0"/>
        </w:rPr>
        <w:t>Leydig</w:t>
      </w:r>
      <w:r>
        <w:rPr>
          <w:snapToGrid w:val="0"/>
        </w:rPr>
        <w:t xml:space="preserve"> cell hyperplasia and </w:t>
      </w:r>
      <w:r w:rsidRPr="008E3715">
        <w:rPr>
          <w:snapToGrid w:val="0"/>
        </w:rPr>
        <w:t>adenoma</w:t>
      </w:r>
      <w:r>
        <w:rPr>
          <w:snapToGrid w:val="0"/>
        </w:rPr>
        <w:t>s</w:t>
      </w:r>
      <w:r w:rsidRPr="008E3715">
        <w:rPr>
          <w:snapToGrid w:val="0"/>
        </w:rPr>
        <w:t xml:space="preserve"> </w:t>
      </w:r>
      <w:r>
        <w:rPr>
          <w:snapToGrid w:val="0"/>
        </w:rPr>
        <w:t xml:space="preserve">most likely resulted from </w:t>
      </w:r>
      <w:r w:rsidRPr="008E3715">
        <w:rPr>
          <w:snapToGrid w:val="0"/>
        </w:rPr>
        <w:t xml:space="preserve">the pharmacological activity of </w:t>
      </w:r>
      <w:r>
        <w:rPr>
          <w:snapToGrid w:val="0"/>
        </w:rPr>
        <w:t>apalutamide. I</w:t>
      </w:r>
      <w:r w:rsidRPr="008E3715">
        <w:rPr>
          <w:snapToGrid w:val="0"/>
        </w:rPr>
        <w:t>nhibit</w:t>
      </w:r>
      <w:r>
        <w:rPr>
          <w:snapToGrid w:val="0"/>
        </w:rPr>
        <w:t xml:space="preserve">ion of </w:t>
      </w:r>
      <w:r w:rsidRPr="008E3715">
        <w:rPr>
          <w:snapToGrid w:val="0"/>
        </w:rPr>
        <w:t xml:space="preserve">the AR </w:t>
      </w:r>
      <w:r>
        <w:rPr>
          <w:snapToGrid w:val="0"/>
        </w:rPr>
        <w:t xml:space="preserve">results in an </w:t>
      </w:r>
      <w:r w:rsidRPr="008E3715">
        <w:rPr>
          <w:snapToGrid w:val="0"/>
        </w:rPr>
        <w:t>overproduction of luteinizing hormone (LH) by the pituitary gland</w:t>
      </w:r>
      <w:r>
        <w:rPr>
          <w:snapToGrid w:val="0"/>
        </w:rPr>
        <w:t xml:space="preserve"> and subsequently </w:t>
      </w:r>
      <w:r>
        <w:rPr>
          <w:snapToGrid w:val="0"/>
        </w:rPr>
        <w:lastRenderedPageBreak/>
        <w:t>induction of Leydig cell hyperplasia and adenoma</w:t>
      </w:r>
      <w:r w:rsidRPr="008E3715">
        <w:rPr>
          <w:snapToGrid w:val="0"/>
        </w:rPr>
        <w:t xml:space="preserve">. </w:t>
      </w:r>
      <w:r>
        <w:rPr>
          <w:snapToGrid w:val="0"/>
        </w:rPr>
        <w:t>This mechanism of action is considered not relevant to humans.</w:t>
      </w:r>
      <w:r>
        <w:rPr>
          <w:rStyle w:val="FootnoteReference"/>
          <w:rFonts w:eastAsia="Times New Roman"/>
          <w:snapToGrid w:val="0"/>
          <w:kern w:val="16"/>
        </w:rPr>
        <w:footnoteReference w:id="22"/>
      </w:r>
    </w:p>
    <w:p w:rsidR="00E660F2" w:rsidRPr="00A532D3" w:rsidRDefault="00E660F2" w:rsidP="00E660F2">
      <w:pPr>
        <w:rPr>
          <w:snapToGrid w:val="0"/>
        </w:rPr>
      </w:pPr>
      <w:r w:rsidRPr="00A532D3">
        <w:rPr>
          <w:snapToGrid w:val="0"/>
        </w:rPr>
        <w:t>Female reproductive organs were also affected. Different findings were observed in rats and dogs. In female rats, there was interstitial cell hyperplasia, absent corpora lutea in the ovary, hypertrophy of uterus wall at all doses in the 26</w:t>
      </w:r>
      <w:r>
        <w:rPr>
          <w:snapToGrid w:val="0"/>
        </w:rPr>
        <w:t xml:space="preserve"> week</w:t>
      </w:r>
      <w:r w:rsidRPr="00A532D3">
        <w:rPr>
          <w:snapToGrid w:val="0"/>
        </w:rPr>
        <w:t xml:space="preserve"> study, ovarian thecoma (benign and malignant) at ≥ 50 mg/kg/day and sporadic granulosa cell tumour (2 benign at 100 mg/kg/day and one malignant at 25 mg/kg/day). In female dogs, only decreased ovary and uterus weights and delayed sexual maturity were observed at ≥ 5 mg/kg/day after 13 weeks of dosing (longest dosing period). These findings are not relevant to the proposed clinical use. Similar findings were reported for bicalutamide.</w:t>
      </w:r>
    </w:p>
    <w:p w:rsidR="00E660F2" w:rsidRDefault="00E660F2" w:rsidP="00E660F2">
      <w:pPr>
        <w:spacing w:line="252" w:lineRule="auto"/>
        <w:rPr>
          <w:rFonts w:eastAsia="Times New Roman"/>
          <w:i/>
          <w:snapToGrid w:val="0"/>
          <w:kern w:val="16"/>
        </w:rPr>
      </w:pPr>
      <w:r w:rsidRPr="00A532D3">
        <w:rPr>
          <w:rFonts w:eastAsia="Times New Roman"/>
          <w:i/>
          <w:snapToGrid w:val="0"/>
          <w:kern w:val="16"/>
        </w:rPr>
        <w:t>Other pharmacological effects</w:t>
      </w:r>
    </w:p>
    <w:p w:rsidR="00E660F2" w:rsidRPr="00A532D3" w:rsidRDefault="00E660F2" w:rsidP="00E660F2">
      <w:pPr>
        <w:spacing w:line="252" w:lineRule="auto"/>
        <w:rPr>
          <w:rFonts w:eastAsia="Times New Roman"/>
          <w:snapToGrid w:val="0"/>
          <w:kern w:val="16"/>
        </w:rPr>
      </w:pPr>
      <w:r w:rsidRPr="00A532D3">
        <w:rPr>
          <w:rFonts w:eastAsia="Times New Roman"/>
          <w:snapToGrid w:val="0"/>
          <w:kern w:val="16"/>
        </w:rPr>
        <w:t>Toxicity findings also associated with the anti-androgenic activity of apalutamide and interference with steroid metabolism included the following:</w:t>
      </w:r>
    </w:p>
    <w:p w:rsidR="00E660F2" w:rsidRPr="00A532D3" w:rsidRDefault="00E660F2" w:rsidP="00E660F2">
      <w:pPr>
        <w:pStyle w:val="ListBullet"/>
        <w:numPr>
          <w:ilvl w:val="0"/>
          <w:numId w:val="1"/>
        </w:numPr>
        <w:rPr>
          <w:snapToGrid w:val="0"/>
        </w:rPr>
      </w:pPr>
      <w:r w:rsidRPr="00A532D3">
        <w:rPr>
          <w:i/>
          <w:snapToGrid w:val="0"/>
        </w:rPr>
        <w:t>Pituitary gland</w:t>
      </w:r>
      <w:r>
        <w:rPr>
          <w:snapToGrid w:val="0"/>
        </w:rPr>
        <w:t>:</w:t>
      </w:r>
      <w:r w:rsidRPr="00A532D3">
        <w:rPr>
          <w:snapToGrid w:val="0"/>
        </w:rPr>
        <w:t xml:space="preserve"> Hypertrophy affecting the </w:t>
      </w:r>
      <w:r w:rsidRPr="007334F9">
        <w:rPr>
          <w:snapToGrid w:val="0"/>
        </w:rPr>
        <w:t>pars distalis</w:t>
      </w:r>
      <w:r w:rsidRPr="00A532D3">
        <w:rPr>
          <w:snapToGrid w:val="0"/>
        </w:rPr>
        <w:t xml:space="preserve"> at all doses in rats and dogs was seen from 28 days of dosing in male rats and in the 26 week study in females (pituitary gland hyperplasia) and in the 13 week study in male dogs.</w:t>
      </w:r>
    </w:p>
    <w:p w:rsidR="00E660F2" w:rsidRPr="00A532D3" w:rsidRDefault="00E660F2" w:rsidP="00E660F2">
      <w:pPr>
        <w:pStyle w:val="ListBullet"/>
        <w:numPr>
          <w:ilvl w:val="0"/>
          <w:numId w:val="1"/>
        </w:numPr>
        <w:rPr>
          <w:snapToGrid w:val="0"/>
        </w:rPr>
      </w:pPr>
      <w:r w:rsidRPr="00A532D3">
        <w:rPr>
          <w:i/>
          <w:snapToGrid w:val="0"/>
        </w:rPr>
        <w:t>Adrenal gland</w:t>
      </w:r>
      <w:r>
        <w:rPr>
          <w:snapToGrid w:val="0"/>
        </w:rPr>
        <w:t>:</w:t>
      </w:r>
      <w:r w:rsidRPr="00A532D3">
        <w:rPr>
          <w:snapToGrid w:val="0"/>
        </w:rPr>
        <w:t xml:space="preserve"> Adrenal cortical hypertrophy (and/or increased adrenal gland weight) was seen at all dose levels in all male and female rat studies as well as in all mouse studies. There were no toxicity findings in adrenal gland in dogs.</w:t>
      </w:r>
    </w:p>
    <w:p w:rsidR="00E660F2" w:rsidRPr="000470A7" w:rsidRDefault="00E660F2" w:rsidP="00E660F2">
      <w:pPr>
        <w:pStyle w:val="ListBullet"/>
        <w:numPr>
          <w:ilvl w:val="0"/>
          <w:numId w:val="1"/>
        </w:numPr>
        <w:rPr>
          <w:snapToGrid w:val="0"/>
        </w:rPr>
      </w:pPr>
      <w:r w:rsidRPr="00A532D3">
        <w:rPr>
          <w:i/>
          <w:snapToGrid w:val="0"/>
        </w:rPr>
        <w:t>Mammary gland</w:t>
      </w:r>
      <w:r>
        <w:rPr>
          <w:snapToGrid w:val="0"/>
        </w:rPr>
        <w:t>:</w:t>
      </w:r>
      <w:r w:rsidRPr="00A532D3">
        <w:rPr>
          <w:snapToGrid w:val="0"/>
        </w:rPr>
        <w:t xml:space="preserve"> After 26 weeks of dosing, findings in male rats included tubule-alveolar morphology (consistent with normal morphology in females). In female rats, mammary gland findings were alveolar and duct dilatation, galactocele, glandular epithelium hypertrophy and vacuolation at all doses after 26 weeks of </w:t>
      </w:r>
      <w:r w:rsidRPr="000470A7">
        <w:rPr>
          <w:snapToGrid w:val="0"/>
        </w:rPr>
        <w:t>dosing.</w:t>
      </w:r>
    </w:p>
    <w:p w:rsidR="00E660F2" w:rsidRPr="00A532D3" w:rsidRDefault="00E660F2" w:rsidP="00E660F2">
      <w:r w:rsidRPr="00A532D3">
        <w:t>Serum testosterone levels were determined in the 13</w:t>
      </w:r>
      <w:r>
        <w:t xml:space="preserve"> week</w:t>
      </w:r>
      <w:r w:rsidRPr="00A532D3">
        <w:t xml:space="preserve"> study in male dogs. Testosterone levels tended to be lower in treated groups than the control after 13 weeks of treatment. Hormone levels were not determined in other nonclinical species.</w:t>
      </w:r>
      <w:r>
        <w:t xml:space="preserve"> </w:t>
      </w:r>
      <w:r w:rsidRPr="00A532D3">
        <w:t>Determination of hormone levels (including lut</w:t>
      </w:r>
      <w:r>
        <w:t>e</w:t>
      </w:r>
      <w:r w:rsidRPr="00A532D3">
        <w:t>inising hormone) in rats would have helped the interpretation of ovarian tumour findings observed in this species.</w:t>
      </w:r>
    </w:p>
    <w:p w:rsidR="00E660F2" w:rsidRPr="00A532D3" w:rsidRDefault="00E660F2" w:rsidP="00E660F2">
      <w:pPr>
        <w:rPr>
          <w:rFonts w:eastAsia="Times New Roman"/>
          <w:snapToGrid w:val="0"/>
          <w:kern w:val="16"/>
        </w:rPr>
      </w:pPr>
      <w:r w:rsidRPr="00A532D3">
        <w:rPr>
          <w:rFonts w:eastAsia="Times New Roman"/>
          <w:snapToGrid w:val="0"/>
          <w:kern w:val="16"/>
        </w:rPr>
        <w:t>All of the above findings in male and female animals have been reported previously in toxicity studies with agents that affect testosterone production or action.</w:t>
      </w:r>
      <w:r w:rsidRPr="001E6B77">
        <w:rPr>
          <w:rStyle w:val="FootnoteReference"/>
          <w:rFonts w:eastAsia="Times New Roman"/>
          <w:snapToGrid w:val="0"/>
          <w:kern w:val="16"/>
        </w:rPr>
        <w:footnoteReference w:id="23"/>
      </w:r>
      <w:r w:rsidRPr="007334F9">
        <w:rPr>
          <w:rFonts w:eastAsia="Times New Roman"/>
          <w:snapToGrid w:val="0"/>
          <w:kern w:val="16"/>
          <w:vertAlign w:val="superscript"/>
        </w:rPr>
        <w:t>,</w:t>
      </w:r>
      <w:r w:rsidRPr="001E6B77">
        <w:rPr>
          <w:rStyle w:val="FootnoteReference"/>
          <w:rFonts w:eastAsia="Times New Roman"/>
          <w:snapToGrid w:val="0"/>
          <w:kern w:val="16"/>
        </w:rPr>
        <w:footnoteReference w:id="24"/>
      </w:r>
      <w:r w:rsidRPr="007334F9">
        <w:rPr>
          <w:rFonts w:eastAsia="Times New Roman"/>
          <w:snapToGrid w:val="0"/>
          <w:kern w:val="16"/>
          <w:vertAlign w:val="superscript"/>
        </w:rPr>
        <w:t>,</w:t>
      </w:r>
      <w:r w:rsidRPr="001E6B77">
        <w:rPr>
          <w:rStyle w:val="FootnoteReference"/>
          <w:rFonts w:eastAsia="Times New Roman"/>
          <w:snapToGrid w:val="0"/>
          <w:kern w:val="16"/>
        </w:rPr>
        <w:footnoteReference w:id="25"/>
      </w:r>
      <w:r w:rsidRPr="007334F9">
        <w:rPr>
          <w:rFonts w:eastAsia="Times New Roman"/>
          <w:snapToGrid w:val="0"/>
          <w:kern w:val="16"/>
          <w:vertAlign w:val="superscript"/>
        </w:rPr>
        <w:t>,</w:t>
      </w:r>
      <w:r w:rsidRPr="001E6B77">
        <w:rPr>
          <w:rStyle w:val="FootnoteReference"/>
          <w:rFonts w:eastAsia="Times New Roman"/>
          <w:snapToGrid w:val="0"/>
          <w:kern w:val="16"/>
        </w:rPr>
        <w:footnoteReference w:id="26"/>
      </w:r>
      <w:r w:rsidRPr="00A532D3">
        <w:rPr>
          <w:rFonts w:eastAsia="Times New Roman"/>
          <w:snapToGrid w:val="0"/>
          <w:kern w:val="16"/>
        </w:rPr>
        <w:t xml:space="preserve"> All toxicity findings were fully or partially reversible within 30</w:t>
      </w:r>
      <w:r w:rsidR="008F0588">
        <w:rPr>
          <w:rFonts w:eastAsia="Times New Roman"/>
          <w:snapToGrid w:val="0"/>
          <w:kern w:val="16"/>
        </w:rPr>
        <w:t> days (rats) or 60 days (dogs).</w:t>
      </w:r>
    </w:p>
    <w:p w:rsidR="00E660F2" w:rsidRPr="00A532D3" w:rsidRDefault="00E660F2" w:rsidP="00E660F2">
      <w:pPr>
        <w:rPr>
          <w:rFonts w:eastAsia="Times New Roman"/>
          <w:snapToGrid w:val="0"/>
          <w:kern w:val="2"/>
        </w:rPr>
      </w:pPr>
      <w:r w:rsidRPr="00A532D3">
        <w:rPr>
          <w:rFonts w:eastAsia="Times New Roman"/>
          <w:snapToGrid w:val="0"/>
          <w:kern w:val="2"/>
        </w:rPr>
        <w:t xml:space="preserve">Overall, the nonclinical findings related to the pharmacological action of apalutamide suggest male fertility may be impaired in patients. Whilst </w:t>
      </w:r>
      <w:r>
        <w:rPr>
          <w:rFonts w:eastAsia="Times New Roman"/>
          <w:snapToGrid w:val="0"/>
          <w:kern w:val="2"/>
        </w:rPr>
        <w:t>no observable effect levels (</w:t>
      </w:r>
      <w:r w:rsidRPr="00A532D3">
        <w:rPr>
          <w:rFonts w:eastAsia="Times New Roman"/>
          <w:snapToGrid w:val="0"/>
          <w:kern w:val="2"/>
        </w:rPr>
        <w:t>NOELs</w:t>
      </w:r>
      <w:r>
        <w:rPr>
          <w:rFonts w:eastAsia="Times New Roman"/>
          <w:snapToGrid w:val="0"/>
          <w:kern w:val="2"/>
        </w:rPr>
        <w:t>)</w:t>
      </w:r>
      <w:r w:rsidRPr="00A532D3">
        <w:rPr>
          <w:rFonts w:eastAsia="Times New Roman"/>
          <w:snapToGrid w:val="0"/>
          <w:kern w:val="2"/>
        </w:rPr>
        <w:t xml:space="preserve"> were established for the majority of the findings, considering the male patient population (comprised of older males) and the proposed indication, impairment of fertility in </w:t>
      </w:r>
      <w:r>
        <w:rPr>
          <w:rFonts w:eastAsia="Times New Roman"/>
          <w:snapToGrid w:val="0"/>
          <w:kern w:val="2"/>
        </w:rPr>
        <w:t>the patient population</w:t>
      </w:r>
      <w:r w:rsidRPr="00A532D3">
        <w:rPr>
          <w:rFonts w:eastAsia="Times New Roman"/>
          <w:snapToGrid w:val="0"/>
          <w:kern w:val="2"/>
        </w:rPr>
        <w:t xml:space="preserve"> </w:t>
      </w:r>
      <w:r w:rsidR="008F0588">
        <w:rPr>
          <w:rFonts w:eastAsia="Times New Roman"/>
          <w:snapToGrid w:val="0"/>
          <w:kern w:val="2"/>
        </w:rPr>
        <w:t>may not be clinically relevant.</w:t>
      </w:r>
    </w:p>
    <w:p w:rsidR="00E660F2" w:rsidRPr="00124E26" w:rsidRDefault="00E660F2" w:rsidP="00E660F2">
      <w:pPr>
        <w:pStyle w:val="Heading6"/>
      </w:pPr>
      <w:r w:rsidRPr="00A532D3">
        <w:rPr>
          <w:snapToGrid w:val="0"/>
        </w:rPr>
        <w:lastRenderedPageBreak/>
        <w:t>Findings not associated with pharmacological action</w:t>
      </w:r>
    </w:p>
    <w:p w:rsidR="00E660F2" w:rsidRPr="00A532D3" w:rsidRDefault="00E660F2" w:rsidP="00E660F2">
      <w:pPr>
        <w:rPr>
          <w:snapToGrid w:val="0"/>
        </w:rPr>
      </w:pPr>
      <w:r w:rsidRPr="00A532D3">
        <w:rPr>
          <w:i/>
          <w:snapToGrid w:val="0"/>
        </w:rPr>
        <w:t>Mortality</w:t>
      </w:r>
      <w:r>
        <w:rPr>
          <w:i/>
          <w:snapToGrid w:val="0"/>
        </w:rPr>
        <w:t>:</w:t>
      </w:r>
      <w:r>
        <w:rPr>
          <w:snapToGrid w:val="0"/>
        </w:rPr>
        <w:t xml:space="preserve"> </w:t>
      </w:r>
      <w:r w:rsidRPr="00A532D3">
        <w:rPr>
          <w:snapToGrid w:val="0"/>
        </w:rPr>
        <w:t>Treatment related deaths in toxicity studies were generally associated with CNS effects (clinical signs of tremors and convulsions) in mice and dogs possibly related to the off-target action on GABA</w:t>
      </w:r>
      <w:r>
        <w:rPr>
          <w:snapToGrid w:val="0"/>
        </w:rPr>
        <w:t xml:space="preserve"> </w:t>
      </w:r>
      <w:r w:rsidRPr="00A532D3">
        <w:rPr>
          <w:snapToGrid w:val="0"/>
        </w:rPr>
        <w:t xml:space="preserve">gated chloride channels. CNS toxicity is discussed above under </w:t>
      </w:r>
      <w:r w:rsidRPr="00A532D3">
        <w:rPr>
          <w:i/>
          <w:snapToGrid w:val="0"/>
        </w:rPr>
        <w:t>Safety Pharmacology</w:t>
      </w:r>
      <w:r>
        <w:rPr>
          <w:i/>
          <w:snapToGrid w:val="0"/>
        </w:rPr>
        <w:t xml:space="preserve">: </w:t>
      </w:r>
      <w:r w:rsidRPr="00A532D3">
        <w:rPr>
          <w:snapToGrid w:val="0"/>
        </w:rPr>
        <w:t>The cause of death in rats at high doses was not determined.</w:t>
      </w:r>
    </w:p>
    <w:p w:rsidR="00E660F2" w:rsidRPr="00A532D3" w:rsidRDefault="00E660F2" w:rsidP="00E660F2">
      <w:pPr>
        <w:rPr>
          <w:snapToGrid w:val="0"/>
        </w:rPr>
      </w:pPr>
      <w:r w:rsidRPr="00A532D3">
        <w:rPr>
          <w:i/>
          <w:snapToGrid w:val="0"/>
        </w:rPr>
        <w:t>Liver</w:t>
      </w:r>
      <w:r>
        <w:rPr>
          <w:i/>
          <w:snapToGrid w:val="0"/>
        </w:rPr>
        <w:t>:</w:t>
      </w:r>
      <w:r>
        <w:rPr>
          <w:snapToGrid w:val="0"/>
        </w:rPr>
        <w:t xml:space="preserve"> </w:t>
      </w:r>
      <w:r w:rsidRPr="00A532D3">
        <w:rPr>
          <w:snapToGrid w:val="0"/>
        </w:rPr>
        <w:t>Hepatocellular hypertrophy and increased liver weights were seen in mice and rats. Hepatic findings are likely a consequence of increased metabolic activity, correlating with</w:t>
      </w:r>
      <w:r w:rsidRPr="00A532D3">
        <w:t xml:space="preserve"> </w:t>
      </w:r>
      <w:r w:rsidRPr="00A532D3">
        <w:rPr>
          <w:snapToGrid w:val="0"/>
        </w:rPr>
        <w:t xml:space="preserve">hepatic enzyme induction. Reversibility was assessed in females only </w:t>
      </w:r>
      <w:r w:rsidRPr="00A532D3">
        <w:t xml:space="preserve">after 60 days </w:t>
      </w:r>
      <w:r w:rsidRPr="00A532D3">
        <w:rPr>
          <w:snapToGrid w:val="0"/>
        </w:rPr>
        <w:t>with</w:t>
      </w:r>
      <w:r w:rsidRPr="00A532D3">
        <w:t xml:space="preserve"> partial recovery of liver weights and full recovery of hepatocellular hypertrophy</w:t>
      </w:r>
      <w:r w:rsidRPr="00A532D3">
        <w:rPr>
          <w:snapToGrid w:val="0"/>
        </w:rPr>
        <w:t xml:space="preserve">. </w:t>
      </w:r>
      <w:r w:rsidRPr="00A532D3">
        <w:rPr>
          <w:rFonts w:eastAsiaTheme="minorHAnsi"/>
        </w:rPr>
        <w:t xml:space="preserve">In dogs, the main liver finding in males was </w:t>
      </w:r>
      <w:r w:rsidRPr="00A532D3">
        <w:rPr>
          <w:snapToGrid w:val="0"/>
        </w:rPr>
        <w:t xml:space="preserve">bile duct/oval cell hyperplasia following 39 weeks of dosing </w:t>
      </w:r>
      <w:r w:rsidRPr="00A532D3">
        <w:rPr>
          <w:rFonts w:eastAsiaTheme="minorHAnsi"/>
        </w:rPr>
        <w:t>at ≥2.5 mg/kg/day</w:t>
      </w:r>
      <w:r w:rsidRPr="00A532D3">
        <w:rPr>
          <w:snapToGrid w:val="0"/>
        </w:rPr>
        <w:t>. Recovery of the bile duct/oval cell hyperplasia was not assessed.</w:t>
      </w:r>
    </w:p>
    <w:p w:rsidR="00E660F2" w:rsidRPr="00A532D3" w:rsidRDefault="00E660F2" w:rsidP="00E660F2">
      <w:pPr>
        <w:rPr>
          <w:snapToGrid w:val="0"/>
        </w:rPr>
      </w:pPr>
      <w:r w:rsidRPr="00A532D3">
        <w:rPr>
          <w:snapToGrid w:val="0"/>
        </w:rPr>
        <w:t xml:space="preserve">Elevated transaminases and </w:t>
      </w:r>
      <w:r>
        <w:rPr>
          <w:snapToGrid w:val="0"/>
        </w:rPr>
        <w:t>alkaline phosphatase (</w:t>
      </w:r>
      <w:r w:rsidRPr="00A532D3">
        <w:rPr>
          <w:snapToGrid w:val="0"/>
        </w:rPr>
        <w:t>ALP</w:t>
      </w:r>
      <w:r>
        <w:rPr>
          <w:snapToGrid w:val="0"/>
        </w:rPr>
        <w:t>)</w:t>
      </w:r>
      <w:r w:rsidRPr="00A532D3">
        <w:rPr>
          <w:snapToGrid w:val="0"/>
        </w:rPr>
        <w:t xml:space="preserve"> were only observed at high doses in mice (2</w:t>
      </w:r>
      <w:r>
        <w:rPr>
          <w:snapToGrid w:val="0"/>
        </w:rPr>
        <w:t xml:space="preserve"> to </w:t>
      </w:r>
      <w:r w:rsidRPr="00A532D3">
        <w:rPr>
          <w:snapToGrid w:val="0"/>
        </w:rPr>
        <w:t xml:space="preserve">3 fold increase in </w:t>
      </w:r>
      <w:r>
        <w:rPr>
          <w:snapToGrid w:val="0"/>
        </w:rPr>
        <w:t>alanine aminotransferase (</w:t>
      </w:r>
      <w:r w:rsidRPr="00A532D3">
        <w:rPr>
          <w:snapToGrid w:val="0"/>
        </w:rPr>
        <w:t>ALT</w:t>
      </w:r>
      <w:r>
        <w:rPr>
          <w:snapToGrid w:val="0"/>
        </w:rPr>
        <w:t>)</w:t>
      </w:r>
      <w:r w:rsidRPr="00A532D3">
        <w:rPr>
          <w:snapToGrid w:val="0"/>
        </w:rPr>
        <w:t xml:space="preserve"> and ALP at 75</w:t>
      </w:r>
      <w:r>
        <w:rPr>
          <w:snapToGrid w:val="0"/>
        </w:rPr>
        <w:t> </w:t>
      </w:r>
      <w:r w:rsidRPr="00A532D3">
        <w:rPr>
          <w:snapToGrid w:val="0"/>
        </w:rPr>
        <w:t xml:space="preserve">mg/kg/day), rats (2 fold increase in </w:t>
      </w:r>
      <w:r>
        <w:rPr>
          <w:snapToGrid w:val="0"/>
        </w:rPr>
        <w:t>g</w:t>
      </w:r>
      <w:r w:rsidRPr="00124E26">
        <w:rPr>
          <w:snapToGrid w:val="0"/>
        </w:rPr>
        <w:t>amma-glutamyl transferase (GGT)</w:t>
      </w:r>
      <w:r w:rsidRPr="00A532D3">
        <w:rPr>
          <w:snapToGrid w:val="0"/>
        </w:rPr>
        <w:t xml:space="preserve"> at 600</w:t>
      </w:r>
      <w:r>
        <w:rPr>
          <w:snapToGrid w:val="0"/>
        </w:rPr>
        <w:t> </w:t>
      </w:r>
      <w:r w:rsidRPr="00A532D3">
        <w:rPr>
          <w:snapToGrid w:val="0"/>
        </w:rPr>
        <w:t xml:space="preserve">mg/kg/day, </w:t>
      </w:r>
      <w:r>
        <w:rPr>
          <w:snapToGrid w:val="0"/>
        </w:rPr>
        <w:t xml:space="preserve">approximately </w:t>
      </w:r>
      <w:r w:rsidRPr="00A532D3">
        <w:rPr>
          <w:snapToGrid w:val="0"/>
        </w:rPr>
        <w:t>2 fold increase in ALP at ≥ 75 mg/kg/day in males) and dogs (2</w:t>
      </w:r>
      <w:r>
        <w:rPr>
          <w:snapToGrid w:val="0"/>
        </w:rPr>
        <w:t xml:space="preserve"> to </w:t>
      </w:r>
      <w:r w:rsidRPr="00A532D3">
        <w:rPr>
          <w:snapToGrid w:val="0"/>
        </w:rPr>
        <w:t xml:space="preserve">4 fold increase in ALT, </w:t>
      </w:r>
      <w:r>
        <w:rPr>
          <w:snapToGrid w:val="0"/>
        </w:rPr>
        <w:t>aspartate aminotransferase (</w:t>
      </w:r>
      <w:r w:rsidRPr="00A532D3">
        <w:rPr>
          <w:snapToGrid w:val="0"/>
        </w:rPr>
        <w:t>AST</w:t>
      </w:r>
      <w:r>
        <w:rPr>
          <w:snapToGrid w:val="0"/>
        </w:rPr>
        <w:t>)</w:t>
      </w:r>
      <w:r w:rsidRPr="00A532D3">
        <w:rPr>
          <w:snapToGrid w:val="0"/>
        </w:rPr>
        <w:t xml:space="preserve"> and/or ALP</w:t>
      </w:r>
      <w:r>
        <w:rPr>
          <w:snapToGrid w:val="0"/>
        </w:rPr>
        <w:t xml:space="preserve"> </w:t>
      </w:r>
      <w:r w:rsidRPr="00A532D3">
        <w:rPr>
          <w:snapToGrid w:val="0"/>
        </w:rPr>
        <w:t>at ≥</w:t>
      </w:r>
      <w:r>
        <w:rPr>
          <w:snapToGrid w:val="0"/>
        </w:rPr>
        <w:t> </w:t>
      </w:r>
      <w:r w:rsidRPr="00A532D3">
        <w:rPr>
          <w:snapToGrid w:val="0"/>
        </w:rPr>
        <w:t>10</w:t>
      </w:r>
      <w:r>
        <w:rPr>
          <w:snapToGrid w:val="0"/>
        </w:rPr>
        <w:t> </w:t>
      </w:r>
      <w:r w:rsidRPr="00A532D3">
        <w:rPr>
          <w:snapToGrid w:val="0"/>
        </w:rPr>
        <w:t>mg/kg/day, 2.5 fold increase in ALP at 5 mg/kg/day).</w:t>
      </w:r>
    </w:p>
    <w:p w:rsidR="00E660F2" w:rsidRPr="00A532D3" w:rsidRDefault="00E660F2" w:rsidP="00E660F2">
      <w:pPr>
        <w:rPr>
          <w:snapToGrid w:val="0"/>
          <w:kern w:val="2"/>
        </w:rPr>
      </w:pPr>
      <w:r w:rsidRPr="00A532D3">
        <w:rPr>
          <w:i/>
          <w:snapToGrid w:val="0"/>
        </w:rPr>
        <w:t>Thyroid</w:t>
      </w:r>
      <w:r>
        <w:rPr>
          <w:i/>
          <w:snapToGrid w:val="0"/>
        </w:rPr>
        <w:t>:</w:t>
      </w:r>
      <w:r>
        <w:rPr>
          <w:snapToGrid w:val="0"/>
        </w:rPr>
        <w:t xml:space="preserve"> </w:t>
      </w:r>
      <w:r w:rsidRPr="00A532D3">
        <w:rPr>
          <w:snapToGrid w:val="0"/>
        </w:rPr>
        <w:t xml:space="preserve">Follicular cell hypertrophy was observed </w:t>
      </w:r>
      <w:r w:rsidRPr="00A532D3">
        <w:rPr>
          <w:lang w:val="en-US"/>
        </w:rPr>
        <w:t xml:space="preserve">in the 4 </w:t>
      </w:r>
      <w:r w:rsidRPr="00A532D3">
        <w:rPr>
          <w:snapToGrid w:val="0"/>
        </w:rPr>
        <w:t>week studies in males (at 150</w:t>
      </w:r>
      <w:r>
        <w:rPr>
          <w:snapToGrid w:val="0"/>
        </w:rPr>
        <w:t> </w:t>
      </w:r>
      <w:r w:rsidRPr="00A532D3">
        <w:rPr>
          <w:snapToGrid w:val="0"/>
        </w:rPr>
        <w:t>mg/kg/day) and females (at ≥ 25 mg/kg/day). Additionally, follicular cell hyperplasia was observed in females in the 26 week study at ≥ 25 mg/kg/day. Occasionally, these findings correlated with increased thyroid weight (usually at higher doses). There was no evidence of thyroid toxicity in dogs. The</w:t>
      </w:r>
      <w:r w:rsidRPr="00A532D3">
        <w:rPr>
          <w:snapToGrid w:val="0"/>
          <w:kern w:val="2"/>
        </w:rPr>
        <w:t xml:space="preserve"> thyroid findings are likely adaptive and secondary to accelerated thyroid hormone metabolism as a consequence of liver enzyme induction</w:t>
      </w:r>
      <w:r>
        <w:rPr>
          <w:snapToGrid w:val="0"/>
          <w:kern w:val="2"/>
        </w:rPr>
        <w:t xml:space="preserve"> and increased clearance of T4.</w:t>
      </w:r>
      <w:r>
        <w:rPr>
          <w:rStyle w:val="FootnoteReference"/>
          <w:rFonts w:eastAsia="Times New Roman"/>
          <w:snapToGrid w:val="0"/>
          <w:kern w:val="2"/>
        </w:rPr>
        <w:footnoteReference w:id="27"/>
      </w:r>
      <w:r w:rsidRPr="00A532D3">
        <w:rPr>
          <w:snapToGrid w:val="0"/>
          <w:kern w:val="2"/>
        </w:rPr>
        <w:t xml:space="preserve"> The rat thyroid is much more sensitive </w:t>
      </w:r>
      <w:r>
        <w:rPr>
          <w:snapToGrid w:val="0"/>
          <w:kern w:val="2"/>
        </w:rPr>
        <w:t>than humans.</w:t>
      </w:r>
      <w:r w:rsidRPr="00A532D3">
        <w:rPr>
          <w:rStyle w:val="FootnoteReference"/>
          <w:rFonts w:eastAsia="Times New Roman"/>
          <w:snapToGrid w:val="0"/>
          <w:kern w:val="2"/>
        </w:rPr>
        <w:footnoteReference w:id="28"/>
      </w:r>
      <w:r>
        <w:rPr>
          <w:snapToGrid w:val="0"/>
          <w:kern w:val="2"/>
        </w:rPr>
        <w:t xml:space="preserve"> Nonetheless, hypothyroidism was reported in patients taking apalutamide and might be related to metabolic enzyme induction in the liver</w:t>
      </w:r>
      <w:r w:rsidRPr="00A532D3">
        <w:rPr>
          <w:snapToGrid w:val="0"/>
          <w:kern w:val="2"/>
        </w:rPr>
        <w:t>.</w:t>
      </w:r>
    </w:p>
    <w:p w:rsidR="00E660F2" w:rsidRPr="00A532D3" w:rsidRDefault="00E660F2" w:rsidP="00E660F2">
      <w:pPr>
        <w:rPr>
          <w:snapToGrid w:val="0"/>
        </w:rPr>
      </w:pPr>
      <w:r w:rsidRPr="00A532D3">
        <w:rPr>
          <w:i/>
          <w:snapToGrid w:val="0"/>
        </w:rPr>
        <w:t>Thymus</w:t>
      </w:r>
      <w:r>
        <w:rPr>
          <w:i/>
          <w:snapToGrid w:val="0"/>
        </w:rPr>
        <w:t xml:space="preserve">: </w:t>
      </w:r>
      <w:r w:rsidRPr="00A532D3">
        <w:rPr>
          <w:snapToGrid w:val="0"/>
        </w:rPr>
        <w:t>Increases in thymus weights without histological abnormalities were observed in rats of both sexes from 14 days of dosing at all doses (≥ 2.5 mg/kg/day), suggesting delayed or decreased rates of involution. This finding is of limited clinical relevance since patients have already undergone age-associated regression of the thymus (thymic involution). In contrast, lymphoid depletion of the thymus was seen in a f</w:t>
      </w:r>
      <w:r>
        <w:rPr>
          <w:snapToGrid w:val="0"/>
        </w:rPr>
        <w:t>ew animals in the female rat 26 week</w:t>
      </w:r>
      <w:r w:rsidRPr="00A532D3">
        <w:rPr>
          <w:snapToGrid w:val="0"/>
        </w:rPr>
        <w:t xml:space="preserve"> study at the end of treatment at 150 mg/kg/day and following</w:t>
      </w:r>
      <w:r>
        <w:rPr>
          <w:snapToGrid w:val="0"/>
        </w:rPr>
        <w:t xml:space="preserve"> </w:t>
      </w:r>
      <w:r w:rsidRPr="00A532D3">
        <w:rPr>
          <w:snapToGrid w:val="0"/>
        </w:rPr>
        <w:t>the recovery phase at ≥ 100 mg/kg/day.</w:t>
      </w:r>
    </w:p>
    <w:p w:rsidR="00E660F2" w:rsidRPr="00A532D3" w:rsidRDefault="00E660F2" w:rsidP="00E660F2">
      <w:pPr>
        <w:rPr>
          <w:snapToGrid w:val="0"/>
        </w:rPr>
      </w:pPr>
      <w:r w:rsidRPr="00A532D3">
        <w:rPr>
          <w:i/>
          <w:snapToGrid w:val="0"/>
        </w:rPr>
        <w:t>Haematology</w:t>
      </w:r>
      <w:r>
        <w:rPr>
          <w:i/>
          <w:snapToGrid w:val="0"/>
        </w:rPr>
        <w:t>:</w:t>
      </w:r>
      <w:r>
        <w:rPr>
          <w:snapToGrid w:val="0"/>
        </w:rPr>
        <w:t xml:space="preserve"> </w:t>
      </w:r>
      <w:r w:rsidRPr="00A532D3">
        <w:rPr>
          <w:snapToGrid w:val="0"/>
        </w:rPr>
        <w:t xml:space="preserve">Small, but statistically significant decreases in red blood cell mass (decreases in RBC, </w:t>
      </w:r>
      <w:r>
        <w:rPr>
          <w:snapToGrid w:val="0"/>
        </w:rPr>
        <w:t>haemoglobin (</w:t>
      </w:r>
      <w:r w:rsidRPr="00A532D3">
        <w:rPr>
          <w:snapToGrid w:val="0"/>
        </w:rPr>
        <w:t>Hb</w:t>
      </w:r>
      <w:r>
        <w:rPr>
          <w:snapToGrid w:val="0"/>
        </w:rPr>
        <w:t>)</w:t>
      </w:r>
      <w:r w:rsidRPr="00A532D3">
        <w:rPr>
          <w:snapToGrid w:val="0"/>
        </w:rPr>
        <w:t xml:space="preserve"> and </w:t>
      </w:r>
      <w:r>
        <w:rPr>
          <w:snapToGrid w:val="0"/>
        </w:rPr>
        <w:t>haematocrit (</w:t>
      </w:r>
      <w:r w:rsidRPr="00A532D3">
        <w:rPr>
          <w:snapToGrid w:val="0"/>
        </w:rPr>
        <w:t>Hct</w:t>
      </w:r>
      <w:r>
        <w:rPr>
          <w:snapToGrid w:val="0"/>
        </w:rPr>
        <w:t>)</w:t>
      </w:r>
      <w:r w:rsidRPr="00A532D3">
        <w:rPr>
          <w:snapToGrid w:val="0"/>
        </w:rPr>
        <w:t xml:space="preserve">) were consistently observed in all rat studies. These findings were associated with increases in haematopoiesis as shown by increased reticulocyte counts, bone marrow hypocellularity and increases in spleen weights and </w:t>
      </w:r>
      <w:r w:rsidRPr="00A532D3">
        <w:rPr>
          <w:rFonts w:eastAsia="TimesNewRoman" w:cs="TimesNewRoman"/>
        </w:rPr>
        <w:t xml:space="preserve">extramedullary haematopoiesis. </w:t>
      </w:r>
      <w:r w:rsidRPr="00A532D3">
        <w:rPr>
          <w:snapToGrid w:val="0"/>
        </w:rPr>
        <w:t>In dogs, there were no treatment related effects in haematology parameters. The risk of anaemia in patients is expected to be low.</w:t>
      </w:r>
    </w:p>
    <w:p w:rsidR="00E660F2" w:rsidRPr="00A532D3" w:rsidRDefault="00E660F2" w:rsidP="00E660F2">
      <w:pPr>
        <w:rPr>
          <w:snapToGrid w:val="0"/>
        </w:rPr>
      </w:pPr>
      <w:r w:rsidRPr="00A532D3">
        <w:rPr>
          <w:snapToGrid w:val="0"/>
        </w:rPr>
        <w:t>Small increases in platelet counts and fibrinogen (not associated with consistent changes in activated partial thromboplastin time or prothrombin time) were frequently observed across studies in rats (&lt;1.5</w:t>
      </w:r>
      <w:r>
        <w:rPr>
          <w:snapToGrid w:val="0"/>
        </w:rPr>
        <w:t xml:space="preserve"> fold</w:t>
      </w:r>
      <w:r w:rsidRPr="00A532D3">
        <w:rPr>
          <w:snapToGrid w:val="0"/>
        </w:rPr>
        <w:t xml:space="preserve">) </w:t>
      </w:r>
      <w:r w:rsidRPr="00A532D3">
        <w:rPr>
          <w:snapToGrid w:val="0"/>
          <w:kern w:val="2"/>
        </w:rPr>
        <w:t>at ≥25 mg/kg/day in males (from 13 weeks dosing) and at ≥100</w:t>
      </w:r>
      <w:r>
        <w:rPr>
          <w:snapToGrid w:val="0"/>
          <w:kern w:val="2"/>
        </w:rPr>
        <w:t xml:space="preserve"> </w:t>
      </w:r>
      <w:r w:rsidRPr="00A532D3">
        <w:rPr>
          <w:snapToGrid w:val="0"/>
          <w:kern w:val="2"/>
        </w:rPr>
        <w:t>mg/kg/day</w:t>
      </w:r>
      <w:r>
        <w:rPr>
          <w:snapToGrid w:val="0"/>
          <w:kern w:val="2"/>
        </w:rPr>
        <w:t xml:space="preserve"> in </w:t>
      </w:r>
      <w:r w:rsidRPr="00A532D3">
        <w:rPr>
          <w:snapToGrid w:val="0"/>
          <w:kern w:val="2"/>
        </w:rPr>
        <w:t xml:space="preserve">females (from 28 days). Small increases in </w:t>
      </w:r>
      <w:r>
        <w:rPr>
          <w:snapToGrid w:val="0"/>
          <w:kern w:val="2"/>
        </w:rPr>
        <w:t>WBC</w:t>
      </w:r>
      <w:r w:rsidRPr="00A532D3">
        <w:rPr>
          <w:snapToGrid w:val="0"/>
          <w:kern w:val="2"/>
        </w:rPr>
        <w:t xml:space="preserve">, neutrophil and </w:t>
      </w:r>
      <w:r w:rsidRPr="00A532D3">
        <w:rPr>
          <w:snapToGrid w:val="0"/>
          <w:kern w:val="2"/>
        </w:rPr>
        <w:lastRenderedPageBreak/>
        <w:t xml:space="preserve">lymphocyte counts were also often observed in rat studies. Similar haematological changes were not seen in dogs. </w:t>
      </w:r>
      <w:r w:rsidRPr="00A532D3">
        <w:rPr>
          <w:snapToGrid w:val="0"/>
        </w:rPr>
        <w:t xml:space="preserve">Based on the nature, incidence and severity and the absence of similar effects in dogs, the haematological findings in rats are considered to be </w:t>
      </w:r>
      <w:r>
        <w:rPr>
          <w:snapToGrid w:val="0"/>
        </w:rPr>
        <w:t xml:space="preserve">of </w:t>
      </w:r>
      <w:r w:rsidRPr="00A532D3">
        <w:rPr>
          <w:snapToGrid w:val="0"/>
        </w:rPr>
        <w:t>low clinical relevance.</w:t>
      </w:r>
    </w:p>
    <w:p w:rsidR="00E660F2" w:rsidRPr="00A532D3" w:rsidRDefault="00E660F2" w:rsidP="00E660F2">
      <w:pPr>
        <w:rPr>
          <w:snapToGrid w:val="0"/>
        </w:rPr>
      </w:pPr>
      <w:r>
        <w:rPr>
          <w:i/>
          <w:snapToGrid w:val="0"/>
        </w:rPr>
        <w:t>Cholesterol:</w:t>
      </w:r>
      <w:r>
        <w:rPr>
          <w:snapToGrid w:val="0"/>
        </w:rPr>
        <w:t xml:space="preserve"> </w:t>
      </w:r>
      <w:r w:rsidRPr="00A532D3">
        <w:rPr>
          <w:snapToGrid w:val="0"/>
        </w:rPr>
        <w:t>Serum cholesterol levels were increased in all repeated dose studies in rats</w:t>
      </w:r>
      <w:r>
        <w:rPr>
          <w:snapToGrid w:val="0"/>
        </w:rPr>
        <w:t xml:space="preserve"> </w:t>
      </w:r>
      <w:r w:rsidRPr="00A532D3">
        <w:rPr>
          <w:snapToGrid w:val="0"/>
        </w:rPr>
        <w:t>(up to 3</w:t>
      </w:r>
      <w:r>
        <w:rPr>
          <w:snapToGrid w:val="0"/>
        </w:rPr>
        <w:t xml:space="preserve"> fold</w:t>
      </w:r>
      <w:r w:rsidRPr="00A532D3">
        <w:rPr>
          <w:snapToGrid w:val="0"/>
        </w:rPr>
        <w:t>) and in dogs in the 39</w:t>
      </w:r>
      <w:r>
        <w:rPr>
          <w:snapToGrid w:val="0"/>
        </w:rPr>
        <w:t xml:space="preserve"> week</w:t>
      </w:r>
      <w:r w:rsidRPr="00A532D3">
        <w:rPr>
          <w:snapToGrid w:val="0"/>
        </w:rPr>
        <w:t xml:space="preserve"> repeat-dose study (</w:t>
      </w:r>
      <w:r>
        <w:rPr>
          <w:snapToGrid w:val="0"/>
        </w:rPr>
        <w:t>about</w:t>
      </w:r>
      <w:r w:rsidRPr="00A532D3">
        <w:rPr>
          <w:snapToGrid w:val="0"/>
        </w:rPr>
        <w:t xml:space="preserve"> </w:t>
      </w:r>
      <w:r>
        <w:rPr>
          <w:snapToGrid w:val="0"/>
        </w:rPr>
        <w:t>1.</w:t>
      </w:r>
      <w:r w:rsidRPr="00A532D3">
        <w:rPr>
          <w:snapToGrid w:val="0"/>
        </w:rPr>
        <w:t>5</w:t>
      </w:r>
      <w:r>
        <w:rPr>
          <w:snapToGrid w:val="0"/>
        </w:rPr>
        <w:t xml:space="preserve"> fold</w:t>
      </w:r>
      <w:r w:rsidRPr="00A532D3">
        <w:rPr>
          <w:snapToGrid w:val="0"/>
        </w:rPr>
        <w:t xml:space="preserve"> at 10</w:t>
      </w:r>
      <w:r>
        <w:rPr>
          <w:snapToGrid w:val="0"/>
        </w:rPr>
        <w:t> </w:t>
      </w:r>
      <w:r w:rsidRPr="00A532D3">
        <w:rPr>
          <w:snapToGrid w:val="0"/>
        </w:rPr>
        <w:t>mg/kg/day).</w:t>
      </w:r>
      <w:r>
        <w:rPr>
          <w:snapToGrid w:val="0"/>
        </w:rPr>
        <w:t xml:space="preserve"> </w:t>
      </w:r>
      <w:r w:rsidRPr="00A532D3">
        <w:rPr>
          <w:snapToGrid w:val="0"/>
        </w:rPr>
        <w:t>Serum triglycerides were also increased in the 26</w:t>
      </w:r>
      <w:r>
        <w:rPr>
          <w:snapToGrid w:val="0"/>
        </w:rPr>
        <w:t xml:space="preserve"> week</w:t>
      </w:r>
      <w:r w:rsidRPr="00A532D3">
        <w:rPr>
          <w:snapToGrid w:val="0"/>
        </w:rPr>
        <w:t xml:space="preserve"> study in female rats by </w:t>
      </w:r>
      <w:r>
        <w:rPr>
          <w:snapToGrid w:val="0"/>
        </w:rPr>
        <w:t xml:space="preserve">approximately </w:t>
      </w:r>
      <w:r w:rsidRPr="00A532D3">
        <w:rPr>
          <w:snapToGrid w:val="0"/>
        </w:rPr>
        <w:t>2 fold at all doses.</w:t>
      </w:r>
      <w:r>
        <w:rPr>
          <w:snapToGrid w:val="0"/>
        </w:rPr>
        <w:t xml:space="preserve"> </w:t>
      </w:r>
      <w:r w:rsidRPr="00A532D3">
        <w:rPr>
          <w:snapToGrid w:val="0"/>
        </w:rPr>
        <w:t xml:space="preserve">Small but statistically significant increases in total protein, albumin, </w:t>
      </w:r>
      <w:r>
        <w:rPr>
          <w:snapToGrid w:val="0"/>
        </w:rPr>
        <w:t xml:space="preserve">and </w:t>
      </w:r>
      <w:r w:rsidRPr="00A532D3">
        <w:rPr>
          <w:snapToGrid w:val="0"/>
        </w:rPr>
        <w:t>globulin</w:t>
      </w:r>
      <w:r>
        <w:rPr>
          <w:snapToGrid w:val="0"/>
        </w:rPr>
        <w:t xml:space="preserve"> </w:t>
      </w:r>
      <w:r w:rsidRPr="00A532D3">
        <w:rPr>
          <w:snapToGrid w:val="0"/>
        </w:rPr>
        <w:t>were also observed across studies in the rat generally at ≥25 mg/kg/day and in male dogs in the 21 day study at 40 mg/kg/day</w:t>
      </w:r>
      <w:r>
        <w:rPr>
          <w:snapToGrid w:val="0"/>
        </w:rPr>
        <w:t xml:space="preserve">. </w:t>
      </w:r>
      <w:r w:rsidRPr="00A532D3">
        <w:rPr>
          <w:snapToGrid w:val="0"/>
        </w:rPr>
        <w:t>These changes are of a nature, incidence and severity that they are not considered toxicologically significant.</w:t>
      </w:r>
    </w:p>
    <w:p w:rsidR="00E660F2" w:rsidRPr="00A532D3" w:rsidRDefault="00E660F2" w:rsidP="00E660F2">
      <w:pPr>
        <w:rPr>
          <w:snapToGrid w:val="0"/>
        </w:rPr>
      </w:pPr>
      <w:r>
        <w:rPr>
          <w:i/>
          <w:snapToGrid w:val="0"/>
        </w:rPr>
        <w:t>Kidney:</w:t>
      </w:r>
      <w:r>
        <w:rPr>
          <w:snapToGrid w:val="0"/>
        </w:rPr>
        <w:t xml:space="preserve"> </w:t>
      </w:r>
      <w:r w:rsidRPr="00A532D3">
        <w:rPr>
          <w:snapToGrid w:val="0"/>
        </w:rPr>
        <w:t>Small increases (&lt;2 fold) in serum creatinine and urea nitrogen were observed in rats at ≥ 25 mg/kg/day but there were no renal histological lesions.</w:t>
      </w:r>
    </w:p>
    <w:p w:rsidR="00E660F2" w:rsidRPr="00A532D3" w:rsidRDefault="00E660F2" w:rsidP="00E660F2">
      <w:pPr>
        <w:rPr>
          <w:snapToGrid w:val="0"/>
          <w:kern w:val="2"/>
        </w:rPr>
      </w:pPr>
      <w:r w:rsidRPr="00A532D3">
        <w:rPr>
          <w:snapToGrid w:val="0"/>
          <w:kern w:val="2"/>
        </w:rPr>
        <w:t xml:space="preserve">Overall, </w:t>
      </w:r>
      <w:r w:rsidRPr="00A532D3">
        <w:rPr>
          <w:snapToGrid w:val="0"/>
        </w:rPr>
        <w:t>findings</w:t>
      </w:r>
      <w:r w:rsidRPr="00A532D3">
        <w:rPr>
          <w:snapToGrid w:val="0"/>
          <w:kern w:val="2"/>
        </w:rPr>
        <w:t xml:space="preserve"> of reversible hepatocellular hypertrophy and thyroid hypertrophy are likely related to enzyme induction and increased thyroid hormone clearance. These effects are also observed with enzalutamide. Other non-pharmacologically mediated findings are minor and are not considered to be of clinical concern.</w:t>
      </w:r>
    </w:p>
    <w:p w:rsidR="00E660F2" w:rsidRPr="00A532D3" w:rsidRDefault="00E660F2" w:rsidP="00E660F2">
      <w:pPr>
        <w:pStyle w:val="Heading5"/>
      </w:pPr>
      <w:r w:rsidRPr="00A532D3">
        <w:t>Genotoxicity</w:t>
      </w:r>
    </w:p>
    <w:p w:rsidR="00E660F2" w:rsidRPr="00A532D3" w:rsidRDefault="00E660F2" w:rsidP="00E660F2">
      <w:pPr>
        <w:rPr>
          <w:szCs w:val="20"/>
        </w:rPr>
      </w:pPr>
      <w:r w:rsidRPr="00A532D3">
        <w:rPr>
          <w:szCs w:val="20"/>
        </w:rPr>
        <w:t xml:space="preserve">The genotoxic </w:t>
      </w:r>
      <w:r w:rsidRPr="00E56323">
        <w:t xml:space="preserve">potential of apalutamide and its metabolites (M3 and M4) was assessed in bacterial reverse mutation assays (all 3 moieties) as well as impurities present in the drug substance/product), </w:t>
      </w:r>
      <w:r w:rsidRPr="000470A7">
        <w:t>in vitro</w:t>
      </w:r>
      <w:r w:rsidRPr="00E56323">
        <w:t xml:space="preserve"> chromosomal aberration assays (apalutamide, M3 and M4), </w:t>
      </w:r>
      <w:r w:rsidRPr="005C4965">
        <w:t>in vivo chromosomal aberration assays (apalutamide and M3) and in vivo comet assays</w:t>
      </w:r>
      <w:r w:rsidRPr="00E56323">
        <w:t xml:space="preserve"> (a</w:t>
      </w:r>
      <w:r w:rsidRPr="00E56323">
        <w:rPr>
          <w:rFonts w:asciiTheme="minorHAnsi" w:hAnsiTheme="minorHAnsi"/>
        </w:rPr>
        <w:t>palutamide</w:t>
      </w:r>
      <w:r w:rsidRPr="00E56323">
        <w:t xml:space="preserve">; M4 metabolite demonstrated in liver and blood). Neither apalutamide nor any of the metabolites tested exhibited genotoxic potential, failing to induce mutations in the bacterial reverse mutation (Ames) assay, clastogenicity in either the </w:t>
      </w:r>
      <w:r w:rsidRPr="005C4965">
        <w:t>in vitro chromosome aberration test or the in vivo rat micronucleus assay or DNA damage in vivo in the comet assay. A weakly positive result was observed for M4 in an in vitro</w:t>
      </w:r>
      <w:r w:rsidRPr="00E56323">
        <w:rPr>
          <w:i/>
        </w:rPr>
        <w:t xml:space="preserve"> </w:t>
      </w:r>
      <w:r w:rsidRPr="00E56323">
        <w:t xml:space="preserve">chromosome </w:t>
      </w:r>
      <w:r w:rsidRPr="005C4965">
        <w:t>aberration assay at cytotoxic concentrations. It has been suggested that positive results in in vitro chromosome aberration assays at high doses with considerable toxicity (the conditions present</w:t>
      </w:r>
      <w:r w:rsidRPr="00E56323">
        <w:t xml:space="preserve"> in this assay) and in the absence of other evidence for DNA damage do not represent a risk of genotoxicity to humans</w:t>
      </w:r>
      <w:r>
        <w:t>.</w:t>
      </w:r>
      <w:r w:rsidRPr="00E56323">
        <w:rPr>
          <w:rStyle w:val="FootnoteReference"/>
        </w:rPr>
        <w:footnoteReference w:id="29"/>
      </w:r>
      <w:r w:rsidRPr="00E56323">
        <w:t xml:space="preserve"> In addition, given the increase in the percentage of cells with chromosomal aberrations was slight and that the metabolite was clearly negative in the Ames test and </w:t>
      </w:r>
      <w:r w:rsidRPr="005C4965">
        <w:t>in vivo</w:t>
      </w:r>
      <w:r w:rsidRPr="00E56323">
        <w:t xml:space="preserve"> for DNA damage in rats (dosed with apalutamide) or chromosome aberration in rats (dosed with apalutamide or M3, with M4 as a major metabolite in rats), it is unlikely that M4 present a genotoxic risk in humans</w:t>
      </w:r>
      <w:r w:rsidRPr="00E56323">
        <w:rPr>
          <w:i/>
        </w:rPr>
        <w:t>.</w:t>
      </w:r>
    </w:p>
    <w:p w:rsidR="00E660F2" w:rsidRPr="00A532D3" w:rsidRDefault="00E660F2" w:rsidP="00E660F2">
      <w:pPr>
        <w:pStyle w:val="Heading5"/>
      </w:pPr>
      <w:bookmarkStart w:id="77" w:name="_Toc294861730"/>
      <w:r w:rsidRPr="00A532D3">
        <w:t>Carcinogenicity</w:t>
      </w:r>
      <w:bookmarkEnd w:id="77"/>
    </w:p>
    <w:p w:rsidR="00E660F2" w:rsidRPr="00A532D3" w:rsidRDefault="00E660F2" w:rsidP="00E660F2">
      <w:r w:rsidRPr="00A532D3">
        <w:t>No carcinogenicity studies were submitted. Considering the indication and patient population this is considered acceptable.</w:t>
      </w:r>
      <w:r w:rsidRPr="005C4965">
        <w:rPr>
          <w:vertAlign w:val="superscript"/>
        </w:rPr>
        <w:fldChar w:fldCharType="begin"/>
      </w:r>
      <w:r w:rsidRPr="005C4965">
        <w:rPr>
          <w:vertAlign w:val="superscript"/>
        </w:rPr>
        <w:instrText xml:space="preserve"> NOTEREF _Ref523835990 \h </w:instrText>
      </w:r>
      <w:r>
        <w:rPr>
          <w:vertAlign w:val="superscript"/>
        </w:rPr>
        <w:instrText xml:space="preserve"> \* MERGEFORMAT </w:instrText>
      </w:r>
      <w:r w:rsidRPr="005C4965">
        <w:rPr>
          <w:vertAlign w:val="superscript"/>
        </w:rPr>
      </w:r>
      <w:r w:rsidRPr="005C4965">
        <w:rPr>
          <w:vertAlign w:val="superscript"/>
        </w:rPr>
        <w:fldChar w:fldCharType="separate"/>
      </w:r>
      <w:r w:rsidR="00914DE0">
        <w:rPr>
          <w:vertAlign w:val="superscript"/>
        </w:rPr>
        <w:t>13</w:t>
      </w:r>
      <w:r w:rsidRPr="005C4965">
        <w:rPr>
          <w:vertAlign w:val="superscript"/>
        </w:rPr>
        <w:fldChar w:fldCharType="end"/>
      </w:r>
      <w:r>
        <w:t xml:space="preserve"> Interstitial (</w:t>
      </w:r>
      <w:proofErr w:type="spellStart"/>
      <w:r w:rsidRPr="00A532D3">
        <w:rPr>
          <w:rFonts w:eastAsia="Times New Roman"/>
          <w:snapToGrid w:val="0"/>
          <w:kern w:val="16"/>
        </w:rPr>
        <w:t>Leydig</w:t>
      </w:r>
      <w:proofErr w:type="spellEnd"/>
      <w:r>
        <w:rPr>
          <w:rFonts w:eastAsia="Times New Roman"/>
          <w:snapToGrid w:val="0"/>
          <w:kern w:val="16"/>
        </w:rPr>
        <w:t>)</w:t>
      </w:r>
      <w:r w:rsidRPr="00A532D3">
        <w:rPr>
          <w:rFonts w:eastAsia="Times New Roman"/>
          <w:snapToGrid w:val="0"/>
          <w:kern w:val="16"/>
        </w:rPr>
        <w:t xml:space="preserve"> cell adenoma</w:t>
      </w:r>
      <w:r>
        <w:rPr>
          <w:rFonts w:eastAsia="Times New Roman"/>
          <w:snapToGrid w:val="0"/>
          <w:kern w:val="16"/>
        </w:rPr>
        <w:t>s</w:t>
      </w:r>
      <w:r w:rsidRPr="00A532D3">
        <w:rPr>
          <w:rFonts w:eastAsia="Times New Roman"/>
          <w:snapToGrid w:val="0"/>
          <w:kern w:val="16"/>
        </w:rPr>
        <w:t xml:space="preserve"> observed in rats </w:t>
      </w:r>
      <w:r>
        <w:rPr>
          <w:rFonts w:eastAsia="Times New Roman"/>
          <w:snapToGrid w:val="0"/>
          <w:kern w:val="16"/>
        </w:rPr>
        <w:t>in the 26 week</w:t>
      </w:r>
      <w:r w:rsidRPr="00A532D3">
        <w:rPr>
          <w:rFonts w:eastAsia="Times New Roman"/>
          <w:snapToGrid w:val="0"/>
          <w:kern w:val="16"/>
        </w:rPr>
        <w:t>s</w:t>
      </w:r>
      <w:r>
        <w:rPr>
          <w:rFonts w:eastAsia="Times New Roman"/>
          <w:snapToGrid w:val="0"/>
          <w:kern w:val="16"/>
        </w:rPr>
        <w:t xml:space="preserve"> study </w:t>
      </w:r>
      <w:r w:rsidRPr="00A532D3">
        <w:rPr>
          <w:rFonts w:eastAsia="Times New Roman"/>
          <w:snapToGrid w:val="0"/>
          <w:kern w:val="16"/>
        </w:rPr>
        <w:t>at ≥ 75 mg/kg/day</w:t>
      </w:r>
      <w:r>
        <w:rPr>
          <w:rFonts w:eastAsia="Times New Roman"/>
          <w:snapToGrid w:val="0"/>
          <w:kern w:val="16"/>
        </w:rPr>
        <w:t xml:space="preserve"> are discussed under </w:t>
      </w:r>
      <w:r w:rsidRPr="00C111D1">
        <w:rPr>
          <w:rFonts w:eastAsia="Times New Roman"/>
          <w:i/>
          <w:snapToGrid w:val="0"/>
          <w:kern w:val="16"/>
        </w:rPr>
        <w:t>Repeat-dose toxicity</w:t>
      </w:r>
      <w:r>
        <w:rPr>
          <w:rFonts w:eastAsia="Times New Roman"/>
          <w:snapToGrid w:val="0"/>
          <w:kern w:val="16"/>
        </w:rPr>
        <w:t xml:space="preserve"> above</w:t>
      </w:r>
      <w:r w:rsidRPr="00A532D3">
        <w:rPr>
          <w:rFonts w:eastAsia="Times New Roman"/>
          <w:snapToGrid w:val="0"/>
          <w:kern w:val="16"/>
        </w:rPr>
        <w:t>.</w:t>
      </w:r>
    </w:p>
    <w:p w:rsidR="00E660F2" w:rsidRPr="00A532D3" w:rsidRDefault="00E660F2" w:rsidP="00E660F2">
      <w:pPr>
        <w:pStyle w:val="Heading5"/>
      </w:pPr>
      <w:r w:rsidRPr="00A532D3">
        <w:t>Reproductive toxicity</w:t>
      </w:r>
    </w:p>
    <w:p w:rsidR="00E660F2" w:rsidRDefault="00E660F2" w:rsidP="00E660F2">
      <w:r w:rsidRPr="00A532D3">
        <w:t xml:space="preserve">No embryo-fetal or postnatal development studies were conducted or </w:t>
      </w:r>
      <w:r>
        <w:t>are</w:t>
      </w:r>
      <w:r w:rsidRPr="00A532D3">
        <w:t xml:space="preserve"> warranted to support this submission as the proposed indication does not include females.</w:t>
      </w:r>
    </w:p>
    <w:p w:rsidR="00E660F2" w:rsidRPr="00A532D3" w:rsidRDefault="00E660F2" w:rsidP="00E660F2">
      <w:r>
        <w:lastRenderedPageBreak/>
        <w:t>T</w:t>
      </w:r>
      <w:r w:rsidRPr="00A532D3">
        <w:t>he effects of apalutamide on fertility and general reproductive performance were evaluated in male Sprague-Dawley rats. Male rats were dosed by oral gavage at doses of 0, 25 or 150 mg/kg body weight/day once daily for 4</w:t>
      </w:r>
      <w:r>
        <w:t> </w:t>
      </w:r>
      <w:r w:rsidRPr="00A532D3">
        <w:t>weeks. A subset of males was sacrificed after 4 weeks of treatment for sperm evaluation and gross examination of the reproductive organs. A second subset of males (20 rats/group) were subjected to a first pairing assessment after 4 weeks of dosing with untreated females, and remained continuously dosed throughout this first 10</w:t>
      </w:r>
      <w:r>
        <w:t xml:space="preserve"> </w:t>
      </w:r>
      <w:r w:rsidRPr="00A532D3">
        <w:t>day pairing period. In order to study recovery from any potential effect on fertility, males of subset II were kept untreated for 8 weeks and subjected to a second pairing assessment with a second batch of untreated females. The subset II males were sacrificed after the second pairing and sperm evaluation and gross examination of the reproductive organs were performed.</w:t>
      </w:r>
    </w:p>
    <w:p w:rsidR="00E660F2" w:rsidRPr="00A532D3" w:rsidRDefault="00E660F2" w:rsidP="00E660F2">
      <w:r w:rsidRPr="00A532D3">
        <w:t>Daily administration of apalutamide at 25 mg/kg/day and 150 mg/kg/day (0.4 and 2</w:t>
      </w:r>
      <w:r>
        <w:t> </w:t>
      </w:r>
      <w:r w:rsidRPr="00A532D3">
        <w:t xml:space="preserve">times the human exposure, respectively, based on </w:t>
      </w:r>
      <w:r>
        <w:t xml:space="preserve">AUC </w:t>
      </w:r>
      <w:r w:rsidRPr="00A532D3">
        <w:t>for apalutamide and the active metabolite M3</w:t>
      </w:r>
      <w:r>
        <w:t>;</w:t>
      </w:r>
      <w:r w:rsidRPr="00A532D3">
        <w:rPr>
          <w:rStyle w:val="FootnoteReference"/>
          <w:kern w:val="2"/>
          <w:szCs w:val="20"/>
        </w:rPr>
        <w:footnoteReference w:id="30"/>
      </w:r>
      <w:r w:rsidRPr="00A532D3">
        <w:t xml:space="preserve"> orally once daily for 4 weeks prior to mating resulted in an increase in abnormal sperm cells and dose-related decreases in epididymal sperm concentration, sperm motility, copulation rate and fertility rate. A reduced number of live fetuses were observed at 150 mg/kg/day as a result of increased pre</w:t>
      </w:r>
      <w:r>
        <w:noBreakHyphen/>
      </w:r>
      <w:r w:rsidRPr="00A532D3">
        <w:t xml:space="preserve"> and/or post-implantation losses in pregnant females. Apalutamide administration also resulted in effects in smaller secondary sex glands (coagulating glands, seminal vesicles, prostate gland) and reduced epididymal weights. All effects were reversible after a treatment-free period of 8 weeks.</w:t>
      </w:r>
    </w:p>
    <w:p w:rsidR="00E660F2" w:rsidRPr="00A532D3" w:rsidRDefault="00E660F2" w:rsidP="00E660F2">
      <w:pPr>
        <w:pStyle w:val="Heading5"/>
      </w:pPr>
      <w:r w:rsidRPr="00A532D3">
        <w:t>Pregnancy classification</w:t>
      </w:r>
    </w:p>
    <w:p w:rsidR="00E660F2" w:rsidRPr="00A532D3" w:rsidRDefault="00E660F2" w:rsidP="00E660F2">
      <w:r w:rsidRPr="0024042E">
        <w:t>No embryofetal development studies were conducted. Based on the mechanism of action, apalutamide is expected to adversely affect reproductive organ development</w:t>
      </w:r>
      <w:r w:rsidRPr="00A532D3">
        <w:t xml:space="preserve"> of the fetus</w:t>
      </w:r>
      <w:r w:rsidRPr="0024042E">
        <w:t>.</w:t>
      </w:r>
      <w:r>
        <w:t xml:space="preserve"> </w:t>
      </w:r>
      <w:r w:rsidRPr="0024042E">
        <w:t>The sponsor has proposed Pregnancy Category D.</w:t>
      </w:r>
      <w:r>
        <w:rPr>
          <w:rStyle w:val="FootnoteReference"/>
        </w:rPr>
        <w:footnoteReference w:id="31"/>
      </w:r>
      <w:r w:rsidRPr="0024042E">
        <w:t xml:space="preserve"> This is considered appropriate.</w:t>
      </w:r>
    </w:p>
    <w:p w:rsidR="00E660F2" w:rsidRPr="00A532D3" w:rsidRDefault="008F0588" w:rsidP="00E660F2">
      <w:pPr>
        <w:pStyle w:val="Heading5"/>
      </w:pPr>
      <w:proofErr w:type="spellStart"/>
      <w:r>
        <w:t>Phototoxicity</w:t>
      </w:r>
      <w:proofErr w:type="spellEnd"/>
    </w:p>
    <w:p w:rsidR="00E660F2" w:rsidRPr="00A532D3" w:rsidRDefault="00E660F2" w:rsidP="00E660F2">
      <w:r w:rsidRPr="0024042E">
        <w:t xml:space="preserve">In a validated Balb/c 3T3 mouse fibroblast assay, apalutamide and M3 were not phototoxic to cells following exposure with UV radiation </w:t>
      </w:r>
      <w:r>
        <w:t>(</w:t>
      </w:r>
      <w:r w:rsidRPr="0024042E">
        <w:t>ultraviolet A (UVA) and B (UVB) light</w:t>
      </w:r>
      <w:r>
        <w:t>)</w:t>
      </w:r>
      <w:r w:rsidRPr="0024042E">
        <w:t xml:space="preserve">. Results of this study indicate that apalutamide and M3 </w:t>
      </w:r>
      <w:r w:rsidRPr="00A532D3">
        <w:t xml:space="preserve">are not </w:t>
      </w:r>
      <w:r>
        <w:t>photosensitis</w:t>
      </w:r>
      <w:r w:rsidRPr="0024042E">
        <w:t>ing agent</w:t>
      </w:r>
      <w:r w:rsidRPr="00A532D3">
        <w:t>s.</w:t>
      </w:r>
    </w:p>
    <w:p w:rsidR="00E660F2" w:rsidRPr="00A532D3" w:rsidRDefault="00E660F2" w:rsidP="00E660F2">
      <w:pPr>
        <w:pStyle w:val="AssessmentSubsection"/>
        <w:rPr>
          <w:b w:val="0"/>
          <w:i w:val="0"/>
          <w:kern w:val="2"/>
          <w:szCs w:val="20"/>
        </w:rPr>
      </w:pPr>
      <w:bookmarkStart w:id="78" w:name="_Toc523915061"/>
      <w:bookmarkStart w:id="79" w:name="_Toc5014063"/>
      <w:r w:rsidRPr="00A532D3">
        <w:t>Impurities</w:t>
      </w:r>
      <w:bookmarkEnd w:id="78"/>
      <w:bookmarkEnd w:id="79"/>
    </w:p>
    <w:p w:rsidR="00E660F2" w:rsidRDefault="00E660F2" w:rsidP="00E660F2">
      <w:pPr>
        <w:rPr>
          <w:kern w:val="2"/>
        </w:rPr>
      </w:pPr>
      <w:r w:rsidRPr="00A532D3">
        <w:rPr>
          <w:snapToGrid w:val="0"/>
        </w:rPr>
        <w:t>Specified i</w:t>
      </w:r>
      <w:r w:rsidRPr="0024042E">
        <w:rPr>
          <w:snapToGrid w:val="0"/>
        </w:rPr>
        <w:t>mpurities were adequately qual</w:t>
      </w:r>
      <w:r>
        <w:rPr>
          <w:snapToGrid w:val="0"/>
        </w:rPr>
        <w:t>ified on a toxicological basis.</w:t>
      </w:r>
    </w:p>
    <w:p w:rsidR="00E660F2" w:rsidRDefault="00E660F2" w:rsidP="00E660F2">
      <w:pPr>
        <w:pStyle w:val="Heading3"/>
      </w:pPr>
      <w:bookmarkStart w:id="80" w:name="_Toc247691515"/>
      <w:bookmarkStart w:id="81" w:name="_Toc314842499"/>
      <w:bookmarkStart w:id="82" w:name="_Toc523915062"/>
      <w:bookmarkStart w:id="83" w:name="_Toc5014064"/>
      <w:r>
        <w:t>Nonclinical summary and conclusions</w:t>
      </w:r>
      <w:bookmarkEnd w:id="80"/>
      <w:bookmarkEnd w:id="81"/>
      <w:bookmarkEnd w:id="82"/>
      <w:bookmarkEnd w:id="83"/>
    </w:p>
    <w:p w:rsidR="00E660F2" w:rsidRDefault="00E660F2" w:rsidP="00E660F2">
      <w:pPr>
        <w:pStyle w:val="ListBullet"/>
        <w:numPr>
          <w:ilvl w:val="0"/>
          <w:numId w:val="1"/>
        </w:numPr>
      </w:pPr>
      <w:r>
        <w:t>The submitted nonclinical dossier was in accordance with the ICH S9 guideline on the nonclinical evaluation of anticancer pharmaceuticals. Consistent with this guideline, no carcinogenicity and only limited reproductive toxicity studies were conducted. The overall quality of the nonclinical dossier was high. All pivotal safety related studies were GLP compliant.</w:t>
      </w:r>
    </w:p>
    <w:p w:rsidR="00E660F2" w:rsidRDefault="00E660F2" w:rsidP="00E660F2">
      <w:pPr>
        <w:pStyle w:val="ListBullet"/>
        <w:numPr>
          <w:ilvl w:val="0"/>
          <w:numId w:val="1"/>
        </w:numPr>
      </w:pPr>
      <w:r>
        <w:t xml:space="preserve">Apalutamide was a competitive inhibitor at the wild-type AR and its castration-resistant mutant variant, T877A. No agonistic activity was seen at the AR. The major human metabolite, M3, also had inhibitory activity at the AR (3 fold less potent than apalutamide) and likely contributes to the efficacy of apalutamide in patients. </w:t>
      </w:r>
      <w:r>
        <w:lastRenderedPageBreak/>
        <w:t>Decreased tumour growth and regression was seen in a mouse model bearing a castration resistant prostate cancer cell line.</w:t>
      </w:r>
    </w:p>
    <w:p w:rsidR="00E660F2" w:rsidRDefault="00E660F2" w:rsidP="00E660F2">
      <w:pPr>
        <w:pStyle w:val="ListBullet"/>
        <w:numPr>
          <w:ilvl w:val="0"/>
          <w:numId w:val="1"/>
        </w:numPr>
      </w:pPr>
      <w:r>
        <w:t>Both apalutamide and M3 had significant inhibitory activity at the GABA gated chloride channel and readily crossed the blood-brain barrier. Seizures/convulsions were observed in both dogs and mice with plasma concentrations of apalutamide and M3 marginally above the clinical steady state C</w:t>
      </w:r>
      <w:r w:rsidRPr="0085387E">
        <w:rPr>
          <w:vertAlign w:val="subscript"/>
        </w:rPr>
        <w:t>max</w:t>
      </w:r>
      <w:r>
        <w:t>.</w:t>
      </w:r>
    </w:p>
    <w:p w:rsidR="00E660F2" w:rsidRDefault="00E660F2" w:rsidP="00E660F2">
      <w:pPr>
        <w:pStyle w:val="ListBullet"/>
        <w:numPr>
          <w:ilvl w:val="0"/>
          <w:numId w:val="1"/>
        </w:numPr>
      </w:pPr>
      <w:r>
        <w:t>At clinically relevant concentrations, apalutamide did not show inhibitory activity against other receptors, transporters or ion channels.</w:t>
      </w:r>
    </w:p>
    <w:p w:rsidR="00E660F2" w:rsidRDefault="00E660F2" w:rsidP="00E660F2">
      <w:pPr>
        <w:pStyle w:val="ListBullet"/>
        <w:numPr>
          <w:ilvl w:val="0"/>
          <w:numId w:val="1"/>
        </w:numPr>
      </w:pPr>
      <w:r>
        <w:t>Safety pharmacology studies assessed effects of apalutamide and/or M3 on the central nervous, cardiovascular and respiratory systems in animal models and in in vitro studies. Apalutamide and M3 inhibited the potassium (hERG K+) tail current with IC</w:t>
      </w:r>
      <w:r w:rsidRPr="0085387E">
        <w:rPr>
          <w:vertAlign w:val="subscript"/>
        </w:rPr>
        <w:t>50</w:t>
      </w:r>
      <w:r>
        <w:t xml:space="preserve"> values of 6.17 µM and 4.56 µM, respectively. No cardiovascular effects (including QTc intervals) were observed in dogs.</w:t>
      </w:r>
    </w:p>
    <w:p w:rsidR="00E660F2" w:rsidRDefault="00E660F2" w:rsidP="00E660F2">
      <w:pPr>
        <w:pStyle w:val="ListBullet"/>
        <w:numPr>
          <w:ilvl w:val="0"/>
          <w:numId w:val="1"/>
        </w:numPr>
      </w:pPr>
      <w:r>
        <w:t>Oral absorption was high in mice and rats, and likely in dogs. Apalutamide is cleared by metabolism. Clearance was slow in all species, particularly dogs and humans. In humans and dogs, M3 is a significant plasma metabolite, while M3 was only a minor metabolite in rats. Plasma protein binding was high (≥86%) and no significant inter-species differences in plasma protein binding were evident. Both apalutamide and M3 partitioned into the brain of animal species up to similar or higher concentrations seen in plasma (30 to 140%). CYP2C8 and to lesser extent CYP3A4, appear to be involved in the formation of M3. Carboxylesterase is involved in the formation of M4 directly from apalutamide and M3.</w:t>
      </w:r>
    </w:p>
    <w:p w:rsidR="00E660F2" w:rsidRDefault="00E660F2" w:rsidP="00E660F2">
      <w:pPr>
        <w:pStyle w:val="ListBullet"/>
        <w:numPr>
          <w:ilvl w:val="0"/>
          <w:numId w:val="1"/>
        </w:numPr>
      </w:pPr>
      <w:r>
        <w:t>In vitro studies indicated a number of potential pharmacokinetic drug interactions:</w:t>
      </w:r>
    </w:p>
    <w:p w:rsidR="00E660F2" w:rsidRDefault="00E660F2" w:rsidP="00E660F2">
      <w:pPr>
        <w:pStyle w:val="ListBullet2"/>
        <w:numPr>
          <w:ilvl w:val="1"/>
          <w:numId w:val="1"/>
        </w:numPr>
      </w:pPr>
      <w:r>
        <w:t>Since apalutamide is metabolised by CYP2C8 and CYP3A4, inhibitors or inducers are likely to alter plasma kinetics of apalutamide and M3.</w:t>
      </w:r>
    </w:p>
    <w:p w:rsidR="00E660F2" w:rsidRDefault="00E660F2" w:rsidP="00E660F2">
      <w:pPr>
        <w:pStyle w:val="ListBullet2"/>
        <w:numPr>
          <w:ilvl w:val="1"/>
          <w:numId w:val="1"/>
        </w:numPr>
      </w:pPr>
      <w:r>
        <w:t>Apalutamide is likely to decrease the exposure of drugs that are metabolised by CYP2B6, CYP3A4 and possibly UGT.</w:t>
      </w:r>
    </w:p>
    <w:p w:rsidR="00E660F2" w:rsidRDefault="00E660F2" w:rsidP="00E660F2">
      <w:pPr>
        <w:pStyle w:val="ListBullet2"/>
        <w:numPr>
          <w:ilvl w:val="1"/>
          <w:numId w:val="1"/>
        </w:numPr>
      </w:pPr>
      <w:r>
        <w:t>Apalutamide has the potential to alter the disposition of drugs that are substrates of OAT3, MATE-1 and OCT2.</w:t>
      </w:r>
    </w:p>
    <w:p w:rsidR="00E660F2" w:rsidRDefault="00E660F2" w:rsidP="00E660F2">
      <w:pPr>
        <w:pStyle w:val="ListBullet"/>
        <w:numPr>
          <w:ilvl w:val="0"/>
          <w:numId w:val="1"/>
        </w:numPr>
      </w:pPr>
      <w:r>
        <w:t>Apalutamide had a moderate order of acute oral toxicity in mice, rats and dogs.</w:t>
      </w:r>
    </w:p>
    <w:p w:rsidR="00E660F2" w:rsidRDefault="00E660F2" w:rsidP="00E660F2">
      <w:pPr>
        <w:pStyle w:val="ListBullet"/>
        <w:numPr>
          <w:ilvl w:val="0"/>
          <w:numId w:val="1"/>
        </w:numPr>
      </w:pPr>
      <w:r>
        <w:t xml:space="preserve">Repeat-dose toxicity studies were conducted in mice (2 weeks), rats (up to 26 weeks) and dogs (up to 39 weeks) of both sexes. The toxicities observed were associated with the pharmacological activity of the drug included effects on the reproductive organs, mammary glands, pituitary and adrenal glands, which are common to AR inhibitors. Convulsions/tremors were observed in mice and dogs, probably due to off-target effects on the GABA gated chloride channel. Findings in the liver (hepatocellular hypertrophy) and thyroid gland (follicular cell hypertrophy/hyperplasia) were considered to be caused by induction of liver metabolic enzymes. Other target organs were thymus (delayed involution in rats and lymphoid depletion in dogs), mild anaemia and associated increases in haematopoiesis in rats, and increased serum cholesterol levels in rats and dogs. </w:t>
      </w:r>
    </w:p>
    <w:p w:rsidR="00E660F2" w:rsidRDefault="00E660F2" w:rsidP="00E660F2">
      <w:pPr>
        <w:pStyle w:val="ListBullet"/>
        <w:numPr>
          <w:ilvl w:val="0"/>
          <w:numId w:val="1"/>
        </w:numPr>
      </w:pPr>
      <w:r>
        <w:t>Apalutamide was not genotoxic in the standard battery of tests. No carcinogenicity studies were submitted, which is considered acceptable. Leydig cell adenoma was observed in rats (a species-specific finding) after long term dosing (26 weeks) at ≥ 75 mg/kg/day.</w:t>
      </w:r>
    </w:p>
    <w:p w:rsidR="00E660F2" w:rsidRDefault="00E660F2" w:rsidP="00E660F2">
      <w:pPr>
        <w:pStyle w:val="ListBullet"/>
        <w:numPr>
          <w:ilvl w:val="0"/>
          <w:numId w:val="1"/>
        </w:numPr>
      </w:pPr>
      <w:r>
        <w:t xml:space="preserve">Reproductive toxicity studies were restricted to fertility and general reproductive performance in male rats (in line with the proposed indication). Findings of a reversible decrease in fertility, sperm levels and motility, copulation and fertility rates </w:t>
      </w:r>
      <w:r>
        <w:lastRenderedPageBreak/>
        <w:t>(upon pairing with untreated females) along with reduced weights of the secondary sex glands and epididymis were evident at low relative doses.</w:t>
      </w:r>
    </w:p>
    <w:p w:rsidR="00E660F2" w:rsidRDefault="00E660F2" w:rsidP="00E660F2">
      <w:pPr>
        <w:pStyle w:val="ListBullet"/>
        <w:numPr>
          <w:ilvl w:val="0"/>
          <w:numId w:val="1"/>
        </w:numPr>
      </w:pPr>
      <w:r>
        <w:t>Apalutamide was not phototoxic in a standard in vitro assay.</w:t>
      </w:r>
    </w:p>
    <w:p w:rsidR="00E660F2" w:rsidRDefault="00E660F2" w:rsidP="00E660F2">
      <w:pPr>
        <w:pStyle w:val="ListBullet"/>
        <w:numPr>
          <w:ilvl w:val="0"/>
          <w:numId w:val="1"/>
        </w:numPr>
      </w:pPr>
      <w:r>
        <w:t>Levels of two specified individual impurities in the drug substance are qualified on nonclinical grounds.</w:t>
      </w:r>
      <w:r w:rsidRPr="00272468">
        <w:t xml:space="preserve"> </w:t>
      </w:r>
    </w:p>
    <w:p w:rsidR="00E660F2" w:rsidRDefault="00E660F2" w:rsidP="00E660F2">
      <w:pPr>
        <w:pStyle w:val="Heading3"/>
      </w:pPr>
      <w:bookmarkStart w:id="84" w:name="_Toc523915063"/>
      <w:bookmarkStart w:id="85" w:name="_Toc5014065"/>
      <w:r>
        <w:t>Nonclinical conclusions and recommendation</w:t>
      </w:r>
      <w:bookmarkEnd w:id="84"/>
      <w:bookmarkEnd w:id="85"/>
    </w:p>
    <w:p w:rsidR="00E660F2" w:rsidRDefault="00E660F2" w:rsidP="00E660F2">
      <w:pPr>
        <w:pStyle w:val="ListBullet"/>
        <w:numPr>
          <w:ilvl w:val="0"/>
          <w:numId w:val="1"/>
        </w:numPr>
      </w:pPr>
      <w:r>
        <w:t>The pharmacology studies support the proposed indication.</w:t>
      </w:r>
    </w:p>
    <w:p w:rsidR="00E660F2" w:rsidRDefault="00E660F2" w:rsidP="00E660F2">
      <w:pPr>
        <w:pStyle w:val="ListBullet"/>
        <w:numPr>
          <w:ilvl w:val="0"/>
          <w:numId w:val="1"/>
        </w:numPr>
      </w:pPr>
      <w:r>
        <w:t>Apalutamide and M3 inhibited the potassium (hERG K+) tail current with IC</w:t>
      </w:r>
      <w:r w:rsidRPr="0085387E">
        <w:rPr>
          <w:vertAlign w:val="subscript"/>
        </w:rPr>
        <w:t>50</w:t>
      </w:r>
      <w:r>
        <w:t xml:space="preserve"> values corresponding to 13 and 8 times the clinical steady state unbound C</w:t>
      </w:r>
      <w:r w:rsidRPr="0085387E">
        <w:rPr>
          <w:vertAlign w:val="subscript"/>
        </w:rPr>
        <w:t>max</w:t>
      </w:r>
      <w:r>
        <w:t xml:space="preserve"> , respectively, but no ECG abnormalities were seen in pivotal toxicity studies in dogs up to 10 mg/kg/day (C</w:t>
      </w:r>
      <w:r w:rsidRPr="0085387E">
        <w:rPr>
          <w:vertAlign w:val="subscript"/>
        </w:rPr>
        <w:t>max</w:t>
      </w:r>
      <w:r>
        <w:t xml:space="preserve"> approximately 3.5 and approximately 1.5 times the clinical steady state C</w:t>
      </w:r>
      <w:r w:rsidRPr="0085387E">
        <w:rPr>
          <w:vertAlign w:val="subscript"/>
        </w:rPr>
        <w:t>max</w:t>
      </w:r>
      <w:r>
        <w:t>, respectively). However, QT prolongation in patients taking apalutamide cannot be excluded.</w:t>
      </w:r>
    </w:p>
    <w:p w:rsidR="00E660F2" w:rsidRDefault="00E660F2" w:rsidP="00E660F2">
      <w:pPr>
        <w:pStyle w:val="ListBullet"/>
        <w:numPr>
          <w:ilvl w:val="0"/>
          <w:numId w:val="1"/>
        </w:numPr>
      </w:pPr>
      <w:r>
        <w:t>The in vitro and in vivo nonclinical data indicate a high risk of seizures/convulsions in patients. Consideration should also be given to patients that may be currently taking GABA acting compounds and the potential risk for seizures in the event of withdrawal of these compounds.</w:t>
      </w:r>
    </w:p>
    <w:p w:rsidR="00E660F2" w:rsidRDefault="00E660F2" w:rsidP="00E660F2">
      <w:pPr>
        <w:pStyle w:val="ListBullet"/>
        <w:numPr>
          <w:ilvl w:val="0"/>
          <w:numId w:val="1"/>
        </w:numPr>
      </w:pPr>
      <w:r>
        <w:t>In vitro studies indicate that a large number of potential pharmacokinetic drug interactions are possible.</w:t>
      </w:r>
    </w:p>
    <w:p w:rsidR="00E660F2" w:rsidRDefault="00E660F2" w:rsidP="00E660F2">
      <w:pPr>
        <w:pStyle w:val="ListBullet"/>
        <w:numPr>
          <w:ilvl w:val="0"/>
          <w:numId w:val="1"/>
        </w:numPr>
      </w:pPr>
      <w:r>
        <w:t>Nonclinical findings related to the pharmacological action of apalutamide suggest male fertility may be impaired in patients. However, this may not be clinically relevant to the patient population.</w:t>
      </w:r>
    </w:p>
    <w:p w:rsidR="00E660F2" w:rsidRDefault="00E660F2" w:rsidP="00E660F2">
      <w:pPr>
        <w:pStyle w:val="ListBullet"/>
        <w:numPr>
          <w:ilvl w:val="0"/>
          <w:numId w:val="1"/>
        </w:numPr>
      </w:pPr>
      <w:r>
        <w:t>Provided the above effects are adequately monitored or managed during clinical use and that the benefit/risk profile is acceptable from a clinical perspective there are no nonclinical objections to the registration of apalutamide for the proposed indication.</w:t>
      </w:r>
    </w:p>
    <w:p w:rsidR="00E660F2" w:rsidRPr="00A532D3" w:rsidRDefault="00E660F2" w:rsidP="00E660F2">
      <w:pPr>
        <w:pStyle w:val="ListBullet"/>
        <w:numPr>
          <w:ilvl w:val="0"/>
          <w:numId w:val="1"/>
        </w:numPr>
      </w:pPr>
      <w:r>
        <w:t>The evaluator also recommended amendments to the draft PI but these are beyond the scope of this AusPAR.</w:t>
      </w:r>
    </w:p>
    <w:p w:rsidR="00E660F2" w:rsidRPr="00254787" w:rsidRDefault="00E660F2" w:rsidP="00E660F2">
      <w:pPr>
        <w:pStyle w:val="Heading2"/>
      </w:pPr>
      <w:bookmarkStart w:id="86" w:name="_Toc196046462"/>
      <w:bookmarkStart w:id="87" w:name="_Toc247691516"/>
      <w:bookmarkStart w:id="88" w:name="_Toc314842500"/>
      <w:bookmarkStart w:id="89" w:name="_Toc523915064"/>
      <w:bookmarkStart w:id="90" w:name="_Toc163441353"/>
      <w:bookmarkStart w:id="91" w:name="_Toc163441348"/>
      <w:bookmarkStart w:id="92" w:name="_Toc5014066"/>
      <w:r>
        <w:t xml:space="preserve">V. </w:t>
      </w:r>
      <w:r w:rsidRPr="00254787">
        <w:t>Clinical</w:t>
      </w:r>
      <w:bookmarkEnd w:id="86"/>
      <w:r>
        <w:t xml:space="preserve"> findings</w:t>
      </w:r>
      <w:bookmarkEnd w:id="87"/>
      <w:bookmarkEnd w:id="88"/>
      <w:bookmarkEnd w:id="89"/>
      <w:bookmarkEnd w:id="92"/>
    </w:p>
    <w:p w:rsidR="00E660F2" w:rsidRDefault="00E660F2" w:rsidP="00E660F2">
      <w:bookmarkStart w:id="93" w:name="_Toc196046463"/>
      <w:r>
        <w:t xml:space="preserve">A summary of the </w:t>
      </w:r>
      <w:r w:rsidRPr="00FD70B8">
        <w:t>clinical findings is presented in this section.</w:t>
      </w:r>
    </w:p>
    <w:p w:rsidR="00E660F2" w:rsidRDefault="00E660F2" w:rsidP="00E660F2">
      <w:pPr>
        <w:pStyle w:val="Heading3"/>
      </w:pPr>
      <w:bookmarkStart w:id="94" w:name="_Toc247691517"/>
      <w:bookmarkStart w:id="95" w:name="_Toc314842501"/>
      <w:bookmarkStart w:id="96" w:name="_Toc523915065"/>
      <w:bookmarkStart w:id="97" w:name="_Toc5014067"/>
      <w:r w:rsidRPr="00254787">
        <w:t>Introduction</w:t>
      </w:r>
      <w:bookmarkEnd w:id="93"/>
      <w:bookmarkEnd w:id="94"/>
      <w:bookmarkEnd w:id="95"/>
      <w:bookmarkEnd w:id="96"/>
      <w:bookmarkEnd w:id="97"/>
    </w:p>
    <w:p w:rsidR="00E660F2" w:rsidRDefault="00E660F2" w:rsidP="00E660F2">
      <w:pPr>
        <w:pStyle w:val="Heading4"/>
      </w:pPr>
      <w:bookmarkStart w:id="98" w:name="_Toc386458761"/>
      <w:bookmarkStart w:id="99" w:name="_Toc196046464"/>
      <w:bookmarkStart w:id="100" w:name="_Toc247691518"/>
      <w:bookmarkStart w:id="101" w:name="_Toc314842502"/>
      <w:r>
        <w:t>Clinical rationale</w:t>
      </w:r>
      <w:bookmarkEnd w:id="98"/>
    </w:p>
    <w:p w:rsidR="00E660F2" w:rsidRDefault="00E660F2" w:rsidP="00E660F2">
      <w:r>
        <w:t>The management of all patients with CRPC, including those without detectable metastases, follows the same treatment algorithm aiming to prolong survival, minimize complications and maintain quality of life. Given the highly variable prognosis for patients with PSA only recurrence, initiating early treatment based on a rising PSA has been controversial and careful selection of patients is required to avoid overtreatment and the associated risks of any early therapy.</w:t>
      </w:r>
    </w:p>
    <w:p w:rsidR="00E660F2" w:rsidRDefault="00E660F2" w:rsidP="00E660F2">
      <w:pPr>
        <w:rPr>
          <w:lang w:eastAsia="ja-JP"/>
        </w:rPr>
      </w:pPr>
      <w:r>
        <w:t>While there are several</w:t>
      </w:r>
      <w:r w:rsidRPr="002C795C">
        <w:t xml:space="preserve"> </w:t>
      </w:r>
      <w:r>
        <w:t xml:space="preserve">therapeutic </w:t>
      </w:r>
      <w:r w:rsidRPr="002C795C">
        <w:t>agents</w:t>
      </w:r>
      <w:r>
        <w:t xml:space="preserve"> </w:t>
      </w:r>
      <w:r w:rsidRPr="002C795C">
        <w:t xml:space="preserve">approved for the treatment of </w:t>
      </w:r>
      <w:r>
        <w:t xml:space="preserve">metastatic </w:t>
      </w:r>
      <w:r w:rsidRPr="002C795C">
        <w:t>CRPC</w:t>
      </w:r>
      <w:r>
        <w:t xml:space="preserve"> in Australia, there are no approved therapies for NM-CRPC. Given </w:t>
      </w:r>
      <w:r>
        <w:rPr>
          <w:lang w:eastAsia="ja-JP"/>
        </w:rPr>
        <w:t xml:space="preserve">the high risk of development of metastases in this population, the clinical rationale is to delay the onset of </w:t>
      </w:r>
      <w:r>
        <w:rPr>
          <w:lang w:eastAsia="ja-JP"/>
        </w:rPr>
        <w:lastRenderedPageBreak/>
        <w:t>metastatic disease with its associated morbidity and mortality. An effective and tolerable treatment for such patients represents an area of unmet need.</w:t>
      </w:r>
    </w:p>
    <w:p w:rsidR="00E660F2" w:rsidRDefault="00E660F2" w:rsidP="00E660F2">
      <w:pPr>
        <w:jc w:val="both"/>
        <w:rPr>
          <w:lang w:eastAsia="ja-JP"/>
        </w:rPr>
      </w:pPr>
      <w:r>
        <w:rPr>
          <w:lang w:eastAsia="ja-JP"/>
        </w:rPr>
        <w:t>There is a clear unmet need for a treatment option for those with PSA only recurrence of their prostate cancer. The clinical evaluator has made a recommended change to the PI, and has also recommended the TGA consider whether the proposed tradename, Erleada, has promotional overtones</w:t>
      </w:r>
      <w:r w:rsidRPr="0068770E">
        <w:rPr>
          <w:lang w:eastAsia="ja-JP"/>
        </w:rPr>
        <w:t xml:space="preserve"> </w:t>
      </w:r>
      <w:r>
        <w:rPr>
          <w:lang w:eastAsia="ja-JP"/>
        </w:rPr>
        <w:t>, as it sounds like both ‘early’ and ‘leader’, given this is the first application for registration of a treatment intended for this early stage of prostate cancer.</w:t>
      </w:r>
    </w:p>
    <w:p w:rsidR="00E660F2" w:rsidRDefault="00E660F2" w:rsidP="00E660F2">
      <w:pPr>
        <w:pStyle w:val="Heading4"/>
      </w:pPr>
      <w:r>
        <w:t>Formulation development</w:t>
      </w:r>
    </w:p>
    <w:p w:rsidR="00E660F2" w:rsidRPr="0097422E" w:rsidRDefault="00E660F2" w:rsidP="00E660F2">
      <w:r w:rsidRPr="0097422E">
        <w:t xml:space="preserve">Several formulations were investigated early in the development program, but only those two formulations that were carried forward and used in both the pivotal </w:t>
      </w:r>
      <w:r>
        <w:t>Phase III</w:t>
      </w:r>
      <w:r w:rsidRPr="0097422E">
        <w:t xml:space="preserve"> trial and the supportive Phase </w:t>
      </w:r>
      <w:r>
        <w:t>I/II</w:t>
      </w:r>
      <w:r w:rsidRPr="0097422E">
        <w:t xml:space="preserve"> trial were evaluated in this report.</w:t>
      </w:r>
    </w:p>
    <w:p w:rsidR="00E660F2" w:rsidRDefault="00E660F2" w:rsidP="00E660F2">
      <w:r w:rsidRPr="0097422E">
        <w:t xml:space="preserve">A capsule formulation was used in the early part of each clinical trial, and as such, there is no single dataset to support the safety and </w:t>
      </w:r>
      <w:r w:rsidRPr="00B90C95">
        <w:t>efficacy of the proposed market formulation (tablet). Reliance is placed upon bioequivalence studies (not evaluated as part of the TGA’s clinical evaluation) and demonstration of efficacy and safety that is comparable between subgroups of the randomised Phase III trial population.</w:t>
      </w:r>
    </w:p>
    <w:p w:rsidR="00E660F2" w:rsidRPr="0097422E" w:rsidRDefault="00E660F2" w:rsidP="00E660F2">
      <w:r>
        <w:t xml:space="preserve">The clinical evaluator commented that </w:t>
      </w:r>
      <w:r w:rsidRPr="0097422E">
        <w:t>while this is not ideal, sufficient patients appear to have received only the tablet formulation to support demonstration of a treatment effect and an acceptable safety profile. Confirmation of the safety profile from evaluation of future trials would address this.</w:t>
      </w:r>
    </w:p>
    <w:p w:rsidR="00E660F2" w:rsidRDefault="00E660F2" w:rsidP="00E660F2">
      <w:pPr>
        <w:pStyle w:val="Heading4"/>
      </w:pPr>
      <w:r w:rsidRPr="00605AD4">
        <w:t>Guidance</w:t>
      </w:r>
    </w:p>
    <w:p w:rsidR="00E660F2" w:rsidRPr="002C21F6" w:rsidRDefault="00E660F2" w:rsidP="00E660F2">
      <w:pPr>
        <w:pStyle w:val="ListBullet"/>
        <w:numPr>
          <w:ilvl w:val="0"/>
          <w:numId w:val="1"/>
        </w:numPr>
        <w:rPr>
          <w:lang w:val="en-US"/>
        </w:rPr>
      </w:pPr>
      <w:r w:rsidRPr="002C21F6">
        <w:rPr>
          <w:lang w:val="en-US"/>
        </w:rPr>
        <w:t>Appendix 1 to the guideline on the evaluation of antica</w:t>
      </w:r>
      <w:r>
        <w:rPr>
          <w:lang w:val="en-US"/>
        </w:rPr>
        <w:t xml:space="preserve">ncer medicinal products in man: </w:t>
      </w:r>
      <w:r w:rsidRPr="002C21F6">
        <w:rPr>
          <w:lang w:val="en-US"/>
        </w:rPr>
        <w:t>Methodological</w:t>
      </w:r>
      <w:r>
        <w:rPr>
          <w:lang w:val="en-US"/>
        </w:rPr>
        <w:t xml:space="preserve"> </w:t>
      </w:r>
      <w:r w:rsidRPr="002C21F6">
        <w:rPr>
          <w:lang w:val="en-US"/>
        </w:rPr>
        <w:t>consideration for using progression-free survival (PFS) or disease-free survival (DFS) in confirmatory trials. European M</w:t>
      </w:r>
      <w:r>
        <w:rPr>
          <w:lang w:val="en-US"/>
        </w:rPr>
        <w:t xml:space="preserve">edicines Agency 2011; Doc. Ref. </w:t>
      </w:r>
      <w:r w:rsidRPr="002C21F6">
        <w:rPr>
          <w:lang w:val="en-US"/>
        </w:rPr>
        <w:t>EMA/CHMP/27994/2008.</w:t>
      </w:r>
    </w:p>
    <w:p w:rsidR="00E660F2" w:rsidRDefault="00E660F2" w:rsidP="00E660F2">
      <w:pPr>
        <w:pStyle w:val="ListBullet"/>
        <w:numPr>
          <w:ilvl w:val="0"/>
          <w:numId w:val="1"/>
        </w:numPr>
        <w:rPr>
          <w:lang w:val="en-US"/>
        </w:rPr>
      </w:pPr>
      <w:r w:rsidRPr="007C3398">
        <w:rPr>
          <w:lang w:val="en-US"/>
        </w:rPr>
        <w:t>Food and Drug Administration. Guidance for industry: Patient-reported outcome measures—Use in medical product development to support labeling claims. December</w:t>
      </w:r>
      <w:r>
        <w:rPr>
          <w:lang w:val="en-US"/>
        </w:rPr>
        <w:t> </w:t>
      </w:r>
      <w:r w:rsidRPr="007C3398">
        <w:rPr>
          <w:lang w:val="en-US"/>
        </w:rPr>
        <w:t>2009</w:t>
      </w:r>
      <w:r>
        <w:rPr>
          <w:lang w:val="en-US"/>
        </w:rPr>
        <w:t xml:space="preserve">; accessed at: </w:t>
      </w:r>
      <w:hyperlink r:id="rId27" w:history="1">
        <w:r w:rsidRPr="004571EF">
          <w:rPr>
            <w:rStyle w:val="Hyperlink"/>
            <w:rFonts w:asciiTheme="minorHAnsi" w:eastAsiaTheme="minorHAnsi" w:hAnsiTheme="minorHAnsi"/>
            <w:lang w:val="en-US"/>
          </w:rPr>
          <w:t>https://www.fda.gov/downloads/drugs/guidances/ucm193282.pdf 12 April 2018</w:t>
        </w:r>
      </w:hyperlink>
    </w:p>
    <w:p w:rsidR="00E660F2" w:rsidRDefault="00E660F2" w:rsidP="00E660F2">
      <w:pPr>
        <w:pStyle w:val="Heading4"/>
      </w:pPr>
      <w:r w:rsidRPr="00605AD4">
        <w:t>Contents of the clinical dossier</w:t>
      </w:r>
    </w:p>
    <w:p w:rsidR="00E660F2" w:rsidRDefault="00E660F2" w:rsidP="00E660F2">
      <w:pPr>
        <w:pStyle w:val="Heading5"/>
      </w:pPr>
      <w:bookmarkStart w:id="102" w:name="_Toc386458767"/>
      <w:r>
        <w:t>Scope of the clinical dossier evaluated in this report</w:t>
      </w:r>
      <w:bookmarkEnd w:id="102"/>
    </w:p>
    <w:p w:rsidR="00E660F2" w:rsidRPr="00E223F8" w:rsidRDefault="00E660F2" w:rsidP="00E660F2">
      <w:pPr>
        <w:rPr>
          <w:lang w:val="en-US"/>
        </w:rPr>
      </w:pPr>
      <w:r w:rsidRPr="005D27EE">
        <w:rPr>
          <w:lang w:eastAsia="ja-JP"/>
        </w:rPr>
        <w:t xml:space="preserve">The dossier is stated to include </w:t>
      </w:r>
      <w:r w:rsidRPr="005D27EE">
        <w:rPr>
          <w:lang w:val="en-US"/>
        </w:rPr>
        <w:t>data from 14 clinical studies</w:t>
      </w:r>
      <w:r>
        <w:rPr>
          <w:lang w:val="en-US"/>
        </w:rPr>
        <w:t>;</w:t>
      </w:r>
      <w:r w:rsidRPr="005D27EE">
        <w:rPr>
          <w:lang w:val="en-US"/>
        </w:rPr>
        <w:t xml:space="preserve"> the pivotal </w:t>
      </w:r>
      <w:r>
        <w:rPr>
          <w:lang w:val="en-US"/>
        </w:rPr>
        <w:t>Phase III</w:t>
      </w:r>
      <w:r w:rsidRPr="005D27EE">
        <w:rPr>
          <w:lang w:val="en-US"/>
        </w:rPr>
        <w:t xml:space="preserve"> study in </w:t>
      </w:r>
      <w:r w:rsidRPr="00E223F8">
        <w:rPr>
          <w:lang w:val="en-US"/>
        </w:rPr>
        <w:t>patients with NM-CRPC (Study ARN-509-003), and 13 Phase I or Phase I/II studies in healthy volunteers and patients with prostate cancer.</w:t>
      </w:r>
    </w:p>
    <w:p w:rsidR="00E660F2" w:rsidRPr="005D27EE" w:rsidRDefault="00E660F2" w:rsidP="00E660F2">
      <w:pPr>
        <w:rPr>
          <w:lang w:val="en-US"/>
        </w:rPr>
      </w:pPr>
      <w:r w:rsidRPr="00E223F8">
        <w:rPr>
          <w:lang w:val="en-US"/>
        </w:rPr>
        <w:t>This clinical evaluation is a full evaluation of the safety and efficacy from two clinical studies with the pivotal Phase III study being relied upon to provide evidence in support of the safety and efficacy for the proposed usage:</w:t>
      </w:r>
    </w:p>
    <w:p w:rsidR="00E660F2" w:rsidRPr="0097422E" w:rsidRDefault="00E660F2" w:rsidP="00E660F2">
      <w:pPr>
        <w:pStyle w:val="Numberbullet0"/>
        <w:numPr>
          <w:ilvl w:val="0"/>
          <w:numId w:val="7"/>
        </w:numPr>
        <w:ind w:left="567"/>
        <w:rPr>
          <w:lang w:val="en-US"/>
        </w:rPr>
      </w:pPr>
      <w:r>
        <w:rPr>
          <w:lang w:val="en-US"/>
        </w:rPr>
        <w:t>Phase III</w:t>
      </w:r>
      <w:r w:rsidRPr="0097422E">
        <w:rPr>
          <w:lang w:val="en-US"/>
        </w:rPr>
        <w:t xml:space="preserve"> study: Study ARN-509-003 (SPARTAN</w:t>
      </w:r>
      <w:r>
        <w:rPr>
          <w:lang w:val="en-US"/>
        </w:rPr>
        <w:t xml:space="preserve"> trial</w:t>
      </w:r>
      <w:r w:rsidRPr="0097422E">
        <w:rPr>
          <w:lang w:val="en-US"/>
        </w:rPr>
        <w:t>)</w:t>
      </w:r>
      <w:r>
        <w:rPr>
          <w:lang w:val="en-US"/>
        </w:rPr>
        <w:t>;</w:t>
      </w:r>
      <w:r w:rsidRPr="0097422E">
        <w:rPr>
          <w:lang w:val="en-US"/>
        </w:rPr>
        <w:t xml:space="preserve"> a multicentre, randomised (2:1), double-blind, placebo-controlled, in N=1207 patients.</w:t>
      </w:r>
    </w:p>
    <w:p w:rsidR="00E660F2" w:rsidRPr="00DC7B82" w:rsidRDefault="00E660F2" w:rsidP="00E660F2">
      <w:pPr>
        <w:pStyle w:val="Numberbullet0"/>
        <w:numPr>
          <w:ilvl w:val="0"/>
          <w:numId w:val="2"/>
        </w:numPr>
        <w:ind w:left="567"/>
        <w:rPr>
          <w:lang w:val="en-US"/>
        </w:rPr>
      </w:pPr>
      <w:r>
        <w:rPr>
          <w:lang w:val="en-US"/>
        </w:rPr>
        <w:t>Phase I</w:t>
      </w:r>
      <w:r w:rsidRPr="00DC7B82">
        <w:rPr>
          <w:lang w:val="en-US"/>
        </w:rPr>
        <w:t>/</w:t>
      </w:r>
      <w:r>
        <w:rPr>
          <w:lang w:val="en-US"/>
        </w:rPr>
        <w:t>II</w:t>
      </w:r>
      <w:r w:rsidRPr="00DC7B82">
        <w:rPr>
          <w:lang w:val="en-US"/>
        </w:rPr>
        <w:t xml:space="preserve"> Study: Study ARN-509-001</w:t>
      </w:r>
      <w:r>
        <w:rPr>
          <w:lang w:val="en-US"/>
        </w:rPr>
        <w:t>;</w:t>
      </w:r>
      <w:r w:rsidRPr="00DC7B82">
        <w:rPr>
          <w:lang w:val="en-US"/>
        </w:rPr>
        <w:t xml:space="preserve"> </w:t>
      </w:r>
      <w:r w:rsidRPr="00DC7B82">
        <w:rPr>
          <w:rFonts w:cs="–MÉ_ˇ"/>
          <w:lang w:val="en-US"/>
        </w:rPr>
        <w:t xml:space="preserve">an open-label, </w:t>
      </w:r>
      <w:r>
        <w:rPr>
          <w:rFonts w:cs="–MÉ_ˇ"/>
          <w:lang w:val="en-US"/>
        </w:rPr>
        <w:t>Phase I/II</w:t>
      </w:r>
      <w:r w:rsidRPr="00DC7B82">
        <w:rPr>
          <w:rFonts w:cs="–MÉ_ˇ"/>
          <w:lang w:val="en-US"/>
        </w:rPr>
        <w:t xml:space="preserve"> safety, </w:t>
      </w:r>
      <w:r>
        <w:rPr>
          <w:rFonts w:cs="–MÉ_ˇ"/>
          <w:lang w:val="en-US"/>
        </w:rPr>
        <w:t>PK</w:t>
      </w:r>
      <w:r w:rsidRPr="00DC7B82">
        <w:rPr>
          <w:rFonts w:cs="–MÉ_ˇ"/>
          <w:lang w:val="en-US"/>
        </w:rPr>
        <w:t>, and proof-of-concept study of arn-509 in patients with progressive advanced castration-resistant prostate cancer</w:t>
      </w:r>
      <w:r>
        <w:rPr>
          <w:rFonts w:cs="–MÉ_ˇ"/>
          <w:lang w:val="en-US"/>
        </w:rPr>
        <w:t>.</w:t>
      </w:r>
    </w:p>
    <w:p w:rsidR="00E660F2" w:rsidRDefault="00E660F2" w:rsidP="00E660F2">
      <w:pPr>
        <w:rPr>
          <w:lang w:val="en-US"/>
        </w:rPr>
      </w:pPr>
      <w:r>
        <w:rPr>
          <w:lang w:val="en-US"/>
        </w:rPr>
        <w:lastRenderedPageBreak/>
        <w:t>Very limited safety data were provided from a Phase Ib study. The safety data from this study report have been reviewed but not summarised in depth, to identify any safety signals.</w:t>
      </w:r>
    </w:p>
    <w:p w:rsidR="00E660F2" w:rsidRPr="00B90C95" w:rsidRDefault="00E660F2" w:rsidP="00E660F2">
      <w:pPr>
        <w:pStyle w:val="ListBullet"/>
        <w:numPr>
          <w:ilvl w:val="0"/>
          <w:numId w:val="1"/>
        </w:numPr>
        <w:rPr>
          <w:lang w:val="en-US"/>
        </w:rPr>
      </w:pPr>
      <w:r w:rsidRPr="00B90C95">
        <w:rPr>
          <w:lang w:val="en-US"/>
        </w:rPr>
        <w:t>Phase Ib Study 56021927PCR1019; an open-label, Phase Ib Study to evaluate the effects of apalutamide and its active metabolite JNJ-56142060 on ventricular repolarisation (QTcF) by using time-matched ECGs at baseline and on study drug in patients with CRPC</w:t>
      </w:r>
      <w:r>
        <w:rPr>
          <w:lang w:val="en-US"/>
        </w:rPr>
        <w:t>.</w:t>
      </w:r>
    </w:p>
    <w:p w:rsidR="00E660F2" w:rsidRPr="00500337" w:rsidRDefault="00E660F2" w:rsidP="00E660F2">
      <w:r w:rsidRPr="00B90C95">
        <w:rPr>
          <w:rFonts w:asciiTheme="minorHAnsi" w:hAnsiTheme="minorHAnsi"/>
          <w:lang w:eastAsia="ja-JP"/>
        </w:rPr>
        <w:t>No pharmacokinetic or pharmacodynamic data or associated reports have been evaluated within the TGA’s clinical evaluation report.</w:t>
      </w:r>
    </w:p>
    <w:p w:rsidR="00E660F2" w:rsidRDefault="00E660F2" w:rsidP="00E660F2">
      <w:pPr>
        <w:pStyle w:val="Heading4"/>
      </w:pPr>
      <w:r w:rsidRPr="00605AD4">
        <w:t>Paediatric data</w:t>
      </w:r>
    </w:p>
    <w:p w:rsidR="00E660F2" w:rsidRPr="00500337" w:rsidRDefault="00E660F2" w:rsidP="00E660F2">
      <w:r w:rsidRPr="00887671">
        <w:t>Not applicable.</w:t>
      </w:r>
    </w:p>
    <w:p w:rsidR="00E660F2" w:rsidRDefault="00E660F2" w:rsidP="00E660F2">
      <w:pPr>
        <w:pStyle w:val="Heading4"/>
      </w:pPr>
      <w:r w:rsidRPr="00605AD4">
        <w:t>Good clinical practice</w:t>
      </w:r>
    </w:p>
    <w:p w:rsidR="00E660F2" w:rsidRPr="00B90C95" w:rsidRDefault="00E660F2" w:rsidP="00E660F2">
      <w:r w:rsidRPr="00887671">
        <w:t xml:space="preserve">The </w:t>
      </w:r>
      <w:r>
        <w:t>reports</w:t>
      </w:r>
      <w:r w:rsidRPr="00887671">
        <w:t xml:space="preserve"> for Studies ARN-509-001 and ARN-509-003 state </w:t>
      </w:r>
      <w:r>
        <w:t>‘</w:t>
      </w:r>
      <w:r w:rsidRPr="0068770E">
        <w:rPr>
          <w:i/>
        </w:rPr>
        <w:t xml:space="preserve">This study was conducted in accordance with the ethical principles that have their origin in the Declaration of Helsinki and that are consistent with Good Clinical Practices and applicable regulatory requirements. </w:t>
      </w:r>
      <w:r w:rsidRPr="00B90C95">
        <w:rPr>
          <w:i/>
        </w:rPr>
        <w:t>Known instances of non</w:t>
      </w:r>
      <w:r>
        <w:rPr>
          <w:i/>
        </w:rPr>
        <w:t>-</w:t>
      </w:r>
      <w:r w:rsidRPr="00B90C95">
        <w:rPr>
          <w:i/>
        </w:rPr>
        <w:t>conformance were documented and are not considered to have had an impact on the overall conclusions of this study</w:t>
      </w:r>
      <w:r w:rsidRPr="00B90C95">
        <w:t>.’</w:t>
      </w:r>
    </w:p>
    <w:p w:rsidR="00E660F2" w:rsidRPr="00B90C95" w:rsidRDefault="00E660F2" w:rsidP="00E660F2">
      <w:pPr>
        <w:pStyle w:val="Heading3"/>
      </w:pPr>
      <w:bookmarkStart w:id="103" w:name="_Toc523915068"/>
      <w:bookmarkStart w:id="104" w:name="_Toc5014068"/>
      <w:bookmarkEnd w:id="90"/>
      <w:bookmarkEnd w:id="99"/>
      <w:bookmarkEnd w:id="100"/>
      <w:bookmarkEnd w:id="101"/>
      <w:bookmarkEnd w:id="91"/>
      <w:r w:rsidRPr="008345E0">
        <w:t>Dosage selection for the pivotal studies</w:t>
      </w:r>
      <w:bookmarkEnd w:id="103"/>
      <w:bookmarkEnd w:id="104"/>
    </w:p>
    <w:p w:rsidR="00E660F2" w:rsidRPr="005623F1" w:rsidRDefault="00E660F2" w:rsidP="00E660F2">
      <w:r w:rsidRPr="00B90C95">
        <w:t>The proposed dose for use in humans was largely established through nonclinical and PK/PD data. The Phase I/II Study ARN509-001 had two parts: Phase I, designed to confirm the efficacy and safety of proposed dose for use in humans</w:t>
      </w:r>
      <w:r w:rsidRPr="005623F1">
        <w:t xml:space="preserve">, and Phase </w:t>
      </w:r>
      <w:r>
        <w:t>II</w:t>
      </w:r>
      <w:r w:rsidRPr="005623F1">
        <w:t xml:space="preserve"> with expansion cohorts to investigate efficacy and safety of the recommended Phase </w:t>
      </w:r>
      <w:r>
        <w:t>II</w:t>
      </w:r>
      <w:r w:rsidRPr="005623F1">
        <w:t xml:space="preserve"> dose (RP2D). The dose-finding/confirming and initial safety and efficacy data are presented in an initial report, with a second supplementary report submitted with a later cut-off date presenting updated safety and efficacy data. Given both reports provide data to inform safety and efficacy, and to preserve continuity, these are presented together and pri</w:t>
      </w:r>
      <w:r>
        <w:t xml:space="preserve">or to the pivotal study in the </w:t>
      </w:r>
      <w:r w:rsidRPr="007334F9">
        <w:rPr>
          <w:i/>
        </w:rPr>
        <w:t>Efficacy</w:t>
      </w:r>
      <w:r w:rsidRPr="005623F1">
        <w:t xml:space="preserve"> section</w:t>
      </w:r>
      <w:r>
        <w:t xml:space="preserve"> below</w:t>
      </w:r>
      <w:r w:rsidRPr="005623F1">
        <w:t xml:space="preserve">. The safety data are presented in the </w:t>
      </w:r>
      <w:r>
        <w:t>c</w:t>
      </w:r>
      <w:r w:rsidRPr="005623F1">
        <w:t xml:space="preserve">linical </w:t>
      </w:r>
      <w:r w:rsidRPr="007334F9">
        <w:rPr>
          <w:i/>
        </w:rPr>
        <w:t>Safety</w:t>
      </w:r>
      <w:r w:rsidRPr="005623F1">
        <w:t xml:space="preserve"> section</w:t>
      </w:r>
      <w:r>
        <w:t xml:space="preserve"> below</w:t>
      </w:r>
      <w:r w:rsidRPr="005623F1">
        <w:t>.</w:t>
      </w:r>
    </w:p>
    <w:p w:rsidR="00E660F2" w:rsidRPr="00254787" w:rsidRDefault="00E660F2" w:rsidP="00E660F2">
      <w:pPr>
        <w:pStyle w:val="Heading3"/>
      </w:pPr>
      <w:bookmarkStart w:id="105" w:name="_Toc163441372"/>
      <w:bookmarkStart w:id="106" w:name="_Toc196046485"/>
      <w:bookmarkStart w:id="107" w:name="_Toc247691521"/>
      <w:bookmarkStart w:id="108" w:name="_Toc314842504"/>
      <w:bookmarkStart w:id="109" w:name="_Toc523915069"/>
      <w:bookmarkStart w:id="110" w:name="_Toc5014069"/>
      <w:r w:rsidRPr="00254787">
        <w:t>Efficacy</w:t>
      </w:r>
      <w:bookmarkEnd w:id="105"/>
      <w:bookmarkEnd w:id="106"/>
      <w:bookmarkEnd w:id="107"/>
      <w:bookmarkEnd w:id="108"/>
      <w:bookmarkEnd w:id="109"/>
      <w:bookmarkEnd w:id="110"/>
    </w:p>
    <w:p w:rsidR="00E660F2" w:rsidRDefault="00E660F2" w:rsidP="00E660F2">
      <w:pPr>
        <w:pStyle w:val="Heading4"/>
      </w:pPr>
      <w:bookmarkStart w:id="111" w:name="_Toc184439992"/>
      <w:bookmarkStart w:id="112" w:name="_Toc184440279"/>
      <w:bookmarkStart w:id="113" w:name="_Toc184444657"/>
      <w:bookmarkStart w:id="114" w:name="_Toc196046487"/>
      <w:r>
        <w:t>Studies providing efficacy data</w:t>
      </w:r>
    </w:p>
    <w:p w:rsidR="00E660F2" w:rsidRPr="0068770E" w:rsidRDefault="00E660F2" w:rsidP="00E660F2">
      <w:bookmarkStart w:id="115" w:name="_Toc386458775"/>
      <w:r>
        <w:t>The p</w:t>
      </w:r>
      <w:r w:rsidRPr="005632DC">
        <w:t xml:space="preserve">ivotal </w:t>
      </w:r>
      <w:r>
        <w:t>efficacy study</w:t>
      </w:r>
      <w:bookmarkEnd w:id="115"/>
      <w:r>
        <w:t xml:space="preserve"> was Study ARN-509-003 (the Spartan trial) a</w:t>
      </w:r>
      <w:r w:rsidRPr="0068770E">
        <w:t xml:space="preserve"> </w:t>
      </w:r>
      <w:r>
        <w:t>m</w:t>
      </w:r>
      <w:r w:rsidRPr="0068770E">
        <w:t>ulticent</w:t>
      </w:r>
      <w:r>
        <w:t>re</w:t>
      </w:r>
      <w:r w:rsidRPr="0068770E">
        <w:t xml:space="preserve">, </w:t>
      </w:r>
      <w:r>
        <w:t>randomis</w:t>
      </w:r>
      <w:r w:rsidRPr="0068770E">
        <w:t xml:space="preserve">ed, </w:t>
      </w:r>
      <w:r>
        <w:t>d</w:t>
      </w:r>
      <w:r w:rsidRPr="0068770E">
        <w:t>ouble</w:t>
      </w:r>
      <w:r>
        <w:t xml:space="preserve"> b</w:t>
      </w:r>
      <w:r w:rsidRPr="0068770E">
        <w:t xml:space="preserve">lind, </w:t>
      </w:r>
      <w:r>
        <w:t>p</w:t>
      </w:r>
      <w:r w:rsidRPr="0068770E">
        <w:t>lacebo</w:t>
      </w:r>
      <w:r>
        <w:t xml:space="preserve"> c</w:t>
      </w:r>
      <w:r w:rsidRPr="0068770E">
        <w:t>ontrolled, Phase III Study of ARN-</w:t>
      </w:r>
      <w:r>
        <w:t>509 in m</w:t>
      </w:r>
      <w:r w:rsidRPr="0068770E">
        <w:t xml:space="preserve">en with </w:t>
      </w:r>
      <w:r>
        <w:t>n</w:t>
      </w:r>
      <w:r w:rsidRPr="0068770E">
        <w:t>on-</w:t>
      </w:r>
      <w:r>
        <w:t>m</w:t>
      </w:r>
      <w:r w:rsidRPr="0068770E">
        <w:t xml:space="preserve">etastatic (M0) </w:t>
      </w:r>
      <w:r>
        <w:t>c</w:t>
      </w:r>
      <w:r w:rsidRPr="0068770E">
        <w:t>astration-</w:t>
      </w:r>
      <w:r>
        <w:t>r</w:t>
      </w:r>
      <w:r w:rsidRPr="0068770E">
        <w:t xml:space="preserve">esistant </w:t>
      </w:r>
      <w:r>
        <w:t>p</w:t>
      </w:r>
      <w:r w:rsidRPr="0068770E">
        <w:t xml:space="preserve">rostate </w:t>
      </w:r>
      <w:r>
        <w:t>c</w:t>
      </w:r>
      <w:r w:rsidRPr="0068770E">
        <w:t>ancer</w:t>
      </w:r>
      <w:r>
        <w:t>.</w:t>
      </w:r>
    </w:p>
    <w:p w:rsidR="00E660F2" w:rsidRPr="0097422E" w:rsidRDefault="00E660F2" w:rsidP="00E660F2">
      <w:pPr>
        <w:pStyle w:val="Heading4"/>
      </w:pPr>
      <w:r>
        <w:t>Evaluator’s conclusions on efficacy</w:t>
      </w:r>
    </w:p>
    <w:p w:rsidR="00E660F2" w:rsidRPr="002E3A8A" w:rsidRDefault="00E660F2" w:rsidP="00E660F2">
      <w:r w:rsidRPr="001157ED">
        <w:t xml:space="preserve">The demonstration of </w:t>
      </w:r>
      <w:r>
        <w:t>the efficacy of apalutamide in patients with NM-CRPC</w:t>
      </w:r>
      <w:r w:rsidRPr="001157ED">
        <w:t xml:space="preserve"> </w:t>
      </w:r>
      <w:r>
        <w:t>relies</w:t>
      </w:r>
      <w:r w:rsidRPr="001157ED">
        <w:t xml:space="preserve"> upon results from the </w:t>
      </w:r>
      <w:r>
        <w:t>Phase III Study ARN 509-003 which randomis</w:t>
      </w:r>
      <w:r w:rsidRPr="001157ED">
        <w:t>ed 1207 patients to receive either 240</w:t>
      </w:r>
      <w:r>
        <w:t xml:space="preserve"> </w:t>
      </w:r>
      <w:r w:rsidRPr="001157ED">
        <w:t xml:space="preserve">mg apalutamide orally daily (n = 806) or matched placebo (n = 401), in addition to ongoing ADT: either </w:t>
      </w:r>
      <w:r>
        <w:t>a gonadotrophin releasing hormone agonist (</w:t>
      </w:r>
      <w:r w:rsidRPr="001157ED">
        <w:t>GnRHa</w:t>
      </w:r>
      <w:r>
        <w:t>)</w:t>
      </w:r>
      <w:r w:rsidRPr="001157ED">
        <w:t xml:space="preserve"> or for a smaller percentage (6%), following bilateral orchidectomy. Dose reductions to 180 mg and then to 120 mg in patients were permitted </w:t>
      </w:r>
      <w:r>
        <w:t>to manage</w:t>
      </w:r>
      <w:r w:rsidRPr="001157ED">
        <w:t xml:space="preserve"> adverse events. </w:t>
      </w:r>
      <w:r>
        <w:t>A</w:t>
      </w:r>
      <w:r w:rsidRPr="001157ED">
        <w:t xml:space="preserve"> Blinded Inde</w:t>
      </w:r>
      <w:r>
        <w:t>pendent Central Review (BICR)</w:t>
      </w:r>
      <w:r w:rsidRPr="001157ED">
        <w:t xml:space="preserve"> confirm</w:t>
      </w:r>
      <w:r>
        <w:t>ed</w:t>
      </w:r>
      <w:r w:rsidRPr="001157ED">
        <w:t xml:space="preserve"> </w:t>
      </w:r>
      <w:r>
        <w:t>the absence of</w:t>
      </w:r>
      <w:r w:rsidRPr="001157ED">
        <w:t xml:space="preserve"> metastases prior to </w:t>
      </w:r>
      <w:r w:rsidRPr="001157ED">
        <w:lastRenderedPageBreak/>
        <w:t xml:space="preserve">randomisation and scans were reviewed by BICR every 16 weeks with additional scans </w:t>
      </w:r>
      <w:r>
        <w:t>permitted</w:t>
      </w:r>
      <w:r w:rsidRPr="001157ED">
        <w:t xml:space="preserve"> if </w:t>
      </w:r>
      <w:r>
        <w:t>clinically indicated</w:t>
      </w:r>
      <w:r w:rsidRPr="001157ED">
        <w:t xml:space="preserve"> and at the end of treatment. Imaging studies included </w:t>
      </w:r>
      <w:r w:rsidRPr="008703A7">
        <w:t xml:space="preserve">Computed tomography </w:t>
      </w:r>
      <w:r>
        <w:t>(</w:t>
      </w:r>
      <w:r w:rsidRPr="001157ED">
        <w:t>CT</w:t>
      </w:r>
      <w:r>
        <w:t>)</w:t>
      </w:r>
      <w:r w:rsidRPr="001157ED">
        <w:t xml:space="preserve"> or </w:t>
      </w:r>
      <w:r>
        <w:t>magnetic resonance imaging (</w:t>
      </w:r>
      <w:r w:rsidRPr="001157ED">
        <w:t>MRI</w:t>
      </w:r>
      <w:r>
        <w:t>)</w:t>
      </w:r>
      <w:r w:rsidRPr="001157ED">
        <w:t xml:space="preserve"> of the chest, abdomen, and pelvis, plus a bone scan. Areas of abnormal uptake on bone scan were confirmed with a CT or MRI by BICR. Serum PSA was assessed on Day 1 of Cycles 1 to 6, then every 2 cycles from Cycles 7</w:t>
      </w:r>
      <w:r>
        <w:t xml:space="preserve"> to </w:t>
      </w:r>
      <w:r w:rsidRPr="001157ED">
        <w:t xml:space="preserve">13 and then every 4 cycles, with results done by central laboratory and blinded to </w:t>
      </w:r>
      <w:r>
        <w:t>patients</w:t>
      </w:r>
      <w:r w:rsidRPr="001157ED">
        <w:t xml:space="preserve">, site </w:t>
      </w:r>
      <w:r w:rsidRPr="002E3A8A">
        <w:t xml:space="preserve">staff, and </w:t>
      </w:r>
      <w:r>
        <w:t>the sponsor</w:t>
      </w:r>
      <w:r w:rsidRPr="002E3A8A">
        <w:t>.</w:t>
      </w:r>
    </w:p>
    <w:p w:rsidR="00E660F2" w:rsidRDefault="00E660F2" w:rsidP="00E660F2">
      <w:r w:rsidRPr="002E3A8A">
        <w:t xml:space="preserve">Metastasis-free survival was clinically and statistically significantly improved in patients receiving apalutamide. The data are immature and </w:t>
      </w:r>
      <w:r>
        <w:t xml:space="preserve">with </w:t>
      </w:r>
      <w:r w:rsidRPr="002E3A8A">
        <w:t xml:space="preserve">the projected median </w:t>
      </w:r>
      <w:r>
        <w:t>m</w:t>
      </w:r>
      <w:r w:rsidRPr="006515C9">
        <w:rPr>
          <w:rFonts w:eastAsiaTheme="minorHAnsi" w:cs="–MÉ_ˇ"/>
          <w:lang w:val="en-US"/>
        </w:rPr>
        <w:t>etastasis</w:t>
      </w:r>
      <w:r>
        <w:rPr>
          <w:rFonts w:eastAsiaTheme="minorHAnsi" w:cs="–MÉ_ˇ"/>
          <w:lang w:val="en-US"/>
        </w:rPr>
        <w:t xml:space="preserve"> </w:t>
      </w:r>
      <w:r w:rsidRPr="006515C9">
        <w:rPr>
          <w:rFonts w:eastAsiaTheme="minorHAnsi" w:cs="–MÉ_ˇ"/>
          <w:lang w:val="en-US"/>
        </w:rPr>
        <w:t>free survival</w:t>
      </w:r>
      <w:r w:rsidRPr="002E3A8A">
        <w:t xml:space="preserve"> </w:t>
      </w:r>
      <w:r>
        <w:t>(</w:t>
      </w:r>
      <w:r w:rsidRPr="002E3A8A">
        <w:t>MFS</w:t>
      </w:r>
      <w:r>
        <w:t>)</w:t>
      </w:r>
      <w:r w:rsidRPr="002E3A8A">
        <w:t xml:space="preserve"> in the apalutamide arm more than twice the median duration of exposure</w:t>
      </w:r>
      <w:r>
        <w:t>;</w:t>
      </w:r>
      <w:r w:rsidRPr="002E3A8A">
        <w:t xml:space="preserve"> this</w:t>
      </w:r>
      <w:r>
        <w:t xml:space="preserve"> is</w:t>
      </w:r>
      <w:r w:rsidRPr="002E3A8A">
        <w:t xml:space="preserve"> a very approximate measure of benefit. This result is supported by multiple sensitivity analyses and the investigator</w:t>
      </w:r>
      <w:r>
        <w:t xml:space="preserve"> </w:t>
      </w:r>
      <w:r w:rsidRPr="002E3A8A">
        <w:t xml:space="preserve">determined analysis of MFS. Importantly, the hazard ratio was similarly favourable across all the quartiles by PSADT, suggesting that carefully selected patients with other known high risk factors and/or a PSADT ≥10 months </w:t>
      </w:r>
      <w:r>
        <w:t>are</w:t>
      </w:r>
      <w:r w:rsidRPr="002E3A8A">
        <w:t xml:space="preserve"> also</w:t>
      </w:r>
      <w:r>
        <w:t xml:space="preserve"> likely to benefit.</w:t>
      </w:r>
    </w:p>
    <w:p w:rsidR="00E660F2" w:rsidRPr="00DC403A" w:rsidRDefault="00E660F2" w:rsidP="00E660F2">
      <w:r w:rsidRPr="002E3A8A">
        <w:t xml:space="preserve">The secondary objectives of </w:t>
      </w:r>
      <w:r w:rsidRPr="001554EB">
        <w:t xml:space="preserve">time to metastasis </w:t>
      </w:r>
      <w:r>
        <w:t>(</w:t>
      </w:r>
      <w:r w:rsidRPr="002E3A8A">
        <w:t>TTM</w:t>
      </w:r>
      <w:r>
        <w:t>)</w:t>
      </w:r>
      <w:r w:rsidRPr="002E3A8A">
        <w:t xml:space="preserve">, PFS and time to symptomatic progression were also statistically significant as per the </w:t>
      </w:r>
      <w:r w:rsidRPr="00DC403A">
        <w:t>pre-specified hierarchical testing analysis plan. However, the data for some of these endpoints are too immat</w:t>
      </w:r>
      <w:r>
        <w:t>ure to justify</w:t>
      </w:r>
      <w:r w:rsidRPr="00DC403A">
        <w:t xml:space="preserve"> inclusion in the PI. </w:t>
      </w:r>
      <w:r>
        <w:t>Overall survival (</w:t>
      </w:r>
      <w:r w:rsidRPr="00DC403A">
        <w:t>OS</w:t>
      </w:r>
      <w:r>
        <w:t>)</w:t>
      </w:r>
      <w:r w:rsidRPr="00DC403A">
        <w:t xml:space="preserve"> data were not mature with 7.7% deaths in the apalutamide arm and 10.5% in the placebo arm and a later analysis is planned. However, the permitted cross-over from the placebo arm after the </w:t>
      </w:r>
      <w:r w:rsidRPr="00C5075F">
        <w:rPr>
          <w:lang w:val="en-US"/>
        </w:rPr>
        <w:t>Independent data and safety monitoring committee (IDMC)</w:t>
      </w:r>
      <w:r w:rsidRPr="00DC403A">
        <w:t xml:space="preserve"> recommendation, and the use of the</w:t>
      </w:r>
      <w:r>
        <w:t>rapies known to affect survival</w:t>
      </w:r>
      <w:r w:rsidRPr="00DC403A">
        <w:t xml:space="preserve"> are likely to limit whether an </w:t>
      </w:r>
      <w:r>
        <w:t>overall survival (</w:t>
      </w:r>
      <w:r w:rsidRPr="00DC403A">
        <w:t>OS</w:t>
      </w:r>
      <w:r>
        <w:t>)</w:t>
      </w:r>
      <w:r w:rsidRPr="00DC403A">
        <w:t xml:space="preserve"> benefit can be established. The additional endpoints of time to initiation of cytotoxic chemotherapy, time to PSA progression and </w:t>
      </w:r>
      <w:r>
        <w:t>time to second objective disease progression (</w:t>
      </w:r>
      <w:r w:rsidRPr="00DC403A">
        <w:t>PFS2</w:t>
      </w:r>
      <w:r>
        <w:t>)</w:t>
      </w:r>
      <w:r w:rsidRPr="00DC403A">
        <w:t xml:space="preserve"> were analysed as exploratory only and are limited by the small number of events in the apalutamide arm.</w:t>
      </w:r>
    </w:p>
    <w:p w:rsidR="00E660F2" w:rsidRPr="00DC403A" w:rsidRDefault="00E660F2" w:rsidP="00E660F2">
      <w:r w:rsidRPr="00DC403A">
        <w:t>Patient</w:t>
      </w:r>
      <w:r>
        <w:t xml:space="preserve"> </w:t>
      </w:r>
      <w:r w:rsidRPr="00DC403A">
        <w:t xml:space="preserve">reported outcomes were measured but </w:t>
      </w:r>
      <w:r>
        <w:t>were</w:t>
      </w:r>
      <w:r w:rsidRPr="00DC403A">
        <w:t xml:space="preserve"> in the main,</w:t>
      </w:r>
      <w:r>
        <w:t xml:space="preserve"> using tools designed</w:t>
      </w:r>
      <w:r w:rsidRPr="00DC403A">
        <w:t xml:space="preserve"> for </w:t>
      </w:r>
      <w:r>
        <w:t xml:space="preserve">capturing responses from patients with </w:t>
      </w:r>
      <w:r w:rsidRPr="00DC403A">
        <w:t>more advanced</w:t>
      </w:r>
      <w:r>
        <w:t>,</w:t>
      </w:r>
      <w:r w:rsidRPr="00DC403A">
        <w:t xml:space="preserve"> symptomatic disease</w:t>
      </w:r>
      <w:r>
        <w:t>. As such,</w:t>
      </w:r>
      <w:r w:rsidRPr="00DC403A">
        <w:t xml:space="preserve"> </w:t>
      </w:r>
      <w:r>
        <w:t>these</w:t>
      </w:r>
      <w:r w:rsidRPr="00DC403A">
        <w:t xml:space="preserve"> </w:t>
      </w:r>
      <w:r>
        <w:t>do not specifically target questions towards and therefore will not necessarily</w:t>
      </w:r>
      <w:r w:rsidRPr="00DC403A">
        <w:t xml:space="preserve"> capture</w:t>
      </w:r>
      <w:r>
        <w:t xml:space="preserve"> adequately,</w:t>
      </w:r>
      <w:r w:rsidRPr="00DC403A">
        <w:t xml:space="preserve"> treatment</w:t>
      </w:r>
      <w:r>
        <w:t xml:space="preserve"> </w:t>
      </w:r>
      <w:r w:rsidRPr="00DC403A">
        <w:t xml:space="preserve">related </w:t>
      </w:r>
      <w:r>
        <w:t xml:space="preserve">adverse </w:t>
      </w:r>
      <w:r w:rsidRPr="00DC403A">
        <w:t>effects</w:t>
      </w:r>
      <w:r>
        <w:t xml:space="preserve"> in a largely asymptomatic population</w:t>
      </w:r>
      <w:r w:rsidRPr="00DC403A">
        <w:t xml:space="preserve">. Nonetheless, there were measures that indicate </w:t>
      </w:r>
      <w:r w:rsidRPr="00DC403A">
        <w:rPr>
          <w:rFonts w:cstheme="majorHAnsi"/>
          <w:lang w:val="en-US" w:eastAsia="ja-JP"/>
        </w:rPr>
        <w:t>a shorter median time to degradation in the apalutamide arm for overall functioning but longer median time to degradation for measures of prostate cancer symptoms. This would be consistent with an efficacious therapy that has delayed disease progression.</w:t>
      </w:r>
    </w:p>
    <w:p w:rsidR="00E660F2" w:rsidRPr="00500337" w:rsidRDefault="00E660F2" w:rsidP="00E660F2">
      <w:r w:rsidRPr="00DC403A">
        <w:t>Overall</w:t>
      </w:r>
      <w:r>
        <w:t>, the findings support the registration of apalutamide for the proposed usage and the use of metastasis-free survival as a surrogate endpoint is supported by the large treatment effect.</w:t>
      </w:r>
    </w:p>
    <w:p w:rsidR="00E660F2" w:rsidRPr="002E238E" w:rsidRDefault="00E660F2" w:rsidP="00E660F2">
      <w:pPr>
        <w:pStyle w:val="Heading3"/>
      </w:pPr>
      <w:bookmarkStart w:id="116" w:name="_Toc163441378"/>
      <w:bookmarkStart w:id="117" w:name="_Toc196046495"/>
      <w:bookmarkStart w:id="118" w:name="_Toc247691522"/>
      <w:bookmarkStart w:id="119" w:name="_Toc314842505"/>
      <w:bookmarkStart w:id="120" w:name="_Toc523915070"/>
      <w:bookmarkStart w:id="121" w:name="_Toc5014070"/>
      <w:bookmarkEnd w:id="111"/>
      <w:bookmarkEnd w:id="112"/>
      <w:bookmarkEnd w:id="113"/>
      <w:bookmarkEnd w:id="114"/>
      <w:r w:rsidRPr="002E238E">
        <w:t>Safety</w:t>
      </w:r>
      <w:bookmarkEnd w:id="116"/>
      <w:bookmarkEnd w:id="117"/>
      <w:bookmarkEnd w:id="118"/>
      <w:bookmarkEnd w:id="119"/>
      <w:bookmarkEnd w:id="120"/>
      <w:bookmarkEnd w:id="121"/>
    </w:p>
    <w:p w:rsidR="00E660F2" w:rsidRDefault="00E660F2" w:rsidP="00E660F2">
      <w:pPr>
        <w:pStyle w:val="Heading4"/>
      </w:pPr>
      <w:bookmarkStart w:id="122" w:name="_Toc247691524"/>
      <w:bookmarkStart w:id="123" w:name="_Toc314842508"/>
      <w:bookmarkStart w:id="124" w:name="_Toc196046504"/>
      <w:bookmarkStart w:id="125" w:name="_Toc163441390"/>
      <w:r w:rsidRPr="00605AD4">
        <w:t>Studies providing safety data</w:t>
      </w:r>
    </w:p>
    <w:p w:rsidR="00E660F2" w:rsidRDefault="00E660F2" w:rsidP="00E660F2">
      <w:pPr>
        <w:rPr>
          <w:lang w:val="en-US"/>
        </w:rPr>
      </w:pPr>
      <w:r>
        <w:rPr>
          <w:lang w:val="en-US"/>
        </w:rPr>
        <w:t>In the Integrated Safety dataset, s</w:t>
      </w:r>
      <w:r w:rsidRPr="00F4654F">
        <w:rPr>
          <w:lang w:val="en-US"/>
        </w:rPr>
        <w:t xml:space="preserve">afety data from the pivotal </w:t>
      </w:r>
      <w:r>
        <w:rPr>
          <w:lang w:val="en-US"/>
        </w:rPr>
        <w:t>Phase III</w:t>
      </w:r>
      <w:r w:rsidRPr="00F4654F">
        <w:rPr>
          <w:lang w:val="en-US"/>
        </w:rPr>
        <w:t xml:space="preserve"> Study ARN-509-003 were </w:t>
      </w:r>
      <w:r>
        <w:rPr>
          <w:lang w:val="en-US"/>
        </w:rPr>
        <w:t>combined</w:t>
      </w:r>
      <w:r w:rsidRPr="00F4654F">
        <w:rPr>
          <w:lang w:val="en-US"/>
        </w:rPr>
        <w:t xml:space="preserve"> with safety data from </w:t>
      </w:r>
      <w:r>
        <w:rPr>
          <w:lang w:val="en-US"/>
        </w:rPr>
        <w:t>patients</w:t>
      </w:r>
      <w:r w:rsidRPr="00F4654F">
        <w:rPr>
          <w:lang w:val="en-US"/>
        </w:rPr>
        <w:t xml:space="preserve"> who received 240 mg of apalutamide in 2 smaller studies, which included both NM-CRPC and metastatic CRPC (mCRPC) </w:t>
      </w:r>
      <w:r>
        <w:rPr>
          <w:lang w:val="en-US"/>
        </w:rPr>
        <w:t>patients</w:t>
      </w:r>
      <w:r w:rsidRPr="00F4654F">
        <w:rPr>
          <w:lang w:val="en-US"/>
        </w:rPr>
        <w:t xml:space="preserve"> (Phase </w:t>
      </w:r>
      <w:r>
        <w:rPr>
          <w:lang w:val="en-US"/>
        </w:rPr>
        <w:t>I</w:t>
      </w:r>
      <w:r w:rsidRPr="00F4654F">
        <w:rPr>
          <w:lang w:val="en-US"/>
        </w:rPr>
        <w:t>/</w:t>
      </w:r>
      <w:r>
        <w:rPr>
          <w:lang w:val="en-US"/>
        </w:rPr>
        <w:t>II</w:t>
      </w:r>
      <w:r w:rsidRPr="00F4654F">
        <w:rPr>
          <w:lang w:val="en-US"/>
        </w:rPr>
        <w:t xml:space="preserve"> Study ARN-509-001 </w:t>
      </w:r>
      <w:r>
        <w:rPr>
          <w:lang w:val="en-US"/>
        </w:rPr>
        <w:t>(</w:t>
      </w:r>
      <w:r w:rsidRPr="00F4654F">
        <w:rPr>
          <w:lang w:val="en-US"/>
        </w:rPr>
        <w:t xml:space="preserve">100 </w:t>
      </w:r>
      <w:r>
        <w:rPr>
          <w:lang w:val="en-US"/>
        </w:rPr>
        <w:t>patients)</w:t>
      </w:r>
      <w:r w:rsidRPr="00F4654F">
        <w:rPr>
          <w:lang w:val="en-US"/>
        </w:rPr>
        <w:t xml:space="preserve"> and Phase </w:t>
      </w:r>
      <w:r>
        <w:rPr>
          <w:lang w:val="en-US"/>
        </w:rPr>
        <w:t>I</w:t>
      </w:r>
      <w:r w:rsidRPr="00F4654F">
        <w:rPr>
          <w:lang w:val="en-US"/>
        </w:rPr>
        <w:t xml:space="preserve">b Study 56021927PCR1019 </w:t>
      </w:r>
      <w:r>
        <w:rPr>
          <w:lang w:val="en-US"/>
        </w:rPr>
        <w:t>(</w:t>
      </w:r>
      <w:r w:rsidRPr="00F4654F">
        <w:rPr>
          <w:lang w:val="en-US"/>
        </w:rPr>
        <w:t xml:space="preserve">45 </w:t>
      </w:r>
      <w:r>
        <w:rPr>
          <w:lang w:val="en-US"/>
        </w:rPr>
        <w:t>patients)</w:t>
      </w:r>
      <w:r w:rsidRPr="00F4654F">
        <w:rPr>
          <w:lang w:val="en-US"/>
        </w:rPr>
        <w:t xml:space="preserve">). These 3 studies were selected for integration </w:t>
      </w:r>
      <w:r>
        <w:rPr>
          <w:lang w:val="en-US"/>
        </w:rPr>
        <w:t>as all 3 studies consist</w:t>
      </w:r>
      <w:r w:rsidRPr="00F4654F">
        <w:rPr>
          <w:lang w:val="en-US"/>
        </w:rPr>
        <w:t xml:space="preserve"> of men with CRPC who were administered a continuous once daily dose of 240 mg of apalutamide, which is the intended registration dose. The safety database for apalutamide will grow pending the unblinding of 3 ongoing </w:t>
      </w:r>
      <w:r>
        <w:rPr>
          <w:lang w:val="en-US"/>
        </w:rPr>
        <w:t>Phase III</w:t>
      </w:r>
      <w:r w:rsidRPr="00F4654F">
        <w:rPr>
          <w:lang w:val="en-US"/>
        </w:rPr>
        <w:t xml:space="preserve"> studies.</w:t>
      </w:r>
    </w:p>
    <w:p w:rsidR="00E660F2" w:rsidRDefault="00E660F2" w:rsidP="00E660F2">
      <w:pPr>
        <w:rPr>
          <w:lang w:val="en-US"/>
        </w:rPr>
      </w:pPr>
      <w:r>
        <w:rPr>
          <w:lang w:val="en-US"/>
        </w:rPr>
        <w:lastRenderedPageBreak/>
        <w:t>The following studies in Table 6 are included in the sponsor’s Summary of Clinical Safety as providing data to inform the proposed usage:</w:t>
      </w:r>
    </w:p>
    <w:p w:rsidR="00E660F2" w:rsidRDefault="00E660F2" w:rsidP="00E660F2">
      <w:pPr>
        <w:pStyle w:val="TableTitle"/>
      </w:pPr>
      <w:bookmarkStart w:id="126" w:name="_Ref384205632"/>
      <w:bookmarkStart w:id="127" w:name="_Toc386458848"/>
      <w:r>
        <w:t>Table 6:</w:t>
      </w:r>
      <w:bookmarkEnd w:id="126"/>
      <w:r>
        <w:t xml:space="preserve"> Studies contributing to the Summary of Clinical Safety for apalutamide</w:t>
      </w:r>
      <w:bookmarkEnd w:id="127"/>
    </w:p>
    <w:p w:rsidR="00E660F2" w:rsidRPr="00F4654F" w:rsidRDefault="00E660F2" w:rsidP="00E660F2">
      <w:pPr>
        <w:widowControl w:val="0"/>
        <w:autoSpaceDE w:val="0"/>
        <w:autoSpaceDN w:val="0"/>
        <w:adjustRightInd w:val="0"/>
        <w:spacing w:before="0" w:after="0" w:line="240" w:lineRule="auto"/>
        <w:jc w:val="both"/>
        <w:rPr>
          <w:rFonts w:asciiTheme="minorHAnsi" w:eastAsiaTheme="minorHAnsi" w:hAnsiTheme="minorHAnsi" w:cs="–MÉ_ˇ"/>
          <w:lang w:val="en-US"/>
        </w:rPr>
      </w:pPr>
      <w:r>
        <w:rPr>
          <w:rFonts w:asciiTheme="minorHAnsi" w:eastAsiaTheme="minorHAnsi" w:hAnsiTheme="minorHAnsi" w:cs="–MÉ_ˇ"/>
          <w:noProof/>
          <w:lang w:eastAsia="en-AU"/>
        </w:rPr>
        <w:drawing>
          <wp:inline distT="0" distB="0" distL="0" distR="0" wp14:anchorId="1A26E6B1" wp14:editId="616CDF3A">
            <wp:extent cx="4629150" cy="4113453"/>
            <wp:effectExtent l="0" t="0" r="0" b="1905"/>
            <wp:docPr id="120" name="Picture 32" descr="Studies contributing to the Summary of Clinical Safety for apaluta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36469" cy="4119956"/>
                    </a:xfrm>
                    <a:prstGeom prst="rect">
                      <a:avLst/>
                    </a:prstGeom>
                    <a:noFill/>
                    <a:ln>
                      <a:noFill/>
                    </a:ln>
                  </pic:spPr>
                </pic:pic>
              </a:graphicData>
            </a:graphic>
          </wp:inline>
        </w:drawing>
      </w:r>
    </w:p>
    <w:p w:rsidR="00E660F2" w:rsidRDefault="00E660F2" w:rsidP="00E660F2">
      <w:r>
        <w:t>The e</w:t>
      </w:r>
      <w:r w:rsidRPr="00F4654F">
        <w:t>valuator comment</w:t>
      </w:r>
      <w:r>
        <w:t>ed that</w:t>
      </w:r>
      <w:r w:rsidRPr="00F4654F">
        <w:t>:</w:t>
      </w:r>
    </w:p>
    <w:p w:rsidR="00E660F2" w:rsidRPr="0097422E" w:rsidRDefault="00E660F2" w:rsidP="00E660F2">
      <w:pPr>
        <w:pStyle w:val="Numberbullet0"/>
        <w:numPr>
          <w:ilvl w:val="0"/>
          <w:numId w:val="8"/>
        </w:numPr>
        <w:ind w:left="567"/>
        <w:rPr>
          <w:lang w:val="en-US"/>
        </w:rPr>
      </w:pPr>
      <w:r w:rsidRPr="0097422E">
        <w:rPr>
          <w:lang w:val="en-US"/>
        </w:rPr>
        <w:t xml:space="preserve">Evidence for establishing the safety for the proposed usage is reliant upon data from randomised </w:t>
      </w:r>
      <w:r>
        <w:rPr>
          <w:lang w:val="en-US"/>
        </w:rPr>
        <w:t>Phase III</w:t>
      </w:r>
      <w:r w:rsidRPr="0097422E">
        <w:rPr>
          <w:lang w:val="en-US"/>
        </w:rPr>
        <w:t xml:space="preserve"> </w:t>
      </w:r>
      <w:r>
        <w:rPr>
          <w:lang w:val="en-US"/>
        </w:rPr>
        <w:t>S</w:t>
      </w:r>
      <w:r w:rsidRPr="0097422E">
        <w:rPr>
          <w:lang w:val="en-US"/>
        </w:rPr>
        <w:t>tudy ARN-509-003.</w:t>
      </w:r>
    </w:p>
    <w:p w:rsidR="00E660F2" w:rsidRPr="00C02336" w:rsidRDefault="00E660F2" w:rsidP="00E660F2">
      <w:pPr>
        <w:pStyle w:val="Numberbullet0"/>
        <w:numPr>
          <w:ilvl w:val="0"/>
          <w:numId w:val="2"/>
        </w:numPr>
        <w:ind w:left="567"/>
        <w:rPr>
          <w:lang w:val="en-US"/>
        </w:rPr>
      </w:pPr>
      <w:r w:rsidRPr="00C02336">
        <w:t>As previously stated, integration of the populations with different stages of disease for assessments of safety is not considered valid to provide appropriate assessments of risks for the</w:t>
      </w:r>
      <w:r>
        <w:t xml:space="preserve"> treatment of an asymptomatic population, that is, the</w:t>
      </w:r>
      <w:r w:rsidRPr="00C02336">
        <w:t xml:space="preserve"> proposed usage. Treatment of the more advanced disease states is associated with higher risks of adverse events, and registration is not currently being sought in this population.</w:t>
      </w:r>
    </w:p>
    <w:p w:rsidR="00E660F2" w:rsidRPr="006373EF" w:rsidRDefault="00E660F2" w:rsidP="00E660F2">
      <w:pPr>
        <w:pStyle w:val="Numberbullet0"/>
        <w:numPr>
          <w:ilvl w:val="0"/>
          <w:numId w:val="2"/>
        </w:numPr>
        <w:ind w:left="567"/>
        <w:rPr>
          <w:lang w:val="en-US"/>
        </w:rPr>
      </w:pPr>
      <w:r w:rsidRPr="00C02336">
        <w:t>The safety data from the treatment of these</w:t>
      </w:r>
      <w:r>
        <w:t xml:space="preserve"> more advanced</w:t>
      </w:r>
      <w:r w:rsidRPr="00C02336">
        <w:t xml:space="preserve"> populations will be evaluated for safety signals only</w:t>
      </w:r>
      <w:r>
        <w:t>.</w:t>
      </w:r>
    </w:p>
    <w:p w:rsidR="00E660F2" w:rsidRDefault="00E660F2" w:rsidP="00E660F2">
      <w:pPr>
        <w:pStyle w:val="Heading4"/>
      </w:pPr>
      <w:r w:rsidRPr="00605AD4">
        <w:t>Patient exposure</w:t>
      </w:r>
    </w:p>
    <w:p w:rsidR="00E660F2" w:rsidRPr="00330AA0" w:rsidRDefault="00E660F2" w:rsidP="00E660F2">
      <w:pPr>
        <w:rPr>
          <w:b/>
        </w:rPr>
      </w:pPr>
      <w:r w:rsidRPr="00330AA0">
        <w:t xml:space="preserve">Data for patient exposure for the </w:t>
      </w:r>
      <w:r>
        <w:t xml:space="preserve">integrated safety set, who were all prescribed the 240 mg daily </w:t>
      </w:r>
      <w:r w:rsidRPr="00330AA0">
        <w:t>dose of apalutamide</w:t>
      </w:r>
      <w:r>
        <w:t>, are</w:t>
      </w:r>
      <w:r w:rsidRPr="00330AA0">
        <w:t xml:space="preserve"> presented in </w:t>
      </w:r>
      <w:r>
        <w:t>Table 7</w:t>
      </w:r>
      <w:r w:rsidRPr="00330AA0">
        <w:t>.</w:t>
      </w:r>
    </w:p>
    <w:p w:rsidR="00E660F2" w:rsidRDefault="00E660F2" w:rsidP="00E660F2">
      <w:pPr>
        <w:pStyle w:val="TableTitle"/>
      </w:pPr>
      <w:bookmarkStart w:id="128" w:name="_Ref386439950"/>
      <w:bookmarkStart w:id="129" w:name="_Toc386458849"/>
      <w:r>
        <w:lastRenderedPageBreak/>
        <w:t>Table 7:</w:t>
      </w:r>
      <w:bookmarkEnd w:id="128"/>
      <w:r>
        <w:t xml:space="preserve"> Summary of cumulative exposure (Integrated safety set</w:t>
      </w:r>
      <w:bookmarkEnd w:id="129"/>
      <w:r>
        <w:t>)</w:t>
      </w:r>
    </w:p>
    <w:p w:rsidR="00E660F2" w:rsidRDefault="00E660F2" w:rsidP="00E660F2">
      <w:pPr>
        <w:widowControl w:val="0"/>
        <w:autoSpaceDE w:val="0"/>
        <w:autoSpaceDN w:val="0"/>
        <w:adjustRightInd w:val="0"/>
        <w:spacing w:before="0" w:after="0" w:line="240" w:lineRule="auto"/>
        <w:jc w:val="both"/>
        <w:rPr>
          <w:rFonts w:asciiTheme="minorHAnsi" w:eastAsiaTheme="minorHAnsi" w:hAnsiTheme="minorHAnsi" w:cs="–MÉ_ˇ"/>
          <w:lang w:val="en-US"/>
        </w:rPr>
      </w:pPr>
      <w:r>
        <w:rPr>
          <w:rFonts w:asciiTheme="minorHAnsi" w:eastAsiaTheme="minorHAnsi" w:hAnsiTheme="minorHAnsi" w:cs="–MÉ_ˇ"/>
          <w:noProof/>
          <w:lang w:eastAsia="en-AU"/>
        </w:rPr>
        <w:drawing>
          <wp:inline distT="0" distB="0" distL="0" distR="0" wp14:anchorId="28BCA67D" wp14:editId="684BCAE5">
            <wp:extent cx="5388388" cy="2381250"/>
            <wp:effectExtent l="0" t="0" r="3175" b="0"/>
            <wp:docPr id="121" name="Picture 33" descr="Summary of cumulative exposure Integrat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89658" cy="2381811"/>
                    </a:xfrm>
                    <a:prstGeom prst="rect">
                      <a:avLst/>
                    </a:prstGeom>
                    <a:noFill/>
                    <a:ln>
                      <a:noFill/>
                    </a:ln>
                  </pic:spPr>
                </pic:pic>
              </a:graphicData>
            </a:graphic>
          </wp:inline>
        </w:drawing>
      </w:r>
    </w:p>
    <w:p w:rsidR="00E660F2" w:rsidRPr="00D21C47" w:rsidRDefault="00E660F2" w:rsidP="00E660F2">
      <w:r>
        <w:t>The clinical e</w:t>
      </w:r>
      <w:r w:rsidRPr="00D21C47">
        <w:t>valuator comment</w:t>
      </w:r>
      <w:r>
        <w:t>ed that</w:t>
      </w:r>
      <w:r w:rsidRPr="00D21C47">
        <w:t>:</w:t>
      </w:r>
    </w:p>
    <w:p w:rsidR="00E660F2" w:rsidRDefault="00E660F2" w:rsidP="00E660F2">
      <w:pPr>
        <w:pStyle w:val="Numberbullet0"/>
        <w:numPr>
          <w:ilvl w:val="0"/>
          <w:numId w:val="9"/>
        </w:numPr>
        <w:ind w:left="567"/>
      </w:pPr>
      <w:r w:rsidRPr="00D21C47">
        <w:t xml:space="preserve">The cumulative exposure for the combined arm indicates that there is currently limited experience with the longer term treatment to support the estimated duration of efficacy. To make this clear to clinicians, the median duration of exposure should be communicated in </w:t>
      </w:r>
      <w:r>
        <w:t xml:space="preserve">the </w:t>
      </w:r>
      <w:r>
        <w:rPr>
          <w:i/>
        </w:rPr>
        <w:t>A</w:t>
      </w:r>
      <w:r w:rsidRPr="007334F9">
        <w:rPr>
          <w:i/>
        </w:rPr>
        <w:t>dverse drug reaction</w:t>
      </w:r>
      <w:r>
        <w:t xml:space="preserve"> (</w:t>
      </w:r>
      <w:r w:rsidRPr="00D21C47">
        <w:t>ADR</w:t>
      </w:r>
      <w:r>
        <w:t>)</w:t>
      </w:r>
      <w:r w:rsidRPr="00D21C47">
        <w:t xml:space="preserve"> section of the PI in both the text and in the table headings for ADRs.</w:t>
      </w:r>
    </w:p>
    <w:p w:rsidR="00E660F2" w:rsidRDefault="00E660F2" w:rsidP="00E660F2">
      <w:pPr>
        <w:pStyle w:val="Numberbullet0"/>
        <w:numPr>
          <w:ilvl w:val="0"/>
          <w:numId w:val="2"/>
        </w:numPr>
        <w:ind w:left="567"/>
      </w:pPr>
      <w:r>
        <w:t>The exposure reflects the planned treatment per protocol including any scheduled dose reductions but does not included treatment interruptions or non-compliance.</w:t>
      </w:r>
    </w:p>
    <w:p w:rsidR="00E660F2" w:rsidRPr="00D21C47" w:rsidRDefault="00E660F2" w:rsidP="00E660F2">
      <w:pPr>
        <w:pStyle w:val="Numberbullet0"/>
        <w:numPr>
          <w:ilvl w:val="0"/>
          <w:numId w:val="2"/>
        </w:numPr>
        <w:ind w:left="567"/>
      </w:pPr>
      <w:r>
        <w:t>No data on relative dose intensity of the two arms could be located by the evaluator to assess the effect of dose reductions, interruptions and non-compliance.</w:t>
      </w:r>
    </w:p>
    <w:p w:rsidR="00E660F2" w:rsidRDefault="00E660F2" w:rsidP="00E660F2">
      <w:pPr>
        <w:pStyle w:val="Heading5"/>
        <w:rPr>
          <w:lang w:val="en-US"/>
        </w:rPr>
      </w:pPr>
      <w:r>
        <w:rPr>
          <w:lang w:val="en-US"/>
        </w:rPr>
        <w:t>Study ARN 509-003</w:t>
      </w:r>
    </w:p>
    <w:p w:rsidR="00E660F2" w:rsidRDefault="00E660F2" w:rsidP="00E660F2">
      <w:pPr>
        <w:rPr>
          <w:lang w:val="en-US"/>
        </w:rPr>
      </w:pPr>
      <w:r w:rsidRPr="001B3167">
        <w:rPr>
          <w:lang w:val="en-US"/>
        </w:rPr>
        <w:t xml:space="preserve">As of the clinical cut-off, 61% of </w:t>
      </w:r>
      <w:r>
        <w:rPr>
          <w:lang w:val="en-US"/>
        </w:rPr>
        <w:t>patients</w:t>
      </w:r>
      <w:r w:rsidRPr="001B3167">
        <w:rPr>
          <w:lang w:val="en-US"/>
        </w:rPr>
        <w:t xml:space="preserve"> in the apalutamide arm and 30% of</w:t>
      </w:r>
      <w:r>
        <w:rPr>
          <w:lang w:val="en-US"/>
        </w:rPr>
        <w:t xml:space="preserve"> patients</w:t>
      </w:r>
      <w:r w:rsidRPr="001B3167">
        <w:rPr>
          <w:lang w:val="en-US"/>
        </w:rPr>
        <w:t xml:space="preserve"> in the placebo arm were s</w:t>
      </w:r>
      <w:r>
        <w:rPr>
          <w:lang w:val="en-US"/>
        </w:rPr>
        <w:t>till receiving study treatment and t</w:t>
      </w:r>
      <w:r w:rsidRPr="001B3167">
        <w:rPr>
          <w:lang w:val="en-US"/>
        </w:rPr>
        <w:t>he median treatment</w:t>
      </w:r>
      <w:r>
        <w:rPr>
          <w:lang w:val="en-US"/>
        </w:rPr>
        <w:t xml:space="preserve"> </w:t>
      </w:r>
      <w:r w:rsidRPr="001B3167">
        <w:rPr>
          <w:lang w:val="en-US"/>
        </w:rPr>
        <w:t>duration was estimated to be 16.9 months in the apalutamide arm and 11.2 months in the placebo</w:t>
      </w:r>
      <w:r>
        <w:rPr>
          <w:lang w:val="en-US"/>
        </w:rPr>
        <w:t xml:space="preserve"> </w:t>
      </w:r>
      <w:r w:rsidRPr="001B3167">
        <w:rPr>
          <w:lang w:val="en-US"/>
        </w:rPr>
        <w:t>arm</w:t>
      </w:r>
      <w:r>
        <w:rPr>
          <w:lang w:val="en-US"/>
        </w:rPr>
        <w:t xml:space="preserve">. </w:t>
      </w:r>
      <w:r w:rsidRPr="001B3167">
        <w:rPr>
          <w:lang w:val="en-US"/>
        </w:rPr>
        <w:t xml:space="preserve">Seventy percent (70%) of </w:t>
      </w:r>
      <w:r>
        <w:rPr>
          <w:lang w:val="en-US"/>
        </w:rPr>
        <w:t>patients</w:t>
      </w:r>
      <w:r w:rsidRPr="001B3167">
        <w:rPr>
          <w:lang w:val="en-US"/>
        </w:rPr>
        <w:t xml:space="preserve"> in the apalutamide arm and 45% of </w:t>
      </w:r>
      <w:r>
        <w:rPr>
          <w:lang w:val="en-US"/>
        </w:rPr>
        <w:t>patients</w:t>
      </w:r>
      <w:r w:rsidRPr="001B3167">
        <w:rPr>
          <w:lang w:val="en-US"/>
        </w:rPr>
        <w:t xml:space="preserve"> in the</w:t>
      </w:r>
      <w:r>
        <w:rPr>
          <w:lang w:val="en-US"/>
        </w:rPr>
        <w:t xml:space="preserve"> </w:t>
      </w:r>
      <w:r w:rsidRPr="001B3167">
        <w:rPr>
          <w:lang w:val="en-US"/>
        </w:rPr>
        <w:t>placebo arm received at least 12 months of treatment; 26% and 11% received at least 24 months</w:t>
      </w:r>
      <w:r>
        <w:rPr>
          <w:lang w:val="en-US"/>
        </w:rPr>
        <w:t xml:space="preserve"> </w:t>
      </w:r>
      <w:r w:rsidRPr="001B3167">
        <w:rPr>
          <w:lang w:val="en-US"/>
        </w:rPr>
        <w:t>of treatment, respectively</w:t>
      </w:r>
      <w:r>
        <w:rPr>
          <w:lang w:val="en-US"/>
        </w:rPr>
        <w:t xml:space="preserve"> (Table 8)</w:t>
      </w:r>
      <w:r w:rsidRPr="001B3167">
        <w:rPr>
          <w:lang w:val="en-US"/>
        </w:rPr>
        <w:t>.</w:t>
      </w:r>
    </w:p>
    <w:p w:rsidR="00E660F2" w:rsidRDefault="00E660F2" w:rsidP="00E660F2">
      <w:pPr>
        <w:pStyle w:val="TableTitle"/>
      </w:pPr>
      <w:bookmarkStart w:id="130" w:name="_Ref384308751"/>
      <w:bookmarkStart w:id="131" w:name="_Toc386458850"/>
      <w:r>
        <w:lastRenderedPageBreak/>
        <w:t>Table 8:</w:t>
      </w:r>
      <w:bookmarkEnd w:id="130"/>
      <w:r>
        <w:t xml:space="preserve"> Study ARN 509-003 Summary of cumulative exposure to study agent (Safety population</w:t>
      </w:r>
      <w:bookmarkEnd w:id="131"/>
      <w:r>
        <w:t>)</w:t>
      </w:r>
    </w:p>
    <w:p w:rsidR="00E660F2" w:rsidRDefault="00E660F2" w:rsidP="00E660F2">
      <w:pPr>
        <w:rPr>
          <w:lang w:eastAsia="ja-JP"/>
        </w:rPr>
      </w:pPr>
      <w:r>
        <w:rPr>
          <w:noProof/>
          <w:lang w:eastAsia="en-AU"/>
        </w:rPr>
        <w:drawing>
          <wp:inline distT="0" distB="0" distL="0" distR="0" wp14:anchorId="3EB3A9F4" wp14:editId="0D8BCBA9">
            <wp:extent cx="5308600" cy="2926295"/>
            <wp:effectExtent l="0" t="0" r="6350" b="7620"/>
            <wp:docPr id="77" name="Picture 70" descr="Study 003 Summary of cumulative exposure to study agent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09094" cy="2926567"/>
                    </a:xfrm>
                    <a:prstGeom prst="rect">
                      <a:avLst/>
                    </a:prstGeom>
                    <a:noFill/>
                    <a:ln>
                      <a:noFill/>
                    </a:ln>
                  </pic:spPr>
                </pic:pic>
              </a:graphicData>
            </a:graphic>
          </wp:inline>
        </w:drawing>
      </w:r>
    </w:p>
    <w:p w:rsidR="00E660F2" w:rsidRPr="00B22DD0" w:rsidRDefault="00E660F2" w:rsidP="00E660F2">
      <w:pPr>
        <w:rPr>
          <w:lang w:eastAsia="ja-JP"/>
        </w:rPr>
      </w:pPr>
      <w:r w:rsidRPr="00B22DD0">
        <w:rPr>
          <w:lang w:eastAsia="ja-JP"/>
        </w:rPr>
        <w:t xml:space="preserve">The median duration of exposure was higher in the apalutamide arm, consistent with the improved efficacy. Exposure is calculated figures based on the dosing planned, but the figures for compliance indicate that many patients </w:t>
      </w:r>
      <w:r>
        <w:rPr>
          <w:lang w:eastAsia="ja-JP"/>
        </w:rPr>
        <w:t>did not adhere to this regimen</w:t>
      </w:r>
      <w:r w:rsidRPr="00B22DD0">
        <w:rPr>
          <w:lang w:eastAsia="ja-JP"/>
        </w:rPr>
        <w:t>. The reasons for this non-compliance are not provided but the calculations included missed/forgotten doses and whether these were intentional or an oversight is not clear.</w:t>
      </w:r>
    </w:p>
    <w:p w:rsidR="00E660F2" w:rsidRDefault="008F0588" w:rsidP="00E660F2">
      <w:pPr>
        <w:pStyle w:val="Heading5"/>
        <w:rPr>
          <w:lang w:val="en-US"/>
        </w:rPr>
      </w:pPr>
      <w:r>
        <w:rPr>
          <w:lang w:val="en-US"/>
        </w:rPr>
        <w:t>Phase II Study ARN 509-001</w:t>
      </w:r>
    </w:p>
    <w:p w:rsidR="00E660F2" w:rsidRDefault="00E660F2" w:rsidP="00E660F2">
      <w:pPr>
        <w:rPr>
          <w:lang w:val="en-US" w:eastAsia="ja-JP"/>
        </w:rPr>
      </w:pPr>
      <w:r>
        <w:rPr>
          <w:lang w:val="en-US" w:eastAsia="ja-JP"/>
        </w:rPr>
        <w:t>From the study report Addendum (cut-off date of 31 March 2017)</w:t>
      </w:r>
      <w:r>
        <w:rPr>
          <w:lang w:val="en-US"/>
        </w:rPr>
        <w:t>, t</w:t>
      </w:r>
      <w:r w:rsidRPr="00240F5A">
        <w:rPr>
          <w:lang w:val="en-US"/>
        </w:rPr>
        <w:t>he median duration of treatment was 27 months for Cohort 1, 21</w:t>
      </w:r>
      <w:r>
        <w:rPr>
          <w:lang w:val="en-US"/>
        </w:rPr>
        <w:t xml:space="preserve"> </w:t>
      </w:r>
      <w:r w:rsidRPr="00240F5A">
        <w:rPr>
          <w:lang w:val="en-US"/>
        </w:rPr>
        <w:t>months for Cohort 2 and 5 months for Cohort 3. The median number of cycles for Cohort 1 was</w:t>
      </w:r>
      <w:r>
        <w:rPr>
          <w:lang w:val="en-US"/>
        </w:rPr>
        <w:t xml:space="preserve"> </w:t>
      </w:r>
      <w:r w:rsidRPr="00240F5A">
        <w:rPr>
          <w:lang w:val="en-US"/>
        </w:rPr>
        <w:t>25 cycles (range: 1 to 63), Cohort 2 was 21</w:t>
      </w:r>
      <w:r>
        <w:rPr>
          <w:lang w:val="en-US"/>
        </w:rPr>
        <w:t> </w:t>
      </w:r>
      <w:r w:rsidRPr="00240F5A">
        <w:rPr>
          <w:lang w:val="en-US"/>
        </w:rPr>
        <w:t>cycles (range 3 to 69), and Cohort 3 was 6 cycles</w:t>
      </w:r>
      <w:r>
        <w:rPr>
          <w:lang w:val="en-US"/>
        </w:rPr>
        <w:t xml:space="preserve"> </w:t>
      </w:r>
      <w:r w:rsidRPr="00240F5A">
        <w:rPr>
          <w:lang w:val="en-US"/>
        </w:rPr>
        <w:t>(range 2 to 20</w:t>
      </w:r>
      <w:r>
        <w:rPr>
          <w:lang w:val="en-US"/>
        </w:rPr>
        <w:t>).</w:t>
      </w:r>
    </w:p>
    <w:p w:rsidR="00E660F2" w:rsidRDefault="00E660F2" w:rsidP="00E660F2">
      <w:pPr>
        <w:rPr>
          <w:lang w:val="en-US"/>
        </w:rPr>
      </w:pPr>
      <w:r>
        <w:rPr>
          <w:lang w:val="en-US"/>
        </w:rPr>
        <w:t>The clinical evaluator commented that:</w:t>
      </w:r>
    </w:p>
    <w:p w:rsidR="00E660F2" w:rsidRDefault="00E660F2" w:rsidP="00E660F2">
      <w:pPr>
        <w:pStyle w:val="ListBullet"/>
        <w:numPr>
          <w:ilvl w:val="0"/>
          <w:numId w:val="1"/>
        </w:numPr>
        <w:rPr>
          <w:lang w:val="en-US"/>
        </w:rPr>
      </w:pPr>
      <w:r>
        <w:rPr>
          <w:lang w:val="en-US"/>
        </w:rPr>
        <w:t>The duration of exposure reflects the respective response rates and differing disease stage of each cohort.</w:t>
      </w:r>
    </w:p>
    <w:p w:rsidR="00E660F2" w:rsidRPr="006A630A" w:rsidRDefault="00E660F2" w:rsidP="00E660F2">
      <w:pPr>
        <w:pStyle w:val="ListBullet"/>
        <w:numPr>
          <w:ilvl w:val="0"/>
          <w:numId w:val="1"/>
        </w:numPr>
        <w:rPr>
          <w:lang w:val="en-US"/>
        </w:rPr>
      </w:pPr>
      <w:r w:rsidRPr="006A630A">
        <w:rPr>
          <w:lang w:val="en-US"/>
        </w:rPr>
        <w:t>Extensive exposure data were provided on the proportion of patients receiving</w:t>
      </w:r>
      <w:r>
        <w:rPr>
          <w:lang w:val="en-US"/>
        </w:rPr>
        <w:t xml:space="preserve"> the</w:t>
      </w:r>
      <w:r w:rsidRPr="006A630A">
        <w:rPr>
          <w:lang w:val="en-US"/>
        </w:rPr>
        <w:t xml:space="preserve"> soft gel formulation during the course of the study.</w:t>
      </w:r>
    </w:p>
    <w:p w:rsidR="00E660F2" w:rsidRPr="00326D4E" w:rsidRDefault="00E660F2" w:rsidP="00E660F2">
      <w:pPr>
        <w:pStyle w:val="Heading5"/>
        <w:rPr>
          <w:lang w:val="en-US"/>
        </w:rPr>
      </w:pPr>
      <w:r w:rsidRPr="00326D4E">
        <w:rPr>
          <w:lang w:val="en-US"/>
        </w:rPr>
        <w:t>Study 1019</w:t>
      </w:r>
    </w:p>
    <w:p w:rsidR="00E660F2" w:rsidRDefault="00E660F2" w:rsidP="00E660F2">
      <w:pPr>
        <w:rPr>
          <w:lang w:val="en-US"/>
        </w:rPr>
      </w:pPr>
      <w:r>
        <w:rPr>
          <w:lang w:val="en-US"/>
        </w:rPr>
        <w:t>The median duration of exposure in this study was &lt;4 months, which limits any information that this small study of 45 patients, almost all of whom had metastatic disease, can provide.</w:t>
      </w:r>
    </w:p>
    <w:p w:rsidR="00E660F2" w:rsidRDefault="00E660F2" w:rsidP="00E660F2">
      <w:pPr>
        <w:pStyle w:val="Heading4"/>
      </w:pPr>
      <w:r>
        <w:t>Other s</w:t>
      </w:r>
      <w:r w:rsidR="008F0588">
        <w:t>afety issues</w:t>
      </w:r>
    </w:p>
    <w:p w:rsidR="00E660F2" w:rsidRPr="0097422E" w:rsidRDefault="00E660F2" w:rsidP="00E660F2">
      <w:pPr>
        <w:pStyle w:val="Heading5"/>
      </w:pPr>
      <w:bookmarkStart w:id="132" w:name="_Toc241374322"/>
      <w:bookmarkStart w:id="133" w:name="_Ref272331212"/>
      <w:bookmarkStart w:id="134" w:name="_Toc272414687"/>
      <w:bookmarkStart w:id="135" w:name="_Toc290888551"/>
      <w:bookmarkStart w:id="136" w:name="_Toc416353766"/>
      <w:bookmarkStart w:id="137" w:name="_Toc421005309"/>
      <w:bookmarkStart w:id="138" w:name="_Toc432079180"/>
      <w:bookmarkStart w:id="139" w:name="_Toc432080753"/>
      <w:r>
        <w:t>Biomarkers</w:t>
      </w:r>
    </w:p>
    <w:p w:rsidR="00E660F2" w:rsidRDefault="00E660F2" w:rsidP="00E660F2">
      <w:pPr>
        <w:rPr>
          <w:lang w:val="en-US"/>
        </w:rPr>
      </w:pPr>
      <w:r w:rsidRPr="00EA7F70">
        <w:rPr>
          <w:lang w:val="en-US"/>
        </w:rPr>
        <w:t xml:space="preserve">Exploratory </w:t>
      </w:r>
      <w:r>
        <w:rPr>
          <w:lang w:val="en-US"/>
        </w:rPr>
        <w:t>biomarker analyse</w:t>
      </w:r>
      <w:r w:rsidRPr="00EA7F70">
        <w:rPr>
          <w:lang w:val="en-US"/>
        </w:rPr>
        <w:t>s</w:t>
      </w:r>
      <w:r>
        <w:rPr>
          <w:lang w:val="en-US"/>
        </w:rPr>
        <w:t xml:space="preserve"> were</w:t>
      </w:r>
      <w:r w:rsidRPr="00EA7F70">
        <w:rPr>
          <w:lang w:val="en-US"/>
        </w:rPr>
        <w:t xml:space="preserve"> performed on blood samples collected at progression to</w:t>
      </w:r>
      <w:r>
        <w:rPr>
          <w:lang w:val="en-US"/>
        </w:rPr>
        <w:t xml:space="preserve"> identify markers of cross-</w:t>
      </w:r>
      <w:r w:rsidRPr="00EA7F70">
        <w:rPr>
          <w:lang w:val="en-US"/>
        </w:rPr>
        <w:t xml:space="preserve">resistance to subsequent therapy. </w:t>
      </w:r>
      <w:r>
        <w:rPr>
          <w:lang w:val="en-US"/>
        </w:rPr>
        <w:t>S</w:t>
      </w:r>
      <w:r w:rsidRPr="00EA7F70">
        <w:rPr>
          <w:lang w:val="en-US"/>
        </w:rPr>
        <w:t>amples collected at the</w:t>
      </w:r>
      <w:r>
        <w:rPr>
          <w:lang w:val="en-US"/>
        </w:rPr>
        <w:t xml:space="preserve"> </w:t>
      </w:r>
      <w:r w:rsidRPr="00EA7F70">
        <w:rPr>
          <w:lang w:val="en-US"/>
        </w:rPr>
        <w:t>time of the first disease progression were tested for presence of ARV7</w:t>
      </w:r>
      <w:r>
        <w:rPr>
          <w:lang w:val="en-US"/>
        </w:rPr>
        <w:t xml:space="preserve"> RNA, which is</w:t>
      </w:r>
      <w:r w:rsidRPr="00EA7F70">
        <w:rPr>
          <w:lang w:val="en-US"/>
        </w:rPr>
        <w:t xml:space="preserve"> a</w:t>
      </w:r>
      <w:r>
        <w:rPr>
          <w:lang w:val="en-US"/>
        </w:rPr>
        <w:t>ssociated with resistance to AR-directed therapies such as abiraterone and enzalutamide</w:t>
      </w:r>
      <w:r w:rsidRPr="00EA7F70">
        <w:rPr>
          <w:lang w:val="en-US"/>
        </w:rPr>
        <w:t>.</w:t>
      </w:r>
    </w:p>
    <w:p w:rsidR="00E660F2" w:rsidRDefault="00E660F2" w:rsidP="00E660F2">
      <w:pPr>
        <w:rPr>
          <w:lang w:val="en-US"/>
        </w:rPr>
      </w:pPr>
      <w:r w:rsidRPr="00EA7F70">
        <w:rPr>
          <w:lang w:val="en-US"/>
        </w:rPr>
        <w:lastRenderedPageBreak/>
        <w:t xml:space="preserve">Nine out of 96 (9.4%) </w:t>
      </w:r>
      <w:r>
        <w:rPr>
          <w:lang w:val="en-US"/>
        </w:rPr>
        <w:t>patients</w:t>
      </w:r>
      <w:r w:rsidRPr="00EA7F70">
        <w:rPr>
          <w:lang w:val="en-US"/>
        </w:rPr>
        <w:t xml:space="preserve"> in the apalutamide arm and 13 out of</w:t>
      </w:r>
      <w:r>
        <w:rPr>
          <w:lang w:val="en-US"/>
        </w:rPr>
        <w:t xml:space="preserve"> </w:t>
      </w:r>
      <w:r w:rsidRPr="00EA7F70">
        <w:rPr>
          <w:lang w:val="en-US"/>
        </w:rPr>
        <w:t xml:space="preserve">104 (12.5%) </w:t>
      </w:r>
      <w:r>
        <w:rPr>
          <w:lang w:val="en-US"/>
        </w:rPr>
        <w:t>patients</w:t>
      </w:r>
      <w:r w:rsidRPr="00EA7F70">
        <w:rPr>
          <w:lang w:val="en-US"/>
        </w:rPr>
        <w:t xml:space="preserve"> in placebo arm expressed ARV7 at end of first treatment suggesting apalutamide is not inducing ARV7 expression.</w:t>
      </w:r>
    </w:p>
    <w:p w:rsidR="00E660F2" w:rsidRDefault="00E660F2" w:rsidP="00E660F2">
      <w:pPr>
        <w:rPr>
          <w:lang w:val="en-US"/>
        </w:rPr>
      </w:pPr>
      <w:r w:rsidRPr="00EA7F70">
        <w:rPr>
          <w:lang w:val="en-US"/>
        </w:rPr>
        <w:t xml:space="preserve">Among the subset of </w:t>
      </w:r>
      <w:r>
        <w:rPr>
          <w:lang w:val="en-US"/>
        </w:rPr>
        <w:t>patients</w:t>
      </w:r>
      <w:r w:rsidRPr="00EA7F70">
        <w:rPr>
          <w:lang w:val="en-US"/>
        </w:rPr>
        <w:t xml:space="preserve"> who</w:t>
      </w:r>
      <w:r>
        <w:rPr>
          <w:lang w:val="en-US"/>
        </w:rPr>
        <w:t xml:space="preserve"> </w:t>
      </w:r>
      <w:r w:rsidRPr="00EA7F70">
        <w:rPr>
          <w:lang w:val="en-US"/>
        </w:rPr>
        <w:t xml:space="preserve">had a PFS2 event, 3 out of 28 (10.7%) </w:t>
      </w:r>
      <w:r>
        <w:rPr>
          <w:lang w:val="en-US"/>
        </w:rPr>
        <w:t>patients</w:t>
      </w:r>
      <w:r w:rsidRPr="00EA7F70">
        <w:rPr>
          <w:lang w:val="en-US"/>
        </w:rPr>
        <w:t xml:space="preserve"> in the apalutamide arm and 6 out of 36 (16.7%)</w:t>
      </w:r>
      <w:r>
        <w:rPr>
          <w:lang w:val="en-US"/>
        </w:rPr>
        <w:t xml:space="preserve"> patients</w:t>
      </w:r>
      <w:r w:rsidRPr="00EA7F70">
        <w:rPr>
          <w:lang w:val="en-US"/>
        </w:rPr>
        <w:t xml:space="preserve"> in the placebo arm were ARV7 positive.</w:t>
      </w:r>
    </w:p>
    <w:p w:rsidR="00E660F2" w:rsidRPr="006438BB" w:rsidRDefault="00E660F2" w:rsidP="00E660F2">
      <w:r>
        <w:t>T</w:t>
      </w:r>
      <w:r w:rsidRPr="006438BB">
        <w:t>his exploratory analysis is limited by the small numbers but the findings above do not clearly suggest that apalutamide induces ARV7 expression. Confirmatory data from a prospectively designed randomised study are required. The utility of this for predicting the likelihood of a response to subsequent treatments such as abiraterone or enzalutamide after progression on apalutamide is not established.</w:t>
      </w:r>
    </w:p>
    <w:p w:rsidR="00E660F2" w:rsidRPr="006438BB" w:rsidRDefault="00E660F2" w:rsidP="00E660F2">
      <w:pPr>
        <w:pStyle w:val="Heading5"/>
      </w:pPr>
      <w:r w:rsidRPr="00545B14">
        <w:t xml:space="preserve">Safety </w:t>
      </w:r>
      <w:bookmarkEnd w:id="132"/>
      <w:bookmarkEnd w:id="133"/>
      <w:bookmarkEnd w:id="134"/>
      <w:bookmarkEnd w:id="135"/>
      <w:bookmarkEnd w:id="136"/>
      <w:bookmarkEnd w:id="137"/>
      <w:bookmarkEnd w:id="138"/>
      <w:bookmarkEnd w:id="139"/>
      <w:r>
        <w:t>analyses by formulation</w:t>
      </w:r>
    </w:p>
    <w:p w:rsidR="00E660F2" w:rsidRPr="00EF1DC6" w:rsidRDefault="00E660F2" w:rsidP="00E660F2">
      <w:pPr>
        <w:rPr>
          <w:lang w:val="en-US"/>
        </w:rPr>
      </w:pPr>
      <w:r w:rsidRPr="00EF1DC6">
        <w:rPr>
          <w:lang w:val="en-US"/>
        </w:rPr>
        <w:t>Exploratory statistical analyses were performed for safety analyses using descriptive statistics for the following groups (</w:t>
      </w:r>
      <w:r>
        <w:rPr>
          <w:lang w:val="en-US"/>
        </w:rPr>
        <w:t>Table 9</w:t>
      </w:r>
      <w:r w:rsidRPr="00EF1DC6">
        <w:rPr>
          <w:lang w:val="en-US"/>
        </w:rPr>
        <w:t>):</w:t>
      </w:r>
    </w:p>
    <w:p w:rsidR="00E660F2" w:rsidRPr="00EF1DC6" w:rsidRDefault="00E660F2" w:rsidP="00E660F2">
      <w:pPr>
        <w:pStyle w:val="ListBullet"/>
        <w:numPr>
          <w:ilvl w:val="0"/>
          <w:numId w:val="1"/>
        </w:numPr>
        <w:rPr>
          <w:lang w:val="en-US"/>
        </w:rPr>
      </w:pPr>
      <w:r>
        <w:rPr>
          <w:lang w:val="en-US"/>
        </w:rPr>
        <w:t xml:space="preserve">Capsule only: </w:t>
      </w:r>
      <w:r w:rsidRPr="00EF1DC6">
        <w:rPr>
          <w:lang w:val="en-US"/>
        </w:rPr>
        <w:t xml:space="preserve">205 patients (100 </w:t>
      </w:r>
      <w:r>
        <w:rPr>
          <w:lang w:val="en-US"/>
        </w:rPr>
        <w:t>patients</w:t>
      </w:r>
      <w:r w:rsidRPr="00EF1DC6">
        <w:rPr>
          <w:lang w:val="en-US"/>
        </w:rPr>
        <w:t xml:space="preserve"> apalutamide; 105 </w:t>
      </w:r>
      <w:r>
        <w:rPr>
          <w:lang w:val="en-US"/>
        </w:rPr>
        <w:t>patients</w:t>
      </w:r>
      <w:r w:rsidRPr="00EF1DC6">
        <w:rPr>
          <w:lang w:val="en-US"/>
        </w:rPr>
        <w:t xml:space="preserve"> placebo)</w:t>
      </w:r>
      <w:r>
        <w:rPr>
          <w:lang w:val="en-US"/>
        </w:rPr>
        <w:t>.</w:t>
      </w:r>
    </w:p>
    <w:p w:rsidR="00E660F2" w:rsidRPr="00EF1DC6" w:rsidRDefault="00E660F2" w:rsidP="00E660F2">
      <w:pPr>
        <w:pStyle w:val="ListBullet"/>
        <w:numPr>
          <w:ilvl w:val="0"/>
          <w:numId w:val="1"/>
        </w:numPr>
        <w:rPr>
          <w:lang w:val="en-US"/>
        </w:rPr>
      </w:pPr>
      <w:r w:rsidRPr="00EF1DC6">
        <w:rPr>
          <w:lang w:val="en-US"/>
        </w:rPr>
        <w:t>Capsule/tablet</w:t>
      </w:r>
      <w:r>
        <w:rPr>
          <w:lang w:val="en-US"/>
        </w:rPr>
        <w:t>:</w:t>
      </w:r>
      <w:r w:rsidRPr="00EF1DC6">
        <w:rPr>
          <w:lang w:val="en-US"/>
        </w:rPr>
        <w:t xml:space="preserve"> 568 </w:t>
      </w:r>
      <w:r>
        <w:rPr>
          <w:lang w:val="en-US"/>
        </w:rPr>
        <w:t>patients</w:t>
      </w:r>
      <w:r w:rsidRPr="00EF1DC6">
        <w:rPr>
          <w:lang w:val="en-US"/>
        </w:rPr>
        <w:t xml:space="preserve"> treated with both capsule + tablet (411 </w:t>
      </w:r>
      <w:r>
        <w:rPr>
          <w:lang w:val="en-US"/>
        </w:rPr>
        <w:t xml:space="preserve">patients </w:t>
      </w:r>
      <w:r w:rsidRPr="00EF1DC6">
        <w:rPr>
          <w:lang w:val="en-US"/>
        </w:rPr>
        <w:t xml:space="preserve">apalutamide; 157 </w:t>
      </w:r>
      <w:r>
        <w:rPr>
          <w:lang w:val="en-US"/>
        </w:rPr>
        <w:t>patients</w:t>
      </w:r>
      <w:r w:rsidRPr="00EF1DC6">
        <w:rPr>
          <w:lang w:val="en-US"/>
        </w:rPr>
        <w:t xml:space="preserve"> placebo)</w:t>
      </w:r>
      <w:r>
        <w:rPr>
          <w:lang w:val="en-US"/>
        </w:rPr>
        <w:t>.</w:t>
      </w:r>
    </w:p>
    <w:p w:rsidR="00E660F2" w:rsidRPr="00EF1DC6" w:rsidRDefault="00E660F2" w:rsidP="00E660F2">
      <w:pPr>
        <w:pStyle w:val="ListBullet"/>
        <w:numPr>
          <w:ilvl w:val="0"/>
          <w:numId w:val="1"/>
        </w:numPr>
        <w:rPr>
          <w:lang w:val="en-US"/>
        </w:rPr>
      </w:pPr>
      <w:r w:rsidRPr="00EF1DC6">
        <w:rPr>
          <w:lang w:val="en-US"/>
        </w:rPr>
        <w:t>Tablet only</w:t>
      </w:r>
      <w:r>
        <w:rPr>
          <w:lang w:val="en-US"/>
        </w:rPr>
        <w:t>:</w:t>
      </w:r>
      <w:r w:rsidRPr="00EF1DC6">
        <w:rPr>
          <w:lang w:val="en-US"/>
        </w:rPr>
        <w:t xml:space="preserve"> 428 patients (292 </w:t>
      </w:r>
      <w:r>
        <w:rPr>
          <w:lang w:val="en-US"/>
        </w:rPr>
        <w:t>patients</w:t>
      </w:r>
      <w:r w:rsidRPr="00EF1DC6">
        <w:rPr>
          <w:lang w:val="en-US"/>
        </w:rPr>
        <w:t xml:space="preserve"> apalutamide; 136 </w:t>
      </w:r>
      <w:r>
        <w:rPr>
          <w:lang w:val="en-US"/>
        </w:rPr>
        <w:t>patients</w:t>
      </w:r>
      <w:r w:rsidRPr="00EF1DC6">
        <w:rPr>
          <w:lang w:val="en-US"/>
        </w:rPr>
        <w:t xml:space="preserve"> placebo)</w:t>
      </w:r>
      <w:r>
        <w:rPr>
          <w:lang w:val="en-US"/>
        </w:rPr>
        <w:t>.</w:t>
      </w:r>
    </w:p>
    <w:p w:rsidR="00E660F2" w:rsidRPr="00EF1DC6" w:rsidRDefault="00E660F2" w:rsidP="00E660F2">
      <w:pPr>
        <w:rPr>
          <w:lang w:val="en-US"/>
        </w:rPr>
      </w:pPr>
      <w:r w:rsidRPr="00EF1DC6">
        <w:rPr>
          <w:lang w:val="en-US"/>
        </w:rPr>
        <w:t xml:space="preserve">There were 324 </w:t>
      </w:r>
      <w:r>
        <w:rPr>
          <w:lang w:val="en-US"/>
        </w:rPr>
        <w:t>patients</w:t>
      </w:r>
      <w:r w:rsidRPr="00EF1DC6">
        <w:rPr>
          <w:lang w:val="en-US"/>
        </w:rPr>
        <w:t xml:space="preserve"> (169 apalutamide; 155 placebo) </w:t>
      </w:r>
      <w:r>
        <w:rPr>
          <w:lang w:val="en-US"/>
        </w:rPr>
        <w:t>with</w:t>
      </w:r>
      <w:r w:rsidRPr="00EF1DC6">
        <w:rPr>
          <w:lang w:val="en-US"/>
        </w:rPr>
        <w:t xml:space="preserve"> greater capsule treatment duration than tablet treatment duration, and 877 </w:t>
      </w:r>
      <w:r>
        <w:rPr>
          <w:lang w:val="en-US"/>
        </w:rPr>
        <w:t>patients</w:t>
      </w:r>
      <w:r w:rsidRPr="00EF1DC6">
        <w:rPr>
          <w:lang w:val="en-US"/>
        </w:rPr>
        <w:t xml:space="preserve"> (634 apalutamide; 243 placebo) </w:t>
      </w:r>
      <w:r>
        <w:rPr>
          <w:lang w:val="en-US"/>
        </w:rPr>
        <w:t xml:space="preserve">with </w:t>
      </w:r>
      <w:r w:rsidRPr="00EF1DC6">
        <w:rPr>
          <w:lang w:val="en-US"/>
        </w:rPr>
        <w:t>greater tablet treatment duration than capsule treatment duration.</w:t>
      </w:r>
    </w:p>
    <w:p w:rsidR="00E660F2" w:rsidRDefault="00E660F2" w:rsidP="00E660F2">
      <w:pPr>
        <w:pStyle w:val="TableTitle"/>
      </w:pPr>
      <w:bookmarkStart w:id="140" w:name="_Ref384129036"/>
      <w:bookmarkStart w:id="141" w:name="_Toc386458872"/>
      <w:bookmarkStart w:id="142" w:name="_Toc241374324"/>
      <w:bookmarkStart w:id="143" w:name="_Ref272331214"/>
      <w:bookmarkStart w:id="144" w:name="_Toc272414688"/>
      <w:bookmarkStart w:id="145" w:name="_Toc290888552"/>
      <w:bookmarkStart w:id="146" w:name="_Toc416353767"/>
      <w:bookmarkStart w:id="147" w:name="_Toc421005310"/>
      <w:bookmarkStart w:id="148" w:name="_Toc432079181"/>
      <w:bookmarkStart w:id="149" w:name="_Toc432080754"/>
      <w:r>
        <w:t>Table 9:</w:t>
      </w:r>
      <w:bookmarkEnd w:id="140"/>
      <w:r>
        <w:t xml:space="preserve"> Study ARN 509-003 Number of patients in each analysis set by formulation (All randomised)</w:t>
      </w:r>
      <w:bookmarkEnd w:id="141"/>
    </w:p>
    <w:p w:rsidR="00E660F2" w:rsidRDefault="00E660F2" w:rsidP="00E660F2">
      <w:pPr>
        <w:rPr>
          <w:rFonts w:ascii="–MÉ_ˇ" w:eastAsiaTheme="minorHAnsi" w:hAnsi="–MÉ_ˇ" w:cs="–MÉ_ˇ"/>
          <w:sz w:val="24"/>
          <w:szCs w:val="24"/>
          <w:lang w:val="en-US"/>
        </w:rPr>
      </w:pPr>
      <w:r w:rsidRPr="00DF66B7">
        <w:rPr>
          <w:rFonts w:ascii="–MÉ_ˇ" w:eastAsiaTheme="minorHAnsi" w:hAnsi="–MÉ_ˇ" w:cs="–MÉ_ˇ"/>
          <w:noProof/>
          <w:sz w:val="24"/>
          <w:szCs w:val="24"/>
          <w:lang w:eastAsia="en-AU"/>
        </w:rPr>
        <w:drawing>
          <wp:inline distT="0" distB="0" distL="0" distR="0" wp14:anchorId="4710D9F3" wp14:editId="6C862B06">
            <wp:extent cx="5731510" cy="1840230"/>
            <wp:effectExtent l="0" t="0" r="2540" b="7620"/>
            <wp:docPr id="118" name="Picture 30" descr="Study 003 Number of patients in each analysis set by formulation - all random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1840230"/>
                    </a:xfrm>
                    <a:prstGeom prst="rect">
                      <a:avLst/>
                    </a:prstGeom>
                    <a:noFill/>
                    <a:ln>
                      <a:noFill/>
                    </a:ln>
                  </pic:spPr>
                </pic:pic>
              </a:graphicData>
            </a:graphic>
          </wp:inline>
        </w:drawing>
      </w:r>
    </w:p>
    <w:p w:rsidR="00E660F2" w:rsidRPr="00853BF2" w:rsidRDefault="00E660F2" w:rsidP="00E660F2">
      <w:pPr>
        <w:rPr>
          <w:lang w:val="en-US"/>
        </w:rPr>
      </w:pPr>
      <w:r w:rsidRPr="00853BF2">
        <w:rPr>
          <w:lang w:val="en-US"/>
        </w:rPr>
        <w:t xml:space="preserve">The median duration of follow-up for </w:t>
      </w:r>
      <w:r>
        <w:rPr>
          <w:lang w:val="en-US"/>
        </w:rPr>
        <w:t>patients</w:t>
      </w:r>
      <w:r w:rsidRPr="00853BF2">
        <w:rPr>
          <w:lang w:val="en-US"/>
        </w:rPr>
        <w:t xml:space="preserve"> who received capsule only was 15.1</w:t>
      </w:r>
      <w:r>
        <w:rPr>
          <w:lang w:val="en-US"/>
        </w:rPr>
        <w:t> </w:t>
      </w:r>
      <w:r w:rsidRPr="00853BF2">
        <w:rPr>
          <w:lang w:val="en-US"/>
        </w:rPr>
        <w:t xml:space="preserve">months, </w:t>
      </w:r>
      <w:r>
        <w:rPr>
          <w:lang w:val="en-US"/>
        </w:rPr>
        <w:t>patients</w:t>
      </w:r>
      <w:r w:rsidRPr="00853BF2">
        <w:rPr>
          <w:lang w:val="en-US"/>
        </w:rPr>
        <w:t xml:space="preserve"> who received capsule + tablet has a median duration of follow-up of 25.6 months and </w:t>
      </w:r>
      <w:r>
        <w:rPr>
          <w:lang w:val="en-US"/>
        </w:rPr>
        <w:t>patients</w:t>
      </w:r>
      <w:r w:rsidRPr="00853BF2">
        <w:rPr>
          <w:lang w:val="en-US"/>
        </w:rPr>
        <w:t xml:space="preserve"> who received tablet only has a median duration of follow-up of 11.2 months.</w:t>
      </w:r>
    </w:p>
    <w:p w:rsidR="00E660F2" w:rsidRPr="003247C1" w:rsidRDefault="00E660F2" w:rsidP="00E660F2">
      <w:pPr>
        <w:rPr>
          <w:lang w:val="en-US"/>
        </w:rPr>
      </w:pPr>
      <w:r w:rsidRPr="003247C1">
        <w:rPr>
          <w:lang w:val="en-US"/>
        </w:rPr>
        <w:t xml:space="preserve">All </w:t>
      </w:r>
      <w:r>
        <w:rPr>
          <w:lang w:val="en-US"/>
        </w:rPr>
        <w:t>patients</w:t>
      </w:r>
      <w:r w:rsidRPr="003247C1">
        <w:rPr>
          <w:lang w:val="en-US"/>
        </w:rPr>
        <w:t xml:space="preserve"> who received capsule only had discontinued study treatment by the time of clinical cut-off. In the apalutamide arm</w:t>
      </w:r>
      <w:r>
        <w:rPr>
          <w:lang w:val="en-US"/>
        </w:rPr>
        <w:t>,</w:t>
      </w:r>
      <w:r w:rsidRPr="003247C1">
        <w:rPr>
          <w:lang w:val="en-US"/>
        </w:rPr>
        <w:t xml:space="preserve"> more </w:t>
      </w:r>
      <w:r>
        <w:rPr>
          <w:lang w:val="en-US"/>
        </w:rPr>
        <w:t>patients</w:t>
      </w:r>
      <w:r w:rsidRPr="003247C1">
        <w:rPr>
          <w:lang w:val="en-US"/>
        </w:rPr>
        <w:t xml:space="preserve"> who received capsule only</w:t>
      </w:r>
      <w:r>
        <w:rPr>
          <w:lang w:val="en-US"/>
        </w:rPr>
        <w:t xml:space="preserve"> </w:t>
      </w:r>
      <w:r w:rsidRPr="003247C1">
        <w:rPr>
          <w:lang w:val="en-US"/>
        </w:rPr>
        <w:t xml:space="preserve">discontinued due to an adverse event (40%) compared with </w:t>
      </w:r>
      <w:r>
        <w:rPr>
          <w:lang w:val="en-US"/>
        </w:rPr>
        <w:t>patients</w:t>
      </w:r>
      <w:r w:rsidRPr="003247C1">
        <w:rPr>
          <w:lang w:val="en-US"/>
        </w:rPr>
        <w:t xml:space="preserve"> who received capsule and tablet (5.1%) and those who received tablet only (8.6%). In the placebo arm, more </w:t>
      </w:r>
      <w:r>
        <w:rPr>
          <w:lang w:val="en-US"/>
        </w:rPr>
        <w:t>patients</w:t>
      </w:r>
      <w:r w:rsidRPr="003247C1">
        <w:rPr>
          <w:lang w:val="en-US"/>
        </w:rPr>
        <w:t xml:space="preserve"> who received capsule only discontinued due to an adverse event (8.6%) compared with those who received tablet only (6.6%).</w:t>
      </w:r>
    </w:p>
    <w:p w:rsidR="00E660F2" w:rsidRPr="006438BB" w:rsidRDefault="00E660F2" w:rsidP="00E660F2">
      <w:r>
        <w:t>A</w:t>
      </w:r>
      <w:r w:rsidRPr="006438BB">
        <w:t>ny evaluation of the relative safety profiles of the two formulations, particularly between the capsule-only and tablet-only formulations, is limited because:</w:t>
      </w:r>
    </w:p>
    <w:p w:rsidR="00E660F2" w:rsidRPr="00093477" w:rsidRDefault="00E660F2" w:rsidP="00E660F2">
      <w:pPr>
        <w:pStyle w:val="ListBullet"/>
        <w:numPr>
          <w:ilvl w:val="0"/>
          <w:numId w:val="1"/>
        </w:numPr>
        <w:rPr>
          <w:lang w:eastAsia="ja-JP"/>
        </w:rPr>
      </w:pPr>
      <w:r w:rsidRPr="00093477">
        <w:rPr>
          <w:lang w:eastAsia="ja-JP"/>
        </w:rPr>
        <w:t>Patients had differing duration of therapy and follow-up</w:t>
      </w:r>
      <w:r>
        <w:rPr>
          <w:lang w:eastAsia="ja-JP"/>
        </w:rPr>
        <w:t>.</w:t>
      </w:r>
    </w:p>
    <w:p w:rsidR="00E660F2" w:rsidRPr="00093477" w:rsidRDefault="00E660F2" w:rsidP="00E660F2">
      <w:pPr>
        <w:pStyle w:val="ListBullet"/>
        <w:numPr>
          <w:ilvl w:val="0"/>
          <w:numId w:val="1"/>
        </w:numPr>
        <w:rPr>
          <w:lang w:eastAsia="ja-JP"/>
        </w:rPr>
      </w:pPr>
      <w:r w:rsidRPr="00093477">
        <w:rPr>
          <w:lang w:eastAsia="ja-JP"/>
        </w:rPr>
        <w:t>There is a loss of randomisation</w:t>
      </w:r>
      <w:r>
        <w:rPr>
          <w:lang w:eastAsia="ja-JP"/>
        </w:rPr>
        <w:t xml:space="preserve"> within each and across the subgroups.</w:t>
      </w:r>
    </w:p>
    <w:p w:rsidR="00E660F2" w:rsidRPr="00093477" w:rsidRDefault="00E660F2" w:rsidP="00E660F2">
      <w:pPr>
        <w:pStyle w:val="ListBullet"/>
        <w:numPr>
          <w:ilvl w:val="0"/>
          <w:numId w:val="1"/>
        </w:numPr>
        <w:rPr>
          <w:lang w:eastAsia="ja-JP"/>
        </w:rPr>
      </w:pPr>
      <w:r w:rsidRPr="00093477">
        <w:rPr>
          <w:lang w:eastAsia="ja-JP"/>
        </w:rPr>
        <w:lastRenderedPageBreak/>
        <w:t>There are small numbers within each group</w:t>
      </w:r>
      <w:r>
        <w:rPr>
          <w:lang w:eastAsia="ja-JP"/>
        </w:rPr>
        <w:t>.</w:t>
      </w:r>
    </w:p>
    <w:p w:rsidR="00E660F2" w:rsidRDefault="00E660F2" w:rsidP="00E660F2">
      <w:pPr>
        <w:pStyle w:val="ListBullet"/>
        <w:numPr>
          <w:ilvl w:val="0"/>
          <w:numId w:val="1"/>
        </w:numPr>
        <w:rPr>
          <w:lang w:eastAsia="ja-JP"/>
        </w:rPr>
      </w:pPr>
      <w:r>
        <w:rPr>
          <w:lang w:eastAsia="ja-JP"/>
        </w:rPr>
        <w:t>It</w:t>
      </w:r>
      <w:r w:rsidRPr="00093477">
        <w:rPr>
          <w:lang w:eastAsia="ja-JP"/>
        </w:rPr>
        <w:t xml:space="preserve"> is uncertain how much emphasis to place on the </w:t>
      </w:r>
      <w:r>
        <w:rPr>
          <w:lang w:eastAsia="ja-JP"/>
        </w:rPr>
        <w:t xml:space="preserve">compositional and volume </w:t>
      </w:r>
      <w:r w:rsidRPr="00093477">
        <w:rPr>
          <w:lang w:eastAsia="ja-JP"/>
        </w:rPr>
        <w:t>difference in excipients with the larger number of capsules</w:t>
      </w:r>
      <w:r>
        <w:rPr>
          <w:lang w:eastAsia="ja-JP"/>
        </w:rPr>
        <w:t xml:space="preserve"> compared with the tablet formulation.</w:t>
      </w:r>
    </w:p>
    <w:p w:rsidR="00E660F2" w:rsidRDefault="00E660F2" w:rsidP="00E660F2">
      <w:pPr>
        <w:rPr>
          <w:lang w:eastAsia="ja-JP"/>
        </w:rPr>
      </w:pPr>
      <w:r>
        <w:rPr>
          <w:lang w:eastAsia="ja-JP"/>
        </w:rPr>
        <w:t>The treatment disposition reveals that a higher proportion of patients on the tablet formulation discontinued treatment due to withdrawal than for reasons other than progression, compared with those who received the capsule + tablet formulations (Table 10). These rates were similar, however, to the population who received capsules alone. Consistent with this higher rate of discontinuation for reasons not related to disease progression, the median exposure was lowest in the tablet alone formulation (220 mg compared with 228 mg for those who received both formulations, and 231 mg for those who received the capsule alone). This may reflect the larger dose decrements due to the larger dose size of the tablet but also raises some uncertainties about whether the tablet formulation is as well tolerated.</w:t>
      </w:r>
    </w:p>
    <w:p w:rsidR="00E660F2" w:rsidRDefault="00E660F2" w:rsidP="00E660F2">
      <w:pPr>
        <w:pStyle w:val="TableTitle"/>
      </w:pPr>
      <w:bookmarkStart w:id="150" w:name="_Ref386291695"/>
      <w:bookmarkStart w:id="151" w:name="_Toc386458873"/>
      <w:r>
        <w:t>Table 10:</w:t>
      </w:r>
      <w:bookmarkEnd w:id="150"/>
      <w:r>
        <w:t xml:space="preserve"> Study ARN 509-003 Treatment disposition by formulation (Safety population</w:t>
      </w:r>
      <w:bookmarkEnd w:id="151"/>
      <w:r>
        <w:t>)</w:t>
      </w:r>
    </w:p>
    <w:p w:rsidR="00E660F2" w:rsidRDefault="00E660F2" w:rsidP="00E660F2">
      <w:pPr>
        <w:jc w:val="both"/>
        <w:rPr>
          <w:rFonts w:ascii="Arial" w:hAnsi="Arial" w:cs="Arial"/>
          <w:lang w:eastAsia="ja-JP"/>
        </w:rPr>
      </w:pPr>
      <w:r>
        <w:rPr>
          <w:rFonts w:ascii="Arial" w:hAnsi="Arial" w:cs="Arial"/>
          <w:noProof/>
          <w:lang w:eastAsia="en-AU"/>
        </w:rPr>
        <w:drawing>
          <wp:inline distT="0" distB="0" distL="0" distR="0" wp14:anchorId="722D66A9" wp14:editId="52C8475F">
            <wp:extent cx="5731510" cy="1817308"/>
            <wp:effectExtent l="0" t="0" r="2540" b="0"/>
            <wp:docPr id="128" name="Picture 38" descr="Study 003 Treatment disposition by formulation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1817308"/>
                    </a:xfrm>
                    <a:prstGeom prst="rect">
                      <a:avLst/>
                    </a:prstGeom>
                    <a:noFill/>
                    <a:ln>
                      <a:noFill/>
                    </a:ln>
                  </pic:spPr>
                </pic:pic>
              </a:graphicData>
            </a:graphic>
          </wp:inline>
        </w:drawing>
      </w:r>
    </w:p>
    <w:p w:rsidR="00E660F2" w:rsidRPr="009262D2" w:rsidRDefault="00E660F2" w:rsidP="00E660F2">
      <w:pPr>
        <w:pStyle w:val="TableTitle"/>
      </w:pPr>
      <w:bookmarkStart w:id="152" w:name="_Ref384536222"/>
      <w:bookmarkStart w:id="153" w:name="_Toc386458874"/>
      <w:r>
        <w:t>Table 11:</w:t>
      </w:r>
      <w:bookmarkEnd w:id="152"/>
      <w:r>
        <w:t xml:space="preserve"> Study ARN 509-003 Overall summary of TEAEs by formulation (Safety population</w:t>
      </w:r>
      <w:bookmarkEnd w:id="153"/>
      <w:r>
        <w:t>)</w:t>
      </w:r>
    </w:p>
    <w:p w:rsidR="00E660F2" w:rsidRPr="00DF66B7" w:rsidRDefault="00E660F2" w:rsidP="00E660F2">
      <w:r>
        <w:rPr>
          <w:noProof/>
          <w:lang w:eastAsia="en-AU"/>
        </w:rPr>
        <w:drawing>
          <wp:inline distT="0" distB="0" distL="0" distR="0" wp14:anchorId="6866E997" wp14:editId="4F1C3D24">
            <wp:extent cx="5731510" cy="2620755"/>
            <wp:effectExtent l="0" t="0" r="2540" b="8255"/>
            <wp:docPr id="119" name="Picture 31" descr="Study 003 Overall summary of TEAEs by formulation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2620755"/>
                    </a:xfrm>
                    <a:prstGeom prst="rect">
                      <a:avLst/>
                    </a:prstGeom>
                    <a:noFill/>
                    <a:ln>
                      <a:noFill/>
                    </a:ln>
                  </pic:spPr>
                </pic:pic>
              </a:graphicData>
            </a:graphic>
          </wp:inline>
        </w:drawing>
      </w:r>
    </w:p>
    <w:p w:rsidR="00E660F2" w:rsidRPr="006438BB" w:rsidRDefault="00E660F2" w:rsidP="00E660F2">
      <w:r w:rsidRPr="006438BB">
        <w:t>Overall, data supporting the safety profile of apalutamide tablet formulation are limited but this formulation ap</w:t>
      </w:r>
      <w:r>
        <w:t>pears tolerable, with fewer GI</w:t>
      </w:r>
      <w:r w:rsidRPr="006438BB">
        <w:t xml:space="preserve"> side effects than the capsule formulation. The higher rate of discontinuations, including those due to treatment-related </w:t>
      </w:r>
      <w:r>
        <w:t>treatment emergent adverse events (</w:t>
      </w:r>
      <w:r w:rsidRPr="006438BB">
        <w:t>TEAEs</w:t>
      </w:r>
      <w:r>
        <w:t>)</w:t>
      </w:r>
      <w:r w:rsidRPr="006438BB">
        <w:t xml:space="preserve"> for those receiving the tablet</w:t>
      </w:r>
      <w:r>
        <w:t xml:space="preserve"> </w:t>
      </w:r>
      <w:r w:rsidRPr="006438BB">
        <w:t>only formulation compared with those receiving both capsule</w:t>
      </w:r>
      <w:r>
        <w:t xml:space="preserve"> </w:t>
      </w:r>
      <w:r w:rsidRPr="006438BB">
        <w:t>+</w:t>
      </w:r>
      <w:r>
        <w:t xml:space="preserve"> </w:t>
      </w:r>
      <w:r w:rsidRPr="006438BB">
        <w:t>tablet formulations is unexplained (</w:t>
      </w:r>
      <w:r>
        <w:t>Table 11</w:t>
      </w:r>
      <w:r w:rsidRPr="006438BB">
        <w:t xml:space="preserve">). However, loss of randomisation and imbalances in baseline </w:t>
      </w:r>
      <w:r w:rsidRPr="006438BB">
        <w:lastRenderedPageBreak/>
        <w:t>factors within these subgroups may explain this finding. Characterisation of the safety profile using just the tablet formulation would address these uncertainties, but at this time, there is not sufficient concern regarding any potential safety differences to affect recommendation for registration.</w:t>
      </w:r>
    </w:p>
    <w:p w:rsidR="00E660F2" w:rsidRPr="006438BB" w:rsidRDefault="00E660F2" w:rsidP="00E660F2">
      <w:pPr>
        <w:pStyle w:val="Heading4"/>
      </w:pPr>
      <w:r w:rsidRPr="00545B14">
        <w:t>Safety related to drug-drug interactions and other interactions</w:t>
      </w:r>
      <w:bookmarkEnd w:id="142"/>
      <w:bookmarkEnd w:id="143"/>
      <w:bookmarkEnd w:id="144"/>
      <w:bookmarkEnd w:id="145"/>
      <w:bookmarkEnd w:id="146"/>
      <w:bookmarkEnd w:id="147"/>
      <w:bookmarkEnd w:id="148"/>
      <w:bookmarkEnd w:id="149"/>
    </w:p>
    <w:p w:rsidR="00E660F2" w:rsidRDefault="00E660F2" w:rsidP="00E660F2">
      <w:pPr>
        <w:rPr>
          <w:lang w:eastAsia="ja-JP"/>
        </w:rPr>
      </w:pPr>
      <w:r>
        <w:rPr>
          <w:lang w:eastAsia="ja-JP"/>
        </w:rPr>
        <w:t>No drug or other interaction data were presented in Studies ARN 509-001 or -003 which were evaluated for this clinical evaluation report.</w:t>
      </w:r>
    </w:p>
    <w:p w:rsidR="00E660F2" w:rsidRDefault="00E660F2" w:rsidP="00E660F2">
      <w:pPr>
        <w:pStyle w:val="Heading4"/>
      </w:pPr>
      <w:r w:rsidRPr="00605AD4">
        <w:t>Postmarketing data</w:t>
      </w:r>
    </w:p>
    <w:p w:rsidR="00E660F2" w:rsidRPr="00500337" w:rsidRDefault="00E660F2" w:rsidP="00E660F2">
      <w:r w:rsidRPr="00DF227C">
        <w:t>None available.</w:t>
      </w:r>
    </w:p>
    <w:p w:rsidR="00E660F2" w:rsidRPr="00605AD4" w:rsidRDefault="00E660F2" w:rsidP="00E660F2">
      <w:pPr>
        <w:pStyle w:val="Heading4"/>
      </w:pPr>
      <w:r w:rsidRPr="00605AD4">
        <w:t>Evaluator’s conclusions on safety</w:t>
      </w:r>
    </w:p>
    <w:p w:rsidR="00E660F2" w:rsidRPr="001B3167" w:rsidRDefault="00E660F2" w:rsidP="00E660F2">
      <w:pPr>
        <w:rPr>
          <w:rFonts w:asciiTheme="minorHAnsi" w:eastAsiaTheme="minorHAnsi" w:hAnsiTheme="minorHAnsi" w:cs="–MÉ_ˇ"/>
          <w:lang w:val="en-US"/>
        </w:rPr>
      </w:pPr>
      <w:r>
        <w:rPr>
          <w:lang w:eastAsia="ja-JP"/>
        </w:rPr>
        <w:t xml:space="preserve">Study ARN 509-003 provided randomised, placebo-controlled safety data from a population with NM-CRPC who received either apalutamide or a placebo in addition to maintenance of castration levels of testosterone. In the majority of patients, this was through ongoing use of GnRHa and a small proportion had undergone bilateral orchidectomy. </w:t>
      </w:r>
      <w:r w:rsidRPr="001B3167">
        <w:rPr>
          <w:rFonts w:asciiTheme="minorHAnsi" w:eastAsiaTheme="minorHAnsi" w:hAnsiTheme="minorHAnsi" w:cs="–MÉ_ˇ"/>
          <w:lang w:val="en-US"/>
        </w:rPr>
        <w:t xml:space="preserve">As of the clinical cut-off, 61% of </w:t>
      </w:r>
      <w:r>
        <w:rPr>
          <w:rFonts w:asciiTheme="minorHAnsi" w:eastAsiaTheme="minorHAnsi" w:hAnsiTheme="minorHAnsi" w:cs="–MÉ_ˇ"/>
          <w:lang w:val="en-US"/>
        </w:rPr>
        <w:t>patients</w:t>
      </w:r>
      <w:r w:rsidRPr="001B3167">
        <w:rPr>
          <w:rFonts w:asciiTheme="minorHAnsi" w:eastAsiaTheme="minorHAnsi" w:hAnsiTheme="minorHAnsi" w:cs="–MÉ_ˇ"/>
          <w:lang w:val="en-US"/>
        </w:rPr>
        <w:t xml:space="preserve"> in the apalutamide arm and 30% of </w:t>
      </w:r>
      <w:r>
        <w:rPr>
          <w:rFonts w:asciiTheme="minorHAnsi" w:eastAsiaTheme="minorHAnsi" w:hAnsiTheme="minorHAnsi" w:cs="–MÉ_ˇ"/>
          <w:lang w:val="en-US"/>
        </w:rPr>
        <w:t>patients</w:t>
      </w:r>
      <w:r w:rsidRPr="001B3167">
        <w:rPr>
          <w:rFonts w:asciiTheme="minorHAnsi" w:eastAsiaTheme="minorHAnsi" w:hAnsiTheme="minorHAnsi" w:cs="–MÉ_ˇ"/>
          <w:lang w:val="en-US"/>
        </w:rPr>
        <w:t xml:space="preserve"> in the placebo arm were still receiving study treatment, with an estimated median treatment time of 16.9 months and 11.2 months, respectively.</w:t>
      </w:r>
      <w:r>
        <w:rPr>
          <w:rFonts w:asciiTheme="minorHAnsi" w:eastAsiaTheme="minorHAnsi" w:hAnsiTheme="minorHAnsi" w:cs="–MÉ_ˇ"/>
          <w:lang w:val="en-US"/>
        </w:rPr>
        <w:t xml:space="preserve"> The median survival follow-up time for all patients was 20.3 months.</w:t>
      </w:r>
    </w:p>
    <w:p w:rsidR="00E660F2" w:rsidRDefault="00E660F2" w:rsidP="00E660F2">
      <w:pPr>
        <w:rPr>
          <w:lang w:val="en-US"/>
        </w:rPr>
      </w:pPr>
      <w:r w:rsidRPr="001B3167">
        <w:rPr>
          <w:lang w:val="en-US"/>
        </w:rPr>
        <w:t xml:space="preserve">Seventy percent (70%) of </w:t>
      </w:r>
      <w:r>
        <w:rPr>
          <w:lang w:val="en-US"/>
        </w:rPr>
        <w:t>patients</w:t>
      </w:r>
      <w:r w:rsidRPr="001B3167">
        <w:rPr>
          <w:lang w:val="en-US"/>
        </w:rPr>
        <w:t xml:space="preserve"> in the apalutamide arm and 45% of </w:t>
      </w:r>
      <w:r>
        <w:rPr>
          <w:lang w:val="en-US"/>
        </w:rPr>
        <w:t>patients</w:t>
      </w:r>
      <w:r w:rsidRPr="001B3167">
        <w:rPr>
          <w:lang w:val="en-US"/>
        </w:rPr>
        <w:t xml:space="preserve"> in the</w:t>
      </w:r>
      <w:r>
        <w:rPr>
          <w:lang w:val="en-US"/>
        </w:rPr>
        <w:t xml:space="preserve"> </w:t>
      </w:r>
      <w:r w:rsidRPr="001B3167">
        <w:rPr>
          <w:lang w:val="en-US"/>
        </w:rPr>
        <w:t>placebo arm received at least 12 months of treatment; 26% and 11% received at least 24</w:t>
      </w:r>
      <w:r>
        <w:rPr>
          <w:lang w:val="en-US"/>
        </w:rPr>
        <w:t> </w:t>
      </w:r>
      <w:r w:rsidRPr="001B3167">
        <w:rPr>
          <w:lang w:val="en-US"/>
        </w:rPr>
        <w:t>months</w:t>
      </w:r>
      <w:r>
        <w:rPr>
          <w:lang w:val="en-US"/>
        </w:rPr>
        <w:t xml:space="preserve"> </w:t>
      </w:r>
      <w:r w:rsidRPr="001B3167">
        <w:rPr>
          <w:lang w:val="en-US"/>
        </w:rPr>
        <w:t>of treatment, respectively.</w:t>
      </w:r>
    </w:p>
    <w:p w:rsidR="00E660F2" w:rsidRDefault="00E660F2" w:rsidP="00E660F2">
      <w:r>
        <w:rPr>
          <w:lang w:val="en-US"/>
        </w:rPr>
        <w:t xml:space="preserve">Treatment with apalutamide was associated with a higher rate of adverse events overall, consistent with being an add-on therapy. The most frequent TEAEs were </w:t>
      </w:r>
      <w:r w:rsidRPr="0032767A">
        <w:t>fatigue, hypertension, rash, diarrh</w:t>
      </w:r>
      <w:r>
        <w:t>o</w:t>
      </w:r>
      <w:r w:rsidRPr="0032767A">
        <w:t xml:space="preserve">ea, nausea, decreased weight, arthralgia and fall. </w:t>
      </w:r>
      <w:r w:rsidRPr="00CC00CC">
        <w:t>L</w:t>
      </w:r>
      <w:r>
        <w:t>aboratory abnormalities of one or more grade shifts in serum cholesterol, triglycerides and glucose were also very common. Androgen deprivation therapy is associated with an increased risk of cardiovascular disease, diabetes, muscle wasting/sarcopenia, cognitive impairment and loss of bone density. The addition of apalutamide appears to increase all of these risks further and resulted in significant adverse events of falls and fractures, an apparent in increase the risk of cardiovascular disease, with three deaths from myocardial infarction were reported. Hypothyroidism, possibly due to increased thyroxine metabolism, is also an adverse drug reaction for apalutamide, requiring initiation or increases in thyroxine replacement.</w:t>
      </w:r>
    </w:p>
    <w:p w:rsidR="00E660F2" w:rsidRPr="00F11991" w:rsidRDefault="00E660F2" w:rsidP="00E660F2">
      <w:r>
        <w:t>The clinical evaluator also identified the following as adverse drug reactions: hot flushes, dysgeusia, dementia and suicidal ideation.</w:t>
      </w:r>
    </w:p>
    <w:p w:rsidR="00E660F2" w:rsidRDefault="00E660F2" w:rsidP="00E660F2">
      <w:pPr>
        <w:rPr>
          <w:rFonts w:asciiTheme="minorHAnsi" w:eastAsiaTheme="minorHAnsi" w:hAnsiTheme="minorHAnsi" w:cs="–MÉ_ˇ"/>
          <w:lang w:val="en-US"/>
        </w:rPr>
      </w:pPr>
      <w:r>
        <w:rPr>
          <w:rFonts w:asciiTheme="minorHAnsi" w:hAnsiTheme="minorHAnsi" w:cstheme="majorHAnsi"/>
          <w:lang w:val="en-US"/>
        </w:rPr>
        <w:t xml:space="preserve">The detection of these additional safety signals suggest that these events merit consideration as </w:t>
      </w:r>
      <w:r>
        <w:t>adverse events of special interest (AESIs)</w:t>
      </w:r>
      <w:r>
        <w:rPr>
          <w:rFonts w:asciiTheme="minorHAnsi" w:hAnsiTheme="minorHAnsi" w:cstheme="majorHAnsi"/>
          <w:lang w:val="en-US"/>
        </w:rPr>
        <w:t xml:space="preserve"> in any future comparative study due to the associated risk of morbidity and mortality, particularly in an elderly population, especially if being investigated in a lower risk or adjuvant setting. Note is made of several such trials listed in Clinicaltrials.gov website (accessed 2 April 2018).</w:t>
      </w:r>
    </w:p>
    <w:p w:rsidR="00E660F2" w:rsidRDefault="00E660F2" w:rsidP="00E660F2">
      <w:pPr>
        <w:rPr>
          <w:lang w:val="en-US"/>
        </w:rPr>
      </w:pPr>
      <w:r>
        <w:rPr>
          <w:lang w:val="en-US"/>
        </w:rPr>
        <w:t>There are uncertainties about the longer term safety profile, with a relatively short median duration of treatment to date (17 months) compared with the calculated likely median duration of clinical benefit based on the primary efficacy endpoint estimate (40 months).</w:t>
      </w:r>
    </w:p>
    <w:p w:rsidR="00E660F2" w:rsidRDefault="00E660F2" w:rsidP="00E660F2">
      <w:pPr>
        <w:rPr>
          <w:lang w:val="en-US"/>
        </w:rPr>
      </w:pPr>
      <w:r>
        <w:rPr>
          <w:lang w:val="en-US"/>
        </w:rPr>
        <w:t xml:space="preserve">With many patients still ongoing in this trial, updated data on the safety profile will inform further although with the recommendation of the IDMC to unblind and offer patients on the placebo arm apalutamide, the unblinding of the study, loss of randomisation and cross </w:t>
      </w:r>
      <w:r>
        <w:rPr>
          <w:lang w:val="en-US"/>
        </w:rPr>
        <w:lastRenderedPageBreak/>
        <w:t>over from the placebo arm, will affect the ability to attribute additional events to the study drug.</w:t>
      </w:r>
    </w:p>
    <w:p w:rsidR="00E660F2" w:rsidRDefault="00E660F2" w:rsidP="00E660F2">
      <w:pPr>
        <w:rPr>
          <w:rFonts w:asciiTheme="minorHAnsi" w:hAnsiTheme="minorHAnsi" w:cs="Arial"/>
          <w:lang w:eastAsia="ja-JP"/>
        </w:rPr>
      </w:pPr>
      <w:r w:rsidRPr="00CF34F4">
        <w:rPr>
          <w:rFonts w:asciiTheme="minorHAnsi" w:hAnsiTheme="minorHAnsi" w:cs="Arial"/>
          <w:lang w:eastAsia="ja-JP"/>
        </w:rPr>
        <w:t xml:space="preserve">Different formulations were used in two of the three studies provided to characterise and demonstrate the safety of apalutamide for the proposed usage. </w:t>
      </w:r>
      <w:r>
        <w:rPr>
          <w:rFonts w:asciiTheme="minorHAnsi" w:hAnsiTheme="minorHAnsi" w:cs="Arial"/>
          <w:lang w:eastAsia="ja-JP"/>
        </w:rPr>
        <w:t>Study 1019 was</w:t>
      </w:r>
      <w:r w:rsidRPr="00CF34F4">
        <w:rPr>
          <w:rFonts w:asciiTheme="minorHAnsi" w:hAnsiTheme="minorHAnsi" w:cs="Arial"/>
          <w:lang w:eastAsia="ja-JP"/>
        </w:rPr>
        <w:t xml:space="preserve"> conducted with the tablets only, but in a more advanced population, with a single arm study design with few patients (45) and over a very short period of time. Within Study </w:t>
      </w:r>
      <w:r>
        <w:rPr>
          <w:rFonts w:asciiTheme="minorHAnsi" w:hAnsiTheme="minorHAnsi" w:cs="Arial"/>
          <w:lang w:eastAsia="ja-JP"/>
        </w:rPr>
        <w:t>ARN 509-</w:t>
      </w:r>
      <w:r w:rsidRPr="00CF34F4">
        <w:rPr>
          <w:rFonts w:asciiTheme="minorHAnsi" w:hAnsiTheme="minorHAnsi" w:cs="Arial"/>
          <w:lang w:eastAsia="ja-JP"/>
        </w:rPr>
        <w:t xml:space="preserve">003, differences emerged between the rates of adverse events leading to discontinuation for the tablet formulation compared with those observed </w:t>
      </w:r>
      <w:r>
        <w:rPr>
          <w:rFonts w:asciiTheme="minorHAnsi" w:hAnsiTheme="minorHAnsi" w:cs="Arial"/>
          <w:lang w:eastAsia="ja-JP"/>
        </w:rPr>
        <w:t>taking</w:t>
      </w:r>
      <w:r w:rsidRPr="00CF34F4">
        <w:rPr>
          <w:rFonts w:asciiTheme="minorHAnsi" w:hAnsiTheme="minorHAnsi" w:cs="Arial"/>
          <w:lang w:eastAsia="ja-JP"/>
        </w:rPr>
        <w:t xml:space="preserve"> both tablets and capsules during the study period. It is possible that baseline differences in these subgroups, where there is both loss of randomisation and small numbers, account for these differences. Characterisation of the safety profile using </w:t>
      </w:r>
      <w:r w:rsidRPr="007E6DD6">
        <w:rPr>
          <w:rFonts w:asciiTheme="minorHAnsi" w:hAnsiTheme="minorHAnsi" w:cs="Arial"/>
          <w:lang w:eastAsia="ja-JP"/>
        </w:rPr>
        <w:t>just the tablet formulation would address these uncertainties but at this time, there is not sufficient concern regarding any potential differences to affect recommendation for registration.</w:t>
      </w:r>
    </w:p>
    <w:p w:rsidR="00E660F2" w:rsidRPr="00605AD4" w:rsidRDefault="00E660F2" w:rsidP="00E660F2">
      <w:pPr>
        <w:pStyle w:val="Heading3"/>
        <w:rPr>
          <w:rFonts w:eastAsia="Cambria"/>
        </w:rPr>
      </w:pPr>
      <w:bookmarkStart w:id="154" w:name="_Toc523915071"/>
      <w:bookmarkStart w:id="155" w:name="_Toc5014071"/>
      <w:r w:rsidRPr="00605AD4">
        <w:rPr>
          <w:rFonts w:eastAsia="Cambria"/>
        </w:rPr>
        <w:t xml:space="preserve">Second </w:t>
      </w:r>
      <w:r w:rsidR="008F0588" w:rsidRPr="00605AD4">
        <w:rPr>
          <w:rFonts w:eastAsia="Cambria"/>
        </w:rPr>
        <w:t>round evaluation</w:t>
      </w:r>
      <w:bookmarkEnd w:id="154"/>
      <w:bookmarkEnd w:id="155"/>
    </w:p>
    <w:p w:rsidR="00E660F2" w:rsidRDefault="00E660F2" w:rsidP="00E660F2">
      <w:pPr>
        <w:rPr>
          <w:lang w:eastAsia="ja-JP"/>
        </w:rPr>
      </w:pPr>
      <w:r w:rsidRPr="00D9572B">
        <w:rPr>
          <w:lang w:eastAsia="ja-JP"/>
        </w:rPr>
        <w:t>The clinical questions were answered by the sponsor during the evaluation process. The answers were incorporated into the report. The questions are provided below for completeness.</w:t>
      </w:r>
    </w:p>
    <w:p w:rsidR="00E660F2" w:rsidRPr="00E01445" w:rsidRDefault="00E660F2" w:rsidP="00E660F2">
      <w:pPr>
        <w:pStyle w:val="Heading4"/>
      </w:pPr>
      <w:bookmarkStart w:id="156" w:name="_Ref269908779"/>
      <w:bookmarkStart w:id="157" w:name="_Toc272414701"/>
      <w:bookmarkStart w:id="158" w:name="_Toc290888567"/>
      <w:bookmarkStart w:id="159" w:name="_Toc416353783"/>
      <w:bookmarkStart w:id="160" w:name="_Toc421005323"/>
      <w:bookmarkStart w:id="161" w:name="_Toc432079194"/>
      <w:bookmarkStart w:id="162" w:name="_Toc432080767"/>
      <w:bookmarkStart w:id="163" w:name="_Toc386458798"/>
      <w:r w:rsidRPr="00E01445">
        <w:t>Clinical questions</w:t>
      </w:r>
      <w:bookmarkEnd w:id="156"/>
      <w:bookmarkEnd w:id="157"/>
      <w:bookmarkEnd w:id="158"/>
      <w:bookmarkEnd w:id="159"/>
      <w:bookmarkEnd w:id="160"/>
      <w:bookmarkEnd w:id="161"/>
      <w:bookmarkEnd w:id="162"/>
      <w:bookmarkEnd w:id="163"/>
    </w:p>
    <w:p w:rsidR="00E660F2" w:rsidRDefault="00E660F2" w:rsidP="00E660F2">
      <w:pPr>
        <w:pStyle w:val="Heading5"/>
        <w:rPr>
          <w:lang w:val="en-US"/>
        </w:rPr>
      </w:pPr>
      <w:r>
        <w:rPr>
          <w:lang w:val="en-US"/>
        </w:rPr>
        <w:t>Efficacy</w:t>
      </w:r>
    </w:p>
    <w:p w:rsidR="00E660F2" w:rsidRPr="003E5D94" w:rsidRDefault="00E660F2" w:rsidP="00E660F2">
      <w:pPr>
        <w:pStyle w:val="Numberbullet0"/>
        <w:numPr>
          <w:ilvl w:val="0"/>
          <w:numId w:val="12"/>
        </w:numPr>
        <w:ind w:left="567"/>
        <w:rPr>
          <w:lang w:val="en-US" w:eastAsia="ja-JP"/>
        </w:rPr>
      </w:pPr>
      <w:r w:rsidRPr="003E5D94">
        <w:rPr>
          <w:lang w:val="en-US" w:eastAsia="ja-JP"/>
        </w:rPr>
        <w:t>From the baseline tables for Study ARN</w:t>
      </w:r>
      <w:r>
        <w:rPr>
          <w:lang w:val="en-US" w:eastAsia="ja-JP"/>
        </w:rPr>
        <w:t xml:space="preserve"> </w:t>
      </w:r>
      <w:r w:rsidRPr="003E5D94">
        <w:rPr>
          <w:lang w:val="en-US" w:eastAsia="ja-JP"/>
        </w:rPr>
        <w:t>509-001 the lowest PSA level reported in the range at baseline for Cohort 1 is 0.5</w:t>
      </w:r>
      <w:r>
        <w:rPr>
          <w:lang w:val="en-US" w:eastAsia="ja-JP"/>
        </w:rPr>
        <w:t xml:space="preserve"> </w:t>
      </w:r>
      <w:r w:rsidRPr="003E5D94">
        <w:rPr>
          <w:lang w:val="en-US" w:eastAsia="ja-JP"/>
        </w:rPr>
        <w:t>ng/m</w:t>
      </w:r>
      <w:r>
        <w:rPr>
          <w:lang w:val="en-US" w:eastAsia="ja-JP"/>
        </w:rPr>
        <w:t>L</w:t>
      </w:r>
      <w:r w:rsidRPr="003E5D94">
        <w:rPr>
          <w:lang w:val="en-US" w:eastAsia="ja-JP"/>
        </w:rPr>
        <w:t>. It is not clear how this patient (and potentially others who may have had very low PSA levels and no evidence of metastatic disease) satisfied the status of high risk. The sponsor was requested to present the baseline PSA data for any patients with baseline PSA</w:t>
      </w:r>
      <w:r>
        <w:rPr>
          <w:lang w:val="en-US" w:eastAsia="ja-JP"/>
        </w:rPr>
        <w:t xml:space="preserve"> </w:t>
      </w:r>
      <w:r w:rsidRPr="003E5D94">
        <w:rPr>
          <w:lang w:val="en-US" w:eastAsia="ja-JP"/>
        </w:rPr>
        <w:t>&lt;2 ng/m</w:t>
      </w:r>
      <w:r>
        <w:rPr>
          <w:lang w:val="en-US" w:eastAsia="ja-JP"/>
        </w:rPr>
        <w:t>L</w:t>
      </w:r>
      <w:r w:rsidRPr="003E5D94">
        <w:rPr>
          <w:lang w:val="en-US" w:eastAsia="ja-JP"/>
        </w:rPr>
        <w:t xml:space="preserve"> and how they satisfied classification as high risk.</w:t>
      </w:r>
    </w:p>
    <w:p w:rsidR="00E660F2" w:rsidRPr="0004312F" w:rsidRDefault="00E660F2" w:rsidP="00E660F2">
      <w:pPr>
        <w:pStyle w:val="Numberbullet0"/>
        <w:numPr>
          <w:ilvl w:val="0"/>
          <w:numId w:val="2"/>
        </w:numPr>
        <w:ind w:left="567"/>
        <w:rPr>
          <w:lang w:val="en-US" w:eastAsia="ja-JP"/>
        </w:rPr>
      </w:pPr>
      <w:r>
        <w:rPr>
          <w:lang w:val="en-US" w:eastAsia="ja-JP"/>
        </w:rPr>
        <w:t>What</w:t>
      </w:r>
      <w:r w:rsidRPr="0004312F">
        <w:rPr>
          <w:lang w:val="en-US"/>
        </w:rPr>
        <w:t xml:space="preserve"> proportion of patients</w:t>
      </w:r>
      <w:r>
        <w:rPr>
          <w:lang w:val="en-US"/>
        </w:rPr>
        <w:t xml:space="preserve"> in Study ARN 509-003</w:t>
      </w:r>
      <w:r w:rsidRPr="0004312F">
        <w:rPr>
          <w:lang w:val="en-US"/>
        </w:rPr>
        <w:t xml:space="preserve"> </w:t>
      </w:r>
      <w:r>
        <w:rPr>
          <w:lang w:val="en-US"/>
        </w:rPr>
        <w:t xml:space="preserve">has </w:t>
      </w:r>
      <w:r w:rsidRPr="0004312F">
        <w:rPr>
          <w:lang w:val="en-US"/>
        </w:rPr>
        <w:t xml:space="preserve">switched from placebo to apalutamide </w:t>
      </w:r>
      <w:r>
        <w:rPr>
          <w:lang w:val="en-US"/>
        </w:rPr>
        <w:t>following</w:t>
      </w:r>
      <w:r w:rsidRPr="0004312F">
        <w:rPr>
          <w:lang w:val="en-US"/>
        </w:rPr>
        <w:t xml:space="preserve"> the recommendation by the </w:t>
      </w:r>
      <w:r w:rsidRPr="00C5075F">
        <w:rPr>
          <w:lang w:val="en-US"/>
        </w:rPr>
        <w:t>IDMC</w:t>
      </w:r>
      <w:r w:rsidRPr="0004312F">
        <w:rPr>
          <w:lang w:val="en-US"/>
        </w:rPr>
        <w:t xml:space="preserve"> to allow this</w:t>
      </w:r>
      <w:r>
        <w:rPr>
          <w:lang w:val="en-US"/>
        </w:rPr>
        <w:t>?</w:t>
      </w:r>
    </w:p>
    <w:p w:rsidR="00E660F2" w:rsidRPr="0004312F" w:rsidRDefault="00E660F2" w:rsidP="00E660F2">
      <w:pPr>
        <w:pStyle w:val="Numberbullet0"/>
        <w:numPr>
          <w:ilvl w:val="0"/>
          <w:numId w:val="2"/>
        </w:numPr>
        <w:ind w:left="567"/>
        <w:rPr>
          <w:lang w:val="en-US" w:eastAsia="ja-JP"/>
        </w:rPr>
      </w:pPr>
      <w:r>
        <w:rPr>
          <w:lang w:val="en-US" w:eastAsia="ja-JP"/>
        </w:rPr>
        <w:t>In Study ARN 509-003, what were the values for the median and interquartile range for baseline PSADT and what was the metastasis-free survival for these quartiles defined by baseline PSADT values</w:t>
      </w:r>
      <w:r w:rsidRPr="0004312F">
        <w:rPr>
          <w:lang w:val="en-US" w:eastAsia="ja-JP"/>
        </w:rPr>
        <w:t>?</w:t>
      </w:r>
    </w:p>
    <w:p w:rsidR="00E660F2" w:rsidRPr="0004312F" w:rsidRDefault="00E660F2" w:rsidP="00E660F2">
      <w:pPr>
        <w:pStyle w:val="Numberbullet0"/>
        <w:numPr>
          <w:ilvl w:val="0"/>
          <w:numId w:val="2"/>
        </w:numPr>
        <w:ind w:left="567"/>
        <w:rPr>
          <w:lang w:val="en-US" w:eastAsia="ja-JP"/>
        </w:rPr>
      </w:pPr>
      <w:r w:rsidRPr="0004312F">
        <w:rPr>
          <w:lang w:val="en-US" w:eastAsia="ja-JP"/>
        </w:rPr>
        <w:t>In Study</w:t>
      </w:r>
      <w:r>
        <w:rPr>
          <w:lang w:val="en-US" w:eastAsia="ja-JP"/>
        </w:rPr>
        <w:t xml:space="preserve"> 509-</w:t>
      </w:r>
      <w:r w:rsidRPr="0004312F">
        <w:rPr>
          <w:lang w:val="en-US" w:eastAsia="ja-JP"/>
        </w:rPr>
        <w:t xml:space="preserve">003, </w:t>
      </w:r>
      <w:r>
        <w:rPr>
          <w:lang w:val="en-US" w:eastAsia="ja-JP"/>
        </w:rPr>
        <w:t>152</w:t>
      </w:r>
      <w:r w:rsidRPr="0004312F">
        <w:rPr>
          <w:lang w:val="en-US" w:eastAsia="ja-JP"/>
        </w:rPr>
        <w:t xml:space="preserve"> patients (13%) were found to be mis</w:t>
      </w:r>
      <w:r w:rsidR="00C31962">
        <w:rPr>
          <w:lang w:val="en-US" w:eastAsia="ja-JP"/>
        </w:rPr>
        <w:t>-</w:t>
      </w:r>
      <w:r w:rsidRPr="0004312F">
        <w:rPr>
          <w:lang w:val="en-US" w:eastAsia="ja-JP"/>
        </w:rPr>
        <w:t xml:space="preserve">stratified by </w:t>
      </w:r>
      <w:r w:rsidRPr="00C5075F">
        <w:rPr>
          <w:lang w:val="en-US" w:eastAsia="ja-JP"/>
        </w:rPr>
        <w:t>Interactive voice response</w:t>
      </w:r>
      <w:r>
        <w:rPr>
          <w:lang w:val="en-US" w:eastAsia="ja-JP"/>
        </w:rPr>
        <w:t>s(</w:t>
      </w:r>
      <w:r w:rsidRPr="0004312F">
        <w:rPr>
          <w:lang w:val="en-US" w:eastAsia="ja-JP"/>
        </w:rPr>
        <w:t>IVRS</w:t>
      </w:r>
      <w:r>
        <w:rPr>
          <w:lang w:val="en-US" w:eastAsia="ja-JP"/>
        </w:rPr>
        <w:t>)</w:t>
      </w:r>
      <w:r w:rsidRPr="0004312F">
        <w:rPr>
          <w:lang w:val="en-US" w:eastAsia="ja-JP"/>
        </w:rPr>
        <w:t xml:space="preserve"> compared with subsequent </w:t>
      </w:r>
      <w:r w:rsidRPr="00C5075F">
        <w:rPr>
          <w:lang w:val="en-US" w:eastAsia="ja-JP"/>
        </w:rPr>
        <w:t>electronic case report form (eCRF)</w:t>
      </w:r>
      <w:r w:rsidRPr="0004312F">
        <w:rPr>
          <w:lang w:val="en-US" w:eastAsia="ja-JP"/>
        </w:rPr>
        <w:t xml:space="preserve"> information:</w:t>
      </w:r>
    </w:p>
    <w:p w:rsidR="00E660F2" w:rsidRPr="0004312F" w:rsidRDefault="00E660F2" w:rsidP="00E660F2">
      <w:pPr>
        <w:pStyle w:val="ListBullet2"/>
        <w:numPr>
          <w:ilvl w:val="1"/>
          <w:numId w:val="1"/>
        </w:numPr>
        <w:rPr>
          <w:lang w:val="en-US" w:eastAsia="ja-JP"/>
        </w:rPr>
      </w:pPr>
      <w:r w:rsidRPr="0004312F">
        <w:rPr>
          <w:lang w:val="en-US" w:eastAsia="ja-JP"/>
        </w:rPr>
        <w:t xml:space="preserve">20 </w:t>
      </w:r>
      <w:r>
        <w:rPr>
          <w:lang w:val="en-US" w:eastAsia="ja-JP"/>
        </w:rPr>
        <w:t>patients</w:t>
      </w:r>
      <w:r w:rsidRPr="0004312F">
        <w:rPr>
          <w:lang w:val="en-US" w:eastAsia="ja-JP"/>
        </w:rPr>
        <w:t xml:space="preserve"> for PSADT</w:t>
      </w:r>
    </w:p>
    <w:p w:rsidR="00E660F2" w:rsidRPr="0004312F" w:rsidRDefault="00E660F2" w:rsidP="00E660F2">
      <w:pPr>
        <w:pStyle w:val="ListBullet2"/>
        <w:numPr>
          <w:ilvl w:val="1"/>
          <w:numId w:val="1"/>
        </w:numPr>
        <w:rPr>
          <w:lang w:val="en-US" w:eastAsia="ja-JP"/>
        </w:rPr>
      </w:pPr>
      <w:r w:rsidRPr="0004312F">
        <w:rPr>
          <w:lang w:val="en-US" w:eastAsia="ja-JP"/>
        </w:rPr>
        <w:t xml:space="preserve">43 </w:t>
      </w:r>
      <w:r>
        <w:rPr>
          <w:lang w:val="en-US" w:eastAsia="ja-JP"/>
        </w:rPr>
        <w:t>patients</w:t>
      </w:r>
      <w:r w:rsidRPr="0004312F">
        <w:rPr>
          <w:lang w:val="en-US" w:eastAsia="ja-JP"/>
        </w:rPr>
        <w:t xml:space="preserve"> for bone-sparing agent use</w:t>
      </w:r>
    </w:p>
    <w:p w:rsidR="00E660F2" w:rsidRPr="0004312F" w:rsidRDefault="00E660F2" w:rsidP="00E660F2">
      <w:pPr>
        <w:pStyle w:val="ListBullet2"/>
        <w:numPr>
          <w:ilvl w:val="1"/>
          <w:numId w:val="1"/>
        </w:numPr>
        <w:rPr>
          <w:lang w:val="en-US" w:eastAsia="ja-JP"/>
        </w:rPr>
      </w:pPr>
      <w:r w:rsidRPr="0004312F">
        <w:rPr>
          <w:lang w:val="en-US" w:eastAsia="ja-JP"/>
        </w:rPr>
        <w:t xml:space="preserve">94 </w:t>
      </w:r>
      <w:r>
        <w:rPr>
          <w:lang w:val="en-US" w:eastAsia="ja-JP"/>
        </w:rPr>
        <w:t>patients</w:t>
      </w:r>
      <w:r w:rsidRPr="0004312F">
        <w:rPr>
          <w:lang w:val="en-US" w:eastAsia="ja-JP"/>
        </w:rPr>
        <w:t xml:space="preserve"> for loco-regional disease</w:t>
      </w:r>
    </w:p>
    <w:p w:rsidR="00E660F2" w:rsidRPr="0004312F" w:rsidRDefault="00E660F2" w:rsidP="00E660F2">
      <w:pPr>
        <w:pStyle w:val="ListBullet2"/>
        <w:numPr>
          <w:ilvl w:val="1"/>
          <w:numId w:val="1"/>
        </w:numPr>
        <w:rPr>
          <w:lang w:val="en-US" w:eastAsia="ja-JP"/>
        </w:rPr>
      </w:pPr>
      <w:r w:rsidRPr="0004312F">
        <w:rPr>
          <w:lang w:val="en-US" w:eastAsia="ja-JP"/>
        </w:rPr>
        <w:t xml:space="preserve">2 </w:t>
      </w:r>
      <w:r>
        <w:rPr>
          <w:lang w:val="en-US" w:eastAsia="ja-JP"/>
        </w:rPr>
        <w:t>patients</w:t>
      </w:r>
      <w:r w:rsidRPr="0004312F">
        <w:rPr>
          <w:lang w:val="en-US" w:eastAsia="ja-JP"/>
        </w:rPr>
        <w:t xml:space="preserve"> for PSADT and bone-sparing agent use</w:t>
      </w:r>
    </w:p>
    <w:p w:rsidR="00E660F2" w:rsidRPr="0004312F" w:rsidRDefault="00E660F2" w:rsidP="00E660F2">
      <w:pPr>
        <w:pStyle w:val="ListBullet2"/>
        <w:numPr>
          <w:ilvl w:val="1"/>
          <w:numId w:val="1"/>
        </w:numPr>
        <w:rPr>
          <w:lang w:val="en-US" w:eastAsia="ja-JP"/>
        </w:rPr>
      </w:pPr>
      <w:r w:rsidRPr="0004312F">
        <w:rPr>
          <w:lang w:val="en-US" w:eastAsia="ja-JP"/>
        </w:rPr>
        <w:t xml:space="preserve">3 </w:t>
      </w:r>
      <w:r>
        <w:rPr>
          <w:lang w:val="en-US" w:eastAsia="ja-JP"/>
        </w:rPr>
        <w:t>patients</w:t>
      </w:r>
      <w:r w:rsidRPr="0004312F">
        <w:rPr>
          <w:lang w:val="en-US" w:eastAsia="ja-JP"/>
        </w:rPr>
        <w:t xml:space="preserve"> for bone-sparing agent use and loco-regional disease.</w:t>
      </w:r>
    </w:p>
    <w:p w:rsidR="00E660F2" w:rsidRPr="0004312F" w:rsidRDefault="00E660F2" w:rsidP="00E660F2">
      <w:pPr>
        <w:ind w:left="360"/>
        <w:rPr>
          <w:lang w:val="en-US" w:eastAsia="ja-JP"/>
        </w:rPr>
      </w:pPr>
      <w:r w:rsidRPr="0004312F">
        <w:rPr>
          <w:lang w:val="en-US" w:eastAsia="ja-JP"/>
        </w:rPr>
        <w:t xml:space="preserve">From the tables below, the </w:t>
      </w:r>
      <w:r>
        <w:rPr>
          <w:lang w:val="en-US" w:eastAsia="ja-JP"/>
        </w:rPr>
        <w:t>clinical e</w:t>
      </w:r>
      <w:r w:rsidRPr="0004312F">
        <w:rPr>
          <w:lang w:val="en-US" w:eastAsia="ja-JP"/>
        </w:rPr>
        <w:t>valuator can identify a correction to the stratification in the following numbers of patients:</w:t>
      </w:r>
    </w:p>
    <w:p w:rsidR="00E660F2" w:rsidRPr="0004312F" w:rsidRDefault="00E660F2" w:rsidP="00E660F2">
      <w:pPr>
        <w:pStyle w:val="ListBullet2"/>
        <w:numPr>
          <w:ilvl w:val="1"/>
          <w:numId w:val="1"/>
        </w:numPr>
        <w:rPr>
          <w:lang w:val="en-US" w:eastAsia="ja-JP"/>
        </w:rPr>
      </w:pPr>
      <w:r w:rsidRPr="0004312F">
        <w:rPr>
          <w:lang w:val="en-US" w:eastAsia="ja-JP"/>
        </w:rPr>
        <w:t xml:space="preserve">8/20 </w:t>
      </w:r>
      <w:r>
        <w:rPr>
          <w:lang w:val="en-US" w:eastAsia="ja-JP"/>
        </w:rPr>
        <w:t>patients</w:t>
      </w:r>
      <w:r w:rsidRPr="0004312F">
        <w:rPr>
          <w:lang w:val="en-US" w:eastAsia="ja-JP"/>
        </w:rPr>
        <w:t xml:space="preserve"> for PSADT</w:t>
      </w:r>
      <w:r>
        <w:rPr>
          <w:lang w:val="en-US" w:eastAsia="ja-JP"/>
        </w:rPr>
        <w:t>:</w:t>
      </w:r>
      <w:r w:rsidRPr="0004312F">
        <w:rPr>
          <w:lang w:val="en-US" w:eastAsia="ja-JP"/>
        </w:rPr>
        <w:t xml:space="preserve"> these changes were relatively balanced between the arms are unlikely to have changed outcomes</w:t>
      </w:r>
      <w:r>
        <w:rPr>
          <w:lang w:val="en-US" w:eastAsia="ja-JP"/>
        </w:rPr>
        <w:t>;</w:t>
      </w:r>
      <w:r w:rsidRPr="0004312F">
        <w:rPr>
          <w:lang w:val="en-US" w:eastAsia="ja-JP"/>
        </w:rPr>
        <w:t xml:space="preserve"> </w:t>
      </w:r>
      <w:r w:rsidRPr="00C5075F">
        <w:rPr>
          <w:i/>
          <w:lang w:val="en-US" w:eastAsia="ja-JP"/>
        </w:rPr>
        <w:t>12 missing</w:t>
      </w:r>
    </w:p>
    <w:p w:rsidR="00E660F2" w:rsidRPr="0004312F" w:rsidRDefault="00E660F2" w:rsidP="00E660F2">
      <w:pPr>
        <w:pStyle w:val="ListBullet2"/>
        <w:numPr>
          <w:ilvl w:val="1"/>
          <w:numId w:val="1"/>
        </w:numPr>
        <w:rPr>
          <w:lang w:val="en-US" w:eastAsia="ja-JP"/>
        </w:rPr>
      </w:pPr>
      <w:r w:rsidRPr="0004312F">
        <w:rPr>
          <w:lang w:val="en-US" w:eastAsia="ja-JP"/>
        </w:rPr>
        <w:t xml:space="preserve">5/43 </w:t>
      </w:r>
      <w:r>
        <w:rPr>
          <w:lang w:val="en-US" w:eastAsia="ja-JP"/>
        </w:rPr>
        <w:t>patients</w:t>
      </w:r>
      <w:r w:rsidRPr="0004312F">
        <w:rPr>
          <w:lang w:val="en-US" w:eastAsia="ja-JP"/>
        </w:rPr>
        <w:t xml:space="preserve"> for bone-sparing agent use</w:t>
      </w:r>
      <w:r>
        <w:rPr>
          <w:lang w:val="en-US" w:eastAsia="ja-JP"/>
        </w:rPr>
        <w:t>:</w:t>
      </w:r>
      <w:r w:rsidRPr="0004312F">
        <w:rPr>
          <w:lang w:val="en-US" w:eastAsia="ja-JP"/>
        </w:rPr>
        <w:t xml:space="preserve"> increase in bone</w:t>
      </w:r>
      <w:r>
        <w:rPr>
          <w:lang w:val="en-US" w:eastAsia="ja-JP"/>
        </w:rPr>
        <w:t xml:space="preserve"> </w:t>
      </w:r>
      <w:r w:rsidRPr="0004312F">
        <w:rPr>
          <w:lang w:val="en-US" w:eastAsia="ja-JP"/>
        </w:rPr>
        <w:t>sparing use all in study drug arm</w:t>
      </w:r>
      <w:r>
        <w:rPr>
          <w:lang w:val="en-US" w:eastAsia="ja-JP"/>
        </w:rPr>
        <w:t>;</w:t>
      </w:r>
      <w:r w:rsidRPr="00C5075F">
        <w:rPr>
          <w:i/>
          <w:lang w:val="en-US" w:eastAsia="ja-JP"/>
        </w:rPr>
        <w:t xml:space="preserve"> 38 missing</w:t>
      </w:r>
    </w:p>
    <w:p w:rsidR="00E660F2" w:rsidRPr="0004312F" w:rsidRDefault="00E660F2" w:rsidP="00E660F2">
      <w:pPr>
        <w:pStyle w:val="ListBullet2"/>
        <w:numPr>
          <w:ilvl w:val="1"/>
          <w:numId w:val="1"/>
        </w:numPr>
        <w:rPr>
          <w:lang w:val="en-US" w:eastAsia="ja-JP"/>
        </w:rPr>
      </w:pPr>
      <w:r w:rsidRPr="0004312F">
        <w:rPr>
          <w:lang w:val="en-US" w:eastAsia="ja-JP"/>
        </w:rPr>
        <w:lastRenderedPageBreak/>
        <w:t xml:space="preserve">92/ 94 </w:t>
      </w:r>
      <w:r>
        <w:rPr>
          <w:lang w:val="en-US" w:eastAsia="ja-JP"/>
        </w:rPr>
        <w:t>patients</w:t>
      </w:r>
      <w:r w:rsidRPr="0004312F">
        <w:rPr>
          <w:lang w:val="en-US" w:eastAsia="ja-JP"/>
        </w:rPr>
        <w:t xml:space="preserve"> for loco-regional disease with 56 of these being upgraded to N1 in the study drug arm compared with 36 in the control arm</w:t>
      </w:r>
      <w:r>
        <w:rPr>
          <w:lang w:val="en-US" w:eastAsia="ja-JP"/>
        </w:rPr>
        <w:t>;</w:t>
      </w:r>
      <w:r w:rsidRPr="0004312F">
        <w:rPr>
          <w:lang w:val="en-US" w:eastAsia="ja-JP"/>
        </w:rPr>
        <w:t xml:space="preserve"> </w:t>
      </w:r>
      <w:r w:rsidRPr="00C5075F">
        <w:rPr>
          <w:i/>
          <w:lang w:val="en-US" w:eastAsia="ja-JP"/>
        </w:rPr>
        <w:t>2 missing</w:t>
      </w:r>
    </w:p>
    <w:p w:rsidR="00E660F2" w:rsidRPr="0004312F" w:rsidRDefault="00E660F2" w:rsidP="00E660F2">
      <w:pPr>
        <w:pStyle w:val="ListBullet2"/>
        <w:numPr>
          <w:ilvl w:val="1"/>
          <w:numId w:val="1"/>
        </w:numPr>
        <w:rPr>
          <w:lang w:val="en-US" w:eastAsia="ja-JP"/>
        </w:rPr>
      </w:pPr>
      <w:r w:rsidRPr="00C5075F">
        <w:rPr>
          <w:lang w:val="en-US" w:eastAsia="ja-JP"/>
        </w:rPr>
        <w:t>2 patients for PSADT and bone-sparing agent use</w:t>
      </w:r>
      <w:r>
        <w:rPr>
          <w:lang w:val="en-US" w:eastAsia="ja-JP"/>
        </w:rPr>
        <w:t xml:space="preserve">; </w:t>
      </w:r>
      <w:r w:rsidRPr="0004312F">
        <w:rPr>
          <w:lang w:val="en-US" w:eastAsia="ja-JP"/>
        </w:rPr>
        <w:t>unable to determine on information provided</w:t>
      </w:r>
    </w:p>
    <w:p w:rsidR="00E660F2" w:rsidRPr="0004312F" w:rsidRDefault="00E660F2" w:rsidP="00E660F2">
      <w:pPr>
        <w:pStyle w:val="ListBullet2"/>
        <w:numPr>
          <w:ilvl w:val="1"/>
          <w:numId w:val="1"/>
        </w:numPr>
        <w:rPr>
          <w:lang w:val="en-US" w:eastAsia="ja-JP"/>
        </w:rPr>
      </w:pPr>
      <w:r w:rsidRPr="00C5075F">
        <w:rPr>
          <w:lang w:val="en-US" w:eastAsia="ja-JP"/>
        </w:rPr>
        <w:t>3 patients for bone-sparing agent use and loco-regional disease</w:t>
      </w:r>
      <w:r>
        <w:rPr>
          <w:lang w:val="en-US" w:eastAsia="ja-JP"/>
        </w:rPr>
        <w:t>;</w:t>
      </w:r>
      <w:r w:rsidRPr="0004312F">
        <w:rPr>
          <w:lang w:val="en-US" w:eastAsia="ja-JP"/>
        </w:rPr>
        <w:t xml:space="preserve"> unable to determine on information provided</w:t>
      </w:r>
    </w:p>
    <w:p w:rsidR="00E660F2" w:rsidRDefault="00E660F2" w:rsidP="00E660F2">
      <w:pPr>
        <w:ind w:left="360"/>
        <w:rPr>
          <w:lang w:val="en-US" w:eastAsia="ja-JP"/>
        </w:rPr>
      </w:pPr>
      <w:r w:rsidRPr="0004312F">
        <w:rPr>
          <w:lang w:val="en-US" w:eastAsia="ja-JP"/>
        </w:rPr>
        <w:t xml:space="preserve">The </w:t>
      </w:r>
      <w:r>
        <w:rPr>
          <w:lang w:val="en-US" w:eastAsia="ja-JP"/>
        </w:rPr>
        <w:t>sponsor wa</w:t>
      </w:r>
      <w:r w:rsidRPr="0004312F">
        <w:rPr>
          <w:lang w:val="en-US" w:eastAsia="ja-JP"/>
        </w:rPr>
        <w:t xml:space="preserve">s requested to provide the allocation for those patients </w:t>
      </w:r>
      <w:r>
        <w:rPr>
          <w:lang w:val="en-US" w:eastAsia="ja-JP"/>
        </w:rPr>
        <w:t>(highlighted with</w:t>
      </w:r>
      <w:r w:rsidRPr="0004312F">
        <w:rPr>
          <w:lang w:val="en-US" w:eastAsia="ja-JP"/>
        </w:rPr>
        <w:t xml:space="preserve"> </w:t>
      </w:r>
      <w:r>
        <w:rPr>
          <w:lang w:val="en-US" w:eastAsia="ja-JP"/>
        </w:rPr>
        <w:t>italics)</w:t>
      </w:r>
      <w:r w:rsidRPr="0004312F">
        <w:rPr>
          <w:lang w:val="en-US" w:eastAsia="ja-JP"/>
        </w:rPr>
        <w:t>, where the data appear to be missing.</w:t>
      </w:r>
    </w:p>
    <w:p w:rsidR="00E660F2" w:rsidRPr="0004312F" w:rsidRDefault="00E660F2" w:rsidP="00E660F2">
      <w:pPr>
        <w:pStyle w:val="TableTitle"/>
        <w:rPr>
          <w:lang w:val="en-US" w:eastAsia="ja-JP"/>
        </w:rPr>
      </w:pPr>
      <w:r>
        <w:rPr>
          <w:lang w:val="en-US" w:eastAsia="ja-JP"/>
        </w:rPr>
        <w:t>Table 12: Study ARN 509-003 Summary of subject distribution by stratification factors (IVRS) (Intent to treat population)</w:t>
      </w:r>
    </w:p>
    <w:p w:rsidR="00E660F2" w:rsidRDefault="00E660F2" w:rsidP="00E660F2">
      <w:pPr>
        <w:rPr>
          <w:lang w:val="en-US" w:eastAsia="ja-JP"/>
        </w:rPr>
      </w:pPr>
      <w:r>
        <w:rPr>
          <w:noProof/>
          <w:lang w:eastAsia="en-AU"/>
        </w:rPr>
        <w:drawing>
          <wp:inline distT="0" distB="0" distL="0" distR="0" wp14:anchorId="09626E84" wp14:editId="203668AA">
            <wp:extent cx="5260199" cy="1932167"/>
            <wp:effectExtent l="0" t="0" r="0" b="0"/>
            <wp:docPr id="126" name="Picture 126" descr=": Summary of subject distribution by stratification factors (IVRS) Intent to treat population Study ARN-50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t="12765" b="11528"/>
                    <a:stretch/>
                  </pic:blipFill>
                  <pic:spPr bwMode="auto">
                    <a:xfrm>
                      <a:off x="0" y="0"/>
                      <a:ext cx="5270500" cy="1935951"/>
                    </a:xfrm>
                    <a:prstGeom prst="rect">
                      <a:avLst/>
                    </a:prstGeom>
                    <a:noFill/>
                    <a:ln>
                      <a:noFill/>
                    </a:ln>
                    <a:extLst>
                      <a:ext uri="{53640926-AAD7-44D8-BBD7-CCE9431645EC}">
                        <a14:shadowObscured xmlns:a14="http://schemas.microsoft.com/office/drawing/2010/main"/>
                      </a:ext>
                    </a:extLst>
                  </pic:spPr>
                </pic:pic>
              </a:graphicData>
            </a:graphic>
          </wp:inline>
        </w:drawing>
      </w:r>
    </w:p>
    <w:p w:rsidR="008F0588" w:rsidRDefault="00E660F2" w:rsidP="00E660F2">
      <w:pPr>
        <w:pStyle w:val="TableTitle"/>
        <w:rPr>
          <w:lang w:val="en-US" w:eastAsia="ja-JP"/>
        </w:rPr>
      </w:pPr>
      <w:r>
        <w:rPr>
          <w:lang w:val="en-US" w:eastAsia="ja-JP"/>
        </w:rPr>
        <w:t>Table 13: Study ARN-509-003 Summary of subject distribution by stratification factors (corrected) (Intent to treat population)</w:t>
      </w:r>
    </w:p>
    <w:p w:rsidR="00E660F2" w:rsidRDefault="00E660F2" w:rsidP="008F0588">
      <w:pPr>
        <w:rPr>
          <w:lang w:val="en-US" w:eastAsia="ja-JP"/>
        </w:rPr>
      </w:pPr>
      <w:r>
        <w:rPr>
          <w:noProof/>
          <w:lang w:eastAsia="en-AU"/>
        </w:rPr>
        <w:drawing>
          <wp:inline distT="0" distB="0" distL="0" distR="0" wp14:anchorId="665C8599" wp14:editId="067E1B59">
            <wp:extent cx="5271715" cy="2027583"/>
            <wp:effectExtent l="0" t="0" r="5715" b="0"/>
            <wp:docPr id="127" name="Picture 127" descr="Summary of subject distribution by stratification factors (corrected) Intent to treat population Study ARN-50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t="23866" b="6976"/>
                    <a:stretch/>
                  </pic:blipFill>
                  <pic:spPr bwMode="auto">
                    <a:xfrm>
                      <a:off x="0" y="0"/>
                      <a:ext cx="5270500" cy="2027116"/>
                    </a:xfrm>
                    <a:prstGeom prst="rect">
                      <a:avLst/>
                    </a:prstGeom>
                    <a:noFill/>
                    <a:ln>
                      <a:noFill/>
                    </a:ln>
                    <a:extLst>
                      <a:ext uri="{53640926-AAD7-44D8-BBD7-CCE9431645EC}">
                        <a14:shadowObscured xmlns:a14="http://schemas.microsoft.com/office/drawing/2010/main"/>
                      </a:ext>
                    </a:extLst>
                  </pic:spPr>
                </pic:pic>
              </a:graphicData>
            </a:graphic>
          </wp:inline>
        </w:drawing>
      </w:r>
    </w:p>
    <w:p w:rsidR="00E660F2" w:rsidRPr="006438BB" w:rsidRDefault="00E660F2" w:rsidP="00E660F2">
      <w:pPr>
        <w:pStyle w:val="Heading5"/>
      </w:pPr>
      <w:r>
        <w:rPr>
          <w:lang w:val="en-US"/>
        </w:rPr>
        <w:t>Safety</w:t>
      </w:r>
    </w:p>
    <w:p w:rsidR="00E660F2" w:rsidRPr="003E5D94" w:rsidRDefault="00E660F2" w:rsidP="00E660F2">
      <w:pPr>
        <w:pStyle w:val="Numberbullet0"/>
        <w:numPr>
          <w:ilvl w:val="0"/>
          <w:numId w:val="13"/>
        </w:numPr>
        <w:ind w:left="567"/>
        <w:rPr>
          <w:rFonts w:eastAsiaTheme="minorEastAsia"/>
          <w:lang w:val="en-US" w:eastAsia="ja-JP"/>
        </w:rPr>
      </w:pPr>
      <w:r w:rsidRPr="003E5D94">
        <w:rPr>
          <w:lang w:val="en-US"/>
        </w:rPr>
        <w:t>The detailed instructions provided to investigators for management of skin AEs in the protocol differs from the general information included in the PI for management of toxicity and the sponsor is requested to provide an explanation and justification for the less detailed information. The sponsor is requested to state whether use of topical and systemic corticosteroids as recommended and used by investigators was of any benefit in resolution of the rash.</w:t>
      </w:r>
    </w:p>
    <w:p w:rsidR="00E660F2" w:rsidRPr="0004312F" w:rsidRDefault="00E660F2" w:rsidP="00E660F2">
      <w:pPr>
        <w:pStyle w:val="Numberbullet0"/>
        <w:numPr>
          <w:ilvl w:val="0"/>
          <w:numId w:val="2"/>
        </w:numPr>
        <w:ind w:left="567"/>
        <w:rPr>
          <w:rFonts w:cs="–MÉ_ˇ"/>
          <w:lang w:val="en-US"/>
        </w:rPr>
      </w:pPr>
      <w:r w:rsidRPr="0004312F">
        <w:rPr>
          <w:rFonts w:cs="–MÉ_ˇ"/>
          <w:lang w:val="en-US"/>
        </w:rPr>
        <w:t xml:space="preserve">The </w:t>
      </w:r>
      <w:r>
        <w:rPr>
          <w:rFonts w:cs="–MÉ_ˇ"/>
          <w:lang w:val="en-US"/>
        </w:rPr>
        <w:t>s</w:t>
      </w:r>
      <w:r w:rsidRPr="0004312F">
        <w:rPr>
          <w:rFonts w:cs="–MÉ_ˇ"/>
          <w:lang w:val="en-US"/>
        </w:rPr>
        <w:t>ponsor is requested to discuss potential mechanisms for apalutamide</w:t>
      </w:r>
      <w:r>
        <w:rPr>
          <w:rFonts w:cs="–MÉ_ˇ"/>
          <w:lang w:val="en-US"/>
        </w:rPr>
        <w:t xml:space="preserve"> </w:t>
      </w:r>
      <w:r w:rsidRPr="0004312F">
        <w:rPr>
          <w:rFonts w:cs="–MÉ_ˇ"/>
          <w:lang w:val="en-US"/>
        </w:rPr>
        <w:t xml:space="preserve">induced hypothyroidism and state whether there is any evidence to support whether abnormal </w:t>
      </w:r>
      <w:r>
        <w:rPr>
          <w:rFonts w:cs="–MÉ_ˇ"/>
          <w:lang w:val="en-US"/>
        </w:rPr>
        <w:t>t</w:t>
      </w:r>
      <w:r w:rsidRPr="006515C9">
        <w:rPr>
          <w:rFonts w:eastAsiaTheme="minorHAnsi" w:cs="–MÉ_ˇ"/>
          <w:lang w:val="en-US"/>
        </w:rPr>
        <w:t>hyroid stimulating hormone</w:t>
      </w:r>
      <w:r w:rsidRPr="0004312F">
        <w:rPr>
          <w:rFonts w:cs="–MÉ_ˇ"/>
          <w:lang w:val="en-US"/>
        </w:rPr>
        <w:t xml:space="preserve"> </w:t>
      </w:r>
      <w:r>
        <w:rPr>
          <w:rFonts w:cs="–MÉ_ˇ"/>
          <w:lang w:val="en-US"/>
        </w:rPr>
        <w:t>(</w:t>
      </w:r>
      <w:r w:rsidRPr="0004312F">
        <w:rPr>
          <w:rFonts w:cs="–MÉ_ˇ"/>
          <w:lang w:val="en-US"/>
        </w:rPr>
        <w:t>TSH</w:t>
      </w:r>
      <w:r>
        <w:rPr>
          <w:rFonts w:cs="–MÉ_ˇ"/>
          <w:lang w:val="en-US"/>
        </w:rPr>
        <w:t>)</w:t>
      </w:r>
      <w:r w:rsidRPr="0004312F">
        <w:rPr>
          <w:rFonts w:cs="–MÉ_ˇ"/>
          <w:lang w:val="en-US"/>
        </w:rPr>
        <w:t xml:space="preserve"> levels and hypothyroidism resolve after discontinuation of apalutamide.</w:t>
      </w:r>
    </w:p>
    <w:p w:rsidR="00E660F2" w:rsidRPr="0004312F" w:rsidRDefault="00E660F2" w:rsidP="00E660F2">
      <w:pPr>
        <w:pStyle w:val="Numberbullet0"/>
        <w:numPr>
          <w:ilvl w:val="0"/>
          <w:numId w:val="2"/>
        </w:numPr>
        <w:ind w:left="567"/>
        <w:rPr>
          <w:lang w:val="en-US" w:eastAsia="ja-JP"/>
        </w:rPr>
      </w:pPr>
      <w:r w:rsidRPr="0004312F">
        <w:rPr>
          <w:lang w:val="en-US" w:eastAsia="ja-JP"/>
        </w:rPr>
        <w:t xml:space="preserve">The </w:t>
      </w:r>
      <w:r>
        <w:rPr>
          <w:lang w:val="en-US" w:eastAsia="ja-JP"/>
        </w:rPr>
        <w:t>sponsor wa</w:t>
      </w:r>
      <w:r w:rsidRPr="0004312F">
        <w:rPr>
          <w:lang w:val="en-US" w:eastAsia="ja-JP"/>
        </w:rPr>
        <w:t xml:space="preserve">s requested to provide a collated </w:t>
      </w:r>
      <w:r>
        <w:rPr>
          <w:lang w:val="en-US" w:eastAsia="ja-JP"/>
        </w:rPr>
        <w:t>per 100 patient</w:t>
      </w:r>
      <w:r w:rsidRPr="0004312F">
        <w:rPr>
          <w:lang w:val="en-US" w:eastAsia="ja-JP"/>
        </w:rPr>
        <w:t xml:space="preserve"> years rate of TEAEs</w:t>
      </w:r>
      <w:r>
        <w:rPr>
          <w:lang w:val="en-US" w:eastAsia="ja-JP"/>
        </w:rPr>
        <w:t xml:space="preserve"> for the apalutamide and placebo arms in Study 003</w:t>
      </w:r>
      <w:r w:rsidRPr="0004312F">
        <w:rPr>
          <w:lang w:val="en-US" w:eastAsia="ja-JP"/>
        </w:rPr>
        <w:t xml:space="preserve"> for </w:t>
      </w:r>
      <w:r>
        <w:rPr>
          <w:lang w:val="en-US" w:eastAsia="ja-JP"/>
        </w:rPr>
        <w:t xml:space="preserve">all </w:t>
      </w:r>
      <w:r w:rsidRPr="0004312F">
        <w:rPr>
          <w:lang w:val="en-US" w:eastAsia="ja-JP"/>
        </w:rPr>
        <w:t xml:space="preserve">the following </w:t>
      </w:r>
      <w:r>
        <w:rPr>
          <w:lang w:val="en-US" w:eastAsia="ja-JP"/>
        </w:rPr>
        <w:t xml:space="preserve">Preferred </w:t>
      </w:r>
      <w:r>
        <w:rPr>
          <w:lang w:val="en-US" w:eastAsia="ja-JP"/>
        </w:rPr>
        <w:lastRenderedPageBreak/>
        <w:t>Terms (</w:t>
      </w:r>
      <w:r w:rsidRPr="0004312F">
        <w:rPr>
          <w:lang w:val="en-US" w:eastAsia="ja-JP"/>
        </w:rPr>
        <w:t>PT</w:t>
      </w:r>
      <w:r>
        <w:rPr>
          <w:lang w:val="en-US" w:eastAsia="ja-JP"/>
        </w:rPr>
        <w:t>)</w:t>
      </w:r>
      <w:r w:rsidRPr="0004312F">
        <w:rPr>
          <w:lang w:val="en-US" w:eastAsia="ja-JP"/>
        </w:rPr>
        <w:t xml:space="preserve"> </w:t>
      </w:r>
      <w:r>
        <w:rPr>
          <w:lang w:val="en-US" w:eastAsia="ja-JP"/>
        </w:rPr>
        <w:t xml:space="preserve">collectively </w:t>
      </w:r>
      <w:r w:rsidRPr="0004312F">
        <w:rPr>
          <w:lang w:val="en-US" w:eastAsia="ja-JP"/>
        </w:rPr>
        <w:t>indicative of cognitive impairment: amnesia, memory impairment, disturbance in attention, cognitive disorder, dementia, dementia Alzheimer’s type.</w:t>
      </w:r>
    </w:p>
    <w:p w:rsidR="00E660F2" w:rsidRPr="0004312F" w:rsidRDefault="00E660F2" w:rsidP="00E660F2">
      <w:pPr>
        <w:pStyle w:val="Numberbullet0"/>
        <w:numPr>
          <w:ilvl w:val="0"/>
          <w:numId w:val="2"/>
        </w:numPr>
        <w:ind w:left="567"/>
      </w:pPr>
      <w:r w:rsidRPr="0004312F">
        <w:t xml:space="preserve">In Table 11 in the SCS, the </w:t>
      </w:r>
      <w:r>
        <w:t>s</w:t>
      </w:r>
      <w:r w:rsidRPr="0004312F">
        <w:t>ponsor presented the same data as in Table 31 in the Study</w:t>
      </w:r>
      <w:r>
        <w:t xml:space="preserve"> ARN 509-</w:t>
      </w:r>
      <w:r w:rsidRPr="0004312F">
        <w:t xml:space="preserve">003 </w:t>
      </w:r>
      <w:r>
        <w:t>report</w:t>
      </w:r>
      <w:r w:rsidRPr="0004312F">
        <w:t xml:space="preserve">, stating this had been standardised for duration of exposure in the SCS but no such information was included in the </w:t>
      </w:r>
      <w:r>
        <w:t>latter</w:t>
      </w:r>
      <w:r w:rsidRPr="0004312F">
        <w:t>. Confirmation is requested as to whether these are the reported rates by investigators or whether these have been adjusted for exposure.</w:t>
      </w:r>
    </w:p>
    <w:p w:rsidR="00E660F2" w:rsidRPr="00605AD4" w:rsidRDefault="00E660F2" w:rsidP="00E660F2">
      <w:r w:rsidRPr="0004312F">
        <w:rPr>
          <w:lang w:val="en-US"/>
        </w:rPr>
        <w:t xml:space="preserve">The </w:t>
      </w:r>
      <w:r>
        <w:rPr>
          <w:lang w:val="en-US"/>
        </w:rPr>
        <w:t>sponsor wa</w:t>
      </w:r>
      <w:r w:rsidRPr="0004312F">
        <w:rPr>
          <w:lang w:val="en-US"/>
        </w:rPr>
        <w:t xml:space="preserve">s requested to present the incidence for dysgeusia in each arm for the population who only received the tablet formulation in Study </w:t>
      </w:r>
      <w:r>
        <w:rPr>
          <w:lang w:val="en-US"/>
        </w:rPr>
        <w:t>ARN 509-</w:t>
      </w:r>
      <w:r w:rsidRPr="0004312F">
        <w:rPr>
          <w:lang w:val="en-US"/>
        </w:rPr>
        <w:t>003.</w:t>
      </w:r>
    </w:p>
    <w:p w:rsidR="00E660F2" w:rsidRDefault="00E660F2" w:rsidP="00E660F2">
      <w:pPr>
        <w:pStyle w:val="Heading3"/>
        <w:rPr>
          <w:rFonts w:eastAsia="Cambria"/>
        </w:rPr>
      </w:pPr>
      <w:bookmarkStart w:id="164" w:name="_Toc523915072"/>
      <w:bookmarkStart w:id="165" w:name="_Toc5014072"/>
      <w:r>
        <w:rPr>
          <w:rFonts w:eastAsia="Cambria"/>
        </w:rPr>
        <w:t>Clinical</w:t>
      </w:r>
      <w:r w:rsidRPr="00605AD4">
        <w:rPr>
          <w:rFonts w:eastAsia="Cambria"/>
        </w:rPr>
        <w:t xml:space="preserve"> </w:t>
      </w:r>
      <w:r>
        <w:rPr>
          <w:rFonts w:eastAsia="Cambria"/>
        </w:rPr>
        <w:t>b</w:t>
      </w:r>
      <w:r w:rsidRPr="00605AD4">
        <w:rPr>
          <w:rFonts w:eastAsia="Cambria"/>
        </w:rPr>
        <w:t>enefit-</w:t>
      </w:r>
      <w:r>
        <w:rPr>
          <w:rFonts w:eastAsia="Cambria"/>
        </w:rPr>
        <w:t>r</w:t>
      </w:r>
      <w:r w:rsidRPr="00605AD4">
        <w:rPr>
          <w:rFonts w:eastAsia="Cambria"/>
        </w:rPr>
        <w:t xml:space="preserve">isk </w:t>
      </w:r>
      <w:r>
        <w:rPr>
          <w:rFonts w:eastAsia="Cambria"/>
        </w:rPr>
        <w:t>a</w:t>
      </w:r>
      <w:r w:rsidRPr="00605AD4">
        <w:rPr>
          <w:rFonts w:eastAsia="Cambria"/>
        </w:rPr>
        <w:t>ssessment</w:t>
      </w:r>
      <w:bookmarkEnd w:id="164"/>
      <w:bookmarkEnd w:id="165"/>
    </w:p>
    <w:p w:rsidR="00E660F2" w:rsidRDefault="00E660F2" w:rsidP="00E660F2">
      <w:bookmarkStart w:id="166" w:name="_Toc236802596"/>
      <w:bookmarkStart w:id="167" w:name="_Toc241374334"/>
      <w:bookmarkStart w:id="168" w:name="_Ref272160964"/>
      <w:bookmarkStart w:id="169" w:name="_Toc272414694"/>
      <w:bookmarkStart w:id="170" w:name="_Toc290888558"/>
      <w:bookmarkStart w:id="171" w:name="_Toc416353773"/>
      <w:bookmarkStart w:id="172" w:name="_Toc421005315"/>
      <w:bookmarkStart w:id="173" w:name="_Toc432079186"/>
      <w:bookmarkStart w:id="174" w:name="_Toc432080759"/>
      <w:r>
        <w:t>The</w:t>
      </w:r>
      <w:r w:rsidRPr="001157ED">
        <w:t xml:space="preserve"> demonstration of </w:t>
      </w:r>
      <w:r>
        <w:t>efficacy in patients with NM-CRPC</w:t>
      </w:r>
      <w:r w:rsidRPr="001157ED">
        <w:t xml:space="preserve"> is reliant upon results from the </w:t>
      </w:r>
      <w:r>
        <w:t>Phase III</w:t>
      </w:r>
      <w:r w:rsidRPr="001157ED">
        <w:t xml:space="preserve"> </w:t>
      </w:r>
      <w:r>
        <w:t>Study ARN 509-003 which randomis</w:t>
      </w:r>
      <w:r w:rsidRPr="001157ED">
        <w:t>ed 1207 patients to receive either 240</w:t>
      </w:r>
      <w:r>
        <w:t xml:space="preserve"> </w:t>
      </w:r>
      <w:r w:rsidRPr="001157ED">
        <w:t>mg apalutamide orally daily (n = 806) or matched placebo (n = 401), in addition to either ongoing ADT: either GnRHa or for a smaller percentage (6%), following bilateral orchidectomy. Dose reductions to 180 mg and then to 120 mg in patients were permitted with adverse events.</w:t>
      </w:r>
    </w:p>
    <w:p w:rsidR="00E660F2" w:rsidRDefault="00E660F2" w:rsidP="00E660F2">
      <w:r>
        <w:t>Patients were required to have a PSADT ≤ 10 months for entry into the trial, and were stratified according to PSADT &gt; 6months or ≤6 months (as well as by Gleason score, and presence or absence of nodal disease at diagnosis). Nearly three quarters of patients entering the trial had PSADT ≤ 6months; a much shorter median PSADT than required for enrolment, indicative of a higher risk than specified in the eligibility criteria, which may indicate a selection bias among investigators who could pre-screen patients using a different predictive tool from that used at the time of randomisation.</w:t>
      </w:r>
    </w:p>
    <w:p w:rsidR="00E660F2" w:rsidRDefault="00E660F2" w:rsidP="00E660F2">
      <w:r>
        <w:t>Other factors identified as strongly prognostic, such as time to biochemical failure and Gleason score at time of initial definitive therapy, were not inclusion criteria in the pivotal clinical trial in this application and indicate that there would be other patients who would be considered at high risk of relapse outside of the population of recruited to this study.</w:t>
      </w:r>
    </w:p>
    <w:p w:rsidR="00E660F2" w:rsidRPr="00021E06" w:rsidRDefault="00E660F2" w:rsidP="00E660F2">
      <w:pPr>
        <w:pStyle w:val="Heading4"/>
      </w:pPr>
      <w:r w:rsidRPr="00021E06">
        <w:t>Potential benefits</w:t>
      </w:r>
    </w:p>
    <w:p w:rsidR="00E660F2" w:rsidRDefault="00E660F2" w:rsidP="00E660F2">
      <w:r>
        <w:t>MFS was substantially and significantly improved in those patients receiving apalutamide compared with placebo as assessed by a blinded central independent review, and supported by a range of sensitivity analyses. The magnitude of the reduction in risk of development of distant metastases or of death supports the use of this novel surrogate endpoint for the initial registration of apalutamide, for the treatment of patients with NM</w:t>
      </w:r>
      <w:r>
        <w:noBreakHyphen/>
        <w:t>CRPC. The exploratory analysis of quartiles by PSADT indicates the observed risk reduction was very similar and that these MFS results are generalisable across the study population. Elderly patients (&gt;75 years) appear to have a reduced magnitude of risk reduction, with the greatest effect observed in those &lt;65 years.</w:t>
      </w:r>
    </w:p>
    <w:p w:rsidR="00E660F2" w:rsidRDefault="00E660F2" w:rsidP="00E660F2">
      <w:r>
        <w:t>These MFS outcomes were further supported by significant differences in time to metastases, PFS and onset of symptomatic progression, although the data were immature for this last endpoint and patient to a high degree of censoring. OS data are too immature to assess at this time and a later analysis is planned, although this is likely to be affected by subsequent therapies, including cross-over to apalutamide. The patient reported outcomes appear to indicate an early loss in some functional domains of quality of life and gains in those related to prostate cancer disease progression for those in the investigational arm compared with the placebo arm; these functional discrepancies do not</w:t>
      </w:r>
      <w:r w:rsidRPr="00521C65">
        <w:t xml:space="preserve"> </w:t>
      </w:r>
      <w:r>
        <w:t xml:space="preserve">appear to persist with longer treatment, perhaps due to the higher rates of disease progression in the placebo arm. It is noted that the assessment tools have not been </w:t>
      </w:r>
      <w:r>
        <w:lastRenderedPageBreak/>
        <w:t>developed for evaluation of largely asymptomatic patients with NM-CRPC and may well underestimate treatment related events. These findings are consistent with an efficacious add-on therapy.</w:t>
      </w:r>
    </w:p>
    <w:p w:rsidR="00E660F2" w:rsidRPr="00021E06" w:rsidRDefault="00E660F2" w:rsidP="00E660F2">
      <w:pPr>
        <w:pStyle w:val="Heading4"/>
      </w:pPr>
      <w:r w:rsidRPr="00021E06">
        <w:t>Risks</w:t>
      </w:r>
    </w:p>
    <w:p w:rsidR="00E660F2" w:rsidRDefault="00E660F2" w:rsidP="00E660F2">
      <w:r>
        <w:t>The risks of treatment include a higher rate of fatigue, skin rash, weight loss, arthralgia, falls and fractures, and hypothyroidism. Additional differences include a higher rate of cardiovascular disease, psychiatric disorders including suicidal ideation (three patients in the apalutamide arm and none in the placebo arm), hot flushes, hyperlipidaemia and dysgeusia.</w:t>
      </w:r>
    </w:p>
    <w:p w:rsidR="00E660F2" w:rsidRDefault="00E660F2" w:rsidP="00E660F2">
      <w:r>
        <w:t>There is currently inadequate information in the PI to warn of the potentially severe adverse events with only a Warning and Precaution for seizures. These were observed uncommonly in the apalutamide arm but this was a population where risk factors were minimised through the eligibility criteria and inclusion in the PI is appropriate</w:t>
      </w:r>
      <w:r w:rsidRPr="008E2A83">
        <w:t xml:space="preserve">. </w:t>
      </w:r>
      <w:r>
        <w:t>With the identification of AESIs, patients were selected, monitored and managed closely which is likely to have improved the reported outcomes; it is likely that the risk of these adverse events would also be lowered if this information was conveyed to prescribers and patients. Currently, the only Warning and Precaution is for the least common event; all of these AESIs should be included in the Precautions and Warning with relevant information about risk mitigation strategies and management.</w:t>
      </w:r>
    </w:p>
    <w:p w:rsidR="00E660F2" w:rsidRDefault="00E660F2" w:rsidP="00E660F2">
      <w:r w:rsidRPr="007523EB">
        <w:t>Falls and associated injuries including non-pathological fractures and head injuries are a</w:t>
      </w:r>
      <w:r>
        <w:t xml:space="preserve"> recognised risk associated with androgen receptor signalling blockade. These were observed at a much higher rate in the investigational arm and require a clear warning and risk management strategy in both the PI and Consumer Medicine Information (CMI).</w:t>
      </w:r>
    </w:p>
    <w:p w:rsidR="00E660F2" w:rsidRDefault="00E660F2" w:rsidP="00E660F2">
      <w:r>
        <w:t xml:space="preserve">Hypothyroidism, which is not an anticipated side effect of ADT or androgen receptor signalling blockade, was increased in the apalutamide arm. </w:t>
      </w:r>
      <w:r w:rsidRPr="008E2A83">
        <w:t>The mechanism for the observed increase in hypothyroidism and increased dose requirements for thyroxine appears to be an apalutamide</w:t>
      </w:r>
      <w:r>
        <w:t xml:space="preserve"> </w:t>
      </w:r>
      <w:r w:rsidRPr="008E2A83">
        <w:t>induced increase in thyroxine metabolism,</w:t>
      </w:r>
      <w:r>
        <w:t xml:space="preserve"> with demonstrated recovery after </w:t>
      </w:r>
      <w:r w:rsidRPr="008E2A83">
        <w:t xml:space="preserve">discontinuation. The PI needs to include a recommendation for regular monitoring, including of those patients already on thyroxine replacement therapy and for any patients who </w:t>
      </w:r>
      <w:r>
        <w:t>discontinue apalutamide therapy</w:t>
      </w:r>
      <w:r w:rsidRPr="008E2A83">
        <w:t xml:space="preserve"> to adjust </w:t>
      </w:r>
      <w:r>
        <w:t xml:space="preserve">potentially changing </w:t>
      </w:r>
      <w:r w:rsidRPr="008E2A83">
        <w:t xml:space="preserve">replacement </w:t>
      </w:r>
      <w:r>
        <w:t>needs</w:t>
      </w:r>
      <w:r w:rsidRPr="008E2A83">
        <w:t xml:space="preserve"> as required.</w:t>
      </w:r>
    </w:p>
    <w:p w:rsidR="00E660F2" w:rsidRPr="008E2A83" w:rsidRDefault="00E660F2" w:rsidP="00E660F2">
      <w:r w:rsidRPr="008E2A83">
        <w:t>The reason</w:t>
      </w:r>
      <w:r>
        <w:t>s</w:t>
      </w:r>
      <w:r w:rsidRPr="008E2A83">
        <w:t xml:space="preserve"> for the observed weight loss with apalut</w:t>
      </w:r>
      <w:r>
        <w:t>amide are not clear and require further investigation to provide appropriate advice regarding its reporting and management.</w:t>
      </w:r>
    </w:p>
    <w:p w:rsidR="00E660F2" w:rsidRDefault="00E660F2" w:rsidP="00E660F2">
      <w:r>
        <w:t>Increased risks of cardiovascular disease, including deaths from cardiovascular events in previously asymptomatic elderly patients, were observed with apalutamide treatment. Contributing factors include the observed increased risk of hypercholesterolaemia, hypertriglyceridaemia and worsening glycaemic control or new onset diabetes in the treatment arm.</w:t>
      </w:r>
    </w:p>
    <w:p w:rsidR="00E660F2" w:rsidRDefault="00E660F2" w:rsidP="00E660F2">
      <w:r>
        <w:t>Dementia occurred at a higher rate in the apalutamide arm compared with placebo and the PI needs to include information specifically on this risk.</w:t>
      </w:r>
    </w:p>
    <w:p w:rsidR="00E660F2" w:rsidRDefault="00E660F2" w:rsidP="00E660F2">
      <w:r>
        <w:t>Suicidal ideation was reported only in the apalutamide arm and given the seriousness of this adverse event this should be included in the PI.</w:t>
      </w:r>
    </w:p>
    <w:p w:rsidR="00E660F2" w:rsidRDefault="00E660F2" w:rsidP="00E660F2">
      <w:r>
        <w:t xml:space="preserve">More on-treatment deaths occurred in the apalutamide arm (ten versus one), including deaths from cardiac causes in a heavily screened and previously asymptomatic population. Overall elderly patients (&gt;75 years) were more likely to experience adverse events, including severe adverse events and treatment related adverse events and to discontinue treatment due to adverse events. All ten on-treatment deaths in the apalutamide arm and one death in the placebo arm occurred in patients over the age of 75. The clinical evaluator </w:t>
      </w:r>
      <w:r>
        <w:lastRenderedPageBreak/>
        <w:t>does not agree with the information currently presented in the PI under the heading ‘Use in elderly’ which does not reflect this population’s increased risk. This needs to be changed to allow prescribers to inform the benefit-risk assessment for discussion with such patients, who form a significant proportion of the target population for this treatment.</w:t>
      </w:r>
    </w:p>
    <w:p w:rsidR="00E660F2" w:rsidRPr="009D25E0" w:rsidRDefault="00E660F2" w:rsidP="00E660F2">
      <w:pPr>
        <w:pStyle w:val="Heading4"/>
      </w:pPr>
      <w:r w:rsidRPr="009D25E0">
        <w:t>Uncertainties</w:t>
      </w:r>
    </w:p>
    <w:p w:rsidR="00E660F2" w:rsidRDefault="00E660F2" w:rsidP="00E660F2">
      <w:r>
        <w:t>The median estimated MFS was 40.5 months in the apalutamide arm compared with 11 months in the placebo arm and with a median duration of follow-up of survival of 20 months in this arm, indicates these data are immature and there is uncertainty about the exact magnitude of efficacy benefit.</w:t>
      </w:r>
    </w:p>
    <w:p w:rsidR="00E660F2" w:rsidRDefault="00E660F2" w:rsidP="00E660F2">
      <w:pPr>
        <w:rPr>
          <w:lang w:val="en-US"/>
        </w:rPr>
      </w:pPr>
      <w:r w:rsidRPr="00DA62E9">
        <w:rPr>
          <w:lang w:val="en-US"/>
        </w:rPr>
        <w:t>Given the estimated duration of MFS benefit far exceeds the median duration of follow-up, the safety profile data are therefore an estimate of the risk of the proposed usage. The PI</w:t>
      </w:r>
      <w:r>
        <w:rPr>
          <w:lang w:val="en-US"/>
        </w:rPr>
        <w:t xml:space="preserve"> does not currently convey this information and</w:t>
      </w:r>
      <w:r w:rsidRPr="00DA62E9">
        <w:rPr>
          <w:lang w:val="en-US"/>
        </w:rPr>
        <w:t xml:space="preserve"> should state clearly, the median duration of follow-up in the </w:t>
      </w:r>
      <w:r w:rsidRPr="007302CF">
        <w:rPr>
          <w:i/>
          <w:lang w:val="en-US"/>
        </w:rPr>
        <w:t>4.8 Adverse effects</w:t>
      </w:r>
      <w:r w:rsidRPr="00DA62E9">
        <w:rPr>
          <w:lang w:val="en-US"/>
        </w:rPr>
        <w:t xml:space="preserve"> section, including in the text as well as the heading of Table 1 </w:t>
      </w:r>
      <w:r w:rsidRPr="007302CF">
        <w:rPr>
          <w:i/>
          <w:lang w:val="en-US"/>
        </w:rPr>
        <w:t>(‘after median follow-up duration of 16 months’</w:t>
      </w:r>
      <w:r>
        <w:rPr>
          <w:lang w:val="en-US"/>
        </w:rPr>
        <w:t>). This will contextualis</w:t>
      </w:r>
      <w:r w:rsidRPr="00091531">
        <w:rPr>
          <w:lang w:val="en-US"/>
        </w:rPr>
        <w:t>e and accurately present the limitations of the data</w:t>
      </w:r>
      <w:r>
        <w:rPr>
          <w:lang w:val="en-US"/>
        </w:rPr>
        <w:t xml:space="preserve"> for clinicians to be able to convey</w:t>
      </w:r>
      <w:r w:rsidRPr="00091531">
        <w:rPr>
          <w:lang w:val="en-US"/>
        </w:rPr>
        <w:t xml:space="preserve"> to </w:t>
      </w:r>
      <w:r>
        <w:rPr>
          <w:lang w:val="en-US"/>
        </w:rPr>
        <w:t>patients to allow informed consent.</w:t>
      </w:r>
    </w:p>
    <w:p w:rsidR="00E660F2" w:rsidRPr="00091531" w:rsidRDefault="00E660F2" w:rsidP="00E660F2">
      <w:pPr>
        <w:rPr>
          <w:lang w:val="en-US"/>
        </w:rPr>
      </w:pPr>
      <w:r w:rsidRPr="00091531">
        <w:rPr>
          <w:lang w:val="en-US"/>
        </w:rPr>
        <w:t>Loss o</w:t>
      </w:r>
      <w:r>
        <w:rPr>
          <w:lang w:val="en-US"/>
        </w:rPr>
        <w:t>f randomisation means and cross-</w:t>
      </w:r>
      <w:r w:rsidRPr="00091531">
        <w:rPr>
          <w:lang w:val="en-US"/>
        </w:rPr>
        <w:t>over to apalutamide</w:t>
      </w:r>
      <w:r>
        <w:rPr>
          <w:lang w:val="en-US"/>
        </w:rPr>
        <w:t xml:space="preserve"> by 62% of the placebo arm still on study treatment and eligible to do so after the IDMC recommendation,</w:t>
      </w:r>
      <w:r w:rsidRPr="00091531">
        <w:rPr>
          <w:lang w:val="en-US"/>
        </w:rPr>
        <w:t xml:space="preserve"> means there will be no comparative data in the future to </w:t>
      </w:r>
      <w:r>
        <w:rPr>
          <w:lang w:val="en-US"/>
        </w:rPr>
        <w:t>inform</w:t>
      </w:r>
      <w:r w:rsidRPr="00091531">
        <w:rPr>
          <w:lang w:val="en-US"/>
        </w:rPr>
        <w:t xml:space="preserve"> the risk</w:t>
      </w:r>
      <w:r>
        <w:rPr>
          <w:lang w:val="en-US"/>
        </w:rPr>
        <w:t>s</w:t>
      </w:r>
      <w:r w:rsidRPr="00091531">
        <w:rPr>
          <w:lang w:val="en-US"/>
        </w:rPr>
        <w:t xml:space="preserve"> </w:t>
      </w:r>
      <w:r>
        <w:rPr>
          <w:lang w:val="en-US"/>
        </w:rPr>
        <w:t>of longer treatment. The risk for some of these such as cardiovascular, cerebrovascular and cognitive adverse events seems likely to be cumulative.</w:t>
      </w:r>
    </w:p>
    <w:p w:rsidR="00E660F2" w:rsidRDefault="00E660F2" w:rsidP="00E660F2">
      <w:pPr>
        <w:rPr>
          <w:rFonts w:cstheme="majorHAnsi"/>
          <w:lang w:val="en-US" w:eastAsia="ja-JP"/>
        </w:rPr>
      </w:pPr>
      <w:r>
        <w:t xml:space="preserve">ADT is known to be associated with an increased risk of osteopenia and osteoporosis and the increased fracture rate in the apalutamide arm indicates a further risk with this treatment. This was not monitored specifically in this trial with </w:t>
      </w:r>
      <w:r w:rsidRPr="00997A9E">
        <w:t xml:space="preserve">dual-energy </w:t>
      </w:r>
      <w:r>
        <w:t>X</w:t>
      </w:r>
      <w:r w:rsidRPr="00997A9E">
        <w:t>-ray absorptiometry (D</w:t>
      </w:r>
      <w:r>
        <w:t>E</w:t>
      </w:r>
      <w:r w:rsidRPr="00997A9E">
        <w:t>XA</w:t>
      </w:r>
      <w:r>
        <w:t>; a bone density scan</w:t>
      </w:r>
      <w:r w:rsidRPr="00997A9E">
        <w:t xml:space="preserve">) </w:t>
      </w:r>
      <w:r>
        <w:t>scans or other means, and therefore the proportion of patients developing significant bone loss is unknown. Patients were not permitted to have bone sparing agents commenced in the study period in this trial and therefore, the effect of such supportive therapies on the risk of fracture is unknown. Both of these are important missing information, which should be included in the Risk Management Plan (RMP). Osteopenia/osteoporosis and risk of fracture should be included in the PI and CMI.</w:t>
      </w:r>
    </w:p>
    <w:p w:rsidR="00E660F2" w:rsidRDefault="00E660F2" w:rsidP="00E660F2">
      <w:r>
        <w:t>OS data are immature and it may not be possible with the switching to treatments known to influence survival, to determine if the early use of apalutamide improves overall survival.</w:t>
      </w:r>
    </w:p>
    <w:p w:rsidR="00E660F2" w:rsidRDefault="00E660F2" w:rsidP="00E660F2">
      <w:r>
        <w:t>PSADT is only one means of identifying patients with NM-CRPC at a high risk of early relapse and it is considered reasonable to broaden the indication to capture other patients such as those with a short time to biochemical relapse.</w:t>
      </w:r>
      <w:bookmarkEnd w:id="166"/>
      <w:bookmarkEnd w:id="167"/>
      <w:bookmarkEnd w:id="168"/>
      <w:bookmarkEnd w:id="169"/>
      <w:bookmarkEnd w:id="170"/>
      <w:bookmarkEnd w:id="171"/>
      <w:bookmarkEnd w:id="172"/>
      <w:bookmarkEnd w:id="173"/>
      <w:bookmarkEnd w:id="174"/>
    </w:p>
    <w:p w:rsidR="00E660F2" w:rsidRDefault="00E660F2" w:rsidP="00E660F2">
      <w:pPr>
        <w:rPr>
          <w:rFonts w:asciiTheme="minorHAnsi" w:eastAsiaTheme="minorHAnsi" w:hAnsiTheme="minorHAnsi"/>
        </w:rPr>
      </w:pPr>
      <w:r>
        <w:rPr>
          <w:rFonts w:asciiTheme="minorHAnsi" w:eastAsiaTheme="minorHAnsi" w:hAnsiTheme="minorHAnsi"/>
        </w:rPr>
        <w:t>Two formulations were used in Study ARN 509-003 and while the tablet formulation proposed for marketing appears to be associated with a lower rate of GI adverse events, the safety profile for this formulation is based on a small subpopulation of the study treated only with this formulation for a relatively short period of time.</w:t>
      </w:r>
    </w:p>
    <w:p w:rsidR="00E660F2" w:rsidRPr="00A904C0" w:rsidRDefault="00E660F2" w:rsidP="00E660F2">
      <w:pPr>
        <w:pStyle w:val="Heading4"/>
      </w:pPr>
      <w:r>
        <w:t>Benefit-risk c</w:t>
      </w:r>
      <w:r w:rsidRPr="00A904C0">
        <w:t>onclusion</w:t>
      </w:r>
    </w:p>
    <w:p w:rsidR="00E660F2" w:rsidRDefault="00E660F2" w:rsidP="00E660F2">
      <w:pPr>
        <w:spacing w:before="100" w:beforeAutospacing="1" w:after="100" w:afterAutospacing="1" w:line="240" w:lineRule="auto"/>
        <w:jc w:val="both"/>
        <w:rPr>
          <w:rFonts w:asciiTheme="minorHAnsi" w:eastAsiaTheme="minorHAnsi" w:hAnsiTheme="minorHAnsi"/>
        </w:rPr>
      </w:pPr>
      <w:r>
        <w:rPr>
          <w:rFonts w:asciiTheme="minorHAnsi" w:eastAsiaTheme="minorHAnsi" w:hAnsiTheme="minorHAnsi"/>
        </w:rPr>
        <w:t>The benefit-risk is considered favourable for those patients fully informed of the potential risks and benefits.</w:t>
      </w:r>
    </w:p>
    <w:p w:rsidR="00E660F2" w:rsidRPr="00605AD4" w:rsidRDefault="00E660F2" w:rsidP="00E660F2">
      <w:pPr>
        <w:pStyle w:val="Heading3"/>
        <w:rPr>
          <w:rFonts w:eastAsia="Cambria"/>
        </w:rPr>
      </w:pPr>
      <w:bookmarkStart w:id="175" w:name="_Toc523915073"/>
      <w:bookmarkStart w:id="176" w:name="_Toc5014073"/>
      <w:r>
        <w:rPr>
          <w:rFonts w:eastAsia="Cambria"/>
        </w:rPr>
        <w:lastRenderedPageBreak/>
        <w:t>Clinical</w:t>
      </w:r>
      <w:r w:rsidRPr="00605AD4">
        <w:rPr>
          <w:rFonts w:eastAsia="Cambria"/>
        </w:rPr>
        <w:t xml:space="preserve"> </w:t>
      </w:r>
      <w:r>
        <w:rPr>
          <w:rFonts w:eastAsia="Cambria"/>
        </w:rPr>
        <w:t>r</w:t>
      </w:r>
      <w:r w:rsidRPr="00605AD4">
        <w:rPr>
          <w:rFonts w:eastAsia="Cambria"/>
        </w:rPr>
        <w:t xml:space="preserve">ecommendation </w:t>
      </w:r>
      <w:r>
        <w:rPr>
          <w:rFonts w:eastAsia="Cambria"/>
        </w:rPr>
        <w:t>regarding a</w:t>
      </w:r>
      <w:r w:rsidRPr="00605AD4">
        <w:rPr>
          <w:rFonts w:eastAsia="Cambria"/>
        </w:rPr>
        <w:t>uthorisation</w:t>
      </w:r>
      <w:bookmarkEnd w:id="175"/>
      <w:bookmarkEnd w:id="176"/>
    </w:p>
    <w:p w:rsidR="00E660F2" w:rsidRPr="00984406" w:rsidRDefault="00E660F2" w:rsidP="00E660F2">
      <w:pPr>
        <w:rPr>
          <w:lang w:val="en-US" w:eastAsia="ja-JP"/>
        </w:rPr>
      </w:pPr>
      <w:r w:rsidRPr="009D2D04">
        <w:rPr>
          <w:lang w:val="en-US" w:eastAsia="ja-JP"/>
        </w:rPr>
        <w:t xml:space="preserve">PSADT is just one means of identifying patients at increased risk of </w:t>
      </w:r>
      <w:r>
        <w:rPr>
          <w:lang w:val="en-US" w:eastAsia="ja-JP"/>
        </w:rPr>
        <w:t xml:space="preserve">developing </w:t>
      </w:r>
      <w:r w:rsidRPr="009D2D04">
        <w:rPr>
          <w:lang w:val="en-US" w:eastAsia="ja-JP"/>
        </w:rPr>
        <w:t>metastatic disease following biochemical recurrence</w:t>
      </w:r>
      <w:r>
        <w:rPr>
          <w:lang w:val="en-US" w:eastAsia="ja-JP"/>
        </w:rPr>
        <w:t>. The observed magnitude of risk reduction with apalutamide compared with placebo (although perhaps not the absolute benefit in months) was sustained across all quartiles for patients enrolled with a PSADT ≤10 months.</w:t>
      </w:r>
      <w:r w:rsidRPr="009D2D04">
        <w:rPr>
          <w:lang w:val="en-US" w:eastAsia="ja-JP"/>
        </w:rPr>
        <w:t xml:space="preserve"> </w:t>
      </w:r>
      <w:r>
        <w:rPr>
          <w:lang w:val="en-US" w:eastAsia="ja-JP"/>
        </w:rPr>
        <w:t xml:space="preserve">Together with </w:t>
      </w:r>
      <w:r w:rsidRPr="009D2D04">
        <w:rPr>
          <w:lang w:val="en-US" w:eastAsia="ja-JP"/>
        </w:rPr>
        <w:t xml:space="preserve">the magnitude of the estimated benefit </w:t>
      </w:r>
      <w:r>
        <w:rPr>
          <w:lang w:val="en-US" w:eastAsia="ja-JP"/>
        </w:rPr>
        <w:t xml:space="preserve">observed, the clinical evaluator </w:t>
      </w:r>
      <w:r w:rsidRPr="00984406">
        <w:rPr>
          <w:lang w:val="en-US" w:eastAsia="ja-JP"/>
        </w:rPr>
        <w:t>supports the simplification of the proposed indication to allow carefully selected and informed patients with other high-risk factors and/or PSADT &gt;10 months to be considered for treatment. This requires informed consent and currently both the PI and CMI require substantial changes to communicate and manage the potential risks of the proposed usage</w:t>
      </w:r>
      <w:r>
        <w:rPr>
          <w:lang w:val="en-US" w:eastAsia="ja-JP"/>
        </w:rPr>
        <w:t>:</w:t>
      </w:r>
    </w:p>
    <w:p w:rsidR="00E660F2" w:rsidRPr="00984406" w:rsidRDefault="00E660F2" w:rsidP="00E660F2">
      <w:pPr>
        <w:ind w:left="720"/>
        <w:rPr>
          <w:lang w:eastAsia="ja-JP"/>
        </w:rPr>
      </w:pPr>
      <w:r w:rsidRPr="00984406">
        <w:rPr>
          <w:i/>
          <w:lang w:eastAsia="ja-JP"/>
        </w:rPr>
        <w:t>Erlyand/Janssen Apalutamide (apalutamide) is indicated for the treatment of patients with non-metastatic, castration-resistant prostate cancer.</w:t>
      </w:r>
    </w:p>
    <w:p w:rsidR="00E660F2" w:rsidRPr="00984406" w:rsidRDefault="00E660F2" w:rsidP="00E660F2">
      <w:pPr>
        <w:rPr>
          <w:lang w:eastAsia="ja-JP"/>
        </w:rPr>
      </w:pPr>
      <w:r w:rsidRPr="00984406">
        <w:rPr>
          <w:lang w:val="en-US" w:eastAsia="ja-JP"/>
        </w:rPr>
        <w:t>Given the pivotal study was carried out in patients defined as having NM-CRPC it is recommended that the indication have the phrase ‘</w:t>
      </w:r>
      <w:r w:rsidRPr="00984406">
        <w:rPr>
          <w:i/>
          <w:lang w:val="en-US" w:eastAsia="ja-JP"/>
        </w:rPr>
        <w:t>at risk of developing metastases’</w:t>
      </w:r>
      <w:r w:rsidRPr="00984406">
        <w:rPr>
          <w:lang w:val="en-US" w:eastAsia="ja-JP"/>
        </w:rPr>
        <w:t xml:space="preserve"> be replaced with that term. </w:t>
      </w:r>
      <w:r w:rsidRPr="00984406">
        <w:rPr>
          <w:lang w:eastAsia="ja-JP"/>
        </w:rPr>
        <w:t>The clinical evaluator recommends the following wording:</w:t>
      </w:r>
    </w:p>
    <w:p w:rsidR="00E660F2" w:rsidRDefault="00E660F2" w:rsidP="00E660F2">
      <w:pPr>
        <w:ind w:left="720"/>
        <w:rPr>
          <w:lang w:eastAsia="ja-JP"/>
        </w:rPr>
      </w:pPr>
      <w:r w:rsidRPr="00984406">
        <w:rPr>
          <w:i/>
          <w:lang w:eastAsia="ja-JP"/>
        </w:rPr>
        <w:t>Erlyand/Janssen Apalutamide (apalutamide) is indicated for the treatment of patients with non-metastatic, castration-resistant prostate cancer.</w:t>
      </w:r>
    </w:p>
    <w:p w:rsidR="00E660F2" w:rsidRPr="00E41208" w:rsidRDefault="00E660F2" w:rsidP="00E660F2">
      <w:pPr>
        <w:pStyle w:val="Heading2"/>
      </w:pPr>
      <w:bookmarkStart w:id="177" w:name="_Toc523915074"/>
      <w:bookmarkStart w:id="178" w:name="_Toc5014074"/>
      <w:r w:rsidRPr="00E41208">
        <w:t>V</w:t>
      </w:r>
      <w:r>
        <w:t>I</w:t>
      </w:r>
      <w:r w:rsidRPr="00E41208">
        <w:t xml:space="preserve">. Pharmacovigilance </w:t>
      </w:r>
      <w:r>
        <w:t>f</w:t>
      </w:r>
      <w:r w:rsidRPr="00E41208">
        <w:t>indings</w:t>
      </w:r>
      <w:bookmarkEnd w:id="122"/>
      <w:bookmarkEnd w:id="123"/>
      <w:bookmarkEnd w:id="177"/>
      <w:bookmarkEnd w:id="178"/>
    </w:p>
    <w:p w:rsidR="00E660F2" w:rsidRDefault="00E660F2" w:rsidP="00E660F2">
      <w:pPr>
        <w:pStyle w:val="Heading3"/>
        <w:rPr>
          <w:lang w:eastAsia="en-AU"/>
        </w:rPr>
      </w:pPr>
      <w:bookmarkStart w:id="179" w:name="_Toc247691526"/>
      <w:bookmarkStart w:id="180" w:name="_Toc314842509"/>
      <w:bookmarkStart w:id="181" w:name="_Toc523915075"/>
      <w:bookmarkStart w:id="182" w:name="_Toc5014075"/>
      <w:r>
        <w:rPr>
          <w:lang w:eastAsia="en-AU"/>
        </w:rPr>
        <w:t>Risk management plan</w:t>
      </w:r>
      <w:bookmarkEnd w:id="179"/>
      <w:bookmarkEnd w:id="180"/>
      <w:bookmarkEnd w:id="181"/>
      <w:bookmarkEnd w:id="182"/>
    </w:p>
    <w:p w:rsidR="00E660F2" w:rsidRPr="00F565DF" w:rsidRDefault="00E660F2" w:rsidP="00E660F2">
      <w:bookmarkStart w:id="183" w:name="_Toc247691527"/>
      <w:bookmarkStart w:id="184" w:name="_Toc314842510"/>
      <w:r>
        <w:t>The sponsor</w:t>
      </w:r>
      <w:r w:rsidRPr="00120043">
        <w:t xml:space="preserve"> has submitted EU-RMP version 0.1 (24 January 2018; D</w:t>
      </w:r>
      <w:r>
        <w:t>ata lock point (D</w:t>
      </w:r>
      <w:r w:rsidRPr="00120043">
        <w:t>LP</w:t>
      </w:r>
      <w:r>
        <w:t>)</w:t>
      </w:r>
      <w:r w:rsidRPr="00120043">
        <w:t xml:space="preserve"> 19 May 2017) and </w:t>
      </w:r>
      <w:r>
        <w:t>Australian Specific Annex (</w:t>
      </w:r>
      <w:r w:rsidRPr="00120043">
        <w:t>ASA</w:t>
      </w:r>
      <w:r>
        <w:t>)</w:t>
      </w:r>
      <w:r w:rsidRPr="00120043">
        <w:t xml:space="preserve"> version 1.0 (2</w:t>
      </w:r>
      <w:r>
        <w:t> </w:t>
      </w:r>
      <w:r w:rsidRPr="00120043">
        <w:t>February</w:t>
      </w:r>
      <w:r>
        <w:t> </w:t>
      </w:r>
      <w:r w:rsidRPr="00120043">
        <w:t>2018</w:t>
      </w:r>
      <w:r w:rsidRPr="00F565DF">
        <w:t>) in support of this application. An updated ASA version 1.1 (23</w:t>
      </w:r>
      <w:r>
        <w:t> </w:t>
      </w:r>
      <w:r w:rsidRPr="00F565DF">
        <w:t>May</w:t>
      </w:r>
      <w:r>
        <w:t> </w:t>
      </w:r>
      <w:r w:rsidRPr="00F565DF">
        <w:t>2018) was submitted in response to the Rolling Questions dated 9 May 2018, and a further updated ASA version 1.2 (13 June 2018) submitted in response to the Rolling Questions dated 5</w:t>
      </w:r>
      <w:r>
        <w:t> </w:t>
      </w:r>
      <w:r w:rsidRPr="00F565DF">
        <w:t>June 2018.</w:t>
      </w:r>
    </w:p>
    <w:p w:rsidR="00E660F2" w:rsidRDefault="00E660F2" w:rsidP="00E660F2">
      <w:r w:rsidRPr="00A1616F">
        <w:t xml:space="preserve">The </w:t>
      </w:r>
      <w:r>
        <w:t xml:space="preserve">sponsor’s </w:t>
      </w:r>
      <w:r w:rsidRPr="00A1616F">
        <w:t>proposed Summary of Safety Concerns and their associated risk monitoring and mitigation strategies are summarised below</w:t>
      </w:r>
      <w:r>
        <w:t xml:space="preserve"> in Table 14.</w:t>
      </w:r>
    </w:p>
    <w:p w:rsidR="00E660F2" w:rsidRPr="00A1616F" w:rsidRDefault="00E660F2" w:rsidP="00E660F2">
      <w:pPr>
        <w:pStyle w:val="TableTitle"/>
      </w:pPr>
      <w:r>
        <w:t xml:space="preserve">Table 14: </w:t>
      </w:r>
      <w:r w:rsidRPr="00A1616F">
        <w:t>Summary of Safety Concerns</w:t>
      </w:r>
    </w:p>
    <w:tbl>
      <w:tblPr>
        <w:tblStyle w:val="TableTGAblue"/>
        <w:tblW w:w="9469" w:type="dxa"/>
        <w:tblLayout w:type="fixed"/>
        <w:tblLook w:val="04A0" w:firstRow="1" w:lastRow="0" w:firstColumn="1" w:lastColumn="0" w:noHBand="0" w:noVBand="1"/>
      </w:tblPr>
      <w:tblGrid>
        <w:gridCol w:w="1668"/>
        <w:gridCol w:w="2835"/>
        <w:gridCol w:w="1417"/>
        <w:gridCol w:w="1559"/>
        <w:gridCol w:w="993"/>
        <w:gridCol w:w="997"/>
      </w:tblGrid>
      <w:tr w:rsidR="00E660F2" w:rsidRPr="004F1C07" w:rsidTr="008F0588">
        <w:trPr>
          <w:cnfStyle w:val="100000000000" w:firstRow="1" w:lastRow="0" w:firstColumn="0" w:lastColumn="0" w:oddVBand="0" w:evenVBand="0" w:oddHBand="0" w:evenHBand="0" w:firstRowFirstColumn="0" w:firstRowLastColumn="0" w:lastRowFirstColumn="0" w:lastRowLastColumn="0"/>
          <w:trHeight w:val="131"/>
        </w:trPr>
        <w:tc>
          <w:tcPr>
            <w:tcW w:w="4503" w:type="dxa"/>
            <w:gridSpan w:val="2"/>
            <w:vMerge w:val="restart"/>
          </w:tcPr>
          <w:p w:rsidR="00E660F2" w:rsidRPr="006438BB" w:rsidRDefault="00E660F2" w:rsidP="008F0588">
            <w:pPr>
              <w:rPr>
                <w:rFonts w:asciiTheme="minorHAnsi" w:hAnsiTheme="minorHAnsi"/>
                <w:b w:val="0"/>
                <w:sz w:val="20"/>
                <w:szCs w:val="20"/>
              </w:rPr>
            </w:pPr>
            <w:r w:rsidRPr="006438BB">
              <w:rPr>
                <w:rFonts w:asciiTheme="minorHAnsi" w:hAnsiTheme="minorHAnsi"/>
                <w:sz w:val="20"/>
                <w:szCs w:val="20"/>
              </w:rPr>
              <w:t>Summary of safety concerns</w:t>
            </w:r>
          </w:p>
        </w:tc>
        <w:tc>
          <w:tcPr>
            <w:tcW w:w="2976" w:type="dxa"/>
            <w:gridSpan w:val="2"/>
          </w:tcPr>
          <w:p w:rsidR="00E660F2" w:rsidRPr="006438BB" w:rsidRDefault="00E660F2" w:rsidP="008F0588">
            <w:pPr>
              <w:rPr>
                <w:rFonts w:asciiTheme="minorHAnsi" w:hAnsiTheme="minorHAnsi"/>
                <w:b w:val="0"/>
                <w:sz w:val="20"/>
                <w:szCs w:val="20"/>
              </w:rPr>
            </w:pPr>
            <w:r w:rsidRPr="006438BB">
              <w:rPr>
                <w:rFonts w:asciiTheme="minorHAnsi" w:hAnsiTheme="minorHAnsi"/>
                <w:sz w:val="20"/>
                <w:szCs w:val="20"/>
              </w:rPr>
              <w:t>Pharmacovigilance</w:t>
            </w:r>
          </w:p>
        </w:tc>
        <w:tc>
          <w:tcPr>
            <w:tcW w:w="1990" w:type="dxa"/>
            <w:gridSpan w:val="2"/>
          </w:tcPr>
          <w:p w:rsidR="00E660F2" w:rsidRPr="006438BB" w:rsidRDefault="00E660F2" w:rsidP="008F0588">
            <w:pPr>
              <w:rPr>
                <w:rFonts w:asciiTheme="minorHAnsi" w:hAnsiTheme="minorHAnsi"/>
                <w:b w:val="0"/>
                <w:sz w:val="20"/>
                <w:szCs w:val="20"/>
              </w:rPr>
            </w:pPr>
            <w:r w:rsidRPr="006438BB">
              <w:rPr>
                <w:rFonts w:asciiTheme="minorHAnsi" w:hAnsiTheme="minorHAnsi"/>
                <w:sz w:val="20"/>
                <w:szCs w:val="20"/>
              </w:rPr>
              <w:t>Risk Minimisation</w:t>
            </w:r>
          </w:p>
        </w:tc>
      </w:tr>
      <w:tr w:rsidR="00E660F2" w:rsidRPr="004F1C07" w:rsidTr="008F0588">
        <w:trPr>
          <w:trHeight w:val="150"/>
        </w:trPr>
        <w:tc>
          <w:tcPr>
            <w:tcW w:w="4503" w:type="dxa"/>
            <w:gridSpan w:val="2"/>
            <w:vMerge/>
          </w:tcPr>
          <w:p w:rsidR="00E660F2" w:rsidRPr="006438BB" w:rsidRDefault="00E660F2" w:rsidP="008F0588">
            <w:pPr>
              <w:rPr>
                <w:rFonts w:asciiTheme="minorHAnsi" w:hAnsiTheme="minorHAnsi"/>
                <w:sz w:val="20"/>
                <w:szCs w:val="20"/>
              </w:rPr>
            </w:pPr>
          </w:p>
        </w:tc>
        <w:tc>
          <w:tcPr>
            <w:tcW w:w="1417"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Routine</w:t>
            </w:r>
            <w:r>
              <w:rPr>
                <w:rFonts w:asciiTheme="minorHAnsi" w:hAnsiTheme="minorHAnsi"/>
                <w:sz w:val="20"/>
                <w:szCs w:val="20"/>
              </w:rPr>
              <w:t xml:space="preserve"> (R)</w:t>
            </w:r>
          </w:p>
        </w:tc>
        <w:tc>
          <w:tcPr>
            <w:tcW w:w="1559"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Additional</w:t>
            </w:r>
            <w:r>
              <w:rPr>
                <w:rFonts w:asciiTheme="minorHAnsi" w:hAnsiTheme="minorHAnsi"/>
                <w:sz w:val="20"/>
                <w:szCs w:val="20"/>
              </w:rPr>
              <w:t xml:space="preserve"> (A)</w:t>
            </w:r>
          </w:p>
        </w:tc>
        <w:tc>
          <w:tcPr>
            <w:tcW w:w="993"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R</w:t>
            </w:r>
          </w:p>
        </w:tc>
        <w:tc>
          <w:tcPr>
            <w:tcW w:w="997"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A</w:t>
            </w:r>
          </w:p>
        </w:tc>
      </w:tr>
      <w:tr w:rsidR="00E660F2" w:rsidRPr="00120043" w:rsidTr="008F0588">
        <w:trPr>
          <w:trHeight w:val="137"/>
        </w:trPr>
        <w:tc>
          <w:tcPr>
            <w:tcW w:w="1668" w:type="dxa"/>
            <w:vMerge w:val="restart"/>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Important identified risks</w:t>
            </w:r>
          </w:p>
        </w:tc>
        <w:tc>
          <w:tcPr>
            <w:tcW w:w="2835"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Seizures</w:t>
            </w:r>
          </w:p>
        </w:tc>
        <w:tc>
          <w:tcPr>
            <w:tcW w:w="1417"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sym w:font="Wingdings" w:char="F0FC"/>
            </w:r>
            <w:r w:rsidRPr="006438BB">
              <w:rPr>
                <w:rFonts w:asciiTheme="minorHAnsi" w:hAnsiTheme="minorHAnsi"/>
                <w:sz w:val="20"/>
                <w:szCs w:val="20"/>
              </w:rPr>
              <w:t>*</w:t>
            </w:r>
          </w:p>
        </w:tc>
        <w:tc>
          <w:tcPr>
            <w:tcW w:w="1559"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sym w:font="Wingdings" w:char="F0FC"/>
            </w:r>
            <w:r w:rsidRPr="006438BB">
              <w:rPr>
                <w:rFonts w:asciiTheme="minorHAnsi" w:hAnsiTheme="minorHAnsi"/>
                <w:sz w:val="20"/>
                <w:szCs w:val="20"/>
              </w:rPr>
              <w:t>†</w:t>
            </w:r>
          </w:p>
        </w:tc>
        <w:tc>
          <w:tcPr>
            <w:tcW w:w="993"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sym w:font="Wingdings" w:char="F0FC"/>
            </w:r>
          </w:p>
        </w:tc>
        <w:tc>
          <w:tcPr>
            <w:tcW w:w="997"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w:t>
            </w:r>
          </w:p>
        </w:tc>
      </w:tr>
      <w:tr w:rsidR="00E660F2" w:rsidRPr="00120043" w:rsidTr="008F0588">
        <w:trPr>
          <w:trHeight w:val="94"/>
        </w:trPr>
        <w:tc>
          <w:tcPr>
            <w:tcW w:w="1668" w:type="dxa"/>
            <w:vMerge/>
          </w:tcPr>
          <w:p w:rsidR="00E660F2" w:rsidRPr="006438BB" w:rsidRDefault="00E660F2" w:rsidP="008F0588">
            <w:pPr>
              <w:rPr>
                <w:rFonts w:asciiTheme="minorHAnsi" w:hAnsiTheme="minorHAnsi"/>
                <w:sz w:val="20"/>
                <w:szCs w:val="20"/>
              </w:rPr>
            </w:pPr>
          </w:p>
        </w:tc>
        <w:tc>
          <w:tcPr>
            <w:tcW w:w="2835"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Fall</w:t>
            </w:r>
          </w:p>
        </w:tc>
        <w:tc>
          <w:tcPr>
            <w:tcW w:w="1417"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sym w:font="Wingdings" w:char="F0FC"/>
            </w:r>
            <w:r w:rsidRPr="006438BB">
              <w:rPr>
                <w:rFonts w:asciiTheme="minorHAnsi" w:hAnsiTheme="minorHAnsi"/>
                <w:sz w:val="20"/>
                <w:szCs w:val="20"/>
              </w:rPr>
              <w:t xml:space="preserve"> ‡ </w:t>
            </w:r>
          </w:p>
        </w:tc>
        <w:tc>
          <w:tcPr>
            <w:tcW w:w="1559"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sym w:font="Wingdings" w:char="F0FC"/>
            </w:r>
            <w:r w:rsidRPr="006438BB">
              <w:rPr>
                <w:rFonts w:asciiTheme="minorHAnsi" w:hAnsiTheme="minorHAnsi"/>
                <w:sz w:val="20"/>
                <w:szCs w:val="20"/>
              </w:rPr>
              <w:t>†</w:t>
            </w:r>
          </w:p>
        </w:tc>
        <w:tc>
          <w:tcPr>
            <w:tcW w:w="993"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sym w:font="Wingdings" w:char="F0FC"/>
            </w:r>
          </w:p>
        </w:tc>
        <w:tc>
          <w:tcPr>
            <w:tcW w:w="997"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w:t>
            </w:r>
          </w:p>
        </w:tc>
      </w:tr>
      <w:tr w:rsidR="00E660F2" w:rsidRPr="00120043" w:rsidTr="008F0588">
        <w:trPr>
          <w:trHeight w:val="94"/>
        </w:trPr>
        <w:tc>
          <w:tcPr>
            <w:tcW w:w="1668" w:type="dxa"/>
            <w:vMerge/>
          </w:tcPr>
          <w:p w:rsidR="00E660F2" w:rsidRPr="006438BB" w:rsidRDefault="00E660F2" w:rsidP="008F0588">
            <w:pPr>
              <w:rPr>
                <w:rFonts w:asciiTheme="minorHAnsi" w:hAnsiTheme="minorHAnsi"/>
                <w:sz w:val="20"/>
                <w:szCs w:val="20"/>
              </w:rPr>
            </w:pPr>
          </w:p>
        </w:tc>
        <w:tc>
          <w:tcPr>
            <w:tcW w:w="2835"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Non-pathological fracture</w:t>
            </w:r>
          </w:p>
        </w:tc>
        <w:tc>
          <w:tcPr>
            <w:tcW w:w="1417"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sym w:font="Wingdings" w:char="F0FC"/>
            </w:r>
            <w:r w:rsidRPr="006438BB">
              <w:rPr>
                <w:rFonts w:asciiTheme="minorHAnsi" w:hAnsiTheme="minorHAnsi"/>
                <w:sz w:val="20"/>
                <w:szCs w:val="20"/>
              </w:rPr>
              <w:t>*</w:t>
            </w:r>
          </w:p>
        </w:tc>
        <w:tc>
          <w:tcPr>
            <w:tcW w:w="1559"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sym w:font="Wingdings" w:char="F0FC"/>
            </w:r>
            <w:r w:rsidRPr="006438BB">
              <w:rPr>
                <w:rFonts w:asciiTheme="minorHAnsi" w:hAnsiTheme="minorHAnsi"/>
                <w:sz w:val="20"/>
                <w:szCs w:val="20"/>
              </w:rPr>
              <w:t>†</w:t>
            </w:r>
          </w:p>
        </w:tc>
        <w:tc>
          <w:tcPr>
            <w:tcW w:w="993"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sym w:font="Wingdings" w:char="F0FC"/>
            </w:r>
          </w:p>
        </w:tc>
        <w:tc>
          <w:tcPr>
            <w:tcW w:w="997"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w:t>
            </w:r>
          </w:p>
        </w:tc>
      </w:tr>
      <w:tr w:rsidR="00E660F2" w:rsidRPr="00120043" w:rsidTr="008F0588">
        <w:trPr>
          <w:trHeight w:val="187"/>
        </w:trPr>
        <w:tc>
          <w:tcPr>
            <w:tcW w:w="1668" w:type="dxa"/>
            <w:vMerge/>
          </w:tcPr>
          <w:p w:rsidR="00E660F2" w:rsidRPr="006438BB" w:rsidRDefault="00E660F2" w:rsidP="008F0588">
            <w:pPr>
              <w:rPr>
                <w:rFonts w:asciiTheme="minorHAnsi" w:hAnsiTheme="minorHAnsi"/>
                <w:sz w:val="20"/>
                <w:szCs w:val="20"/>
              </w:rPr>
            </w:pPr>
          </w:p>
        </w:tc>
        <w:tc>
          <w:tcPr>
            <w:tcW w:w="2835"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Drug-drug interaction (Interactions with medicinal products that are substrates of CYP3A4, CYP2C9, CYP2C19, or BCRP/OATP1B1)</w:t>
            </w:r>
          </w:p>
        </w:tc>
        <w:tc>
          <w:tcPr>
            <w:tcW w:w="1417"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sym w:font="Wingdings" w:char="F0FC"/>
            </w:r>
          </w:p>
        </w:tc>
        <w:tc>
          <w:tcPr>
            <w:tcW w:w="1559"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w:t>
            </w:r>
          </w:p>
        </w:tc>
        <w:tc>
          <w:tcPr>
            <w:tcW w:w="993"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sym w:font="Wingdings" w:char="F0FC"/>
            </w:r>
          </w:p>
        </w:tc>
        <w:tc>
          <w:tcPr>
            <w:tcW w:w="997"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w:t>
            </w:r>
          </w:p>
        </w:tc>
      </w:tr>
      <w:tr w:rsidR="00E660F2" w:rsidRPr="00120043" w:rsidTr="008F0588">
        <w:trPr>
          <w:trHeight w:val="159"/>
        </w:trPr>
        <w:tc>
          <w:tcPr>
            <w:tcW w:w="1668" w:type="dxa"/>
            <w:vMerge w:val="restart"/>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lastRenderedPageBreak/>
              <w:t>Important potential risks</w:t>
            </w:r>
          </w:p>
        </w:tc>
        <w:tc>
          <w:tcPr>
            <w:tcW w:w="2835"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Drug-drug interaction (Interaction with strong inhibitors of CYP3A4 or CYP2C8)</w:t>
            </w:r>
          </w:p>
        </w:tc>
        <w:tc>
          <w:tcPr>
            <w:tcW w:w="1417"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sym w:font="Wingdings" w:char="F0FC"/>
            </w:r>
          </w:p>
        </w:tc>
        <w:tc>
          <w:tcPr>
            <w:tcW w:w="1559"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w:t>
            </w:r>
          </w:p>
        </w:tc>
        <w:tc>
          <w:tcPr>
            <w:tcW w:w="993"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sym w:font="Wingdings" w:char="F0FC"/>
            </w:r>
          </w:p>
        </w:tc>
        <w:tc>
          <w:tcPr>
            <w:tcW w:w="997"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w:t>
            </w:r>
          </w:p>
        </w:tc>
      </w:tr>
      <w:tr w:rsidR="00E660F2" w:rsidRPr="00120043" w:rsidTr="008F0588">
        <w:trPr>
          <w:trHeight w:val="159"/>
        </w:trPr>
        <w:tc>
          <w:tcPr>
            <w:tcW w:w="1668" w:type="dxa"/>
            <w:vMerge/>
          </w:tcPr>
          <w:p w:rsidR="00E660F2" w:rsidRPr="006438BB" w:rsidRDefault="00E660F2" w:rsidP="008F0588">
            <w:pPr>
              <w:rPr>
                <w:rFonts w:asciiTheme="minorHAnsi" w:hAnsiTheme="minorHAnsi"/>
                <w:sz w:val="20"/>
                <w:szCs w:val="20"/>
              </w:rPr>
            </w:pPr>
          </w:p>
        </w:tc>
        <w:tc>
          <w:tcPr>
            <w:tcW w:w="2835"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Serious cardiovascular events §</w:t>
            </w:r>
          </w:p>
        </w:tc>
        <w:tc>
          <w:tcPr>
            <w:tcW w:w="1417"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sym w:font="Wingdings" w:char="F0FC"/>
            </w:r>
          </w:p>
        </w:tc>
        <w:tc>
          <w:tcPr>
            <w:tcW w:w="1559"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w:t>
            </w:r>
          </w:p>
        </w:tc>
        <w:tc>
          <w:tcPr>
            <w:tcW w:w="993"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sym w:font="Wingdings" w:char="F0FC"/>
            </w:r>
          </w:p>
        </w:tc>
        <w:tc>
          <w:tcPr>
            <w:tcW w:w="997"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w:t>
            </w:r>
          </w:p>
        </w:tc>
      </w:tr>
      <w:tr w:rsidR="00E660F2" w:rsidRPr="00120043" w:rsidTr="008F0588">
        <w:trPr>
          <w:trHeight w:val="159"/>
        </w:trPr>
        <w:tc>
          <w:tcPr>
            <w:tcW w:w="1668" w:type="dxa"/>
            <w:vMerge/>
          </w:tcPr>
          <w:p w:rsidR="00E660F2" w:rsidRPr="006438BB" w:rsidRDefault="00E660F2" w:rsidP="008F0588">
            <w:pPr>
              <w:rPr>
                <w:rFonts w:asciiTheme="minorHAnsi" w:hAnsiTheme="minorHAnsi"/>
                <w:sz w:val="20"/>
                <w:szCs w:val="20"/>
              </w:rPr>
            </w:pPr>
          </w:p>
        </w:tc>
        <w:tc>
          <w:tcPr>
            <w:tcW w:w="2835"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Suicidal ideation §</w:t>
            </w:r>
          </w:p>
        </w:tc>
        <w:tc>
          <w:tcPr>
            <w:tcW w:w="1417"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sym w:font="Wingdings" w:char="F0FC"/>
            </w:r>
          </w:p>
        </w:tc>
        <w:tc>
          <w:tcPr>
            <w:tcW w:w="1559"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w:t>
            </w:r>
          </w:p>
        </w:tc>
        <w:tc>
          <w:tcPr>
            <w:tcW w:w="993"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w:t>
            </w:r>
          </w:p>
        </w:tc>
        <w:tc>
          <w:tcPr>
            <w:tcW w:w="997"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w:t>
            </w:r>
          </w:p>
        </w:tc>
      </w:tr>
      <w:tr w:rsidR="00E660F2" w:rsidRPr="00120043" w:rsidTr="008F0588">
        <w:trPr>
          <w:trHeight w:val="159"/>
        </w:trPr>
        <w:tc>
          <w:tcPr>
            <w:tcW w:w="1668" w:type="dxa"/>
            <w:vMerge/>
          </w:tcPr>
          <w:p w:rsidR="00E660F2" w:rsidRPr="006438BB" w:rsidRDefault="00E660F2" w:rsidP="008F0588">
            <w:pPr>
              <w:rPr>
                <w:rFonts w:asciiTheme="minorHAnsi" w:hAnsiTheme="minorHAnsi"/>
                <w:sz w:val="20"/>
                <w:szCs w:val="20"/>
              </w:rPr>
            </w:pPr>
          </w:p>
        </w:tc>
        <w:tc>
          <w:tcPr>
            <w:tcW w:w="2835"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Posterior Reversible Encephalopathy Syndrome §</w:t>
            </w:r>
          </w:p>
        </w:tc>
        <w:tc>
          <w:tcPr>
            <w:tcW w:w="1417"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sym w:font="Wingdings" w:char="F0FC"/>
            </w:r>
          </w:p>
        </w:tc>
        <w:tc>
          <w:tcPr>
            <w:tcW w:w="1559"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w:t>
            </w:r>
          </w:p>
        </w:tc>
        <w:tc>
          <w:tcPr>
            <w:tcW w:w="993"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 xml:space="preserve">–ǁ </w:t>
            </w:r>
          </w:p>
        </w:tc>
        <w:tc>
          <w:tcPr>
            <w:tcW w:w="997"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w:t>
            </w:r>
          </w:p>
        </w:tc>
      </w:tr>
      <w:tr w:rsidR="00E660F2" w:rsidRPr="00120043" w:rsidTr="008F0588">
        <w:trPr>
          <w:trHeight w:val="178"/>
        </w:trPr>
        <w:tc>
          <w:tcPr>
            <w:tcW w:w="1668" w:type="dxa"/>
            <w:vMerge w:val="restart"/>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Missing information</w:t>
            </w:r>
          </w:p>
        </w:tc>
        <w:tc>
          <w:tcPr>
            <w:tcW w:w="2835"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Use in patients with severe renal impairment</w:t>
            </w:r>
          </w:p>
        </w:tc>
        <w:tc>
          <w:tcPr>
            <w:tcW w:w="1417"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sym w:font="Wingdings" w:char="F0FC"/>
            </w:r>
          </w:p>
        </w:tc>
        <w:tc>
          <w:tcPr>
            <w:tcW w:w="1559"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w:t>
            </w:r>
          </w:p>
        </w:tc>
        <w:tc>
          <w:tcPr>
            <w:tcW w:w="993"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sym w:font="Wingdings" w:char="F0FC"/>
            </w:r>
          </w:p>
        </w:tc>
        <w:tc>
          <w:tcPr>
            <w:tcW w:w="997"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w:t>
            </w:r>
          </w:p>
        </w:tc>
      </w:tr>
      <w:tr w:rsidR="00E660F2" w:rsidRPr="00120043" w:rsidTr="008F0588">
        <w:trPr>
          <w:trHeight w:val="103"/>
        </w:trPr>
        <w:tc>
          <w:tcPr>
            <w:tcW w:w="1668" w:type="dxa"/>
            <w:vMerge/>
          </w:tcPr>
          <w:p w:rsidR="00E660F2" w:rsidRPr="006438BB" w:rsidRDefault="00E660F2" w:rsidP="008F0588">
            <w:pPr>
              <w:rPr>
                <w:rFonts w:asciiTheme="minorHAnsi" w:hAnsiTheme="minorHAnsi"/>
                <w:sz w:val="20"/>
                <w:szCs w:val="20"/>
              </w:rPr>
            </w:pPr>
          </w:p>
        </w:tc>
        <w:tc>
          <w:tcPr>
            <w:tcW w:w="2835"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Use in patients with severe hepatic impairment</w:t>
            </w:r>
          </w:p>
        </w:tc>
        <w:tc>
          <w:tcPr>
            <w:tcW w:w="1417"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sym w:font="Wingdings" w:char="F0FC"/>
            </w:r>
          </w:p>
        </w:tc>
        <w:tc>
          <w:tcPr>
            <w:tcW w:w="1559"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w:t>
            </w:r>
          </w:p>
        </w:tc>
        <w:tc>
          <w:tcPr>
            <w:tcW w:w="993"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sym w:font="Wingdings" w:char="F0FC"/>
            </w:r>
          </w:p>
        </w:tc>
        <w:tc>
          <w:tcPr>
            <w:tcW w:w="997"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w:t>
            </w:r>
          </w:p>
        </w:tc>
      </w:tr>
      <w:tr w:rsidR="00E660F2" w:rsidRPr="00120043" w:rsidTr="008F0588">
        <w:trPr>
          <w:trHeight w:val="103"/>
        </w:trPr>
        <w:tc>
          <w:tcPr>
            <w:tcW w:w="1668" w:type="dxa"/>
            <w:vMerge/>
          </w:tcPr>
          <w:p w:rsidR="00E660F2" w:rsidRPr="006438BB" w:rsidRDefault="00E660F2" w:rsidP="008F0588">
            <w:pPr>
              <w:rPr>
                <w:rFonts w:asciiTheme="minorHAnsi" w:hAnsiTheme="minorHAnsi"/>
                <w:sz w:val="20"/>
                <w:szCs w:val="20"/>
              </w:rPr>
            </w:pPr>
          </w:p>
        </w:tc>
        <w:tc>
          <w:tcPr>
            <w:tcW w:w="2835"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Use in patients with clinically significant cardiovascular disease</w:t>
            </w:r>
          </w:p>
        </w:tc>
        <w:tc>
          <w:tcPr>
            <w:tcW w:w="1417"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sym w:font="Wingdings" w:char="F0FC"/>
            </w:r>
            <w:r w:rsidRPr="006438BB">
              <w:rPr>
                <w:rFonts w:asciiTheme="minorHAnsi" w:hAnsiTheme="minorHAnsi"/>
                <w:sz w:val="20"/>
                <w:szCs w:val="20"/>
              </w:rPr>
              <w:t>*</w:t>
            </w:r>
          </w:p>
        </w:tc>
        <w:tc>
          <w:tcPr>
            <w:tcW w:w="1559"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w:t>
            </w:r>
          </w:p>
        </w:tc>
        <w:tc>
          <w:tcPr>
            <w:tcW w:w="993"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–ǁ</w:t>
            </w:r>
          </w:p>
        </w:tc>
        <w:tc>
          <w:tcPr>
            <w:tcW w:w="997"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w:t>
            </w:r>
          </w:p>
        </w:tc>
      </w:tr>
      <w:tr w:rsidR="00E660F2" w:rsidRPr="00120043" w:rsidTr="008F0588">
        <w:trPr>
          <w:trHeight w:val="140"/>
        </w:trPr>
        <w:tc>
          <w:tcPr>
            <w:tcW w:w="1668" w:type="dxa"/>
            <w:vMerge/>
          </w:tcPr>
          <w:p w:rsidR="00E660F2" w:rsidRPr="006438BB" w:rsidRDefault="00E660F2" w:rsidP="008F0588">
            <w:pPr>
              <w:rPr>
                <w:rFonts w:asciiTheme="minorHAnsi" w:hAnsiTheme="minorHAnsi"/>
                <w:sz w:val="20"/>
                <w:szCs w:val="20"/>
              </w:rPr>
            </w:pPr>
          </w:p>
        </w:tc>
        <w:tc>
          <w:tcPr>
            <w:tcW w:w="2835"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Use in patients with history of seizure or condition predisposing to seizure</w:t>
            </w:r>
          </w:p>
        </w:tc>
        <w:tc>
          <w:tcPr>
            <w:tcW w:w="1417"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sym w:font="Wingdings" w:char="F0FC"/>
            </w:r>
          </w:p>
        </w:tc>
        <w:tc>
          <w:tcPr>
            <w:tcW w:w="1559"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w:t>
            </w:r>
          </w:p>
        </w:tc>
        <w:tc>
          <w:tcPr>
            <w:tcW w:w="993"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sym w:font="Wingdings" w:char="F0FC"/>
            </w:r>
          </w:p>
        </w:tc>
        <w:tc>
          <w:tcPr>
            <w:tcW w:w="997"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w:t>
            </w:r>
          </w:p>
        </w:tc>
      </w:tr>
      <w:tr w:rsidR="00E660F2" w:rsidRPr="00120043" w:rsidTr="008F0588">
        <w:trPr>
          <w:trHeight w:val="140"/>
        </w:trPr>
        <w:tc>
          <w:tcPr>
            <w:tcW w:w="1668" w:type="dxa"/>
            <w:vMerge/>
          </w:tcPr>
          <w:p w:rsidR="00E660F2" w:rsidRPr="006438BB" w:rsidRDefault="00E660F2" w:rsidP="008F0588">
            <w:pPr>
              <w:rPr>
                <w:rFonts w:asciiTheme="minorHAnsi" w:hAnsiTheme="minorHAnsi"/>
                <w:sz w:val="20"/>
                <w:szCs w:val="20"/>
              </w:rPr>
            </w:pPr>
          </w:p>
        </w:tc>
        <w:tc>
          <w:tcPr>
            <w:tcW w:w="2835"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Long-term use safety</w:t>
            </w:r>
          </w:p>
        </w:tc>
        <w:tc>
          <w:tcPr>
            <w:tcW w:w="1417"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sym w:font="Wingdings" w:char="F0FC"/>
            </w:r>
          </w:p>
        </w:tc>
        <w:tc>
          <w:tcPr>
            <w:tcW w:w="1559"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w:t>
            </w:r>
          </w:p>
        </w:tc>
        <w:tc>
          <w:tcPr>
            <w:tcW w:w="993"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w:t>
            </w:r>
          </w:p>
        </w:tc>
        <w:tc>
          <w:tcPr>
            <w:tcW w:w="997" w:type="dxa"/>
          </w:tcPr>
          <w:p w:rsidR="00E660F2" w:rsidRPr="006438BB" w:rsidRDefault="00E660F2" w:rsidP="008F0588">
            <w:pPr>
              <w:rPr>
                <w:rFonts w:asciiTheme="minorHAnsi" w:hAnsiTheme="minorHAnsi"/>
                <w:sz w:val="20"/>
                <w:szCs w:val="20"/>
              </w:rPr>
            </w:pPr>
            <w:r w:rsidRPr="006438BB">
              <w:rPr>
                <w:rFonts w:asciiTheme="minorHAnsi" w:hAnsiTheme="minorHAnsi"/>
                <w:sz w:val="20"/>
                <w:szCs w:val="20"/>
              </w:rPr>
              <w:t>–</w:t>
            </w:r>
          </w:p>
        </w:tc>
      </w:tr>
    </w:tbl>
    <w:p w:rsidR="00E660F2" w:rsidRDefault="00E660F2" w:rsidP="00E660F2">
      <w:pPr>
        <w:pStyle w:val="TableDescription"/>
      </w:pPr>
      <w:r w:rsidRPr="00F565DF">
        <w:t>* Proposed targeted follow up questionnaires</w:t>
      </w:r>
      <w:r>
        <w:t xml:space="preserve">. </w:t>
      </w:r>
      <w:r w:rsidRPr="00F565DF">
        <w:t>† Proposed clinical studies</w:t>
      </w:r>
      <w:r>
        <w:t xml:space="preserve">. </w:t>
      </w:r>
      <w:r w:rsidRPr="00F565DF">
        <w:t>‡ Targeted follow up questionnaire added by Sponsor in response to rolling questions from TGA.</w:t>
      </w:r>
      <w:r>
        <w:t xml:space="preserve"> </w:t>
      </w:r>
      <w:r w:rsidRPr="00F565DF">
        <w:t>§ Additional important potential risks added by Sponsor in response to rolling questions from TGA.</w:t>
      </w:r>
      <w:r>
        <w:t xml:space="preserve"> </w:t>
      </w:r>
      <w:r w:rsidRPr="00F565DF">
        <w:t>ǁ Recommendations made to Delegate to include wording in the</w:t>
      </w:r>
      <w:r>
        <w:t xml:space="preserve"> PI</w:t>
      </w:r>
      <w:r w:rsidRPr="00F565DF">
        <w:t>.</w:t>
      </w:r>
      <w:r>
        <w:t xml:space="preserve"> </w:t>
      </w:r>
      <w:r w:rsidRPr="00F565DF">
        <w:t xml:space="preserve">Additional area of missing information added by </w:t>
      </w:r>
      <w:r>
        <w:t>the s</w:t>
      </w:r>
      <w:r w:rsidRPr="00F565DF">
        <w:t xml:space="preserve">ponsor in response to rolling questions from </w:t>
      </w:r>
      <w:r>
        <w:t xml:space="preserve">the </w:t>
      </w:r>
      <w:r w:rsidRPr="00F565DF">
        <w:t>TGA.</w:t>
      </w:r>
    </w:p>
    <w:p w:rsidR="00E660F2" w:rsidRPr="002051AC" w:rsidRDefault="00E660F2" w:rsidP="00E660F2">
      <w:r w:rsidRPr="002051AC">
        <w:t xml:space="preserve">The </w:t>
      </w:r>
      <w:r>
        <w:t xml:space="preserve">sponsor’s </w:t>
      </w:r>
      <w:r w:rsidRPr="002051AC">
        <w:t xml:space="preserve">Summary of Safety Concerns is acceptable for the </w:t>
      </w:r>
      <w:r>
        <w:t>nature of the indication</w:t>
      </w:r>
      <w:r w:rsidRPr="002051AC">
        <w:t>.</w:t>
      </w:r>
    </w:p>
    <w:p w:rsidR="00E660F2" w:rsidRPr="00EE1C47" w:rsidRDefault="00E660F2" w:rsidP="00E660F2">
      <w:r>
        <w:rPr>
          <w:rFonts w:cstheme="minorHAnsi"/>
        </w:rPr>
        <w:t>T</w:t>
      </w:r>
      <w:r w:rsidRPr="00EE1C47">
        <w:rPr>
          <w:rFonts w:cstheme="minorHAnsi"/>
        </w:rPr>
        <w:t xml:space="preserve">he proposed routine </w:t>
      </w:r>
      <w:r>
        <w:rPr>
          <w:rFonts w:cstheme="minorHAnsi"/>
        </w:rPr>
        <w:t xml:space="preserve">and additional </w:t>
      </w:r>
      <w:r w:rsidRPr="00EE1C47">
        <w:rPr>
          <w:rFonts w:cstheme="minorHAnsi"/>
        </w:rPr>
        <w:t>pharmacovigila</w:t>
      </w:r>
      <w:r>
        <w:rPr>
          <w:rFonts w:cstheme="minorHAnsi"/>
        </w:rPr>
        <w:t>nce activities</w:t>
      </w:r>
      <w:r w:rsidRPr="00EE1C47">
        <w:rPr>
          <w:rFonts w:cstheme="minorHAnsi"/>
        </w:rPr>
        <w:t xml:space="preserve"> are acc</w:t>
      </w:r>
      <w:r>
        <w:rPr>
          <w:rFonts w:cstheme="minorHAnsi"/>
        </w:rPr>
        <w:t>eptable given the nature of the</w:t>
      </w:r>
      <w:r w:rsidRPr="00EE1C47">
        <w:rPr>
          <w:rFonts w:cstheme="minorHAnsi"/>
        </w:rPr>
        <w:t xml:space="preserve"> </w:t>
      </w:r>
      <w:r>
        <w:rPr>
          <w:rFonts w:cstheme="minorHAnsi"/>
        </w:rPr>
        <w:t xml:space="preserve">safety </w:t>
      </w:r>
      <w:r w:rsidRPr="00EE1C47">
        <w:rPr>
          <w:rFonts w:cstheme="minorHAnsi"/>
        </w:rPr>
        <w:t>concerns</w:t>
      </w:r>
      <w:r>
        <w:rPr>
          <w:rFonts w:cstheme="minorHAnsi"/>
        </w:rPr>
        <w:t>.</w:t>
      </w:r>
    </w:p>
    <w:p w:rsidR="00E660F2" w:rsidRDefault="00E660F2" w:rsidP="00E660F2">
      <w:r>
        <w:t xml:space="preserve">The </w:t>
      </w:r>
      <w:r w:rsidRPr="00CC41D1">
        <w:t xml:space="preserve">proposed routine risk minimisation activities with </w:t>
      </w:r>
      <w:r>
        <w:t>‘</w:t>
      </w:r>
      <w:r w:rsidRPr="00CC41D1">
        <w:t>no additional risk minimisation activities</w:t>
      </w:r>
      <w:r>
        <w:t>’</w:t>
      </w:r>
      <w:r w:rsidRPr="00CC41D1">
        <w:t xml:space="preserve"> is </w:t>
      </w:r>
      <w:r>
        <w:t>acceptable for addressing the safety concerns</w:t>
      </w:r>
      <w:r w:rsidRPr="00EE1C47">
        <w:rPr>
          <w:rFonts w:cstheme="minorHAnsi"/>
        </w:rPr>
        <w:t>.</w:t>
      </w:r>
      <w:r w:rsidRPr="009E3D6B">
        <w:rPr>
          <w:rFonts w:cstheme="minorHAnsi"/>
        </w:rPr>
        <w:t xml:space="preserve"> </w:t>
      </w:r>
    </w:p>
    <w:p w:rsidR="00E660F2" w:rsidRDefault="00E660F2" w:rsidP="00E660F2">
      <w:pPr>
        <w:pStyle w:val="Heading4"/>
      </w:pPr>
      <w:bookmarkStart w:id="185" w:name="_Ref516832190"/>
      <w:bookmarkStart w:id="186" w:name="_Toc517161410"/>
      <w:r>
        <w:t>Recommendations rolling questions</w:t>
      </w:r>
      <w:bookmarkEnd w:id="185"/>
      <w:bookmarkEnd w:id="186"/>
    </w:p>
    <w:p w:rsidR="00E660F2" w:rsidRPr="00D9572B" w:rsidRDefault="00E660F2" w:rsidP="00E660F2">
      <w:r w:rsidRPr="00D9572B">
        <w:t>The sponsor should address the following recommendations as outstanding issues (Rolling Questions dated 15 June 2018); however these should not delay any decision regarding registration:</w:t>
      </w:r>
    </w:p>
    <w:p w:rsidR="00E660F2" w:rsidRPr="00D9572B" w:rsidRDefault="00E660F2" w:rsidP="00E660F2">
      <w:pPr>
        <w:pStyle w:val="ListBullet"/>
        <w:numPr>
          <w:ilvl w:val="0"/>
          <w:numId w:val="1"/>
        </w:numPr>
      </w:pPr>
      <w:r w:rsidRPr="00D9572B">
        <w:t xml:space="preserve">The nonclinical evaluation report has raised concerns about the risk of follicular cell hypertrophy observed in rats, which may be related to hypothyroidism observed in clinical trials. On review of the issue by the RMP evaluator, it is noted that the sponsor </w:t>
      </w:r>
      <w:r w:rsidRPr="00D9572B">
        <w:lastRenderedPageBreak/>
        <w:t>has recorded the issue as a risk not included in the list of safety concerns in the RMP (EU-RMP version 0.1, SVII.1.1). However, the sponsor has not provided a justification for not including it as an important risk. The sponsor is requested to provide information on the reasons for not including hypothyroidism as an important risk in the summary of safety concerns in the next available version of the RMP (see Guidance on the format of the risk management plan in the EU, EMA/PRAC/613102/2015 Rev.2, SVII.1.1). This should not delay any decision for registration</w:t>
      </w:r>
      <w:r w:rsidRPr="00D9572B">
        <w:rPr>
          <w:rFonts w:asciiTheme="majorHAnsi" w:hAnsiTheme="majorHAnsi"/>
          <w:szCs w:val="20"/>
        </w:rPr>
        <w:t>.</w:t>
      </w:r>
    </w:p>
    <w:p w:rsidR="00E660F2" w:rsidRPr="008D2FC1" w:rsidRDefault="00E660F2" w:rsidP="00E660F2">
      <w:pPr>
        <w:pStyle w:val="ListBullet"/>
        <w:numPr>
          <w:ilvl w:val="0"/>
          <w:numId w:val="1"/>
        </w:numPr>
      </w:pPr>
      <w:r w:rsidRPr="007D6319">
        <w:t xml:space="preserve">The </w:t>
      </w:r>
      <w:r>
        <w:t>s</w:t>
      </w:r>
      <w:r w:rsidRPr="007D6319">
        <w:t xml:space="preserve">ponsor states in the </w:t>
      </w:r>
      <w:r>
        <w:t xml:space="preserve">draft </w:t>
      </w:r>
      <w:r w:rsidRPr="007D6319">
        <w:t xml:space="preserve">PI that hypothyroidism was observed at a higher rate in patients receiving apalutamide compared to placebo. It is noted there were no Grade 3 or 4 adverse events relating to hypothyroidism in this clinical trial setting. As it is unclear if Grade 3 or 4 adverse events will occur in the post-market environment, the </w:t>
      </w:r>
      <w:r>
        <w:t>s</w:t>
      </w:r>
      <w:r w:rsidRPr="007D6319">
        <w:t>ponsor is requested to report on hypothyroidism in the Periodic Safety Update Reports</w:t>
      </w:r>
      <w:r>
        <w:t xml:space="preserve"> (PSUR)</w:t>
      </w:r>
      <w:r w:rsidRPr="007D6319">
        <w:t xml:space="preserve"> to confirm experience in the post-market setting</w:t>
      </w:r>
      <w:r w:rsidRPr="007D6319">
        <w:rPr>
          <w:rFonts w:asciiTheme="majorHAnsi" w:hAnsiTheme="majorHAnsi"/>
          <w:szCs w:val="20"/>
        </w:rPr>
        <w:t xml:space="preserve">. </w:t>
      </w:r>
      <w:r w:rsidRPr="008D2FC1">
        <w:t>This should not delay any decision for registration.</w:t>
      </w:r>
    </w:p>
    <w:p w:rsidR="00E660F2" w:rsidRPr="007D6319" w:rsidRDefault="00E660F2" w:rsidP="00E660F2">
      <w:pPr>
        <w:pStyle w:val="ListBullet"/>
        <w:numPr>
          <w:ilvl w:val="0"/>
          <w:numId w:val="1"/>
        </w:numPr>
      </w:pPr>
      <w:r>
        <w:t>T</w:t>
      </w:r>
      <w:r w:rsidRPr="00766520">
        <w:t xml:space="preserve">he RMP should be updated in response to the </w:t>
      </w:r>
      <w:r>
        <w:t xml:space="preserve">nonclinical evaluation report </w:t>
      </w:r>
      <w:r w:rsidRPr="00766520">
        <w:t xml:space="preserve">comments on the calculated exposure ratios at the next RMP </w:t>
      </w:r>
      <w:r w:rsidRPr="008907C2">
        <w:t>update. This should</w:t>
      </w:r>
      <w:r w:rsidRPr="007D6319">
        <w:rPr>
          <w:rFonts w:asciiTheme="majorHAnsi" w:hAnsiTheme="majorHAnsi"/>
          <w:szCs w:val="20"/>
        </w:rPr>
        <w:t xml:space="preserve"> </w:t>
      </w:r>
      <w:r w:rsidRPr="007D6319">
        <w:t>not delay any decision for registration</w:t>
      </w:r>
      <w:r w:rsidRPr="007D6319">
        <w:rPr>
          <w:rFonts w:asciiTheme="majorHAnsi" w:hAnsiTheme="majorHAnsi"/>
          <w:szCs w:val="20"/>
        </w:rPr>
        <w:t>.</w:t>
      </w:r>
    </w:p>
    <w:p w:rsidR="00E660F2" w:rsidRPr="003F0196" w:rsidRDefault="00E660F2" w:rsidP="00E660F2">
      <w:pPr>
        <w:pStyle w:val="Heading4"/>
      </w:pPr>
      <w:bookmarkStart w:id="187" w:name="_Toc517161411"/>
      <w:r w:rsidRPr="003F0196">
        <w:t>Wording for conditions of registration</w:t>
      </w:r>
      <w:bookmarkEnd w:id="187"/>
    </w:p>
    <w:p w:rsidR="00E660F2" w:rsidRPr="005C2348" w:rsidRDefault="00E660F2" w:rsidP="00E660F2">
      <w:r w:rsidRPr="005C2348">
        <w:t xml:space="preserve">Any changes to which the sponsor has agreed should be included in a revised RMP and ASA. However, irrespective of whether or not they are included in the currently available version of the RMP document, the agreed changes become part of the risk management system. </w:t>
      </w:r>
    </w:p>
    <w:p w:rsidR="00E660F2" w:rsidRPr="00F20BEC" w:rsidRDefault="00E660F2" w:rsidP="00E660F2">
      <w:r w:rsidRPr="00F20BEC">
        <w:t xml:space="preserve">The suggested wording is: </w:t>
      </w:r>
    </w:p>
    <w:p w:rsidR="00E660F2" w:rsidRPr="008907C2" w:rsidRDefault="00E660F2" w:rsidP="00E660F2">
      <w:pPr>
        <w:ind w:left="720"/>
        <w:rPr>
          <w:i/>
        </w:rPr>
      </w:pPr>
      <w:r w:rsidRPr="008907C2">
        <w:rPr>
          <w:i/>
        </w:rPr>
        <w:t xml:space="preserve">The </w:t>
      </w:r>
      <w:r w:rsidRPr="008D2FC1">
        <w:rPr>
          <w:i/>
        </w:rPr>
        <w:t>Erlyand</w:t>
      </w:r>
      <w:r w:rsidRPr="008907C2">
        <w:rPr>
          <w:i/>
        </w:rPr>
        <w:t xml:space="preserve"> EU-Risk Management Plan (RMP) (version 0.1, dated 24 Jan 2018, data lock point 19 May 2017), with Australian Specific Annex (version 1.2, dated 6 June 2018), included with submission PM-2018-00489-1-4, and any subsequent revisions, as agreed with the TGA will be implemented in Australia.</w:t>
      </w:r>
    </w:p>
    <w:p w:rsidR="00E660F2" w:rsidRPr="005C2348" w:rsidRDefault="00E660F2" w:rsidP="00E660F2">
      <w:r w:rsidRPr="005C2348">
        <w:t>The following wording is recommended for the PSUR requirement:</w:t>
      </w:r>
    </w:p>
    <w:p w:rsidR="00E660F2" w:rsidRPr="008907C2" w:rsidRDefault="00E660F2" w:rsidP="00E660F2">
      <w:pPr>
        <w:ind w:left="720"/>
        <w:rPr>
          <w:i/>
        </w:rPr>
      </w:pPr>
      <w:r w:rsidRPr="008907C2">
        <w:rPr>
          <w:i/>
        </w:rPr>
        <w:t xml:space="preserve">An obligatory component of risk management plans is routine pharmacovigilance. Routine pharmacovigilance includes the submission of Periodic Safety Update Reports (PSURs). </w:t>
      </w:r>
    </w:p>
    <w:p w:rsidR="00E660F2" w:rsidRPr="008907C2" w:rsidRDefault="00E660F2" w:rsidP="00E660F2">
      <w:pPr>
        <w:ind w:left="720"/>
        <w:rPr>
          <w:i/>
        </w:rPr>
      </w:pPr>
      <w:r w:rsidRPr="008907C2">
        <w:rPr>
          <w:i/>
        </w:rPr>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six monthly reports may be submitted separately as they become available.</w:t>
      </w:r>
    </w:p>
    <w:p w:rsidR="00E660F2" w:rsidRPr="008907C2" w:rsidRDefault="00E660F2" w:rsidP="00E660F2">
      <w:pPr>
        <w:ind w:left="720"/>
        <w:rPr>
          <w:i/>
        </w:rPr>
      </w:pPr>
      <w:r w:rsidRPr="008907C2">
        <w:rPr>
          <w:i/>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rsidR="00E660F2" w:rsidRPr="005C2348" w:rsidRDefault="00E660F2" w:rsidP="00E660F2">
      <w:r w:rsidRPr="005C2348">
        <w:t xml:space="preserve">As </w:t>
      </w:r>
      <w:r w:rsidRPr="008D2FC1">
        <w:t>Erlyand</w:t>
      </w:r>
      <w:r w:rsidRPr="005C2348">
        <w:rPr>
          <w:smallCaps/>
        </w:rPr>
        <w:t xml:space="preserve"> </w:t>
      </w:r>
      <w:r w:rsidRPr="005C2348">
        <w:t>is a new chemical entity it should be included in the Black Triangle Scheme as a condition of registration. The following wording is recommended for the condition of registration:</w:t>
      </w:r>
    </w:p>
    <w:p w:rsidR="00E660F2" w:rsidRPr="008907C2" w:rsidRDefault="00E660F2" w:rsidP="00E660F2">
      <w:pPr>
        <w:ind w:left="720"/>
        <w:rPr>
          <w:i/>
        </w:rPr>
      </w:pPr>
      <w:r>
        <w:rPr>
          <w:i/>
        </w:rPr>
        <w:lastRenderedPageBreak/>
        <w:t>‘</w:t>
      </w:r>
      <w:r w:rsidRPr="008D2FC1">
        <w:rPr>
          <w:i/>
        </w:rPr>
        <w:t>Apalutamide (Erlyand) is to be included in the Black Triangle Scheme. The PI and CMI for Erlyand must include the black triangle symbol and mandatory accompanying</w:t>
      </w:r>
      <w:r w:rsidRPr="008907C2">
        <w:rPr>
          <w:i/>
        </w:rPr>
        <w:t xml:space="preserve"> text for five years, which starts from the date that the sponsor notifies the TGA of supply of the product.</w:t>
      </w:r>
    </w:p>
    <w:p w:rsidR="00E660F2" w:rsidRPr="007938A1" w:rsidRDefault="00E660F2" w:rsidP="00E660F2">
      <w:pPr>
        <w:pStyle w:val="Heading5"/>
      </w:pPr>
      <w:bookmarkStart w:id="188" w:name="_Toc517161412"/>
      <w:r w:rsidRPr="007938A1">
        <w:t xml:space="preserve">Other advice to the </w:t>
      </w:r>
      <w:r w:rsidR="008F0588">
        <w:t>d</w:t>
      </w:r>
      <w:r w:rsidRPr="007938A1">
        <w:t>elegate</w:t>
      </w:r>
      <w:bookmarkEnd w:id="188"/>
    </w:p>
    <w:p w:rsidR="00E660F2" w:rsidRPr="00D526DB" w:rsidRDefault="00E660F2" w:rsidP="00E660F2">
      <w:r w:rsidRPr="00D526DB">
        <w:t xml:space="preserve">The following recommendations for the </w:t>
      </w:r>
      <w:r>
        <w:t>D</w:t>
      </w:r>
      <w:r w:rsidRPr="00D526DB">
        <w:t>elegate relate to the PI.</w:t>
      </w:r>
    </w:p>
    <w:p w:rsidR="00E660F2" w:rsidRPr="00282405" w:rsidRDefault="00E660F2" w:rsidP="00E660F2">
      <w:r w:rsidRPr="00282405">
        <w:t xml:space="preserve">While the </w:t>
      </w:r>
      <w:r>
        <w:t>s</w:t>
      </w:r>
      <w:r w:rsidRPr="00282405">
        <w:t xml:space="preserve">ponsor has identified </w:t>
      </w:r>
      <w:r>
        <w:t>‘</w:t>
      </w:r>
      <w:r w:rsidRPr="00282405">
        <w:rPr>
          <w:iCs/>
          <w:color w:val="000000" w:themeColor="text1"/>
        </w:rPr>
        <w:t>clinically significant cardiovascular disease</w:t>
      </w:r>
      <w:r>
        <w:rPr>
          <w:iCs/>
          <w:color w:val="000000" w:themeColor="text1"/>
        </w:rPr>
        <w:t>’</w:t>
      </w:r>
      <w:r w:rsidRPr="00282405">
        <w:rPr>
          <w:iCs/>
          <w:color w:val="000000" w:themeColor="text1"/>
        </w:rPr>
        <w:t xml:space="preserve"> as an area of Missing Information, the </w:t>
      </w:r>
      <w:r>
        <w:rPr>
          <w:iCs/>
          <w:color w:val="000000" w:themeColor="text1"/>
        </w:rPr>
        <w:t>s</w:t>
      </w:r>
      <w:r w:rsidRPr="00282405">
        <w:rPr>
          <w:iCs/>
          <w:color w:val="000000" w:themeColor="text1"/>
        </w:rPr>
        <w:t xml:space="preserve">ponsor has not </w:t>
      </w:r>
      <w:r w:rsidRPr="00282405">
        <w:t xml:space="preserve">included any wording in the proposed PI to indicate it is an area of missing information. </w:t>
      </w:r>
      <w:r w:rsidRPr="00282405">
        <w:rPr>
          <w:szCs w:val="23"/>
        </w:rPr>
        <w:t xml:space="preserve">It is noted in the SPARTAN </w:t>
      </w:r>
      <w:r>
        <w:rPr>
          <w:szCs w:val="23"/>
        </w:rPr>
        <w:t xml:space="preserve">trial </w:t>
      </w:r>
      <w:r w:rsidRPr="00282405">
        <w:rPr>
          <w:szCs w:val="23"/>
        </w:rPr>
        <w:t>Clinical Study Protocol that patients with significant cardiovascular conditions w</w:t>
      </w:r>
      <w:r>
        <w:rPr>
          <w:szCs w:val="23"/>
        </w:rPr>
        <w:t>ithin 6 months prior to randomis</w:t>
      </w:r>
      <w:r w:rsidRPr="00282405">
        <w:rPr>
          <w:szCs w:val="23"/>
        </w:rPr>
        <w:t>ation were excluded:</w:t>
      </w:r>
    </w:p>
    <w:p w:rsidR="00E660F2" w:rsidRPr="00963619" w:rsidRDefault="00E660F2" w:rsidP="00E660F2">
      <w:pPr>
        <w:ind w:left="720"/>
        <w:rPr>
          <w:i/>
        </w:rPr>
      </w:pPr>
      <w:r w:rsidRPr="00963619">
        <w:rPr>
          <w:i/>
        </w:rPr>
        <w:t>Severe/unstable angina, myocardial infarction, symptomatic congestive heart failure, arterial or venous thromboembolic events (e.g., pulmonary embolism, cerebrovascular accident including transient ischemic attacks), or clinically significant ventricular arrhythmias; or uncontrolled hypertension (systolic blood pressure ≥160 mmHg or diastolic BP≥100 mmHg).</w:t>
      </w:r>
    </w:p>
    <w:p w:rsidR="00E660F2" w:rsidRPr="00282405" w:rsidRDefault="00E660F2" w:rsidP="00E660F2">
      <w:r w:rsidRPr="00282405">
        <w:t xml:space="preserve">It is also noted in the </w:t>
      </w:r>
      <w:r w:rsidRPr="00282405">
        <w:rPr>
          <w:iCs/>
          <w:color w:val="000000" w:themeColor="text1"/>
        </w:rPr>
        <w:t>EU-</w:t>
      </w:r>
      <w:r w:rsidRPr="00282405">
        <w:t>RMP this area of missing information is mentioned as an important consideration for prescribers:</w:t>
      </w:r>
    </w:p>
    <w:p w:rsidR="00E660F2" w:rsidRPr="00282405" w:rsidRDefault="00E660F2" w:rsidP="00E660F2">
      <w:pPr>
        <w:ind w:left="720"/>
        <w:rPr>
          <w:i/>
        </w:rPr>
      </w:pPr>
      <w:r>
        <w:rPr>
          <w:i/>
        </w:rPr>
        <w:t>A</w:t>
      </w:r>
      <w:r w:rsidRPr="00963619">
        <w:rPr>
          <w:i/>
        </w:rPr>
        <w:t>t this time, there are no data to support the use of apalutamide in patients with clinically significant cardiovascular disease</w:t>
      </w:r>
      <w:r>
        <w:rPr>
          <w:i/>
        </w:rPr>
        <w:t>.</w:t>
      </w:r>
    </w:p>
    <w:p w:rsidR="00E660F2" w:rsidRPr="00282405" w:rsidRDefault="00E660F2" w:rsidP="00E660F2">
      <w:pPr>
        <w:rPr>
          <w:iCs/>
          <w:color w:val="000000" w:themeColor="text1"/>
        </w:rPr>
      </w:pPr>
      <w:r w:rsidRPr="00282405">
        <w:rPr>
          <w:iCs/>
          <w:color w:val="000000" w:themeColor="text1"/>
        </w:rPr>
        <w:t xml:space="preserve">It is therefore recommended to the Delegate that information to convey that </w:t>
      </w:r>
      <w:r>
        <w:rPr>
          <w:iCs/>
          <w:color w:val="000000" w:themeColor="text1"/>
        </w:rPr>
        <w:t>‘</w:t>
      </w:r>
      <w:r w:rsidRPr="00963619">
        <w:rPr>
          <w:i/>
          <w:iCs/>
          <w:color w:val="000000" w:themeColor="text1"/>
        </w:rPr>
        <w:t xml:space="preserve">there are no data to support the use of apalutamide in patients with clinically significant cardiovascular disease because </w:t>
      </w:r>
      <w:r w:rsidRPr="00963619">
        <w:rPr>
          <w:i/>
          <w:szCs w:val="23"/>
        </w:rPr>
        <w:t>patients with significant cardiovascular conditions within 6 months prior to randomization were excluded from studies</w:t>
      </w:r>
      <w:r>
        <w:rPr>
          <w:szCs w:val="23"/>
        </w:rPr>
        <w:t>’</w:t>
      </w:r>
      <w:r w:rsidRPr="00282405">
        <w:rPr>
          <w:szCs w:val="23"/>
        </w:rPr>
        <w:t xml:space="preserve"> (or words to that effect) </w:t>
      </w:r>
      <w:r w:rsidRPr="00282405">
        <w:rPr>
          <w:iCs/>
          <w:color w:val="000000" w:themeColor="text1"/>
        </w:rPr>
        <w:t xml:space="preserve">be added to the PI. </w:t>
      </w:r>
    </w:p>
    <w:p w:rsidR="00E660F2" w:rsidRPr="005C2348" w:rsidRDefault="00E660F2" w:rsidP="00E660F2">
      <w:r w:rsidRPr="00282405">
        <w:t>Noting that apalutamide has not been studied in people under 18 years of</w:t>
      </w:r>
      <w:r w:rsidRPr="00667B06">
        <w:t xml:space="preserve"> age and that children can very rarely develop prostate</w:t>
      </w:r>
      <w:r w:rsidRPr="00C212A8">
        <w:t xml:space="preserve"> cancer, it is recommended to the Delegate that the PI include mention that apalut</w:t>
      </w:r>
      <w:r>
        <w:t>a</w:t>
      </w:r>
      <w:r w:rsidRPr="00C212A8">
        <w:t xml:space="preserve">mide has not been studied in people under 18 </w:t>
      </w:r>
      <w:r w:rsidRPr="005C2348">
        <w:t>years of age.</w:t>
      </w:r>
    </w:p>
    <w:p w:rsidR="00E660F2" w:rsidRPr="005C2348" w:rsidRDefault="00E660F2" w:rsidP="00E660F2">
      <w:r w:rsidRPr="005C2348">
        <w:t xml:space="preserve">With the </w:t>
      </w:r>
      <w:r>
        <w:t>s</w:t>
      </w:r>
      <w:r w:rsidRPr="005C2348">
        <w:t xml:space="preserve">ponsor’s agreement to include </w:t>
      </w:r>
      <w:r>
        <w:t>‘</w:t>
      </w:r>
      <w:r w:rsidRPr="005C2348">
        <w:t>serious cardiovascular events</w:t>
      </w:r>
      <w:r>
        <w:t>’</w:t>
      </w:r>
      <w:r w:rsidRPr="005C2348">
        <w:t xml:space="preserve"> as an important potential risk, the </w:t>
      </w:r>
      <w:r>
        <w:t>s</w:t>
      </w:r>
      <w:r w:rsidRPr="005C2348">
        <w:t xml:space="preserve">ponsor has added words relating to ischaemic heart disease and cardiopulmonary arrest to the </w:t>
      </w:r>
      <w:r>
        <w:t>A</w:t>
      </w:r>
      <w:r w:rsidRPr="005C2348">
        <w:t xml:space="preserve">dverse </w:t>
      </w:r>
      <w:r>
        <w:t>e</w:t>
      </w:r>
      <w:r w:rsidRPr="005C2348">
        <w:t xml:space="preserve">ffects section of the PI. It is recommended to the Delegate that the heading </w:t>
      </w:r>
      <w:r>
        <w:t>‘</w:t>
      </w:r>
      <w:r w:rsidRPr="005C2348">
        <w:t>serious cardiac events</w:t>
      </w:r>
      <w:r>
        <w:t>’</w:t>
      </w:r>
      <w:r w:rsidRPr="005C2348">
        <w:t xml:space="preserve"> be added prior to this wording to distinguish it from the preceding discussion of </w:t>
      </w:r>
      <w:r>
        <w:t>‘</w:t>
      </w:r>
      <w:r w:rsidRPr="005C2348">
        <w:t>hypothyroidism</w:t>
      </w:r>
      <w:r>
        <w:t>’</w:t>
      </w:r>
      <w:r w:rsidRPr="005C2348">
        <w:t xml:space="preserve">. Given the seriousness of this identified potential risk, it is also recommended to the Delegate that this heading and information additionally be included in the </w:t>
      </w:r>
      <w:r>
        <w:t>‘</w:t>
      </w:r>
      <w:r w:rsidRPr="005C2348">
        <w:t>Special warnings and precautions for use</w:t>
      </w:r>
      <w:r>
        <w:t>’</w:t>
      </w:r>
      <w:r w:rsidRPr="005C2348">
        <w:t xml:space="preserve"> section of the PI.</w:t>
      </w:r>
    </w:p>
    <w:p w:rsidR="00E660F2" w:rsidRPr="005C2348" w:rsidRDefault="00E660F2" w:rsidP="00E660F2">
      <w:r w:rsidRPr="005C2348">
        <w:t xml:space="preserve">With the </w:t>
      </w:r>
      <w:r>
        <w:t>s</w:t>
      </w:r>
      <w:r w:rsidRPr="005C2348">
        <w:t xml:space="preserve">ponsor’s agreement to include </w:t>
      </w:r>
      <w:r>
        <w:t>‘</w:t>
      </w:r>
      <w:r w:rsidRPr="005C2348">
        <w:t>suicidal ideation</w:t>
      </w:r>
      <w:r>
        <w:t>’</w:t>
      </w:r>
      <w:r w:rsidRPr="005C2348">
        <w:t xml:space="preserve"> as an important potential risk, it is noted that the </w:t>
      </w:r>
      <w:r>
        <w:t>s</w:t>
      </w:r>
      <w:r w:rsidRPr="005C2348">
        <w:t xml:space="preserve">ponsor has not subsequently added information on suicide risk in the PI as routine risk minimisation for this risk. It is recommended to the Delegate that information on suicidal ideation be added to the PI (namely 3 events of suicidal ideation within the Psychiatric Disorders </w:t>
      </w:r>
      <w:r>
        <w:t>System Organ Class (</w:t>
      </w:r>
      <w:r w:rsidRPr="005C2348">
        <w:t>SOC</w:t>
      </w:r>
      <w:r>
        <w:t>)</w:t>
      </w:r>
      <w:r w:rsidRPr="005C2348">
        <w:t xml:space="preserve"> in the apalutamide arm compared with none in the placebo arm, with one event reported as treatment-related).</w:t>
      </w:r>
    </w:p>
    <w:p w:rsidR="00E660F2" w:rsidRDefault="00E660F2" w:rsidP="00E660F2">
      <w:r w:rsidRPr="005C2348">
        <w:t xml:space="preserve">Should these PI recommendations be accepted by the Delegate, the </w:t>
      </w:r>
      <w:r>
        <w:t>s</w:t>
      </w:r>
      <w:r w:rsidRPr="005C2348">
        <w:t xml:space="preserve">ponsor should </w:t>
      </w:r>
      <w:r>
        <w:t xml:space="preserve">be requested to </w:t>
      </w:r>
      <w:r w:rsidRPr="005C2348">
        <w:t xml:space="preserve">update the appropriate risk minimisation details in in the ASA when available. These updates to the ASA should not delay </w:t>
      </w:r>
      <w:r>
        <w:t>any</w:t>
      </w:r>
      <w:r w:rsidRPr="005C2348">
        <w:t xml:space="preserve"> decision for registration</w:t>
      </w:r>
      <w:r>
        <w:t>.</w:t>
      </w:r>
    </w:p>
    <w:p w:rsidR="00E660F2" w:rsidRPr="00792A32" w:rsidRDefault="00E660F2" w:rsidP="00E660F2">
      <w:pPr>
        <w:pStyle w:val="Heading2"/>
      </w:pPr>
      <w:bookmarkStart w:id="189" w:name="_Toc523915076"/>
      <w:bookmarkStart w:id="190" w:name="_Toc5014076"/>
      <w:r>
        <w:lastRenderedPageBreak/>
        <w:t xml:space="preserve">VII.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24"/>
      <w:bookmarkEnd w:id="183"/>
      <w:bookmarkEnd w:id="184"/>
      <w:bookmarkEnd w:id="189"/>
      <w:bookmarkEnd w:id="190"/>
    </w:p>
    <w:p w:rsidR="00E660F2" w:rsidRDefault="00E660F2" w:rsidP="00E660F2">
      <w:bookmarkStart w:id="191" w:name="_Toc247691528"/>
      <w:r>
        <w:t xml:space="preserve">The submission was summarised in the following </w:t>
      </w:r>
      <w:r w:rsidRPr="00EF5C48">
        <w:t xml:space="preserve">Delegate’s </w:t>
      </w:r>
      <w:r>
        <w:t>overview</w:t>
      </w:r>
      <w:r w:rsidRPr="00EF5C48">
        <w:t xml:space="preserve"> and recommendation</w:t>
      </w:r>
      <w:r>
        <w:t>s.</w:t>
      </w:r>
    </w:p>
    <w:p w:rsidR="00E660F2" w:rsidRDefault="00E660F2" w:rsidP="00E660F2">
      <w:pPr>
        <w:pStyle w:val="Heading3"/>
      </w:pPr>
      <w:bookmarkStart w:id="192" w:name="_Toc314842511"/>
      <w:bookmarkStart w:id="193" w:name="_Toc523915077"/>
      <w:bookmarkStart w:id="194" w:name="_Toc5014077"/>
      <w:r>
        <w:t>Quality</w:t>
      </w:r>
      <w:bookmarkEnd w:id="191"/>
      <w:bookmarkEnd w:id="192"/>
      <w:bookmarkEnd w:id="193"/>
      <w:bookmarkEnd w:id="194"/>
    </w:p>
    <w:p w:rsidR="00E660F2" w:rsidRDefault="00E660F2" w:rsidP="00E660F2">
      <w:r>
        <w:t>Approval wa</w:t>
      </w:r>
      <w:r w:rsidRPr="00467F49">
        <w:t xml:space="preserve">s </w:t>
      </w:r>
      <w:sdt>
        <w:sdtPr>
          <w:alias w:val="Approval"/>
          <w:tag w:val="Approval"/>
          <w:id w:val="-1603799774"/>
          <w:dropDownList>
            <w:listItem w:displayText="recommended" w:value="recommended"/>
            <w:listItem w:displayText="not recommended " w:value="not recommended "/>
            <w:listItem w:displayText="Choose an item" w:value="Choose an item"/>
          </w:dropDownList>
        </w:sdtPr>
        <w:sdtContent>
          <w:r>
            <w:t>recommended</w:t>
          </w:r>
        </w:sdtContent>
      </w:sdt>
      <w:r w:rsidRPr="00467F49">
        <w:t xml:space="preserve"> for registration </w:t>
      </w:r>
      <w:r>
        <w:t>of the proposed product</w:t>
      </w:r>
      <w:r>
        <w:rPr>
          <w:b/>
        </w:rPr>
        <w:t xml:space="preserve"> </w:t>
      </w:r>
      <w:r>
        <w:t>from a pharmaceutical chemistry perspective.</w:t>
      </w:r>
    </w:p>
    <w:p w:rsidR="00E660F2" w:rsidRDefault="00E660F2" w:rsidP="00E660F2">
      <w:pPr>
        <w:pStyle w:val="Heading3"/>
      </w:pPr>
      <w:bookmarkStart w:id="195" w:name="_Toc314842512"/>
      <w:bookmarkStart w:id="196" w:name="_Toc523915078"/>
      <w:bookmarkStart w:id="197" w:name="_Toc5014078"/>
      <w:r>
        <w:t>Nonclinical</w:t>
      </w:r>
      <w:bookmarkEnd w:id="195"/>
      <w:bookmarkEnd w:id="196"/>
      <w:bookmarkEnd w:id="197"/>
    </w:p>
    <w:p w:rsidR="00E660F2" w:rsidRPr="00593559" w:rsidRDefault="00E660F2" w:rsidP="00E660F2">
      <w:pPr>
        <w:rPr>
          <w:snapToGrid w:val="0"/>
        </w:rPr>
      </w:pPr>
      <w:r>
        <w:rPr>
          <w:snapToGrid w:val="0"/>
        </w:rPr>
        <w:t>The nonclinical evaluator came to the following conclusions:</w:t>
      </w:r>
    </w:p>
    <w:p w:rsidR="00E660F2" w:rsidRPr="00963619" w:rsidRDefault="00E660F2" w:rsidP="00E660F2">
      <w:pPr>
        <w:pStyle w:val="ListBullet"/>
        <w:numPr>
          <w:ilvl w:val="0"/>
          <w:numId w:val="1"/>
        </w:numPr>
      </w:pPr>
      <w:r w:rsidRPr="00963619">
        <w:t>The pharmacology studies support the proposed indication.</w:t>
      </w:r>
    </w:p>
    <w:p w:rsidR="00E660F2" w:rsidRPr="00963619" w:rsidRDefault="00E660F2" w:rsidP="00E660F2">
      <w:pPr>
        <w:pStyle w:val="ListBullet"/>
        <w:numPr>
          <w:ilvl w:val="0"/>
          <w:numId w:val="1"/>
        </w:numPr>
      </w:pPr>
      <w:r w:rsidRPr="00963619">
        <w:t xml:space="preserve">Apalutamide and M3 inhibited the </w:t>
      </w:r>
      <w:r>
        <w:t>potassium (</w:t>
      </w:r>
      <w:r w:rsidRPr="00963619">
        <w:t>hERG K+</w:t>
      </w:r>
      <w:r>
        <w:t>)</w:t>
      </w:r>
      <w:r w:rsidRPr="00963619">
        <w:t xml:space="preserve"> tail current with IC</w:t>
      </w:r>
      <w:r w:rsidRPr="00963619">
        <w:rPr>
          <w:vertAlign w:val="subscript"/>
        </w:rPr>
        <w:t>50</w:t>
      </w:r>
      <w:r w:rsidRPr="00963619">
        <w:t xml:space="preserve"> values corresponding to 13 and 8 times the clinical steady state unbound C</w:t>
      </w:r>
      <w:r w:rsidRPr="00963619">
        <w:rPr>
          <w:vertAlign w:val="subscript"/>
        </w:rPr>
        <w:t>max</w:t>
      </w:r>
      <w:r w:rsidRPr="00963619">
        <w:t xml:space="preserve"> , respectively, but no ECG abnormalities were seen in pivotal toxicity studies in dogs up to 10</w:t>
      </w:r>
      <w:r>
        <w:t> </w:t>
      </w:r>
      <w:r w:rsidRPr="00963619">
        <w:t>mg/kg/day (C</w:t>
      </w:r>
      <w:r w:rsidRPr="00963619">
        <w:rPr>
          <w:vertAlign w:val="subscript"/>
        </w:rPr>
        <w:t>max</w:t>
      </w:r>
      <w:r w:rsidRPr="00963619">
        <w:t xml:space="preserve"> approximately 3.5 and approximately 1.5 times the clinical steady state C</w:t>
      </w:r>
      <w:r w:rsidRPr="00963619">
        <w:rPr>
          <w:vertAlign w:val="subscript"/>
        </w:rPr>
        <w:t>max</w:t>
      </w:r>
      <w:r w:rsidRPr="00963619">
        <w:t>, respectively). However, QT prolongation in patients taking apalutamide cannot be excluded.</w:t>
      </w:r>
    </w:p>
    <w:p w:rsidR="00E660F2" w:rsidRPr="00963619" w:rsidRDefault="00E660F2" w:rsidP="00E660F2">
      <w:pPr>
        <w:pStyle w:val="ListBullet"/>
        <w:numPr>
          <w:ilvl w:val="0"/>
          <w:numId w:val="1"/>
        </w:numPr>
      </w:pPr>
      <w:r w:rsidRPr="00963619" w:rsidDel="000A1B9D">
        <w:t xml:space="preserve">The in vitro and in vivo nonclinical data indicate a high risk of </w:t>
      </w:r>
      <w:r w:rsidRPr="00963619">
        <w:t>seizures/</w:t>
      </w:r>
      <w:r w:rsidRPr="00963619" w:rsidDel="000A1B9D">
        <w:t>convulsions in patients</w:t>
      </w:r>
      <w:r w:rsidRPr="00963619">
        <w:t>. Consideration should also be given to patients that may be currently taking GABA acting compounds and the potential risk for seizures in the event of withdrawal of these compounds.</w:t>
      </w:r>
    </w:p>
    <w:p w:rsidR="00E660F2" w:rsidRPr="00963619" w:rsidRDefault="00E660F2" w:rsidP="00E660F2">
      <w:pPr>
        <w:pStyle w:val="ListBullet"/>
        <w:numPr>
          <w:ilvl w:val="0"/>
          <w:numId w:val="1"/>
        </w:numPr>
      </w:pPr>
      <w:r w:rsidRPr="00963619">
        <w:t>In vitro studies indicate that a large number of potential pharmacokinetic drug interactions are possible.</w:t>
      </w:r>
    </w:p>
    <w:p w:rsidR="00E660F2" w:rsidRPr="00963619" w:rsidRDefault="00E660F2" w:rsidP="00E660F2">
      <w:pPr>
        <w:pStyle w:val="ListBullet"/>
        <w:numPr>
          <w:ilvl w:val="0"/>
          <w:numId w:val="1"/>
        </w:numPr>
      </w:pPr>
      <w:r w:rsidRPr="00963619">
        <w:t>Nonclinical findings related to the pharmacological action of apalutamide suggest male fertility may be impaired in patients. However, this may not be clinically relevant to the patient population.</w:t>
      </w:r>
    </w:p>
    <w:p w:rsidR="00E660F2" w:rsidRPr="003B327E" w:rsidRDefault="00E660F2" w:rsidP="00E660F2">
      <w:pPr>
        <w:pStyle w:val="ListBullet"/>
        <w:numPr>
          <w:ilvl w:val="0"/>
          <w:numId w:val="1"/>
        </w:numPr>
        <w:rPr>
          <w:snapToGrid w:val="0"/>
        </w:rPr>
      </w:pPr>
      <w:r w:rsidRPr="00963619">
        <w:t>Provided the above effects are adequately monitored or managed during clinical use and that the benefit/risk profile is acceptable from a clinical perspective there are no nonclinical objections to the registration of apalutamide</w:t>
      </w:r>
      <w:r w:rsidRPr="003B327E">
        <w:rPr>
          <w:snapToGrid w:val="0"/>
        </w:rPr>
        <w:t xml:space="preserve"> for the proposed indication.</w:t>
      </w:r>
    </w:p>
    <w:p w:rsidR="00E660F2" w:rsidRPr="008B46A5" w:rsidRDefault="00E660F2" w:rsidP="00E660F2">
      <w:pPr>
        <w:rPr>
          <w:snapToGrid w:val="0"/>
        </w:rPr>
      </w:pPr>
      <w:r>
        <w:rPr>
          <w:snapToGrid w:val="0"/>
        </w:rPr>
        <w:t>An outstanding minor amendment to the PI text proposed by the nonclinical evaluator (regarding CAR receptors) has been superseded by Delegate proposed PI changes removing the reference to putative mechanisms of UGT induction (not key to risk mitigation) and focussing the relevant text on the possibility of interactions and the recommended risk reduction actions.</w:t>
      </w:r>
    </w:p>
    <w:p w:rsidR="00E660F2" w:rsidRDefault="00E660F2" w:rsidP="00E660F2">
      <w:pPr>
        <w:pStyle w:val="Heading3"/>
      </w:pPr>
      <w:bookmarkStart w:id="198" w:name="_Toc247691530"/>
      <w:bookmarkStart w:id="199" w:name="_Toc314842513"/>
      <w:bookmarkStart w:id="200" w:name="_Toc523915079"/>
      <w:bookmarkStart w:id="201" w:name="_Toc5014079"/>
      <w:r>
        <w:t>Clinical</w:t>
      </w:r>
      <w:bookmarkEnd w:id="198"/>
      <w:bookmarkEnd w:id="199"/>
      <w:bookmarkEnd w:id="200"/>
      <w:bookmarkEnd w:id="201"/>
    </w:p>
    <w:p w:rsidR="00E660F2" w:rsidRDefault="00E660F2" w:rsidP="00E660F2">
      <w:r w:rsidRPr="00165FCB">
        <w:t xml:space="preserve">There have been 4 </w:t>
      </w:r>
      <w:r>
        <w:t>previous large randomis</w:t>
      </w:r>
      <w:r w:rsidRPr="00165FCB">
        <w:t xml:space="preserve">ed control trials completed in </w:t>
      </w:r>
      <w:r>
        <w:t>NM-CRPC.</w:t>
      </w:r>
    </w:p>
    <w:p w:rsidR="00E660F2" w:rsidRDefault="00E660F2" w:rsidP="00E660F2">
      <w:pPr>
        <w:rPr>
          <w:rFonts w:cstheme="minorHAnsi"/>
        </w:rPr>
      </w:pPr>
      <w:r>
        <w:t>Atrasentan, z</w:t>
      </w:r>
      <w:r w:rsidRPr="00165FCB">
        <w:t>ibotentan</w:t>
      </w:r>
      <w:r>
        <w:t xml:space="preserve"> and zoledronic acid did not show any significant benefit on bone metastasis free survival (BMFS) versus placebo. </w:t>
      </w:r>
      <w:r>
        <w:rPr>
          <w:rFonts w:cstheme="minorHAnsi"/>
        </w:rPr>
        <w:t>Denos</w:t>
      </w:r>
      <w:r w:rsidRPr="0086558D">
        <w:rPr>
          <w:rFonts w:cstheme="minorHAnsi"/>
        </w:rPr>
        <w:t>umab showed a 4</w:t>
      </w:r>
      <w:r>
        <w:rPr>
          <w:rFonts w:cstheme="minorHAnsi"/>
        </w:rPr>
        <w:t xml:space="preserve"> </w:t>
      </w:r>
      <w:r w:rsidRPr="0086558D">
        <w:rPr>
          <w:rFonts w:cstheme="minorHAnsi"/>
        </w:rPr>
        <w:t xml:space="preserve">month benefit on </w:t>
      </w:r>
      <w:r>
        <w:rPr>
          <w:rFonts w:cstheme="minorHAnsi"/>
        </w:rPr>
        <w:t>B</w:t>
      </w:r>
      <w:r w:rsidRPr="0086558D">
        <w:rPr>
          <w:rFonts w:cstheme="minorHAnsi"/>
        </w:rPr>
        <w:t>MFS over placebo but did not improve OS and 5% of patients developed osteonecrosis</w:t>
      </w:r>
      <w:r>
        <w:rPr>
          <w:rFonts w:cstheme="minorHAnsi"/>
        </w:rPr>
        <w:t>. The FDA did not approve the application.</w:t>
      </w:r>
    </w:p>
    <w:p w:rsidR="00E660F2" w:rsidRDefault="00E660F2" w:rsidP="00E660F2">
      <w:r>
        <w:t>Besides the SPARTAN trail (apalutamide), there are 2 other on-going randomised controlled trials (RCTs)</w:t>
      </w:r>
      <w:r w:rsidRPr="00046554">
        <w:t xml:space="preserve"> in </w:t>
      </w:r>
      <w:r>
        <w:t>NM-</w:t>
      </w:r>
      <w:r w:rsidRPr="00046554">
        <w:t>CRPC:</w:t>
      </w:r>
    </w:p>
    <w:p w:rsidR="00E660F2" w:rsidRPr="006B779F" w:rsidRDefault="00E660F2" w:rsidP="00E660F2">
      <w:pPr>
        <w:pStyle w:val="ListBullet"/>
        <w:numPr>
          <w:ilvl w:val="0"/>
          <w:numId w:val="1"/>
        </w:numPr>
      </w:pPr>
      <w:r w:rsidRPr="006B779F">
        <w:lastRenderedPageBreak/>
        <w:t>PROSPER</w:t>
      </w:r>
      <w:r>
        <w:t xml:space="preserve"> trial</w:t>
      </w:r>
      <w:r w:rsidRPr="006B779F">
        <w:t xml:space="preserve"> (enzalutamide)</w:t>
      </w:r>
      <w:r>
        <w:t>;</w:t>
      </w:r>
      <w:r>
        <w:rPr>
          <w:rStyle w:val="FootnoteReference"/>
        </w:rPr>
        <w:footnoteReference w:id="32"/>
      </w:r>
    </w:p>
    <w:p w:rsidR="00E660F2" w:rsidRPr="006B779F" w:rsidRDefault="00E660F2" w:rsidP="00E660F2">
      <w:pPr>
        <w:pStyle w:val="ListBullet"/>
        <w:numPr>
          <w:ilvl w:val="0"/>
          <w:numId w:val="1"/>
        </w:numPr>
      </w:pPr>
      <w:r w:rsidRPr="006B779F">
        <w:t>ARAMIS</w:t>
      </w:r>
      <w:r>
        <w:t xml:space="preserve"> trial</w:t>
      </w:r>
      <w:r w:rsidRPr="006B779F">
        <w:t xml:space="preserve"> (darolutamide)</w:t>
      </w:r>
    </w:p>
    <w:p w:rsidR="00E660F2" w:rsidRPr="00A206DF" w:rsidRDefault="00E660F2" w:rsidP="00E660F2">
      <w:pPr>
        <w:rPr>
          <w:rFonts w:cstheme="minorHAnsi"/>
          <w:szCs w:val="18"/>
        </w:rPr>
      </w:pPr>
      <w:r>
        <w:rPr>
          <w:rFonts w:cstheme="minorHAnsi"/>
        </w:rPr>
        <w:t xml:space="preserve">The SPARTAN trial is the first trial to report results. </w:t>
      </w:r>
      <w:r w:rsidRPr="00C005F3">
        <w:t xml:space="preserve">All </w:t>
      </w:r>
      <w:r>
        <w:t xml:space="preserve">3 RCTs </w:t>
      </w:r>
      <w:r w:rsidRPr="00C005F3">
        <w:t xml:space="preserve">have MFS as the primary endpoint and include the secondary endpoints of </w:t>
      </w:r>
      <w:r>
        <w:t xml:space="preserve">PFS, </w:t>
      </w:r>
      <w:r w:rsidRPr="00C005F3">
        <w:t>OS, symptomatic progression and time to initiation of cytotoxic</w:t>
      </w:r>
      <w:r>
        <w:t xml:space="preserve"> c</w:t>
      </w:r>
      <w:r w:rsidRPr="00C005F3">
        <w:t>hemotherapy</w:t>
      </w:r>
      <w:r>
        <w:t>.</w:t>
      </w:r>
    </w:p>
    <w:p w:rsidR="00E660F2" w:rsidRDefault="00E660F2" w:rsidP="00E660F2">
      <w:r>
        <w:t>The difference between PFS and MFS is that PFS includes loco-regional disease progression as events in addition to distant disease progression. As it turned out, in the SPARTAN trial, loco-regional-only-progression, as per BICR review, occurred in only 2% of patients in both arms. Consequently, the MFS and PFS results were similar.</w:t>
      </w:r>
    </w:p>
    <w:p w:rsidR="00E660F2" w:rsidRDefault="00E660F2" w:rsidP="00E660F2">
      <w:r>
        <w:t>The FDA’s Oncology Drugs Advisory Committee (ODAC) has twice discussed regulatory endpoints in the setting of NM-CRPC (2011 and 2012). One was a non-product meeting and the other was in the context of the application for densoumab, which showed a modest benefit on BMFS, with no demonstrated effects on OS or PFS. Other issues discussed were toxicity (osteonecrosis of the jaw) and the fact that denosumab was approved in a later-line of therapy with some question as to the added benefit of administering it earlier in the disease process.</w:t>
      </w:r>
    </w:p>
    <w:p w:rsidR="00E660F2" w:rsidRDefault="00E660F2" w:rsidP="00E660F2">
      <w:pPr>
        <w:rPr>
          <w:lang w:val="en-CA"/>
        </w:rPr>
      </w:pPr>
      <w:r>
        <w:t>The benefit of apalutamide over placebo for MFS is about 24 months. The results for PFS are similar. The OS data are immature; the s</w:t>
      </w:r>
      <w:r w:rsidRPr="00845488">
        <w:t xml:space="preserve">tudy </w:t>
      </w:r>
      <w:r>
        <w:t xml:space="preserve">is planned </w:t>
      </w:r>
      <w:r w:rsidRPr="00845488">
        <w:t xml:space="preserve">to be concluded in December 2022 with </w:t>
      </w:r>
      <w:r>
        <w:t>the</w:t>
      </w:r>
      <w:r w:rsidRPr="00845488">
        <w:t xml:space="preserve"> final clinical study report available by June 2023</w:t>
      </w:r>
      <w:r>
        <w:t>. The currently available OS data are reassuring for safety in that the point estimate favours apalutamide.</w:t>
      </w:r>
    </w:p>
    <w:p w:rsidR="00E660F2" w:rsidRPr="008907C2" w:rsidRDefault="00E660F2" w:rsidP="00E660F2">
      <w:pPr>
        <w:pStyle w:val="Heading4"/>
      </w:pPr>
      <w:r w:rsidRPr="009B14CE">
        <w:t>Pharmacokinetics</w:t>
      </w:r>
      <w:r>
        <w:t>/ pharmacology</w:t>
      </w:r>
      <w:r w:rsidRPr="009B14CE">
        <w:t xml:space="preserve"> </w:t>
      </w:r>
    </w:p>
    <w:p w:rsidR="00E660F2" w:rsidRDefault="00E660F2" w:rsidP="00E660F2">
      <w:pPr>
        <w:rPr>
          <w:lang w:val="en-CA"/>
        </w:rPr>
      </w:pPr>
      <w:r w:rsidRPr="00D9572B">
        <w:rPr>
          <w:lang w:val="en-CA"/>
        </w:rPr>
        <w:t>Overall, no major concerns were identified during the review of the clinical pharmacology program that would preclude authorisation.</w:t>
      </w:r>
    </w:p>
    <w:p w:rsidR="00E660F2" w:rsidRPr="009B14CE" w:rsidRDefault="00E660F2" w:rsidP="00E660F2">
      <w:pPr>
        <w:pStyle w:val="Heading4"/>
      </w:pPr>
      <w:r w:rsidRPr="009B14CE">
        <w:t>Pivotal efficacy study</w:t>
      </w:r>
    </w:p>
    <w:p w:rsidR="00E660F2" w:rsidRDefault="00E660F2" w:rsidP="00E660F2">
      <w:r>
        <w:t>The pivotal efficacy study was the SPARTAN trial (Selective Prostate Androgen Receptor Targeting with ARN-509; Study ARN 509-003) which has been published.</w:t>
      </w:r>
      <w:r>
        <w:rPr>
          <w:rStyle w:val="FootnoteReference"/>
        </w:rPr>
        <w:footnoteReference w:id="33"/>
      </w:r>
    </w:p>
    <w:p w:rsidR="00E660F2" w:rsidRPr="000A0DA5" w:rsidRDefault="00E660F2" w:rsidP="00E660F2">
      <w:pPr>
        <w:pStyle w:val="Heading5"/>
      </w:pPr>
      <w:r>
        <w:t>Design</w:t>
      </w:r>
    </w:p>
    <w:p w:rsidR="00E660F2" w:rsidRPr="00154628" w:rsidRDefault="00E660F2" w:rsidP="00E660F2">
      <w:pPr>
        <w:pStyle w:val="ListBullet"/>
        <w:numPr>
          <w:ilvl w:val="0"/>
          <w:numId w:val="1"/>
        </w:numPr>
      </w:pPr>
      <w:r w:rsidRPr="00154628">
        <w:t>332 sites in 26 countries: Europe 50%, US 30%, Asia 11%, Canada 5%, Australia 4%.</w:t>
      </w:r>
    </w:p>
    <w:p w:rsidR="00E660F2" w:rsidRPr="00154628" w:rsidRDefault="00E660F2" w:rsidP="00E660F2">
      <w:pPr>
        <w:pStyle w:val="ListBullet"/>
        <w:numPr>
          <w:ilvl w:val="0"/>
          <w:numId w:val="1"/>
        </w:numPr>
      </w:pPr>
      <w:r w:rsidRPr="00154628">
        <w:t>Randomisation was 2:1</w:t>
      </w:r>
    </w:p>
    <w:p w:rsidR="00E660F2" w:rsidRPr="00154628" w:rsidRDefault="00E660F2" w:rsidP="00E660F2">
      <w:pPr>
        <w:pStyle w:val="ListBullet"/>
        <w:numPr>
          <w:ilvl w:val="0"/>
          <w:numId w:val="1"/>
        </w:numPr>
      </w:pPr>
      <w:r w:rsidRPr="00154628">
        <w:t>Recruitment: Between</w:t>
      </w:r>
      <w:r>
        <w:t xml:space="preserve"> 14</w:t>
      </w:r>
      <w:r w:rsidRPr="00154628">
        <w:t xml:space="preserve"> October 2013 and </w:t>
      </w:r>
      <w:r>
        <w:t xml:space="preserve">15 </w:t>
      </w:r>
      <w:r w:rsidRPr="00154628">
        <w:t>December 2016</w:t>
      </w:r>
    </w:p>
    <w:p w:rsidR="00E660F2" w:rsidRDefault="00E660F2" w:rsidP="00E660F2">
      <w:pPr>
        <w:pStyle w:val="ListBullet"/>
        <w:numPr>
          <w:ilvl w:val="0"/>
          <w:numId w:val="1"/>
        </w:numPr>
      </w:pPr>
      <w:r w:rsidRPr="00154628">
        <w:t>The clinical cut-off</w:t>
      </w:r>
      <w:r>
        <w:t xml:space="preserve"> date for the primary analysis was 19 May 2017.</w:t>
      </w:r>
    </w:p>
    <w:p w:rsidR="00E660F2" w:rsidRDefault="00E660F2" w:rsidP="00E660F2">
      <w:pPr>
        <w:pStyle w:val="ListBullet"/>
        <w:numPr>
          <w:ilvl w:val="0"/>
          <w:numId w:val="0"/>
        </w:numPr>
      </w:pPr>
      <w:r>
        <w:t>Table 15 summarises the study design.</w:t>
      </w:r>
    </w:p>
    <w:p w:rsidR="00E660F2" w:rsidRDefault="00E660F2" w:rsidP="00E660F2">
      <w:pPr>
        <w:pStyle w:val="TableTitle"/>
      </w:pPr>
      <w:r>
        <w:t>Table 15: Study ARN 509-003/SPARTAN trial design</w:t>
      </w:r>
    </w:p>
    <w:tbl>
      <w:tblPr>
        <w:tblStyle w:val="TableGrid"/>
        <w:tblW w:w="9039" w:type="dxa"/>
        <w:tblLook w:val="04A0" w:firstRow="1" w:lastRow="0" w:firstColumn="1" w:lastColumn="0" w:noHBand="0" w:noVBand="1"/>
      </w:tblPr>
      <w:tblGrid>
        <w:gridCol w:w="1440"/>
        <w:gridCol w:w="7599"/>
      </w:tblGrid>
      <w:tr w:rsidR="00E660F2" w:rsidTr="008F0588">
        <w:tc>
          <w:tcPr>
            <w:tcW w:w="1440" w:type="dxa"/>
            <w:shd w:val="clear" w:color="auto" w:fill="0070C0"/>
          </w:tcPr>
          <w:p w:rsidR="00E660F2" w:rsidRPr="00154628" w:rsidRDefault="00E660F2" w:rsidP="008F0588">
            <w:pPr>
              <w:rPr>
                <w:b/>
                <w:color w:val="FFFFFF" w:themeColor="background1"/>
              </w:rPr>
            </w:pPr>
            <w:r w:rsidRPr="00154628">
              <w:rPr>
                <w:b/>
                <w:color w:val="FFFFFF" w:themeColor="background1"/>
              </w:rPr>
              <w:t>Patients</w:t>
            </w:r>
          </w:p>
        </w:tc>
        <w:tc>
          <w:tcPr>
            <w:tcW w:w="7599" w:type="dxa"/>
          </w:tcPr>
          <w:p w:rsidR="00E660F2" w:rsidRDefault="00E660F2" w:rsidP="008F0588">
            <w:r>
              <w:t>Apalutamide: n=806</w:t>
            </w:r>
          </w:p>
          <w:p w:rsidR="00E660F2" w:rsidRDefault="00E660F2" w:rsidP="008F0588">
            <w:r>
              <w:t>Placebo: n=401</w:t>
            </w:r>
          </w:p>
          <w:p w:rsidR="00E660F2" w:rsidRPr="00AE5CBC" w:rsidRDefault="00E660F2" w:rsidP="008F0588">
            <w:pPr>
              <w:rPr>
                <w:i/>
              </w:rPr>
            </w:pPr>
            <w:r w:rsidRPr="00AE5CBC">
              <w:rPr>
                <w:i/>
              </w:rPr>
              <w:t>Inclusion criteria</w:t>
            </w:r>
          </w:p>
          <w:p w:rsidR="00E660F2" w:rsidRDefault="00E660F2" w:rsidP="008F0588">
            <w:r>
              <w:t>Adenocarcinoma of the prostate (high-risk, non-metastatic castrate resistant; defined below)</w:t>
            </w:r>
          </w:p>
          <w:p w:rsidR="00E660F2" w:rsidRDefault="00E660F2" w:rsidP="00E660F2">
            <w:pPr>
              <w:pStyle w:val="ListBullet"/>
              <w:numPr>
                <w:ilvl w:val="0"/>
                <w:numId w:val="1"/>
              </w:numPr>
            </w:pPr>
            <w:r>
              <w:lastRenderedPageBreak/>
              <w:t>PSA doubling time (PSADT) of 10 months or less during continuous androgen-deprivation therapy (bilateral orchiectomy or GnRH agonists or antagonists)</w:t>
            </w:r>
          </w:p>
          <w:p w:rsidR="00E660F2" w:rsidRPr="002630B0" w:rsidRDefault="00E660F2" w:rsidP="00E660F2">
            <w:pPr>
              <w:pStyle w:val="ListBullet"/>
              <w:numPr>
                <w:ilvl w:val="0"/>
                <w:numId w:val="1"/>
              </w:numPr>
              <w:rPr>
                <w:u w:val="single"/>
              </w:rPr>
            </w:pPr>
            <w:r>
              <w:t>Castrate level of testosterone (&lt; 50 ng/dL)</w:t>
            </w:r>
          </w:p>
          <w:p w:rsidR="00E660F2" w:rsidRPr="00E123F1" w:rsidRDefault="00E660F2" w:rsidP="00E660F2">
            <w:pPr>
              <w:pStyle w:val="ListBullet"/>
              <w:numPr>
                <w:ilvl w:val="0"/>
                <w:numId w:val="1"/>
              </w:numPr>
              <w:rPr>
                <w:u w:val="single"/>
              </w:rPr>
            </w:pPr>
            <w:r>
              <w:t xml:space="preserve">Non-metastatic disease confirmed by blinded central review </w:t>
            </w:r>
          </w:p>
          <w:p w:rsidR="00E660F2" w:rsidRPr="00AE5CBC" w:rsidRDefault="00E660F2" w:rsidP="008F0588">
            <w:pPr>
              <w:rPr>
                <w:i/>
              </w:rPr>
            </w:pPr>
            <w:r w:rsidRPr="00AE5CBC">
              <w:rPr>
                <w:i/>
              </w:rPr>
              <w:t>Exclusions</w:t>
            </w:r>
          </w:p>
          <w:p w:rsidR="00E660F2" w:rsidRDefault="00E660F2" w:rsidP="00E660F2">
            <w:pPr>
              <w:pStyle w:val="ListBullet"/>
              <w:numPr>
                <w:ilvl w:val="0"/>
                <w:numId w:val="1"/>
              </w:numPr>
            </w:pPr>
            <w:r>
              <w:t>Presence of distant metastasis (pelvic LNs &lt; 2 cm were allowed)</w:t>
            </w:r>
          </w:p>
          <w:p w:rsidR="00E660F2" w:rsidRDefault="00E660F2" w:rsidP="00E660F2">
            <w:pPr>
              <w:pStyle w:val="ListBullet"/>
              <w:numPr>
                <w:ilvl w:val="0"/>
                <w:numId w:val="1"/>
              </w:numPr>
            </w:pPr>
            <w:r>
              <w:t>Symptomatic locoregional disease</w:t>
            </w:r>
          </w:p>
          <w:p w:rsidR="00E660F2" w:rsidRDefault="00E660F2" w:rsidP="00E660F2">
            <w:pPr>
              <w:pStyle w:val="ListBullet"/>
              <w:numPr>
                <w:ilvl w:val="0"/>
                <w:numId w:val="1"/>
              </w:numPr>
            </w:pPr>
            <w:r>
              <w:t>ECOG: 2+</w:t>
            </w:r>
          </w:p>
          <w:p w:rsidR="00E660F2" w:rsidRDefault="00E660F2" w:rsidP="00E660F2">
            <w:pPr>
              <w:pStyle w:val="ListBullet"/>
              <w:numPr>
                <w:ilvl w:val="0"/>
                <w:numId w:val="1"/>
              </w:numPr>
            </w:pPr>
            <w:r>
              <w:t>Patients with a history of seizure or conditions that may predispose to seizure, including prior stroke within one year of randomisation, brain arteriovenous malformation, other benign CNS or meningeal diseases, and ongoing use of medications known to lower the seizure threshold or induce seizure.</w:t>
            </w:r>
          </w:p>
          <w:p w:rsidR="00E660F2" w:rsidRDefault="00E660F2" w:rsidP="00E660F2">
            <w:pPr>
              <w:pStyle w:val="ListBullet"/>
              <w:numPr>
                <w:ilvl w:val="0"/>
                <w:numId w:val="1"/>
              </w:numPr>
            </w:pPr>
            <w:r>
              <w:t>Patients with clinically significant cardiovascular disease, including those with myocardial infarction or severe/unstable angina within six months of randomisation, uncontrolled HT.</w:t>
            </w:r>
          </w:p>
          <w:p w:rsidR="00E660F2" w:rsidRDefault="00E660F2" w:rsidP="00E660F2">
            <w:pPr>
              <w:pStyle w:val="ListBullet"/>
              <w:numPr>
                <w:ilvl w:val="0"/>
                <w:numId w:val="1"/>
              </w:numPr>
            </w:pPr>
            <w:r>
              <w:t>Patients receiving bone-targeted agents (for example, zolendronate or denosumab) for prevention of skeletal-related events were excluded, although patients receiving these medications at the dose and schedule indicated for bone loss prevention in the setting of osteoporosis were included.</w:t>
            </w:r>
          </w:p>
        </w:tc>
      </w:tr>
      <w:tr w:rsidR="00E660F2" w:rsidTr="008F0588">
        <w:tc>
          <w:tcPr>
            <w:tcW w:w="1440" w:type="dxa"/>
            <w:shd w:val="clear" w:color="auto" w:fill="0070C0"/>
          </w:tcPr>
          <w:p w:rsidR="00E660F2" w:rsidRPr="00154628" w:rsidRDefault="00E660F2" w:rsidP="008F0588">
            <w:pPr>
              <w:rPr>
                <w:b/>
                <w:color w:val="FFFFFF" w:themeColor="background1"/>
              </w:rPr>
            </w:pPr>
            <w:r w:rsidRPr="00154628">
              <w:rPr>
                <w:b/>
                <w:color w:val="FFFFFF" w:themeColor="background1"/>
              </w:rPr>
              <w:lastRenderedPageBreak/>
              <w:t>Intervention</w:t>
            </w:r>
          </w:p>
        </w:tc>
        <w:tc>
          <w:tcPr>
            <w:tcW w:w="7599" w:type="dxa"/>
          </w:tcPr>
          <w:p w:rsidR="00E660F2" w:rsidRDefault="00E660F2" w:rsidP="008F0588">
            <w:r>
              <w:t>Apalutamide: 240 mg per day</w:t>
            </w:r>
          </w:p>
          <w:p w:rsidR="00E660F2" w:rsidRDefault="00E660F2" w:rsidP="008F0588">
            <w:r>
              <w:t xml:space="preserve">The dose could be reduced to 180 mg and then to 120 mg in patients with adverse events; no dose re-escalation was allowed. </w:t>
            </w:r>
            <w:r w:rsidRPr="007546FC">
              <w:t>Dose interruptions of &gt; 28 days due to TEAE were allowed.</w:t>
            </w:r>
          </w:p>
          <w:p w:rsidR="00E660F2" w:rsidRDefault="00E660F2" w:rsidP="008F0588">
            <w:r>
              <w:t>(GnRHa was continued)</w:t>
            </w:r>
          </w:p>
        </w:tc>
      </w:tr>
      <w:tr w:rsidR="00E660F2" w:rsidTr="008F0588">
        <w:tc>
          <w:tcPr>
            <w:tcW w:w="1440" w:type="dxa"/>
            <w:shd w:val="clear" w:color="auto" w:fill="0070C0"/>
          </w:tcPr>
          <w:p w:rsidR="00E660F2" w:rsidRPr="00154628" w:rsidRDefault="00E660F2" w:rsidP="008F0588">
            <w:pPr>
              <w:rPr>
                <w:b/>
                <w:color w:val="FFFFFF" w:themeColor="background1"/>
              </w:rPr>
            </w:pPr>
            <w:r w:rsidRPr="00154628">
              <w:rPr>
                <w:b/>
                <w:color w:val="FFFFFF" w:themeColor="background1"/>
              </w:rPr>
              <w:t>Control</w:t>
            </w:r>
          </w:p>
        </w:tc>
        <w:tc>
          <w:tcPr>
            <w:tcW w:w="7599" w:type="dxa"/>
          </w:tcPr>
          <w:p w:rsidR="00E660F2" w:rsidRDefault="00E660F2" w:rsidP="008F0588">
            <w:r>
              <w:t>Placebo (GnRH agonist was continued)</w:t>
            </w:r>
          </w:p>
        </w:tc>
      </w:tr>
      <w:tr w:rsidR="00E660F2" w:rsidTr="008F0588">
        <w:tc>
          <w:tcPr>
            <w:tcW w:w="1440" w:type="dxa"/>
            <w:shd w:val="clear" w:color="auto" w:fill="0070C0"/>
          </w:tcPr>
          <w:p w:rsidR="00E660F2" w:rsidRPr="00154628" w:rsidRDefault="00E660F2" w:rsidP="008F0588">
            <w:pPr>
              <w:rPr>
                <w:b/>
                <w:color w:val="FFFFFF" w:themeColor="background1"/>
              </w:rPr>
            </w:pPr>
            <w:r w:rsidRPr="00154628">
              <w:rPr>
                <w:b/>
                <w:color w:val="FFFFFF" w:themeColor="background1"/>
              </w:rPr>
              <w:t>Endpoints</w:t>
            </w:r>
          </w:p>
        </w:tc>
        <w:tc>
          <w:tcPr>
            <w:tcW w:w="7599" w:type="dxa"/>
          </w:tcPr>
          <w:p w:rsidR="00E660F2" w:rsidRPr="00154628" w:rsidRDefault="00E660F2" w:rsidP="008F0588">
            <w:pPr>
              <w:rPr>
                <w:i/>
              </w:rPr>
            </w:pPr>
            <w:r w:rsidRPr="00154628">
              <w:rPr>
                <w:i/>
              </w:rPr>
              <w:t>Primary</w:t>
            </w:r>
          </w:p>
          <w:p w:rsidR="00E660F2" w:rsidRDefault="00E660F2" w:rsidP="00E660F2">
            <w:pPr>
              <w:pStyle w:val="ListBullet"/>
              <w:numPr>
                <w:ilvl w:val="0"/>
                <w:numId w:val="1"/>
              </w:numPr>
            </w:pPr>
            <w:r>
              <w:t xml:space="preserve">Metastasis-free survival: time from randomisation to the first detection of distant metastasis </w:t>
            </w:r>
            <w:r w:rsidRPr="00625415">
              <w:t>(</w:t>
            </w:r>
            <w:r>
              <w:t>that is,</w:t>
            </w:r>
            <w:r w:rsidRPr="00625415">
              <w:t xml:space="preserve"> new bone or soft tissue lesions or enlarged lymph nodes outside the pelvis</w:t>
            </w:r>
            <w:r>
              <w:t>) on imaging (as assessed by means of blinded independent central review) or death from any cause.</w:t>
            </w:r>
          </w:p>
          <w:p w:rsidR="00E660F2" w:rsidRPr="00154628" w:rsidRDefault="00E660F2" w:rsidP="008F0588">
            <w:pPr>
              <w:rPr>
                <w:i/>
              </w:rPr>
            </w:pPr>
            <w:r w:rsidRPr="00154628">
              <w:rPr>
                <w:i/>
              </w:rPr>
              <w:t>Secondary</w:t>
            </w:r>
          </w:p>
          <w:p w:rsidR="00E660F2" w:rsidRDefault="00E660F2" w:rsidP="00E660F2">
            <w:pPr>
              <w:pStyle w:val="ListBullet"/>
              <w:numPr>
                <w:ilvl w:val="0"/>
                <w:numId w:val="1"/>
              </w:numPr>
            </w:pPr>
            <w:r>
              <w:t>Time to metastasis: time from randomisation to the first detection of distant metastasis involving the bone or soft tissue on imaging, as assessed by means of blinded independent central review.</w:t>
            </w:r>
          </w:p>
          <w:p w:rsidR="00E660F2" w:rsidRDefault="00E660F2" w:rsidP="00E660F2">
            <w:pPr>
              <w:pStyle w:val="ListBullet"/>
              <w:numPr>
                <w:ilvl w:val="0"/>
                <w:numId w:val="1"/>
              </w:numPr>
            </w:pPr>
            <w:r>
              <w:t>Progression-free survival: time from randomisation to the first detection of local or distant metastatic disease on imaging, as assessed by means of blinded independent central review, or death from any cause.</w:t>
            </w:r>
          </w:p>
          <w:p w:rsidR="00E660F2" w:rsidRDefault="00E660F2" w:rsidP="00E660F2">
            <w:pPr>
              <w:pStyle w:val="ListBullet"/>
              <w:numPr>
                <w:ilvl w:val="0"/>
                <w:numId w:val="1"/>
              </w:numPr>
            </w:pPr>
            <w:r>
              <w:t>Time to symptomatic progression.</w:t>
            </w:r>
          </w:p>
          <w:p w:rsidR="00E660F2" w:rsidRPr="0020050D" w:rsidRDefault="00E660F2" w:rsidP="00E660F2">
            <w:pPr>
              <w:pStyle w:val="ListBullet"/>
              <w:numPr>
                <w:ilvl w:val="0"/>
                <w:numId w:val="1"/>
              </w:numPr>
            </w:pPr>
            <w:r>
              <w:t xml:space="preserve">Time from randomisation to a skeletal related event, pain </w:t>
            </w:r>
            <w:r w:rsidRPr="0020050D">
              <w:t>progression or worsening of disease</w:t>
            </w:r>
            <w:r>
              <w:t xml:space="preserve"> </w:t>
            </w:r>
            <w:r w:rsidRPr="0020050D">
              <w:t>related symptoms leading to the initiation of a new systemic</w:t>
            </w:r>
            <w:r>
              <w:t xml:space="preserve"> anticancer therapy or the time to the development of clinically significant symptoms due to local or regional tumour progression leading to surgery or radiation therapy.</w:t>
            </w:r>
          </w:p>
          <w:p w:rsidR="00E660F2" w:rsidRDefault="00E660F2" w:rsidP="00E660F2">
            <w:pPr>
              <w:pStyle w:val="ListBullet"/>
              <w:numPr>
                <w:ilvl w:val="0"/>
                <w:numId w:val="1"/>
              </w:numPr>
            </w:pPr>
            <w:r>
              <w:t>Overall survival.</w:t>
            </w:r>
          </w:p>
          <w:p w:rsidR="00E660F2" w:rsidRDefault="00E660F2" w:rsidP="00E660F2">
            <w:pPr>
              <w:pStyle w:val="ListBullet"/>
              <w:numPr>
                <w:ilvl w:val="0"/>
                <w:numId w:val="1"/>
              </w:numPr>
            </w:pPr>
            <w:r>
              <w:lastRenderedPageBreak/>
              <w:t>Time to the initiation of cytotoxic chemotherapy.</w:t>
            </w:r>
          </w:p>
          <w:p w:rsidR="00E660F2" w:rsidRPr="00154628" w:rsidRDefault="00E660F2" w:rsidP="008F0588">
            <w:pPr>
              <w:rPr>
                <w:i/>
              </w:rPr>
            </w:pPr>
            <w:r w:rsidRPr="00154628">
              <w:rPr>
                <w:i/>
              </w:rPr>
              <w:t xml:space="preserve">Exploratory </w:t>
            </w:r>
          </w:p>
          <w:p w:rsidR="00E660F2" w:rsidRDefault="00E660F2" w:rsidP="00E660F2">
            <w:pPr>
              <w:pStyle w:val="ListBullet"/>
              <w:numPr>
                <w:ilvl w:val="0"/>
                <w:numId w:val="1"/>
              </w:numPr>
            </w:pPr>
            <w:r>
              <w:t>Time to PSA progression.</w:t>
            </w:r>
          </w:p>
          <w:p w:rsidR="00E660F2" w:rsidRDefault="00E660F2" w:rsidP="00E660F2">
            <w:pPr>
              <w:pStyle w:val="ListBullet"/>
              <w:numPr>
                <w:ilvl w:val="0"/>
                <w:numId w:val="1"/>
              </w:numPr>
            </w:pPr>
            <w:r>
              <w:t>PSA response rate.</w:t>
            </w:r>
          </w:p>
          <w:p w:rsidR="00E660F2" w:rsidRDefault="00E660F2" w:rsidP="00E660F2">
            <w:pPr>
              <w:pStyle w:val="ListBullet"/>
              <w:numPr>
                <w:ilvl w:val="0"/>
                <w:numId w:val="1"/>
              </w:numPr>
            </w:pPr>
            <w:r>
              <w:t>Second progression free survival.</w:t>
            </w:r>
          </w:p>
          <w:p w:rsidR="00E660F2" w:rsidRPr="00864FD0" w:rsidRDefault="00E660F2" w:rsidP="00E660F2">
            <w:pPr>
              <w:pStyle w:val="ListBullet"/>
              <w:numPr>
                <w:ilvl w:val="0"/>
                <w:numId w:val="1"/>
              </w:numPr>
            </w:pPr>
            <w:r>
              <w:t>Patient reported outcomes: Functional Assessment of Cancer Therapy–Prostate (FACT-P) questionnaire and the three-level version of the European Quality of Life–5 Dimensions (EQ-5D-3L).</w:t>
            </w:r>
          </w:p>
        </w:tc>
      </w:tr>
    </w:tbl>
    <w:p w:rsidR="00E660F2" w:rsidRDefault="00E660F2" w:rsidP="00E660F2">
      <w:r>
        <w:lastRenderedPageBreak/>
        <w:t>At screening, all the patients underwent a (technetium-99m) bone scan and CT of the pelvis, abdomen, chest and head. Patients who had distant metastasis detected either on these imaging studies or with the use of other information sources were excluded.</w:t>
      </w:r>
    </w:p>
    <w:p w:rsidR="00E660F2" w:rsidRDefault="00E660F2" w:rsidP="00E660F2">
      <w:pPr>
        <w:pStyle w:val="ListBullet"/>
        <w:numPr>
          <w:ilvl w:val="0"/>
          <w:numId w:val="1"/>
        </w:numPr>
      </w:pPr>
      <w:r>
        <w:t>Patients screened: 2132</w:t>
      </w:r>
    </w:p>
    <w:p w:rsidR="00E660F2" w:rsidRDefault="00E660F2" w:rsidP="00E660F2">
      <w:pPr>
        <w:pStyle w:val="ListBullet"/>
        <w:numPr>
          <w:ilvl w:val="0"/>
          <w:numId w:val="1"/>
        </w:numPr>
      </w:pPr>
      <w:r>
        <w:t xml:space="preserve">Screen failures: 925 (of these 517 had metastasis based on BICR, the initial investigator review of the scans were not read as positive for </w:t>
      </w:r>
      <w:r w:rsidRPr="008703A7">
        <w:t>metastasis</w:t>
      </w:r>
      <w:r>
        <w:t>)</w:t>
      </w:r>
    </w:p>
    <w:p w:rsidR="00E660F2" w:rsidRDefault="00E660F2" w:rsidP="00E660F2">
      <w:pPr>
        <w:pStyle w:val="ListBullet"/>
        <w:numPr>
          <w:ilvl w:val="0"/>
          <w:numId w:val="1"/>
        </w:numPr>
      </w:pPr>
      <w:r>
        <w:t>Intent to treat (ITT) population: 1207 (apalutamide 806; placebo 401)</w:t>
      </w:r>
    </w:p>
    <w:p w:rsidR="00E660F2" w:rsidRDefault="00E660F2" w:rsidP="00E660F2">
      <w:pPr>
        <w:pStyle w:val="ListBullet"/>
        <w:numPr>
          <w:ilvl w:val="0"/>
          <w:numId w:val="1"/>
        </w:numPr>
      </w:pPr>
      <w:r>
        <w:t>Did not receive study drug: 6 (apalutamide 3; placebo 3)</w:t>
      </w:r>
    </w:p>
    <w:p w:rsidR="00E660F2" w:rsidRPr="00D40579" w:rsidRDefault="00E660F2" w:rsidP="00E660F2">
      <w:pPr>
        <w:pStyle w:val="ListBullet"/>
        <w:numPr>
          <w:ilvl w:val="0"/>
          <w:numId w:val="1"/>
        </w:numPr>
      </w:pPr>
      <w:r>
        <w:t>Safety population: 1201 (apalutamide 803; placebo 398)</w:t>
      </w:r>
    </w:p>
    <w:p w:rsidR="00E660F2" w:rsidRDefault="00E660F2" w:rsidP="00E660F2">
      <w:r>
        <w:t>The PSA level was measured at a central laboratory.</w:t>
      </w:r>
    </w:p>
    <w:p w:rsidR="00E660F2" w:rsidRDefault="00E660F2" w:rsidP="00E660F2">
      <w:r>
        <w:t>Randomisation was stratified by:</w:t>
      </w:r>
    </w:p>
    <w:p w:rsidR="00E660F2" w:rsidRDefault="00E660F2" w:rsidP="00E660F2">
      <w:pPr>
        <w:pStyle w:val="ListBullet"/>
        <w:numPr>
          <w:ilvl w:val="0"/>
          <w:numId w:val="1"/>
        </w:numPr>
      </w:pPr>
      <w:r>
        <w:t>PSA doubling time (&gt;6 months versus ≤6 months)</w:t>
      </w:r>
    </w:p>
    <w:p w:rsidR="00E660F2" w:rsidRDefault="00E660F2" w:rsidP="00E660F2">
      <w:pPr>
        <w:pStyle w:val="ListBullet"/>
        <w:numPr>
          <w:ilvl w:val="0"/>
          <w:numId w:val="1"/>
        </w:numPr>
      </w:pPr>
      <w:r>
        <w:t xml:space="preserve">Use of bone-sparing agents (yes versus no) </w:t>
      </w:r>
    </w:p>
    <w:p w:rsidR="00E660F2" w:rsidRDefault="00E660F2" w:rsidP="00E660F2">
      <w:pPr>
        <w:pStyle w:val="ListBullet"/>
        <w:numPr>
          <w:ilvl w:val="0"/>
          <w:numId w:val="1"/>
        </w:numPr>
      </w:pPr>
      <w:r>
        <w:t xml:space="preserve">Presence of local or regional nodal disease (N0 versus N1) </w:t>
      </w:r>
    </w:p>
    <w:p w:rsidR="00E660F2" w:rsidRDefault="00E660F2" w:rsidP="00E660F2">
      <w:r>
        <w:t>Disease assessments, including (technetium-99m) bone scans and CT of the pelvis, abdomen, and chest, were performed every 16 weeks and at additional time points if distant metastasis was suspected. All imaging studies were assessed prospectively by means of blinded independent central review. When a new bone lesion was detected on a bone scan, a second imaging study (CT or MRI) was required in order to confirm metastasis.</w:t>
      </w:r>
    </w:p>
    <w:p w:rsidR="00E660F2" w:rsidRDefault="00E660F2" w:rsidP="00E660F2">
      <w:r>
        <w:t>After the first detection of distant metastasis, patients were eligible to receive treatment with sponsor provided abiraterone plus prednisone. After the trial regimen was discontinued, the administration of abiraterone plus prednisone or any treatment for metastatic castration-resistant prostate cancer was at the discretion of the treating physician.</w:t>
      </w:r>
    </w:p>
    <w:p w:rsidR="00E660F2" w:rsidRPr="00A1194E" w:rsidRDefault="00E660F2" w:rsidP="00E660F2">
      <w:pPr>
        <w:pStyle w:val="Heading6"/>
      </w:pPr>
      <w:r w:rsidRPr="00A1194E">
        <w:t>Sample size</w:t>
      </w:r>
    </w:p>
    <w:p w:rsidR="00E660F2" w:rsidRDefault="00E660F2" w:rsidP="00E660F2">
      <w:r>
        <w:t>The study was designed to have 90% power to detect a hazard ratio (HR) of 0.70 for MFS at a 2-sided significance level of 5%. With that, approximately 372 MFS events were required for the primary analysis. Based on an assumed median MFS of 25 months in the placebo arm, this targeted treatment effect represents an increase in the median MFS of approximately 11 months (25 months versus 36 months). Approximately 1200 patients were planned to be randomised.</w:t>
      </w:r>
    </w:p>
    <w:p w:rsidR="00E660F2" w:rsidRDefault="00E660F2" w:rsidP="00E660F2">
      <w:r>
        <w:t xml:space="preserve">The study was also designed to have 85% power to detect a HR of 0.75 at a 2-sided significance level of 0.05 for overall survival, based on the assumed median OS of 49 months in the placebo arm. This treatment effect represents an increase in the median OS </w:t>
      </w:r>
      <w:r>
        <w:lastRenderedPageBreak/>
        <w:t>of approximately 16 months (49 months versus 65 months). Table 16 summarises the base line characteristics of the subjects in the study.</w:t>
      </w:r>
    </w:p>
    <w:p w:rsidR="00E660F2" w:rsidRPr="009B14CE" w:rsidRDefault="00E660F2" w:rsidP="00E660F2">
      <w:pPr>
        <w:pStyle w:val="TableTitle"/>
      </w:pPr>
      <w:r>
        <w:t xml:space="preserve">Table 16: </w:t>
      </w:r>
      <w:r w:rsidRPr="009B14CE">
        <w:t>Baseline characteristics</w:t>
      </w:r>
    </w:p>
    <w:tbl>
      <w:tblPr>
        <w:tblStyle w:val="TableTGAblue"/>
        <w:tblW w:w="8755" w:type="dxa"/>
        <w:tblLook w:val="04A0" w:firstRow="1" w:lastRow="0" w:firstColumn="1" w:lastColumn="0" w:noHBand="0" w:noVBand="1"/>
      </w:tblPr>
      <w:tblGrid>
        <w:gridCol w:w="3936"/>
        <w:gridCol w:w="2268"/>
        <w:gridCol w:w="2551"/>
      </w:tblGrid>
      <w:tr w:rsidR="00E660F2" w:rsidRPr="008703A7" w:rsidTr="008F0588">
        <w:trPr>
          <w:cnfStyle w:val="100000000000" w:firstRow="1" w:lastRow="0" w:firstColumn="0" w:lastColumn="0" w:oddVBand="0" w:evenVBand="0" w:oddHBand="0" w:evenHBand="0" w:firstRowFirstColumn="0" w:firstRowLastColumn="0" w:lastRowFirstColumn="0" w:lastRowLastColumn="0"/>
          <w:cantSplit/>
        </w:trPr>
        <w:tc>
          <w:tcPr>
            <w:tcW w:w="3936" w:type="dxa"/>
          </w:tcPr>
          <w:p w:rsidR="00E660F2" w:rsidRPr="008703A7" w:rsidRDefault="00E660F2" w:rsidP="008F0588">
            <w:pPr>
              <w:rPr>
                <w:sz w:val="20"/>
                <w:szCs w:val="20"/>
              </w:rPr>
            </w:pPr>
          </w:p>
        </w:tc>
        <w:tc>
          <w:tcPr>
            <w:tcW w:w="2268" w:type="dxa"/>
          </w:tcPr>
          <w:p w:rsidR="00E660F2" w:rsidRPr="008703A7" w:rsidRDefault="00E660F2" w:rsidP="008F0588">
            <w:pPr>
              <w:rPr>
                <w:sz w:val="20"/>
                <w:szCs w:val="20"/>
              </w:rPr>
            </w:pPr>
            <w:r>
              <w:rPr>
                <w:sz w:val="20"/>
                <w:szCs w:val="20"/>
              </w:rPr>
              <w:t>A</w:t>
            </w:r>
            <w:r w:rsidRPr="008703A7">
              <w:rPr>
                <w:sz w:val="20"/>
                <w:szCs w:val="20"/>
              </w:rPr>
              <w:t>palutamide</w:t>
            </w:r>
          </w:p>
          <w:p w:rsidR="00E660F2" w:rsidRPr="008703A7" w:rsidRDefault="00E660F2" w:rsidP="008F0588">
            <w:pPr>
              <w:rPr>
                <w:sz w:val="20"/>
                <w:szCs w:val="20"/>
              </w:rPr>
            </w:pPr>
            <w:r w:rsidRPr="008703A7">
              <w:rPr>
                <w:sz w:val="20"/>
                <w:szCs w:val="20"/>
              </w:rPr>
              <w:t>N=806</w:t>
            </w:r>
          </w:p>
        </w:tc>
        <w:tc>
          <w:tcPr>
            <w:tcW w:w="2551" w:type="dxa"/>
          </w:tcPr>
          <w:p w:rsidR="00E660F2" w:rsidRPr="008703A7" w:rsidRDefault="00E660F2" w:rsidP="008F0588">
            <w:pPr>
              <w:rPr>
                <w:sz w:val="20"/>
                <w:szCs w:val="20"/>
              </w:rPr>
            </w:pPr>
            <w:r>
              <w:rPr>
                <w:sz w:val="20"/>
                <w:szCs w:val="20"/>
              </w:rPr>
              <w:t>P</w:t>
            </w:r>
            <w:r w:rsidRPr="008703A7">
              <w:rPr>
                <w:sz w:val="20"/>
                <w:szCs w:val="20"/>
              </w:rPr>
              <w:t>lacebo</w:t>
            </w:r>
          </w:p>
          <w:p w:rsidR="00E660F2" w:rsidRPr="008703A7" w:rsidRDefault="00E660F2" w:rsidP="008F0588">
            <w:pPr>
              <w:rPr>
                <w:sz w:val="20"/>
                <w:szCs w:val="20"/>
              </w:rPr>
            </w:pPr>
            <w:r w:rsidRPr="008703A7">
              <w:rPr>
                <w:sz w:val="20"/>
                <w:szCs w:val="20"/>
              </w:rPr>
              <w:t>N=401</w:t>
            </w:r>
          </w:p>
        </w:tc>
      </w:tr>
      <w:tr w:rsidR="00E660F2" w:rsidRPr="008703A7" w:rsidTr="008F0588">
        <w:tc>
          <w:tcPr>
            <w:tcW w:w="3936" w:type="dxa"/>
          </w:tcPr>
          <w:p w:rsidR="00E660F2" w:rsidRPr="008703A7" w:rsidRDefault="00E660F2" w:rsidP="008F0588">
            <w:pPr>
              <w:rPr>
                <w:sz w:val="20"/>
                <w:szCs w:val="20"/>
              </w:rPr>
            </w:pPr>
            <w:r w:rsidRPr="008703A7">
              <w:rPr>
                <w:sz w:val="20"/>
                <w:szCs w:val="20"/>
              </w:rPr>
              <w:t>Age, M</w:t>
            </w:r>
            <w:r>
              <w:rPr>
                <w:sz w:val="20"/>
                <w:szCs w:val="20"/>
              </w:rPr>
              <w:t xml:space="preserve">edian </w:t>
            </w:r>
            <w:r w:rsidRPr="008703A7">
              <w:rPr>
                <w:sz w:val="20"/>
                <w:szCs w:val="20"/>
              </w:rPr>
              <w:t>(range)</w:t>
            </w:r>
          </w:p>
        </w:tc>
        <w:tc>
          <w:tcPr>
            <w:tcW w:w="2268" w:type="dxa"/>
          </w:tcPr>
          <w:p w:rsidR="00E660F2" w:rsidRPr="008703A7" w:rsidRDefault="00E660F2" w:rsidP="008F0588">
            <w:pPr>
              <w:rPr>
                <w:sz w:val="20"/>
                <w:szCs w:val="20"/>
              </w:rPr>
            </w:pPr>
            <w:r w:rsidRPr="008703A7">
              <w:rPr>
                <w:sz w:val="20"/>
                <w:szCs w:val="20"/>
              </w:rPr>
              <w:t>74(48, 94)</w:t>
            </w:r>
          </w:p>
        </w:tc>
        <w:tc>
          <w:tcPr>
            <w:tcW w:w="2551" w:type="dxa"/>
          </w:tcPr>
          <w:p w:rsidR="00E660F2" w:rsidRPr="008703A7" w:rsidRDefault="00E660F2" w:rsidP="008F0588">
            <w:pPr>
              <w:rPr>
                <w:sz w:val="20"/>
                <w:szCs w:val="20"/>
              </w:rPr>
            </w:pPr>
            <w:r w:rsidRPr="008703A7">
              <w:rPr>
                <w:sz w:val="20"/>
                <w:szCs w:val="20"/>
              </w:rPr>
              <w:t>74(52, 97)</w:t>
            </w:r>
          </w:p>
        </w:tc>
      </w:tr>
      <w:tr w:rsidR="00E660F2" w:rsidRPr="008703A7" w:rsidTr="008F0588">
        <w:tc>
          <w:tcPr>
            <w:tcW w:w="3936" w:type="dxa"/>
          </w:tcPr>
          <w:p w:rsidR="00E660F2" w:rsidRPr="008703A7" w:rsidRDefault="00E660F2" w:rsidP="008F0588">
            <w:pPr>
              <w:rPr>
                <w:sz w:val="20"/>
                <w:szCs w:val="20"/>
              </w:rPr>
            </w:pPr>
            <w:r w:rsidRPr="008703A7">
              <w:rPr>
                <w:sz w:val="20"/>
                <w:szCs w:val="20"/>
              </w:rPr>
              <w:t>M</w:t>
            </w:r>
            <w:r>
              <w:rPr>
                <w:sz w:val="20"/>
                <w:szCs w:val="20"/>
              </w:rPr>
              <w:t>edian</w:t>
            </w:r>
            <w:r w:rsidRPr="008703A7">
              <w:rPr>
                <w:sz w:val="20"/>
                <w:szCs w:val="20"/>
              </w:rPr>
              <w:t xml:space="preserve"> time from dx to rand</w:t>
            </w:r>
            <w:r>
              <w:rPr>
                <w:sz w:val="20"/>
                <w:szCs w:val="20"/>
              </w:rPr>
              <w:t>omisation</w:t>
            </w:r>
          </w:p>
        </w:tc>
        <w:tc>
          <w:tcPr>
            <w:tcW w:w="2268" w:type="dxa"/>
          </w:tcPr>
          <w:p w:rsidR="00E660F2" w:rsidRPr="008703A7" w:rsidRDefault="00E660F2" w:rsidP="008F0588">
            <w:pPr>
              <w:rPr>
                <w:sz w:val="20"/>
                <w:szCs w:val="20"/>
              </w:rPr>
            </w:pPr>
            <w:r w:rsidRPr="008703A7">
              <w:rPr>
                <w:sz w:val="20"/>
                <w:szCs w:val="20"/>
              </w:rPr>
              <w:t>7.95 years</w:t>
            </w:r>
          </w:p>
        </w:tc>
        <w:tc>
          <w:tcPr>
            <w:tcW w:w="2551" w:type="dxa"/>
          </w:tcPr>
          <w:p w:rsidR="00E660F2" w:rsidRPr="008703A7" w:rsidRDefault="00E660F2" w:rsidP="008F0588">
            <w:pPr>
              <w:rPr>
                <w:sz w:val="20"/>
                <w:szCs w:val="20"/>
              </w:rPr>
            </w:pPr>
            <w:r w:rsidRPr="008703A7">
              <w:rPr>
                <w:sz w:val="20"/>
                <w:szCs w:val="20"/>
              </w:rPr>
              <w:t>7.85 years</w:t>
            </w:r>
          </w:p>
        </w:tc>
      </w:tr>
      <w:tr w:rsidR="00E660F2" w:rsidRPr="008703A7" w:rsidTr="008F0588">
        <w:tc>
          <w:tcPr>
            <w:tcW w:w="3936" w:type="dxa"/>
          </w:tcPr>
          <w:p w:rsidR="00E660F2" w:rsidRPr="008703A7" w:rsidRDefault="00E660F2" w:rsidP="008F0588">
            <w:pPr>
              <w:rPr>
                <w:sz w:val="20"/>
                <w:szCs w:val="20"/>
              </w:rPr>
            </w:pPr>
            <w:r w:rsidRPr="008703A7">
              <w:rPr>
                <w:sz w:val="20"/>
                <w:szCs w:val="20"/>
              </w:rPr>
              <w:t>PSA doubling time</w:t>
            </w:r>
          </w:p>
          <w:p w:rsidR="00E660F2" w:rsidRPr="008703A7" w:rsidRDefault="00E660F2" w:rsidP="008F0588">
            <w:pPr>
              <w:rPr>
                <w:sz w:val="20"/>
                <w:szCs w:val="20"/>
              </w:rPr>
            </w:pPr>
            <w:r>
              <w:rPr>
                <w:sz w:val="20"/>
                <w:szCs w:val="20"/>
              </w:rPr>
              <w:t>≤</w:t>
            </w:r>
            <w:r w:rsidRPr="008703A7">
              <w:rPr>
                <w:sz w:val="20"/>
                <w:szCs w:val="20"/>
              </w:rPr>
              <w:t xml:space="preserve"> 6 months</w:t>
            </w:r>
          </w:p>
          <w:p w:rsidR="00E660F2" w:rsidRPr="008703A7" w:rsidRDefault="00E660F2" w:rsidP="008F0588">
            <w:pPr>
              <w:rPr>
                <w:sz w:val="20"/>
                <w:szCs w:val="20"/>
              </w:rPr>
            </w:pPr>
            <w:r w:rsidRPr="008703A7">
              <w:rPr>
                <w:sz w:val="20"/>
                <w:szCs w:val="20"/>
              </w:rPr>
              <w:t>&gt; 6 months</w:t>
            </w:r>
          </w:p>
        </w:tc>
        <w:tc>
          <w:tcPr>
            <w:tcW w:w="2268" w:type="dxa"/>
          </w:tcPr>
          <w:p w:rsidR="00E660F2" w:rsidRPr="008703A7" w:rsidRDefault="00E660F2" w:rsidP="008F0588">
            <w:pPr>
              <w:rPr>
                <w:sz w:val="20"/>
                <w:szCs w:val="20"/>
              </w:rPr>
            </w:pPr>
          </w:p>
          <w:p w:rsidR="00E660F2" w:rsidRPr="008703A7" w:rsidRDefault="00E660F2" w:rsidP="008F0588">
            <w:pPr>
              <w:rPr>
                <w:sz w:val="20"/>
                <w:szCs w:val="20"/>
              </w:rPr>
            </w:pPr>
            <w:r w:rsidRPr="008703A7">
              <w:rPr>
                <w:sz w:val="20"/>
                <w:szCs w:val="20"/>
              </w:rPr>
              <w:t>72%</w:t>
            </w:r>
          </w:p>
          <w:p w:rsidR="00E660F2" w:rsidRPr="008703A7" w:rsidRDefault="00E660F2" w:rsidP="008F0588">
            <w:pPr>
              <w:rPr>
                <w:sz w:val="20"/>
                <w:szCs w:val="20"/>
              </w:rPr>
            </w:pPr>
            <w:r w:rsidRPr="008703A7">
              <w:rPr>
                <w:sz w:val="20"/>
                <w:szCs w:val="20"/>
              </w:rPr>
              <w:t>29%</w:t>
            </w:r>
          </w:p>
        </w:tc>
        <w:tc>
          <w:tcPr>
            <w:tcW w:w="2551" w:type="dxa"/>
          </w:tcPr>
          <w:p w:rsidR="00E660F2" w:rsidRPr="008703A7" w:rsidRDefault="00E660F2" w:rsidP="008F0588">
            <w:pPr>
              <w:rPr>
                <w:sz w:val="20"/>
                <w:szCs w:val="20"/>
              </w:rPr>
            </w:pPr>
          </w:p>
          <w:p w:rsidR="00E660F2" w:rsidRPr="008703A7" w:rsidRDefault="00E660F2" w:rsidP="008F0588">
            <w:pPr>
              <w:rPr>
                <w:sz w:val="20"/>
                <w:szCs w:val="20"/>
              </w:rPr>
            </w:pPr>
            <w:r w:rsidRPr="008703A7">
              <w:rPr>
                <w:sz w:val="20"/>
                <w:szCs w:val="20"/>
              </w:rPr>
              <w:t>71%</w:t>
            </w:r>
          </w:p>
          <w:p w:rsidR="00E660F2" w:rsidRPr="008703A7" w:rsidRDefault="00E660F2" w:rsidP="008F0588">
            <w:pPr>
              <w:rPr>
                <w:sz w:val="20"/>
                <w:szCs w:val="20"/>
              </w:rPr>
            </w:pPr>
            <w:r w:rsidRPr="008703A7">
              <w:rPr>
                <w:sz w:val="20"/>
                <w:szCs w:val="20"/>
              </w:rPr>
              <w:t>29%</w:t>
            </w:r>
          </w:p>
        </w:tc>
      </w:tr>
      <w:tr w:rsidR="00E660F2" w:rsidRPr="008703A7" w:rsidTr="008F0588">
        <w:tc>
          <w:tcPr>
            <w:tcW w:w="3936" w:type="dxa"/>
          </w:tcPr>
          <w:p w:rsidR="00E660F2" w:rsidRPr="008703A7" w:rsidRDefault="00E660F2" w:rsidP="008F0588">
            <w:pPr>
              <w:rPr>
                <w:sz w:val="20"/>
                <w:szCs w:val="20"/>
              </w:rPr>
            </w:pPr>
            <w:r w:rsidRPr="008703A7">
              <w:rPr>
                <w:sz w:val="20"/>
                <w:szCs w:val="20"/>
              </w:rPr>
              <w:t>Use of bone-sparing agent</w:t>
            </w:r>
          </w:p>
        </w:tc>
        <w:tc>
          <w:tcPr>
            <w:tcW w:w="2268" w:type="dxa"/>
          </w:tcPr>
          <w:p w:rsidR="00E660F2" w:rsidRPr="008703A7" w:rsidRDefault="00E660F2" w:rsidP="008F0588">
            <w:pPr>
              <w:rPr>
                <w:sz w:val="20"/>
                <w:szCs w:val="20"/>
              </w:rPr>
            </w:pPr>
            <w:r w:rsidRPr="008703A7">
              <w:rPr>
                <w:sz w:val="20"/>
                <w:szCs w:val="20"/>
              </w:rPr>
              <w:t>10%</w:t>
            </w:r>
          </w:p>
        </w:tc>
        <w:tc>
          <w:tcPr>
            <w:tcW w:w="2551" w:type="dxa"/>
          </w:tcPr>
          <w:p w:rsidR="00E660F2" w:rsidRPr="008703A7" w:rsidRDefault="00E660F2" w:rsidP="008F0588">
            <w:pPr>
              <w:rPr>
                <w:sz w:val="20"/>
                <w:szCs w:val="20"/>
              </w:rPr>
            </w:pPr>
            <w:r w:rsidRPr="008703A7">
              <w:rPr>
                <w:sz w:val="20"/>
                <w:szCs w:val="20"/>
              </w:rPr>
              <w:t>10%</w:t>
            </w:r>
          </w:p>
        </w:tc>
      </w:tr>
      <w:tr w:rsidR="00E660F2" w:rsidRPr="008703A7" w:rsidTr="008F0588">
        <w:tc>
          <w:tcPr>
            <w:tcW w:w="3936" w:type="dxa"/>
          </w:tcPr>
          <w:p w:rsidR="00E660F2" w:rsidRPr="008703A7" w:rsidRDefault="00E660F2" w:rsidP="008F0588">
            <w:pPr>
              <w:rPr>
                <w:sz w:val="20"/>
                <w:szCs w:val="20"/>
              </w:rPr>
            </w:pPr>
            <w:r w:rsidRPr="008703A7">
              <w:rPr>
                <w:sz w:val="20"/>
                <w:szCs w:val="20"/>
              </w:rPr>
              <w:t>Local or regional nodal disease</w:t>
            </w:r>
          </w:p>
          <w:p w:rsidR="00E660F2" w:rsidRPr="008703A7" w:rsidRDefault="00E660F2" w:rsidP="008F0588">
            <w:pPr>
              <w:rPr>
                <w:sz w:val="20"/>
                <w:szCs w:val="20"/>
              </w:rPr>
            </w:pPr>
            <w:r w:rsidRPr="008703A7">
              <w:rPr>
                <w:sz w:val="20"/>
                <w:szCs w:val="20"/>
              </w:rPr>
              <w:t>N0</w:t>
            </w:r>
          </w:p>
          <w:p w:rsidR="00E660F2" w:rsidRPr="008703A7" w:rsidRDefault="00E660F2" w:rsidP="008F0588">
            <w:pPr>
              <w:rPr>
                <w:sz w:val="20"/>
                <w:szCs w:val="20"/>
              </w:rPr>
            </w:pPr>
            <w:r w:rsidRPr="008703A7">
              <w:rPr>
                <w:sz w:val="20"/>
                <w:szCs w:val="20"/>
              </w:rPr>
              <w:t>N1</w:t>
            </w:r>
          </w:p>
        </w:tc>
        <w:tc>
          <w:tcPr>
            <w:tcW w:w="2268" w:type="dxa"/>
          </w:tcPr>
          <w:p w:rsidR="00E660F2" w:rsidRPr="008703A7" w:rsidRDefault="00E660F2" w:rsidP="008F0588">
            <w:pPr>
              <w:rPr>
                <w:sz w:val="20"/>
                <w:szCs w:val="20"/>
              </w:rPr>
            </w:pPr>
          </w:p>
          <w:p w:rsidR="00E660F2" w:rsidRPr="008703A7" w:rsidRDefault="00E660F2" w:rsidP="008F0588">
            <w:pPr>
              <w:rPr>
                <w:sz w:val="20"/>
                <w:szCs w:val="20"/>
              </w:rPr>
            </w:pPr>
            <w:r w:rsidRPr="008703A7">
              <w:rPr>
                <w:sz w:val="20"/>
                <w:szCs w:val="20"/>
              </w:rPr>
              <w:t>84%</w:t>
            </w:r>
          </w:p>
          <w:p w:rsidR="00E660F2" w:rsidRPr="008703A7" w:rsidRDefault="00E660F2" w:rsidP="008F0588">
            <w:pPr>
              <w:rPr>
                <w:sz w:val="20"/>
                <w:szCs w:val="20"/>
              </w:rPr>
            </w:pPr>
            <w:r w:rsidRPr="008703A7">
              <w:rPr>
                <w:sz w:val="20"/>
                <w:szCs w:val="20"/>
              </w:rPr>
              <w:t>17%</w:t>
            </w:r>
          </w:p>
        </w:tc>
        <w:tc>
          <w:tcPr>
            <w:tcW w:w="2551" w:type="dxa"/>
          </w:tcPr>
          <w:p w:rsidR="00E660F2" w:rsidRPr="008703A7" w:rsidRDefault="00E660F2" w:rsidP="008F0588">
            <w:pPr>
              <w:rPr>
                <w:sz w:val="20"/>
                <w:szCs w:val="20"/>
              </w:rPr>
            </w:pPr>
          </w:p>
          <w:p w:rsidR="00E660F2" w:rsidRPr="008703A7" w:rsidRDefault="00E660F2" w:rsidP="008F0588">
            <w:pPr>
              <w:rPr>
                <w:sz w:val="20"/>
                <w:szCs w:val="20"/>
              </w:rPr>
            </w:pPr>
            <w:r w:rsidRPr="008703A7">
              <w:rPr>
                <w:sz w:val="20"/>
                <w:szCs w:val="20"/>
              </w:rPr>
              <w:t>84%</w:t>
            </w:r>
          </w:p>
          <w:p w:rsidR="00E660F2" w:rsidRPr="008703A7" w:rsidRDefault="00E660F2" w:rsidP="008F0588">
            <w:pPr>
              <w:rPr>
                <w:sz w:val="20"/>
                <w:szCs w:val="20"/>
              </w:rPr>
            </w:pPr>
            <w:r w:rsidRPr="008703A7">
              <w:rPr>
                <w:sz w:val="20"/>
                <w:szCs w:val="20"/>
              </w:rPr>
              <w:t>16%</w:t>
            </w:r>
          </w:p>
        </w:tc>
      </w:tr>
      <w:tr w:rsidR="00E660F2" w:rsidRPr="008703A7" w:rsidTr="008F0588">
        <w:tc>
          <w:tcPr>
            <w:tcW w:w="3936" w:type="dxa"/>
          </w:tcPr>
          <w:p w:rsidR="00E660F2" w:rsidRPr="008703A7" w:rsidRDefault="00E660F2" w:rsidP="008F0588">
            <w:pPr>
              <w:rPr>
                <w:sz w:val="20"/>
                <w:szCs w:val="20"/>
              </w:rPr>
            </w:pPr>
            <w:r w:rsidRPr="008703A7">
              <w:rPr>
                <w:sz w:val="20"/>
                <w:szCs w:val="20"/>
              </w:rPr>
              <w:t>Previous prostate cancer treatment</w:t>
            </w:r>
          </w:p>
          <w:p w:rsidR="00E660F2" w:rsidRPr="008703A7" w:rsidRDefault="00E660F2" w:rsidP="008F0588">
            <w:pPr>
              <w:rPr>
                <w:sz w:val="20"/>
                <w:szCs w:val="20"/>
              </w:rPr>
            </w:pPr>
            <w:r w:rsidRPr="008703A7">
              <w:rPr>
                <w:sz w:val="20"/>
                <w:szCs w:val="20"/>
              </w:rPr>
              <w:t>Prostatectomy, RT</w:t>
            </w:r>
          </w:p>
          <w:p w:rsidR="00E660F2" w:rsidRPr="008703A7" w:rsidRDefault="00E660F2" w:rsidP="008F0588">
            <w:pPr>
              <w:rPr>
                <w:sz w:val="20"/>
                <w:szCs w:val="20"/>
              </w:rPr>
            </w:pPr>
            <w:r w:rsidRPr="008703A7">
              <w:rPr>
                <w:sz w:val="20"/>
                <w:szCs w:val="20"/>
              </w:rPr>
              <w:t>GnRH agonist</w:t>
            </w:r>
          </w:p>
          <w:p w:rsidR="00E660F2" w:rsidRPr="008703A7" w:rsidRDefault="00E660F2" w:rsidP="008F0588">
            <w:pPr>
              <w:rPr>
                <w:sz w:val="20"/>
                <w:szCs w:val="20"/>
                <w:vertAlign w:val="superscript"/>
              </w:rPr>
            </w:pPr>
            <w:r>
              <w:rPr>
                <w:sz w:val="20"/>
                <w:szCs w:val="20"/>
              </w:rPr>
              <w:t>First</w:t>
            </w:r>
            <w:r w:rsidRPr="008703A7">
              <w:rPr>
                <w:sz w:val="20"/>
                <w:szCs w:val="20"/>
              </w:rPr>
              <w:t xml:space="preserve"> generation anti-androgen</w:t>
            </w:r>
            <w:r w:rsidRPr="008703A7">
              <w:rPr>
                <w:sz w:val="20"/>
                <w:szCs w:val="20"/>
                <w:vertAlign w:val="superscript"/>
              </w:rPr>
              <w:t>a</w:t>
            </w:r>
          </w:p>
        </w:tc>
        <w:tc>
          <w:tcPr>
            <w:tcW w:w="2268" w:type="dxa"/>
          </w:tcPr>
          <w:p w:rsidR="00E660F2" w:rsidRPr="008703A7" w:rsidRDefault="00E660F2" w:rsidP="008F0588">
            <w:pPr>
              <w:rPr>
                <w:sz w:val="20"/>
                <w:szCs w:val="20"/>
              </w:rPr>
            </w:pPr>
          </w:p>
          <w:p w:rsidR="00E660F2" w:rsidRPr="008703A7" w:rsidRDefault="00E660F2" w:rsidP="008F0588">
            <w:pPr>
              <w:rPr>
                <w:sz w:val="20"/>
                <w:szCs w:val="20"/>
              </w:rPr>
            </w:pPr>
          </w:p>
          <w:p w:rsidR="00E660F2" w:rsidRPr="008703A7" w:rsidRDefault="00E660F2" w:rsidP="008F0588">
            <w:pPr>
              <w:rPr>
                <w:sz w:val="20"/>
                <w:szCs w:val="20"/>
              </w:rPr>
            </w:pPr>
            <w:r w:rsidRPr="008703A7">
              <w:rPr>
                <w:sz w:val="20"/>
                <w:szCs w:val="20"/>
              </w:rPr>
              <w:t>77%</w:t>
            </w:r>
          </w:p>
          <w:p w:rsidR="00E660F2" w:rsidRPr="008703A7" w:rsidRDefault="00E660F2" w:rsidP="008F0588">
            <w:pPr>
              <w:rPr>
                <w:sz w:val="20"/>
                <w:szCs w:val="20"/>
              </w:rPr>
            </w:pPr>
            <w:r w:rsidRPr="008703A7">
              <w:rPr>
                <w:sz w:val="20"/>
                <w:szCs w:val="20"/>
              </w:rPr>
              <w:t>97%</w:t>
            </w:r>
          </w:p>
          <w:p w:rsidR="00E660F2" w:rsidRPr="008703A7" w:rsidRDefault="00E660F2" w:rsidP="008F0588">
            <w:pPr>
              <w:rPr>
                <w:sz w:val="20"/>
                <w:szCs w:val="20"/>
              </w:rPr>
            </w:pPr>
            <w:r w:rsidRPr="008703A7">
              <w:rPr>
                <w:sz w:val="20"/>
                <w:szCs w:val="20"/>
              </w:rPr>
              <w:t>73%</w:t>
            </w:r>
          </w:p>
        </w:tc>
        <w:tc>
          <w:tcPr>
            <w:tcW w:w="2551" w:type="dxa"/>
          </w:tcPr>
          <w:p w:rsidR="00E660F2" w:rsidRPr="008703A7" w:rsidRDefault="00E660F2" w:rsidP="008F0588">
            <w:pPr>
              <w:rPr>
                <w:sz w:val="20"/>
                <w:szCs w:val="20"/>
              </w:rPr>
            </w:pPr>
          </w:p>
          <w:p w:rsidR="00E660F2" w:rsidRPr="008703A7" w:rsidRDefault="00E660F2" w:rsidP="008F0588">
            <w:pPr>
              <w:rPr>
                <w:sz w:val="20"/>
                <w:szCs w:val="20"/>
              </w:rPr>
            </w:pPr>
          </w:p>
          <w:p w:rsidR="00E660F2" w:rsidRPr="008703A7" w:rsidRDefault="00E660F2" w:rsidP="008F0588">
            <w:pPr>
              <w:rPr>
                <w:sz w:val="20"/>
                <w:szCs w:val="20"/>
              </w:rPr>
            </w:pPr>
            <w:r w:rsidRPr="008703A7">
              <w:rPr>
                <w:sz w:val="20"/>
                <w:szCs w:val="20"/>
              </w:rPr>
              <w:t>77%</w:t>
            </w:r>
          </w:p>
          <w:p w:rsidR="00E660F2" w:rsidRPr="008703A7" w:rsidRDefault="00E660F2" w:rsidP="008F0588">
            <w:pPr>
              <w:rPr>
                <w:sz w:val="20"/>
                <w:szCs w:val="20"/>
              </w:rPr>
            </w:pPr>
            <w:r w:rsidRPr="008703A7">
              <w:rPr>
                <w:sz w:val="20"/>
                <w:szCs w:val="20"/>
              </w:rPr>
              <w:t>97%</w:t>
            </w:r>
          </w:p>
          <w:p w:rsidR="00E660F2" w:rsidRPr="008703A7" w:rsidRDefault="00E660F2" w:rsidP="008F0588">
            <w:pPr>
              <w:rPr>
                <w:sz w:val="20"/>
                <w:szCs w:val="20"/>
              </w:rPr>
            </w:pPr>
            <w:r w:rsidRPr="008703A7">
              <w:rPr>
                <w:sz w:val="20"/>
                <w:szCs w:val="20"/>
              </w:rPr>
              <w:t>72%</w:t>
            </w:r>
          </w:p>
        </w:tc>
      </w:tr>
      <w:tr w:rsidR="00E660F2" w:rsidRPr="008703A7" w:rsidTr="008F0588">
        <w:tc>
          <w:tcPr>
            <w:tcW w:w="3936" w:type="dxa"/>
          </w:tcPr>
          <w:p w:rsidR="00E660F2" w:rsidRPr="008703A7" w:rsidRDefault="00E660F2" w:rsidP="008F0588">
            <w:pPr>
              <w:rPr>
                <w:sz w:val="20"/>
                <w:szCs w:val="20"/>
              </w:rPr>
            </w:pPr>
            <w:r w:rsidRPr="008703A7">
              <w:rPr>
                <w:sz w:val="20"/>
                <w:szCs w:val="20"/>
              </w:rPr>
              <w:t>ECOG</w:t>
            </w:r>
          </w:p>
          <w:p w:rsidR="00E660F2" w:rsidRPr="008703A7" w:rsidRDefault="00E660F2" w:rsidP="008F0588">
            <w:pPr>
              <w:rPr>
                <w:sz w:val="20"/>
                <w:szCs w:val="20"/>
              </w:rPr>
            </w:pPr>
            <w:r w:rsidRPr="008703A7">
              <w:rPr>
                <w:sz w:val="20"/>
                <w:szCs w:val="20"/>
              </w:rPr>
              <w:t>0</w:t>
            </w:r>
          </w:p>
          <w:p w:rsidR="00E660F2" w:rsidRPr="008703A7" w:rsidRDefault="00E660F2" w:rsidP="008F0588">
            <w:pPr>
              <w:rPr>
                <w:sz w:val="20"/>
                <w:szCs w:val="20"/>
              </w:rPr>
            </w:pPr>
            <w:r w:rsidRPr="008703A7">
              <w:rPr>
                <w:sz w:val="20"/>
                <w:szCs w:val="20"/>
              </w:rPr>
              <w:t>1</w:t>
            </w:r>
          </w:p>
        </w:tc>
        <w:tc>
          <w:tcPr>
            <w:tcW w:w="2268" w:type="dxa"/>
          </w:tcPr>
          <w:p w:rsidR="00E660F2" w:rsidRPr="008703A7" w:rsidRDefault="00E660F2" w:rsidP="008F0588">
            <w:pPr>
              <w:rPr>
                <w:sz w:val="20"/>
                <w:szCs w:val="20"/>
              </w:rPr>
            </w:pPr>
          </w:p>
          <w:p w:rsidR="00E660F2" w:rsidRPr="008703A7" w:rsidRDefault="00E660F2" w:rsidP="008F0588">
            <w:pPr>
              <w:rPr>
                <w:sz w:val="20"/>
                <w:szCs w:val="20"/>
              </w:rPr>
            </w:pPr>
            <w:r w:rsidRPr="008703A7">
              <w:rPr>
                <w:sz w:val="20"/>
                <w:szCs w:val="20"/>
              </w:rPr>
              <w:t>77%</w:t>
            </w:r>
          </w:p>
          <w:p w:rsidR="00E660F2" w:rsidRPr="008703A7" w:rsidRDefault="00E660F2" w:rsidP="008F0588">
            <w:pPr>
              <w:rPr>
                <w:sz w:val="20"/>
                <w:szCs w:val="20"/>
              </w:rPr>
            </w:pPr>
            <w:r w:rsidRPr="008703A7">
              <w:rPr>
                <w:sz w:val="20"/>
                <w:szCs w:val="20"/>
              </w:rPr>
              <w:t>23%</w:t>
            </w:r>
          </w:p>
        </w:tc>
        <w:tc>
          <w:tcPr>
            <w:tcW w:w="2551" w:type="dxa"/>
          </w:tcPr>
          <w:p w:rsidR="00E660F2" w:rsidRPr="008703A7" w:rsidRDefault="00E660F2" w:rsidP="008F0588">
            <w:pPr>
              <w:rPr>
                <w:sz w:val="20"/>
                <w:szCs w:val="20"/>
              </w:rPr>
            </w:pPr>
          </w:p>
          <w:p w:rsidR="00E660F2" w:rsidRPr="008703A7" w:rsidRDefault="00E660F2" w:rsidP="008F0588">
            <w:pPr>
              <w:rPr>
                <w:sz w:val="20"/>
                <w:szCs w:val="20"/>
              </w:rPr>
            </w:pPr>
            <w:r w:rsidRPr="008703A7">
              <w:rPr>
                <w:sz w:val="20"/>
                <w:szCs w:val="20"/>
              </w:rPr>
              <w:t>78%</w:t>
            </w:r>
          </w:p>
          <w:p w:rsidR="00E660F2" w:rsidRPr="008703A7" w:rsidRDefault="00E660F2" w:rsidP="008F0588">
            <w:pPr>
              <w:rPr>
                <w:sz w:val="20"/>
                <w:szCs w:val="20"/>
              </w:rPr>
            </w:pPr>
            <w:r w:rsidRPr="008703A7">
              <w:rPr>
                <w:sz w:val="20"/>
                <w:szCs w:val="20"/>
              </w:rPr>
              <w:t>22%</w:t>
            </w:r>
          </w:p>
        </w:tc>
      </w:tr>
      <w:tr w:rsidR="00E660F2" w:rsidRPr="008703A7" w:rsidTr="008F0588">
        <w:tc>
          <w:tcPr>
            <w:tcW w:w="3936" w:type="dxa"/>
          </w:tcPr>
          <w:p w:rsidR="00E660F2" w:rsidRPr="008703A7" w:rsidRDefault="00E660F2" w:rsidP="008F0588">
            <w:pPr>
              <w:rPr>
                <w:sz w:val="20"/>
                <w:szCs w:val="20"/>
              </w:rPr>
            </w:pPr>
            <w:r w:rsidRPr="008703A7">
              <w:rPr>
                <w:sz w:val="20"/>
                <w:szCs w:val="20"/>
              </w:rPr>
              <w:t>T1</w:t>
            </w:r>
          </w:p>
          <w:p w:rsidR="00E660F2" w:rsidRPr="008703A7" w:rsidRDefault="00E660F2" w:rsidP="008F0588">
            <w:pPr>
              <w:rPr>
                <w:sz w:val="20"/>
                <w:szCs w:val="20"/>
              </w:rPr>
            </w:pPr>
            <w:r w:rsidRPr="008703A7">
              <w:rPr>
                <w:sz w:val="20"/>
                <w:szCs w:val="20"/>
              </w:rPr>
              <w:t>T2</w:t>
            </w:r>
          </w:p>
          <w:p w:rsidR="00E660F2" w:rsidRPr="008703A7" w:rsidRDefault="00E660F2" w:rsidP="008F0588">
            <w:pPr>
              <w:rPr>
                <w:sz w:val="20"/>
                <w:szCs w:val="20"/>
              </w:rPr>
            </w:pPr>
            <w:r w:rsidRPr="008703A7">
              <w:rPr>
                <w:sz w:val="20"/>
                <w:szCs w:val="20"/>
              </w:rPr>
              <w:t>T3</w:t>
            </w:r>
          </w:p>
          <w:p w:rsidR="00E660F2" w:rsidRPr="008703A7" w:rsidRDefault="00E660F2" w:rsidP="008F0588">
            <w:pPr>
              <w:rPr>
                <w:sz w:val="20"/>
                <w:szCs w:val="20"/>
              </w:rPr>
            </w:pPr>
            <w:r w:rsidRPr="008703A7">
              <w:rPr>
                <w:sz w:val="20"/>
                <w:szCs w:val="20"/>
              </w:rPr>
              <w:t>T4</w:t>
            </w:r>
          </w:p>
          <w:p w:rsidR="00E660F2" w:rsidRPr="008703A7" w:rsidRDefault="00E660F2" w:rsidP="008F0588">
            <w:pPr>
              <w:rPr>
                <w:sz w:val="20"/>
                <w:szCs w:val="20"/>
              </w:rPr>
            </w:pPr>
            <w:r w:rsidRPr="008703A7">
              <w:rPr>
                <w:sz w:val="20"/>
                <w:szCs w:val="20"/>
              </w:rPr>
              <w:t>TX</w:t>
            </w:r>
          </w:p>
        </w:tc>
        <w:tc>
          <w:tcPr>
            <w:tcW w:w="2268" w:type="dxa"/>
          </w:tcPr>
          <w:p w:rsidR="00E660F2" w:rsidRPr="008703A7" w:rsidRDefault="00E660F2" w:rsidP="008F0588">
            <w:pPr>
              <w:rPr>
                <w:sz w:val="20"/>
                <w:szCs w:val="20"/>
              </w:rPr>
            </w:pPr>
            <w:r w:rsidRPr="008703A7">
              <w:rPr>
                <w:sz w:val="20"/>
                <w:szCs w:val="20"/>
              </w:rPr>
              <w:t>18%</w:t>
            </w:r>
          </w:p>
          <w:p w:rsidR="00E660F2" w:rsidRPr="008703A7" w:rsidRDefault="00E660F2" w:rsidP="008F0588">
            <w:pPr>
              <w:rPr>
                <w:sz w:val="20"/>
                <w:szCs w:val="20"/>
              </w:rPr>
            </w:pPr>
            <w:r w:rsidRPr="008703A7">
              <w:rPr>
                <w:sz w:val="20"/>
                <w:szCs w:val="20"/>
              </w:rPr>
              <w:t>33%</w:t>
            </w:r>
          </w:p>
          <w:p w:rsidR="00E660F2" w:rsidRPr="008703A7" w:rsidRDefault="00E660F2" w:rsidP="008F0588">
            <w:pPr>
              <w:rPr>
                <w:sz w:val="20"/>
                <w:szCs w:val="20"/>
              </w:rPr>
            </w:pPr>
            <w:r w:rsidRPr="008703A7">
              <w:rPr>
                <w:sz w:val="20"/>
                <w:szCs w:val="20"/>
              </w:rPr>
              <w:t>37%</w:t>
            </w:r>
          </w:p>
          <w:p w:rsidR="00E660F2" w:rsidRPr="008703A7" w:rsidRDefault="00E660F2" w:rsidP="008F0588">
            <w:pPr>
              <w:rPr>
                <w:sz w:val="20"/>
                <w:szCs w:val="20"/>
              </w:rPr>
            </w:pPr>
            <w:r w:rsidRPr="008703A7">
              <w:rPr>
                <w:sz w:val="20"/>
                <w:szCs w:val="20"/>
              </w:rPr>
              <w:t>4%</w:t>
            </w:r>
          </w:p>
          <w:p w:rsidR="00E660F2" w:rsidRPr="008703A7" w:rsidRDefault="00E660F2" w:rsidP="008F0588">
            <w:pPr>
              <w:rPr>
                <w:sz w:val="20"/>
                <w:szCs w:val="20"/>
              </w:rPr>
            </w:pPr>
            <w:r w:rsidRPr="008703A7">
              <w:rPr>
                <w:sz w:val="20"/>
                <w:szCs w:val="20"/>
              </w:rPr>
              <w:t>8%</w:t>
            </w:r>
          </w:p>
        </w:tc>
        <w:tc>
          <w:tcPr>
            <w:tcW w:w="2551" w:type="dxa"/>
          </w:tcPr>
          <w:p w:rsidR="00E660F2" w:rsidRPr="008703A7" w:rsidRDefault="00E660F2" w:rsidP="008F0588">
            <w:pPr>
              <w:rPr>
                <w:sz w:val="20"/>
                <w:szCs w:val="20"/>
              </w:rPr>
            </w:pPr>
            <w:r w:rsidRPr="008703A7">
              <w:rPr>
                <w:sz w:val="20"/>
                <w:szCs w:val="20"/>
              </w:rPr>
              <w:t>16%</w:t>
            </w:r>
          </w:p>
          <w:p w:rsidR="00E660F2" w:rsidRPr="008703A7" w:rsidRDefault="00E660F2" w:rsidP="008F0588">
            <w:pPr>
              <w:rPr>
                <w:sz w:val="20"/>
                <w:szCs w:val="20"/>
              </w:rPr>
            </w:pPr>
            <w:r w:rsidRPr="008703A7">
              <w:rPr>
                <w:sz w:val="20"/>
                <w:szCs w:val="20"/>
              </w:rPr>
              <w:t>31%</w:t>
            </w:r>
          </w:p>
          <w:p w:rsidR="00E660F2" w:rsidRPr="008703A7" w:rsidRDefault="00E660F2" w:rsidP="008F0588">
            <w:pPr>
              <w:rPr>
                <w:sz w:val="20"/>
                <w:szCs w:val="20"/>
              </w:rPr>
            </w:pPr>
            <w:r w:rsidRPr="008703A7">
              <w:rPr>
                <w:sz w:val="20"/>
                <w:szCs w:val="20"/>
              </w:rPr>
              <w:t>41%</w:t>
            </w:r>
          </w:p>
          <w:p w:rsidR="00E660F2" w:rsidRPr="008703A7" w:rsidRDefault="00E660F2" w:rsidP="008F0588">
            <w:pPr>
              <w:rPr>
                <w:sz w:val="20"/>
                <w:szCs w:val="20"/>
              </w:rPr>
            </w:pPr>
            <w:r w:rsidRPr="008703A7">
              <w:rPr>
                <w:sz w:val="20"/>
                <w:szCs w:val="20"/>
              </w:rPr>
              <w:t>4%</w:t>
            </w:r>
          </w:p>
          <w:p w:rsidR="00E660F2" w:rsidRPr="008703A7" w:rsidRDefault="00E660F2" w:rsidP="008F0588">
            <w:pPr>
              <w:rPr>
                <w:sz w:val="20"/>
                <w:szCs w:val="20"/>
              </w:rPr>
            </w:pPr>
            <w:r w:rsidRPr="008703A7">
              <w:rPr>
                <w:sz w:val="20"/>
                <w:szCs w:val="20"/>
              </w:rPr>
              <w:t>7%</w:t>
            </w:r>
          </w:p>
        </w:tc>
      </w:tr>
    </w:tbl>
    <w:p w:rsidR="00E660F2" w:rsidRPr="006F70A5" w:rsidRDefault="00E660F2" w:rsidP="00E660F2">
      <w:pPr>
        <w:pStyle w:val="TableDescription"/>
      </w:pPr>
      <w:r>
        <w:t>a: flutamide, bicalutamide, nilutamide</w:t>
      </w:r>
    </w:p>
    <w:p w:rsidR="00E660F2" w:rsidRPr="009F1111" w:rsidRDefault="00E660F2" w:rsidP="00E660F2">
      <w:r>
        <w:t>23% of patients (</w:t>
      </w:r>
      <w:r w:rsidRPr="006515C9">
        <w:rPr>
          <w:rFonts w:eastAsiaTheme="minorHAnsi" w:cs="–MÉ_ˇ"/>
          <w:lang w:val="en-US"/>
        </w:rPr>
        <w:t xml:space="preserve">Eastern </w:t>
      </w:r>
      <w:r>
        <w:rPr>
          <w:rFonts w:eastAsiaTheme="minorHAnsi" w:cs="–MÉ_ˇ"/>
          <w:lang w:val="en-US"/>
        </w:rPr>
        <w:t>C</w:t>
      </w:r>
      <w:r w:rsidRPr="006515C9">
        <w:rPr>
          <w:rFonts w:eastAsiaTheme="minorHAnsi" w:cs="–MÉ_ˇ"/>
          <w:lang w:val="en-US"/>
        </w:rPr>
        <w:t xml:space="preserve">ooperative </w:t>
      </w:r>
      <w:r>
        <w:rPr>
          <w:rFonts w:eastAsiaTheme="minorHAnsi" w:cs="–MÉ_ˇ"/>
          <w:lang w:val="en-US"/>
        </w:rPr>
        <w:t>O</w:t>
      </w:r>
      <w:r w:rsidRPr="006515C9">
        <w:rPr>
          <w:rFonts w:eastAsiaTheme="minorHAnsi" w:cs="–MÉ_ˇ"/>
          <w:lang w:val="en-US"/>
        </w:rPr>
        <w:t xml:space="preserve">ncology </w:t>
      </w:r>
      <w:r>
        <w:rPr>
          <w:rFonts w:eastAsiaTheme="minorHAnsi" w:cs="–MÉ_ˇ"/>
          <w:lang w:val="en-US"/>
        </w:rPr>
        <w:t>G</w:t>
      </w:r>
      <w:r w:rsidRPr="006515C9">
        <w:rPr>
          <w:rFonts w:eastAsiaTheme="minorHAnsi" w:cs="–MÉ_ˇ"/>
          <w:lang w:val="en-US"/>
        </w:rPr>
        <w:t xml:space="preserve">roup </w:t>
      </w:r>
      <w:r>
        <w:rPr>
          <w:rFonts w:eastAsiaTheme="minorHAnsi" w:cs="–MÉ_ˇ"/>
          <w:lang w:val="en-US"/>
        </w:rPr>
        <w:t>P</w:t>
      </w:r>
      <w:r w:rsidRPr="006515C9">
        <w:rPr>
          <w:rFonts w:eastAsiaTheme="minorHAnsi" w:cs="–MÉ_ˇ"/>
          <w:lang w:val="en-US"/>
        </w:rPr>
        <w:t xml:space="preserve">erformance </w:t>
      </w:r>
      <w:r>
        <w:rPr>
          <w:rFonts w:eastAsiaTheme="minorHAnsi" w:cs="–MÉ_ˇ"/>
          <w:lang w:val="en-US"/>
        </w:rPr>
        <w:t>St</w:t>
      </w:r>
      <w:r w:rsidRPr="006515C9">
        <w:rPr>
          <w:rFonts w:eastAsiaTheme="minorHAnsi" w:cs="–MÉ_ˇ"/>
          <w:lang w:val="en-US"/>
        </w:rPr>
        <w:t>atus</w:t>
      </w:r>
      <w:r>
        <w:t xml:space="preserve"> (ECOG PS) 0 or 1) did not have a prostatectomy or radiotherapy. This might not be representative of Australian clinical practice but is probably not a material issue.</w:t>
      </w:r>
    </w:p>
    <w:p w:rsidR="00E660F2" w:rsidRPr="004B1702" w:rsidRDefault="00E660F2" w:rsidP="00E660F2">
      <w:pPr>
        <w:pStyle w:val="Heading5"/>
      </w:pPr>
      <w:r>
        <w:t>Efficacy results</w:t>
      </w:r>
    </w:p>
    <w:p w:rsidR="00E660F2" w:rsidRDefault="00E660F2" w:rsidP="00E660F2">
      <w:pPr>
        <w:pStyle w:val="mine"/>
      </w:pPr>
      <w:r>
        <w:t>The following results are as at the data cut-off of May 2017.</w:t>
      </w:r>
    </w:p>
    <w:p w:rsidR="00E660F2" w:rsidRPr="004B1702" w:rsidRDefault="00E660F2" w:rsidP="00E660F2">
      <w:pPr>
        <w:pStyle w:val="Heading6"/>
      </w:pPr>
      <w:r w:rsidRPr="00436C24">
        <w:t>Primary endpoint MFS</w:t>
      </w:r>
    </w:p>
    <w:p w:rsidR="00E660F2" w:rsidRPr="00EF5648" w:rsidRDefault="00E660F2" w:rsidP="00E660F2">
      <w:r w:rsidRPr="00FD5E6E">
        <w:t>Median follow up for MFS was 18 months.</w:t>
      </w:r>
    </w:p>
    <w:p w:rsidR="00E660F2" w:rsidRPr="00FD5E6E" w:rsidRDefault="00E660F2" w:rsidP="00E660F2">
      <w:r w:rsidRPr="00FD5E6E">
        <w:lastRenderedPageBreak/>
        <w:t>MFS</w:t>
      </w:r>
      <w:r>
        <w:t xml:space="preserve"> is </w:t>
      </w:r>
      <w:r w:rsidRPr="00FD5E6E">
        <w:t>time from randomisation to first evidence of BICR confirmed radiographically detectable bone or soft tissue distant metastasis or death due to any cause.</w:t>
      </w:r>
      <w:r>
        <w:t xml:space="preserve"> Results are shown in Table 17.</w:t>
      </w:r>
    </w:p>
    <w:p w:rsidR="00E660F2" w:rsidRDefault="00E660F2" w:rsidP="00E660F2">
      <w:pPr>
        <w:pStyle w:val="TableTitle"/>
      </w:pPr>
      <w:r w:rsidRPr="00D9572B">
        <w:t>Table 1</w:t>
      </w:r>
      <w:r>
        <w:t>7</w:t>
      </w:r>
      <w:r w:rsidRPr="00D9572B">
        <w:t>: MFS</w:t>
      </w:r>
      <w:r>
        <w:t xml:space="preserve"> follow up results</w:t>
      </w:r>
    </w:p>
    <w:tbl>
      <w:tblPr>
        <w:tblStyle w:val="TableTGAblue"/>
        <w:tblW w:w="0" w:type="auto"/>
        <w:tblLook w:val="04A0" w:firstRow="1" w:lastRow="0" w:firstColumn="1" w:lastColumn="0" w:noHBand="0" w:noVBand="1"/>
      </w:tblPr>
      <w:tblGrid>
        <w:gridCol w:w="2376"/>
        <w:gridCol w:w="2694"/>
        <w:gridCol w:w="2976"/>
      </w:tblGrid>
      <w:tr w:rsidR="00E660F2" w:rsidTr="008F0588">
        <w:trPr>
          <w:cnfStyle w:val="100000000000" w:firstRow="1" w:lastRow="0" w:firstColumn="0" w:lastColumn="0" w:oddVBand="0" w:evenVBand="0" w:oddHBand="0" w:evenHBand="0" w:firstRowFirstColumn="0" w:firstRowLastColumn="0" w:lastRowFirstColumn="0" w:lastRowLastColumn="0"/>
          <w:cantSplit/>
        </w:trPr>
        <w:tc>
          <w:tcPr>
            <w:tcW w:w="2376" w:type="dxa"/>
          </w:tcPr>
          <w:p w:rsidR="00E660F2" w:rsidRPr="004B1702" w:rsidRDefault="00E660F2" w:rsidP="008F0588">
            <w:pPr>
              <w:rPr>
                <w:sz w:val="20"/>
                <w:szCs w:val="20"/>
              </w:rPr>
            </w:pPr>
          </w:p>
        </w:tc>
        <w:tc>
          <w:tcPr>
            <w:tcW w:w="2694" w:type="dxa"/>
          </w:tcPr>
          <w:p w:rsidR="00E660F2" w:rsidRPr="004B1702" w:rsidRDefault="00E660F2" w:rsidP="008F0588">
            <w:pPr>
              <w:rPr>
                <w:sz w:val="20"/>
                <w:szCs w:val="20"/>
              </w:rPr>
            </w:pPr>
            <w:r w:rsidRPr="004B1702">
              <w:rPr>
                <w:sz w:val="20"/>
                <w:szCs w:val="20"/>
              </w:rPr>
              <w:t>Apalutamide</w:t>
            </w:r>
          </w:p>
          <w:p w:rsidR="00E660F2" w:rsidRPr="004B1702" w:rsidRDefault="00E660F2" w:rsidP="008F0588">
            <w:pPr>
              <w:rPr>
                <w:sz w:val="20"/>
                <w:szCs w:val="20"/>
              </w:rPr>
            </w:pPr>
            <w:r w:rsidRPr="004B1702">
              <w:rPr>
                <w:sz w:val="20"/>
                <w:szCs w:val="20"/>
              </w:rPr>
              <w:t>N=806</w:t>
            </w:r>
          </w:p>
        </w:tc>
        <w:tc>
          <w:tcPr>
            <w:tcW w:w="2976" w:type="dxa"/>
          </w:tcPr>
          <w:p w:rsidR="00E660F2" w:rsidRPr="004B1702" w:rsidRDefault="00E660F2" w:rsidP="008F0588">
            <w:pPr>
              <w:rPr>
                <w:sz w:val="20"/>
                <w:szCs w:val="20"/>
              </w:rPr>
            </w:pPr>
            <w:r w:rsidRPr="004B1702">
              <w:rPr>
                <w:sz w:val="20"/>
                <w:szCs w:val="20"/>
              </w:rPr>
              <w:t>Placebo</w:t>
            </w:r>
          </w:p>
          <w:p w:rsidR="00E660F2" w:rsidRPr="004B1702" w:rsidRDefault="00E660F2" w:rsidP="008F0588">
            <w:pPr>
              <w:rPr>
                <w:sz w:val="20"/>
                <w:szCs w:val="20"/>
              </w:rPr>
            </w:pPr>
            <w:r w:rsidRPr="004B1702">
              <w:rPr>
                <w:sz w:val="20"/>
                <w:szCs w:val="20"/>
              </w:rPr>
              <w:t>N=401</w:t>
            </w:r>
          </w:p>
        </w:tc>
      </w:tr>
      <w:tr w:rsidR="00E660F2" w:rsidTr="008F0588">
        <w:tc>
          <w:tcPr>
            <w:tcW w:w="2376" w:type="dxa"/>
          </w:tcPr>
          <w:p w:rsidR="00E660F2" w:rsidRPr="004B1702" w:rsidRDefault="00E660F2" w:rsidP="008F0588">
            <w:pPr>
              <w:rPr>
                <w:sz w:val="20"/>
                <w:szCs w:val="20"/>
              </w:rPr>
            </w:pPr>
            <w:r w:rsidRPr="004B1702">
              <w:rPr>
                <w:sz w:val="20"/>
                <w:szCs w:val="20"/>
              </w:rPr>
              <w:t>Events</w:t>
            </w:r>
          </w:p>
        </w:tc>
        <w:tc>
          <w:tcPr>
            <w:tcW w:w="2694" w:type="dxa"/>
          </w:tcPr>
          <w:p w:rsidR="00E660F2" w:rsidRPr="004B1702" w:rsidRDefault="00E660F2" w:rsidP="008F0588">
            <w:pPr>
              <w:rPr>
                <w:sz w:val="20"/>
                <w:szCs w:val="20"/>
              </w:rPr>
            </w:pPr>
            <w:r w:rsidRPr="004B1702">
              <w:rPr>
                <w:sz w:val="20"/>
                <w:szCs w:val="20"/>
              </w:rPr>
              <w:t>184(22.8%)</w:t>
            </w:r>
          </w:p>
        </w:tc>
        <w:tc>
          <w:tcPr>
            <w:tcW w:w="2976" w:type="dxa"/>
          </w:tcPr>
          <w:p w:rsidR="00E660F2" w:rsidRPr="004B1702" w:rsidRDefault="00E660F2" w:rsidP="008F0588">
            <w:pPr>
              <w:rPr>
                <w:sz w:val="20"/>
                <w:szCs w:val="20"/>
              </w:rPr>
            </w:pPr>
            <w:r w:rsidRPr="004B1702">
              <w:rPr>
                <w:sz w:val="20"/>
                <w:szCs w:val="20"/>
              </w:rPr>
              <w:t>194(48.4%)</w:t>
            </w:r>
          </w:p>
        </w:tc>
      </w:tr>
      <w:tr w:rsidR="00E660F2" w:rsidTr="008F0588">
        <w:tc>
          <w:tcPr>
            <w:tcW w:w="2376" w:type="dxa"/>
          </w:tcPr>
          <w:p w:rsidR="00E660F2" w:rsidRPr="004B1702" w:rsidRDefault="00E660F2" w:rsidP="008F0588">
            <w:pPr>
              <w:rPr>
                <w:sz w:val="20"/>
                <w:szCs w:val="20"/>
              </w:rPr>
            </w:pPr>
            <w:r w:rsidRPr="004B1702">
              <w:rPr>
                <w:sz w:val="20"/>
                <w:szCs w:val="20"/>
              </w:rPr>
              <w:t>Metastases</w:t>
            </w:r>
          </w:p>
        </w:tc>
        <w:tc>
          <w:tcPr>
            <w:tcW w:w="2694" w:type="dxa"/>
          </w:tcPr>
          <w:p w:rsidR="00E660F2" w:rsidRPr="004B1702" w:rsidRDefault="00E660F2" w:rsidP="008F0588">
            <w:pPr>
              <w:rPr>
                <w:sz w:val="20"/>
                <w:szCs w:val="20"/>
              </w:rPr>
            </w:pPr>
            <w:r w:rsidRPr="004B1702">
              <w:rPr>
                <w:sz w:val="20"/>
                <w:szCs w:val="20"/>
              </w:rPr>
              <w:t>175(21.7%)</w:t>
            </w:r>
          </w:p>
        </w:tc>
        <w:tc>
          <w:tcPr>
            <w:tcW w:w="2976" w:type="dxa"/>
          </w:tcPr>
          <w:p w:rsidR="00E660F2" w:rsidRPr="004B1702" w:rsidRDefault="00E660F2" w:rsidP="008F0588">
            <w:pPr>
              <w:rPr>
                <w:sz w:val="20"/>
                <w:szCs w:val="20"/>
              </w:rPr>
            </w:pPr>
            <w:r w:rsidRPr="004B1702">
              <w:rPr>
                <w:sz w:val="20"/>
                <w:szCs w:val="20"/>
              </w:rPr>
              <w:t>191(47.6%)</w:t>
            </w:r>
          </w:p>
        </w:tc>
      </w:tr>
      <w:tr w:rsidR="00E660F2" w:rsidTr="008F0588">
        <w:tc>
          <w:tcPr>
            <w:tcW w:w="2376" w:type="dxa"/>
          </w:tcPr>
          <w:p w:rsidR="00E660F2" w:rsidRPr="004B1702" w:rsidRDefault="00E660F2" w:rsidP="008F0588">
            <w:pPr>
              <w:ind w:left="426"/>
              <w:rPr>
                <w:sz w:val="20"/>
                <w:szCs w:val="20"/>
              </w:rPr>
            </w:pPr>
            <w:r w:rsidRPr="004B1702">
              <w:rPr>
                <w:sz w:val="20"/>
                <w:szCs w:val="20"/>
              </w:rPr>
              <w:t xml:space="preserve"> Bone only</w:t>
            </w:r>
          </w:p>
        </w:tc>
        <w:tc>
          <w:tcPr>
            <w:tcW w:w="2694" w:type="dxa"/>
          </w:tcPr>
          <w:p w:rsidR="00E660F2" w:rsidRPr="004B1702" w:rsidRDefault="00E660F2" w:rsidP="008F0588">
            <w:pPr>
              <w:rPr>
                <w:sz w:val="20"/>
                <w:szCs w:val="20"/>
              </w:rPr>
            </w:pPr>
            <w:r w:rsidRPr="004B1702">
              <w:rPr>
                <w:sz w:val="20"/>
                <w:szCs w:val="20"/>
              </w:rPr>
              <w:t>95</w:t>
            </w:r>
            <w:r>
              <w:rPr>
                <w:sz w:val="20"/>
                <w:szCs w:val="20"/>
              </w:rPr>
              <w:t xml:space="preserve"> </w:t>
            </w:r>
            <w:r w:rsidRPr="004B1702">
              <w:rPr>
                <w:sz w:val="20"/>
                <w:szCs w:val="20"/>
              </w:rPr>
              <w:t>(11.7%)</w:t>
            </w:r>
          </w:p>
        </w:tc>
        <w:tc>
          <w:tcPr>
            <w:tcW w:w="2976" w:type="dxa"/>
          </w:tcPr>
          <w:p w:rsidR="00E660F2" w:rsidRPr="004B1702" w:rsidRDefault="00E660F2" w:rsidP="008F0588">
            <w:pPr>
              <w:rPr>
                <w:sz w:val="20"/>
                <w:szCs w:val="20"/>
              </w:rPr>
            </w:pPr>
            <w:r w:rsidRPr="004B1702">
              <w:rPr>
                <w:sz w:val="20"/>
                <w:szCs w:val="20"/>
              </w:rPr>
              <w:t>81</w:t>
            </w:r>
            <w:r>
              <w:rPr>
                <w:sz w:val="20"/>
                <w:szCs w:val="20"/>
              </w:rPr>
              <w:t xml:space="preserve"> </w:t>
            </w:r>
            <w:r w:rsidRPr="004B1702">
              <w:rPr>
                <w:sz w:val="20"/>
                <w:szCs w:val="20"/>
              </w:rPr>
              <w:t>(20.2%)</w:t>
            </w:r>
          </w:p>
        </w:tc>
      </w:tr>
      <w:tr w:rsidR="00E660F2" w:rsidTr="008F0588">
        <w:tc>
          <w:tcPr>
            <w:tcW w:w="2376" w:type="dxa"/>
          </w:tcPr>
          <w:p w:rsidR="00E660F2" w:rsidRPr="004B1702" w:rsidRDefault="00E660F2" w:rsidP="008F0588">
            <w:pPr>
              <w:ind w:left="426"/>
              <w:rPr>
                <w:sz w:val="20"/>
                <w:szCs w:val="20"/>
              </w:rPr>
            </w:pPr>
            <w:r w:rsidRPr="004B1702">
              <w:rPr>
                <w:sz w:val="20"/>
                <w:szCs w:val="20"/>
              </w:rPr>
              <w:t xml:space="preserve"> Soft tissue only</w:t>
            </w:r>
          </w:p>
        </w:tc>
        <w:tc>
          <w:tcPr>
            <w:tcW w:w="2694" w:type="dxa"/>
          </w:tcPr>
          <w:p w:rsidR="00E660F2" w:rsidRPr="004B1702" w:rsidRDefault="00E660F2" w:rsidP="008F0588">
            <w:pPr>
              <w:rPr>
                <w:sz w:val="20"/>
                <w:szCs w:val="20"/>
              </w:rPr>
            </w:pPr>
            <w:r w:rsidRPr="004B1702">
              <w:rPr>
                <w:sz w:val="20"/>
                <w:szCs w:val="20"/>
              </w:rPr>
              <w:t>63</w:t>
            </w:r>
            <w:r>
              <w:rPr>
                <w:sz w:val="20"/>
                <w:szCs w:val="20"/>
              </w:rPr>
              <w:t xml:space="preserve"> </w:t>
            </w:r>
            <w:r w:rsidRPr="004B1702">
              <w:rPr>
                <w:sz w:val="20"/>
                <w:szCs w:val="20"/>
              </w:rPr>
              <w:t>(7.8%)</w:t>
            </w:r>
          </w:p>
        </w:tc>
        <w:tc>
          <w:tcPr>
            <w:tcW w:w="2976" w:type="dxa"/>
          </w:tcPr>
          <w:p w:rsidR="00E660F2" w:rsidRPr="004B1702" w:rsidRDefault="00E660F2" w:rsidP="008F0588">
            <w:pPr>
              <w:rPr>
                <w:sz w:val="20"/>
                <w:szCs w:val="20"/>
              </w:rPr>
            </w:pPr>
            <w:r w:rsidRPr="004B1702">
              <w:rPr>
                <w:sz w:val="20"/>
                <w:szCs w:val="20"/>
              </w:rPr>
              <w:t>82</w:t>
            </w:r>
            <w:r>
              <w:rPr>
                <w:sz w:val="20"/>
                <w:szCs w:val="20"/>
              </w:rPr>
              <w:t xml:space="preserve"> </w:t>
            </w:r>
            <w:r w:rsidRPr="004B1702">
              <w:rPr>
                <w:sz w:val="20"/>
                <w:szCs w:val="20"/>
              </w:rPr>
              <w:t>(20.4%)</w:t>
            </w:r>
          </w:p>
        </w:tc>
      </w:tr>
      <w:tr w:rsidR="00E660F2" w:rsidTr="008F0588">
        <w:tc>
          <w:tcPr>
            <w:tcW w:w="2376" w:type="dxa"/>
          </w:tcPr>
          <w:p w:rsidR="00E660F2" w:rsidRPr="004B1702" w:rsidRDefault="00E660F2" w:rsidP="008F0588">
            <w:pPr>
              <w:ind w:left="426"/>
              <w:rPr>
                <w:sz w:val="20"/>
                <w:szCs w:val="20"/>
              </w:rPr>
            </w:pPr>
            <w:r w:rsidRPr="004B1702">
              <w:rPr>
                <w:sz w:val="20"/>
                <w:szCs w:val="20"/>
              </w:rPr>
              <w:t xml:space="preserve"> Both</w:t>
            </w:r>
          </w:p>
        </w:tc>
        <w:tc>
          <w:tcPr>
            <w:tcW w:w="2694" w:type="dxa"/>
          </w:tcPr>
          <w:p w:rsidR="00E660F2" w:rsidRPr="004B1702" w:rsidRDefault="00E660F2" w:rsidP="008F0588">
            <w:pPr>
              <w:rPr>
                <w:sz w:val="20"/>
                <w:szCs w:val="20"/>
              </w:rPr>
            </w:pPr>
            <w:r w:rsidRPr="004B1702">
              <w:rPr>
                <w:sz w:val="20"/>
                <w:szCs w:val="20"/>
              </w:rPr>
              <w:t>17</w:t>
            </w:r>
            <w:r>
              <w:rPr>
                <w:sz w:val="20"/>
                <w:szCs w:val="20"/>
              </w:rPr>
              <w:t xml:space="preserve"> </w:t>
            </w:r>
            <w:r w:rsidRPr="004B1702">
              <w:rPr>
                <w:sz w:val="20"/>
                <w:szCs w:val="20"/>
              </w:rPr>
              <w:t>(2.1%)</w:t>
            </w:r>
          </w:p>
        </w:tc>
        <w:tc>
          <w:tcPr>
            <w:tcW w:w="2976" w:type="dxa"/>
          </w:tcPr>
          <w:p w:rsidR="00E660F2" w:rsidRPr="004B1702" w:rsidRDefault="00E660F2" w:rsidP="008F0588">
            <w:pPr>
              <w:rPr>
                <w:sz w:val="20"/>
                <w:szCs w:val="20"/>
              </w:rPr>
            </w:pPr>
            <w:r w:rsidRPr="004B1702">
              <w:rPr>
                <w:sz w:val="20"/>
                <w:szCs w:val="20"/>
              </w:rPr>
              <w:t>28</w:t>
            </w:r>
            <w:r>
              <w:rPr>
                <w:sz w:val="20"/>
                <w:szCs w:val="20"/>
              </w:rPr>
              <w:t xml:space="preserve"> </w:t>
            </w:r>
            <w:r w:rsidRPr="004B1702">
              <w:rPr>
                <w:sz w:val="20"/>
                <w:szCs w:val="20"/>
              </w:rPr>
              <w:t>(7.0%)</w:t>
            </w:r>
          </w:p>
        </w:tc>
      </w:tr>
      <w:tr w:rsidR="00E660F2" w:rsidTr="008F0588">
        <w:tc>
          <w:tcPr>
            <w:tcW w:w="2376" w:type="dxa"/>
          </w:tcPr>
          <w:p w:rsidR="00E660F2" w:rsidRPr="004B1702" w:rsidRDefault="00E660F2" w:rsidP="008F0588">
            <w:pPr>
              <w:rPr>
                <w:sz w:val="20"/>
                <w:szCs w:val="20"/>
              </w:rPr>
            </w:pPr>
            <w:r w:rsidRPr="004B1702">
              <w:rPr>
                <w:sz w:val="20"/>
                <w:szCs w:val="20"/>
              </w:rPr>
              <w:t>Death</w:t>
            </w:r>
          </w:p>
        </w:tc>
        <w:tc>
          <w:tcPr>
            <w:tcW w:w="2694" w:type="dxa"/>
          </w:tcPr>
          <w:p w:rsidR="00E660F2" w:rsidRPr="004B1702" w:rsidRDefault="00E660F2" w:rsidP="008F0588">
            <w:pPr>
              <w:rPr>
                <w:sz w:val="20"/>
                <w:szCs w:val="20"/>
              </w:rPr>
            </w:pPr>
            <w:r w:rsidRPr="004B1702">
              <w:rPr>
                <w:sz w:val="20"/>
                <w:szCs w:val="20"/>
              </w:rPr>
              <w:t>9(1.1%)</w:t>
            </w:r>
          </w:p>
        </w:tc>
        <w:tc>
          <w:tcPr>
            <w:tcW w:w="2976" w:type="dxa"/>
          </w:tcPr>
          <w:p w:rsidR="00E660F2" w:rsidRPr="004B1702" w:rsidRDefault="00E660F2" w:rsidP="008F0588">
            <w:pPr>
              <w:rPr>
                <w:sz w:val="20"/>
                <w:szCs w:val="20"/>
              </w:rPr>
            </w:pPr>
            <w:r w:rsidRPr="004B1702">
              <w:rPr>
                <w:sz w:val="20"/>
                <w:szCs w:val="20"/>
              </w:rPr>
              <w:t>3(0.7%)</w:t>
            </w:r>
          </w:p>
        </w:tc>
      </w:tr>
      <w:tr w:rsidR="00E660F2" w:rsidTr="008F0588">
        <w:tc>
          <w:tcPr>
            <w:tcW w:w="2376" w:type="dxa"/>
          </w:tcPr>
          <w:p w:rsidR="00E660F2" w:rsidRPr="004B1702" w:rsidRDefault="00E660F2" w:rsidP="008F0588">
            <w:pPr>
              <w:rPr>
                <w:sz w:val="20"/>
                <w:szCs w:val="20"/>
              </w:rPr>
            </w:pPr>
            <w:r w:rsidRPr="004B1702">
              <w:rPr>
                <w:sz w:val="20"/>
                <w:szCs w:val="20"/>
              </w:rPr>
              <w:t>M</w:t>
            </w:r>
            <w:r>
              <w:rPr>
                <w:sz w:val="20"/>
                <w:szCs w:val="20"/>
              </w:rPr>
              <w:t>edian</w:t>
            </w:r>
            <w:r w:rsidRPr="004B1702">
              <w:rPr>
                <w:sz w:val="20"/>
                <w:szCs w:val="20"/>
              </w:rPr>
              <w:t xml:space="preserve"> (95% CI)</w:t>
            </w:r>
          </w:p>
        </w:tc>
        <w:tc>
          <w:tcPr>
            <w:tcW w:w="2694" w:type="dxa"/>
          </w:tcPr>
          <w:p w:rsidR="00E660F2" w:rsidRPr="004B1702" w:rsidRDefault="00E660F2" w:rsidP="008F0588">
            <w:pPr>
              <w:rPr>
                <w:sz w:val="20"/>
                <w:szCs w:val="20"/>
              </w:rPr>
            </w:pPr>
            <w:r w:rsidRPr="004B1702">
              <w:rPr>
                <w:sz w:val="20"/>
                <w:szCs w:val="20"/>
              </w:rPr>
              <w:t>40.5 mo</w:t>
            </w:r>
            <w:r>
              <w:rPr>
                <w:sz w:val="20"/>
                <w:szCs w:val="20"/>
              </w:rPr>
              <w:t>nths</w:t>
            </w:r>
            <w:r w:rsidRPr="004B1702">
              <w:rPr>
                <w:sz w:val="20"/>
                <w:szCs w:val="20"/>
              </w:rPr>
              <w:t xml:space="preserve"> (NE, NE)</w:t>
            </w:r>
          </w:p>
        </w:tc>
        <w:tc>
          <w:tcPr>
            <w:tcW w:w="2976" w:type="dxa"/>
          </w:tcPr>
          <w:p w:rsidR="00E660F2" w:rsidRPr="004B1702" w:rsidRDefault="00E660F2" w:rsidP="008F0588">
            <w:pPr>
              <w:rPr>
                <w:sz w:val="20"/>
                <w:szCs w:val="20"/>
              </w:rPr>
            </w:pPr>
            <w:r w:rsidRPr="004B1702">
              <w:rPr>
                <w:sz w:val="20"/>
                <w:szCs w:val="20"/>
              </w:rPr>
              <w:t>16.2 mo</w:t>
            </w:r>
            <w:r>
              <w:rPr>
                <w:sz w:val="20"/>
                <w:szCs w:val="20"/>
              </w:rPr>
              <w:t>nths</w:t>
            </w:r>
            <w:r w:rsidRPr="004B1702">
              <w:rPr>
                <w:sz w:val="20"/>
                <w:szCs w:val="20"/>
              </w:rPr>
              <w:t xml:space="preserve"> (14.6, 18.4)</w:t>
            </w:r>
          </w:p>
        </w:tc>
      </w:tr>
      <w:tr w:rsidR="00E660F2" w:rsidTr="008F0588">
        <w:tc>
          <w:tcPr>
            <w:tcW w:w="2376" w:type="dxa"/>
          </w:tcPr>
          <w:p w:rsidR="00E660F2" w:rsidRPr="004B1702" w:rsidRDefault="00E660F2" w:rsidP="008F0588">
            <w:pPr>
              <w:rPr>
                <w:sz w:val="20"/>
                <w:szCs w:val="20"/>
              </w:rPr>
            </w:pPr>
            <w:r w:rsidRPr="004B1702">
              <w:rPr>
                <w:sz w:val="20"/>
                <w:szCs w:val="20"/>
              </w:rPr>
              <w:t>HR</w:t>
            </w:r>
          </w:p>
        </w:tc>
        <w:tc>
          <w:tcPr>
            <w:tcW w:w="5670" w:type="dxa"/>
            <w:gridSpan w:val="2"/>
          </w:tcPr>
          <w:p w:rsidR="00E660F2" w:rsidRPr="004B1702" w:rsidRDefault="00E660F2" w:rsidP="008F0588">
            <w:pPr>
              <w:rPr>
                <w:sz w:val="20"/>
                <w:szCs w:val="20"/>
              </w:rPr>
            </w:pPr>
            <w:r w:rsidRPr="004B1702">
              <w:rPr>
                <w:sz w:val="20"/>
                <w:szCs w:val="20"/>
              </w:rPr>
              <w:t>0.28 (0.23, 0.35), p&lt;0.0001</w:t>
            </w:r>
          </w:p>
        </w:tc>
      </w:tr>
    </w:tbl>
    <w:p w:rsidR="00E660F2" w:rsidRDefault="00E660F2" w:rsidP="00E660F2">
      <w:r>
        <w:t>The placebo arm (median = 16 months) underperformed relative to the assumption that median (MFS) would be 25 months in this arm (see ‘sample size’, above). However, the baseline characteristics were balanced between the apalutamide and placebo arms. Subgroup MFS analyses are shown in Table 18.</w:t>
      </w:r>
    </w:p>
    <w:p w:rsidR="00E660F2" w:rsidRDefault="00E660F2" w:rsidP="00E660F2">
      <w:pPr>
        <w:pStyle w:val="TableTitle"/>
      </w:pPr>
      <w:r>
        <w:t>Table 18: Subgroup analyses MFS</w:t>
      </w:r>
    </w:p>
    <w:tbl>
      <w:tblPr>
        <w:tblStyle w:val="TableTGAblue"/>
        <w:tblW w:w="0" w:type="auto"/>
        <w:tblLook w:val="04A0" w:firstRow="1" w:lastRow="0" w:firstColumn="1" w:lastColumn="0" w:noHBand="0" w:noVBand="1"/>
      </w:tblPr>
      <w:tblGrid>
        <w:gridCol w:w="2660"/>
        <w:gridCol w:w="2126"/>
        <w:gridCol w:w="1843"/>
        <w:gridCol w:w="1559"/>
      </w:tblGrid>
      <w:tr w:rsidR="00E660F2" w:rsidTr="008F0588">
        <w:trPr>
          <w:cnfStyle w:val="100000000000" w:firstRow="1" w:lastRow="0" w:firstColumn="0" w:lastColumn="0" w:oddVBand="0" w:evenVBand="0" w:oddHBand="0" w:evenHBand="0" w:firstRowFirstColumn="0" w:firstRowLastColumn="0" w:lastRowFirstColumn="0" w:lastRowLastColumn="0"/>
        </w:trPr>
        <w:tc>
          <w:tcPr>
            <w:tcW w:w="2660" w:type="dxa"/>
          </w:tcPr>
          <w:p w:rsidR="00E660F2" w:rsidRPr="001554EB" w:rsidRDefault="00E660F2" w:rsidP="008F0588">
            <w:pPr>
              <w:rPr>
                <w:sz w:val="20"/>
                <w:szCs w:val="20"/>
              </w:rPr>
            </w:pPr>
          </w:p>
        </w:tc>
        <w:tc>
          <w:tcPr>
            <w:tcW w:w="2126" w:type="dxa"/>
          </w:tcPr>
          <w:p w:rsidR="00E660F2" w:rsidRPr="001554EB" w:rsidRDefault="00E660F2" w:rsidP="008F0588">
            <w:pPr>
              <w:rPr>
                <w:sz w:val="20"/>
                <w:szCs w:val="20"/>
              </w:rPr>
            </w:pPr>
            <w:r w:rsidRPr="001554EB">
              <w:rPr>
                <w:sz w:val="20"/>
                <w:szCs w:val="20"/>
              </w:rPr>
              <w:t>Apalutamide</w:t>
            </w:r>
          </w:p>
          <w:p w:rsidR="00E660F2" w:rsidRPr="001554EB" w:rsidRDefault="00E660F2" w:rsidP="008F0588">
            <w:pPr>
              <w:rPr>
                <w:sz w:val="20"/>
                <w:szCs w:val="20"/>
              </w:rPr>
            </w:pPr>
            <w:r w:rsidRPr="001554EB">
              <w:rPr>
                <w:sz w:val="20"/>
                <w:szCs w:val="20"/>
              </w:rPr>
              <w:t>M</w:t>
            </w:r>
            <w:r>
              <w:rPr>
                <w:sz w:val="20"/>
                <w:szCs w:val="20"/>
              </w:rPr>
              <w:t xml:space="preserve">edian </w:t>
            </w:r>
            <w:r w:rsidRPr="001554EB">
              <w:rPr>
                <w:sz w:val="20"/>
                <w:szCs w:val="20"/>
              </w:rPr>
              <w:t>(MFS)</w:t>
            </w:r>
          </w:p>
          <w:p w:rsidR="00E660F2" w:rsidRPr="001554EB" w:rsidRDefault="00E660F2" w:rsidP="008F0588">
            <w:pPr>
              <w:rPr>
                <w:sz w:val="20"/>
                <w:szCs w:val="20"/>
              </w:rPr>
            </w:pPr>
            <w:r w:rsidRPr="001554EB">
              <w:rPr>
                <w:sz w:val="20"/>
                <w:szCs w:val="20"/>
              </w:rPr>
              <w:t>months</w:t>
            </w:r>
          </w:p>
        </w:tc>
        <w:tc>
          <w:tcPr>
            <w:tcW w:w="1843" w:type="dxa"/>
          </w:tcPr>
          <w:p w:rsidR="00E660F2" w:rsidRPr="001554EB" w:rsidRDefault="00E660F2" w:rsidP="008F0588">
            <w:pPr>
              <w:rPr>
                <w:sz w:val="20"/>
                <w:szCs w:val="20"/>
              </w:rPr>
            </w:pPr>
            <w:r w:rsidRPr="001554EB">
              <w:rPr>
                <w:sz w:val="20"/>
                <w:szCs w:val="20"/>
              </w:rPr>
              <w:t>Placebo</w:t>
            </w:r>
          </w:p>
          <w:p w:rsidR="00E660F2" w:rsidRPr="001554EB" w:rsidRDefault="00E660F2" w:rsidP="008F0588">
            <w:pPr>
              <w:rPr>
                <w:sz w:val="20"/>
                <w:szCs w:val="20"/>
              </w:rPr>
            </w:pPr>
            <w:r w:rsidRPr="001554EB">
              <w:rPr>
                <w:sz w:val="20"/>
                <w:szCs w:val="20"/>
              </w:rPr>
              <w:t>M</w:t>
            </w:r>
            <w:r>
              <w:rPr>
                <w:sz w:val="20"/>
                <w:szCs w:val="20"/>
              </w:rPr>
              <w:t xml:space="preserve">edian </w:t>
            </w:r>
            <w:r w:rsidRPr="001554EB">
              <w:rPr>
                <w:sz w:val="20"/>
                <w:szCs w:val="20"/>
              </w:rPr>
              <w:t>(MFS)</w:t>
            </w:r>
          </w:p>
          <w:p w:rsidR="00E660F2" w:rsidRPr="001554EB" w:rsidRDefault="00E660F2" w:rsidP="008F0588">
            <w:pPr>
              <w:rPr>
                <w:sz w:val="20"/>
                <w:szCs w:val="20"/>
              </w:rPr>
            </w:pPr>
            <w:r w:rsidRPr="001554EB">
              <w:rPr>
                <w:sz w:val="20"/>
                <w:szCs w:val="20"/>
              </w:rPr>
              <w:t>months</w:t>
            </w:r>
          </w:p>
        </w:tc>
        <w:tc>
          <w:tcPr>
            <w:tcW w:w="1559" w:type="dxa"/>
          </w:tcPr>
          <w:p w:rsidR="00E660F2" w:rsidRPr="001554EB" w:rsidRDefault="00E660F2" w:rsidP="008F0588">
            <w:pPr>
              <w:rPr>
                <w:sz w:val="20"/>
                <w:szCs w:val="20"/>
              </w:rPr>
            </w:pPr>
            <w:r w:rsidRPr="001554EB">
              <w:rPr>
                <w:sz w:val="20"/>
                <w:szCs w:val="20"/>
              </w:rPr>
              <w:t>HR</w:t>
            </w:r>
          </w:p>
        </w:tc>
      </w:tr>
      <w:tr w:rsidR="00E660F2" w:rsidTr="008F0588">
        <w:tc>
          <w:tcPr>
            <w:tcW w:w="2660" w:type="dxa"/>
          </w:tcPr>
          <w:p w:rsidR="00E660F2" w:rsidRPr="001554EB" w:rsidRDefault="00E660F2" w:rsidP="008F0588">
            <w:pPr>
              <w:rPr>
                <w:b/>
                <w:sz w:val="20"/>
                <w:szCs w:val="20"/>
              </w:rPr>
            </w:pPr>
            <w:r w:rsidRPr="001554EB">
              <w:rPr>
                <w:b/>
                <w:sz w:val="20"/>
                <w:szCs w:val="20"/>
              </w:rPr>
              <w:t>Age</w:t>
            </w:r>
          </w:p>
          <w:p w:rsidR="00E660F2" w:rsidRPr="001554EB" w:rsidRDefault="00E660F2" w:rsidP="008F0588">
            <w:pPr>
              <w:rPr>
                <w:sz w:val="20"/>
                <w:szCs w:val="20"/>
              </w:rPr>
            </w:pPr>
            <w:r w:rsidRPr="001554EB">
              <w:rPr>
                <w:sz w:val="20"/>
                <w:szCs w:val="20"/>
              </w:rPr>
              <w:t>&lt;65</w:t>
            </w:r>
          </w:p>
          <w:p w:rsidR="00E660F2" w:rsidRPr="001554EB" w:rsidRDefault="00E660F2" w:rsidP="008F0588">
            <w:pPr>
              <w:rPr>
                <w:sz w:val="20"/>
                <w:szCs w:val="20"/>
              </w:rPr>
            </w:pPr>
            <w:r w:rsidRPr="001554EB">
              <w:rPr>
                <w:sz w:val="20"/>
                <w:szCs w:val="20"/>
              </w:rPr>
              <w:t>65</w:t>
            </w:r>
            <w:r>
              <w:rPr>
                <w:sz w:val="20"/>
                <w:szCs w:val="20"/>
              </w:rPr>
              <w:t xml:space="preserve"> to </w:t>
            </w:r>
            <w:r w:rsidRPr="001554EB">
              <w:rPr>
                <w:sz w:val="20"/>
                <w:szCs w:val="20"/>
              </w:rPr>
              <w:t>74</w:t>
            </w:r>
          </w:p>
          <w:p w:rsidR="00E660F2" w:rsidRPr="001554EB" w:rsidRDefault="00E660F2" w:rsidP="008F0588">
            <w:pPr>
              <w:rPr>
                <w:sz w:val="20"/>
                <w:szCs w:val="20"/>
              </w:rPr>
            </w:pPr>
            <w:r w:rsidRPr="001554EB">
              <w:rPr>
                <w:sz w:val="20"/>
                <w:szCs w:val="20"/>
              </w:rPr>
              <w:t>75+</w:t>
            </w:r>
          </w:p>
        </w:tc>
        <w:tc>
          <w:tcPr>
            <w:tcW w:w="2126" w:type="dxa"/>
          </w:tcPr>
          <w:p w:rsidR="00E660F2" w:rsidRPr="001554EB" w:rsidRDefault="00E660F2" w:rsidP="008F0588">
            <w:pPr>
              <w:rPr>
                <w:sz w:val="20"/>
                <w:szCs w:val="20"/>
              </w:rPr>
            </w:pPr>
          </w:p>
          <w:p w:rsidR="00E660F2" w:rsidRPr="001554EB" w:rsidRDefault="00E660F2" w:rsidP="008F0588">
            <w:pPr>
              <w:rPr>
                <w:sz w:val="20"/>
                <w:szCs w:val="20"/>
              </w:rPr>
            </w:pPr>
            <w:r w:rsidRPr="001554EB">
              <w:rPr>
                <w:sz w:val="20"/>
                <w:szCs w:val="20"/>
              </w:rPr>
              <w:t>NE</w:t>
            </w:r>
          </w:p>
          <w:p w:rsidR="00E660F2" w:rsidRPr="001554EB" w:rsidRDefault="00E660F2" w:rsidP="008F0588">
            <w:pPr>
              <w:rPr>
                <w:sz w:val="20"/>
                <w:szCs w:val="20"/>
              </w:rPr>
            </w:pPr>
            <w:r w:rsidRPr="001554EB">
              <w:rPr>
                <w:sz w:val="20"/>
                <w:szCs w:val="20"/>
              </w:rPr>
              <w:t>NE</w:t>
            </w:r>
          </w:p>
          <w:p w:rsidR="00E660F2" w:rsidRPr="001554EB" w:rsidRDefault="00E660F2" w:rsidP="008F0588">
            <w:pPr>
              <w:rPr>
                <w:sz w:val="20"/>
                <w:szCs w:val="20"/>
              </w:rPr>
            </w:pPr>
            <w:r w:rsidRPr="001554EB">
              <w:rPr>
                <w:sz w:val="20"/>
                <w:szCs w:val="20"/>
              </w:rPr>
              <w:t>41</w:t>
            </w:r>
          </w:p>
        </w:tc>
        <w:tc>
          <w:tcPr>
            <w:tcW w:w="1843" w:type="dxa"/>
          </w:tcPr>
          <w:p w:rsidR="00E660F2" w:rsidRPr="001554EB" w:rsidRDefault="00E660F2" w:rsidP="008F0588">
            <w:pPr>
              <w:rPr>
                <w:sz w:val="20"/>
                <w:szCs w:val="20"/>
              </w:rPr>
            </w:pPr>
          </w:p>
          <w:p w:rsidR="00E660F2" w:rsidRPr="001554EB" w:rsidRDefault="00E660F2" w:rsidP="008F0588">
            <w:pPr>
              <w:rPr>
                <w:sz w:val="20"/>
                <w:szCs w:val="20"/>
              </w:rPr>
            </w:pPr>
            <w:r w:rsidRPr="001554EB">
              <w:rPr>
                <w:sz w:val="20"/>
                <w:szCs w:val="20"/>
              </w:rPr>
              <w:t>7</w:t>
            </w:r>
          </w:p>
          <w:p w:rsidR="00E660F2" w:rsidRPr="001554EB" w:rsidRDefault="00E660F2" w:rsidP="008F0588">
            <w:pPr>
              <w:rPr>
                <w:sz w:val="20"/>
                <w:szCs w:val="20"/>
              </w:rPr>
            </w:pPr>
            <w:r w:rsidRPr="001554EB">
              <w:rPr>
                <w:sz w:val="20"/>
                <w:szCs w:val="20"/>
              </w:rPr>
              <w:t>15</w:t>
            </w:r>
          </w:p>
          <w:p w:rsidR="00E660F2" w:rsidRPr="001554EB" w:rsidRDefault="00E660F2" w:rsidP="008F0588">
            <w:pPr>
              <w:rPr>
                <w:sz w:val="20"/>
                <w:szCs w:val="20"/>
              </w:rPr>
            </w:pPr>
            <w:r w:rsidRPr="001554EB">
              <w:rPr>
                <w:sz w:val="20"/>
                <w:szCs w:val="20"/>
              </w:rPr>
              <w:t>19</w:t>
            </w:r>
          </w:p>
        </w:tc>
        <w:tc>
          <w:tcPr>
            <w:tcW w:w="1559" w:type="dxa"/>
          </w:tcPr>
          <w:p w:rsidR="00E660F2" w:rsidRPr="001554EB" w:rsidRDefault="00E660F2" w:rsidP="008F0588">
            <w:pPr>
              <w:rPr>
                <w:sz w:val="20"/>
                <w:szCs w:val="20"/>
              </w:rPr>
            </w:pPr>
          </w:p>
          <w:p w:rsidR="00E660F2" w:rsidRPr="001554EB" w:rsidRDefault="00E660F2" w:rsidP="008F0588">
            <w:pPr>
              <w:rPr>
                <w:sz w:val="20"/>
                <w:szCs w:val="20"/>
              </w:rPr>
            </w:pPr>
            <w:r w:rsidRPr="001554EB">
              <w:rPr>
                <w:sz w:val="20"/>
                <w:szCs w:val="20"/>
              </w:rPr>
              <w:t>0.14</w:t>
            </w:r>
          </w:p>
          <w:p w:rsidR="00E660F2" w:rsidRPr="001554EB" w:rsidRDefault="00E660F2" w:rsidP="008F0588">
            <w:pPr>
              <w:rPr>
                <w:sz w:val="20"/>
                <w:szCs w:val="20"/>
              </w:rPr>
            </w:pPr>
            <w:r w:rsidRPr="001554EB">
              <w:rPr>
                <w:sz w:val="20"/>
                <w:szCs w:val="20"/>
              </w:rPr>
              <w:t>0.25</w:t>
            </w:r>
          </w:p>
          <w:p w:rsidR="00E660F2" w:rsidRPr="001554EB" w:rsidRDefault="00E660F2" w:rsidP="008F0588">
            <w:pPr>
              <w:rPr>
                <w:sz w:val="20"/>
                <w:szCs w:val="20"/>
              </w:rPr>
            </w:pPr>
            <w:r w:rsidRPr="001554EB">
              <w:rPr>
                <w:sz w:val="20"/>
                <w:szCs w:val="20"/>
              </w:rPr>
              <w:t>0.42</w:t>
            </w:r>
          </w:p>
        </w:tc>
      </w:tr>
      <w:tr w:rsidR="00E660F2" w:rsidTr="008F0588">
        <w:tc>
          <w:tcPr>
            <w:tcW w:w="2660" w:type="dxa"/>
          </w:tcPr>
          <w:p w:rsidR="00E660F2" w:rsidRPr="001554EB" w:rsidRDefault="00E660F2" w:rsidP="008F0588">
            <w:pPr>
              <w:rPr>
                <w:b/>
                <w:sz w:val="20"/>
                <w:szCs w:val="20"/>
              </w:rPr>
            </w:pPr>
            <w:r w:rsidRPr="001554EB">
              <w:rPr>
                <w:b/>
                <w:sz w:val="20"/>
                <w:szCs w:val="20"/>
              </w:rPr>
              <w:t>Region</w:t>
            </w:r>
          </w:p>
          <w:p w:rsidR="00E660F2" w:rsidRPr="001554EB" w:rsidRDefault="00E660F2" w:rsidP="008F0588">
            <w:pPr>
              <w:rPr>
                <w:sz w:val="20"/>
                <w:szCs w:val="20"/>
              </w:rPr>
            </w:pPr>
            <w:r w:rsidRPr="001554EB">
              <w:rPr>
                <w:sz w:val="20"/>
                <w:szCs w:val="20"/>
              </w:rPr>
              <w:t>N</w:t>
            </w:r>
            <w:r>
              <w:rPr>
                <w:sz w:val="20"/>
                <w:szCs w:val="20"/>
              </w:rPr>
              <w:t>orth</w:t>
            </w:r>
            <w:r w:rsidRPr="001554EB">
              <w:rPr>
                <w:sz w:val="20"/>
                <w:szCs w:val="20"/>
              </w:rPr>
              <w:t xml:space="preserve"> Am</w:t>
            </w:r>
            <w:r>
              <w:rPr>
                <w:sz w:val="20"/>
                <w:szCs w:val="20"/>
              </w:rPr>
              <w:t>erica</w:t>
            </w:r>
          </w:p>
          <w:p w:rsidR="00E660F2" w:rsidRPr="001554EB" w:rsidRDefault="00E660F2" w:rsidP="008F0588">
            <w:pPr>
              <w:rPr>
                <w:sz w:val="20"/>
                <w:szCs w:val="20"/>
              </w:rPr>
            </w:pPr>
            <w:r w:rsidRPr="001554EB">
              <w:rPr>
                <w:sz w:val="20"/>
                <w:szCs w:val="20"/>
              </w:rPr>
              <w:t>Europe</w:t>
            </w:r>
          </w:p>
          <w:p w:rsidR="00E660F2" w:rsidRPr="001554EB" w:rsidRDefault="00E660F2" w:rsidP="008F0588">
            <w:pPr>
              <w:rPr>
                <w:sz w:val="20"/>
                <w:szCs w:val="20"/>
              </w:rPr>
            </w:pPr>
            <w:r w:rsidRPr="001554EB">
              <w:rPr>
                <w:sz w:val="20"/>
                <w:szCs w:val="20"/>
              </w:rPr>
              <w:t>Rest</w:t>
            </w:r>
          </w:p>
        </w:tc>
        <w:tc>
          <w:tcPr>
            <w:tcW w:w="2126" w:type="dxa"/>
          </w:tcPr>
          <w:p w:rsidR="00E660F2" w:rsidRPr="001554EB" w:rsidRDefault="00E660F2" w:rsidP="008F0588">
            <w:pPr>
              <w:rPr>
                <w:sz w:val="20"/>
                <w:szCs w:val="20"/>
              </w:rPr>
            </w:pPr>
          </w:p>
          <w:p w:rsidR="00E660F2" w:rsidRPr="001554EB" w:rsidRDefault="00E660F2" w:rsidP="008F0588">
            <w:pPr>
              <w:rPr>
                <w:sz w:val="20"/>
                <w:szCs w:val="20"/>
              </w:rPr>
            </w:pPr>
            <w:r w:rsidRPr="001554EB">
              <w:rPr>
                <w:sz w:val="20"/>
                <w:szCs w:val="20"/>
              </w:rPr>
              <w:t>41</w:t>
            </w:r>
          </w:p>
          <w:p w:rsidR="00E660F2" w:rsidRPr="001554EB" w:rsidRDefault="00E660F2" w:rsidP="008F0588">
            <w:pPr>
              <w:rPr>
                <w:sz w:val="20"/>
                <w:szCs w:val="20"/>
              </w:rPr>
            </w:pPr>
            <w:r w:rsidRPr="001554EB">
              <w:rPr>
                <w:sz w:val="20"/>
                <w:szCs w:val="20"/>
              </w:rPr>
              <w:t>NE</w:t>
            </w:r>
          </w:p>
          <w:p w:rsidR="00E660F2" w:rsidRPr="001554EB" w:rsidRDefault="00E660F2" w:rsidP="008F0588">
            <w:pPr>
              <w:rPr>
                <w:sz w:val="20"/>
                <w:szCs w:val="20"/>
              </w:rPr>
            </w:pPr>
            <w:r w:rsidRPr="001554EB">
              <w:rPr>
                <w:sz w:val="20"/>
                <w:szCs w:val="20"/>
              </w:rPr>
              <w:t>NE</w:t>
            </w:r>
          </w:p>
        </w:tc>
        <w:tc>
          <w:tcPr>
            <w:tcW w:w="1843" w:type="dxa"/>
          </w:tcPr>
          <w:p w:rsidR="00E660F2" w:rsidRPr="001554EB" w:rsidRDefault="00E660F2" w:rsidP="008F0588">
            <w:pPr>
              <w:rPr>
                <w:sz w:val="20"/>
                <w:szCs w:val="20"/>
              </w:rPr>
            </w:pPr>
          </w:p>
          <w:p w:rsidR="00E660F2" w:rsidRPr="001554EB" w:rsidRDefault="00E660F2" w:rsidP="008F0588">
            <w:pPr>
              <w:rPr>
                <w:sz w:val="20"/>
                <w:szCs w:val="20"/>
              </w:rPr>
            </w:pPr>
            <w:r w:rsidRPr="001554EB">
              <w:rPr>
                <w:sz w:val="20"/>
                <w:szCs w:val="20"/>
              </w:rPr>
              <w:t>16</w:t>
            </w:r>
          </w:p>
          <w:p w:rsidR="00E660F2" w:rsidRPr="001554EB" w:rsidRDefault="00E660F2" w:rsidP="008F0588">
            <w:pPr>
              <w:rPr>
                <w:sz w:val="20"/>
                <w:szCs w:val="20"/>
              </w:rPr>
            </w:pPr>
            <w:r w:rsidRPr="001554EB">
              <w:rPr>
                <w:sz w:val="20"/>
                <w:szCs w:val="20"/>
              </w:rPr>
              <w:t>15</w:t>
            </w:r>
          </w:p>
          <w:p w:rsidR="00E660F2" w:rsidRPr="001554EB" w:rsidRDefault="00E660F2" w:rsidP="008F0588">
            <w:pPr>
              <w:rPr>
                <w:sz w:val="20"/>
                <w:szCs w:val="20"/>
              </w:rPr>
            </w:pPr>
            <w:r w:rsidRPr="001554EB">
              <w:rPr>
                <w:sz w:val="20"/>
                <w:szCs w:val="20"/>
              </w:rPr>
              <w:t>19</w:t>
            </w:r>
          </w:p>
        </w:tc>
        <w:tc>
          <w:tcPr>
            <w:tcW w:w="1559" w:type="dxa"/>
          </w:tcPr>
          <w:p w:rsidR="00E660F2" w:rsidRPr="001554EB" w:rsidRDefault="00E660F2" w:rsidP="008F0588">
            <w:pPr>
              <w:rPr>
                <w:sz w:val="20"/>
                <w:szCs w:val="20"/>
              </w:rPr>
            </w:pPr>
          </w:p>
          <w:p w:rsidR="00E660F2" w:rsidRPr="001554EB" w:rsidRDefault="00E660F2" w:rsidP="008F0588">
            <w:pPr>
              <w:rPr>
                <w:sz w:val="20"/>
                <w:szCs w:val="20"/>
              </w:rPr>
            </w:pPr>
            <w:r w:rsidRPr="001554EB">
              <w:rPr>
                <w:sz w:val="20"/>
                <w:szCs w:val="20"/>
              </w:rPr>
              <w:t>0.30</w:t>
            </w:r>
          </w:p>
          <w:p w:rsidR="00E660F2" w:rsidRPr="001554EB" w:rsidRDefault="00E660F2" w:rsidP="008F0588">
            <w:pPr>
              <w:rPr>
                <w:sz w:val="20"/>
                <w:szCs w:val="20"/>
              </w:rPr>
            </w:pPr>
            <w:r w:rsidRPr="001554EB">
              <w:rPr>
                <w:sz w:val="20"/>
                <w:szCs w:val="20"/>
              </w:rPr>
              <w:t>0.29</w:t>
            </w:r>
          </w:p>
          <w:p w:rsidR="00E660F2" w:rsidRPr="001554EB" w:rsidRDefault="00E660F2" w:rsidP="008F0588">
            <w:pPr>
              <w:rPr>
                <w:sz w:val="20"/>
                <w:szCs w:val="20"/>
              </w:rPr>
            </w:pPr>
            <w:r w:rsidRPr="001554EB">
              <w:rPr>
                <w:sz w:val="20"/>
                <w:szCs w:val="20"/>
              </w:rPr>
              <w:t>0.30</w:t>
            </w:r>
          </w:p>
        </w:tc>
      </w:tr>
      <w:tr w:rsidR="00E660F2" w:rsidTr="008F0588">
        <w:tc>
          <w:tcPr>
            <w:tcW w:w="2660" w:type="dxa"/>
          </w:tcPr>
          <w:p w:rsidR="00E660F2" w:rsidRPr="001554EB" w:rsidRDefault="00E660F2" w:rsidP="008F0588">
            <w:pPr>
              <w:rPr>
                <w:b/>
                <w:sz w:val="20"/>
                <w:szCs w:val="20"/>
              </w:rPr>
            </w:pPr>
            <w:r w:rsidRPr="001554EB">
              <w:rPr>
                <w:b/>
                <w:sz w:val="20"/>
                <w:szCs w:val="20"/>
              </w:rPr>
              <w:t>ECOG</w:t>
            </w:r>
          </w:p>
          <w:p w:rsidR="00E660F2" w:rsidRPr="001554EB" w:rsidRDefault="00E660F2" w:rsidP="008F0588">
            <w:pPr>
              <w:rPr>
                <w:sz w:val="20"/>
                <w:szCs w:val="20"/>
              </w:rPr>
            </w:pPr>
            <w:r w:rsidRPr="001554EB">
              <w:rPr>
                <w:sz w:val="20"/>
                <w:szCs w:val="20"/>
              </w:rPr>
              <w:t>0</w:t>
            </w:r>
          </w:p>
          <w:p w:rsidR="00E660F2" w:rsidRPr="001554EB" w:rsidRDefault="00E660F2" w:rsidP="008F0588">
            <w:pPr>
              <w:rPr>
                <w:sz w:val="20"/>
                <w:szCs w:val="20"/>
              </w:rPr>
            </w:pPr>
            <w:r w:rsidRPr="001554EB">
              <w:rPr>
                <w:sz w:val="20"/>
                <w:szCs w:val="20"/>
              </w:rPr>
              <w:t>1</w:t>
            </w:r>
          </w:p>
        </w:tc>
        <w:tc>
          <w:tcPr>
            <w:tcW w:w="2126" w:type="dxa"/>
          </w:tcPr>
          <w:p w:rsidR="00E660F2" w:rsidRPr="001554EB" w:rsidRDefault="00E660F2" w:rsidP="008F0588">
            <w:pPr>
              <w:rPr>
                <w:sz w:val="20"/>
                <w:szCs w:val="20"/>
              </w:rPr>
            </w:pPr>
          </w:p>
          <w:p w:rsidR="00E660F2" w:rsidRPr="001554EB" w:rsidRDefault="00E660F2" w:rsidP="008F0588">
            <w:pPr>
              <w:rPr>
                <w:sz w:val="20"/>
                <w:szCs w:val="20"/>
              </w:rPr>
            </w:pPr>
            <w:r w:rsidRPr="001554EB">
              <w:rPr>
                <w:sz w:val="20"/>
                <w:szCs w:val="20"/>
              </w:rPr>
              <w:t>41</w:t>
            </w:r>
          </w:p>
          <w:p w:rsidR="00E660F2" w:rsidRPr="001554EB" w:rsidRDefault="00E660F2" w:rsidP="008F0588">
            <w:pPr>
              <w:rPr>
                <w:sz w:val="20"/>
                <w:szCs w:val="20"/>
              </w:rPr>
            </w:pPr>
            <w:r w:rsidRPr="001554EB">
              <w:rPr>
                <w:sz w:val="20"/>
                <w:szCs w:val="20"/>
              </w:rPr>
              <w:t>28</w:t>
            </w:r>
          </w:p>
        </w:tc>
        <w:tc>
          <w:tcPr>
            <w:tcW w:w="1843" w:type="dxa"/>
          </w:tcPr>
          <w:p w:rsidR="00E660F2" w:rsidRPr="001554EB" w:rsidRDefault="00E660F2" w:rsidP="008F0588">
            <w:pPr>
              <w:rPr>
                <w:sz w:val="20"/>
                <w:szCs w:val="20"/>
              </w:rPr>
            </w:pPr>
          </w:p>
          <w:p w:rsidR="00E660F2" w:rsidRPr="001554EB" w:rsidRDefault="00E660F2" w:rsidP="008F0588">
            <w:pPr>
              <w:rPr>
                <w:sz w:val="20"/>
                <w:szCs w:val="20"/>
              </w:rPr>
            </w:pPr>
            <w:r w:rsidRPr="001554EB">
              <w:rPr>
                <w:sz w:val="20"/>
                <w:szCs w:val="20"/>
              </w:rPr>
              <w:t>16</w:t>
            </w:r>
          </w:p>
          <w:p w:rsidR="00E660F2" w:rsidRPr="001554EB" w:rsidRDefault="00E660F2" w:rsidP="008F0588">
            <w:pPr>
              <w:rPr>
                <w:sz w:val="20"/>
                <w:szCs w:val="20"/>
              </w:rPr>
            </w:pPr>
            <w:r w:rsidRPr="001554EB">
              <w:rPr>
                <w:sz w:val="20"/>
                <w:szCs w:val="20"/>
              </w:rPr>
              <w:t>18</w:t>
            </w:r>
          </w:p>
        </w:tc>
        <w:tc>
          <w:tcPr>
            <w:tcW w:w="1559" w:type="dxa"/>
          </w:tcPr>
          <w:p w:rsidR="00E660F2" w:rsidRPr="001554EB" w:rsidRDefault="00E660F2" w:rsidP="008F0588">
            <w:pPr>
              <w:rPr>
                <w:sz w:val="20"/>
                <w:szCs w:val="20"/>
              </w:rPr>
            </w:pPr>
          </w:p>
          <w:p w:rsidR="00E660F2" w:rsidRPr="001554EB" w:rsidRDefault="00E660F2" w:rsidP="008F0588">
            <w:pPr>
              <w:rPr>
                <w:sz w:val="20"/>
                <w:szCs w:val="20"/>
              </w:rPr>
            </w:pPr>
            <w:r w:rsidRPr="001554EB">
              <w:rPr>
                <w:sz w:val="20"/>
                <w:szCs w:val="20"/>
              </w:rPr>
              <w:t>0.27</w:t>
            </w:r>
          </w:p>
          <w:p w:rsidR="00E660F2" w:rsidRPr="001554EB" w:rsidRDefault="00E660F2" w:rsidP="008F0588">
            <w:pPr>
              <w:rPr>
                <w:sz w:val="20"/>
                <w:szCs w:val="20"/>
              </w:rPr>
            </w:pPr>
            <w:r w:rsidRPr="001554EB">
              <w:rPr>
                <w:sz w:val="20"/>
                <w:szCs w:val="20"/>
              </w:rPr>
              <w:t>0.40</w:t>
            </w:r>
          </w:p>
        </w:tc>
      </w:tr>
      <w:tr w:rsidR="00E660F2" w:rsidTr="008F0588">
        <w:tc>
          <w:tcPr>
            <w:tcW w:w="2660" w:type="dxa"/>
          </w:tcPr>
          <w:p w:rsidR="00E660F2" w:rsidRPr="001554EB" w:rsidRDefault="00E660F2" w:rsidP="008F0588">
            <w:pPr>
              <w:rPr>
                <w:b/>
                <w:sz w:val="20"/>
                <w:szCs w:val="20"/>
              </w:rPr>
            </w:pPr>
            <w:r w:rsidRPr="001554EB">
              <w:rPr>
                <w:b/>
                <w:sz w:val="20"/>
                <w:szCs w:val="20"/>
              </w:rPr>
              <w:t>Pros’y or RT</w:t>
            </w:r>
          </w:p>
          <w:p w:rsidR="00E660F2" w:rsidRPr="001554EB" w:rsidRDefault="00E660F2" w:rsidP="008F0588">
            <w:pPr>
              <w:rPr>
                <w:sz w:val="20"/>
                <w:szCs w:val="20"/>
              </w:rPr>
            </w:pPr>
            <w:r w:rsidRPr="001554EB">
              <w:rPr>
                <w:sz w:val="20"/>
                <w:szCs w:val="20"/>
              </w:rPr>
              <w:lastRenderedPageBreak/>
              <w:t>Yes</w:t>
            </w:r>
          </w:p>
          <w:p w:rsidR="00E660F2" w:rsidRPr="001554EB" w:rsidRDefault="00E660F2" w:rsidP="008F0588">
            <w:pPr>
              <w:rPr>
                <w:sz w:val="20"/>
                <w:szCs w:val="20"/>
              </w:rPr>
            </w:pPr>
            <w:r w:rsidRPr="001554EB">
              <w:rPr>
                <w:sz w:val="20"/>
                <w:szCs w:val="20"/>
              </w:rPr>
              <w:t>No</w:t>
            </w:r>
          </w:p>
        </w:tc>
        <w:tc>
          <w:tcPr>
            <w:tcW w:w="2126" w:type="dxa"/>
          </w:tcPr>
          <w:p w:rsidR="00E660F2" w:rsidRPr="001554EB" w:rsidRDefault="00E660F2" w:rsidP="008F0588">
            <w:pPr>
              <w:rPr>
                <w:sz w:val="20"/>
                <w:szCs w:val="20"/>
              </w:rPr>
            </w:pPr>
          </w:p>
          <w:p w:rsidR="00E660F2" w:rsidRPr="001554EB" w:rsidRDefault="00E660F2" w:rsidP="008F0588">
            <w:pPr>
              <w:rPr>
                <w:sz w:val="20"/>
                <w:szCs w:val="20"/>
              </w:rPr>
            </w:pPr>
            <w:r w:rsidRPr="001554EB">
              <w:rPr>
                <w:sz w:val="20"/>
                <w:szCs w:val="20"/>
              </w:rPr>
              <w:lastRenderedPageBreak/>
              <w:t>22</w:t>
            </w:r>
          </w:p>
          <w:p w:rsidR="00E660F2" w:rsidRPr="001554EB" w:rsidRDefault="00E660F2" w:rsidP="008F0588">
            <w:pPr>
              <w:rPr>
                <w:sz w:val="20"/>
                <w:szCs w:val="20"/>
              </w:rPr>
            </w:pPr>
            <w:r w:rsidRPr="001554EB">
              <w:rPr>
                <w:sz w:val="20"/>
                <w:szCs w:val="20"/>
              </w:rPr>
              <w:t>22</w:t>
            </w:r>
          </w:p>
        </w:tc>
        <w:tc>
          <w:tcPr>
            <w:tcW w:w="1843" w:type="dxa"/>
          </w:tcPr>
          <w:p w:rsidR="00E660F2" w:rsidRPr="001554EB" w:rsidRDefault="00E660F2" w:rsidP="008F0588">
            <w:pPr>
              <w:rPr>
                <w:sz w:val="20"/>
                <w:szCs w:val="20"/>
              </w:rPr>
            </w:pPr>
          </w:p>
          <w:p w:rsidR="00E660F2" w:rsidRPr="001554EB" w:rsidRDefault="00E660F2" w:rsidP="008F0588">
            <w:pPr>
              <w:rPr>
                <w:sz w:val="20"/>
                <w:szCs w:val="20"/>
              </w:rPr>
            </w:pPr>
            <w:r w:rsidRPr="001554EB">
              <w:rPr>
                <w:sz w:val="20"/>
                <w:szCs w:val="20"/>
              </w:rPr>
              <w:lastRenderedPageBreak/>
              <w:t>7</w:t>
            </w:r>
          </w:p>
          <w:p w:rsidR="00E660F2" w:rsidRPr="001554EB" w:rsidRDefault="00E660F2" w:rsidP="008F0588">
            <w:pPr>
              <w:rPr>
                <w:sz w:val="20"/>
                <w:szCs w:val="20"/>
              </w:rPr>
            </w:pPr>
            <w:r w:rsidRPr="001554EB">
              <w:rPr>
                <w:sz w:val="20"/>
                <w:szCs w:val="20"/>
              </w:rPr>
              <w:t>7</w:t>
            </w:r>
          </w:p>
        </w:tc>
        <w:tc>
          <w:tcPr>
            <w:tcW w:w="1559" w:type="dxa"/>
          </w:tcPr>
          <w:p w:rsidR="00E660F2" w:rsidRPr="001554EB" w:rsidRDefault="00E660F2" w:rsidP="008F0588">
            <w:pPr>
              <w:rPr>
                <w:sz w:val="20"/>
                <w:szCs w:val="20"/>
              </w:rPr>
            </w:pPr>
          </w:p>
          <w:p w:rsidR="00E660F2" w:rsidRPr="001554EB" w:rsidRDefault="00E660F2" w:rsidP="008F0588">
            <w:pPr>
              <w:rPr>
                <w:sz w:val="20"/>
                <w:szCs w:val="20"/>
              </w:rPr>
            </w:pPr>
            <w:r w:rsidRPr="001554EB">
              <w:rPr>
                <w:sz w:val="20"/>
                <w:szCs w:val="20"/>
              </w:rPr>
              <w:lastRenderedPageBreak/>
              <w:t>0.26</w:t>
            </w:r>
          </w:p>
          <w:p w:rsidR="00E660F2" w:rsidRPr="001554EB" w:rsidRDefault="00E660F2" w:rsidP="008F0588">
            <w:pPr>
              <w:rPr>
                <w:sz w:val="20"/>
                <w:szCs w:val="20"/>
              </w:rPr>
            </w:pPr>
            <w:r w:rsidRPr="001554EB">
              <w:rPr>
                <w:sz w:val="20"/>
                <w:szCs w:val="20"/>
              </w:rPr>
              <w:t>0.46</w:t>
            </w:r>
          </w:p>
        </w:tc>
      </w:tr>
      <w:tr w:rsidR="00E660F2" w:rsidTr="008F0588">
        <w:tc>
          <w:tcPr>
            <w:tcW w:w="2660" w:type="dxa"/>
          </w:tcPr>
          <w:p w:rsidR="00E660F2" w:rsidRPr="001554EB" w:rsidRDefault="00E660F2" w:rsidP="008F0588">
            <w:pPr>
              <w:rPr>
                <w:b/>
                <w:sz w:val="20"/>
                <w:szCs w:val="20"/>
              </w:rPr>
            </w:pPr>
            <w:r w:rsidRPr="001554EB">
              <w:rPr>
                <w:b/>
                <w:sz w:val="20"/>
                <w:szCs w:val="20"/>
              </w:rPr>
              <w:lastRenderedPageBreak/>
              <w:t>PSADT (months)</w:t>
            </w:r>
          </w:p>
          <w:p w:rsidR="00E660F2" w:rsidRPr="001554EB" w:rsidRDefault="00E660F2" w:rsidP="008F0588">
            <w:pPr>
              <w:rPr>
                <w:sz w:val="20"/>
                <w:szCs w:val="20"/>
              </w:rPr>
            </w:pPr>
            <w:r w:rsidRPr="001554EB">
              <w:rPr>
                <w:sz w:val="20"/>
                <w:szCs w:val="20"/>
              </w:rPr>
              <w:t>&lt;6</w:t>
            </w:r>
          </w:p>
          <w:p w:rsidR="00E660F2" w:rsidRPr="001554EB" w:rsidRDefault="00E660F2" w:rsidP="008F0588">
            <w:pPr>
              <w:rPr>
                <w:sz w:val="20"/>
                <w:szCs w:val="20"/>
              </w:rPr>
            </w:pPr>
            <w:r w:rsidRPr="001554EB">
              <w:rPr>
                <w:sz w:val="20"/>
                <w:szCs w:val="20"/>
              </w:rPr>
              <w:t>6+</w:t>
            </w:r>
          </w:p>
          <w:p w:rsidR="00E660F2" w:rsidRPr="001554EB" w:rsidRDefault="00E660F2" w:rsidP="008F0588">
            <w:pPr>
              <w:rPr>
                <w:sz w:val="20"/>
                <w:szCs w:val="20"/>
              </w:rPr>
            </w:pPr>
            <w:r w:rsidRPr="001554EB">
              <w:rPr>
                <w:sz w:val="20"/>
                <w:szCs w:val="20"/>
              </w:rPr>
              <w:t>&lt;3</w:t>
            </w:r>
          </w:p>
          <w:p w:rsidR="00E660F2" w:rsidRPr="001554EB" w:rsidRDefault="00E660F2" w:rsidP="008F0588">
            <w:pPr>
              <w:rPr>
                <w:sz w:val="20"/>
                <w:szCs w:val="20"/>
              </w:rPr>
            </w:pPr>
            <w:r w:rsidRPr="001554EB">
              <w:rPr>
                <w:sz w:val="20"/>
                <w:szCs w:val="20"/>
              </w:rPr>
              <w:t>3</w:t>
            </w:r>
            <w:r>
              <w:rPr>
                <w:sz w:val="20"/>
                <w:szCs w:val="20"/>
              </w:rPr>
              <w:t xml:space="preserve"> to </w:t>
            </w:r>
            <w:r w:rsidRPr="001554EB">
              <w:rPr>
                <w:sz w:val="20"/>
                <w:szCs w:val="20"/>
              </w:rPr>
              <w:t>4.4</w:t>
            </w:r>
          </w:p>
          <w:p w:rsidR="00E660F2" w:rsidRPr="001554EB" w:rsidRDefault="00E660F2" w:rsidP="008F0588">
            <w:pPr>
              <w:rPr>
                <w:sz w:val="20"/>
                <w:szCs w:val="20"/>
              </w:rPr>
            </w:pPr>
            <w:r w:rsidRPr="001554EB">
              <w:rPr>
                <w:sz w:val="20"/>
                <w:szCs w:val="20"/>
              </w:rPr>
              <w:t>4.5</w:t>
            </w:r>
            <w:r>
              <w:rPr>
                <w:sz w:val="20"/>
                <w:szCs w:val="20"/>
              </w:rPr>
              <w:t xml:space="preserve"> to </w:t>
            </w:r>
            <w:r w:rsidRPr="001554EB">
              <w:rPr>
                <w:sz w:val="20"/>
                <w:szCs w:val="20"/>
              </w:rPr>
              <w:t>6.4</w:t>
            </w:r>
          </w:p>
          <w:p w:rsidR="00E660F2" w:rsidRPr="001554EB" w:rsidRDefault="00E660F2" w:rsidP="008F0588">
            <w:pPr>
              <w:rPr>
                <w:sz w:val="20"/>
                <w:szCs w:val="20"/>
              </w:rPr>
            </w:pPr>
            <w:r w:rsidRPr="001554EB">
              <w:rPr>
                <w:sz w:val="20"/>
                <w:szCs w:val="20"/>
              </w:rPr>
              <w:t>6.5+</w:t>
            </w:r>
          </w:p>
        </w:tc>
        <w:tc>
          <w:tcPr>
            <w:tcW w:w="2126" w:type="dxa"/>
          </w:tcPr>
          <w:p w:rsidR="00E660F2" w:rsidRPr="001554EB" w:rsidRDefault="00E660F2" w:rsidP="008F0588">
            <w:pPr>
              <w:rPr>
                <w:sz w:val="20"/>
                <w:szCs w:val="20"/>
              </w:rPr>
            </w:pPr>
          </w:p>
          <w:p w:rsidR="00E660F2" w:rsidRPr="001554EB" w:rsidRDefault="00E660F2" w:rsidP="008F0588">
            <w:pPr>
              <w:rPr>
                <w:sz w:val="20"/>
                <w:szCs w:val="20"/>
              </w:rPr>
            </w:pPr>
            <w:r w:rsidRPr="001554EB">
              <w:rPr>
                <w:sz w:val="20"/>
                <w:szCs w:val="20"/>
              </w:rPr>
              <w:t>41</w:t>
            </w:r>
          </w:p>
          <w:p w:rsidR="00E660F2" w:rsidRPr="001554EB" w:rsidRDefault="00E660F2" w:rsidP="008F0588">
            <w:pPr>
              <w:rPr>
                <w:sz w:val="20"/>
                <w:szCs w:val="20"/>
              </w:rPr>
            </w:pPr>
            <w:r w:rsidRPr="001554EB">
              <w:rPr>
                <w:sz w:val="20"/>
                <w:szCs w:val="20"/>
              </w:rPr>
              <w:t>NE</w:t>
            </w:r>
          </w:p>
          <w:p w:rsidR="00E660F2" w:rsidRPr="001554EB" w:rsidRDefault="00E660F2" w:rsidP="008F0588">
            <w:pPr>
              <w:rPr>
                <w:sz w:val="20"/>
                <w:szCs w:val="20"/>
              </w:rPr>
            </w:pPr>
            <w:r w:rsidRPr="001554EB">
              <w:rPr>
                <w:sz w:val="20"/>
                <w:szCs w:val="20"/>
              </w:rPr>
              <w:t>15</w:t>
            </w:r>
          </w:p>
          <w:p w:rsidR="00E660F2" w:rsidRPr="001554EB" w:rsidRDefault="00E660F2" w:rsidP="008F0588">
            <w:pPr>
              <w:rPr>
                <w:sz w:val="20"/>
                <w:szCs w:val="20"/>
              </w:rPr>
            </w:pPr>
            <w:r w:rsidRPr="001554EB">
              <w:rPr>
                <w:sz w:val="20"/>
                <w:szCs w:val="20"/>
              </w:rPr>
              <w:t>19</w:t>
            </w:r>
          </w:p>
          <w:p w:rsidR="00E660F2" w:rsidRPr="001554EB" w:rsidRDefault="00E660F2" w:rsidP="008F0588">
            <w:pPr>
              <w:rPr>
                <w:sz w:val="20"/>
                <w:szCs w:val="20"/>
              </w:rPr>
            </w:pPr>
            <w:r w:rsidRPr="001554EB">
              <w:rPr>
                <w:sz w:val="20"/>
                <w:szCs w:val="20"/>
              </w:rPr>
              <w:t>22</w:t>
            </w:r>
          </w:p>
          <w:p w:rsidR="00E660F2" w:rsidRPr="001554EB" w:rsidRDefault="00E660F2" w:rsidP="008F0588">
            <w:pPr>
              <w:rPr>
                <w:sz w:val="20"/>
                <w:szCs w:val="20"/>
              </w:rPr>
            </w:pPr>
            <w:r w:rsidRPr="001554EB">
              <w:rPr>
                <w:sz w:val="20"/>
                <w:szCs w:val="20"/>
              </w:rPr>
              <w:t>26</w:t>
            </w:r>
          </w:p>
        </w:tc>
        <w:tc>
          <w:tcPr>
            <w:tcW w:w="1843" w:type="dxa"/>
          </w:tcPr>
          <w:p w:rsidR="00E660F2" w:rsidRPr="001554EB" w:rsidRDefault="00E660F2" w:rsidP="008F0588">
            <w:pPr>
              <w:rPr>
                <w:sz w:val="20"/>
                <w:szCs w:val="20"/>
              </w:rPr>
            </w:pPr>
          </w:p>
          <w:p w:rsidR="00E660F2" w:rsidRPr="001554EB" w:rsidRDefault="00E660F2" w:rsidP="008F0588">
            <w:pPr>
              <w:rPr>
                <w:sz w:val="20"/>
                <w:szCs w:val="20"/>
              </w:rPr>
            </w:pPr>
            <w:r w:rsidRPr="001554EB">
              <w:rPr>
                <w:sz w:val="20"/>
                <w:szCs w:val="20"/>
              </w:rPr>
              <w:t>15</w:t>
            </w:r>
          </w:p>
          <w:p w:rsidR="00E660F2" w:rsidRPr="001554EB" w:rsidRDefault="00E660F2" w:rsidP="008F0588">
            <w:pPr>
              <w:rPr>
                <w:sz w:val="20"/>
                <w:szCs w:val="20"/>
              </w:rPr>
            </w:pPr>
            <w:r w:rsidRPr="001554EB">
              <w:rPr>
                <w:sz w:val="20"/>
                <w:szCs w:val="20"/>
              </w:rPr>
              <w:t>23</w:t>
            </w:r>
          </w:p>
          <w:p w:rsidR="00E660F2" w:rsidRPr="001554EB" w:rsidRDefault="00E660F2" w:rsidP="008F0588">
            <w:pPr>
              <w:rPr>
                <w:sz w:val="20"/>
                <w:szCs w:val="20"/>
              </w:rPr>
            </w:pPr>
            <w:r w:rsidRPr="001554EB">
              <w:rPr>
                <w:sz w:val="20"/>
                <w:szCs w:val="20"/>
              </w:rPr>
              <w:t>4</w:t>
            </w:r>
          </w:p>
          <w:p w:rsidR="00E660F2" w:rsidRPr="001554EB" w:rsidRDefault="00E660F2" w:rsidP="008F0588">
            <w:pPr>
              <w:rPr>
                <w:sz w:val="20"/>
                <w:szCs w:val="20"/>
              </w:rPr>
            </w:pPr>
            <w:r w:rsidRPr="001554EB">
              <w:rPr>
                <w:sz w:val="20"/>
                <w:szCs w:val="20"/>
              </w:rPr>
              <w:t>7</w:t>
            </w:r>
          </w:p>
          <w:p w:rsidR="00E660F2" w:rsidRPr="001554EB" w:rsidRDefault="00E660F2" w:rsidP="008F0588">
            <w:pPr>
              <w:rPr>
                <w:sz w:val="20"/>
                <w:szCs w:val="20"/>
              </w:rPr>
            </w:pPr>
            <w:r w:rsidRPr="001554EB">
              <w:rPr>
                <w:sz w:val="20"/>
                <w:szCs w:val="20"/>
              </w:rPr>
              <w:t>7</w:t>
            </w:r>
          </w:p>
          <w:p w:rsidR="00E660F2" w:rsidRPr="001554EB" w:rsidRDefault="00E660F2" w:rsidP="008F0588">
            <w:pPr>
              <w:rPr>
                <w:sz w:val="20"/>
                <w:szCs w:val="20"/>
              </w:rPr>
            </w:pPr>
            <w:r w:rsidRPr="001554EB">
              <w:rPr>
                <w:sz w:val="20"/>
                <w:szCs w:val="20"/>
              </w:rPr>
              <w:t>8</w:t>
            </w:r>
          </w:p>
        </w:tc>
        <w:tc>
          <w:tcPr>
            <w:tcW w:w="1559" w:type="dxa"/>
          </w:tcPr>
          <w:p w:rsidR="00E660F2" w:rsidRPr="001554EB" w:rsidRDefault="00E660F2" w:rsidP="008F0588">
            <w:pPr>
              <w:rPr>
                <w:sz w:val="20"/>
                <w:szCs w:val="20"/>
              </w:rPr>
            </w:pPr>
          </w:p>
          <w:p w:rsidR="00E660F2" w:rsidRPr="001554EB" w:rsidRDefault="00E660F2" w:rsidP="008F0588">
            <w:pPr>
              <w:rPr>
                <w:sz w:val="20"/>
                <w:szCs w:val="20"/>
              </w:rPr>
            </w:pPr>
            <w:r w:rsidRPr="001554EB">
              <w:rPr>
                <w:sz w:val="20"/>
                <w:szCs w:val="20"/>
              </w:rPr>
              <w:t>0.29</w:t>
            </w:r>
          </w:p>
          <w:p w:rsidR="00E660F2" w:rsidRPr="001554EB" w:rsidRDefault="00E660F2" w:rsidP="008F0588">
            <w:pPr>
              <w:rPr>
                <w:sz w:val="20"/>
                <w:szCs w:val="20"/>
              </w:rPr>
            </w:pPr>
            <w:r w:rsidRPr="001554EB">
              <w:rPr>
                <w:sz w:val="20"/>
                <w:szCs w:val="20"/>
              </w:rPr>
              <w:t>0.30</w:t>
            </w:r>
          </w:p>
          <w:p w:rsidR="00E660F2" w:rsidRPr="001554EB" w:rsidRDefault="00E660F2" w:rsidP="008F0588">
            <w:pPr>
              <w:rPr>
                <w:sz w:val="20"/>
                <w:szCs w:val="20"/>
              </w:rPr>
            </w:pPr>
            <w:r w:rsidRPr="001554EB">
              <w:rPr>
                <w:sz w:val="20"/>
                <w:szCs w:val="20"/>
              </w:rPr>
              <w:t>0.27</w:t>
            </w:r>
          </w:p>
          <w:p w:rsidR="00E660F2" w:rsidRPr="001554EB" w:rsidRDefault="00E660F2" w:rsidP="008F0588">
            <w:pPr>
              <w:rPr>
                <w:sz w:val="20"/>
                <w:szCs w:val="20"/>
              </w:rPr>
            </w:pPr>
            <w:r w:rsidRPr="001554EB">
              <w:rPr>
                <w:sz w:val="20"/>
                <w:szCs w:val="20"/>
              </w:rPr>
              <w:t>0.31</w:t>
            </w:r>
          </w:p>
          <w:p w:rsidR="00E660F2" w:rsidRPr="001554EB" w:rsidRDefault="00E660F2" w:rsidP="008F0588">
            <w:pPr>
              <w:rPr>
                <w:sz w:val="20"/>
                <w:szCs w:val="20"/>
              </w:rPr>
            </w:pPr>
            <w:r w:rsidRPr="001554EB">
              <w:rPr>
                <w:sz w:val="20"/>
                <w:szCs w:val="20"/>
              </w:rPr>
              <w:t>0.31</w:t>
            </w:r>
          </w:p>
          <w:p w:rsidR="00E660F2" w:rsidRPr="001554EB" w:rsidRDefault="00E660F2" w:rsidP="008F0588">
            <w:pPr>
              <w:rPr>
                <w:sz w:val="20"/>
                <w:szCs w:val="20"/>
              </w:rPr>
            </w:pPr>
            <w:r w:rsidRPr="001554EB">
              <w:rPr>
                <w:sz w:val="20"/>
                <w:szCs w:val="20"/>
              </w:rPr>
              <w:t>0.29</w:t>
            </w:r>
          </w:p>
        </w:tc>
      </w:tr>
      <w:tr w:rsidR="00E660F2" w:rsidTr="008F0588">
        <w:tc>
          <w:tcPr>
            <w:tcW w:w="2660" w:type="dxa"/>
          </w:tcPr>
          <w:p w:rsidR="00E660F2" w:rsidRPr="001554EB" w:rsidRDefault="00E660F2" w:rsidP="008F0588">
            <w:pPr>
              <w:rPr>
                <w:b/>
                <w:sz w:val="20"/>
                <w:szCs w:val="20"/>
              </w:rPr>
            </w:pPr>
            <w:r w:rsidRPr="001554EB">
              <w:rPr>
                <w:b/>
                <w:sz w:val="20"/>
                <w:szCs w:val="20"/>
              </w:rPr>
              <w:t>Gleason</w:t>
            </w:r>
          </w:p>
          <w:p w:rsidR="00E660F2" w:rsidRPr="001554EB" w:rsidRDefault="00E660F2" w:rsidP="008F0588">
            <w:pPr>
              <w:rPr>
                <w:sz w:val="20"/>
                <w:szCs w:val="20"/>
              </w:rPr>
            </w:pPr>
            <w:r w:rsidRPr="001554EB">
              <w:rPr>
                <w:sz w:val="20"/>
                <w:szCs w:val="20"/>
              </w:rPr>
              <w:t>&lt;7</w:t>
            </w:r>
          </w:p>
          <w:p w:rsidR="00E660F2" w:rsidRPr="001554EB" w:rsidRDefault="00E660F2" w:rsidP="008F0588">
            <w:pPr>
              <w:rPr>
                <w:sz w:val="20"/>
                <w:szCs w:val="20"/>
              </w:rPr>
            </w:pPr>
            <w:r w:rsidRPr="001554EB">
              <w:rPr>
                <w:sz w:val="20"/>
                <w:szCs w:val="20"/>
              </w:rPr>
              <w:t>7+</w:t>
            </w:r>
          </w:p>
        </w:tc>
        <w:tc>
          <w:tcPr>
            <w:tcW w:w="2126" w:type="dxa"/>
          </w:tcPr>
          <w:p w:rsidR="00E660F2" w:rsidRPr="001554EB" w:rsidRDefault="00E660F2" w:rsidP="008F0588">
            <w:pPr>
              <w:rPr>
                <w:sz w:val="20"/>
                <w:szCs w:val="20"/>
              </w:rPr>
            </w:pPr>
          </w:p>
          <w:p w:rsidR="00E660F2" w:rsidRPr="001554EB" w:rsidRDefault="00E660F2" w:rsidP="008F0588">
            <w:pPr>
              <w:rPr>
                <w:sz w:val="20"/>
                <w:szCs w:val="20"/>
              </w:rPr>
            </w:pPr>
            <w:r w:rsidRPr="001554EB">
              <w:rPr>
                <w:sz w:val="20"/>
                <w:szCs w:val="20"/>
              </w:rPr>
              <w:t>22</w:t>
            </w:r>
          </w:p>
          <w:p w:rsidR="00E660F2" w:rsidRPr="001554EB" w:rsidRDefault="00E660F2" w:rsidP="008F0588">
            <w:pPr>
              <w:rPr>
                <w:sz w:val="20"/>
                <w:szCs w:val="20"/>
              </w:rPr>
            </w:pPr>
            <w:r w:rsidRPr="001554EB">
              <w:rPr>
                <w:sz w:val="20"/>
                <w:szCs w:val="20"/>
              </w:rPr>
              <w:t>20</w:t>
            </w:r>
          </w:p>
        </w:tc>
        <w:tc>
          <w:tcPr>
            <w:tcW w:w="1843" w:type="dxa"/>
          </w:tcPr>
          <w:p w:rsidR="00E660F2" w:rsidRPr="001554EB" w:rsidRDefault="00E660F2" w:rsidP="008F0588">
            <w:pPr>
              <w:rPr>
                <w:sz w:val="20"/>
                <w:szCs w:val="20"/>
              </w:rPr>
            </w:pPr>
          </w:p>
          <w:p w:rsidR="00E660F2" w:rsidRPr="001554EB" w:rsidRDefault="00E660F2" w:rsidP="008F0588">
            <w:pPr>
              <w:rPr>
                <w:sz w:val="20"/>
                <w:szCs w:val="20"/>
              </w:rPr>
            </w:pPr>
            <w:r w:rsidRPr="001554EB">
              <w:rPr>
                <w:sz w:val="20"/>
                <w:szCs w:val="20"/>
              </w:rPr>
              <w:t>8</w:t>
            </w:r>
          </w:p>
          <w:p w:rsidR="00E660F2" w:rsidRPr="001554EB" w:rsidRDefault="00E660F2" w:rsidP="008F0588">
            <w:pPr>
              <w:rPr>
                <w:sz w:val="20"/>
                <w:szCs w:val="20"/>
              </w:rPr>
            </w:pPr>
            <w:r w:rsidRPr="001554EB">
              <w:rPr>
                <w:sz w:val="20"/>
                <w:szCs w:val="20"/>
              </w:rPr>
              <w:t>4</w:t>
            </w:r>
          </w:p>
        </w:tc>
        <w:tc>
          <w:tcPr>
            <w:tcW w:w="1559" w:type="dxa"/>
          </w:tcPr>
          <w:p w:rsidR="00E660F2" w:rsidRPr="001554EB" w:rsidRDefault="00E660F2" w:rsidP="008F0588">
            <w:pPr>
              <w:rPr>
                <w:sz w:val="20"/>
                <w:szCs w:val="20"/>
              </w:rPr>
            </w:pPr>
          </w:p>
          <w:p w:rsidR="00E660F2" w:rsidRPr="001554EB" w:rsidRDefault="00E660F2" w:rsidP="008F0588">
            <w:pPr>
              <w:rPr>
                <w:sz w:val="20"/>
                <w:szCs w:val="20"/>
              </w:rPr>
            </w:pPr>
            <w:r w:rsidRPr="001554EB">
              <w:rPr>
                <w:sz w:val="20"/>
                <w:szCs w:val="20"/>
              </w:rPr>
              <w:t>0.35</w:t>
            </w:r>
          </w:p>
          <w:p w:rsidR="00E660F2" w:rsidRPr="001554EB" w:rsidRDefault="00E660F2" w:rsidP="008F0588">
            <w:pPr>
              <w:rPr>
                <w:sz w:val="20"/>
                <w:szCs w:val="20"/>
              </w:rPr>
            </w:pPr>
            <w:r w:rsidRPr="001554EB">
              <w:rPr>
                <w:sz w:val="20"/>
                <w:szCs w:val="20"/>
              </w:rPr>
              <w:t>0.22</w:t>
            </w:r>
          </w:p>
        </w:tc>
      </w:tr>
      <w:tr w:rsidR="00E660F2" w:rsidTr="008F0588">
        <w:tc>
          <w:tcPr>
            <w:tcW w:w="2660" w:type="dxa"/>
          </w:tcPr>
          <w:p w:rsidR="00E660F2" w:rsidRPr="001554EB" w:rsidRDefault="00E660F2" w:rsidP="008F0588">
            <w:pPr>
              <w:rPr>
                <w:b/>
                <w:sz w:val="20"/>
                <w:szCs w:val="20"/>
              </w:rPr>
            </w:pPr>
            <w:r w:rsidRPr="001554EB">
              <w:rPr>
                <w:b/>
                <w:sz w:val="20"/>
                <w:szCs w:val="20"/>
              </w:rPr>
              <w:t>Locoreg dis</w:t>
            </w:r>
          </w:p>
          <w:p w:rsidR="00E660F2" w:rsidRPr="001554EB" w:rsidRDefault="00E660F2" w:rsidP="008F0588">
            <w:pPr>
              <w:rPr>
                <w:sz w:val="20"/>
                <w:szCs w:val="20"/>
              </w:rPr>
            </w:pPr>
            <w:r w:rsidRPr="001554EB">
              <w:rPr>
                <w:sz w:val="20"/>
                <w:szCs w:val="20"/>
              </w:rPr>
              <w:t>N0</w:t>
            </w:r>
          </w:p>
          <w:p w:rsidR="00E660F2" w:rsidRPr="001554EB" w:rsidRDefault="00E660F2" w:rsidP="008F0588">
            <w:pPr>
              <w:rPr>
                <w:sz w:val="20"/>
                <w:szCs w:val="20"/>
              </w:rPr>
            </w:pPr>
            <w:r w:rsidRPr="001554EB">
              <w:rPr>
                <w:sz w:val="20"/>
                <w:szCs w:val="20"/>
              </w:rPr>
              <w:t>N1</w:t>
            </w:r>
          </w:p>
        </w:tc>
        <w:tc>
          <w:tcPr>
            <w:tcW w:w="2126" w:type="dxa"/>
          </w:tcPr>
          <w:p w:rsidR="00E660F2" w:rsidRPr="001554EB" w:rsidRDefault="00E660F2" w:rsidP="008F0588">
            <w:pPr>
              <w:rPr>
                <w:sz w:val="20"/>
                <w:szCs w:val="20"/>
              </w:rPr>
            </w:pPr>
          </w:p>
          <w:p w:rsidR="00E660F2" w:rsidRPr="001554EB" w:rsidRDefault="00E660F2" w:rsidP="008F0588">
            <w:pPr>
              <w:rPr>
                <w:sz w:val="20"/>
                <w:szCs w:val="20"/>
              </w:rPr>
            </w:pPr>
            <w:r w:rsidRPr="001554EB">
              <w:rPr>
                <w:sz w:val="20"/>
                <w:szCs w:val="20"/>
              </w:rPr>
              <w:t>41</w:t>
            </w:r>
          </w:p>
          <w:p w:rsidR="00E660F2" w:rsidRPr="001554EB" w:rsidRDefault="00E660F2" w:rsidP="008F0588">
            <w:pPr>
              <w:rPr>
                <w:sz w:val="20"/>
                <w:szCs w:val="20"/>
              </w:rPr>
            </w:pPr>
            <w:r w:rsidRPr="001554EB">
              <w:rPr>
                <w:sz w:val="20"/>
                <w:szCs w:val="20"/>
              </w:rPr>
              <w:t>NE</w:t>
            </w:r>
          </w:p>
        </w:tc>
        <w:tc>
          <w:tcPr>
            <w:tcW w:w="1843" w:type="dxa"/>
          </w:tcPr>
          <w:p w:rsidR="00E660F2" w:rsidRPr="001554EB" w:rsidRDefault="00E660F2" w:rsidP="008F0588">
            <w:pPr>
              <w:rPr>
                <w:sz w:val="20"/>
                <w:szCs w:val="20"/>
              </w:rPr>
            </w:pPr>
          </w:p>
          <w:p w:rsidR="00E660F2" w:rsidRPr="001554EB" w:rsidRDefault="00E660F2" w:rsidP="008F0588">
            <w:pPr>
              <w:rPr>
                <w:sz w:val="20"/>
                <w:szCs w:val="20"/>
              </w:rPr>
            </w:pPr>
            <w:r w:rsidRPr="001554EB">
              <w:rPr>
                <w:sz w:val="20"/>
                <w:szCs w:val="20"/>
              </w:rPr>
              <w:t>18</w:t>
            </w:r>
          </w:p>
          <w:p w:rsidR="00E660F2" w:rsidRPr="001554EB" w:rsidRDefault="00E660F2" w:rsidP="008F0588">
            <w:pPr>
              <w:rPr>
                <w:sz w:val="20"/>
                <w:szCs w:val="20"/>
              </w:rPr>
            </w:pPr>
            <w:r w:rsidRPr="001554EB">
              <w:rPr>
                <w:sz w:val="20"/>
                <w:szCs w:val="20"/>
              </w:rPr>
              <w:t>11</w:t>
            </w:r>
          </w:p>
        </w:tc>
        <w:tc>
          <w:tcPr>
            <w:tcW w:w="1559" w:type="dxa"/>
          </w:tcPr>
          <w:p w:rsidR="00E660F2" w:rsidRPr="001554EB" w:rsidRDefault="00E660F2" w:rsidP="008F0588">
            <w:pPr>
              <w:rPr>
                <w:sz w:val="20"/>
                <w:szCs w:val="20"/>
              </w:rPr>
            </w:pPr>
          </w:p>
          <w:p w:rsidR="00E660F2" w:rsidRPr="001554EB" w:rsidRDefault="00E660F2" w:rsidP="008F0588">
            <w:pPr>
              <w:rPr>
                <w:sz w:val="20"/>
                <w:szCs w:val="20"/>
              </w:rPr>
            </w:pPr>
            <w:r w:rsidRPr="001554EB">
              <w:rPr>
                <w:sz w:val="20"/>
                <w:szCs w:val="20"/>
              </w:rPr>
              <w:t>0.33</w:t>
            </w:r>
          </w:p>
          <w:p w:rsidR="00E660F2" w:rsidRPr="001554EB" w:rsidRDefault="00E660F2" w:rsidP="008F0588">
            <w:pPr>
              <w:rPr>
                <w:sz w:val="20"/>
                <w:szCs w:val="20"/>
              </w:rPr>
            </w:pPr>
            <w:r w:rsidRPr="001554EB">
              <w:rPr>
                <w:sz w:val="20"/>
                <w:szCs w:val="20"/>
              </w:rPr>
              <w:t>0.15</w:t>
            </w:r>
          </w:p>
        </w:tc>
      </w:tr>
      <w:tr w:rsidR="00E660F2" w:rsidTr="008F0588">
        <w:tc>
          <w:tcPr>
            <w:tcW w:w="2660" w:type="dxa"/>
          </w:tcPr>
          <w:p w:rsidR="00E660F2" w:rsidRPr="001554EB" w:rsidRDefault="00E660F2" w:rsidP="008F0588">
            <w:pPr>
              <w:rPr>
                <w:b/>
                <w:sz w:val="20"/>
                <w:szCs w:val="20"/>
              </w:rPr>
            </w:pPr>
            <w:r w:rsidRPr="001554EB">
              <w:rPr>
                <w:b/>
                <w:sz w:val="20"/>
                <w:szCs w:val="20"/>
              </w:rPr>
              <w:t>Bone sparing agent</w:t>
            </w:r>
          </w:p>
          <w:p w:rsidR="00E660F2" w:rsidRPr="001554EB" w:rsidRDefault="00E660F2" w:rsidP="008F0588">
            <w:pPr>
              <w:rPr>
                <w:sz w:val="20"/>
                <w:szCs w:val="20"/>
              </w:rPr>
            </w:pPr>
            <w:r w:rsidRPr="001554EB">
              <w:rPr>
                <w:sz w:val="20"/>
                <w:szCs w:val="20"/>
              </w:rPr>
              <w:t>Yes</w:t>
            </w:r>
          </w:p>
          <w:p w:rsidR="00E660F2" w:rsidRPr="001554EB" w:rsidRDefault="00E660F2" w:rsidP="008F0588">
            <w:pPr>
              <w:rPr>
                <w:sz w:val="20"/>
                <w:szCs w:val="20"/>
              </w:rPr>
            </w:pPr>
            <w:r w:rsidRPr="001554EB">
              <w:rPr>
                <w:sz w:val="20"/>
                <w:szCs w:val="20"/>
              </w:rPr>
              <w:t>No</w:t>
            </w:r>
          </w:p>
        </w:tc>
        <w:tc>
          <w:tcPr>
            <w:tcW w:w="2126" w:type="dxa"/>
          </w:tcPr>
          <w:p w:rsidR="00E660F2" w:rsidRPr="001554EB" w:rsidRDefault="00E660F2" w:rsidP="008F0588">
            <w:pPr>
              <w:rPr>
                <w:sz w:val="20"/>
                <w:szCs w:val="20"/>
              </w:rPr>
            </w:pPr>
          </w:p>
          <w:p w:rsidR="00E660F2" w:rsidRPr="001554EB" w:rsidRDefault="00E660F2" w:rsidP="008F0588">
            <w:pPr>
              <w:rPr>
                <w:sz w:val="20"/>
                <w:szCs w:val="20"/>
              </w:rPr>
            </w:pPr>
            <w:r w:rsidRPr="001554EB">
              <w:rPr>
                <w:sz w:val="20"/>
                <w:szCs w:val="20"/>
              </w:rPr>
              <w:t>NE</w:t>
            </w:r>
          </w:p>
          <w:p w:rsidR="00E660F2" w:rsidRPr="001554EB" w:rsidRDefault="00E660F2" w:rsidP="008F0588">
            <w:pPr>
              <w:rPr>
                <w:sz w:val="20"/>
                <w:szCs w:val="20"/>
              </w:rPr>
            </w:pPr>
            <w:r w:rsidRPr="001554EB">
              <w:rPr>
                <w:sz w:val="20"/>
                <w:szCs w:val="20"/>
              </w:rPr>
              <w:t>41</w:t>
            </w:r>
          </w:p>
        </w:tc>
        <w:tc>
          <w:tcPr>
            <w:tcW w:w="1843" w:type="dxa"/>
          </w:tcPr>
          <w:p w:rsidR="00E660F2" w:rsidRPr="001554EB" w:rsidRDefault="00E660F2" w:rsidP="008F0588">
            <w:pPr>
              <w:rPr>
                <w:sz w:val="20"/>
                <w:szCs w:val="20"/>
              </w:rPr>
            </w:pPr>
          </w:p>
          <w:p w:rsidR="00E660F2" w:rsidRPr="001554EB" w:rsidRDefault="00E660F2" w:rsidP="008F0588">
            <w:pPr>
              <w:rPr>
                <w:sz w:val="20"/>
                <w:szCs w:val="20"/>
              </w:rPr>
            </w:pPr>
            <w:r w:rsidRPr="001554EB">
              <w:rPr>
                <w:sz w:val="20"/>
                <w:szCs w:val="20"/>
              </w:rPr>
              <w:t>22</w:t>
            </w:r>
          </w:p>
          <w:p w:rsidR="00E660F2" w:rsidRPr="001554EB" w:rsidRDefault="00E660F2" w:rsidP="008F0588">
            <w:pPr>
              <w:rPr>
                <w:sz w:val="20"/>
                <w:szCs w:val="20"/>
              </w:rPr>
            </w:pPr>
            <w:r w:rsidRPr="001554EB">
              <w:rPr>
                <w:sz w:val="20"/>
                <w:szCs w:val="20"/>
              </w:rPr>
              <w:t>15</w:t>
            </w:r>
          </w:p>
        </w:tc>
        <w:tc>
          <w:tcPr>
            <w:tcW w:w="1559" w:type="dxa"/>
          </w:tcPr>
          <w:p w:rsidR="00E660F2" w:rsidRPr="001554EB" w:rsidRDefault="00E660F2" w:rsidP="008F0588">
            <w:pPr>
              <w:rPr>
                <w:sz w:val="20"/>
                <w:szCs w:val="20"/>
              </w:rPr>
            </w:pPr>
          </w:p>
          <w:p w:rsidR="00E660F2" w:rsidRPr="001554EB" w:rsidRDefault="00E660F2" w:rsidP="008F0588">
            <w:pPr>
              <w:rPr>
                <w:sz w:val="20"/>
                <w:szCs w:val="20"/>
              </w:rPr>
            </w:pPr>
            <w:r w:rsidRPr="001554EB">
              <w:rPr>
                <w:sz w:val="20"/>
                <w:szCs w:val="20"/>
              </w:rPr>
              <w:t>0.38</w:t>
            </w:r>
          </w:p>
          <w:p w:rsidR="00E660F2" w:rsidRPr="001554EB" w:rsidRDefault="00E660F2" w:rsidP="008F0588">
            <w:pPr>
              <w:rPr>
                <w:sz w:val="20"/>
                <w:szCs w:val="20"/>
              </w:rPr>
            </w:pPr>
            <w:r w:rsidRPr="001554EB">
              <w:rPr>
                <w:sz w:val="20"/>
                <w:szCs w:val="20"/>
              </w:rPr>
              <w:t>0.29</w:t>
            </w:r>
          </w:p>
        </w:tc>
      </w:tr>
    </w:tbl>
    <w:p w:rsidR="00E660F2" w:rsidRPr="00097AFC" w:rsidRDefault="00E660F2" w:rsidP="00E660F2">
      <w:r>
        <w:t>All the subgroup analyses are exploratory (hypothesis generating) and no formal statistical inferences can be drawn. No apparent outliers were observed from the subgroup analyses.</w:t>
      </w:r>
    </w:p>
    <w:p w:rsidR="00E660F2" w:rsidRDefault="00E660F2" w:rsidP="00E660F2">
      <w:r>
        <w:t>The following is from the publicly available FDA multidisciplinary review (p103):</w:t>
      </w:r>
    </w:p>
    <w:p w:rsidR="00E660F2" w:rsidRPr="001554EB" w:rsidRDefault="00E660F2" w:rsidP="00E660F2">
      <w:pPr>
        <w:ind w:left="720"/>
        <w:rPr>
          <w:i/>
        </w:rPr>
      </w:pPr>
      <w:r w:rsidRPr="001554EB">
        <w:rPr>
          <w:i/>
        </w:rPr>
        <w:t>While the trial was conducted in patients with PSADT≤10 months, subgroup analyses for all quartiles of enrolled patients’ PSA doubling times showed a consistent effect, with patients in the shortest PSADT group not appearing to drive the overall results. The magnitude of effect was large and appeared to be similarly preserved through all PSADT groups, with no indication of a trend favoring patients in the higher risk PSADT group as deriving proportionally greater benefit from apalutamide. The labeled indication was therefore not restricted to a specific PSADT cutoff, especially in the setting of a supportive safety profile (see section 8.2.11). Given the overall large magnitude of effect demonstrated by SPARTAN, it was felt that the strict cutoff of 10 months would exclude patients in the general population who would be very likely to benefit, for instance those with PSADT slightly higher or those with other poor prognostic features.</w:t>
      </w:r>
    </w:p>
    <w:p w:rsidR="00E660F2" w:rsidRDefault="00E660F2" w:rsidP="00E660F2">
      <w:pPr>
        <w:pStyle w:val="Heading6"/>
      </w:pPr>
      <w:r>
        <w:t>Secondary endpoints</w:t>
      </w:r>
    </w:p>
    <w:p w:rsidR="00E660F2" w:rsidRPr="00943B58" w:rsidRDefault="00E660F2" w:rsidP="00E660F2">
      <w:r>
        <w:t xml:space="preserve">Key secondary endpoints were tested using a hierarchical testing procedure to control the overall alpha level at 0.05, 2-sided, in the order of: TTM, PFS, </w:t>
      </w:r>
      <w:r w:rsidRPr="001554EB">
        <w:t xml:space="preserve">symptomatic progression </w:t>
      </w:r>
      <w:r>
        <w:t>(SymProg), OS and time to initiation of cytotoxic chemotherapy.</w:t>
      </w:r>
    </w:p>
    <w:p w:rsidR="00E660F2" w:rsidRDefault="00E660F2" w:rsidP="00E660F2">
      <w:r w:rsidRPr="007302CF">
        <w:rPr>
          <w:i/>
        </w:rPr>
        <w:lastRenderedPageBreak/>
        <w:t>Time to metastasis (TTM):</w:t>
      </w:r>
      <w:r>
        <w:t xml:space="preserve"> TTM was defined as the time from randomisation to BICR confirmed radiographically detected bone or soft tissue distant metastasis. Results are shown in Table 19.</w:t>
      </w:r>
    </w:p>
    <w:p w:rsidR="00E660F2" w:rsidRDefault="00E660F2" w:rsidP="00E660F2">
      <w:pPr>
        <w:pStyle w:val="TableTitle"/>
      </w:pPr>
      <w:r>
        <w:t>Table 19: TTM results</w:t>
      </w:r>
    </w:p>
    <w:tbl>
      <w:tblPr>
        <w:tblStyle w:val="TableTGAblue"/>
        <w:tblW w:w="0" w:type="auto"/>
        <w:tblLook w:val="04A0" w:firstRow="1" w:lastRow="0" w:firstColumn="1" w:lastColumn="0" w:noHBand="0" w:noVBand="1"/>
      </w:tblPr>
      <w:tblGrid>
        <w:gridCol w:w="2376"/>
        <w:gridCol w:w="2552"/>
        <w:gridCol w:w="2268"/>
      </w:tblGrid>
      <w:tr w:rsidR="00E660F2" w:rsidTr="008F0588">
        <w:trPr>
          <w:cnfStyle w:val="100000000000" w:firstRow="1" w:lastRow="0" w:firstColumn="0" w:lastColumn="0" w:oddVBand="0" w:evenVBand="0" w:oddHBand="0" w:evenHBand="0" w:firstRowFirstColumn="0" w:firstRowLastColumn="0" w:lastRowFirstColumn="0" w:lastRowLastColumn="0"/>
        </w:trPr>
        <w:tc>
          <w:tcPr>
            <w:tcW w:w="2376" w:type="dxa"/>
          </w:tcPr>
          <w:p w:rsidR="00E660F2" w:rsidRPr="00D1313E" w:rsidRDefault="00E660F2" w:rsidP="008F0588">
            <w:pPr>
              <w:rPr>
                <w:sz w:val="20"/>
                <w:szCs w:val="20"/>
              </w:rPr>
            </w:pPr>
          </w:p>
        </w:tc>
        <w:tc>
          <w:tcPr>
            <w:tcW w:w="2552" w:type="dxa"/>
          </w:tcPr>
          <w:p w:rsidR="00E660F2" w:rsidRPr="00D1313E" w:rsidRDefault="00E660F2" w:rsidP="002B2B5B">
            <w:pPr>
              <w:rPr>
                <w:sz w:val="20"/>
                <w:szCs w:val="20"/>
              </w:rPr>
            </w:pPr>
            <w:proofErr w:type="spellStart"/>
            <w:r w:rsidRPr="00D1313E">
              <w:rPr>
                <w:sz w:val="20"/>
                <w:szCs w:val="20"/>
              </w:rPr>
              <w:t>Apalutamide</w:t>
            </w:r>
            <w:proofErr w:type="spellEnd"/>
            <w:r w:rsidR="002B2B5B">
              <w:rPr>
                <w:sz w:val="20"/>
                <w:szCs w:val="20"/>
              </w:rPr>
              <w:t xml:space="preserve"> </w:t>
            </w:r>
            <w:r w:rsidRPr="00D1313E">
              <w:rPr>
                <w:sz w:val="20"/>
                <w:szCs w:val="20"/>
              </w:rPr>
              <w:t>N=806</w:t>
            </w:r>
          </w:p>
        </w:tc>
        <w:tc>
          <w:tcPr>
            <w:tcW w:w="2268" w:type="dxa"/>
          </w:tcPr>
          <w:p w:rsidR="00E660F2" w:rsidRPr="00D1313E" w:rsidRDefault="00E660F2" w:rsidP="002B2B5B">
            <w:pPr>
              <w:rPr>
                <w:sz w:val="20"/>
                <w:szCs w:val="20"/>
              </w:rPr>
            </w:pPr>
            <w:r w:rsidRPr="00D1313E">
              <w:rPr>
                <w:sz w:val="20"/>
                <w:szCs w:val="20"/>
              </w:rPr>
              <w:t>Placebo</w:t>
            </w:r>
            <w:r w:rsidR="002B2B5B">
              <w:rPr>
                <w:sz w:val="20"/>
                <w:szCs w:val="20"/>
              </w:rPr>
              <w:t xml:space="preserve"> </w:t>
            </w:r>
            <w:r w:rsidRPr="00D1313E">
              <w:rPr>
                <w:sz w:val="20"/>
                <w:szCs w:val="20"/>
              </w:rPr>
              <w:t>N=401</w:t>
            </w:r>
          </w:p>
        </w:tc>
      </w:tr>
      <w:tr w:rsidR="00E660F2" w:rsidTr="008F0588">
        <w:tc>
          <w:tcPr>
            <w:tcW w:w="2376" w:type="dxa"/>
          </w:tcPr>
          <w:p w:rsidR="00E660F2" w:rsidRPr="00D1313E" w:rsidRDefault="00E660F2" w:rsidP="008F0588">
            <w:pPr>
              <w:rPr>
                <w:sz w:val="20"/>
                <w:szCs w:val="20"/>
              </w:rPr>
            </w:pPr>
            <w:r w:rsidRPr="00D1313E">
              <w:rPr>
                <w:sz w:val="20"/>
                <w:szCs w:val="20"/>
              </w:rPr>
              <w:t>Events</w:t>
            </w:r>
          </w:p>
        </w:tc>
        <w:tc>
          <w:tcPr>
            <w:tcW w:w="2552" w:type="dxa"/>
          </w:tcPr>
          <w:p w:rsidR="00E660F2" w:rsidRPr="00D1313E" w:rsidRDefault="00E660F2" w:rsidP="008F0588">
            <w:pPr>
              <w:rPr>
                <w:sz w:val="20"/>
                <w:szCs w:val="20"/>
              </w:rPr>
            </w:pPr>
            <w:r w:rsidRPr="00D1313E">
              <w:rPr>
                <w:sz w:val="20"/>
                <w:szCs w:val="20"/>
              </w:rPr>
              <w:t>175</w:t>
            </w:r>
            <w:r>
              <w:rPr>
                <w:sz w:val="20"/>
                <w:szCs w:val="20"/>
              </w:rPr>
              <w:t xml:space="preserve"> </w:t>
            </w:r>
            <w:r w:rsidRPr="00D1313E">
              <w:rPr>
                <w:sz w:val="20"/>
                <w:szCs w:val="20"/>
              </w:rPr>
              <w:t>(21.7%)</w:t>
            </w:r>
          </w:p>
        </w:tc>
        <w:tc>
          <w:tcPr>
            <w:tcW w:w="2268" w:type="dxa"/>
          </w:tcPr>
          <w:p w:rsidR="00E660F2" w:rsidRPr="00D1313E" w:rsidRDefault="00E660F2" w:rsidP="008F0588">
            <w:pPr>
              <w:rPr>
                <w:sz w:val="20"/>
                <w:szCs w:val="20"/>
              </w:rPr>
            </w:pPr>
            <w:r w:rsidRPr="00D1313E">
              <w:rPr>
                <w:sz w:val="20"/>
                <w:szCs w:val="20"/>
              </w:rPr>
              <w:t>191</w:t>
            </w:r>
            <w:r>
              <w:rPr>
                <w:sz w:val="20"/>
                <w:szCs w:val="20"/>
              </w:rPr>
              <w:t xml:space="preserve"> </w:t>
            </w:r>
            <w:r w:rsidRPr="00D1313E">
              <w:rPr>
                <w:sz w:val="20"/>
                <w:szCs w:val="20"/>
              </w:rPr>
              <w:t>(47.6%)</w:t>
            </w:r>
          </w:p>
        </w:tc>
      </w:tr>
      <w:tr w:rsidR="00E660F2" w:rsidTr="008F0588">
        <w:tc>
          <w:tcPr>
            <w:tcW w:w="2376" w:type="dxa"/>
          </w:tcPr>
          <w:p w:rsidR="00E660F2" w:rsidRPr="00D1313E" w:rsidRDefault="00E660F2" w:rsidP="008F0588">
            <w:pPr>
              <w:rPr>
                <w:sz w:val="20"/>
                <w:szCs w:val="20"/>
              </w:rPr>
            </w:pPr>
            <w:r w:rsidRPr="00D1313E">
              <w:rPr>
                <w:sz w:val="20"/>
                <w:szCs w:val="20"/>
              </w:rPr>
              <w:t>Median (95% CI)</w:t>
            </w:r>
          </w:p>
        </w:tc>
        <w:tc>
          <w:tcPr>
            <w:tcW w:w="2552" w:type="dxa"/>
          </w:tcPr>
          <w:p w:rsidR="00E660F2" w:rsidRPr="00D1313E" w:rsidRDefault="00E660F2" w:rsidP="008F0588">
            <w:pPr>
              <w:rPr>
                <w:sz w:val="20"/>
                <w:szCs w:val="20"/>
              </w:rPr>
            </w:pPr>
            <w:r w:rsidRPr="00D1313E">
              <w:rPr>
                <w:sz w:val="20"/>
                <w:szCs w:val="20"/>
              </w:rPr>
              <w:t>41 months</w:t>
            </w:r>
          </w:p>
        </w:tc>
        <w:tc>
          <w:tcPr>
            <w:tcW w:w="2268" w:type="dxa"/>
          </w:tcPr>
          <w:p w:rsidR="00E660F2" w:rsidRPr="00D1313E" w:rsidRDefault="00E660F2" w:rsidP="008F0588">
            <w:pPr>
              <w:rPr>
                <w:sz w:val="20"/>
                <w:szCs w:val="20"/>
              </w:rPr>
            </w:pPr>
            <w:r w:rsidRPr="00D1313E">
              <w:rPr>
                <w:sz w:val="20"/>
                <w:szCs w:val="20"/>
              </w:rPr>
              <w:t>17 months</w:t>
            </w:r>
          </w:p>
        </w:tc>
      </w:tr>
      <w:tr w:rsidR="00E660F2" w:rsidTr="008F0588">
        <w:tc>
          <w:tcPr>
            <w:tcW w:w="2376" w:type="dxa"/>
          </w:tcPr>
          <w:p w:rsidR="00E660F2" w:rsidRPr="00D1313E" w:rsidRDefault="00E660F2" w:rsidP="008F0588">
            <w:pPr>
              <w:rPr>
                <w:sz w:val="20"/>
                <w:szCs w:val="20"/>
              </w:rPr>
            </w:pPr>
            <w:r w:rsidRPr="00D1313E">
              <w:rPr>
                <w:sz w:val="20"/>
                <w:szCs w:val="20"/>
              </w:rPr>
              <w:t>HR</w:t>
            </w:r>
          </w:p>
        </w:tc>
        <w:tc>
          <w:tcPr>
            <w:tcW w:w="4820" w:type="dxa"/>
            <w:gridSpan w:val="2"/>
          </w:tcPr>
          <w:p w:rsidR="00E660F2" w:rsidRPr="00D1313E" w:rsidRDefault="00E660F2" w:rsidP="008F0588">
            <w:pPr>
              <w:rPr>
                <w:sz w:val="20"/>
                <w:szCs w:val="20"/>
              </w:rPr>
            </w:pPr>
            <w:r w:rsidRPr="00D1313E">
              <w:rPr>
                <w:sz w:val="20"/>
                <w:szCs w:val="20"/>
              </w:rPr>
              <w:t>0.27 (0.22, 0.34), p&lt;0.0001</w:t>
            </w:r>
          </w:p>
        </w:tc>
      </w:tr>
    </w:tbl>
    <w:p w:rsidR="00E660F2" w:rsidRDefault="00E660F2" w:rsidP="00E660F2">
      <w:r w:rsidRPr="00E9296D">
        <w:t>Importantly, the hazard ratio was similarly favourable across all the quartiles by PSADT, suggesting that carefully selected patients with other known high risk factors and/or a PSADT ≥10 months are also likely to benefit.</w:t>
      </w:r>
    </w:p>
    <w:p w:rsidR="00E660F2" w:rsidRDefault="00E660F2" w:rsidP="00E660F2">
      <w:r w:rsidRPr="007302CF">
        <w:rPr>
          <w:i/>
        </w:rPr>
        <w:t>Progression free survival (PFS)</w:t>
      </w:r>
      <w:r>
        <w:rPr>
          <w:i/>
        </w:rPr>
        <w:t xml:space="preserve">: </w:t>
      </w:r>
      <w:r>
        <w:t>Defined as the time from randomisation to first BICR confirmed radiographic progressive disease (distant or locoregional) or death due to any cause. Results are shown in Table 20.</w:t>
      </w:r>
    </w:p>
    <w:p w:rsidR="00E660F2" w:rsidRDefault="00E660F2" w:rsidP="00E660F2">
      <w:pPr>
        <w:pStyle w:val="TableTitle"/>
      </w:pPr>
      <w:r>
        <w:t>Table 20: PFS results</w:t>
      </w:r>
    </w:p>
    <w:tbl>
      <w:tblPr>
        <w:tblStyle w:val="TableTGAblue"/>
        <w:tblW w:w="0" w:type="auto"/>
        <w:tblLook w:val="04A0" w:firstRow="1" w:lastRow="0" w:firstColumn="1" w:lastColumn="0" w:noHBand="0" w:noVBand="1"/>
      </w:tblPr>
      <w:tblGrid>
        <w:gridCol w:w="2376"/>
        <w:gridCol w:w="2552"/>
        <w:gridCol w:w="2268"/>
      </w:tblGrid>
      <w:tr w:rsidR="00E660F2" w:rsidTr="008F0588">
        <w:trPr>
          <w:cnfStyle w:val="100000000000" w:firstRow="1" w:lastRow="0" w:firstColumn="0" w:lastColumn="0" w:oddVBand="0" w:evenVBand="0" w:oddHBand="0" w:evenHBand="0" w:firstRowFirstColumn="0" w:firstRowLastColumn="0" w:lastRowFirstColumn="0" w:lastRowLastColumn="0"/>
        </w:trPr>
        <w:tc>
          <w:tcPr>
            <w:tcW w:w="2376" w:type="dxa"/>
          </w:tcPr>
          <w:p w:rsidR="00E660F2" w:rsidRPr="00D1313E" w:rsidRDefault="00E660F2" w:rsidP="008F0588">
            <w:pPr>
              <w:rPr>
                <w:sz w:val="20"/>
                <w:szCs w:val="20"/>
              </w:rPr>
            </w:pPr>
          </w:p>
        </w:tc>
        <w:tc>
          <w:tcPr>
            <w:tcW w:w="2552" w:type="dxa"/>
          </w:tcPr>
          <w:p w:rsidR="00E660F2" w:rsidRPr="00D1313E" w:rsidRDefault="00E660F2" w:rsidP="002B2B5B">
            <w:pPr>
              <w:rPr>
                <w:sz w:val="20"/>
                <w:szCs w:val="20"/>
              </w:rPr>
            </w:pPr>
            <w:proofErr w:type="spellStart"/>
            <w:r w:rsidRPr="00D1313E">
              <w:rPr>
                <w:sz w:val="20"/>
                <w:szCs w:val="20"/>
              </w:rPr>
              <w:t>Apalutamide</w:t>
            </w:r>
            <w:proofErr w:type="spellEnd"/>
            <w:r w:rsidR="002B2B5B">
              <w:rPr>
                <w:sz w:val="20"/>
                <w:szCs w:val="20"/>
              </w:rPr>
              <w:t xml:space="preserve"> </w:t>
            </w:r>
            <w:r w:rsidRPr="00D1313E">
              <w:rPr>
                <w:sz w:val="20"/>
                <w:szCs w:val="20"/>
              </w:rPr>
              <w:t>N=806</w:t>
            </w:r>
          </w:p>
        </w:tc>
        <w:tc>
          <w:tcPr>
            <w:tcW w:w="2268" w:type="dxa"/>
          </w:tcPr>
          <w:p w:rsidR="00E660F2" w:rsidRPr="00D1313E" w:rsidRDefault="00E660F2" w:rsidP="002B2B5B">
            <w:pPr>
              <w:rPr>
                <w:sz w:val="20"/>
                <w:szCs w:val="20"/>
              </w:rPr>
            </w:pPr>
            <w:r w:rsidRPr="00D1313E">
              <w:rPr>
                <w:sz w:val="20"/>
                <w:szCs w:val="20"/>
              </w:rPr>
              <w:t>Placebo</w:t>
            </w:r>
            <w:r w:rsidR="002B2B5B">
              <w:rPr>
                <w:sz w:val="20"/>
                <w:szCs w:val="20"/>
              </w:rPr>
              <w:t xml:space="preserve"> </w:t>
            </w:r>
            <w:r w:rsidRPr="00D1313E">
              <w:rPr>
                <w:sz w:val="20"/>
                <w:szCs w:val="20"/>
              </w:rPr>
              <w:t>N=401</w:t>
            </w:r>
          </w:p>
        </w:tc>
      </w:tr>
      <w:tr w:rsidR="00E660F2" w:rsidTr="008F0588">
        <w:tc>
          <w:tcPr>
            <w:tcW w:w="2376" w:type="dxa"/>
          </w:tcPr>
          <w:p w:rsidR="00E660F2" w:rsidRPr="00D1313E" w:rsidRDefault="00E660F2" w:rsidP="008F0588">
            <w:pPr>
              <w:rPr>
                <w:sz w:val="20"/>
                <w:szCs w:val="20"/>
              </w:rPr>
            </w:pPr>
            <w:r w:rsidRPr="00D1313E">
              <w:rPr>
                <w:sz w:val="20"/>
                <w:szCs w:val="20"/>
              </w:rPr>
              <w:t>Events</w:t>
            </w:r>
          </w:p>
        </w:tc>
        <w:tc>
          <w:tcPr>
            <w:tcW w:w="2552" w:type="dxa"/>
          </w:tcPr>
          <w:p w:rsidR="00E660F2" w:rsidRPr="00D1313E" w:rsidRDefault="00E660F2" w:rsidP="008F0588">
            <w:pPr>
              <w:rPr>
                <w:sz w:val="20"/>
                <w:szCs w:val="20"/>
              </w:rPr>
            </w:pPr>
            <w:r>
              <w:rPr>
                <w:sz w:val="20"/>
                <w:szCs w:val="20"/>
              </w:rPr>
              <w:t>200</w:t>
            </w:r>
            <w:r w:rsidRPr="00D1313E">
              <w:rPr>
                <w:sz w:val="20"/>
                <w:szCs w:val="20"/>
              </w:rPr>
              <w:t>(</w:t>
            </w:r>
            <w:r>
              <w:rPr>
                <w:sz w:val="20"/>
                <w:szCs w:val="20"/>
              </w:rPr>
              <w:t>24.8</w:t>
            </w:r>
            <w:r w:rsidRPr="00D1313E">
              <w:rPr>
                <w:sz w:val="20"/>
                <w:szCs w:val="20"/>
              </w:rPr>
              <w:t>%)</w:t>
            </w:r>
          </w:p>
        </w:tc>
        <w:tc>
          <w:tcPr>
            <w:tcW w:w="2268" w:type="dxa"/>
          </w:tcPr>
          <w:p w:rsidR="00E660F2" w:rsidRPr="00D1313E" w:rsidRDefault="00E660F2" w:rsidP="008F0588">
            <w:pPr>
              <w:ind w:left="0"/>
              <w:rPr>
                <w:sz w:val="20"/>
                <w:szCs w:val="20"/>
              </w:rPr>
            </w:pPr>
            <w:r>
              <w:rPr>
                <w:sz w:val="20"/>
                <w:szCs w:val="20"/>
              </w:rPr>
              <w:t xml:space="preserve"> 204</w:t>
            </w:r>
            <w:r w:rsidRPr="00D1313E">
              <w:rPr>
                <w:sz w:val="20"/>
                <w:szCs w:val="20"/>
              </w:rPr>
              <w:t>(</w:t>
            </w:r>
            <w:r>
              <w:rPr>
                <w:sz w:val="20"/>
                <w:szCs w:val="20"/>
              </w:rPr>
              <w:t>50.9</w:t>
            </w:r>
            <w:r w:rsidRPr="00D1313E">
              <w:rPr>
                <w:sz w:val="20"/>
                <w:szCs w:val="20"/>
              </w:rPr>
              <w:t>%)</w:t>
            </w:r>
          </w:p>
        </w:tc>
      </w:tr>
      <w:tr w:rsidR="00E660F2" w:rsidTr="008F0588">
        <w:tc>
          <w:tcPr>
            <w:tcW w:w="2376" w:type="dxa"/>
          </w:tcPr>
          <w:p w:rsidR="00E660F2" w:rsidRPr="00D1313E" w:rsidRDefault="00E660F2" w:rsidP="008F0588">
            <w:pPr>
              <w:rPr>
                <w:sz w:val="20"/>
                <w:szCs w:val="20"/>
              </w:rPr>
            </w:pPr>
            <w:r w:rsidRPr="00D1313E">
              <w:rPr>
                <w:sz w:val="20"/>
                <w:szCs w:val="20"/>
              </w:rPr>
              <w:t>M</w:t>
            </w:r>
            <w:r>
              <w:rPr>
                <w:sz w:val="20"/>
                <w:szCs w:val="20"/>
              </w:rPr>
              <w:t>edian</w:t>
            </w:r>
            <w:r w:rsidRPr="00D1313E">
              <w:rPr>
                <w:sz w:val="20"/>
                <w:szCs w:val="20"/>
              </w:rPr>
              <w:t xml:space="preserve"> (95% CI)</w:t>
            </w:r>
          </w:p>
        </w:tc>
        <w:tc>
          <w:tcPr>
            <w:tcW w:w="2552" w:type="dxa"/>
          </w:tcPr>
          <w:p w:rsidR="00E660F2" w:rsidRPr="00D1313E" w:rsidRDefault="00E660F2" w:rsidP="008F0588">
            <w:pPr>
              <w:rPr>
                <w:sz w:val="20"/>
                <w:szCs w:val="20"/>
              </w:rPr>
            </w:pPr>
            <w:r>
              <w:rPr>
                <w:sz w:val="20"/>
                <w:szCs w:val="20"/>
              </w:rPr>
              <w:t>40.5</w:t>
            </w:r>
            <w:r w:rsidRPr="00D1313E">
              <w:rPr>
                <w:sz w:val="20"/>
                <w:szCs w:val="20"/>
              </w:rPr>
              <w:t xml:space="preserve"> mo</w:t>
            </w:r>
            <w:r>
              <w:rPr>
                <w:sz w:val="20"/>
                <w:szCs w:val="20"/>
              </w:rPr>
              <w:t>nths</w:t>
            </w:r>
          </w:p>
        </w:tc>
        <w:tc>
          <w:tcPr>
            <w:tcW w:w="2268" w:type="dxa"/>
          </w:tcPr>
          <w:p w:rsidR="00E660F2" w:rsidRPr="00D1313E" w:rsidRDefault="00E660F2" w:rsidP="008F0588">
            <w:pPr>
              <w:rPr>
                <w:sz w:val="20"/>
                <w:szCs w:val="20"/>
              </w:rPr>
            </w:pPr>
            <w:r>
              <w:rPr>
                <w:sz w:val="20"/>
                <w:szCs w:val="20"/>
              </w:rPr>
              <w:t>14.7</w:t>
            </w:r>
            <w:r w:rsidRPr="00D1313E">
              <w:rPr>
                <w:sz w:val="20"/>
                <w:szCs w:val="20"/>
              </w:rPr>
              <w:t xml:space="preserve"> mo</w:t>
            </w:r>
            <w:r>
              <w:rPr>
                <w:sz w:val="20"/>
                <w:szCs w:val="20"/>
              </w:rPr>
              <w:t>nths</w:t>
            </w:r>
          </w:p>
        </w:tc>
      </w:tr>
      <w:tr w:rsidR="00E660F2" w:rsidTr="008F0588">
        <w:tc>
          <w:tcPr>
            <w:tcW w:w="2376" w:type="dxa"/>
          </w:tcPr>
          <w:p w:rsidR="00E660F2" w:rsidRPr="00D1313E" w:rsidRDefault="00E660F2" w:rsidP="008F0588">
            <w:pPr>
              <w:rPr>
                <w:sz w:val="20"/>
                <w:szCs w:val="20"/>
              </w:rPr>
            </w:pPr>
            <w:r w:rsidRPr="00D1313E">
              <w:rPr>
                <w:sz w:val="20"/>
                <w:szCs w:val="20"/>
              </w:rPr>
              <w:t>HR</w:t>
            </w:r>
          </w:p>
        </w:tc>
        <w:tc>
          <w:tcPr>
            <w:tcW w:w="4820" w:type="dxa"/>
            <w:gridSpan w:val="2"/>
          </w:tcPr>
          <w:p w:rsidR="00E660F2" w:rsidRPr="00D1313E" w:rsidRDefault="00E660F2" w:rsidP="008F0588">
            <w:pPr>
              <w:rPr>
                <w:sz w:val="20"/>
                <w:szCs w:val="20"/>
              </w:rPr>
            </w:pPr>
            <w:r w:rsidRPr="00D1313E">
              <w:rPr>
                <w:sz w:val="20"/>
                <w:szCs w:val="20"/>
              </w:rPr>
              <w:t>0.2</w:t>
            </w:r>
            <w:r>
              <w:rPr>
                <w:sz w:val="20"/>
                <w:szCs w:val="20"/>
              </w:rPr>
              <w:t>9</w:t>
            </w:r>
            <w:r w:rsidRPr="00D1313E">
              <w:rPr>
                <w:sz w:val="20"/>
                <w:szCs w:val="20"/>
              </w:rPr>
              <w:t xml:space="preserve"> (0.2</w:t>
            </w:r>
            <w:r>
              <w:rPr>
                <w:sz w:val="20"/>
                <w:szCs w:val="20"/>
              </w:rPr>
              <w:t>4</w:t>
            </w:r>
            <w:r w:rsidRPr="00D1313E">
              <w:rPr>
                <w:sz w:val="20"/>
                <w:szCs w:val="20"/>
              </w:rPr>
              <w:t>, 0.3</w:t>
            </w:r>
            <w:r>
              <w:rPr>
                <w:sz w:val="20"/>
                <w:szCs w:val="20"/>
              </w:rPr>
              <w:t>6</w:t>
            </w:r>
            <w:r w:rsidRPr="00D1313E">
              <w:rPr>
                <w:sz w:val="20"/>
                <w:szCs w:val="20"/>
              </w:rPr>
              <w:t>), p&lt;0.0001</w:t>
            </w:r>
          </w:p>
        </w:tc>
      </w:tr>
    </w:tbl>
    <w:p w:rsidR="00E660F2" w:rsidRDefault="00E660F2" w:rsidP="00E660F2">
      <w:r>
        <w:t>The difference between PFS and MFS is that PFS includes locoregional disease progression as events in addition to distant disease progression. Locoregional-only-progression, as per BICR review, occurred in approximately 2% of patients in both arms. Consequently, the MFS and PFS results were similar.</w:t>
      </w:r>
    </w:p>
    <w:p w:rsidR="00E660F2" w:rsidRDefault="00E660F2" w:rsidP="00E660F2">
      <w:r w:rsidRPr="007302CF">
        <w:rPr>
          <w:i/>
        </w:rPr>
        <w:t>Time to symptomatic progression (SymProg)</w:t>
      </w:r>
      <w:r>
        <w:t>: Defined as the time from randomisation to development of:</w:t>
      </w:r>
    </w:p>
    <w:p w:rsidR="00E660F2" w:rsidRDefault="00E660F2" w:rsidP="00E660F2">
      <w:pPr>
        <w:pStyle w:val="ListBullet"/>
        <w:numPr>
          <w:ilvl w:val="0"/>
          <w:numId w:val="1"/>
        </w:numPr>
      </w:pPr>
      <w:r>
        <w:t>a skeletal related event (SRE)</w:t>
      </w:r>
    </w:p>
    <w:p w:rsidR="00E660F2" w:rsidRDefault="00E660F2" w:rsidP="00E660F2">
      <w:pPr>
        <w:pStyle w:val="ListBullet"/>
        <w:numPr>
          <w:ilvl w:val="0"/>
          <w:numId w:val="1"/>
        </w:numPr>
      </w:pPr>
      <w:r>
        <w:t>initiation of a new systemic anti-cancer therapy due to pain progression or worsening of disease-related symptoms</w:t>
      </w:r>
    </w:p>
    <w:p w:rsidR="00E660F2" w:rsidRDefault="00E660F2" w:rsidP="00E660F2">
      <w:pPr>
        <w:pStyle w:val="ListBullet"/>
        <w:numPr>
          <w:ilvl w:val="0"/>
          <w:numId w:val="1"/>
        </w:numPr>
      </w:pPr>
      <w:r>
        <w:t>locoregional tumour progression requiring surgery or radiation therapy.</w:t>
      </w:r>
    </w:p>
    <w:p w:rsidR="00E660F2" w:rsidRDefault="00E660F2" w:rsidP="00E660F2">
      <w:pPr>
        <w:pStyle w:val="ListBullet"/>
        <w:numPr>
          <w:ilvl w:val="0"/>
          <w:numId w:val="0"/>
        </w:numPr>
      </w:pPr>
      <w:r>
        <w:t>Results are shown in Table 21.</w:t>
      </w:r>
    </w:p>
    <w:p w:rsidR="00E660F2" w:rsidRDefault="00E660F2" w:rsidP="00E660F2">
      <w:pPr>
        <w:pStyle w:val="TableTitle"/>
      </w:pPr>
      <w:r>
        <w:t>Table 21: SymProg results</w:t>
      </w:r>
    </w:p>
    <w:tbl>
      <w:tblPr>
        <w:tblStyle w:val="TableTGAblue"/>
        <w:tblW w:w="0" w:type="auto"/>
        <w:tblLook w:val="04A0" w:firstRow="1" w:lastRow="0" w:firstColumn="1" w:lastColumn="0" w:noHBand="0" w:noVBand="1"/>
      </w:tblPr>
      <w:tblGrid>
        <w:gridCol w:w="2376"/>
        <w:gridCol w:w="2552"/>
        <w:gridCol w:w="2268"/>
      </w:tblGrid>
      <w:tr w:rsidR="00E660F2" w:rsidTr="008F0588">
        <w:trPr>
          <w:cnfStyle w:val="100000000000" w:firstRow="1" w:lastRow="0" w:firstColumn="0" w:lastColumn="0" w:oddVBand="0" w:evenVBand="0" w:oddHBand="0" w:evenHBand="0" w:firstRowFirstColumn="0" w:firstRowLastColumn="0" w:lastRowFirstColumn="0" w:lastRowLastColumn="0"/>
        </w:trPr>
        <w:tc>
          <w:tcPr>
            <w:tcW w:w="2376" w:type="dxa"/>
          </w:tcPr>
          <w:p w:rsidR="00E660F2" w:rsidRPr="00D1313E" w:rsidRDefault="00E660F2" w:rsidP="008F0588">
            <w:pPr>
              <w:rPr>
                <w:sz w:val="20"/>
                <w:szCs w:val="20"/>
              </w:rPr>
            </w:pPr>
          </w:p>
        </w:tc>
        <w:tc>
          <w:tcPr>
            <w:tcW w:w="2552" w:type="dxa"/>
          </w:tcPr>
          <w:p w:rsidR="00E660F2" w:rsidRPr="00D1313E" w:rsidRDefault="00E660F2" w:rsidP="002B2B5B">
            <w:pPr>
              <w:rPr>
                <w:sz w:val="20"/>
                <w:szCs w:val="20"/>
              </w:rPr>
            </w:pPr>
            <w:proofErr w:type="spellStart"/>
            <w:r w:rsidRPr="00D1313E">
              <w:rPr>
                <w:sz w:val="20"/>
                <w:szCs w:val="20"/>
              </w:rPr>
              <w:t>Apalutamide</w:t>
            </w:r>
            <w:proofErr w:type="spellEnd"/>
            <w:r w:rsidR="002B2B5B">
              <w:rPr>
                <w:sz w:val="20"/>
                <w:szCs w:val="20"/>
              </w:rPr>
              <w:t xml:space="preserve"> </w:t>
            </w:r>
            <w:r w:rsidRPr="00D1313E">
              <w:rPr>
                <w:sz w:val="20"/>
                <w:szCs w:val="20"/>
              </w:rPr>
              <w:t>N=806</w:t>
            </w:r>
          </w:p>
        </w:tc>
        <w:tc>
          <w:tcPr>
            <w:tcW w:w="2268" w:type="dxa"/>
          </w:tcPr>
          <w:p w:rsidR="00E660F2" w:rsidRPr="00D1313E" w:rsidRDefault="00E660F2" w:rsidP="002B2B5B">
            <w:pPr>
              <w:rPr>
                <w:sz w:val="20"/>
                <w:szCs w:val="20"/>
              </w:rPr>
            </w:pPr>
            <w:r w:rsidRPr="00D1313E">
              <w:rPr>
                <w:sz w:val="20"/>
                <w:szCs w:val="20"/>
              </w:rPr>
              <w:t>Placebo</w:t>
            </w:r>
            <w:r w:rsidR="002B2B5B">
              <w:rPr>
                <w:sz w:val="20"/>
                <w:szCs w:val="20"/>
              </w:rPr>
              <w:t xml:space="preserve"> </w:t>
            </w:r>
            <w:r w:rsidRPr="00D1313E">
              <w:rPr>
                <w:sz w:val="20"/>
                <w:szCs w:val="20"/>
              </w:rPr>
              <w:t>N=401</w:t>
            </w:r>
          </w:p>
        </w:tc>
      </w:tr>
      <w:tr w:rsidR="00E660F2" w:rsidTr="008F0588">
        <w:tc>
          <w:tcPr>
            <w:tcW w:w="2376" w:type="dxa"/>
          </w:tcPr>
          <w:p w:rsidR="00E660F2" w:rsidRPr="00D1313E" w:rsidRDefault="00E660F2" w:rsidP="008F0588">
            <w:pPr>
              <w:rPr>
                <w:sz w:val="20"/>
                <w:szCs w:val="20"/>
              </w:rPr>
            </w:pPr>
            <w:r w:rsidRPr="00D1313E">
              <w:rPr>
                <w:sz w:val="20"/>
                <w:szCs w:val="20"/>
              </w:rPr>
              <w:t>Events</w:t>
            </w:r>
          </w:p>
        </w:tc>
        <w:tc>
          <w:tcPr>
            <w:tcW w:w="2552" w:type="dxa"/>
          </w:tcPr>
          <w:p w:rsidR="00E660F2" w:rsidRPr="00D1313E" w:rsidRDefault="00E660F2" w:rsidP="008F0588">
            <w:pPr>
              <w:rPr>
                <w:sz w:val="20"/>
                <w:szCs w:val="20"/>
              </w:rPr>
            </w:pPr>
            <w:r>
              <w:rPr>
                <w:sz w:val="20"/>
                <w:szCs w:val="20"/>
              </w:rPr>
              <w:t xml:space="preserve">64 </w:t>
            </w:r>
            <w:r w:rsidRPr="00D1313E">
              <w:rPr>
                <w:sz w:val="20"/>
                <w:szCs w:val="20"/>
              </w:rPr>
              <w:t>(</w:t>
            </w:r>
            <w:r>
              <w:rPr>
                <w:sz w:val="20"/>
                <w:szCs w:val="20"/>
              </w:rPr>
              <w:t>8</w:t>
            </w:r>
            <w:r w:rsidRPr="00D1313E">
              <w:rPr>
                <w:sz w:val="20"/>
                <w:szCs w:val="20"/>
              </w:rPr>
              <w:t>%)</w:t>
            </w:r>
          </w:p>
        </w:tc>
        <w:tc>
          <w:tcPr>
            <w:tcW w:w="2268" w:type="dxa"/>
          </w:tcPr>
          <w:p w:rsidR="00E660F2" w:rsidRPr="00D1313E" w:rsidRDefault="00E660F2" w:rsidP="008F0588">
            <w:pPr>
              <w:rPr>
                <w:sz w:val="20"/>
                <w:szCs w:val="20"/>
              </w:rPr>
            </w:pPr>
            <w:r>
              <w:rPr>
                <w:sz w:val="20"/>
                <w:szCs w:val="20"/>
              </w:rPr>
              <w:t xml:space="preserve">63 </w:t>
            </w:r>
            <w:r w:rsidRPr="00D1313E">
              <w:rPr>
                <w:sz w:val="20"/>
                <w:szCs w:val="20"/>
              </w:rPr>
              <w:t>(</w:t>
            </w:r>
            <w:r>
              <w:rPr>
                <w:sz w:val="20"/>
                <w:szCs w:val="20"/>
              </w:rPr>
              <w:t>16</w:t>
            </w:r>
            <w:r w:rsidRPr="00D1313E">
              <w:rPr>
                <w:sz w:val="20"/>
                <w:szCs w:val="20"/>
              </w:rPr>
              <w:t>%)</w:t>
            </w:r>
          </w:p>
        </w:tc>
      </w:tr>
      <w:tr w:rsidR="00E660F2" w:rsidTr="008F0588">
        <w:tc>
          <w:tcPr>
            <w:tcW w:w="2376" w:type="dxa"/>
          </w:tcPr>
          <w:p w:rsidR="00E660F2" w:rsidRPr="00D1313E" w:rsidRDefault="00E660F2" w:rsidP="008F0588">
            <w:pPr>
              <w:rPr>
                <w:sz w:val="20"/>
                <w:szCs w:val="20"/>
              </w:rPr>
            </w:pPr>
            <w:r w:rsidRPr="00D1313E">
              <w:rPr>
                <w:sz w:val="20"/>
                <w:szCs w:val="20"/>
              </w:rPr>
              <w:t>M</w:t>
            </w:r>
            <w:r>
              <w:rPr>
                <w:sz w:val="20"/>
                <w:szCs w:val="20"/>
              </w:rPr>
              <w:t>edian</w:t>
            </w:r>
            <w:r w:rsidRPr="00D1313E">
              <w:rPr>
                <w:sz w:val="20"/>
                <w:szCs w:val="20"/>
              </w:rPr>
              <w:t xml:space="preserve"> (95% CI)</w:t>
            </w:r>
          </w:p>
        </w:tc>
        <w:tc>
          <w:tcPr>
            <w:tcW w:w="2552" w:type="dxa"/>
          </w:tcPr>
          <w:p w:rsidR="00E660F2" w:rsidRPr="00D1313E" w:rsidRDefault="00E660F2" w:rsidP="008F0588">
            <w:pPr>
              <w:rPr>
                <w:sz w:val="20"/>
                <w:szCs w:val="20"/>
              </w:rPr>
            </w:pPr>
            <w:r w:rsidRPr="00D1313E">
              <w:rPr>
                <w:sz w:val="20"/>
                <w:szCs w:val="20"/>
              </w:rPr>
              <w:t>NE</w:t>
            </w:r>
          </w:p>
        </w:tc>
        <w:tc>
          <w:tcPr>
            <w:tcW w:w="2268" w:type="dxa"/>
          </w:tcPr>
          <w:p w:rsidR="00E660F2" w:rsidRPr="00D1313E" w:rsidRDefault="00E660F2" w:rsidP="008F0588">
            <w:pPr>
              <w:rPr>
                <w:sz w:val="20"/>
                <w:szCs w:val="20"/>
              </w:rPr>
            </w:pPr>
            <w:r w:rsidRPr="00D1313E">
              <w:rPr>
                <w:sz w:val="20"/>
                <w:szCs w:val="20"/>
              </w:rPr>
              <w:t>NE</w:t>
            </w:r>
          </w:p>
        </w:tc>
      </w:tr>
      <w:tr w:rsidR="00E660F2" w:rsidTr="008F0588">
        <w:tc>
          <w:tcPr>
            <w:tcW w:w="2376" w:type="dxa"/>
          </w:tcPr>
          <w:p w:rsidR="00E660F2" w:rsidRPr="00D1313E" w:rsidRDefault="00E660F2" w:rsidP="008F0588">
            <w:pPr>
              <w:rPr>
                <w:sz w:val="20"/>
                <w:szCs w:val="20"/>
              </w:rPr>
            </w:pPr>
            <w:r w:rsidRPr="00D1313E">
              <w:rPr>
                <w:sz w:val="20"/>
                <w:szCs w:val="20"/>
              </w:rPr>
              <w:t>HR</w:t>
            </w:r>
          </w:p>
        </w:tc>
        <w:tc>
          <w:tcPr>
            <w:tcW w:w="4820" w:type="dxa"/>
            <w:gridSpan w:val="2"/>
          </w:tcPr>
          <w:p w:rsidR="00E660F2" w:rsidRPr="00D1313E" w:rsidRDefault="00E660F2" w:rsidP="008F0588">
            <w:pPr>
              <w:rPr>
                <w:sz w:val="20"/>
                <w:szCs w:val="20"/>
              </w:rPr>
            </w:pPr>
            <w:r w:rsidRPr="00D1313E">
              <w:rPr>
                <w:sz w:val="20"/>
                <w:szCs w:val="20"/>
              </w:rPr>
              <w:t>0.45 (0.3</w:t>
            </w:r>
            <w:r>
              <w:rPr>
                <w:sz w:val="20"/>
                <w:szCs w:val="20"/>
              </w:rPr>
              <w:t>2</w:t>
            </w:r>
            <w:r w:rsidRPr="00D1313E">
              <w:rPr>
                <w:sz w:val="20"/>
                <w:szCs w:val="20"/>
              </w:rPr>
              <w:t>, 0.6</w:t>
            </w:r>
            <w:r>
              <w:rPr>
                <w:sz w:val="20"/>
                <w:szCs w:val="20"/>
              </w:rPr>
              <w:t>3</w:t>
            </w:r>
            <w:r w:rsidRPr="00D1313E">
              <w:rPr>
                <w:sz w:val="20"/>
                <w:szCs w:val="20"/>
              </w:rPr>
              <w:t>), p&lt;0.0001</w:t>
            </w:r>
          </w:p>
        </w:tc>
      </w:tr>
    </w:tbl>
    <w:p w:rsidR="00E660F2" w:rsidRPr="00DE2B80" w:rsidRDefault="00E660F2" w:rsidP="00E660F2">
      <w:r>
        <w:lastRenderedPageBreak/>
        <w:t>T</w:t>
      </w:r>
      <w:r w:rsidRPr="00A24CBC">
        <w:t>he actual p-value for SymProg is 0.00000356, and hence the OBF-type efficacy boundary of 0.00008 is crossed at the interim analysis for SymProg.</w:t>
      </w:r>
      <w:r>
        <w:t xml:space="preserve"> That is, statistical significance is achieved for SymProg at the interim analysis and no further analysis of SymProg is planned.</w:t>
      </w:r>
    </w:p>
    <w:p w:rsidR="00E660F2" w:rsidRDefault="00E660F2" w:rsidP="00E660F2">
      <w:r w:rsidRPr="007302CF">
        <w:rPr>
          <w:i/>
        </w:rPr>
        <w:t>Overall survival (OS)</w:t>
      </w:r>
      <w:r>
        <w:t>: OS was tested because MFS, TTM, PFS, and time to symptomatic progression were all statistically significant. Two interim analyses were planned for OS; however, because the time to symptomatic progression was statistically significant at the interim analysis, the second interim analysis of OS will not be done. Therefore, this interim OS analysis performed with 24% of events required for the final OS analysis will be the only interim analysis performed. This interim analysis of OS did not reach the pre-specified statistical significance level based on the O’Brien-Fleming efficacy boundary (that is, p=0.000012). Results are shown in Table 22.</w:t>
      </w:r>
    </w:p>
    <w:p w:rsidR="00E660F2" w:rsidRDefault="00E660F2" w:rsidP="00E660F2">
      <w:pPr>
        <w:pStyle w:val="TableTitle"/>
      </w:pPr>
      <w:r>
        <w:t>Table 22: OS results</w:t>
      </w:r>
    </w:p>
    <w:tbl>
      <w:tblPr>
        <w:tblStyle w:val="TableTGAblue"/>
        <w:tblW w:w="0" w:type="auto"/>
        <w:tblLook w:val="04A0" w:firstRow="1" w:lastRow="0" w:firstColumn="1" w:lastColumn="0" w:noHBand="0" w:noVBand="1"/>
      </w:tblPr>
      <w:tblGrid>
        <w:gridCol w:w="2502"/>
        <w:gridCol w:w="2426"/>
        <w:gridCol w:w="3402"/>
      </w:tblGrid>
      <w:tr w:rsidR="00E660F2" w:rsidTr="008F0588">
        <w:trPr>
          <w:cnfStyle w:val="100000000000" w:firstRow="1" w:lastRow="0" w:firstColumn="0" w:lastColumn="0" w:oddVBand="0" w:evenVBand="0" w:oddHBand="0" w:evenHBand="0" w:firstRowFirstColumn="0" w:firstRowLastColumn="0" w:lastRowFirstColumn="0" w:lastRowLastColumn="0"/>
        </w:trPr>
        <w:tc>
          <w:tcPr>
            <w:tcW w:w="2502" w:type="dxa"/>
          </w:tcPr>
          <w:p w:rsidR="00E660F2" w:rsidRPr="00D1313E" w:rsidRDefault="00E660F2" w:rsidP="008F0588">
            <w:pPr>
              <w:rPr>
                <w:sz w:val="20"/>
                <w:szCs w:val="20"/>
              </w:rPr>
            </w:pPr>
          </w:p>
        </w:tc>
        <w:tc>
          <w:tcPr>
            <w:tcW w:w="2426" w:type="dxa"/>
          </w:tcPr>
          <w:p w:rsidR="00E660F2" w:rsidRPr="00D1313E" w:rsidRDefault="00E660F2" w:rsidP="008F0588">
            <w:pPr>
              <w:rPr>
                <w:sz w:val="20"/>
                <w:szCs w:val="20"/>
              </w:rPr>
            </w:pPr>
            <w:r w:rsidRPr="00D1313E">
              <w:rPr>
                <w:sz w:val="20"/>
                <w:szCs w:val="20"/>
              </w:rPr>
              <w:t>Apalutamide</w:t>
            </w:r>
            <w:r>
              <w:rPr>
                <w:sz w:val="20"/>
                <w:szCs w:val="20"/>
              </w:rPr>
              <w:t xml:space="preserve"> </w:t>
            </w:r>
            <w:r w:rsidRPr="00D1313E">
              <w:rPr>
                <w:sz w:val="20"/>
                <w:szCs w:val="20"/>
              </w:rPr>
              <w:t>N=806</w:t>
            </w:r>
          </w:p>
        </w:tc>
        <w:tc>
          <w:tcPr>
            <w:tcW w:w="3402" w:type="dxa"/>
          </w:tcPr>
          <w:p w:rsidR="00E660F2" w:rsidRPr="00D1313E" w:rsidRDefault="00E660F2" w:rsidP="008F0588">
            <w:pPr>
              <w:rPr>
                <w:sz w:val="20"/>
                <w:szCs w:val="20"/>
              </w:rPr>
            </w:pPr>
            <w:r w:rsidRPr="00D1313E">
              <w:rPr>
                <w:sz w:val="20"/>
                <w:szCs w:val="20"/>
              </w:rPr>
              <w:t>Placebo</w:t>
            </w:r>
            <w:r>
              <w:rPr>
                <w:sz w:val="20"/>
                <w:szCs w:val="20"/>
              </w:rPr>
              <w:t xml:space="preserve"> </w:t>
            </w:r>
            <w:r w:rsidRPr="00D1313E">
              <w:rPr>
                <w:sz w:val="20"/>
                <w:szCs w:val="20"/>
              </w:rPr>
              <w:t>N=401</w:t>
            </w:r>
          </w:p>
        </w:tc>
      </w:tr>
      <w:tr w:rsidR="00E660F2" w:rsidTr="008F0588">
        <w:tc>
          <w:tcPr>
            <w:tcW w:w="2502" w:type="dxa"/>
          </w:tcPr>
          <w:p w:rsidR="00E660F2" w:rsidRPr="00D1313E" w:rsidRDefault="00E660F2" w:rsidP="008F0588">
            <w:pPr>
              <w:rPr>
                <w:sz w:val="20"/>
                <w:szCs w:val="20"/>
              </w:rPr>
            </w:pPr>
            <w:r w:rsidRPr="00D1313E">
              <w:rPr>
                <w:sz w:val="20"/>
                <w:szCs w:val="20"/>
              </w:rPr>
              <w:t>Events</w:t>
            </w:r>
          </w:p>
        </w:tc>
        <w:tc>
          <w:tcPr>
            <w:tcW w:w="2426" w:type="dxa"/>
          </w:tcPr>
          <w:p w:rsidR="00E660F2" w:rsidRPr="00D1313E" w:rsidRDefault="00E660F2" w:rsidP="008F0588">
            <w:pPr>
              <w:rPr>
                <w:sz w:val="20"/>
                <w:szCs w:val="20"/>
              </w:rPr>
            </w:pPr>
            <w:r w:rsidRPr="00D1313E">
              <w:rPr>
                <w:sz w:val="20"/>
                <w:szCs w:val="20"/>
              </w:rPr>
              <w:t>62(8%)</w:t>
            </w:r>
          </w:p>
        </w:tc>
        <w:tc>
          <w:tcPr>
            <w:tcW w:w="3402" w:type="dxa"/>
          </w:tcPr>
          <w:p w:rsidR="00E660F2" w:rsidRPr="00D1313E" w:rsidRDefault="00E660F2" w:rsidP="008F0588">
            <w:pPr>
              <w:rPr>
                <w:sz w:val="20"/>
                <w:szCs w:val="20"/>
              </w:rPr>
            </w:pPr>
            <w:r w:rsidRPr="00D1313E">
              <w:rPr>
                <w:sz w:val="20"/>
                <w:szCs w:val="20"/>
              </w:rPr>
              <w:t>42(11%)</w:t>
            </w:r>
          </w:p>
        </w:tc>
      </w:tr>
      <w:tr w:rsidR="00E660F2" w:rsidTr="008F0588">
        <w:tc>
          <w:tcPr>
            <w:tcW w:w="2502" w:type="dxa"/>
          </w:tcPr>
          <w:p w:rsidR="00E660F2" w:rsidRPr="00D1313E" w:rsidRDefault="00E660F2" w:rsidP="008F0588">
            <w:pPr>
              <w:rPr>
                <w:sz w:val="20"/>
                <w:szCs w:val="20"/>
              </w:rPr>
            </w:pPr>
            <w:r w:rsidRPr="00D1313E">
              <w:rPr>
                <w:sz w:val="20"/>
                <w:szCs w:val="20"/>
              </w:rPr>
              <w:t>Median (95% CI)</w:t>
            </w:r>
          </w:p>
        </w:tc>
        <w:tc>
          <w:tcPr>
            <w:tcW w:w="2426" w:type="dxa"/>
          </w:tcPr>
          <w:p w:rsidR="00E660F2" w:rsidRPr="00D1313E" w:rsidRDefault="00E660F2" w:rsidP="008F0588">
            <w:pPr>
              <w:rPr>
                <w:sz w:val="20"/>
                <w:szCs w:val="20"/>
              </w:rPr>
            </w:pPr>
            <w:r w:rsidRPr="00D1313E">
              <w:rPr>
                <w:sz w:val="20"/>
                <w:szCs w:val="20"/>
              </w:rPr>
              <w:t>NE</w:t>
            </w:r>
          </w:p>
        </w:tc>
        <w:tc>
          <w:tcPr>
            <w:tcW w:w="3402" w:type="dxa"/>
          </w:tcPr>
          <w:p w:rsidR="00E660F2" w:rsidRPr="00D1313E" w:rsidRDefault="00E660F2" w:rsidP="008F0588">
            <w:pPr>
              <w:rPr>
                <w:sz w:val="20"/>
                <w:szCs w:val="20"/>
              </w:rPr>
            </w:pPr>
            <w:r w:rsidRPr="00D1313E">
              <w:rPr>
                <w:sz w:val="20"/>
                <w:szCs w:val="20"/>
              </w:rPr>
              <w:t>39 mo</w:t>
            </w:r>
            <w:r>
              <w:rPr>
                <w:sz w:val="20"/>
                <w:szCs w:val="20"/>
              </w:rPr>
              <w:t>nths</w:t>
            </w:r>
          </w:p>
        </w:tc>
      </w:tr>
      <w:tr w:rsidR="00E660F2" w:rsidTr="008F0588">
        <w:tc>
          <w:tcPr>
            <w:tcW w:w="2502" w:type="dxa"/>
          </w:tcPr>
          <w:p w:rsidR="00E660F2" w:rsidRPr="00D1313E" w:rsidRDefault="00E660F2" w:rsidP="008F0588">
            <w:pPr>
              <w:rPr>
                <w:sz w:val="20"/>
                <w:szCs w:val="20"/>
              </w:rPr>
            </w:pPr>
            <w:r w:rsidRPr="00D1313E">
              <w:rPr>
                <w:sz w:val="20"/>
                <w:szCs w:val="20"/>
              </w:rPr>
              <w:t>HR</w:t>
            </w:r>
          </w:p>
        </w:tc>
        <w:tc>
          <w:tcPr>
            <w:tcW w:w="5828" w:type="dxa"/>
            <w:gridSpan w:val="2"/>
          </w:tcPr>
          <w:p w:rsidR="00E660F2" w:rsidRPr="00D1313E" w:rsidRDefault="00E660F2" w:rsidP="008F0588">
            <w:pPr>
              <w:rPr>
                <w:sz w:val="20"/>
                <w:szCs w:val="20"/>
              </w:rPr>
            </w:pPr>
            <w:r w:rsidRPr="00D1313E">
              <w:rPr>
                <w:sz w:val="20"/>
                <w:szCs w:val="20"/>
              </w:rPr>
              <w:t>0.70 (0.47, 1.04), p&lt;0.07</w:t>
            </w:r>
          </w:p>
        </w:tc>
      </w:tr>
    </w:tbl>
    <w:p w:rsidR="00E660F2" w:rsidRDefault="00E660F2" w:rsidP="00E660F2">
      <w:r>
        <w:t>In a response to an Information Request from the FDA, the sponsor expects the s</w:t>
      </w:r>
      <w:r w:rsidRPr="00184C43">
        <w:t>tudy to be c</w:t>
      </w:r>
      <w:r>
        <w:t>oncluded in December 2022 with the</w:t>
      </w:r>
      <w:r w:rsidRPr="00184C43">
        <w:t xml:space="preserve"> final clinical study report available by June 2023</w:t>
      </w:r>
      <w:r>
        <w:t>. OS results were not included in the FDA PI because of the immaturity of the OS data at the time of MFS analysis.</w:t>
      </w:r>
    </w:p>
    <w:p w:rsidR="00E660F2" w:rsidRDefault="00E660F2" w:rsidP="00E660F2">
      <w:r w:rsidRPr="007302CF">
        <w:rPr>
          <w:i/>
        </w:rPr>
        <w:t>Time to initiation of cytotoxic chemotherapy</w:t>
      </w:r>
      <w:r>
        <w:t xml:space="preserve">: </w:t>
      </w:r>
      <w:r w:rsidRPr="00D2074A">
        <w:t>Time to initiation of cytotoxic chemotherapy</w:t>
      </w:r>
      <w:r>
        <w:t xml:space="preserve"> was defined as the time from randomisation to the date of initiation of cytotoxic chemotherapy for prostate cancer.</w:t>
      </w:r>
    </w:p>
    <w:p w:rsidR="00E660F2" w:rsidRDefault="00E660F2" w:rsidP="00E660F2">
      <w:r>
        <w:t>A formal statistical assessment of the time to initiation of cytotoxic chemotherapy was to be performed if MFS, TTM, PFS, time to symptomatic progression and OS were all statistically significant. Because the interim OS analysis did not cross the efficacy boundary, no formal statistical inference could be made for the analysis of time to initiation of cytotoxic chemotherapy. The analyses are descriptive/exploratory. Results are shown in Table 23.</w:t>
      </w:r>
    </w:p>
    <w:p w:rsidR="00E660F2" w:rsidRDefault="00E660F2" w:rsidP="00E660F2">
      <w:pPr>
        <w:pStyle w:val="TableTitle"/>
      </w:pPr>
      <w:r>
        <w:t xml:space="preserve">Table 23: </w:t>
      </w:r>
      <w:r w:rsidRPr="00D2074A">
        <w:t>Time to initiation of cytotoxic chemotherapy</w:t>
      </w:r>
    </w:p>
    <w:tbl>
      <w:tblPr>
        <w:tblStyle w:val="TableTGAblue"/>
        <w:tblW w:w="0" w:type="auto"/>
        <w:tblLook w:val="04A0" w:firstRow="1" w:lastRow="0" w:firstColumn="1" w:lastColumn="0" w:noHBand="0" w:noVBand="1"/>
      </w:tblPr>
      <w:tblGrid>
        <w:gridCol w:w="2502"/>
        <w:gridCol w:w="2426"/>
        <w:gridCol w:w="3402"/>
      </w:tblGrid>
      <w:tr w:rsidR="00E660F2" w:rsidRPr="00026D24" w:rsidTr="008F0588">
        <w:trPr>
          <w:cnfStyle w:val="100000000000" w:firstRow="1" w:lastRow="0" w:firstColumn="0" w:lastColumn="0" w:oddVBand="0" w:evenVBand="0" w:oddHBand="0" w:evenHBand="0" w:firstRowFirstColumn="0" w:firstRowLastColumn="0" w:lastRowFirstColumn="0" w:lastRowLastColumn="0"/>
        </w:trPr>
        <w:tc>
          <w:tcPr>
            <w:tcW w:w="2502" w:type="dxa"/>
          </w:tcPr>
          <w:p w:rsidR="00E660F2" w:rsidRPr="00026D24" w:rsidRDefault="00E660F2" w:rsidP="008F0588">
            <w:pPr>
              <w:rPr>
                <w:sz w:val="20"/>
                <w:szCs w:val="20"/>
              </w:rPr>
            </w:pPr>
          </w:p>
        </w:tc>
        <w:tc>
          <w:tcPr>
            <w:tcW w:w="2426" w:type="dxa"/>
          </w:tcPr>
          <w:p w:rsidR="00E660F2" w:rsidRPr="00026D24" w:rsidRDefault="00E660F2" w:rsidP="008F0588">
            <w:pPr>
              <w:rPr>
                <w:sz w:val="20"/>
                <w:szCs w:val="20"/>
              </w:rPr>
            </w:pPr>
            <w:r w:rsidRPr="00026D24">
              <w:rPr>
                <w:sz w:val="20"/>
                <w:szCs w:val="20"/>
              </w:rPr>
              <w:t>Apalutamide</w:t>
            </w:r>
            <w:r>
              <w:rPr>
                <w:sz w:val="20"/>
                <w:szCs w:val="20"/>
              </w:rPr>
              <w:t xml:space="preserve"> </w:t>
            </w:r>
            <w:r w:rsidRPr="00026D24">
              <w:rPr>
                <w:sz w:val="20"/>
                <w:szCs w:val="20"/>
              </w:rPr>
              <w:t>N=806</w:t>
            </w:r>
          </w:p>
        </w:tc>
        <w:tc>
          <w:tcPr>
            <w:tcW w:w="3402" w:type="dxa"/>
          </w:tcPr>
          <w:p w:rsidR="00E660F2" w:rsidRPr="00026D24" w:rsidRDefault="00E660F2" w:rsidP="008F0588">
            <w:pPr>
              <w:rPr>
                <w:sz w:val="20"/>
                <w:szCs w:val="20"/>
              </w:rPr>
            </w:pPr>
            <w:r w:rsidRPr="00026D24">
              <w:rPr>
                <w:sz w:val="20"/>
                <w:szCs w:val="20"/>
              </w:rPr>
              <w:t>Placebo</w:t>
            </w:r>
            <w:r>
              <w:rPr>
                <w:sz w:val="20"/>
                <w:szCs w:val="20"/>
              </w:rPr>
              <w:t xml:space="preserve"> </w:t>
            </w:r>
            <w:r w:rsidRPr="00026D24">
              <w:rPr>
                <w:sz w:val="20"/>
                <w:szCs w:val="20"/>
              </w:rPr>
              <w:t>N=401</w:t>
            </w:r>
          </w:p>
        </w:tc>
      </w:tr>
      <w:tr w:rsidR="00E660F2" w:rsidRPr="00026D24" w:rsidTr="008F0588">
        <w:tc>
          <w:tcPr>
            <w:tcW w:w="2502" w:type="dxa"/>
          </w:tcPr>
          <w:p w:rsidR="00E660F2" w:rsidRPr="00026D24" w:rsidRDefault="00E660F2" w:rsidP="008F0588">
            <w:pPr>
              <w:rPr>
                <w:sz w:val="20"/>
                <w:szCs w:val="20"/>
              </w:rPr>
            </w:pPr>
            <w:r w:rsidRPr="00026D24">
              <w:rPr>
                <w:sz w:val="20"/>
                <w:szCs w:val="20"/>
              </w:rPr>
              <w:t>Events</w:t>
            </w:r>
          </w:p>
        </w:tc>
        <w:tc>
          <w:tcPr>
            <w:tcW w:w="2426" w:type="dxa"/>
          </w:tcPr>
          <w:p w:rsidR="00E660F2" w:rsidRPr="00026D24" w:rsidRDefault="00E660F2" w:rsidP="008F0588">
            <w:pPr>
              <w:rPr>
                <w:sz w:val="20"/>
                <w:szCs w:val="20"/>
              </w:rPr>
            </w:pPr>
            <w:r w:rsidRPr="00026D24">
              <w:rPr>
                <w:sz w:val="20"/>
                <w:szCs w:val="20"/>
              </w:rPr>
              <w:t>46</w:t>
            </w:r>
            <w:r>
              <w:rPr>
                <w:sz w:val="20"/>
                <w:szCs w:val="20"/>
              </w:rPr>
              <w:t xml:space="preserve"> </w:t>
            </w:r>
            <w:r w:rsidRPr="00026D24">
              <w:rPr>
                <w:sz w:val="20"/>
                <w:szCs w:val="20"/>
              </w:rPr>
              <w:t>(6%)</w:t>
            </w:r>
          </w:p>
        </w:tc>
        <w:tc>
          <w:tcPr>
            <w:tcW w:w="3402" w:type="dxa"/>
          </w:tcPr>
          <w:p w:rsidR="00E660F2" w:rsidRPr="00026D24" w:rsidRDefault="00E660F2" w:rsidP="008F0588">
            <w:pPr>
              <w:rPr>
                <w:sz w:val="20"/>
                <w:szCs w:val="20"/>
              </w:rPr>
            </w:pPr>
            <w:r w:rsidRPr="00026D24">
              <w:rPr>
                <w:sz w:val="20"/>
                <w:szCs w:val="20"/>
              </w:rPr>
              <w:t>44</w:t>
            </w:r>
            <w:r>
              <w:rPr>
                <w:sz w:val="20"/>
                <w:szCs w:val="20"/>
              </w:rPr>
              <w:t xml:space="preserve"> </w:t>
            </w:r>
            <w:r w:rsidRPr="00026D24">
              <w:rPr>
                <w:sz w:val="20"/>
                <w:szCs w:val="20"/>
              </w:rPr>
              <w:t>(11%)</w:t>
            </w:r>
          </w:p>
        </w:tc>
      </w:tr>
      <w:tr w:rsidR="00E660F2" w:rsidRPr="00026D24" w:rsidTr="008F0588">
        <w:tc>
          <w:tcPr>
            <w:tcW w:w="2502" w:type="dxa"/>
          </w:tcPr>
          <w:p w:rsidR="00E660F2" w:rsidRPr="00026D24" w:rsidRDefault="00E660F2" w:rsidP="008F0588">
            <w:pPr>
              <w:rPr>
                <w:sz w:val="20"/>
                <w:szCs w:val="20"/>
              </w:rPr>
            </w:pPr>
            <w:r w:rsidRPr="00026D24">
              <w:rPr>
                <w:sz w:val="20"/>
                <w:szCs w:val="20"/>
              </w:rPr>
              <w:t>M</w:t>
            </w:r>
            <w:r>
              <w:rPr>
                <w:sz w:val="20"/>
                <w:szCs w:val="20"/>
              </w:rPr>
              <w:t xml:space="preserve">edian </w:t>
            </w:r>
            <w:r w:rsidRPr="00026D24">
              <w:rPr>
                <w:sz w:val="20"/>
                <w:szCs w:val="20"/>
              </w:rPr>
              <w:t>(95% CI)</w:t>
            </w:r>
          </w:p>
        </w:tc>
        <w:tc>
          <w:tcPr>
            <w:tcW w:w="2426" w:type="dxa"/>
          </w:tcPr>
          <w:p w:rsidR="00E660F2" w:rsidRPr="00026D24" w:rsidRDefault="00E660F2" w:rsidP="008F0588">
            <w:pPr>
              <w:rPr>
                <w:sz w:val="20"/>
                <w:szCs w:val="20"/>
              </w:rPr>
            </w:pPr>
            <w:r w:rsidRPr="00026D24">
              <w:rPr>
                <w:sz w:val="20"/>
                <w:szCs w:val="20"/>
              </w:rPr>
              <w:t>NE</w:t>
            </w:r>
          </w:p>
        </w:tc>
        <w:tc>
          <w:tcPr>
            <w:tcW w:w="3402" w:type="dxa"/>
          </w:tcPr>
          <w:p w:rsidR="00E660F2" w:rsidRPr="00026D24" w:rsidRDefault="00E660F2" w:rsidP="008F0588">
            <w:pPr>
              <w:rPr>
                <w:sz w:val="20"/>
                <w:szCs w:val="20"/>
              </w:rPr>
            </w:pPr>
            <w:r w:rsidRPr="00026D24">
              <w:rPr>
                <w:sz w:val="20"/>
                <w:szCs w:val="20"/>
              </w:rPr>
              <w:t>NE</w:t>
            </w:r>
          </w:p>
        </w:tc>
      </w:tr>
      <w:tr w:rsidR="00E660F2" w:rsidRPr="00026D24" w:rsidTr="008F0588">
        <w:tc>
          <w:tcPr>
            <w:tcW w:w="2502" w:type="dxa"/>
          </w:tcPr>
          <w:p w:rsidR="00E660F2" w:rsidRPr="00026D24" w:rsidRDefault="00E660F2" w:rsidP="008F0588">
            <w:pPr>
              <w:rPr>
                <w:sz w:val="20"/>
                <w:szCs w:val="20"/>
              </w:rPr>
            </w:pPr>
            <w:r w:rsidRPr="00026D24">
              <w:rPr>
                <w:sz w:val="20"/>
                <w:szCs w:val="20"/>
              </w:rPr>
              <w:t>HR</w:t>
            </w:r>
          </w:p>
        </w:tc>
        <w:tc>
          <w:tcPr>
            <w:tcW w:w="5828" w:type="dxa"/>
            <w:gridSpan w:val="2"/>
          </w:tcPr>
          <w:p w:rsidR="00E660F2" w:rsidRPr="00026D24" w:rsidRDefault="00E660F2" w:rsidP="008F0588">
            <w:pPr>
              <w:rPr>
                <w:sz w:val="20"/>
                <w:szCs w:val="20"/>
              </w:rPr>
            </w:pPr>
            <w:r w:rsidRPr="00026D24">
              <w:rPr>
                <w:sz w:val="20"/>
                <w:szCs w:val="20"/>
              </w:rPr>
              <w:t>0.44</w:t>
            </w:r>
          </w:p>
        </w:tc>
      </w:tr>
    </w:tbl>
    <w:p w:rsidR="00E660F2" w:rsidRDefault="00E660F2" w:rsidP="00E660F2">
      <w:r>
        <w:t>46 patients who received cytotoxic chemotherapy in the apalutamide arm received docetaxel 4 carbazitaxel.</w:t>
      </w:r>
    </w:p>
    <w:p w:rsidR="00E660F2" w:rsidRDefault="00E660F2" w:rsidP="00E660F2">
      <w:r>
        <w:t>40 patients in the placebo arm received docetaxel; 7 carbazitaxel.</w:t>
      </w:r>
    </w:p>
    <w:p w:rsidR="00E660F2" w:rsidRDefault="00E660F2" w:rsidP="00E660F2">
      <w:r w:rsidRPr="007302CF">
        <w:rPr>
          <w:i/>
        </w:rPr>
        <w:t>Patient reported outcomes (PROs)</w:t>
      </w:r>
      <w:r>
        <w:t xml:space="preserve">: PROs were assessed using the Functional Assessment of Cancer Therapy – Prostate (FACT-P) and the EuroQoL (EQ-5D-3L) questionnaires. This was an exploratory analysis. </w:t>
      </w:r>
      <w:r w:rsidRPr="00CB565B">
        <w:rPr>
          <w:szCs w:val="24"/>
        </w:rPr>
        <w:t>The</w:t>
      </w:r>
      <w:r>
        <w:rPr>
          <w:szCs w:val="24"/>
        </w:rPr>
        <w:t xml:space="preserve"> </w:t>
      </w:r>
      <w:r w:rsidRPr="00CB565B">
        <w:rPr>
          <w:szCs w:val="24"/>
        </w:rPr>
        <w:t xml:space="preserve">rates of completing at least one item or at least 50% of </w:t>
      </w:r>
      <w:r w:rsidRPr="00CB565B">
        <w:rPr>
          <w:szCs w:val="24"/>
        </w:rPr>
        <w:lastRenderedPageBreak/>
        <w:t>items of both instruments were greater</w:t>
      </w:r>
      <w:r>
        <w:rPr>
          <w:szCs w:val="24"/>
        </w:rPr>
        <w:t xml:space="preserve"> </w:t>
      </w:r>
      <w:r w:rsidRPr="00CB565B">
        <w:rPr>
          <w:szCs w:val="24"/>
        </w:rPr>
        <w:t>than 90% for both treatment arms across all on treatment assessments.</w:t>
      </w:r>
      <w:r>
        <w:rPr>
          <w:szCs w:val="24"/>
        </w:rPr>
        <w:t xml:space="preserve"> Overall the scores seemed similar. The results do not materially inform the regulatory decision.</w:t>
      </w:r>
    </w:p>
    <w:p w:rsidR="00E660F2" w:rsidRPr="00AA7FEA" w:rsidRDefault="00E660F2" w:rsidP="00E660F2">
      <w:pPr>
        <w:pStyle w:val="Heading5"/>
      </w:pPr>
      <w:r w:rsidRPr="00AA7FEA">
        <w:t>Safety</w:t>
      </w:r>
      <w:r>
        <w:t xml:space="preserve"> results</w:t>
      </w:r>
    </w:p>
    <w:p w:rsidR="00E660F2" w:rsidRDefault="00E660F2" w:rsidP="00E660F2">
      <w:r w:rsidRPr="00353919">
        <w:t>Class effects associated with anti-androgens, including enzalutamide, are primarily related to</w:t>
      </w:r>
      <w:r>
        <w:t xml:space="preserve"> </w:t>
      </w:r>
      <w:r w:rsidRPr="00353919">
        <w:t>the effects of prolonged androgen depriv</w:t>
      </w:r>
      <w:r>
        <w:t xml:space="preserve">ation and include fatigue, bone </w:t>
      </w:r>
      <w:r w:rsidRPr="00353919">
        <w:t>density loss,</w:t>
      </w:r>
      <w:r>
        <w:t xml:space="preserve"> sarcopenia, diabetes</w:t>
      </w:r>
      <w:r w:rsidRPr="00353919">
        <w:t xml:space="preserve"> and coronary artery disease. Seizure was </w:t>
      </w:r>
      <w:r>
        <w:t>reported from the</w:t>
      </w:r>
      <w:r w:rsidRPr="00353919">
        <w:t xml:space="preserve"> clinical</w:t>
      </w:r>
      <w:r>
        <w:t xml:space="preserve"> </w:t>
      </w:r>
      <w:r w:rsidRPr="00353919">
        <w:t>trials of enzalutamide, which may be due to antagonism of the GABAA receptor and was</w:t>
      </w:r>
      <w:r>
        <w:t xml:space="preserve"> reported </w:t>
      </w:r>
      <w:r w:rsidRPr="00353919">
        <w:t xml:space="preserve">at high doses of apalutamide in Beagle dogs in toxicology studies. </w:t>
      </w:r>
    </w:p>
    <w:p w:rsidR="00E660F2" w:rsidRDefault="00E660F2" w:rsidP="00E660F2">
      <w:pPr>
        <w:pStyle w:val="Heading6"/>
      </w:pPr>
      <w:r>
        <w:t>Exposure</w:t>
      </w:r>
    </w:p>
    <w:p w:rsidR="00E660F2" w:rsidRPr="009220EF" w:rsidRDefault="00E660F2" w:rsidP="00E660F2">
      <w:r>
        <w:t>Treatment duration/exposure in the apalutamide and placebo groups is shown in Table 24.</w:t>
      </w:r>
    </w:p>
    <w:p w:rsidR="00E660F2" w:rsidRPr="00C15207" w:rsidRDefault="00E660F2" w:rsidP="00E660F2">
      <w:pPr>
        <w:pStyle w:val="TableTitle"/>
      </w:pPr>
      <w:r>
        <w:t>Table 24: Treatment duration/exposure</w:t>
      </w:r>
    </w:p>
    <w:tbl>
      <w:tblPr>
        <w:tblStyle w:val="TableTGAblue"/>
        <w:tblW w:w="0" w:type="auto"/>
        <w:tblLook w:val="04A0" w:firstRow="1" w:lastRow="0" w:firstColumn="1" w:lastColumn="0" w:noHBand="0" w:noVBand="1"/>
      </w:tblPr>
      <w:tblGrid>
        <w:gridCol w:w="2376"/>
        <w:gridCol w:w="2977"/>
        <w:gridCol w:w="2552"/>
      </w:tblGrid>
      <w:tr w:rsidR="00E660F2" w:rsidTr="008F0588">
        <w:trPr>
          <w:cnfStyle w:val="100000000000" w:firstRow="1" w:lastRow="0" w:firstColumn="0" w:lastColumn="0" w:oddVBand="0" w:evenVBand="0" w:oddHBand="0" w:evenHBand="0" w:firstRowFirstColumn="0" w:firstRowLastColumn="0" w:lastRowFirstColumn="0" w:lastRowLastColumn="0"/>
        </w:trPr>
        <w:tc>
          <w:tcPr>
            <w:tcW w:w="2376" w:type="dxa"/>
          </w:tcPr>
          <w:p w:rsidR="00E660F2" w:rsidRPr="00C15207" w:rsidRDefault="00E660F2" w:rsidP="008F0588">
            <w:pPr>
              <w:rPr>
                <w:sz w:val="20"/>
                <w:szCs w:val="20"/>
              </w:rPr>
            </w:pPr>
            <w:r w:rsidRPr="00C15207">
              <w:rPr>
                <w:sz w:val="20"/>
                <w:szCs w:val="20"/>
              </w:rPr>
              <w:t>Treatment duration</w:t>
            </w:r>
          </w:p>
        </w:tc>
        <w:tc>
          <w:tcPr>
            <w:tcW w:w="2977" w:type="dxa"/>
          </w:tcPr>
          <w:p w:rsidR="00E660F2" w:rsidRPr="00C15207" w:rsidRDefault="00E660F2" w:rsidP="008F0588">
            <w:pPr>
              <w:rPr>
                <w:sz w:val="20"/>
                <w:szCs w:val="20"/>
              </w:rPr>
            </w:pPr>
            <w:r w:rsidRPr="00C15207">
              <w:rPr>
                <w:sz w:val="20"/>
                <w:szCs w:val="20"/>
              </w:rPr>
              <w:t>Apalutamide</w:t>
            </w:r>
            <w:r>
              <w:rPr>
                <w:sz w:val="20"/>
                <w:szCs w:val="20"/>
              </w:rPr>
              <w:t xml:space="preserve"> </w:t>
            </w:r>
            <w:r w:rsidRPr="00C15207">
              <w:rPr>
                <w:sz w:val="20"/>
                <w:szCs w:val="20"/>
              </w:rPr>
              <w:t>N=803</w:t>
            </w:r>
          </w:p>
        </w:tc>
        <w:tc>
          <w:tcPr>
            <w:tcW w:w="2552" w:type="dxa"/>
          </w:tcPr>
          <w:p w:rsidR="00E660F2" w:rsidRPr="00C15207" w:rsidRDefault="00E660F2" w:rsidP="008F0588">
            <w:pPr>
              <w:rPr>
                <w:sz w:val="20"/>
                <w:szCs w:val="20"/>
              </w:rPr>
            </w:pPr>
            <w:r w:rsidRPr="00C15207">
              <w:rPr>
                <w:sz w:val="20"/>
                <w:szCs w:val="20"/>
              </w:rPr>
              <w:t>Placebo</w:t>
            </w:r>
            <w:r>
              <w:rPr>
                <w:sz w:val="20"/>
                <w:szCs w:val="20"/>
              </w:rPr>
              <w:t xml:space="preserve"> </w:t>
            </w:r>
            <w:r w:rsidRPr="00C15207">
              <w:rPr>
                <w:sz w:val="20"/>
                <w:szCs w:val="20"/>
              </w:rPr>
              <w:t>N=398</w:t>
            </w:r>
          </w:p>
        </w:tc>
      </w:tr>
      <w:tr w:rsidR="00E660F2" w:rsidTr="008F0588">
        <w:tc>
          <w:tcPr>
            <w:tcW w:w="2376" w:type="dxa"/>
          </w:tcPr>
          <w:p w:rsidR="00E660F2" w:rsidRPr="00C15207" w:rsidRDefault="00E660F2" w:rsidP="008F0588">
            <w:pPr>
              <w:rPr>
                <w:sz w:val="20"/>
                <w:szCs w:val="20"/>
              </w:rPr>
            </w:pPr>
            <w:r w:rsidRPr="00C15207">
              <w:rPr>
                <w:sz w:val="20"/>
                <w:szCs w:val="20"/>
              </w:rPr>
              <w:t>M</w:t>
            </w:r>
            <w:r>
              <w:rPr>
                <w:sz w:val="20"/>
                <w:szCs w:val="20"/>
              </w:rPr>
              <w:t>e</w:t>
            </w:r>
            <w:r w:rsidRPr="00C15207">
              <w:rPr>
                <w:sz w:val="20"/>
                <w:szCs w:val="20"/>
              </w:rPr>
              <w:t>d</w:t>
            </w:r>
            <w:r>
              <w:rPr>
                <w:sz w:val="20"/>
                <w:szCs w:val="20"/>
              </w:rPr>
              <w:t>ian</w:t>
            </w:r>
            <w:r w:rsidRPr="00C15207">
              <w:rPr>
                <w:sz w:val="20"/>
                <w:szCs w:val="20"/>
              </w:rPr>
              <w:t xml:space="preserve"> (range)</w:t>
            </w:r>
          </w:p>
        </w:tc>
        <w:tc>
          <w:tcPr>
            <w:tcW w:w="2977" w:type="dxa"/>
          </w:tcPr>
          <w:p w:rsidR="00E660F2" w:rsidRPr="00C15207" w:rsidRDefault="00E660F2" w:rsidP="008F0588">
            <w:pPr>
              <w:rPr>
                <w:sz w:val="20"/>
                <w:szCs w:val="20"/>
              </w:rPr>
            </w:pPr>
            <w:r w:rsidRPr="00C15207">
              <w:rPr>
                <w:sz w:val="20"/>
                <w:szCs w:val="20"/>
              </w:rPr>
              <w:t>16.9 mo</w:t>
            </w:r>
            <w:r>
              <w:rPr>
                <w:sz w:val="20"/>
                <w:szCs w:val="20"/>
              </w:rPr>
              <w:t>nths</w:t>
            </w:r>
            <w:r w:rsidRPr="00C15207">
              <w:rPr>
                <w:sz w:val="20"/>
                <w:szCs w:val="20"/>
              </w:rPr>
              <w:t>(0.1, 42)</w:t>
            </w:r>
          </w:p>
        </w:tc>
        <w:tc>
          <w:tcPr>
            <w:tcW w:w="2552" w:type="dxa"/>
          </w:tcPr>
          <w:p w:rsidR="00E660F2" w:rsidRPr="00C15207" w:rsidRDefault="00E660F2" w:rsidP="008F0588">
            <w:pPr>
              <w:rPr>
                <w:sz w:val="20"/>
                <w:szCs w:val="20"/>
              </w:rPr>
            </w:pPr>
            <w:r w:rsidRPr="00C15207">
              <w:rPr>
                <w:sz w:val="20"/>
                <w:szCs w:val="20"/>
              </w:rPr>
              <w:t>11.2 mo</w:t>
            </w:r>
            <w:r>
              <w:rPr>
                <w:sz w:val="20"/>
                <w:szCs w:val="20"/>
              </w:rPr>
              <w:t>nths</w:t>
            </w:r>
            <w:r w:rsidRPr="00C15207">
              <w:rPr>
                <w:sz w:val="20"/>
                <w:szCs w:val="20"/>
              </w:rPr>
              <w:t xml:space="preserve"> (0.1, 37)</w:t>
            </w:r>
          </w:p>
        </w:tc>
      </w:tr>
      <w:tr w:rsidR="00E660F2" w:rsidTr="008F0588">
        <w:tc>
          <w:tcPr>
            <w:tcW w:w="2376" w:type="dxa"/>
          </w:tcPr>
          <w:p w:rsidR="00E660F2" w:rsidRPr="00C15207" w:rsidRDefault="00E660F2" w:rsidP="008F0588">
            <w:pPr>
              <w:rPr>
                <w:sz w:val="20"/>
                <w:szCs w:val="20"/>
              </w:rPr>
            </w:pPr>
            <w:r w:rsidRPr="00C15207">
              <w:rPr>
                <w:sz w:val="20"/>
                <w:szCs w:val="20"/>
              </w:rPr>
              <w:t>12+ months</w:t>
            </w:r>
          </w:p>
          <w:p w:rsidR="00E660F2" w:rsidRPr="00C15207" w:rsidRDefault="00E660F2" w:rsidP="008F0588">
            <w:pPr>
              <w:rPr>
                <w:sz w:val="20"/>
                <w:szCs w:val="20"/>
              </w:rPr>
            </w:pPr>
            <w:r w:rsidRPr="00C15207">
              <w:rPr>
                <w:sz w:val="20"/>
                <w:szCs w:val="20"/>
              </w:rPr>
              <w:t>24+ months</w:t>
            </w:r>
          </w:p>
          <w:p w:rsidR="00E660F2" w:rsidRPr="00C15207" w:rsidRDefault="00E660F2" w:rsidP="008F0588">
            <w:pPr>
              <w:rPr>
                <w:sz w:val="20"/>
                <w:szCs w:val="20"/>
              </w:rPr>
            </w:pPr>
            <w:r w:rsidRPr="00C15207">
              <w:rPr>
                <w:sz w:val="20"/>
                <w:szCs w:val="20"/>
              </w:rPr>
              <w:t>36+ months</w:t>
            </w:r>
          </w:p>
        </w:tc>
        <w:tc>
          <w:tcPr>
            <w:tcW w:w="2977" w:type="dxa"/>
          </w:tcPr>
          <w:p w:rsidR="00E660F2" w:rsidRPr="00C15207" w:rsidRDefault="00E660F2" w:rsidP="008F0588">
            <w:pPr>
              <w:rPr>
                <w:sz w:val="20"/>
                <w:szCs w:val="20"/>
              </w:rPr>
            </w:pPr>
            <w:r w:rsidRPr="00C15207">
              <w:rPr>
                <w:sz w:val="20"/>
                <w:szCs w:val="20"/>
              </w:rPr>
              <w:t>563(70%)</w:t>
            </w:r>
          </w:p>
          <w:p w:rsidR="00E660F2" w:rsidRPr="00C15207" w:rsidRDefault="00E660F2" w:rsidP="008F0588">
            <w:pPr>
              <w:rPr>
                <w:sz w:val="20"/>
                <w:szCs w:val="20"/>
              </w:rPr>
            </w:pPr>
            <w:r w:rsidRPr="00C15207">
              <w:rPr>
                <w:sz w:val="20"/>
                <w:szCs w:val="20"/>
              </w:rPr>
              <w:t>206(26%)</w:t>
            </w:r>
          </w:p>
          <w:p w:rsidR="00E660F2" w:rsidRPr="00C15207" w:rsidRDefault="00E660F2" w:rsidP="008F0588">
            <w:pPr>
              <w:rPr>
                <w:sz w:val="20"/>
                <w:szCs w:val="20"/>
              </w:rPr>
            </w:pPr>
            <w:r w:rsidRPr="00C15207">
              <w:rPr>
                <w:sz w:val="20"/>
                <w:szCs w:val="20"/>
              </w:rPr>
              <w:t>21(3%)</w:t>
            </w:r>
          </w:p>
        </w:tc>
        <w:tc>
          <w:tcPr>
            <w:tcW w:w="2552" w:type="dxa"/>
          </w:tcPr>
          <w:p w:rsidR="00E660F2" w:rsidRPr="00C15207" w:rsidRDefault="00E660F2" w:rsidP="008F0588">
            <w:pPr>
              <w:rPr>
                <w:sz w:val="20"/>
                <w:szCs w:val="20"/>
              </w:rPr>
            </w:pPr>
            <w:r w:rsidRPr="00C15207">
              <w:rPr>
                <w:sz w:val="20"/>
                <w:szCs w:val="20"/>
              </w:rPr>
              <w:t>178(45%)</w:t>
            </w:r>
          </w:p>
          <w:p w:rsidR="00E660F2" w:rsidRPr="00C15207" w:rsidRDefault="00E660F2" w:rsidP="008F0588">
            <w:pPr>
              <w:rPr>
                <w:sz w:val="20"/>
                <w:szCs w:val="20"/>
              </w:rPr>
            </w:pPr>
            <w:r w:rsidRPr="00C15207">
              <w:rPr>
                <w:sz w:val="20"/>
                <w:szCs w:val="20"/>
              </w:rPr>
              <w:t>44(11%)</w:t>
            </w:r>
          </w:p>
          <w:p w:rsidR="00E660F2" w:rsidRPr="00C15207" w:rsidRDefault="00E660F2" w:rsidP="008F0588">
            <w:pPr>
              <w:rPr>
                <w:sz w:val="20"/>
                <w:szCs w:val="20"/>
              </w:rPr>
            </w:pPr>
            <w:r w:rsidRPr="00C15207">
              <w:rPr>
                <w:sz w:val="20"/>
                <w:szCs w:val="20"/>
              </w:rPr>
              <w:t>1(0.3%)</w:t>
            </w:r>
          </w:p>
        </w:tc>
      </w:tr>
      <w:tr w:rsidR="00E660F2" w:rsidTr="008F0588">
        <w:tc>
          <w:tcPr>
            <w:tcW w:w="2376" w:type="dxa"/>
          </w:tcPr>
          <w:p w:rsidR="00E660F2" w:rsidRPr="00C15207" w:rsidRDefault="00E660F2" w:rsidP="008F0588">
            <w:pPr>
              <w:rPr>
                <w:sz w:val="20"/>
                <w:szCs w:val="20"/>
              </w:rPr>
            </w:pPr>
            <w:r w:rsidRPr="00C15207">
              <w:rPr>
                <w:sz w:val="20"/>
                <w:szCs w:val="20"/>
              </w:rPr>
              <w:t>Any delay</w:t>
            </w:r>
          </w:p>
        </w:tc>
        <w:tc>
          <w:tcPr>
            <w:tcW w:w="2977" w:type="dxa"/>
          </w:tcPr>
          <w:p w:rsidR="00E660F2" w:rsidRPr="00C15207" w:rsidRDefault="00E660F2" w:rsidP="008F0588">
            <w:pPr>
              <w:rPr>
                <w:sz w:val="20"/>
                <w:szCs w:val="20"/>
              </w:rPr>
            </w:pPr>
            <w:r w:rsidRPr="00C15207">
              <w:rPr>
                <w:sz w:val="20"/>
                <w:szCs w:val="20"/>
              </w:rPr>
              <w:t>629(78%)</w:t>
            </w:r>
          </w:p>
        </w:tc>
        <w:tc>
          <w:tcPr>
            <w:tcW w:w="2552" w:type="dxa"/>
          </w:tcPr>
          <w:p w:rsidR="00E660F2" w:rsidRPr="00C15207" w:rsidRDefault="00E660F2" w:rsidP="008F0588">
            <w:pPr>
              <w:rPr>
                <w:sz w:val="20"/>
                <w:szCs w:val="20"/>
              </w:rPr>
            </w:pPr>
            <w:r w:rsidRPr="00C15207">
              <w:rPr>
                <w:sz w:val="20"/>
                <w:szCs w:val="20"/>
              </w:rPr>
              <w:t>272(68%)</w:t>
            </w:r>
          </w:p>
        </w:tc>
      </w:tr>
      <w:tr w:rsidR="00E660F2" w:rsidTr="008F0588">
        <w:tc>
          <w:tcPr>
            <w:tcW w:w="2376" w:type="dxa"/>
          </w:tcPr>
          <w:p w:rsidR="00E660F2" w:rsidRPr="00C15207" w:rsidRDefault="00E660F2" w:rsidP="008F0588">
            <w:pPr>
              <w:rPr>
                <w:sz w:val="20"/>
                <w:szCs w:val="20"/>
              </w:rPr>
            </w:pPr>
            <w:r w:rsidRPr="00C15207">
              <w:rPr>
                <w:sz w:val="20"/>
                <w:szCs w:val="20"/>
              </w:rPr>
              <w:t>Delay: AE</w:t>
            </w:r>
          </w:p>
        </w:tc>
        <w:tc>
          <w:tcPr>
            <w:tcW w:w="2977" w:type="dxa"/>
          </w:tcPr>
          <w:p w:rsidR="00E660F2" w:rsidRPr="00C15207" w:rsidRDefault="00E660F2" w:rsidP="008F0588">
            <w:pPr>
              <w:rPr>
                <w:sz w:val="20"/>
                <w:szCs w:val="20"/>
              </w:rPr>
            </w:pPr>
            <w:r w:rsidRPr="00C15207">
              <w:rPr>
                <w:sz w:val="20"/>
                <w:szCs w:val="20"/>
              </w:rPr>
              <w:t>270(34%)</w:t>
            </w:r>
          </w:p>
        </w:tc>
        <w:tc>
          <w:tcPr>
            <w:tcW w:w="2552" w:type="dxa"/>
          </w:tcPr>
          <w:p w:rsidR="00E660F2" w:rsidRPr="00C15207" w:rsidRDefault="00E660F2" w:rsidP="008F0588">
            <w:pPr>
              <w:rPr>
                <w:sz w:val="20"/>
                <w:szCs w:val="20"/>
              </w:rPr>
            </w:pPr>
            <w:r w:rsidRPr="00C15207">
              <w:rPr>
                <w:sz w:val="20"/>
                <w:szCs w:val="20"/>
              </w:rPr>
              <w:t>77(19%)</w:t>
            </w:r>
          </w:p>
        </w:tc>
      </w:tr>
      <w:tr w:rsidR="00E660F2" w:rsidTr="008F0588">
        <w:tc>
          <w:tcPr>
            <w:tcW w:w="2376" w:type="dxa"/>
          </w:tcPr>
          <w:p w:rsidR="00E660F2" w:rsidRPr="00C15207" w:rsidRDefault="00E660F2" w:rsidP="008F0588">
            <w:pPr>
              <w:rPr>
                <w:sz w:val="20"/>
                <w:szCs w:val="20"/>
              </w:rPr>
            </w:pPr>
            <w:r w:rsidRPr="00C15207">
              <w:rPr>
                <w:sz w:val="20"/>
                <w:szCs w:val="20"/>
              </w:rPr>
              <w:t>Dose reduction</w:t>
            </w:r>
          </w:p>
        </w:tc>
        <w:tc>
          <w:tcPr>
            <w:tcW w:w="2977" w:type="dxa"/>
          </w:tcPr>
          <w:p w:rsidR="00E660F2" w:rsidRPr="00C15207" w:rsidRDefault="00E660F2" w:rsidP="008F0588">
            <w:pPr>
              <w:rPr>
                <w:sz w:val="20"/>
                <w:szCs w:val="20"/>
              </w:rPr>
            </w:pPr>
            <w:r w:rsidRPr="00C15207">
              <w:rPr>
                <w:sz w:val="20"/>
                <w:szCs w:val="20"/>
              </w:rPr>
              <w:t>168(21%)</w:t>
            </w:r>
          </w:p>
        </w:tc>
        <w:tc>
          <w:tcPr>
            <w:tcW w:w="2552" w:type="dxa"/>
          </w:tcPr>
          <w:p w:rsidR="00E660F2" w:rsidRPr="00C15207" w:rsidRDefault="00E660F2" w:rsidP="008F0588">
            <w:pPr>
              <w:rPr>
                <w:sz w:val="20"/>
                <w:szCs w:val="20"/>
              </w:rPr>
            </w:pPr>
            <w:r w:rsidRPr="00C15207">
              <w:rPr>
                <w:sz w:val="20"/>
                <w:szCs w:val="20"/>
              </w:rPr>
              <w:t>49(15%)</w:t>
            </w:r>
          </w:p>
        </w:tc>
      </w:tr>
    </w:tbl>
    <w:p w:rsidR="00E660F2" w:rsidRPr="007C67FE" w:rsidRDefault="00E660F2" w:rsidP="00E660F2">
      <w:pPr>
        <w:pStyle w:val="Heading6"/>
      </w:pPr>
      <w:r w:rsidRPr="007C67FE">
        <w:t>Exposure adjustment of adverse event rates</w:t>
      </w:r>
    </w:p>
    <w:p w:rsidR="00E660F2" w:rsidRPr="007C67FE" w:rsidRDefault="00E660F2" w:rsidP="00E660F2">
      <w:pPr>
        <w:pStyle w:val="ListBullet"/>
        <w:numPr>
          <w:ilvl w:val="0"/>
          <w:numId w:val="1"/>
        </w:numPr>
      </w:pPr>
      <w:r>
        <w:t>Average daily dose in the apalutamide arm</w:t>
      </w:r>
      <w:r w:rsidRPr="00DB5DC2">
        <w:t xml:space="preserve"> </w:t>
      </w:r>
      <w:r>
        <w:t xml:space="preserve">was </w:t>
      </w:r>
      <w:r w:rsidRPr="00DB5DC2">
        <w:t>218.72</w:t>
      </w:r>
      <w:r>
        <w:t xml:space="preserve"> mg</w:t>
      </w:r>
      <w:r w:rsidRPr="00DB5DC2">
        <w:t xml:space="preserve"> (</w:t>
      </w:r>
      <w:r>
        <w:t xml:space="preserve">standard deviation </w:t>
      </w:r>
      <w:r w:rsidRPr="00DB5DC2">
        <w:t>26.031</w:t>
      </w:r>
      <w:r>
        <w:t> mg</w:t>
      </w:r>
      <w:r w:rsidRPr="00DB5DC2">
        <w:t>)</w:t>
      </w:r>
      <w:r>
        <w:t>, calculated as 30 or 60 mg multiplied by the number of capsules or tablets taken, and then divided by total number of exposure days. This gives an average dose intensity of 218.72/240 =</w:t>
      </w:r>
      <w:r w:rsidRPr="00DB5DC2">
        <w:rPr>
          <w:b/>
        </w:rPr>
        <w:t xml:space="preserve"> </w:t>
      </w:r>
      <w:r w:rsidRPr="004E0CCD">
        <w:t>91.1%.</w:t>
      </w:r>
    </w:p>
    <w:p w:rsidR="00E660F2" w:rsidRDefault="00E660F2" w:rsidP="00E660F2">
      <w:pPr>
        <w:pStyle w:val="ListBullet"/>
        <w:numPr>
          <w:ilvl w:val="0"/>
          <w:numId w:val="1"/>
        </w:numPr>
      </w:pPr>
      <w:r w:rsidRPr="00DB5DC2">
        <w:t xml:space="preserve">The </w:t>
      </w:r>
      <w:r>
        <w:t xml:space="preserve">median duration of exposure in the apalutamide arm compared to the placebo arm was 16.9/11.2 months (ratio </w:t>
      </w:r>
      <w:r w:rsidRPr="007C67FE">
        <w:t>1.5</w:t>
      </w:r>
      <w:r>
        <w:t>).</w:t>
      </w:r>
    </w:p>
    <w:p w:rsidR="00E660F2" w:rsidRDefault="00E660F2" w:rsidP="00E660F2">
      <w:pPr>
        <w:pStyle w:val="ListBullet"/>
        <w:numPr>
          <w:ilvl w:val="0"/>
          <w:numId w:val="1"/>
        </w:numPr>
      </w:pPr>
      <w:r>
        <w:t>The mean duration of exposure in the apalutamide arm compared to the placebo arm was 17.34/12.40 months (1.4).</w:t>
      </w:r>
    </w:p>
    <w:p w:rsidR="00E660F2" w:rsidRDefault="00E660F2" w:rsidP="00E660F2">
      <w:pPr>
        <w:pStyle w:val="ListBullet"/>
        <w:numPr>
          <w:ilvl w:val="0"/>
          <w:numId w:val="1"/>
        </w:numPr>
      </w:pPr>
      <w:r w:rsidRPr="00D852DC">
        <w:t xml:space="preserve">Total subject-years of exposure </w:t>
      </w:r>
      <w:r>
        <w:t xml:space="preserve">were 1160.3 in the apalutamide arm and </w:t>
      </w:r>
      <w:r w:rsidRPr="00D852DC">
        <w:t>411.3</w:t>
      </w:r>
      <w:r>
        <w:t xml:space="preserve"> in the placebo arm.</w:t>
      </w:r>
    </w:p>
    <w:p w:rsidR="00E660F2" w:rsidRDefault="00E660F2" w:rsidP="00E660F2">
      <w:r>
        <w:t>The sponsor discusses adverse events in terms of exposure-adjusted TEAEs (that is, events per 100 patient-years (P-Y]); however, these rates should also be adjusted for dose intensity. Given treatment interruptions and patient compliance, exposure adjusted TEAEs in the apalutamide arm should be re-adjusted from the sponsor’s rates by the inverse of 91%. The placebo arm does not need to be adjusted for dose intensity as it is a placebo and dose intensity does not alter time.</w:t>
      </w:r>
    </w:p>
    <w:p w:rsidR="00E660F2" w:rsidRPr="00DB5DC2" w:rsidRDefault="00E660F2" w:rsidP="00E660F2">
      <w:r>
        <w:t xml:space="preserve">From the initial unadjusted percentage incidences, rates in the apalutamide arm should be calculated using the denominator of 1160.3 subject-years and then divided by mean dose </w:t>
      </w:r>
      <w:r>
        <w:lastRenderedPageBreak/>
        <w:t>intensity (0.91). Rates in the placebo arm should use the denominator of 411.3 patient-years.</w:t>
      </w:r>
    </w:p>
    <w:p w:rsidR="00E660F2" w:rsidRDefault="00E660F2" w:rsidP="00E660F2">
      <w:pPr>
        <w:pStyle w:val="Heading6"/>
      </w:pPr>
      <w:r>
        <w:t>Adverse events (AEs)</w:t>
      </w:r>
    </w:p>
    <w:p w:rsidR="00E660F2" w:rsidRPr="009220EF" w:rsidRDefault="00E660F2" w:rsidP="00E660F2">
      <w:r>
        <w:t>The number of Grade 3 to 4, Grade 5, serious AEs (SAEs) and AEs that led to treatment discontinuation are shown in Table 25.</w:t>
      </w:r>
    </w:p>
    <w:p w:rsidR="00E660F2" w:rsidRPr="00CA1231" w:rsidRDefault="00E660F2" w:rsidP="00E660F2">
      <w:pPr>
        <w:pStyle w:val="TableTitle"/>
      </w:pPr>
      <w:r>
        <w:t xml:space="preserve">Table 25: Grade 3 to 5 AEs, SAEs and treatment discontinuation </w:t>
      </w:r>
    </w:p>
    <w:tbl>
      <w:tblPr>
        <w:tblStyle w:val="TableTGAblue"/>
        <w:tblW w:w="0" w:type="auto"/>
        <w:tblLook w:val="04A0" w:firstRow="1" w:lastRow="0" w:firstColumn="1" w:lastColumn="0" w:noHBand="0" w:noVBand="1"/>
      </w:tblPr>
      <w:tblGrid>
        <w:gridCol w:w="2189"/>
        <w:gridCol w:w="1741"/>
        <w:gridCol w:w="1565"/>
        <w:gridCol w:w="1559"/>
        <w:gridCol w:w="1559"/>
      </w:tblGrid>
      <w:tr w:rsidR="00E660F2" w:rsidTr="008F0588">
        <w:trPr>
          <w:cnfStyle w:val="100000000000" w:firstRow="1" w:lastRow="0" w:firstColumn="0" w:lastColumn="0" w:oddVBand="0" w:evenVBand="0" w:oddHBand="0" w:evenHBand="0" w:firstRowFirstColumn="0" w:firstRowLastColumn="0" w:lastRowFirstColumn="0" w:lastRowLastColumn="0"/>
        </w:trPr>
        <w:tc>
          <w:tcPr>
            <w:tcW w:w="2189" w:type="dxa"/>
          </w:tcPr>
          <w:p w:rsidR="00E660F2" w:rsidRPr="00CA1231" w:rsidRDefault="00E660F2" w:rsidP="008F0588">
            <w:pPr>
              <w:rPr>
                <w:sz w:val="20"/>
                <w:szCs w:val="20"/>
              </w:rPr>
            </w:pPr>
          </w:p>
        </w:tc>
        <w:tc>
          <w:tcPr>
            <w:tcW w:w="1741" w:type="dxa"/>
          </w:tcPr>
          <w:p w:rsidR="00E660F2" w:rsidRPr="00CA1231" w:rsidRDefault="00E660F2" w:rsidP="008F0588">
            <w:pPr>
              <w:rPr>
                <w:sz w:val="20"/>
                <w:szCs w:val="20"/>
              </w:rPr>
            </w:pPr>
            <w:r w:rsidRPr="00CA1231">
              <w:rPr>
                <w:sz w:val="20"/>
                <w:szCs w:val="20"/>
              </w:rPr>
              <w:t>Apalutamide</w:t>
            </w:r>
          </w:p>
          <w:p w:rsidR="00E660F2" w:rsidRPr="00CA1231" w:rsidRDefault="00E660F2" w:rsidP="008F0588">
            <w:pPr>
              <w:rPr>
                <w:sz w:val="20"/>
                <w:szCs w:val="20"/>
              </w:rPr>
            </w:pPr>
            <w:r w:rsidRPr="00CA1231">
              <w:rPr>
                <w:sz w:val="20"/>
                <w:szCs w:val="20"/>
              </w:rPr>
              <w:t>N=803</w:t>
            </w:r>
          </w:p>
        </w:tc>
        <w:tc>
          <w:tcPr>
            <w:tcW w:w="1565" w:type="dxa"/>
          </w:tcPr>
          <w:p w:rsidR="00E660F2" w:rsidRPr="00CA1231" w:rsidRDefault="00E660F2" w:rsidP="008F0588">
            <w:pPr>
              <w:rPr>
                <w:i/>
                <w:sz w:val="20"/>
                <w:szCs w:val="20"/>
              </w:rPr>
            </w:pPr>
            <w:r>
              <w:rPr>
                <w:i/>
                <w:sz w:val="20"/>
                <w:szCs w:val="20"/>
              </w:rPr>
              <w:t>P</w:t>
            </w:r>
            <w:r w:rsidRPr="00CA1231">
              <w:rPr>
                <w:i/>
                <w:sz w:val="20"/>
                <w:szCs w:val="20"/>
              </w:rPr>
              <w:t>er 100 PY (n=1160.3) / 0.91</w:t>
            </w:r>
          </w:p>
        </w:tc>
        <w:tc>
          <w:tcPr>
            <w:tcW w:w="1559" w:type="dxa"/>
          </w:tcPr>
          <w:p w:rsidR="00E660F2" w:rsidRPr="00CA1231" w:rsidRDefault="00E660F2" w:rsidP="008F0588">
            <w:pPr>
              <w:rPr>
                <w:sz w:val="20"/>
                <w:szCs w:val="20"/>
              </w:rPr>
            </w:pPr>
            <w:r w:rsidRPr="00CA1231">
              <w:rPr>
                <w:sz w:val="20"/>
                <w:szCs w:val="20"/>
              </w:rPr>
              <w:t>Placebo</w:t>
            </w:r>
          </w:p>
          <w:p w:rsidR="00E660F2" w:rsidRPr="00CA1231" w:rsidRDefault="00E660F2" w:rsidP="008F0588">
            <w:pPr>
              <w:rPr>
                <w:sz w:val="20"/>
                <w:szCs w:val="20"/>
              </w:rPr>
            </w:pPr>
            <w:r w:rsidRPr="00CA1231">
              <w:rPr>
                <w:sz w:val="20"/>
                <w:szCs w:val="20"/>
              </w:rPr>
              <w:t>N=398</w:t>
            </w:r>
          </w:p>
        </w:tc>
        <w:tc>
          <w:tcPr>
            <w:tcW w:w="1559" w:type="dxa"/>
          </w:tcPr>
          <w:p w:rsidR="00E660F2" w:rsidRPr="00CA1231" w:rsidRDefault="00E660F2" w:rsidP="008F0588">
            <w:pPr>
              <w:rPr>
                <w:i/>
                <w:sz w:val="20"/>
                <w:szCs w:val="20"/>
              </w:rPr>
            </w:pPr>
            <w:r>
              <w:rPr>
                <w:i/>
                <w:sz w:val="20"/>
                <w:szCs w:val="20"/>
              </w:rPr>
              <w:t>P</w:t>
            </w:r>
            <w:r w:rsidRPr="00CA1231">
              <w:rPr>
                <w:i/>
                <w:sz w:val="20"/>
                <w:szCs w:val="20"/>
              </w:rPr>
              <w:t>er 100 PY (n=411.3)</w:t>
            </w:r>
          </w:p>
        </w:tc>
      </w:tr>
      <w:tr w:rsidR="00E660F2" w:rsidTr="008F0588">
        <w:tc>
          <w:tcPr>
            <w:tcW w:w="2189" w:type="dxa"/>
          </w:tcPr>
          <w:p w:rsidR="00E660F2" w:rsidRPr="00CA1231" w:rsidRDefault="00E660F2" w:rsidP="008F0588">
            <w:pPr>
              <w:rPr>
                <w:sz w:val="20"/>
                <w:szCs w:val="20"/>
              </w:rPr>
            </w:pPr>
            <w:r w:rsidRPr="00CA1231">
              <w:rPr>
                <w:sz w:val="20"/>
                <w:szCs w:val="20"/>
              </w:rPr>
              <w:t>Grade 5</w:t>
            </w:r>
          </w:p>
        </w:tc>
        <w:tc>
          <w:tcPr>
            <w:tcW w:w="1741" w:type="dxa"/>
          </w:tcPr>
          <w:p w:rsidR="00E660F2" w:rsidRPr="00CA1231" w:rsidRDefault="00E660F2" w:rsidP="008F0588">
            <w:pPr>
              <w:rPr>
                <w:sz w:val="20"/>
                <w:szCs w:val="20"/>
              </w:rPr>
            </w:pPr>
            <w:r w:rsidRPr="00CA1231">
              <w:rPr>
                <w:sz w:val="20"/>
                <w:szCs w:val="20"/>
              </w:rPr>
              <w:t>10(1.2%)</w:t>
            </w:r>
          </w:p>
        </w:tc>
        <w:tc>
          <w:tcPr>
            <w:tcW w:w="1565" w:type="dxa"/>
          </w:tcPr>
          <w:p w:rsidR="00E660F2" w:rsidRPr="00CA1231" w:rsidRDefault="00E660F2" w:rsidP="008F0588">
            <w:pPr>
              <w:rPr>
                <w:i/>
                <w:sz w:val="20"/>
                <w:szCs w:val="20"/>
              </w:rPr>
            </w:pPr>
            <w:r w:rsidRPr="00CA1231">
              <w:rPr>
                <w:i/>
                <w:sz w:val="20"/>
                <w:szCs w:val="20"/>
              </w:rPr>
              <w:t>0.9</w:t>
            </w:r>
          </w:p>
        </w:tc>
        <w:tc>
          <w:tcPr>
            <w:tcW w:w="1559" w:type="dxa"/>
          </w:tcPr>
          <w:p w:rsidR="00E660F2" w:rsidRPr="00CA1231" w:rsidRDefault="00E660F2" w:rsidP="008F0588">
            <w:pPr>
              <w:rPr>
                <w:sz w:val="20"/>
                <w:szCs w:val="20"/>
              </w:rPr>
            </w:pPr>
            <w:r w:rsidRPr="00CA1231">
              <w:rPr>
                <w:sz w:val="20"/>
                <w:szCs w:val="20"/>
              </w:rPr>
              <w:t>1(0.3%)</w:t>
            </w:r>
          </w:p>
        </w:tc>
        <w:tc>
          <w:tcPr>
            <w:tcW w:w="1559" w:type="dxa"/>
          </w:tcPr>
          <w:p w:rsidR="00E660F2" w:rsidRPr="00CA1231" w:rsidRDefault="00E660F2" w:rsidP="008F0588">
            <w:pPr>
              <w:rPr>
                <w:i/>
                <w:sz w:val="20"/>
                <w:szCs w:val="20"/>
              </w:rPr>
            </w:pPr>
            <w:r w:rsidRPr="00CA1231">
              <w:rPr>
                <w:i/>
                <w:sz w:val="20"/>
                <w:szCs w:val="20"/>
              </w:rPr>
              <w:t>0.2</w:t>
            </w:r>
          </w:p>
        </w:tc>
      </w:tr>
      <w:tr w:rsidR="00E660F2" w:rsidTr="008F0588">
        <w:tc>
          <w:tcPr>
            <w:tcW w:w="2189" w:type="dxa"/>
          </w:tcPr>
          <w:p w:rsidR="00E660F2" w:rsidRPr="00CA1231" w:rsidRDefault="00E660F2" w:rsidP="008F0588">
            <w:pPr>
              <w:rPr>
                <w:sz w:val="20"/>
                <w:szCs w:val="20"/>
              </w:rPr>
            </w:pPr>
            <w:r w:rsidRPr="00CA1231">
              <w:rPr>
                <w:sz w:val="20"/>
                <w:szCs w:val="20"/>
              </w:rPr>
              <w:t>Grade 3-4</w:t>
            </w:r>
          </w:p>
        </w:tc>
        <w:tc>
          <w:tcPr>
            <w:tcW w:w="1741" w:type="dxa"/>
          </w:tcPr>
          <w:p w:rsidR="00E660F2" w:rsidRPr="00CA1231" w:rsidRDefault="00E660F2" w:rsidP="008F0588">
            <w:pPr>
              <w:rPr>
                <w:sz w:val="20"/>
                <w:szCs w:val="20"/>
              </w:rPr>
            </w:pPr>
            <w:r w:rsidRPr="00CA1231">
              <w:rPr>
                <w:sz w:val="20"/>
                <w:szCs w:val="20"/>
              </w:rPr>
              <w:t>362(45%)</w:t>
            </w:r>
          </w:p>
        </w:tc>
        <w:tc>
          <w:tcPr>
            <w:tcW w:w="1565" w:type="dxa"/>
          </w:tcPr>
          <w:p w:rsidR="00E660F2" w:rsidRPr="00CA1231" w:rsidRDefault="00E660F2" w:rsidP="008F0588">
            <w:pPr>
              <w:rPr>
                <w:i/>
                <w:sz w:val="20"/>
                <w:szCs w:val="20"/>
              </w:rPr>
            </w:pPr>
            <w:r w:rsidRPr="00CA1231">
              <w:rPr>
                <w:i/>
                <w:sz w:val="20"/>
                <w:szCs w:val="20"/>
              </w:rPr>
              <w:t>34.3</w:t>
            </w:r>
          </w:p>
        </w:tc>
        <w:tc>
          <w:tcPr>
            <w:tcW w:w="1559" w:type="dxa"/>
          </w:tcPr>
          <w:p w:rsidR="00E660F2" w:rsidRPr="00CA1231" w:rsidRDefault="00E660F2" w:rsidP="008F0588">
            <w:pPr>
              <w:rPr>
                <w:sz w:val="20"/>
                <w:szCs w:val="20"/>
              </w:rPr>
            </w:pPr>
            <w:r w:rsidRPr="00CA1231">
              <w:rPr>
                <w:sz w:val="20"/>
                <w:szCs w:val="20"/>
              </w:rPr>
              <w:t>136(34%)</w:t>
            </w:r>
          </w:p>
        </w:tc>
        <w:tc>
          <w:tcPr>
            <w:tcW w:w="1559" w:type="dxa"/>
          </w:tcPr>
          <w:p w:rsidR="00E660F2" w:rsidRPr="00CA1231" w:rsidRDefault="00E660F2" w:rsidP="008F0588">
            <w:pPr>
              <w:rPr>
                <w:i/>
                <w:sz w:val="20"/>
                <w:szCs w:val="20"/>
              </w:rPr>
            </w:pPr>
            <w:r w:rsidRPr="00CA1231">
              <w:rPr>
                <w:i/>
                <w:sz w:val="20"/>
                <w:szCs w:val="20"/>
              </w:rPr>
              <w:t>33</w:t>
            </w:r>
          </w:p>
        </w:tc>
      </w:tr>
      <w:tr w:rsidR="00E660F2" w:rsidTr="008F0588">
        <w:tc>
          <w:tcPr>
            <w:tcW w:w="2189" w:type="dxa"/>
          </w:tcPr>
          <w:p w:rsidR="00E660F2" w:rsidRPr="00CA1231" w:rsidRDefault="00E660F2" w:rsidP="008F0588">
            <w:pPr>
              <w:rPr>
                <w:sz w:val="20"/>
                <w:szCs w:val="20"/>
              </w:rPr>
            </w:pPr>
            <w:r w:rsidRPr="00CA1231">
              <w:rPr>
                <w:sz w:val="20"/>
                <w:szCs w:val="20"/>
              </w:rPr>
              <w:t>SAE</w:t>
            </w:r>
          </w:p>
        </w:tc>
        <w:tc>
          <w:tcPr>
            <w:tcW w:w="1741" w:type="dxa"/>
          </w:tcPr>
          <w:p w:rsidR="00E660F2" w:rsidRPr="00CA1231" w:rsidRDefault="00E660F2" w:rsidP="008F0588">
            <w:pPr>
              <w:rPr>
                <w:sz w:val="20"/>
                <w:szCs w:val="20"/>
              </w:rPr>
            </w:pPr>
            <w:r w:rsidRPr="00CA1231">
              <w:rPr>
                <w:sz w:val="20"/>
                <w:szCs w:val="20"/>
              </w:rPr>
              <w:t>199(25%)</w:t>
            </w:r>
          </w:p>
        </w:tc>
        <w:tc>
          <w:tcPr>
            <w:tcW w:w="1565" w:type="dxa"/>
          </w:tcPr>
          <w:p w:rsidR="00E660F2" w:rsidRPr="00CA1231" w:rsidRDefault="00E660F2" w:rsidP="008F0588">
            <w:pPr>
              <w:rPr>
                <w:i/>
                <w:sz w:val="20"/>
                <w:szCs w:val="20"/>
              </w:rPr>
            </w:pPr>
            <w:r w:rsidRPr="00CA1231">
              <w:rPr>
                <w:i/>
                <w:sz w:val="20"/>
                <w:szCs w:val="20"/>
              </w:rPr>
              <w:t>18.8</w:t>
            </w:r>
          </w:p>
        </w:tc>
        <w:tc>
          <w:tcPr>
            <w:tcW w:w="1559" w:type="dxa"/>
          </w:tcPr>
          <w:p w:rsidR="00E660F2" w:rsidRPr="00CA1231" w:rsidRDefault="00E660F2" w:rsidP="008F0588">
            <w:pPr>
              <w:rPr>
                <w:sz w:val="20"/>
                <w:szCs w:val="20"/>
              </w:rPr>
            </w:pPr>
            <w:r w:rsidRPr="00CA1231">
              <w:rPr>
                <w:sz w:val="20"/>
                <w:szCs w:val="20"/>
              </w:rPr>
              <w:t>92(23%)</w:t>
            </w:r>
          </w:p>
        </w:tc>
        <w:tc>
          <w:tcPr>
            <w:tcW w:w="1559" w:type="dxa"/>
          </w:tcPr>
          <w:p w:rsidR="00E660F2" w:rsidRPr="00CA1231" w:rsidRDefault="00E660F2" w:rsidP="008F0588">
            <w:pPr>
              <w:rPr>
                <w:i/>
                <w:sz w:val="20"/>
                <w:szCs w:val="20"/>
              </w:rPr>
            </w:pPr>
            <w:r w:rsidRPr="00CA1231">
              <w:rPr>
                <w:i/>
                <w:sz w:val="20"/>
                <w:szCs w:val="20"/>
              </w:rPr>
              <w:t>22.4</w:t>
            </w:r>
          </w:p>
        </w:tc>
      </w:tr>
      <w:tr w:rsidR="00E660F2" w:rsidTr="008F0588">
        <w:tc>
          <w:tcPr>
            <w:tcW w:w="2189" w:type="dxa"/>
          </w:tcPr>
          <w:p w:rsidR="00E660F2" w:rsidRPr="00CA1231" w:rsidRDefault="00E660F2" w:rsidP="008F0588">
            <w:pPr>
              <w:rPr>
                <w:sz w:val="20"/>
                <w:szCs w:val="20"/>
              </w:rPr>
            </w:pPr>
            <w:r w:rsidRPr="00CA1231">
              <w:rPr>
                <w:sz w:val="20"/>
                <w:szCs w:val="20"/>
              </w:rPr>
              <w:t xml:space="preserve">AE: </w:t>
            </w:r>
            <w:r>
              <w:rPr>
                <w:sz w:val="20"/>
                <w:szCs w:val="20"/>
              </w:rPr>
              <w:t>T</w:t>
            </w:r>
            <w:r w:rsidRPr="00CA1231">
              <w:rPr>
                <w:sz w:val="20"/>
                <w:szCs w:val="20"/>
              </w:rPr>
              <w:t>reatment discontinuation</w:t>
            </w:r>
          </w:p>
        </w:tc>
        <w:tc>
          <w:tcPr>
            <w:tcW w:w="1741" w:type="dxa"/>
          </w:tcPr>
          <w:p w:rsidR="00E660F2" w:rsidRPr="00CA1231" w:rsidRDefault="00E660F2" w:rsidP="008F0588">
            <w:pPr>
              <w:rPr>
                <w:sz w:val="20"/>
                <w:szCs w:val="20"/>
              </w:rPr>
            </w:pPr>
            <w:r w:rsidRPr="00CA1231">
              <w:rPr>
                <w:sz w:val="20"/>
                <w:szCs w:val="20"/>
              </w:rPr>
              <w:t>85(11%)</w:t>
            </w:r>
          </w:p>
        </w:tc>
        <w:tc>
          <w:tcPr>
            <w:tcW w:w="1565" w:type="dxa"/>
          </w:tcPr>
          <w:p w:rsidR="00E660F2" w:rsidRPr="00CA1231" w:rsidRDefault="00E660F2" w:rsidP="008F0588">
            <w:pPr>
              <w:rPr>
                <w:i/>
                <w:sz w:val="20"/>
                <w:szCs w:val="20"/>
              </w:rPr>
            </w:pPr>
            <w:r w:rsidRPr="00CA1231">
              <w:rPr>
                <w:i/>
                <w:sz w:val="20"/>
                <w:szCs w:val="20"/>
              </w:rPr>
              <w:t>8.1</w:t>
            </w:r>
          </w:p>
        </w:tc>
        <w:tc>
          <w:tcPr>
            <w:tcW w:w="1559" w:type="dxa"/>
          </w:tcPr>
          <w:p w:rsidR="00E660F2" w:rsidRPr="00CA1231" w:rsidRDefault="00E660F2" w:rsidP="008F0588">
            <w:pPr>
              <w:rPr>
                <w:sz w:val="20"/>
                <w:szCs w:val="20"/>
              </w:rPr>
            </w:pPr>
            <w:r w:rsidRPr="00CA1231">
              <w:rPr>
                <w:sz w:val="20"/>
                <w:szCs w:val="20"/>
              </w:rPr>
              <w:t>28(7%)</w:t>
            </w:r>
          </w:p>
        </w:tc>
        <w:tc>
          <w:tcPr>
            <w:tcW w:w="1559" w:type="dxa"/>
          </w:tcPr>
          <w:p w:rsidR="00E660F2" w:rsidRPr="00CA1231" w:rsidRDefault="00E660F2" w:rsidP="008F0588">
            <w:pPr>
              <w:rPr>
                <w:i/>
                <w:sz w:val="20"/>
                <w:szCs w:val="20"/>
              </w:rPr>
            </w:pPr>
            <w:r w:rsidRPr="00CA1231">
              <w:rPr>
                <w:i/>
                <w:sz w:val="20"/>
                <w:szCs w:val="20"/>
              </w:rPr>
              <w:t>6.8</w:t>
            </w:r>
          </w:p>
        </w:tc>
      </w:tr>
    </w:tbl>
    <w:p w:rsidR="00E660F2" w:rsidRDefault="00E660F2" w:rsidP="00E660F2">
      <w:pPr>
        <w:pStyle w:val="Heading6"/>
      </w:pPr>
      <w:r>
        <w:t>Deaths on study</w:t>
      </w:r>
    </w:p>
    <w:p w:rsidR="00E660F2" w:rsidRPr="009220EF" w:rsidRDefault="00E660F2" w:rsidP="00E660F2">
      <w:r>
        <w:t>The number of deaths in the two groups and per 100 patient years (PY) is shown in Table 26 below.</w:t>
      </w:r>
    </w:p>
    <w:p w:rsidR="00E660F2" w:rsidRPr="008402D1" w:rsidRDefault="00E660F2" w:rsidP="00E660F2">
      <w:pPr>
        <w:pStyle w:val="TableTitle"/>
      </w:pPr>
      <w:r>
        <w:t>Table 26: Deaths</w:t>
      </w:r>
    </w:p>
    <w:tbl>
      <w:tblPr>
        <w:tblStyle w:val="TableTGAblue"/>
        <w:tblW w:w="0" w:type="auto"/>
        <w:tblLayout w:type="fixed"/>
        <w:tblLook w:val="04A0" w:firstRow="1" w:lastRow="0" w:firstColumn="1" w:lastColumn="0" w:noHBand="0" w:noVBand="1"/>
      </w:tblPr>
      <w:tblGrid>
        <w:gridCol w:w="1951"/>
        <w:gridCol w:w="1985"/>
        <w:gridCol w:w="1701"/>
        <w:gridCol w:w="1417"/>
        <w:gridCol w:w="1559"/>
      </w:tblGrid>
      <w:tr w:rsidR="00E660F2" w:rsidRPr="008402D1" w:rsidTr="008F0588">
        <w:trPr>
          <w:cnfStyle w:val="100000000000" w:firstRow="1" w:lastRow="0" w:firstColumn="0" w:lastColumn="0" w:oddVBand="0" w:evenVBand="0" w:oddHBand="0" w:evenHBand="0" w:firstRowFirstColumn="0" w:firstRowLastColumn="0" w:lastRowFirstColumn="0" w:lastRowLastColumn="0"/>
        </w:trPr>
        <w:tc>
          <w:tcPr>
            <w:tcW w:w="1951" w:type="dxa"/>
          </w:tcPr>
          <w:p w:rsidR="00E660F2" w:rsidRPr="008402D1" w:rsidRDefault="00E660F2" w:rsidP="008F0588">
            <w:pPr>
              <w:rPr>
                <w:sz w:val="20"/>
                <w:szCs w:val="20"/>
              </w:rPr>
            </w:pPr>
          </w:p>
        </w:tc>
        <w:tc>
          <w:tcPr>
            <w:tcW w:w="1985" w:type="dxa"/>
          </w:tcPr>
          <w:p w:rsidR="00E660F2" w:rsidRPr="008402D1" w:rsidRDefault="00E660F2" w:rsidP="008F0588">
            <w:pPr>
              <w:rPr>
                <w:sz w:val="20"/>
                <w:szCs w:val="20"/>
              </w:rPr>
            </w:pPr>
            <w:r w:rsidRPr="008402D1">
              <w:rPr>
                <w:sz w:val="20"/>
                <w:szCs w:val="20"/>
              </w:rPr>
              <w:t>Apalutamide</w:t>
            </w:r>
          </w:p>
          <w:p w:rsidR="00E660F2" w:rsidRPr="008402D1" w:rsidRDefault="00E660F2" w:rsidP="008F0588">
            <w:pPr>
              <w:rPr>
                <w:sz w:val="20"/>
                <w:szCs w:val="20"/>
              </w:rPr>
            </w:pPr>
            <w:r w:rsidRPr="008402D1">
              <w:rPr>
                <w:sz w:val="20"/>
                <w:szCs w:val="20"/>
              </w:rPr>
              <w:t>N=803</w:t>
            </w:r>
          </w:p>
        </w:tc>
        <w:tc>
          <w:tcPr>
            <w:tcW w:w="1701" w:type="dxa"/>
          </w:tcPr>
          <w:p w:rsidR="00E660F2" w:rsidRPr="008402D1" w:rsidRDefault="00E660F2" w:rsidP="008F0588">
            <w:pPr>
              <w:rPr>
                <w:i/>
                <w:sz w:val="20"/>
                <w:szCs w:val="20"/>
              </w:rPr>
            </w:pPr>
            <w:r>
              <w:rPr>
                <w:i/>
                <w:sz w:val="20"/>
                <w:szCs w:val="20"/>
              </w:rPr>
              <w:t>P</w:t>
            </w:r>
            <w:r w:rsidRPr="008402D1">
              <w:rPr>
                <w:i/>
                <w:sz w:val="20"/>
                <w:szCs w:val="20"/>
              </w:rPr>
              <w:t>er 100 PY (n=1160.3) / 0.91</w:t>
            </w:r>
          </w:p>
        </w:tc>
        <w:tc>
          <w:tcPr>
            <w:tcW w:w="1417" w:type="dxa"/>
          </w:tcPr>
          <w:p w:rsidR="00E660F2" w:rsidRPr="008402D1" w:rsidRDefault="00E660F2" w:rsidP="008F0588">
            <w:pPr>
              <w:rPr>
                <w:sz w:val="20"/>
                <w:szCs w:val="20"/>
              </w:rPr>
            </w:pPr>
            <w:r w:rsidRPr="008402D1">
              <w:rPr>
                <w:sz w:val="20"/>
                <w:szCs w:val="20"/>
              </w:rPr>
              <w:t>Placebo</w:t>
            </w:r>
          </w:p>
          <w:p w:rsidR="00E660F2" w:rsidRPr="008402D1" w:rsidRDefault="00E660F2" w:rsidP="008F0588">
            <w:pPr>
              <w:rPr>
                <w:sz w:val="20"/>
                <w:szCs w:val="20"/>
              </w:rPr>
            </w:pPr>
            <w:r w:rsidRPr="008402D1">
              <w:rPr>
                <w:sz w:val="20"/>
                <w:szCs w:val="20"/>
              </w:rPr>
              <w:t>N=398</w:t>
            </w:r>
          </w:p>
        </w:tc>
        <w:tc>
          <w:tcPr>
            <w:tcW w:w="1559" w:type="dxa"/>
          </w:tcPr>
          <w:p w:rsidR="00E660F2" w:rsidRPr="008402D1" w:rsidRDefault="00E660F2" w:rsidP="008F0588">
            <w:pPr>
              <w:rPr>
                <w:i/>
                <w:sz w:val="20"/>
                <w:szCs w:val="20"/>
              </w:rPr>
            </w:pPr>
            <w:r>
              <w:rPr>
                <w:i/>
                <w:sz w:val="20"/>
                <w:szCs w:val="20"/>
              </w:rPr>
              <w:t>P</w:t>
            </w:r>
            <w:r w:rsidRPr="008402D1">
              <w:rPr>
                <w:i/>
                <w:sz w:val="20"/>
                <w:szCs w:val="20"/>
              </w:rPr>
              <w:t>er 100 PY</w:t>
            </w:r>
          </w:p>
          <w:p w:rsidR="00E660F2" w:rsidRPr="008402D1" w:rsidRDefault="00E660F2" w:rsidP="008F0588">
            <w:pPr>
              <w:rPr>
                <w:i/>
                <w:sz w:val="20"/>
                <w:szCs w:val="20"/>
              </w:rPr>
            </w:pPr>
            <w:r w:rsidRPr="008402D1">
              <w:rPr>
                <w:i/>
                <w:sz w:val="20"/>
                <w:szCs w:val="20"/>
              </w:rPr>
              <w:t>(n=411.3)</w:t>
            </w:r>
          </w:p>
        </w:tc>
      </w:tr>
      <w:tr w:rsidR="00E660F2" w:rsidRPr="008402D1" w:rsidTr="008F0588">
        <w:tc>
          <w:tcPr>
            <w:tcW w:w="1951" w:type="dxa"/>
          </w:tcPr>
          <w:p w:rsidR="00E660F2" w:rsidRPr="008402D1" w:rsidRDefault="00E660F2" w:rsidP="008F0588">
            <w:pPr>
              <w:rPr>
                <w:sz w:val="20"/>
                <w:szCs w:val="20"/>
              </w:rPr>
            </w:pPr>
            <w:r w:rsidRPr="008402D1">
              <w:rPr>
                <w:sz w:val="20"/>
                <w:szCs w:val="20"/>
              </w:rPr>
              <w:t>Total</w:t>
            </w:r>
          </w:p>
        </w:tc>
        <w:tc>
          <w:tcPr>
            <w:tcW w:w="1985" w:type="dxa"/>
          </w:tcPr>
          <w:p w:rsidR="00E660F2" w:rsidRPr="008402D1" w:rsidRDefault="00E660F2" w:rsidP="008F0588">
            <w:pPr>
              <w:rPr>
                <w:sz w:val="20"/>
                <w:szCs w:val="20"/>
              </w:rPr>
            </w:pPr>
            <w:r w:rsidRPr="008402D1">
              <w:rPr>
                <w:sz w:val="20"/>
                <w:szCs w:val="20"/>
              </w:rPr>
              <w:t>62(8%)</w:t>
            </w:r>
          </w:p>
        </w:tc>
        <w:tc>
          <w:tcPr>
            <w:tcW w:w="1701" w:type="dxa"/>
          </w:tcPr>
          <w:p w:rsidR="00E660F2" w:rsidRPr="008402D1" w:rsidRDefault="00E660F2" w:rsidP="008F0588">
            <w:pPr>
              <w:rPr>
                <w:i/>
                <w:sz w:val="20"/>
                <w:szCs w:val="20"/>
              </w:rPr>
            </w:pPr>
            <w:r w:rsidRPr="008402D1">
              <w:rPr>
                <w:i/>
                <w:sz w:val="20"/>
                <w:szCs w:val="20"/>
              </w:rPr>
              <w:t>5.9</w:t>
            </w:r>
          </w:p>
        </w:tc>
        <w:tc>
          <w:tcPr>
            <w:tcW w:w="1417" w:type="dxa"/>
          </w:tcPr>
          <w:p w:rsidR="00E660F2" w:rsidRPr="008402D1" w:rsidRDefault="00E660F2" w:rsidP="008F0588">
            <w:pPr>
              <w:rPr>
                <w:sz w:val="20"/>
                <w:szCs w:val="20"/>
              </w:rPr>
            </w:pPr>
            <w:r w:rsidRPr="008402D1">
              <w:rPr>
                <w:sz w:val="20"/>
                <w:szCs w:val="20"/>
              </w:rPr>
              <w:t>42(11%)</w:t>
            </w:r>
          </w:p>
        </w:tc>
        <w:tc>
          <w:tcPr>
            <w:tcW w:w="1559" w:type="dxa"/>
          </w:tcPr>
          <w:p w:rsidR="00E660F2" w:rsidRPr="008402D1" w:rsidRDefault="00E660F2" w:rsidP="008F0588">
            <w:pPr>
              <w:rPr>
                <w:i/>
                <w:sz w:val="20"/>
                <w:szCs w:val="20"/>
              </w:rPr>
            </w:pPr>
            <w:r w:rsidRPr="008402D1">
              <w:rPr>
                <w:i/>
                <w:sz w:val="20"/>
                <w:szCs w:val="20"/>
              </w:rPr>
              <w:t>10.2</w:t>
            </w:r>
          </w:p>
        </w:tc>
      </w:tr>
      <w:tr w:rsidR="00E660F2" w:rsidRPr="008402D1" w:rsidTr="008F0588">
        <w:tc>
          <w:tcPr>
            <w:tcW w:w="1951" w:type="dxa"/>
          </w:tcPr>
          <w:p w:rsidR="00E660F2" w:rsidRPr="008402D1" w:rsidRDefault="00E660F2" w:rsidP="008F0588">
            <w:pPr>
              <w:rPr>
                <w:sz w:val="20"/>
                <w:szCs w:val="20"/>
              </w:rPr>
            </w:pPr>
            <w:r w:rsidRPr="008402D1">
              <w:rPr>
                <w:sz w:val="20"/>
                <w:szCs w:val="20"/>
              </w:rPr>
              <w:t>&lt; 28 days from last dose</w:t>
            </w:r>
          </w:p>
        </w:tc>
        <w:tc>
          <w:tcPr>
            <w:tcW w:w="1985" w:type="dxa"/>
          </w:tcPr>
          <w:p w:rsidR="00E660F2" w:rsidRPr="008402D1" w:rsidRDefault="00E660F2" w:rsidP="008F0588">
            <w:pPr>
              <w:rPr>
                <w:sz w:val="20"/>
                <w:szCs w:val="20"/>
              </w:rPr>
            </w:pPr>
            <w:r w:rsidRPr="008402D1">
              <w:rPr>
                <w:sz w:val="20"/>
                <w:szCs w:val="20"/>
              </w:rPr>
              <w:t>10(1.2%)</w:t>
            </w:r>
          </w:p>
        </w:tc>
        <w:tc>
          <w:tcPr>
            <w:tcW w:w="1701" w:type="dxa"/>
          </w:tcPr>
          <w:p w:rsidR="00E660F2" w:rsidRPr="008402D1" w:rsidRDefault="00E660F2" w:rsidP="008F0588">
            <w:pPr>
              <w:rPr>
                <w:i/>
                <w:sz w:val="20"/>
                <w:szCs w:val="20"/>
              </w:rPr>
            </w:pPr>
            <w:r w:rsidRPr="008402D1">
              <w:rPr>
                <w:i/>
                <w:sz w:val="20"/>
                <w:szCs w:val="20"/>
              </w:rPr>
              <w:t>0.9</w:t>
            </w:r>
          </w:p>
        </w:tc>
        <w:tc>
          <w:tcPr>
            <w:tcW w:w="1417" w:type="dxa"/>
          </w:tcPr>
          <w:p w:rsidR="00E660F2" w:rsidRPr="008402D1" w:rsidRDefault="00E660F2" w:rsidP="008F0588">
            <w:pPr>
              <w:rPr>
                <w:sz w:val="20"/>
                <w:szCs w:val="20"/>
              </w:rPr>
            </w:pPr>
            <w:r w:rsidRPr="008402D1">
              <w:rPr>
                <w:sz w:val="20"/>
                <w:szCs w:val="20"/>
              </w:rPr>
              <w:t>1(0.3%)</w:t>
            </w:r>
          </w:p>
        </w:tc>
        <w:tc>
          <w:tcPr>
            <w:tcW w:w="1559" w:type="dxa"/>
          </w:tcPr>
          <w:p w:rsidR="00E660F2" w:rsidRPr="008402D1" w:rsidRDefault="00E660F2" w:rsidP="008F0588">
            <w:pPr>
              <w:rPr>
                <w:i/>
                <w:sz w:val="20"/>
                <w:szCs w:val="20"/>
              </w:rPr>
            </w:pPr>
            <w:r w:rsidRPr="008402D1">
              <w:rPr>
                <w:i/>
                <w:sz w:val="20"/>
                <w:szCs w:val="20"/>
              </w:rPr>
              <w:t>0.2</w:t>
            </w:r>
          </w:p>
        </w:tc>
      </w:tr>
      <w:tr w:rsidR="00E660F2" w:rsidRPr="008402D1" w:rsidTr="008F0588">
        <w:tc>
          <w:tcPr>
            <w:tcW w:w="1951" w:type="dxa"/>
          </w:tcPr>
          <w:p w:rsidR="00E660F2" w:rsidRPr="008402D1" w:rsidRDefault="00E660F2" w:rsidP="008F0588">
            <w:pPr>
              <w:rPr>
                <w:sz w:val="20"/>
                <w:szCs w:val="20"/>
              </w:rPr>
            </w:pPr>
            <w:r w:rsidRPr="008402D1">
              <w:rPr>
                <w:sz w:val="20"/>
                <w:szCs w:val="20"/>
              </w:rPr>
              <w:t>Disease progression</w:t>
            </w:r>
          </w:p>
        </w:tc>
        <w:tc>
          <w:tcPr>
            <w:tcW w:w="1985" w:type="dxa"/>
          </w:tcPr>
          <w:p w:rsidR="00E660F2" w:rsidRPr="008402D1" w:rsidRDefault="00E660F2" w:rsidP="008F0588">
            <w:pPr>
              <w:rPr>
                <w:sz w:val="20"/>
                <w:szCs w:val="20"/>
              </w:rPr>
            </w:pPr>
            <w:r w:rsidRPr="008402D1">
              <w:rPr>
                <w:sz w:val="20"/>
                <w:szCs w:val="20"/>
              </w:rPr>
              <w:t>2(0.2%)</w:t>
            </w:r>
          </w:p>
        </w:tc>
        <w:tc>
          <w:tcPr>
            <w:tcW w:w="1701" w:type="dxa"/>
          </w:tcPr>
          <w:p w:rsidR="00E660F2" w:rsidRPr="008402D1" w:rsidRDefault="00E660F2" w:rsidP="008F0588">
            <w:pPr>
              <w:rPr>
                <w:i/>
                <w:sz w:val="20"/>
                <w:szCs w:val="20"/>
              </w:rPr>
            </w:pPr>
            <w:r w:rsidRPr="008402D1">
              <w:rPr>
                <w:i/>
                <w:sz w:val="20"/>
                <w:szCs w:val="20"/>
              </w:rPr>
              <w:t>0.2</w:t>
            </w:r>
          </w:p>
        </w:tc>
        <w:tc>
          <w:tcPr>
            <w:tcW w:w="1417" w:type="dxa"/>
          </w:tcPr>
          <w:p w:rsidR="00E660F2" w:rsidRPr="008402D1" w:rsidRDefault="00E660F2" w:rsidP="008F0588">
            <w:pPr>
              <w:rPr>
                <w:sz w:val="20"/>
                <w:szCs w:val="20"/>
              </w:rPr>
            </w:pPr>
            <w:r w:rsidRPr="008402D1">
              <w:rPr>
                <w:sz w:val="20"/>
                <w:szCs w:val="20"/>
              </w:rPr>
              <w:t>0</w:t>
            </w:r>
          </w:p>
        </w:tc>
        <w:tc>
          <w:tcPr>
            <w:tcW w:w="1559" w:type="dxa"/>
          </w:tcPr>
          <w:p w:rsidR="00E660F2" w:rsidRPr="008402D1" w:rsidRDefault="00E660F2" w:rsidP="008F0588">
            <w:pPr>
              <w:rPr>
                <w:i/>
                <w:sz w:val="20"/>
                <w:szCs w:val="20"/>
              </w:rPr>
            </w:pPr>
            <w:r w:rsidRPr="008402D1">
              <w:rPr>
                <w:i/>
                <w:sz w:val="20"/>
                <w:szCs w:val="20"/>
              </w:rPr>
              <w:t>0</w:t>
            </w:r>
          </w:p>
        </w:tc>
      </w:tr>
    </w:tbl>
    <w:p w:rsidR="00E660F2" w:rsidRDefault="00E660F2" w:rsidP="00E660F2">
      <w:pPr>
        <w:rPr>
          <w:szCs w:val="24"/>
        </w:rPr>
      </w:pPr>
      <w:r w:rsidRPr="0061515D">
        <w:t xml:space="preserve">The </w:t>
      </w:r>
      <w:r>
        <w:t>sponsor</w:t>
      </w:r>
      <w:r w:rsidRPr="0061515D">
        <w:t xml:space="preserve"> considered 10 patients to have TEAEs with an outcome of death. </w:t>
      </w:r>
      <w:r>
        <w:t>The FDA reviewers considered that 8</w:t>
      </w:r>
      <w:r w:rsidRPr="0061515D">
        <w:t xml:space="preserve"> of these patients died due to apalutamide</w:t>
      </w:r>
      <w:r>
        <w:t xml:space="preserve"> </w:t>
      </w:r>
      <w:r w:rsidRPr="0061515D">
        <w:t>related toxicity. These</w:t>
      </w:r>
      <w:r>
        <w:t xml:space="preserve"> </w:t>
      </w:r>
      <w:r w:rsidRPr="0061515D">
        <w:rPr>
          <w:szCs w:val="24"/>
        </w:rPr>
        <w:t xml:space="preserve">patients died from infection (4), myocardial infarction (3), and </w:t>
      </w:r>
      <w:r>
        <w:rPr>
          <w:szCs w:val="24"/>
        </w:rPr>
        <w:t>cerebral haemorrhage (1).</w:t>
      </w:r>
    </w:p>
    <w:p w:rsidR="00E660F2" w:rsidRDefault="00E660F2" w:rsidP="00E660F2">
      <w:pPr>
        <w:rPr>
          <w:szCs w:val="24"/>
        </w:rPr>
      </w:pPr>
      <w:r>
        <w:rPr>
          <w:szCs w:val="24"/>
        </w:rPr>
        <w:t>A 120 day safety update was provided by the sponsor after the evaluations had been completed, which contained</w:t>
      </w:r>
      <w:r w:rsidRPr="00BE4520">
        <w:rPr>
          <w:szCs w:val="24"/>
        </w:rPr>
        <w:t xml:space="preserve"> 4 additional months of data from </w:t>
      </w:r>
      <w:r>
        <w:rPr>
          <w:szCs w:val="24"/>
        </w:rPr>
        <w:t xml:space="preserve">Study </w:t>
      </w:r>
      <w:r w:rsidRPr="00BE4520">
        <w:rPr>
          <w:szCs w:val="24"/>
        </w:rPr>
        <w:t>ARN-509-003.</w:t>
      </w:r>
      <w:r>
        <w:rPr>
          <w:szCs w:val="24"/>
        </w:rPr>
        <w:t xml:space="preserve"> Three additional adverse events with an outcome of death occurred in the apalutamide arm and one in the placebo arm. These cases were:</w:t>
      </w:r>
    </w:p>
    <w:p w:rsidR="00E660F2" w:rsidRDefault="00E660F2" w:rsidP="00E660F2">
      <w:pPr>
        <w:pStyle w:val="ListBullet"/>
        <w:numPr>
          <w:ilvl w:val="0"/>
          <w:numId w:val="1"/>
        </w:numPr>
      </w:pPr>
      <w:r>
        <w:t>Apalutamide arm:</w:t>
      </w:r>
    </w:p>
    <w:p w:rsidR="00E660F2" w:rsidRDefault="00E660F2" w:rsidP="00E660F2">
      <w:pPr>
        <w:pStyle w:val="ListBullet2"/>
        <w:numPr>
          <w:ilvl w:val="1"/>
          <w:numId w:val="1"/>
        </w:numPr>
      </w:pPr>
      <w:r w:rsidRPr="0054071B">
        <w:t xml:space="preserve">sepsis (likely related to multi-resistant </w:t>
      </w:r>
      <w:r w:rsidRPr="007302CF">
        <w:rPr>
          <w:i/>
        </w:rPr>
        <w:t>Klebsiella</w:t>
      </w:r>
      <w:r w:rsidRPr="0054071B">
        <w:t xml:space="preserve"> </w:t>
      </w:r>
      <w:r>
        <w:t>uterine tract infection (</w:t>
      </w:r>
      <w:r w:rsidRPr="0054071B">
        <w:t>UTI</w:t>
      </w:r>
      <w:r>
        <w:t>)</w:t>
      </w:r>
      <w:r w:rsidRPr="0054071B">
        <w:t>)</w:t>
      </w:r>
    </w:p>
    <w:p w:rsidR="00E660F2" w:rsidRDefault="00E660F2" w:rsidP="00E660F2">
      <w:pPr>
        <w:pStyle w:val="ListBullet2"/>
        <w:numPr>
          <w:ilvl w:val="1"/>
          <w:numId w:val="1"/>
        </w:numPr>
      </w:pPr>
      <w:r>
        <w:t xml:space="preserve">bilateral </w:t>
      </w:r>
      <w:r w:rsidRPr="0054071B">
        <w:t>pneumoni</w:t>
      </w:r>
      <w:r>
        <w:t>a</w:t>
      </w:r>
    </w:p>
    <w:p w:rsidR="00E660F2" w:rsidRDefault="00E660F2" w:rsidP="00E660F2">
      <w:pPr>
        <w:pStyle w:val="ListBullet2"/>
        <w:numPr>
          <w:ilvl w:val="1"/>
          <w:numId w:val="1"/>
        </w:numPr>
      </w:pPr>
      <w:r w:rsidRPr="0054071B">
        <w:t xml:space="preserve">cerebrovascular accident (in </w:t>
      </w:r>
      <w:r>
        <w:t xml:space="preserve">a </w:t>
      </w:r>
      <w:r w:rsidRPr="0054071B">
        <w:t>patient with history of coronary atherosclerosis, hypercholesterolemia, and hypertension)</w:t>
      </w:r>
    </w:p>
    <w:p w:rsidR="00E660F2" w:rsidRDefault="00E660F2" w:rsidP="00E660F2">
      <w:pPr>
        <w:pStyle w:val="ListBullet"/>
        <w:numPr>
          <w:ilvl w:val="0"/>
          <w:numId w:val="1"/>
        </w:numPr>
      </w:pPr>
      <w:r>
        <w:lastRenderedPageBreak/>
        <w:t>Placebo arm:</w:t>
      </w:r>
    </w:p>
    <w:p w:rsidR="00E660F2" w:rsidRPr="005E43DC" w:rsidRDefault="00E660F2" w:rsidP="00E660F2">
      <w:pPr>
        <w:pStyle w:val="ListBullet2"/>
        <w:numPr>
          <w:ilvl w:val="1"/>
          <w:numId w:val="1"/>
        </w:numPr>
      </w:pPr>
      <w:r>
        <w:t>ro</w:t>
      </w:r>
      <w:r w:rsidRPr="005E43DC">
        <w:t>ad traffic accident.</w:t>
      </w:r>
    </w:p>
    <w:p w:rsidR="00E660F2" w:rsidRDefault="00E660F2" w:rsidP="00E660F2">
      <w:pPr>
        <w:pStyle w:val="Heading6"/>
      </w:pPr>
      <w:r>
        <w:t xml:space="preserve">AEs resulting in </w:t>
      </w:r>
      <w:r w:rsidRPr="008402D1">
        <w:t>permanent</w:t>
      </w:r>
      <w:r>
        <w:t xml:space="preserve"> discontinuation</w:t>
      </w:r>
    </w:p>
    <w:p w:rsidR="00E660F2" w:rsidRPr="009220EF" w:rsidRDefault="00E660F2" w:rsidP="00E660F2">
      <w:r>
        <w:t>The type and number of AEs that resulted in permanent discontinuation is shown in Table 27.</w:t>
      </w:r>
    </w:p>
    <w:p w:rsidR="00E660F2" w:rsidRPr="008402D1" w:rsidRDefault="00E660F2" w:rsidP="00E660F2">
      <w:pPr>
        <w:pStyle w:val="TableTitle"/>
      </w:pPr>
      <w:r>
        <w:t xml:space="preserve">Table 27: AEs resulting in </w:t>
      </w:r>
      <w:r w:rsidRPr="008402D1">
        <w:t>permanent</w:t>
      </w:r>
      <w:r>
        <w:t xml:space="preserve"> discontinuation</w:t>
      </w:r>
    </w:p>
    <w:tbl>
      <w:tblPr>
        <w:tblStyle w:val="TableTGAblue"/>
        <w:tblW w:w="8647" w:type="dxa"/>
        <w:tblInd w:w="250" w:type="dxa"/>
        <w:tblLook w:val="04A0" w:firstRow="1" w:lastRow="0" w:firstColumn="1" w:lastColumn="0" w:noHBand="0" w:noVBand="1"/>
      </w:tblPr>
      <w:tblGrid>
        <w:gridCol w:w="2977"/>
        <w:gridCol w:w="2835"/>
        <w:gridCol w:w="2835"/>
      </w:tblGrid>
      <w:tr w:rsidR="00E660F2" w:rsidTr="008F0588">
        <w:trPr>
          <w:cnfStyle w:val="100000000000" w:firstRow="1" w:lastRow="0" w:firstColumn="0" w:lastColumn="0" w:oddVBand="0" w:evenVBand="0" w:oddHBand="0" w:evenHBand="0" w:firstRowFirstColumn="0" w:firstRowLastColumn="0" w:lastRowFirstColumn="0" w:lastRowLastColumn="0"/>
        </w:trPr>
        <w:tc>
          <w:tcPr>
            <w:tcW w:w="2977" w:type="dxa"/>
          </w:tcPr>
          <w:p w:rsidR="00E660F2" w:rsidRPr="008402D1" w:rsidRDefault="00E660F2" w:rsidP="008F0588">
            <w:pPr>
              <w:rPr>
                <w:sz w:val="20"/>
                <w:szCs w:val="20"/>
              </w:rPr>
            </w:pPr>
          </w:p>
        </w:tc>
        <w:tc>
          <w:tcPr>
            <w:tcW w:w="2835" w:type="dxa"/>
          </w:tcPr>
          <w:p w:rsidR="00E660F2" w:rsidRPr="008402D1" w:rsidRDefault="00E660F2" w:rsidP="008F0588">
            <w:pPr>
              <w:rPr>
                <w:sz w:val="20"/>
                <w:szCs w:val="20"/>
              </w:rPr>
            </w:pPr>
            <w:r w:rsidRPr="008402D1">
              <w:rPr>
                <w:sz w:val="20"/>
                <w:szCs w:val="20"/>
              </w:rPr>
              <w:t>Apalutamide</w:t>
            </w:r>
            <w:r>
              <w:rPr>
                <w:sz w:val="20"/>
                <w:szCs w:val="20"/>
              </w:rPr>
              <w:t xml:space="preserve"> </w:t>
            </w:r>
            <w:r w:rsidRPr="008402D1">
              <w:rPr>
                <w:sz w:val="20"/>
                <w:szCs w:val="20"/>
              </w:rPr>
              <w:t>N=803</w:t>
            </w:r>
          </w:p>
        </w:tc>
        <w:tc>
          <w:tcPr>
            <w:tcW w:w="2835" w:type="dxa"/>
          </w:tcPr>
          <w:p w:rsidR="00E660F2" w:rsidRPr="008402D1" w:rsidRDefault="00E660F2" w:rsidP="008F0588">
            <w:pPr>
              <w:rPr>
                <w:sz w:val="20"/>
                <w:szCs w:val="20"/>
              </w:rPr>
            </w:pPr>
            <w:r w:rsidRPr="008402D1">
              <w:rPr>
                <w:sz w:val="20"/>
                <w:szCs w:val="20"/>
              </w:rPr>
              <w:t>Placebo</w:t>
            </w:r>
            <w:r>
              <w:rPr>
                <w:sz w:val="20"/>
                <w:szCs w:val="20"/>
              </w:rPr>
              <w:t xml:space="preserve"> </w:t>
            </w:r>
            <w:r w:rsidRPr="008402D1">
              <w:rPr>
                <w:sz w:val="20"/>
                <w:szCs w:val="20"/>
              </w:rPr>
              <w:t>N=398</w:t>
            </w:r>
          </w:p>
        </w:tc>
      </w:tr>
      <w:tr w:rsidR="00E660F2" w:rsidTr="008F0588">
        <w:tc>
          <w:tcPr>
            <w:tcW w:w="2977" w:type="dxa"/>
          </w:tcPr>
          <w:p w:rsidR="00E660F2" w:rsidRPr="008402D1" w:rsidRDefault="00E660F2" w:rsidP="008F0588">
            <w:pPr>
              <w:rPr>
                <w:sz w:val="20"/>
                <w:szCs w:val="20"/>
              </w:rPr>
            </w:pPr>
            <w:r w:rsidRPr="008402D1">
              <w:rPr>
                <w:sz w:val="20"/>
                <w:szCs w:val="20"/>
              </w:rPr>
              <w:t>Total</w:t>
            </w:r>
          </w:p>
        </w:tc>
        <w:tc>
          <w:tcPr>
            <w:tcW w:w="2835" w:type="dxa"/>
          </w:tcPr>
          <w:p w:rsidR="00E660F2" w:rsidRPr="008402D1" w:rsidRDefault="00E660F2" w:rsidP="008F0588">
            <w:pPr>
              <w:rPr>
                <w:sz w:val="20"/>
                <w:szCs w:val="20"/>
              </w:rPr>
            </w:pPr>
            <w:r w:rsidRPr="008402D1">
              <w:rPr>
                <w:sz w:val="20"/>
                <w:szCs w:val="20"/>
              </w:rPr>
              <w:t>90(11%)</w:t>
            </w:r>
          </w:p>
        </w:tc>
        <w:tc>
          <w:tcPr>
            <w:tcW w:w="2835" w:type="dxa"/>
          </w:tcPr>
          <w:p w:rsidR="00E660F2" w:rsidRPr="008402D1" w:rsidRDefault="00E660F2" w:rsidP="008F0588">
            <w:pPr>
              <w:rPr>
                <w:sz w:val="20"/>
                <w:szCs w:val="20"/>
              </w:rPr>
            </w:pPr>
            <w:r w:rsidRPr="008402D1">
              <w:rPr>
                <w:sz w:val="20"/>
                <w:szCs w:val="20"/>
              </w:rPr>
              <w:t>29(7%)</w:t>
            </w:r>
          </w:p>
        </w:tc>
      </w:tr>
      <w:tr w:rsidR="00E660F2" w:rsidTr="008F0588">
        <w:tc>
          <w:tcPr>
            <w:tcW w:w="2977" w:type="dxa"/>
          </w:tcPr>
          <w:p w:rsidR="00E660F2" w:rsidRPr="008402D1" w:rsidRDefault="00E660F2" w:rsidP="008F0588">
            <w:pPr>
              <w:rPr>
                <w:sz w:val="20"/>
                <w:szCs w:val="20"/>
              </w:rPr>
            </w:pPr>
            <w:r w:rsidRPr="008402D1">
              <w:rPr>
                <w:sz w:val="20"/>
                <w:szCs w:val="20"/>
              </w:rPr>
              <w:t>Rash</w:t>
            </w:r>
          </w:p>
        </w:tc>
        <w:tc>
          <w:tcPr>
            <w:tcW w:w="2835" w:type="dxa"/>
          </w:tcPr>
          <w:p w:rsidR="00E660F2" w:rsidRPr="008402D1" w:rsidRDefault="00E660F2" w:rsidP="008F0588">
            <w:pPr>
              <w:rPr>
                <w:sz w:val="20"/>
                <w:szCs w:val="20"/>
              </w:rPr>
            </w:pPr>
            <w:r w:rsidRPr="008402D1">
              <w:rPr>
                <w:sz w:val="20"/>
                <w:szCs w:val="20"/>
              </w:rPr>
              <w:t>21(3%)</w:t>
            </w:r>
          </w:p>
        </w:tc>
        <w:tc>
          <w:tcPr>
            <w:tcW w:w="2835" w:type="dxa"/>
          </w:tcPr>
          <w:p w:rsidR="00E660F2" w:rsidRPr="008402D1" w:rsidRDefault="00E660F2" w:rsidP="008F0588">
            <w:pPr>
              <w:rPr>
                <w:sz w:val="20"/>
                <w:szCs w:val="20"/>
              </w:rPr>
            </w:pPr>
            <w:r w:rsidRPr="008402D1">
              <w:rPr>
                <w:sz w:val="20"/>
                <w:szCs w:val="20"/>
              </w:rPr>
              <w:t>0</w:t>
            </w:r>
          </w:p>
        </w:tc>
      </w:tr>
      <w:tr w:rsidR="00E660F2" w:rsidTr="008F0588">
        <w:tc>
          <w:tcPr>
            <w:tcW w:w="2977" w:type="dxa"/>
          </w:tcPr>
          <w:p w:rsidR="00E660F2" w:rsidRPr="008402D1" w:rsidRDefault="00E660F2" w:rsidP="008F0588">
            <w:pPr>
              <w:rPr>
                <w:sz w:val="20"/>
                <w:szCs w:val="20"/>
              </w:rPr>
            </w:pPr>
            <w:r>
              <w:rPr>
                <w:sz w:val="20"/>
                <w:szCs w:val="20"/>
              </w:rPr>
              <w:t>F</w:t>
            </w:r>
            <w:r w:rsidRPr="008402D1">
              <w:rPr>
                <w:sz w:val="20"/>
                <w:szCs w:val="20"/>
              </w:rPr>
              <w:t>atigue</w:t>
            </w:r>
          </w:p>
        </w:tc>
        <w:tc>
          <w:tcPr>
            <w:tcW w:w="2835" w:type="dxa"/>
          </w:tcPr>
          <w:p w:rsidR="00E660F2" w:rsidRPr="008402D1" w:rsidRDefault="00E660F2" w:rsidP="008F0588">
            <w:pPr>
              <w:rPr>
                <w:sz w:val="20"/>
                <w:szCs w:val="20"/>
              </w:rPr>
            </w:pPr>
            <w:r w:rsidRPr="008402D1">
              <w:rPr>
                <w:sz w:val="20"/>
                <w:szCs w:val="20"/>
              </w:rPr>
              <w:t>8(1%)</w:t>
            </w:r>
          </w:p>
        </w:tc>
        <w:tc>
          <w:tcPr>
            <w:tcW w:w="2835" w:type="dxa"/>
          </w:tcPr>
          <w:p w:rsidR="00E660F2" w:rsidRPr="008402D1" w:rsidRDefault="00E660F2" w:rsidP="008F0588">
            <w:pPr>
              <w:rPr>
                <w:sz w:val="20"/>
                <w:szCs w:val="20"/>
              </w:rPr>
            </w:pPr>
            <w:r w:rsidRPr="008402D1">
              <w:rPr>
                <w:sz w:val="20"/>
                <w:szCs w:val="20"/>
              </w:rPr>
              <w:t>1(0.3%)</w:t>
            </w:r>
          </w:p>
        </w:tc>
      </w:tr>
      <w:tr w:rsidR="00E660F2" w:rsidTr="008F0588">
        <w:tc>
          <w:tcPr>
            <w:tcW w:w="2977" w:type="dxa"/>
          </w:tcPr>
          <w:p w:rsidR="00E660F2" w:rsidRPr="008402D1" w:rsidRDefault="00E660F2" w:rsidP="008F0588">
            <w:pPr>
              <w:rPr>
                <w:sz w:val="20"/>
                <w:szCs w:val="20"/>
              </w:rPr>
            </w:pPr>
            <w:r w:rsidRPr="008402D1">
              <w:rPr>
                <w:sz w:val="20"/>
                <w:szCs w:val="20"/>
              </w:rPr>
              <w:t>Decreased appetite, weight loss</w:t>
            </w:r>
          </w:p>
        </w:tc>
        <w:tc>
          <w:tcPr>
            <w:tcW w:w="2835" w:type="dxa"/>
          </w:tcPr>
          <w:p w:rsidR="00E660F2" w:rsidRPr="008402D1" w:rsidRDefault="00E660F2" w:rsidP="008F0588">
            <w:pPr>
              <w:rPr>
                <w:sz w:val="20"/>
                <w:szCs w:val="20"/>
              </w:rPr>
            </w:pPr>
            <w:r w:rsidRPr="008402D1">
              <w:rPr>
                <w:sz w:val="20"/>
                <w:szCs w:val="20"/>
              </w:rPr>
              <w:t>6(0.7%)</w:t>
            </w:r>
          </w:p>
        </w:tc>
        <w:tc>
          <w:tcPr>
            <w:tcW w:w="2835" w:type="dxa"/>
          </w:tcPr>
          <w:p w:rsidR="00E660F2" w:rsidRPr="008402D1" w:rsidRDefault="00E660F2" w:rsidP="008F0588">
            <w:pPr>
              <w:rPr>
                <w:sz w:val="20"/>
                <w:szCs w:val="20"/>
              </w:rPr>
            </w:pPr>
            <w:r w:rsidRPr="008402D1">
              <w:rPr>
                <w:sz w:val="20"/>
                <w:szCs w:val="20"/>
              </w:rPr>
              <w:t>0</w:t>
            </w:r>
          </w:p>
        </w:tc>
      </w:tr>
    </w:tbl>
    <w:p w:rsidR="00E660F2" w:rsidRDefault="00E660F2" w:rsidP="00E660F2">
      <w:r>
        <w:t>T</w:t>
      </w:r>
      <w:r w:rsidRPr="0061515D">
        <w:t>he most common reasons for discontinuation in the</w:t>
      </w:r>
      <w:r>
        <w:t xml:space="preserve"> </w:t>
      </w:r>
      <w:r w:rsidRPr="0061515D">
        <w:t>placebo arm were related to disease progression, including hydronephrosis and urinary</w:t>
      </w:r>
      <w:r>
        <w:t xml:space="preserve"> </w:t>
      </w:r>
      <w:r w:rsidRPr="0061515D">
        <w:t>retention.</w:t>
      </w:r>
    </w:p>
    <w:p w:rsidR="00E660F2" w:rsidRPr="00673FE9" w:rsidRDefault="00E660F2" w:rsidP="00E660F2">
      <w:pPr>
        <w:pStyle w:val="Heading6"/>
      </w:pPr>
      <w:r w:rsidRPr="00673FE9">
        <w:t>AEs of special interest</w:t>
      </w:r>
      <w:r>
        <w:t xml:space="preserve"> (AESI)</w:t>
      </w:r>
    </w:p>
    <w:p w:rsidR="00E660F2" w:rsidRDefault="00E660F2" w:rsidP="00E660F2">
      <w:r>
        <w:t xml:space="preserve">These were pre-specified as: </w:t>
      </w:r>
    </w:p>
    <w:p w:rsidR="00E660F2" w:rsidRPr="00CB1BC7" w:rsidRDefault="00E660F2" w:rsidP="00E660F2">
      <w:pPr>
        <w:pStyle w:val="ListBullet"/>
        <w:numPr>
          <w:ilvl w:val="0"/>
          <w:numId w:val="1"/>
        </w:numPr>
      </w:pPr>
      <w:r w:rsidRPr="00CB1BC7">
        <w:t>Rash</w:t>
      </w:r>
    </w:p>
    <w:p w:rsidR="00E660F2" w:rsidRPr="00CB1BC7" w:rsidRDefault="00E660F2" w:rsidP="00E660F2">
      <w:pPr>
        <w:pStyle w:val="ListBullet"/>
        <w:numPr>
          <w:ilvl w:val="0"/>
          <w:numId w:val="1"/>
        </w:numPr>
      </w:pPr>
      <w:r w:rsidRPr="00CB1BC7">
        <w:t>Seizure</w:t>
      </w:r>
    </w:p>
    <w:p w:rsidR="00E660F2" w:rsidRPr="00CB1BC7" w:rsidRDefault="00E660F2" w:rsidP="00E660F2">
      <w:pPr>
        <w:pStyle w:val="ListBullet"/>
        <w:numPr>
          <w:ilvl w:val="0"/>
          <w:numId w:val="1"/>
        </w:numPr>
      </w:pPr>
      <w:r w:rsidRPr="00CB1BC7">
        <w:t>Hypothyroidism</w:t>
      </w:r>
    </w:p>
    <w:p w:rsidR="00E660F2" w:rsidRPr="00CB1BC7" w:rsidRDefault="00E660F2" w:rsidP="00E660F2">
      <w:pPr>
        <w:pStyle w:val="ListBullet"/>
        <w:numPr>
          <w:ilvl w:val="0"/>
          <w:numId w:val="1"/>
        </w:numPr>
      </w:pPr>
      <w:r w:rsidRPr="00CB1BC7">
        <w:t>Falls</w:t>
      </w:r>
      <w:r>
        <w:t xml:space="preserve"> and Fractures</w:t>
      </w:r>
    </w:p>
    <w:p w:rsidR="00E660F2" w:rsidRDefault="00E660F2" w:rsidP="00E660F2">
      <w:pPr>
        <w:pStyle w:val="mine"/>
      </w:pPr>
      <w:r>
        <w:t>338 (42%) patients on the apalutamide arm and 72 (18%) patients on the placebo arm experienced an AESI. Seventy-one (9%) of patients on the apalutamide arm and 5 (1.3%) of patients on the placebo arm experienced a Grade 3 AESI. There were no reported Grade 4 AESIs on either arm. The most common AESI was rash, experienced by 191 (24%) patients on the apalutamide arm and 22 (6%) patients on the placebo arm.</w:t>
      </w:r>
    </w:p>
    <w:p w:rsidR="00E660F2" w:rsidRPr="00353919" w:rsidRDefault="00E660F2" w:rsidP="00E660F2">
      <w:r w:rsidRPr="007302CF">
        <w:rPr>
          <w:i/>
        </w:rPr>
        <w:t>Rash</w:t>
      </w:r>
      <w:r>
        <w:t xml:space="preserve">: </w:t>
      </w:r>
      <w:r w:rsidRPr="00353919">
        <w:t>Rash was common among patients treated with apalutamide and</w:t>
      </w:r>
      <w:r>
        <w:t xml:space="preserve"> </w:t>
      </w:r>
      <w:r w:rsidRPr="00353919">
        <w:t>was the most common reason for treatment discontinuation due to an adverse event.</w:t>
      </w:r>
      <w:r>
        <w:t xml:space="preserve"> Rash was reported for 191 (24%) patients on the apalutamide arm and 22 (6%) patients on the placebo arm. T</w:t>
      </w:r>
      <w:r w:rsidRPr="00353919">
        <w:t>here were few high</w:t>
      </w:r>
      <w:r>
        <w:t xml:space="preserve"> </w:t>
      </w:r>
      <w:r w:rsidRPr="00353919">
        <w:t xml:space="preserve">grade events and </w:t>
      </w:r>
      <w:r>
        <w:t>most were</w:t>
      </w:r>
      <w:r w:rsidRPr="00353919">
        <w:t xml:space="preserve"> adequately</w:t>
      </w:r>
      <w:r>
        <w:t xml:space="preserve"> </w:t>
      </w:r>
      <w:r w:rsidRPr="00353919">
        <w:t>managed with treatment interruption, dose reduction and supportive medications.</w:t>
      </w:r>
    </w:p>
    <w:p w:rsidR="00E660F2" w:rsidRDefault="00E660F2" w:rsidP="00E660F2">
      <w:r w:rsidRPr="007302CF">
        <w:rPr>
          <w:i/>
        </w:rPr>
        <w:t>Seizures</w:t>
      </w:r>
      <w:r>
        <w:t xml:space="preserve">: </w:t>
      </w:r>
      <w:r w:rsidRPr="00AD35F2">
        <w:t>Two patients treated with apalutamid</w:t>
      </w:r>
      <w:r>
        <w:t>e experienced a seizure; t</w:t>
      </w:r>
      <w:r w:rsidRPr="00AD35F2">
        <w:t>here were no patients that</w:t>
      </w:r>
      <w:r>
        <w:t xml:space="preserve"> </w:t>
      </w:r>
      <w:r w:rsidRPr="00AD35F2">
        <w:t>experienced a seizure in the placebo arm. Patients with a history of seizures, predisposing factors for</w:t>
      </w:r>
      <w:r>
        <w:t xml:space="preserve"> </w:t>
      </w:r>
      <w:r w:rsidRPr="00AD35F2">
        <w:t>seizure, or receiving drugs known to decrease the seizure threshold or to induce seizure were excluded</w:t>
      </w:r>
      <w:r>
        <w:t xml:space="preserve"> </w:t>
      </w:r>
      <w:r w:rsidRPr="00AD35F2">
        <w:t>from the clinical trial.</w:t>
      </w:r>
    </w:p>
    <w:p w:rsidR="00E660F2" w:rsidRDefault="00E660F2" w:rsidP="00E660F2">
      <w:r>
        <w:t xml:space="preserve">Patients, </w:t>
      </w:r>
      <w:r w:rsidRPr="00AD35F2">
        <w:t>who develop a seizure</w:t>
      </w:r>
      <w:r>
        <w:t>, should permanently discontinue apalutamide.</w:t>
      </w:r>
    </w:p>
    <w:p w:rsidR="00E660F2" w:rsidRDefault="00E660F2" w:rsidP="00E660F2">
      <w:r>
        <w:t>P</w:t>
      </w:r>
      <w:r w:rsidRPr="00AD35F2">
        <w:t xml:space="preserve">atients </w:t>
      </w:r>
      <w:r>
        <w:t xml:space="preserve">should </w:t>
      </w:r>
      <w:r w:rsidRPr="00AD35F2">
        <w:t>be advised of the risk of</w:t>
      </w:r>
      <w:r>
        <w:t xml:space="preserve"> </w:t>
      </w:r>
      <w:r w:rsidRPr="00AD35F2">
        <w:t>developing a seizure while receiving apalutamide, and of engaging in an</w:t>
      </w:r>
      <w:r>
        <w:t xml:space="preserve">y activity where sudden loss of </w:t>
      </w:r>
      <w:r w:rsidRPr="00AD35F2">
        <w:t>consciousness could cause harm to themselves or others.</w:t>
      </w:r>
    </w:p>
    <w:p w:rsidR="00E660F2" w:rsidRPr="00353919" w:rsidRDefault="00E660F2" w:rsidP="00E660F2">
      <w:pPr>
        <w:rPr>
          <w:szCs w:val="24"/>
        </w:rPr>
      </w:pPr>
      <w:r w:rsidRPr="00646C87">
        <w:t>Hypothyroidism</w:t>
      </w:r>
      <w:r>
        <w:rPr>
          <w:szCs w:val="24"/>
        </w:rPr>
        <w:t xml:space="preserve">: </w:t>
      </w:r>
      <w:r w:rsidRPr="00353919">
        <w:rPr>
          <w:szCs w:val="24"/>
        </w:rPr>
        <w:t xml:space="preserve">TSH was assessed every 4 months </w:t>
      </w:r>
      <w:r>
        <w:rPr>
          <w:szCs w:val="24"/>
        </w:rPr>
        <w:t>in the</w:t>
      </w:r>
      <w:r w:rsidRPr="00353919">
        <w:rPr>
          <w:szCs w:val="24"/>
        </w:rPr>
        <w:t xml:space="preserve"> SPARTAN</w:t>
      </w:r>
      <w:r>
        <w:rPr>
          <w:szCs w:val="24"/>
        </w:rPr>
        <w:t xml:space="preserve"> trial</w:t>
      </w:r>
      <w:r w:rsidRPr="00353919">
        <w:rPr>
          <w:szCs w:val="24"/>
        </w:rPr>
        <w:t>.</w:t>
      </w:r>
    </w:p>
    <w:p w:rsidR="00E660F2" w:rsidRDefault="00E660F2" w:rsidP="00E660F2">
      <w:r w:rsidRPr="00353919">
        <w:t>Hypothyroidism, occurred in 8% of patients treated with apalutamide compared to 2% of</w:t>
      </w:r>
      <w:r>
        <w:t xml:space="preserve"> </w:t>
      </w:r>
      <w:r w:rsidRPr="00353919">
        <w:t xml:space="preserve">patients treated with placebo, while elevated TSH occurred in 25% and 7% of patients </w:t>
      </w:r>
      <w:r w:rsidRPr="00353919">
        <w:lastRenderedPageBreak/>
        <w:t>treated</w:t>
      </w:r>
      <w:r>
        <w:t xml:space="preserve"> with apalutamide and placebo respectively. There </w:t>
      </w:r>
      <w:r w:rsidR="00C31962">
        <w:t>was</w:t>
      </w:r>
      <w:r>
        <w:t xml:space="preserve"> no Grade 3 or 4 events. The median onset on the apalutamide arm was Day 113. Thyroid replacement therapy was initiated in 7% of patients treated with apalutamide. One patient required dose reduction and no patients discontinued </w:t>
      </w:r>
      <w:r w:rsidRPr="00353919">
        <w:t>therapy for hypothyroidism.</w:t>
      </w:r>
    </w:p>
    <w:p w:rsidR="00E660F2" w:rsidRDefault="00E660F2" w:rsidP="00E660F2">
      <w:r w:rsidRPr="007302CF">
        <w:rPr>
          <w:i/>
        </w:rPr>
        <w:t>Falls and fractures</w:t>
      </w:r>
      <w:r>
        <w:t>: In the SPARTAN trial falls occurred in 16% of patients treated with apalutamide compared to 9% of patients treated with placebo. Falls were not associated with loss of consciousness or syncope. T</w:t>
      </w:r>
      <w:r w:rsidRPr="00CB565B">
        <w:t>he difference in incidence persisted after adjustment for patient-years on study.</w:t>
      </w:r>
    </w:p>
    <w:p w:rsidR="00E660F2" w:rsidRDefault="00E660F2" w:rsidP="00E660F2">
      <w:pPr>
        <w:rPr>
          <w:szCs w:val="24"/>
        </w:rPr>
      </w:pPr>
      <w:r w:rsidRPr="00CB565B">
        <w:rPr>
          <w:szCs w:val="24"/>
        </w:rPr>
        <w:t>Fractures were associated with falls and occurred in 12% of patients treated</w:t>
      </w:r>
      <w:r>
        <w:rPr>
          <w:szCs w:val="24"/>
        </w:rPr>
        <w:t xml:space="preserve"> </w:t>
      </w:r>
      <w:r w:rsidRPr="00CB565B">
        <w:rPr>
          <w:szCs w:val="24"/>
        </w:rPr>
        <w:t>with apalutamide and 7% of patients treated with placebo. Grade 3</w:t>
      </w:r>
      <w:r>
        <w:rPr>
          <w:szCs w:val="24"/>
        </w:rPr>
        <w:t xml:space="preserve"> or </w:t>
      </w:r>
      <w:r w:rsidRPr="00CB565B">
        <w:rPr>
          <w:szCs w:val="24"/>
        </w:rPr>
        <w:t>4 fractures occurred in</w:t>
      </w:r>
      <w:r>
        <w:rPr>
          <w:szCs w:val="24"/>
        </w:rPr>
        <w:t xml:space="preserve"> </w:t>
      </w:r>
      <w:r w:rsidRPr="00CB565B">
        <w:rPr>
          <w:szCs w:val="24"/>
        </w:rPr>
        <w:t>2.7% and 0.8% of patients treated with apalutamide and placebo respectively. After adjustment</w:t>
      </w:r>
      <w:r>
        <w:rPr>
          <w:szCs w:val="24"/>
        </w:rPr>
        <w:t xml:space="preserve"> </w:t>
      </w:r>
      <w:r w:rsidRPr="00CB565B">
        <w:rPr>
          <w:szCs w:val="24"/>
        </w:rPr>
        <w:t>for patient-years on study, the incidence of fractures per 100 patient-years was 10.5 for</w:t>
      </w:r>
      <w:r>
        <w:rPr>
          <w:szCs w:val="24"/>
        </w:rPr>
        <w:t xml:space="preserve"> </w:t>
      </w:r>
      <w:r w:rsidRPr="00CB565B">
        <w:rPr>
          <w:szCs w:val="24"/>
        </w:rPr>
        <w:t>apalutamide and 7.8 for placebo. The median time of onset to fr</w:t>
      </w:r>
      <w:r>
        <w:rPr>
          <w:szCs w:val="24"/>
        </w:rPr>
        <w:t>acture was 314 days (range: 20-</w:t>
      </w:r>
      <w:r w:rsidRPr="00CB565B">
        <w:rPr>
          <w:szCs w:val="24"/>
        </w:rPr>
        <w:t>953 days) for patients treated with apalutamide.</w:t>
      </w:r>
    </w:p>
    <w:p w:rsidR="00E660F2" w:rsidRPr="00CB565B" w:rsidRDefault="00E660F2" w:rsidP="00E660F2">
      <w:pPr>
        <w:rPr>
          <w:szCs w:val="24"/>
        </w:rPr>
      </w:pPr>
      <w:r w:rsidRPr="00CB565B">
        <w:rPr>
          <w:szCs w:val="24"/>
        </w:rPr>
        <w:t>Fracture was associated with preceding weight</w:t>
      </w:r>
      <w:r>
        <w:rPr>
          <w:szCs w:val="24"/>
        </w:rPr>
        <w:t xml:space="preserve"> </w:t>
      </w:r>
      <w:r w:rsidRPr="00CB565B">
        <w:rPr>
          <w:szCs w:val="24"/>
        </w:rPr>
        <w:t>loss in patients treated with apalutamide but not in patients treated with placebo.</w:t>
      </w:r>
    </w:p>
    <w:p w:rsidR="00E660F2" w:rsidRDefault="00E660F2" w:rsidP="00E660F2">
      <w:pPr>
        <w:rPr>
          <w:szCs w:val="24"/>
        </w:rPr>
      </w:pPr>
      <w:r w:rsidRPr="00CB565B">
        <w:rPr>
          <w:szCs w:val="24"/>
        </w:rPr>
        <w:t>Approximately 22% of patients with fracture on the apalutamide arm had weight loss of &gt;5%</w:t>
      </w:r>
      <w:r>
        <w:rPr>
          <w:szCs w:val="24"/>
        </w:rPr>
        <w:t xml:space="preserve"> </w:t>
      </w:r>
      <w:r w:rsidRPr="00CB565B">
        <w:rPr>
          <w:szCs w:val="24"/>
        </w:rPr>
        <w:t>compared to baseline, compared to 6% of patients with fracture on the placebo arm</w:t>
      </w:r>
      <w:r>
        <w:rPr>
          <w:szCs w:val="24"/>
        </w:rPr>
        <w:t xml:space="preserve">. </w:t>
      </w:r>
      <w:r w:rsidRPr="00CB565B">
        <w:rPr>
          <w:szCs w:val="24"/>
        </w:rPr>
        <w:t xml:space="preserve">Routine bone density assessment was not performed </w:t>
      </w:r>
      <w:r>
        <w:rPr>
          <w:szCs w:val="24"/>
        </w:rPr>
        <w:t>in the</w:t>
      </w:r>
      <w:r w:rsidRPr="00CB565B">
        <w:rPr>
          <w:szCs w:val="24"/>
        </w:rPr>
        <w:t xml:space="preserve"> SPARTAN </w:t>
      </w:r>
      <w:r>
        <w:rPr>
          <w:szCs w:val="24"/>
        </w:rPr>
        <w:t xml:space="preserve">trial </w:t>
      </w:r>
      <w:r w:rsidRPr="00CB565B">
        <w:rPr>
          <w:szCs w:val="24"/>
        </w:rPr>
        <w:t>and it is unknown</w:t>
      </w:r>
      <w:r>
        <w:rPr>
          <w:szCs w:val="24"/>
        </w:rPr>
        <w:t xml:space="preserve"> </w:t>
      </w:r>
      <w:r w:rsidRPr="00CB565B">
        <w:rPr>
          <w:szCs w:val="24"/>
        </w:rPr>
        <w:t>whether weight loss may reflect bone density loss, sarcopenia, or a combination of the two,</w:t>
      </w:r>
      <w:r>
        <w:rPr>
          <w:szCs w:val="24"/>
        </w:rPr>
        <w:t xml:space="preserve"> </w:t>
      </w:r>
      <w:r w:rsidRPr="00CB565B">
        <w:rPr>
          <w:szCs w:val="24"/>
        </w:rPr>
        <w:t>which could have contributed to increased risk for fall and fragility. Weight loss appeared to be associated with</w:t>
      </w:r>
      <w:r>
        <w:rPr>
          <w:szCs w:val="24"/>
        </w:rPr>
        <w:t xml:space="preserve"> </w:t>
      </w:r>
      <w:r w:rsidRPr="00CB565B">
        <w:rPr>
          <w:szCs w:val="24"/>
        </w:rPr>
        <w:t>dysgeusia (7% v</w:t>
      </w:r>
      <w:r>
        <w:rPr>
          <w:szCs w:val="24"/>
        </w:rPr>
        <w:t>ersu</w:t>
      </w:r>
      <w:r w:rsidRPr="00CB565B">
        <w:rPr>
          <w:szCs w:val="24"/>
        </w:rPr>
        <w:t>s 1.5%); all 13 patients with both dysgeusia and decreased weight were on the</w:t>
      </w:r>
      <w:r>
        <w:rPr>
          <w:szCs w:val="24"/>
        </w:rPr>
        <w:t xml:space="preserve"> </w:t>
      </w:r>
      <w:r w:rsidRPr="00CB565B">
        <w:rPr>
          <w:szCs w:val="24"/>
        </w:rPr>
        <w:t>apalutamide arm</w:t>
      </w:r>
      <w:r>
        <w:rPr>
          <w:szCs w:val="24"/>
        </w:rPr>
        <w:t>.</w:t>
      </w:r>
    </w:p>
    <w:p w:rsidR="00E660F2" w:rsidRDefault="00E660F2" w:rsidP="00E660F2">
      <w:r w:rsidRPr="00CB565B">
        <w:t>Patients receiving bone targeted agents (BTA) (</w:t>
      </w:r>
      <w:r>
        <w:t>for example,</w:t>
      </w:r>
      <w:r w:rsidRPr="00CB565B">
        <w:t xml:space="preserve"> denosumab or zoledronic acid) for</w:t>
      </w:r>
      <w:r>
        <w:t xml:space="preserve"> </w:t>
      </w:r>
      <w:r w:rsidRPr="00CB565B">
        <w:t>prevention of skeletal</w:t>
      </w:r>
      <w:r>
        <w:t xml:space="preserve"> </w:t>
      </w:r>
      <w:r w:rsidRPr="00CB565B">
        <w:t>related events were excluded from SPARTAN, however patients receiving</w:t>
      </w:r>
      <w:r>
        <w:t xml:space="preserve"> </w:t>
      </w:r>
      <w:r w:rsidRPr="00CB565B">
        <w:t>BTAs at doses and schedules appropriate for an indication of osteoporosis were allowed to</w:t>
      </w:r>
      <w:r>
        <w:t xml:space="preserve"> </w:t>
      </w:r>
      <w:r w:rsidRPr="00CB565B">
        <w:t xml:space="preserve">continue those agents. There were relatively few patients </w:t>
      </w:r>
      <w:r>
        <w:t xml:space="preserve">in the SPARTAN trial receiving a BTA (8% </w:t>
      </w:r>
      <w:r w:rsidRPr="00CB565B">
        <w:t>apalutamide arm and 10% on placebo arm) and few patients who experienced a fracture while</w:t>
      </w:r>
      <w:r>
        <w:t xml:space="preserve"> </w:t>
      </w:r>
      <w:r w:rsidRPr="00CB565B">
        <w:t>receiving a BTA (1% in each arm).</w:t>
      </w:r>
    </w:p>
    <w:p w:rsidR="00E660F2" w:rsidRDefault="00E660F2" w:rsidP="00E660F2">
      <w:r w:rsidRPr="00CB565B">
        <w:t xml:space="preserve">Possible mechanisms </w:t>
      </w:r>
      <w:r>
        <w:t xml:space="preserve">for falls and fractures </w:t>
      </w:r>
      <w:r w:rsidRPr="00CB565B">
        <w:t>may include the effects</w:t>
      </w:r>
      <w:r>
        <w:t xml:space="preserve"> </w:t>
      </w:r>
      <w:r w:rsidRPr="00CB565B">
        <w:t>of more pronounced androgen deprivation than with GnRH agonists/antagonists alone</w:t>
      </w:r>
      <w:r>
        <w:t xml:space="preserve"> </w:t>
      </w:r>
      <w:r w:rsidRPr="00CB565B">
        <w:t>or weight loss due to dysgeusia. It is unclear whether routine assessment of bone density</w:t>
      </w:r>
      <w:r>
        <w:t xml:space="preserve"> </w:t>
      </w:r>
      <w:r w:rsidRPr="00CB565B">
        <w:t>and treatment of osteopenia and osteoporosis or routine initiation of BTAs at doses and</w:t>
      </w:r>
      <w:r>
        <w:t xml:space="preserve"> </w:t>
      </w:r>
      <w:r w:rsidRPr="00CB565B">
        <w:t>schedules indicated for prevention of skeletal events may be of benefit in preventing</w:t>
      </w:r>
      <w:r>
        <w:t xml:space="preserve"> </w:t>
      </w:r>
      <w:r w:rsidRPr="00CB565B">
        <w:t>fracture.</w:t>
      </w:r>
    </w:p>
    <w:p w:rsidR="00E660F2" w:rsidRDefault="00E660F2" w:rsidP="00E660F2">
      <w:r w:rsidRPr="007302CF">
        <w:rPr>
          <w:i/>
        </w:rPr>
        <w:t>AEs of clinical evaluator note:</w:t>
      </w:r>
      <w:r>
        <w:t xml:space="preserve"> A number of AEs were identified by the clinical evaluator as of concern however calculations adjusting for duration of exposure and dose intensity were not performed by the clinical evaluator or by the sponsor. Data from the SPARTAN study was reviewed by the Delegate to ascertain whether PI inclusion of these events is warranted.</w:t>
      </w:r>
    </w:p>
    <w:p w:rsidR="00E660F2" w:rsidRPr="006D0025" w:rsidRDefault="00E660F2" w:rsidP="00E660F2">
      <w:r w:rsidRPr="007302CF">
        <w:rPr>
          <w:i/>
        </w:rPr>
        <w:t>Suicidal ideation</w:t>
      </w:r>
      <w:r>
        <w:rPr>
          <w:i/>
        </w:rPr>
        <w:t>:</w:t>
      </w:r>
      <w:r>
        <w:t xml:space="preserve"> The Australian clinical evaluator stated:</w:t>
      </w:r>
    </w:p>
    <w:p w:rsidR="00E660F2" w:rsidRPr="00F052C5" w:rsidRDefault="00E660F2" w:rsidP="00E660F2">
      <w:pPr>
        <w:ind w:left="720"/>
        <w:rPr>
          <w:i/>
        </w:rPr>
      </w:pPr>
      <w:r w:rsidRPr="00F052C5">
        <w:rPr>
          <w:i/>
        </w:rPr>
        <w:t>… suicidal ideation were more common and more severe in the apalutamide arm than placebo and have not been included as an ADR, and should be in both Table 1 of the PI, and the CMI.</w:t>
      </w:r>
    </w:p>
    <w:p w:rsidR="00E660F2" w:rsidRDefault="00E660F2" w:rsidP="00E660F2">
      <w:r>
        <w:t>The RMP evaluator also noted the three cases of suicidal ideation and was concerned that this should be added to the PI.</w:t>
      </w:r>
    </w:p>
    <w:p w:rsidR="00E660F2" w:rsidRDefault="00E660F2" w:rsidP="00E660F2">
      <w:r>
        <w:t>The sponsor responded:</w:t>
      </w:r>
    </w:p>
    <w:p w:rsidR="00E660F2" w:rsidRPr="00F052C5" w:rsidRDefault="00E660F2" w:rsidP="00E660F2">
      <w:pPr>
        <w:ind w:left="720"/>
        <w:rPr>
          <w:i/>
        </w:rPr>
      </w:pPr>
      <w:r w:rsidRPr="00F052C5">
        <w:rPr>
          <w:i/>
        </w:rPr>
        <w:t xml:space="preserve">The </w:t>
      </w:r>
      <w:r>
        <w:rPr>
          <w:i/>
        </w:rPr>
        <w:t>s</w:t>
      </w:r>
      <w:r w:rsidRPr="00F052C5">
        <w:rPr>
          <w:i/>
        </w:rPr>
        <w:t xml:space="preserve">ponsor performed an analysis for evaluation of mood disorders, including suicidal ideation using the SMQs of depression and suicide/self-injury, hostility/aggression and psychosis and psychotic disorders. When adjusted for </w:t>
      </w:r>
      <w:r w:rsidRPr="00F052C5">
        <w:rPr>
          <w:i/>
        </w:rPr>
        <w:lastRenderedPageBreak/>
        <w:t xml:space="preserve">exposure, the incidence of mood disorders was similar between treatment arms (9.8 events/100-PY for apalutamide versus 8.0 events/100-PY for placebo), and does not meet the threshold for consideration as </w:t>
      </w:r>
      <w:r>
        <w:rPr>
          <w:i/>
        </w:rPr>
        <w:t>an ADR (Appendix 1).</w:t>
      </w:r>
    </w:p>
    <w:p w:rsidR="00E660F2" w:rsidRDefault="00E660F2" w:rsidP="00E660F2">
      <w:r>
        <w:t xml:space="preserve">Note: The referenced threshold for consideration as a reaction rather than an event was defined (by the sponsor’s Safety Management Team following their standard company process) as </w:t>
      </w:r>
      <w:r w:rsidRPr="00866E02">
        <w:t xml:space="preserve">an adverse event </w:t>
      </w:r>
      <w:r>
        <w:t>that occurred more frequently</w:t>
      </w:r>
      <w:r w:rsidRPr="00866E02">
        <w:t xml:space="preserve"> </w:t>
      </w:r>
      <w:r>
        <w:t xml:space="preserve">with apalutamide compared to placebo, within the following criteria: an absolute ≥1% </w:t>
      </w:r>
      <w:r w:rsidRPr="00866E02">
        <w:t>increa</w:t>
      </w:r>
      <w:r>
        <w:t xml:space="preserve">sed incidence in the apalutamide arm, and </w:t>
      </w:r>
      <w:r w:rsidRPr="00866E02">
        <w:t>≥5</w:t>
      </w:r>
      <w:r>
        <w:t xml:space="preserve"> events per 100 PY more than placebo.</w:t>
      </w:r>
    </w:p>
    <w:p w:rsidR="00E660F2" w:rsidRDefault="00E660F2" w:rsidP="00E660F2">
      <w:r>
        <w:t xml:space="preserve">The data from the sponsor’s </w:t>
      </w:r>
      <w:r w:rsidRPr="00EF7020">
        <w:t xml:space="preserve">Standardised MedDRA Queries </w:t>
      </w:r>
      <w:r>
        <w:t>(SMQ) based assessment of mood disorder terms was amended to reflect the 91% dose intensity in the apalutamide arm and results were as follows (Table 28). Red text indicates rate per 100 PY was higher in the apalutamide arm.</w:t>
      </w:r>
    </w:p>
    <w:p w:rsidR="00E660F2" w:rsidRDefault="00E660F2" w:rsidP="00E660F2">
      <w:pPr>
        <w:pStyle w:val="TableTitle"/>
      </w:pPr>
      <w:r>
        <w:t>Table 28: Results from SMQ assessment of mood disorder terms</w:t>
      </w:r>
    </w:p>
    <w:tbl>
      <w:tblPr>
        <w:tblStyle w:val="TableTGAblue"/>
        <w:tblW w:w="9322" w:type="dxa"/>
        <w:tblLayout w:type="fixed"/>
        <w:tblLook w:val="04A0" w:firstRow="1" w:lastRow="0" w:firstColumn="1" w:lastColumn="0" w:noHBand="0" w:noVBand="1"/>
      </w:tblPr>
      <w:tblGrid>
        <w:gridCol w:w="2235"/>
        <w:gridCol w:w="992"/>
        <w:gridCol w:w="1559"/>
        <w:gridCol w:w="992"/>
        <w:gridCol w:w="993"/>
        <w:gridCol w:w="1559"/>
        <w:gridCol w:w="992"/>
      </w:tblGrid>
      <w:tr w:rsidR="00E660F2" w:rsidRPr="00756969" w:rsidTr="008F0588">
        <w:trPr>
          <w:cnfStyle w:val="100000000000" w:firstRow="1" w:lastRow="0" w:firstColumn="0" w:lastColumn="0" w:oddVBand="0" w:evenVBand="0" w:oddHBand="0" w:evenHBand="0" w:firstRowFirstColumn="0" w:firstRowLastColumn="0" w:lastRowFirstColumn="0" w:lastRowLastColumn="0"/>
          <w:trHeight w:val="227"/>
        </w:trPr>
        <w:tc>
          <w:tcPr>
            <w:tcW w:w="2235" w:type="dxa"/>
            <w:noWrap/>
          </w:tcPr>
          <w:p w:rsidR="00E660F2" w:rsidRPr="00EF7020" w:rsidRDefault="00E660F2" w:rsidP="008F0588">
            <w:pPr>
              <w:rPr>
                <w:sz w:val="18"/>
                <w:szCs w:val="18"/>
              </w:rPr>
            </w:pPr>
          </w:p>
        </w:tc>
        <w:tc>
          <w:tcPr>
            <w:tcW w:w="3543" w:type="dxa"/>
            <w:gridSpan w:val="3"/>
          </w:tcPr>
          <w:p w:rsidR="00E660F2" w:rsidRPr="00EF7020" w:rsidRDefault="00E660F2" w:rsidP="008F0588">
            <w:pPr>
              <w:rPr>
                <w:iCs/>
                <w:sz w:val="18"/>
                <w:szCs w:val="18"/>
              </w:rPr>
            </w:pPr>
            <w:r w:rsidRPr="00EF7020">
              <w:rPr>
                <w:iCs/>
                <w:sz w:val="18"/>
                <w:szCs w:val="18"/>
              </w:rPr>
              <w:t>Apalutamide</w:t>
            </w:r>
          </w:p>
        </w:tc>
        <w:tc>
          <w:tcPr>
            <w:tcW w:w="3544" w:type="dxa"/>
            <w:gridSpan w:val="3"/>
          </w:tcPr>
          <w:p w:rsidR="00E660F2" w:rsidRPr="00EF7020" w:rsidRDefault="00E660F2" w:rsidP="008F0588">
            <w:pPr>
              <w:rPr>
                <w:iCs/>
                <w:sz w:val="18"/>
                <w:szCs w:val="18"/>
              </w:rPr>
            </w:pPr>
            <w:r w:rsidRPr="00EF7020">
              <w:rPr>
                <w:iCs/>
                <w:sz w:val="18"/>
                <w:szCs w:val="18"/>
              </w:rPr>
              <w:t>Placebo</w:t>
            </w:r>
          </w:p>
        </w:tc>
      </w:tr>
      <w:tr w:rsidR="00E660F2" w:rsidRPr="00756969" w:rsidTr="008F0588">
        <w:trPr>
          <w:trHeight w:val="227"/>
        </w:trPr>
        <w:tc>
          <w:tcPr>
            <w:tcW w:w="2235" w:type="dxa"/>
            <w:noWrap/>
            <w:hideMark/>
          </w:tcPr>
          <w:p w:rsidR="00E660F2" w:rsidRPr="00EF7020" w:rsidRDefault="00E660F2" w:rsidP="008F0588">
            <w:pPr>
              <w:rPr>
                <w:sz w:val="18"/>
                <w:szCs w:val="18"/>
              </w:rPr>
            </w:pPr>
          </w:p>
        </w:tc>
        <w:tc>
          <w:tcPr>
            <w:tcW w:w="992" w:type="dxa"/>
          </w:tcPr>
          <w:p w:rsidR="00E660F2" w:rsidRPr="00EF7020" w:rsidRDefault="00E660F2" w:rsidP="008F0588">
            <w:pPr>
              <w:rPr>
                <w:i/>
                <w:iCs/>
                <w:sz w:val="18"/>
                <w:szCs w:val="18"/>
              </w:rPr>
            </w:pPr>
            <w:r w:rsidRPr="00EF7020">
              <w:rPr>
                <w:i/>
                <w:iCs/>
                <w:sz w:val="18"/>
                <w:szCs w:val="18"/>
              </w:rPr>
              <w:t>Cases</w:t>
            </w:r>
          </w:p>
        </w:tc>
        <w:tc>
          <w:tcPr>
            <w:tcW w:w="1559" w:type="dxa"/>
          </w:tcPr>
          <w:p w:rsidR="00E660F2" w:rsidRPr="00EF7020" w:rsidRDefault="00E660F2" w:rsidP="008F0588">
            <w:pPr>
              <w:rPr>
                <w:i/>
                <w:iCs/>
                <w:sz w:val="18"/>
                <w:szCs w:val="18"/>
              </w:rPr>
            </w:pPr>
            <w:r>
              <w:rPr>
                <w:i/>
                <w:iCs/>
                <w:sz w:val="18"/>
                <w:szCs w:val="18"/>
              </w:rPr>
              <w:t>I</w:t>
            </w:r>
            <w:r w:rsidRPr="00EF7020">
              <w:rPr>
                <w:i/>
                <w:iCs/>
                <w:sz w:val="18"/>
                <w:szCs w:val="18"/>
              </w:rPr>
              <w:t>ncidence (unadjusted)</w:t>
            </w:r>
          </w:p>
        </w:tc>
        <w:tc>
          <w:tcPr>
            <w:tcW w:w="992" w:type="dxa"/>
          </w:tcPr>
          <w:p w:rsidR="00E660F2" w:rsidRPr="00EF7020" w:rsidRDefault="00E660F2" w:rsidP="008F0588">
            <w:pPr>
              <w:rPr>
                <w:i/>
                <w:iCs/>
                <w:sz w:val="18"/>
                <w:szCs w:val="18"/>
              </w:rPr>
            </w:pPr>
            <w:r w:rsidRPr="00EF7020">
              <w:rPr>
                <w:i/>
                <w:iCs/>
                <w:sz w:val="18"/>
                <w:szCs w:val="18"/>
              </w:rPr>
              <w:t>Total per 100</w:t>
            </w:r>
            <w:r>
              <w:rPr>
                <w:i/>
                <w:iCs/>
                <w:sz w:val="18"/>
                <w:szCs w:val="18"/>
              </w:rPr>
              <w:t xml:space="preserve"> PY</w:t>
            </w:r>
          </w:p>
        </w:tc>
        <w:tc>
          <w:tcPr>
            <w:tcW w:w="993" w:type="dxa"/>
          </w:tcPr>
          <w:p w:rsidR="00E660F2" w:rsidRPr="00EF7020" w:rsidRDefault="00E660F2" w:rsidP="008F0588">
            <w:pPr>
              <w:rPr>
                <w:i/>
                <w:iCs/>
                <w:sz w:val="18"/>
                <w:szCs w:val="18"/>
              </w:rPr>
            </w:pPr>
            <w:r w:rsidRPr="00EF7020">
              <w:rPr>
                <w:i/>
                <w:iCs/>
                <w:sz w:val="18"/>
                <w:szCs w:val="18"/>
              </w:rPr>
              <w:t>Cases</w:t>
            </w:r>
          </w:p>
        </w:tc>
        <w:tc>
          <w:tcPr>
            <w:tcW w:w="1559" w:type="dxa"/>
          </w:tcPr>
          <w:p w:rsidR="00E660F2" w:rsidRPr="00EF7020" w:rsidRDefault="00E660F2" w:rsidP="008F0588">
            <w:pPr>
              <w:rPr>
                <w:i/>
                <w:iCs/>
                <w:sz w:val="18"/>
                <w:szCs w:val="18"/>
              </w:rPr>
            </w:pPr>
            <w:r>
              <w:rPr>
                <w:i/>
                <w:iCs/>
                <w:sz w:val="18"/>
                <w:szCs w:val="18"/>
              </w:rPr>
              <w:t>I</w:t>
            </w:r>
            <w:r w:rsidRPr="00EF7020">
              <w:rPr>
                <w:i/>
                <w:iCs/>
                <w:sz w:val="18"/>
                <w:szCs w:val="18"/>
              </w:rPr>
              <w:t>ncidence (unadjusted)</w:t>
            </w:r>
          </w:p>
        </w:tc>
        <w:tc>
          <w:tcPr>
            <w:tcW w:w="992" w:type="dxa"/>
            <w:noWrap/>
            <w:hideMark/>
          </w:tcPr>
          <w:p w:rsidR="00E660F2" w:rsidRPr="00EF7020" w:rsidRDefault="00E660F2" w:rsidP="008F0588">
            <w:pPr>
              <w:rPr>
                <w:i/>
                <w:iCs/>
                <w:sz w:val="18"/>
                <w:szCs w:val="18"/>
              </w:rPr>
            </w:pPr>
            <w:r w:rsidRPr="00EF7020">
              <w:rPr>
                <w:i/>
                <w:iCs/>
                <w:sz w:val="18"/>
                <w:szCs w:val="18"/>
              </w:rPr>
              <w:t>Total per 100</w:t>
            </w:r>
            <w:r>
              <w:rPr>
                <w:i/>
                <w:iCs/>
                <w:sz w:val="18"/>
                <w:szCs w:val="18"/>
              </w:rPr>
              <w:t xml:space="preserve"> PY</w:t>
            </w:r>
          </w:p>
        </w:tc>
      </w:tr>
      <w:tr w:rsidR="00E660F2" w:rsidRPr="00756969" w:rsidTr="008F0588">
        <w:trPr>
          <w:trHeight w:val="227"/>
        </w:trPr>
        <w:tc>
          <w:tcPr>
            <w:tcW w:w="2235" w:type="dxa"/>
            <w:noWrap/>
            <w:hideMark/>
          </w:tcPr>
          <w:p w:rsidR="00E660F2" w:rsidRPr="00EF7020" w:rsidRDefault="00E660F2" w:rsidP="008F0588">
            <w:pPr>
              <w:rPr>
                <w:b/>
                <w:bCs/>
                <w:color w:val="FF0000"/>
                <w:sz w:val="18"/>
                <w:szCs w:val="18"/>
              </w:rPr>
            </w:pPr>
            <w:r w:rsidRPr="00EF7020">
              <w:rPr>
                <w:b/>
                <w:bCs/>
                <w:color w:val="FF0000"/>
                <w:sz w:val="18"/>
                <w:szCs w:val="18"/>
                <w:lang w:val="en-US"/>
              </w:rPr>
              <w:t>Number of distinct TEAEs of mood disorder</w:t>
            </w:r>
          </w:p>
        </w:tc>
        <w:tc>
          <w:tcPr>
            <w:tcW w:w="992" w:type="dxa"/>
          </w:tcPr>
          <w:p w:rsidR="00E660F2" w:rsidRPr="00EF7020" w:rsidRDefault="00E660F2" w:rsidP="008F0588">
            <w:pPr>
              <w:rPr>
                <w:rFonts w:eastAsiaTheme="minorHAnsi"/>
                <w:bCs/>
                <w:sz w:val="18"/>
                <w:szCs w:val="18"/>
              </w:rPr>
            </w:pPr>
            <w:r w:rsidRPr="00EF7020">
              <w:rPr>
                <w:rFonts w:eastAsiaTheme="minorHAnsi"/>
                <w:bCs/>
                <w:sz w:val="18"/>
                <w:szCs w:val="18"/>
              </w:rPr>
              <w:t>114</w:t>
            </w:r>
          </w:p>
        </w:tc>
        <w:tc>
          <w:tcPr>
            <w:tcW w:w="1559" w:type="dxa"/>
          </w:tcPr>
          <w:p w:rsidR="00E660F2" w:rsidRPr="00EF7020" w:rsidRDefault="00E660F2" w:rsidP="008F0588">
            <w:pPr>
              <w:rPr>
                <w:sz w:val="18"/>
                <w:szCs w:val="18"/>
              </w:rPr>
            </w:pPr>
            <w:r w:rsidRPr="00EF7020">
              <w:rPr>
                <w:sz w:val="18"/>
                <w:szCs w:val="18"/>
              </w:rPr>
              <w:t>14.2</w:t>
            </w:r>
          </w:p>
        </w:tc>
        <w:tc>
          <w:tcPr>
            <w:tcW w:w="992" w:type="dxa"/>
          </w:tcPr>
          <w:p w:rsidR="00E660F2" w:rsidRPr="00EF7020" w:rsidRDefault="00E660F2" w:rsidP="008F0588">
            <w:pPr>
              <w:rPr>
                <w:bCs/>
                <w:sz w:val="18"/>
                <w:szCs w:val="18"/>
              </w:rPr>
            </w:pPr>
            <w:r w:rsidRPr="00EF7020">
              <w:rPr>
                <w:bCs/>
                <w:sz w:val="18"/>
                <w:szCs w:val="18"/>
              </w:rPr>
              <w:t>10.8</w:t>
            </w:r>
          </w:p>
        </w:tc>
        <w:tc>
          <w:tcPr>
            <w:tcW w:w="993" w:type="dxa"/>
          </w:tcPr>
          <w:p w:rsidR="00E660F2" w:rsidRPr="00EF7020" w:rsidRDefault="00E660F2" w:rsidP="008F0588">
            <w:pPr>
              <w:rPr>
                <w:rFonts w:eastAsiaTheme="minorHAnsi"/>
                <w:bCs/>
                <w:sz w:val="18"/>
                <w:szCs w:val="18"/>
              </w:rPr>
            </w:pPr>
            <w:r w:rsidRPr="00EF7020">
              <w:rPr>
                <w:rFonts w:eastAsiaTheme="minorHAnsi"/>
                <w:bCs/>
                <w:sz w:val="18"/>
                <w:szCs w:val="18"/>
              </w:rPr>
              <w:t>33</w:t>
            </w:r>
          </w:p>
        </w:tc>
        <w:tc>
          <w:tcPr>
            <w:tcW w:w="1559" w:type="dxa"/>
          </w:tcPr>
          <w:p w:rsidR="00E660F2" w:rsidRPr="00EF7020" w:rsidRDefault="00E660F2" w:rsidP="008F0588">
            <w:pPr>
              <w:rPr>
                <w:sz w:val="18"/>
                <w:szCs w:val="18"/>
              </w:rPr>
            </w:pPr>
            <w:r w:rsidRPr="00EF7020">
              <w:rPr>
                <w:sz w:val="18"/>
                <w:szCs w:val="18"/>
              </w:rPr>
              <w:t>8.3</w:t>
            </w:r>
          </w:p>
        </w:tc>
        <w:tc>
          <w:tcPr>
            <w:tcW w:w="992" w:type="dxa"/>
            <w:noWrap/>
            <w:hideMark/>
          </w:tcPr>
          <w:p w:rsidR="00E660F2" w:rsidRPr="00EF7020" w:rsidRDefault="00E660F2" w:rsidP="008F0588">
            <w:pPr>
              <w:rPr>
                <w:bCs/>
                <w:sz w:val="18"/>
                <w:szCs w:val="18"/>
              </w:rPr>
            </w:pPr>
            <w:r w:rsidRPr="00EF7020">
              <w:rPr>
                <w:bCs/>
                <w:sz w:val="18"/>
                <w:szCs w:val="18"/>
              </w:rPr>
              <w:t>8.0</w:t>
            </w:r>
          </w:p>
        </w:tc>
      </w:tr>
      <w:tr w:rsidR="00E660F2" w:rsidRPr="00756969" w:rsidTr="008F0588">
        <w:trPr>
          <w:trHeight w:val="227"/>
        </w:trPr>
        <w:tc>
          <w:tcPr>
            <w:tcW w:w="2235" w:type="dxa"/>
            <w:noWrap/>
            <w:hideMark/>
          </w:tcPr>
          <w:p w:rsidR="00E660F2" w:rsidRPr="00EF7020" w:rsidRDefault="00E660F2" w:rsidP="008F0588">
            <w:pPr>
              <w:rPr>
                <w:b/>
                <w:color w:val="FF0000"/>
                <w:sz w:val="18"/>
                <w:szCs w:val="18"/>
              </w:rPr>
            </w:pPr>
            <w:r w:rsidRPr="00EF7020">
              <w:rPr>
                <w:b/>
                <w:color w:val="FF0000"/>
                <w:sz w:val="18"/>
                <w:szCs w:val="18"/>
                <w:lang w:val="en-US"/>
              </w:rPr>
              <w:t>Depression</w:t>
            </w:r>
          </w:p>
        </w:tc>
        <w:tc>
          <w:tcPr>
            <w:tcW w:w="992" w:type="dxa"/>
          </w:tcPr>
          <w:p w:rsidR="00E660F2" w:rsidRPr="00EF7020" w:rsidRDefault="00E660F2" w:rsidP="008F0588">
            <w:pPr>
              <w:rPr>
                <w:rFonts w:eastAsiaTheme="minorHAnsi"/>
                <w:sz w:val="18"/>
                <w:szCs w:val="18"/>
              </w:rPr>
            </w:pPr>
            <w:r w:rsidRPr="00EF7020">
              <w:rPr>
                <w:rFonts w:eastAsiaTheme="minorHAnsi"/>
                <w:sz w:val="18"/>
                <w:szCs w:val="18"/>
              </w:rPr>
              <w:t>31</w:t>
            </w:r>
          </w:p>
        </w:tc>
        <w:tc>
          <w:tcPr>
            <w:tcW w:w="1559" w:type="dxa"/>
          </w:tcPr>
          <w:p w:rsidR="00E660F2" w:rsidRPr="00EF7020" w:rsidRDefault="00E660F2" w:rsidP="008F0588">
            <w:pPr>
              <w:rPr>
                <w:sz w:val="18"/>
                <w:szCs w:val="18"/>
              </w:rPr>
            </w:pPr>
            <w:r w:rsidRPr="00EF7020">
              <w:rPr>
                <w:sz w:val="18"/>
                <w:szCs w:val="18"/>
              </w:rPr>
              <w:t>3.9</w:t>
            </w:r>
          </w:p>
        </w:tc>
        <w:tc>
          <w:tcPr>
            <w:tcW w:w="992" w:type="dxa"/>
          </w:tcPr>
          <w:p w:rsidR="00E660F2" w:rsidRPr="00EF7020" w:rsidRDefault="00E660F2" w:rsidP="008F0588">
            <w:pPr>
              <w:rPr>
                <w:sz w:val="18"/>
                <w:szCs w:val="18"/>
              </w:rPr>
            </w:pPr>
            <w:r w:rsidRPr="00EF7020">
              <w:rPr>
                <w:sz w:val="18"/>
                <w:szCs w:val="18"/>
              </w:rPr>
              <w:t>2.9</w:t>
            </w:r>
          </w:p>
        </w:tc>
        <w:tc>
          <w:tcPr>
            <w:tcW w:w="993" w:type="dxa"/>
          </w:tcPr>
          <w:p w:rsidR="00E660F2" w:rsidRPr="00EF7020" w:rsidRDefault="00E660F2" w:rsidP="008F0588">
            <w:pPr>
              <w:rPr>
                <w:rFonts w:eastAsiaTheme="minorHAnsi"/>
                <w:sz w:val="18"/>
                <w:szCs w:val="18"/>
              </w:rPr>
            </w:pPr>
            <w:r w:rsidRPr="00EF7020">
              <w:rPr>
                <w:rFonts w:eastAsiaTheme="minorHAnsi"/>
                <w:sz w:val="18"/>
                <w:szCs w:val="18"/>
              </w:rPr>
              <w:t>9</w:t>
            </w:r>
          </w:p>
        </w:tc>
        <w:tc>
          <w:tcPr>
            <w:tcW w:w="1559" w:type="dxa"/>
          </w:tcPr>
          <w:p w:rsidR="00E660F2" w:rsidRPr="00EF7020" w:rsidRDefault="00E660F2" w:rsidP="008F0588">
            <w:pPr>
              <w:rPr>
                <w:sz w:val="18"/>
                <w:szCs w:val="18"/>
              </w:rPr>
            </w:pPr>
            <w:r w:rsidRPr="00EF7020">
              <w:rPr>
                <w:sz w:val="18"/>
                <w:szCs w:val="18"/>
              </w:rPr>
              <w:t>2.3</w:t>
            </w:r>
          </w:p>
        </w:tc>
        <w:tc>
          <w:tcPr>
            <w:tcW w:w="992" w:type="dxa"/>
            <w:noWrap/>
            <w:hideMark/>
          </w:tcPr>
          <w:p w:rsidR="00E660F2" w:rsidRPr="00EF7020" w:rsidRDefault="00E660F2" w:rsidP="008F0588">
            <w:pPr>
              <w:rPr>
                <w:sz w:val="18"/>
                <w:szCs w:val="18"/>
              </w:rPr>
            </w:pPr>
            <w:r w:rsidRPr="00EF7020">
              <w:rPr>
                <w:sz w:val="18"/>
                <w:szCs w:val="18"/>
              </w:rPr>
              <w:t>2.2</w:t>
            </w:r>
          </w:p>
        </w:tc>
      </w:tr>
      <w:tr w:rsidR="00E660F2" w:rsidRPr="00756969" w:rsidTr="008F0588">
        <w:trPr>
          <w:trHeight w:val="227"/>
        </w:trPr>
        <w:tc>
          <w:tcPr>
            <w:tcW w:w="2235" w:type="dxa"/>
            <w:noWrap/>
            <w:hideMark/>
          </w:tcPr>
          <w:p w:rsidR="00E660F2" w:rsidRPr="00EF7020" w:rsidRDefault="00E660F2" w:rsidP="008F0588">
            <w:pPr>
              <w:rPr>
                <w:b/>
                <w:sz w:val="18"/>
                <w:szCs w:val="18"/>
              </w:rPr>
            </w:pPr>
            <w:r w:rsidRPr="00EF7020">
              <w:rPr>
                <w:b/>
                <w:sz w:val="18"/>
                <w:szCs w:val="18"/>
                <w:lang w:val="en-US"/>
              </w:rPr>
              <w:t>Memory impairment</w:t>
            </w:r>
          </w:p>
        </w:tc>
        <w:tc>
          <w:tcPr>
            <w:tcW w:w="992" w:type="dxa"/>
          </w:tcPr>
          <w:p w:rsidR="00E660F2" w:rsidRPr="00EF7020" w:rsidRDefault="00E660F2" w:rsidP="008F0588">
            <w:pPr>
              <w:rPr>
                <w:rFonts w:eastAsiaTheme="minorHAnsi"/>
                <w:sz w:val="18"/>
                <w:szCs w:val="18"/>
              </w:rPr>
            </w:pPr>
            <w:r w:rsidRPr="00EF7020">
              <w:rPr>
                <w:rFonts w:eastAsiaTheme="minorHAnsi"/>
                <w:sz w:val="18"/>
                <w:szCs w:val="18"/>
              </w:rPr>
              <w:t>13</w:t>
            </w:r>
          </w:p>
        </w:tc>
        <w:tc>
          <w:tcPr>
            <w:tcW w:w="1559" w:type="dxa"/>
          </w:tcPr>
          <w:p w:rsidR="00E660F2" w:rsidRPr="00EF7020" w:rsidRDefault="00E660F2" w:rsidP="008F0588">
            <w:pPr>
              <w:rPr>
                <w:sz w:val="18"/>
                <w:szCs w:val="18"/>
              </w:rPr>
            </w:pPr>
            <w:r w:rsidRPr="00EF7020">
              <w:rPr>
                <w:sz w:val="18"/>
                <w:szCs w:val="18"/>
              </w:rPr>
              <w:t>1.6</w:t>
            </w:r>
          </w:p>
        </w:tc>
        <w:tc>
          <w:tcPr>
            <w:tcW w:w="992" w:type="dxa"/>
          </w:tcPr>
          <w:p w:rsidR="00E660F2" w:rsidRPr="00EF7020" w:rsidRDefault="00E660F2" w:rsidP="008F0588">
            <w:pPr>
              <w:rPr>
                <w:sz w:val="18"/>
                <w:szCs w:val="18"/>
              </w:rPr>
            </w:pPr>
            <w:r w:rsidRPr="00EF7020">
              <w:rPr>
                <w:sz w:val="18"/>
                <w:szCs w:val="18"/>
              </w:rPr>
              <w:t>1.2</w:t>
            </w:r>
          </w:p>
        </w:tc>
        <w:tc>
          <w:tcPr>
            <w:tcW w:w="993" w:type="dxa"/>
          </w:tcPr>
          <w:p w:rsidR="00E660F2" w:rsidRPr="00EF7020" w:rsidRDefault="00E660F2" w:rsidP="008F0588">
            <w:pPr>
              <w:rPr>
                <w:rFonts w:eastAsiaTheme="minorHAnsi"/>
                <w:sz w:val="18"/>
                <w:szCs w:val="18"/>
              </w:rPr>
            </w:pPr>
            <w:r w:rsidRPr="00EF7020">
              <w:rPr>
                <w:rFonts w:eastAsiaTheme="minorHAnsi"/>
                <w:sz w:val="18"/>
                <w:szCs w:val="18"/>
              </w:rPr>
              <w:t>6</w:t>
            </w:r>
          </w:p>
        </w:tc>
        <w:tc>
          <w:tcPr>
            <w:tcW w:w="1559" w:type="dxa"/>
          </w:tcPr>
          <w:p w:rsidR="00E660F2" w:rsidRPr="00EF7020" w:rsidRDefault="00E660F2" w:rsidP="008F0588">
            <w:pPr>
              <w:rPr>
                <w:sz w:val="18"/>
                <w:szCs w:val="18"/>
              </w:rPr>
            </w:pPr>
            <w:r w:rsidRPr="00EF7020">
              <w:rPr>
                <w:sz w:val="18"/>
                <w:szCs w:val="18"/>
              </w:rPr>
              <w:t>1.5</w:t>
            </w:r>
          </w:p>
        </w:tc>
        <w:tc>
          <w:tcPr>
            <w:tcW w:w="992" w:type="dxa"/>
            <w:noWrap/>
            <w:hideMark/>
          </w:tcPr>
          <w:p w:rsidR="00E660F2" w:rsidRPr="00EF7020" w:rsidRDefault="00E660F2" w:rsidP="008F0588">
            <w:pPr>
              <w:rPr>
                <w:sz w:val="18"/>
                <w:szCs w:val="18"/>
              </w:rPr>
            </w:pPr>
            <w:r w:rsidRPr="00EF7020">
              <w:rPr>
                <w:sz w:val="18"/>
                <w:szCs w:val="18"/>
              </w:rPr>
              <w:t>1.5</w:t>
            </w:r>
          </w:p>
        </w:tc>
      </w:tr>
      <w:tr w:rsidR="00E660F2" w:rsidRPr="00756969" w:rsidTr="008F0588">
        <w:trPr>
          <w:trHeight w:val="227"/>
        </w:trPr>
        <w:tc>
          <w:tcPr>
            <w:tcW w:w="2235" w:type="dxa"/>
            <w:noWrap/>
            <w:hideMark/>
          </w:tcPr>
          <w:p w:rsidR="00E660F2" w:rsidRPr="00EF7020" w:rsidRDefault="00E660F2" w:rsidP="008F0588">
            <w:pPr>
              <w:rPr>
                <w:b/>
                <w:sz w:val="18"/>
                <w:szCs w:val="18"/>
              </w:rPr>
            </w:pPr>
            <w:r w:rsidRPr="00EF7020">
              <w:rPr>
                <w:b/>
                <w:sz w:val="18"/>
                <w:szCs w:val="18"/>
                <w:lang w:val="en-US"/>
              </w:rPr>
              <w:t>Depressed mood</w:t>
            </w:r>
          </w:p>
        </w:tc>
        <w:tc>
          <w:tcPr>
            <w:tcW w:w="992" w:type="dxa"/>
          </w:tcPr>
          <w:p w:rsidR="00E660F2" w:rsidRPr="00EF7020" w:rsidRDefault="00E660F2" w:rsidP="008F0588">
            <w:pPr>
              <w:rPr>
                <w:rFonts w:eastAsiaTheme="minorHAnsi"/>
                <w:sz w:val="18"/>
                <w:szCs w:val="18"/>
              </w:rPr>
            </w:pPr>
            <w:r w:rsidRPr="00EF7020">
              <w:rPr>
                <w:rFonts w:eastAsiaTheme="minorHAnsi"/>
                <w:sz w:val="18"/>
                <w:szCs w:val="18"/>
              </w:rPr>
              <w:t>11</w:t>
            </w:r>
          </w:p>
        </w:tc>
        <w:tc>
          <w:tcPr>
            <w:tcW w:w="1559" w:type="dxa"/>
          </w:tcPr>
          <w:p w:rsidR="00E660F2" w:rsidRPr="00EF7020" w:rsidRDefault="00E660F2" w:rsidP="008F0588">
            <w:pPr>
              <w:rPr>
                <w:sz w:val="18"/>
                <w:szCs w:val="18"/>
              </w:rPr>
            </w:pPr>
            <w:r w:rsidRPr="00EF7020">
              <w:rPr>
                <w:sz w:val="18"/>
                <w:szCs w:val="18"/>
              </w:rPr>
              <w:t>1.4</w:t>
            </w:r>
          </w:p>
        </w:tc>
        <w:tc>
          <w:tcPr>
            <w:tcW w:w="992" w:type="dxa"/>
          </w:tcPr>
          <w:p w:rsidR="00E660F2" w:rsidRPr="00EF7020" w:rsidRDefault="00E660F2" w:rsidP="008F0588">
            <w:pPr>
              <w:rPr>
                <w:sz w:val="18"/>
                <w:szCs w:val="18"/>
              </w:rPr>
            </w:pPr>
            <w:r w:rsidRPr="00EF7020">
              <w:rPr>
                <w:sz w:val="18"/>
                <w:szCs w:val="18"/>
              </w:rPr>
              <w:t>1.0</w:t>
            </w:r>
          </w:p>
        </w:tc>
        <w:tc>
          <w:tcPr>
            <w:tcW w:w="993" w:type="dxa"/>
          </w:tcPr>
          <w:p w:rsidR="00E660F2" w:rsidRPr="00EF7020" w:rsidRDefault="00E660F2" w:rsidP="008F0588">
            <w:pPr>
              <w:rPr>
                <w:rFonts w:eastAsiaTheme="minorHAnsi"/>
                <w:sz w:val="18"/>
                <w:szCs w:val="18"/>
              </w:rPr>
            </w:pPr>
            <w:r w:rsidRPr="00EF7020">
              <w:rPr>
                <w:rFonts w:eastAsiaTheme="minorHAnsi"/>
                <w:sz w:val="18"/>
                <w:szCs w:val="18"/>
              </w:rPr>
              <w:t>5</w:t>
            </w:r>
          </w:p>
        </w:tc>
        <w:tc>
          <w:tcPr>
            <w:tcW w:w="1559" w:type="dxa"/>
          </w:tcPr>
          <w:p w:rsidR="00E660F2" w:rsidRPr="00EF7020" w:rsidRDefault="00E660F2" w:rsidP="008F0588">
            <w:pPr>
              <w:rPr>
                <w:sz w:val="18"/>
                <w:szCs w:val="18"/>
              </w:rPr>
            </w:pPr>
            <w:r w:rsidRPr="00EF7020">
              <w:rPr>
                <w:sz w:val="18"/>
                <w:szCs w:val="18"/>
              </w:rPr>
              <w:t>1.3</w:t>
            </w:r>
          </w:p>
        </w:tc>
        <w:tc>
          <w:tcPr>
            <w:tcW w:w="992" w:type="dxa"/>
            <w:noWrap/>
            <w:hideMark/>
          </w:tcPr>
          <w:p w:rsidR="00E660F2" w:rsidRPr="00EF7020" w:rsidRDefault="00E660F2" w:rsidP="008F0588">
            <w:pPr>
              <w:rPr>
                <w:sz w:val="18"/>
                <w:szCs w:val="18"/>
              </w:rPr>
            </w:pPr>
            <w:r w:rsidRPr="00EF7020">
              <w:rPr>
                <w:sz w:val="18"/>
                <w:szCs w:val="18"/>
              </w:rPr>
              <w:t>1.2</w:t>
            </w:r>
          </w:p>
        </w:tc>
      </w:tr>
      <w:tr w:rsidR="00E660F2" w:rsidRPr="00756969" w:rsidTr="008F0588">
        <w:trPr>
          <w:trHeight w:val="227"/>
        </w:trPr>
        <w:tc>
          <w:tcPr>
            <w:tcW w:w="2235" w:type="dxa"/>
            <w:noWrap/>
            <w:hideMark/>
          </w:tcPr>
          <w:p w:rsidR="00E660F2" w:rsidRPr="00EF7020" w:rsidRDefault="00E660F2" w:rsidP="008F0588">
            <w:pPr>
              <w:rPr>
                <w:b/>
                <w:color w:val="FF0000"/>
                <w:sz w:val="18"/>
                <w:szCs w:val="18"/>
              </w:rPr>
            </w:pPr>
            <w:r w:rsidRPr="00EF7020">
              <w:rPr>
                <w:b/>
                <w:color w:val="FF0000"/>
                <w:sz w:val="18"/>
                <w:szCs w:val="18"/>
                <w:lang w:val="en-US"/>
              </w:rPr>
              <w:t>Laceration</w:t>
            </w:r>
          </w:p>
        </w:tc>
        <w:tc>
          <w:tcPr>
            <w:tcW w:w="992" w:type="dxa"/>
          </w:tcPr>
          <w:p w:rsidR="00E660F2" w:rsidRPr="00EF7020" w:rsidRDefault="00E660F2" w:rsidP="008F0588">
            <w:pPr>
              <w:rPr>
                <w:rFonts w:eastAsiaTheme="minorHAnsi"/>
                <w:sz w:val="18"/>
                <w:szCs w:val="18"/>
              </w:rPr>
            </w:pPr>
            <w:r w:rsidRPr="00EF7020">
              <w:rPr>
                <w:rFonts w:eastAsiaTheme="minorHAnsi"/>
                <w:sz w:val="18"/>
                <w:szCs w:val="18"/>
              </w:rPr>
              <w:t>11</w:t>
            </w:r>
          </w:p>
        </w:tc>
        <w:tc>
          <w:tcPr>
            <w:tcW w:w="1559" w:type="dxa"/>
          </w:tcPr>
          <w:p w:rsidR="00E660F2" w:rsidRPr="00EF7020" w:rsidRDefault="00E660F2" w:rsidP="008F0588">
            <w:pPr>
              <w:rPr>
                <w:sz w:val="18"/>
                <w:szCs w:val="18"/>
              </w:rPr>
            </w:pPr>
            <w:r w:rsidRPr="00EF7020">
              <w:rPr>
                <w:sz w:val="18"/>
                <w:szCs w:val="18"/>
              </w:rPr>
              <w:t>1.4</w:t>
            </w:r>
          </w:p>
        </w:tc>
        <w:tc>
          <w:tcPr>
            <w:tcW w:w="992" w:type="dxa"/>
          </w:tcPr>
          <w:p w:rsidR="00E660F2" w:rsidRPr="00EF7020" w:rsidRDefault="00E660F2" w:rsidP="008F0588">
            <w:pPr>
              <w:rPr>
                <w:sz w:val="18"/>
                <w:szCs w:val="18"/>
              </w:rPr>
            </w:pPr>
            <w:r w:rsidRPr="00EF7020">
              <w:rPr>
                <w:sz w:val="18"/>
                <w:szCs w:val="18"/>
              </w:rPr>
              <w:t>1.0</w:t>
            </w:r>
          </w:p>
        </w:tc>
        <w:tc>
          <w:tcPr>
            <w:tcW w:w="993" w:type="dxa"/>
          </w:tcPr>
          <w:p w:rsidR="00E660F2" w:rsidRPr="00EF7020" w:rsidRDefault="00E660F2" w:rsidP="008F0588">
            <w:pPr>
              <w:rPr>
                <w:rFonts w:eastAsiaTheme="minorHAnsi"/>
                <w:sz w:val="18"/>
                <w:szCs w:val="18"/>
              </w:rPr>
            </w:pPr>
            <w:r w:rsidRPr="00EF7020">
              <w:rPr>
                <w:rFonts w:eastAsiaTheme="minorHAnsi"/>
                <w:sz w:val="18"/>
                <w:szCs w:val="18"/>
              </w:rPr>
              <w:t>4</w:t>
            </w:r>
          </w:p>
        </w:tc>
        <w:tc>
          <w:tcPr>
            <w:tcW w:w="1559" w:type="dxa"/>
          </w:tcPr>
          <w:p w:rsidR="00E660F2" w:rsidRPr="00EF7020" w:rsidRDefault="00E660F2" w:rsidP="008F0588">
            <w:pPr>
              <w:rPr>
                <w:sz w:val="18"/>
                <w:szCs w:val="18"/>
              </w:rPr>
            </w:pPr>
            <w:r w:rsidRPr="00EF7020">
              <w:rPr>
                <w:sz w:val="18"/>
                <w:szCs w:val="18"/>
              </w:rPr>
              <w:t>1.0</w:t>
            </w:r>
          </w:p>
        </w:tc>
        <w:tc>
          <w:tcPr>
            <w:tcW w:w="992" w:type="dxa"/>
            <w:noWrap/>
            <w:hideMark/>
          </w:tcPr>
          <w:p w:rsidR="00E660F2" w:rsidRPr="00EF7020" w:rsidRDefault="00E660F2" w:rsidP="008F0588">
            <w:pPr>
              <w:rPr>
                <w:sz w:val="18"/>
                <w:szCs w:val="18"/>
              </w:rPr>
            </w:pPr>
            <w:r w:rsidRPr="00EF7020">
              <w:rPr>
                <w:sz w:val="18"/>
                <w:szCs w:val="18"/>
              </w:rPr>
              <w:t>1.0</w:t>
            </w:r>
          </w:p>
        </w:tc>
      </w:tr>
      <w:tr w:rsidR="00E660F2" w:rsidRPr="00756969" w:rsidTr="008F0588">
        <w:trPr>
          <w:trHeight w:val="227"/>
        </w:trPr>
        <w:tc>
          <w:tcPr>
            <w:tcW w:w="2235" w:type="dxa"/>
            <w:noWrap/>
            <w:hideMark/>
          </w:tcPr>
          <w:p w:rsidR="00E660F2" w:rsidRPr="00EF7020" w:rsidRDefault="00E660F2" w:rsidP="008F0588">
            <w:pPr>
              <w:rPr>
                <w:b/>
                <w:color w:val="FF0000"/>
                <w:sz w:val="18"/>
                <w:szCs w:val="18"/>
              </w:rPr>
            </w:pPr>
            <w:r w:rsidRPr="00EF7020">
              <w:rPr>
                <w:b/>
                <w:color w:val="FF0000"/>
                <w:sz w:val="18"/>
                <w:szCs w:val="18"/>
                <w:lang w:val="en-US"/>
              </w:rPr>
              <w:t>Disturbance in attention</w:t>
            </w:r>
          </w:p>
        </w:tc>
        <w:tc>
          <w:tcPr>
            <w:tcW w:w="992" w:type="dxa"/>
          </w:tcPr>
          <w:p w:rsidR="00E660F2" w:rsidRPr="00EF7020" w:rsidRDefault="00E660F2" w:rsidP="008F0588">
            <w:pPr>
              <w:rPr>
                <w:rFonts w:eastAsiaTheme="minorHAnsi"/>
                <w:sz w:val="18"/>
                <w:szCs w:val="18"/>
              </w:rPr>
            </w:pPr>
            <w:r w:rsidRPr="00EF7020">
              <w:rPr>
                <w:rFonts w:eastAsiaTheme="minorHAnsi"/>
                <w:sz w:val="18"/>
                <w:szCs w:val="18"/>
              </w:rPr>
              <w:t>10</w:t>
            </w:r>
          </w:p>
        </w:tc>
        <w:tc>
          <w:tcPr>
            <w:tcW w:w="1559" w:type="dxa"/>
          </w:tcPr>
          <w:p w:rsidR="00E660F2" w:rsidRPr="00EF7020" w:rsidRDefault="00E660F2" w:rsidP="008F0588">
            <w:pPr>
              <w:rPr>
                <w:sz w:val="18"/>
                <w:szCs w:val="18"/>
              </w:rPr>
            </w:pPr>
            <w:r w:rsidRPr="00EF7020">
              <w:rPr>
                <w:sz w:val="18"/>
                <w:szCs w:val="18"/>
              </w:rPr>
              <w:t>1.2</w:t>
            </w:r>
          </w:p>
        </w:tc>
        <w:tc>
          <w:tcPr>
            <w:tcW w:w="992" w:type="dxa"/>
          </w:tcPr>
          <w:p w:rsidR="00E660F2" w:rsidRPr="00EF7020" w:rsidRDefault="00E660F2" w:rsidP="008F0588">
            <w:pPr>
              <w:rPr>
                <w:sz w:val="18"/>
                <w:szCs w:val="18"/>
              </w:rPr>
            </w:pPr>
            <w:r w:rsidRPr="00EF7020">
              <w:rPr>
                <w:sz w:val="18"/>
                <w:szCs w:val="18"/>
              </w:rPr>
              <w:t>0.9</w:t>
            </w:r>
          </w:p>
        </w:tc>
        <w:tc>
          <w:tcPr>
            <w:tcW w:w="993" w:type="dxa"/>
          </w:tcPr>
          <w:p w:rsidR="00E660F2" w:rsidRPr="00EF7020" w:rsidRDefault="00E660F2" w:rsidP="008F0588">
            <w:pPr>
              <w:rPr>
                <w:rFonts w:eastAsiaTheme="minorHAnsi"/>
                <w:sz w:val="18"/>
                <w:szCs w:val="18"/>
              </w:rPr>
            </w:pPr>
            <w:r w:rsidRPr="00EF7020">
              <w:rPr>
                <w:rFonts w:eastAsiaTheme="minorHAnsi"/>
                <w:sz w:val="18"/>
                <w:szCs w:val="18"/>
              </w:rPr>
              <w:t>1</w:t>
            </w:r>
          </w:p>
        </w:tc>
        <w:tc>
          <w:tcPr>
            <w:tcW w:w="1559" w:type="dxa"/>
          </w:tcPr>
          <w:p w:rsidR="00E660F2" w:rsidRPr="00EF7020" w:rsidRDefault="00E660F2" w:rsidP="008F0588">
            <w:pPr>
              <w:rPr>
                <w:sz w:val="18"/>
                <w:szCs w:val="18"/>
              </w:rPr>
            </w:pPr>
            <w:r w:rsidRPr="00EF7020">
              <w:rPr>
                <w:sz w:val="18"/>
                <w:szCs w:val="18"/>
              </w:rPr>
              <w:t>0.3</w:t>
            </w:r>
          </w:p>
        </w:tc>
        <w:tc>
          <w:tcPr>
            <w:tcW w:w="992" w:type="dxa"/>
            <w:noWrap/>
            <w:hideMark/>
          </w:tcPr>
          <w:p w:rsidR="00E660F2" w:rsidRPr="00EF7020" w:rsidRDefault="00E660F2" w:rsidP="008F0588">
            <w:pPr>
              <w:rPr>
                <w:sz w:val="18"/>
                <w:szCs w:val="18"/>
              </w:rPr>
            </w:pPr>
            <w:r w:rsidRPr="00EF7020">
              <w:rPr>
                <w:sz w:val="18"/>
                <w:szCs w:val="18"/>
              </w:rPr>
              <w:t>0.2</w:t>
            </w:r>
          </w:p>
        </w:tc>
      </w:tr>
      <w:tr w:rsidR="00E660F2" w:rsidRPr="00756969" w:rsidTr="008F0588">
        <w:trPr>
          <w:trHeight w:val="227"/>
        </w:trPr>
        <w:tc>
          <w:tcPr>
            <w:tcW w:w="2235" w:type="dxa"/>
            <w:noWrap/>
            <w:hideMark/>
          </w:tcPr>
          <w:p w:rsidR="00E660F2" w:rsidRPr="00EF7020" w:rsidRDefault="00E660F2" w:rsidP="008F0588">
            <w:pPr>
              <w:rPr>
                <w:b/>
                <w:color w:val="FF0000"/>
                <w:sz w:val="18"/>
                <w:szCs w:val="18"/>
              </w:rPr>
            </w:pPr>
            <w:r w:rsidRPr="00EF7020">
              <w:rPr>
                <w:b/>
                <w:color w:val="FF0000"/>
                <w:sz w:val="18"/>
                <w:szCs w:val="18"/>
                <w:lang w:val="en-US"/>
              </w:rPr>
              <w:t>Agitation</w:t>
            </w:r>
          </w:p>
        </w:tc>
        <w:tc>
          <w:tcPr>
            <w:tcW w:w="992" w:type="dxa"/>
          </w:tcPr>
          <w:p w:rsidR="00E660F2" w:rsidRPr="00EF7020" w:rsidRDefault="00E660F2" w:rsidP="008F0588">
            <w:pPr>
              <w:rPr>
                <w:rFonts w:eastAsiaTheme="minorHAnsi"/>
                <w:sz w:val="18"/>
                <w:szCs w:val="18"/>
              </w:rPr>
            </w:pPr>
            <w:r w:rsidRPr="00EF7020">
              <w:rPr>
                <w:rFonts w:eastAsiaTheme="minorHAnsi"/>
                <w:sz w:val="18"/>
                <w:szCs w:val="18"/>
              </w:rPr>
              <w:t>8</w:t>
            </w:r>
          </w:p>
        </w:tc>
        <w:tc>
          <w:tcPr>
            <w:tcW w:w="1559" w:type="dxa"/>
          </w:tcPr>
          <w:p w:rsidR="00E660F2" w:rsidRPr="00EF7020" w:rsidRDefault="00E660F2" w:rsidP="008F0588">
            <w:pPr>
              <w:rPr>
                <w:sz w:val="18"/>
                <w:szCs w:val="18"/>
              </w:rPr>
            </w:pPr>
            <w:r w:rsidRPr="00EF7020">
              <w:rPr>
                <w:sz w:val="18"/>
                <w:szCs w:val="18"/>
              </w:rPr>
              <w:t>1.0</w:t>
            </w:r>
          </w:p>
        </w:tc>
        <w:tc>
          <w:tcPr>
            <w:tcW w:w="992" w:type="dxa"/>
          </w:tcPr>
          <w:p w:rsidR="00E660F2" w:rsidRPr="00EF7020" w:rsidRDefault="00E660F2" w:rsidP="008F0588">
            <w:pPr>
              <w:rPr>
                <w:sz w:val="18"/>
                <w:szCs w:val="18"/>
              </w:rPr>
            </w:pPr>
            <w:r w:rsidRPr="00EF7020">
              <w:rPr>
                <w:sz w:val="18"/>
                <w:szCs w:val="18"/>
              </w:rPr>
              <w:t>0.8</w:t>
            </w:r>
          </w:p>
        </w:tc>
        <w:tc>
          <w:tcPr>
            <w:tcW w:w="993" w:type="dxa"/>
          </w:tcPr>
          <w:p w:rsidR="00E660F2" w:rsidRPr="00EF7020" w:rsidRDefault="00E660F2" w:rsidP="008F0588">
            <w:pPr>
              <w:rPr>
                <w:rFonts w:eastAsiaTheme="minorHAnsi"/>
                <w:sz w:val="18"/>
                <w:szCs w:val="18"/>
              </w:rPr>
            </w:pPr>
            <w:r w:rsidRPr="00EF7020">
              <w:rPr>
                <w:rFonts w:eastAsiaTheme="minorHAnsi"/>
                <w:sz w:val="18"/>
                <w:szCs w:val="18"/>
              </w:rPr>
              <w:t>2</w:t>
            </w:r>
          </w:p>
        </w:tc>
        <w:tc>
          <w:tcPr>
            <w:tcW w:w="1559" w:type="dxa"/>
          </w:tcPr>
          <w:p w:rsidR="00E660F2" w:rsidRPr="00EF7020" w:rsidRDefault="00E660F2" w:rsidP="008F0588">
            <w:pPr>
              <w:rPr>
                <w:sz w:val="18"/>
                <w:szCs w:val="18"/>
              </w:rPr>
            </w:pPr>
            <w:r w:rsidRPr="00EF7020">
              <w:rPr>
                <w:sz w:val="18"/>
                <w:szCs w:val="18"/>
              </w:rPr>
              <w:t>0.5</w:t>
            </w:r>
          </w:p>
        </w:tc>
        <w:tc>
          <w:tcPr>
            <w:tcW w:w="992" w:type="dxa"/>
            <w:noWrap/>
            <w:hideMark/>
          </w:tcPr>
          <w:p w:rsidR="00E660F2" w:rsidRPr="00EF7020" w:rsidRDefault="00E660F2" w:rsidP="008F0588">
            <w:pPr>
              <w:rPr>
                <w:sz w:val="18"/>
                <w:szCs w:val="18"/>
              </w:rPr>
            </w:pPr>
            <w:r w:rsidRPr="00EF7020">
              <w:rPr>
                <w:sz w:val="18"/>
                <w:szCs w:val="18"/>
              </w:rPr>
              <w:t>0.5</w:t>
            </w:r>
          </w:p>
        </w:tc>
      </w:tr>
      <w:tr w:rsidR="00E660F2" w:rsidRPr="00756969" w:rsidTr="008F0588">
        <w:trPr>
          <w:trHeight w:val="227"/>
        </w:trPr>
        <w:tc>
          <w:tcPr>
            <w:tcW w:w="2235" w:type="dxa"/>
            <w:noWrap/>
            <w:hideMark/>
          </w:tcPr>
          <w:p w:rsidR="00E660F2" w:rsidRPr="00EF7020" w:rsidRDefault="00E660F2" w:rsidP="008F0588">
            <w:pPr>
              <w:rPr>
                <w:b/>
                <w:color w:val="FF0000"/>
                <w:sz w:val="18"/>
                <w:szCs w:val="18"/>
              </w:rPr>
            </w:pPr>
            <w:r w:rsidRPr="00EF7020">
              <w:rPr>
                <w:b/>
                <w:color w:val="FF0000"/>
                <w:sz w:val="18"/>
                <w:szCs w:val="18"/>
                <w:lang w:val="en-US"/>
              </w:rPr>
              <w:t>Irritability</w:t>
            </w:r>
          </w:p>
        </w:tc>
        <w:tc>
          <w:tcPr>
            <w:tcW w:w="992" w:type="dxa"/>
          </w:tcPr>
          <w:p w:rsidR="00E660F2" w:rsidRPr="00EF7020" w:rsidRDefault="00E660F2" w:rsidP="008F0588">
            <w:pPr>
              <w:rPr>
                <w:rFonts w:eastAsiaTheme="minorHAnsi"/>
                <w:sz w:val="18"/>
                <w:szCs w:val="18"/>
              </w:rPr>
            </w:pPr>
            <w:r w:rsidRPr="00EF7020">
              <w:rPr>
                <w:rFonts w:eastAsiaTheme="minorHAnsi"/>
                <w:sz w:val="18"/>
                <w:szCs w:val="18"/>
              </w:rPr>
              <w:t>4</w:t>
            </w:r>
          </w:p>
        </w:tc>
        <w:tc>
          <w:tcPr>
            <w:tcW w:w="1559" w:type="dxa"/>
          </w:tcPr>
          <w:p w:rsidR="00E660F2" w:rsidRPr="00EF7020" w:rsidRDefault="00E660F2" w:rsidP="008F0588">
            <w:pPr>
              <w:rPr>
                <w:sz w:val="18"/>
                <w:szCs w:val="18"/>
              </w:rPr>
            </w:pPr>
            <w:r w:rsidRPr="00EF7020">
              <w:rPr>
                <w:sz w:val="18"/>
                <w:szCs w:val="18"/>
              </w:rPr>
              <w:t>0.5</w:t>
            </w:r>
          </w:p>
        </w:tc>
        <w:tc>
          <w:tcPr>
            <w:tcW w:w="992" w:type="dxa"/>
          </w:tcPr>
          <w:p w:rsidR="00E660F2" w:rsidRPr="00EF7020" w:rsidRDefault="00E660F2" w:rsidP="008F0588">
            <w:pPr>
              <w:rPr>
                <w:sz w:val="18"/>
                <w:szCs w:val="18"/>
              </w:rPr>
            </w:pPr>
            <w:r w:rsidRPr="00EF7020">
              <w:rPr>
                <w:sz w:val="18"/>
                <w:szCs w:val="18"/>
              </w:rPr>
              <w:t>0.4</w:t>
            </w:r>
          </w:p>
        </w:tc>
        <w:tc>
          <w:tcPr>
            <w:tcW w:w="993" w:type="dxa"/>
          </w:tcPr>
          <w:p w:rsidR="00E660F2" w:rsidRPr="00EF7020" w:rsidRDefault="00E660F2" w:rsidP="008F0588">
            <w:pPr>
              <w:rPr>
                <w:rFonts w:eastAsiaTheme="minorHAnsi"/>
                <w:sz w:val="18"/>
                <w:szCs w:val="18"/>
              </w:rPr>
            </w:pPr>
            <w:r w:rsidRPr="00EF7020">
              <w:rPr>
                <w:rFonts w:eastAsiaTheme="minorHAnsi"/>
                <w:sz w:val="18"/>
                <w:szCs w:val="18"/>
              </w:rPr>
              <w:t>1</w:t>
            </w:r>
          </w:p>
        </w:tc>
        <w:tc>
          <w:tcPr>
            <w:tcW w:w="1559" w:type="dxa"/>
          </w:tcPr>
          <w:p w:rsidR="00E660F2" w:rsidRPr="00EF7020" w:rsidRDefault="00E660F2" w:rsidP="008F0588">
            <w:pPr>
              <w:rPr>
                <w:sz w:val="18"/>
                <w:szCs w:val="18"/>
              </w:rPr>
            </w:pPr>
            <w:r w:rsidRPr="00EF7020">
              <w:rPr>
                <w:sz w:val="18"/>
                <w:szCs w:val="18"/>
              </w:rPr>
              <w:t>0.3</w:t>
            </w:r>
          </w:p>
        </w:tc>
        <w:tc>
          <w:tcPr>
            <w:tcW w:w="992" w:type="dxa"/>
            <w:noWrap/>
            <w:hideMark/>
          </w:tcPr>
          <w:p w:rsidR="00E660F2" w:rsidRPr="00EF7020" w:rsidRDefault="00E660F2" w:rsidP="008F0588">
            <w:pPr>
              <w:rPr>
                <w:sz w:val="18"/>
                <w:szCs w:val="18"/>
              </w:rPr>
            </w:pPr>
            <w:r w:rsidRPr="00EF7020">
              <w:rPr>
                <w:sz w:val="18"/>
                <w:szCs w:val="18"/>
              </w:rPr>
              <w:t>0.2</w:t>
            </w:r>
          </w:p>
        </w:tc>
      </w:tr>
      <w:tr w:rsidR="00E660F2" w:rsidRPr="00756969" w:rsidTr="008F0588">
        <w:trPr>
          <w:trHeight w:val="227"/>
        </w:trPr>
        <w:tc>
          <w:tcPr>
            <w:tcW w:w="2235" w:type="dxa"/>
            <w:noWrap/>
            <w:hideMark/>
          </w:tcPr>
          <w:p w:rsidR="00E660F2" w:rsidRPr="00EF7020" w:rsidRDefault="00E660F2" w:rsidP="008F0588">
            <w:pPr>
              <w:rPr>
                <w:b/>
                <w:color w:val="FF0000"/>
                <w:sz w:val="18"/>
                <w:szCs w:val="18"/>
              </w:rPr>
            </w:pPr>
            <w:r w:rsidRPr="00EF7020">
              <w:rPr>
                <w:b/>
                <w:color w:val="FF0000"/>
                <w:sz w:val="18"/>
                <w:szCs w:val="18"/>
                <w:lang w:val="en-US"/>
              </w:rPr>
              <w:t>Mood altered</w:t>
            </w:r>
          </w:p>
        </w:tc>
        <w:tc>
          <w:tcPr>
            <w:tcW w:w="992" w:type="dxa"/>
          </w:tcPr>
          <w:p w:rsidR="00E660F2" w:rsidRPr="00EF7020" w:rsidRDefault="00E660F2" w:rsidP="008F0588">
            <w:pPr>
              <w:rPr>
                <w:rFonts w:eastAsiaTheme="minorHAnsi"/>
                <w:sz w:val="18"/>
                <w:szCs w:val="18"/>
              </w:rPr>
            </w:pPr>
            <w:r w:rsidRPr="00EF7020">
              <w:rPr>
                <w:rFonts w:eastAsiaTheme="minorHAnsi"/>
                <w:sz w:val="18"/>
                <w:szCs w:val="18"/>
              </w:rPr>
              <w:t>4</w:t>
            </w:r>
          </w:p>
        </w:tc>
        <w:tc>
          <w:tcPr>
            <w:tcW w:w="1559" w:type="dxa"/>
          </w:tcPr>
          <w:p w:rsidR="00E660F2" w:rsidRPr="00EF7020" w:rsidRDefault="00E660F2" w:rsidP="008F0588">
            <w:pPr>
              <w:rPr>
                <w:sz w:val="18"/>
                <w:szCs w:val="18"/>
              </w:rPr>
            </w:pPr>
            <w:r w:rsidRPr="00EF7020">
              <w:rPr>
                <w:sz w:val="18"/>
                <w:szCs w:val="18"/>
              </w:rPr>
              <w:t>0.5</w:t>
            </w:r>
          </w:p>
        </w:tc>
        <w:tc>
          <w:tcPr>
            <w:tcW w:w="992" w:type="dxa"/>
          </w:tcPr>
          <w:p w:rsidR="00E660F2" w:rsidRPr="00EF7020" w:rsidRDefault="00E660F2" w:rsidP="008F0588">
            <w:pPr>
              <w:rPr>
                <w:sz w:val="18"/>
                <w:szCs w:val="18"/>
              </w:rPr>
            </w:pPr>
            <w:r w:rsidRPr="00EF7020">
              <w:rPr>
                <w:sz w:val="18"/>
                <w:szCs w:val="18"/>
              </w:rPr>
              <w:t>0.4</w:t>
            </w:r>
          </w:p>
        </w:tc>
        <w:tc>
          <w:tcPr>
            <w:tcW w:w="993" w:type="dxa"/>
          </w:tcPr>
          <w:p w:rsidR="00E660F2" w:rsidRPr="00EF7020" w:rsidRDefault="00E660F2" w:rsidP="008F0588">
            <w:pPr>
              <w:rPr>
                <w:rFonts w:eastAsiaTheme="minorHAnsi"/>
                <w:sz w:val="18"/>
                <w:szCs w:val="18"/>
              </w:rPr>
            </w:pPr>
            <w:r w:rsidRPr="00EF7020">
              <w:rPr>
                <w:rFonts w:eastAsiaTheme="minorHAnsi"/>
                <w:sz w:val="18"/>
                <w:szCs w:val="18"/>
              </w:rPr>
              <w:t>1</w:t>
            </w:r>
          </w:p>
        </w:tc>
        <w:tc>
          <w:tcPr>
            <w:tcW w:w="1559" w:type="dxa"/>
          </w:tcPr>
          <w:p w:rsidR="00E660F2" w:rsidRPr="00EF7020" w:rsidRDefault="00E660F2" w:rsidP="008F0588">
            <w:pPr>
              <w:rPr>
                <w:sz w:val="18"/>
                <w:szCs w:val="18"/>
              </w:rPr>
            </w:pPr>
            <w:r w:rsidRPr="00EF7020">
              <w:rPr>
                <w:sz w:val="18"/>
                <w:szCs w:val="18"/>
              </w:rPr>
              <w:t>0.3</w:t>
            </w:r>
          </w:p>
        </w:tc>
        <w:tc>
          <w:tcPr>
            <w:tcW w:w="992" w:type="dxa"/>
            <w:noWrap/>
            <w:hideMark/>
          </w:tcPr>
          <w:p w:rsidR="00E660F2" w:rsidRPr="00EF7020" w:rsidRDefault="00E660F2" w:rsidP="008F0588">
            <w:pPr>
              <w:rPr>
                <w:sz w:val="18"/>
                <w:szCs w:val="18"/>
              </w:rPr>
            </w:pPr>
            <w:r w:rsidRPr="00EF7020">
              <w:rPr>
                <w:sz w:val="18"/>
                <w:szCs w:val="18"/>
              </w:rPr>
              <w:t>0.2</w:t>
            </w:r>
          </w:p>
        </w:tc>
      </w:tr>
      <w:tr w:rsidR="00E660F2" w:rsidRPr="00756969" w:rsidTr="008F0588">
        <w:trPr>
          <w:trHeight w:val="227"/>
        </w:trPr>
        <w:tc>
          <w:tcPr>
            <w:tcW w:w="2235" w:type="dxa"/>
            <w:noWrap/>
            <w:hideMark/>
          </w:tcPr>
          <w:p w:rsidR="00E660F2" w:rsidRPr="00EF7020" w:rsidRDefault="00E660F2" w:rsidP="008F0588">
            <w:pPr>
              <w:rPr>
                <w:b/>
                <w:color w:val="FF0000"/>
                <w:sz w:val="18"/>
                <w:szCs w:val="18"/>
              </w:rPr>
            </w:pPr>
            <w:r w:rsidRPr="00EF7020">
              <w:rPr>
                <w:b/>
                <w:color w:val="FF0000"/>
                <w:sz w:val="18"/>
                <w:szCs w:val="18"/>
                <w:lang w:val="en-US"/>
              </w:rPr>
              <w:t>Apathy</w:t>
            </w:r>
          </w:p>
        </w:tc>
        <w:tc>
          <w:tcPr>
            <w:tcW w:w="992" w:type="dxa"/>
          </w:tcPr>
          <w:p w:rsidR="00E660F2" w:rsidRPr="00EF7020" w:rsidRDefault="00E660F2" w:rsidP="008F0588">
            <w:pPr>
              <w:rPr>
                <w:rFonts w:eastAsiaTheme="minorHAnsi"/>
                <w:sz w:val="18"/>
                <w:szCs w:val="18"/>
              </w:rPr>
            </w:pPr>
            <w:r w:rsidRPr="00EF7020">
              <w:rPr>
                <w:rFonts w:eastAsiaTheme="minorHAnsi"/>
                <w:sz w:val="18"/>
                <w:szCs w:val="18"/>
              </w:rPr>
              <w:t>3</w:t>
            </w:r>
          </w:p>
        </w:tc>
        <w:tc>
          <w:tcPr>
            <w:tcW w:w="1559" w:type="dxa"/>
          </w:tcPr>
          <w:p w:rsidR="00E660F2" w:rsidRPr="00EF7020" w:rsidRDefault="00E660F2" w:rsidP="008F0588">
            <w:pPr>
              <w:rPr>
                <w:sz w:val="18"/>
                <w:szCs w:val="18"/>
              </w:rPr>
            </w:pPr>
            <w:r w:rsidRPr="00EF7020">
              <w:rPr>
                <w:sz w:val="18"/>
                <w:szCs w:val="18"/>
              </w:rPr>
              <w:t>0.4</w:t>
            </w:r>
          </w:p>
        </w:tc>
        <w:tc>
          <w:tcPr>
            <w:tcW w:w="992" w:type="dxa"/>
          </w:tcPr>
          <w:p w:rsidR="00E660F2" w:rsidRPr="00EF7020" w:rsidRDefault="00E660F2" w:rsidP="008F0588">
            <w:pPr>
              <w:rPr>
                <w:sz w:val="18"/>
                <w:szCs w:val="18"/>
              </w:rPr>
            </w:pPr>
            <w:r w:rsidRPr="00EF7020">
              <w:rPr>
                <w:sz w:val="18"/>
                <w:szCs w:val="18"/>
              </w:rPr>
              <w:t>0.3</w:t>
            </w:r>
          </w:p>
        </w:tc>
        <w:tc>
          <w:tcPr>
            <w:tcW w:w="993" w:type="dxa"/>
          </w:tcPr>
          <w:p w:rsidR="00E660F2" w:rsidRPr="00EF7020" w:rsidRDefault="00E660F2" w:rsidP="008F0588">
            <w:pPr>
              <w:rPr>
                <w:rFonts w:eastAsiaTheme="minorHAnsi"/>
                <w:sz w:val="18"/>
                <w:szCs w:val="18"/>
              </w:rPr>
            </w:pPr>
            <w:r w:rsidRPr="00EF7020">
              <w:rPr>
                <w:rFonts w:eastAsiaTheme="minorHAnsi"/>
                <w:sz w:val="18"/>
                <w:szCs w:val="18"/>
              </w:rPr>
              <w:t>1</w:t>
            </w:r>
          </w:p>
        </w:tc>
        <w:tc>
          <w:tcPr>
            <w:tcW w:w="1559" w:type="dxa"/>
          </w:tcPr>
          <w:p w:rsidR="00E660F2" w:rsidRPr="00EF7020" w:rsidRDefault="00E660F2" w:rsidP="008F0588">
            <w:pPr>
              <w:rPr>
                <w:sz w:val="18"/>
                <w:szCs w:val="18"/>
              </w:rPr>
            </w:pPr>
            <w:r w:rsidRPr="00EF7020">
              <w:rPr>
                <w:sz w:val="18"/>
                <w:szCs w:val="18"/>
              </w:rPr>
              <w:t>0.3</w:t>
            </w:r>
          </w:p>
        </w:tc>
        <w:tc>
          <w:tcPr>
            <w:tcW w:w="992" w:type="dxa"/>
            <w:noWrap/>
            <w:hideMark/>
          </w:tcPr>
          <w:p w:rsidR="00E660F2" w:rsidRPr="00EF7020" w:rsidRDefault="00E660F2" w:rsidP="008F0588">
            <w:pPr>
              <w:rPr>
                <w:sz w:val="18"/>
                <w:szCs w:val="18"/>
              </w:rPr>
            </w:pPr>
            <w:r w:rsidRPr="00EF7020">
              <w:rPr>
                <w:sz w:val="18"/>
                <w:szCs w:val="18"/>
              </w:rPr>
              <w:t>0.2</w:t>
            </w:r>
          </w:p>
        </w:tc>
      </w:tr>
      <w:tr w:rsidR="00E660F2" w:rsidRPr="00756969" w:rsidTr="008F0588">
        <w:trPr>
          <w:trHeight w:val="227"/>
        </w:trPr>
        <w:tc>
          <w:tcPr>
            <w:tcW w:w="2235" w:type="dxa"/>
            <w:noWrap/>
            <w:hideMark/>
          </w:tcPr>
          <w:p w:rsidR="00E660F2" w:rsidRPr="00EF7020" w:rsidRDefault="00E660F2" w:rsidP="008F0588">
            <w:pPr>
              <w:rPr>
                <w:b/>
                <w:color w:val="FF0000"/>
                <w:sz w:val="18"/>
                <w:szCs w:val="18"/>
              </w:rPr>
            </w:pPr>
            <w:r w:rsidRPr="00EF7020">
              <w:rPr>
                <w:b/>
                <w:color w:val="FF0000"/>
                <w:sz w:val="18"/>
                <w:szCs w:val="18"/>
                <w:lang w:val="en-US"/>
              </w:rPr>
              <w:t>Hallucination</w:t>
            </w:r>
          </w:p>
        </w:tc>
        <w:tc>
          <w:tcPr>
            <w:tcW w:w="992" w:type="dxa"/>
          </w:tcPr>
          <w:p w:rsidR="00E660F2" w:rsidRPr="00EF7020" w:rsidRDefault="00E660F2" w:rsidP="008F0588">
            <w:pPr>
              <w:rPr>
                <w:rFonts w:eastAsiaTheme="minorHAnsi"/>
                <w:sz w:val="18"/>
                <w:szCs w:val="18"/>
              </w:rPr>
            </w:pPr>
            <w:r w:rsidRPr="00EF7020">
              <w:rPr>
                <w:rFonts w:eastAsiaTheme="minorHAnsi"/>
                <w:sz w:val="18"/>
                <w:szCs w:val="18"/>
              </w:rPr>
              <w:t>3</w:t>
            </w:r>
          </w:p>
        </w:tc>
        <w:tc>
          <w:tcPr>
            <w:tcW w:w="1559" w:type="dxa"/>
          </w:tcPr>
          <w:p w:rsidR="00E660F2" w:rsidRPr="00EF7020" w:rsidRDefault="00E660F2" w:rsidP="008F0588">
            <w:pPr>
              <w:rPr>
                <w:sz w:val="18"/>
                <w:szCs w:val="18"/>
              </w:rPr>
            </w:pPr>
            <w:r w:rsidRPr="00EF7020">
              <w:rPr>
                <w:sz w:val="18"/>
                <w:szCs w:val="18"/>
              </w:rPr>
              <w:t>0.4</w:t>
            </w:r>
          </w:p>
        </w:tc>
        <w:tc>
          <w:tcPr>
            <w:tcW w:w="992" w:type="dxa"/>
          </w:tcPr>
          <w:p w:rsidR="00E660F2" w:rsidRPr="00EF7020" w:rsidRDefault="00E660F2" w:rsidP="008F0588">
            <w:pPr>
              <w:rPr>
                <w:sz w:val="18"/>
                <w:szCs w:val="18"/>
              </w:rPr>
            </w:pPr>
            <w:r w:rsidRPr="00EF7020">
              <w:rPr>
                <w:sz w:val="18"/>
                <w:szCs w:val="18"/>
              </w:rPr>
              <w:t>0.3</w:t>
            </w:r>
          </w:p>
        </w:tc>
        <w:tc>
          <w:tcPr>
            <w:tcW w:w="993" w:type="dxa"/>
          </w:tcPr>
          <w:p w:rsidR="00E660F2" w:rsidRPr="00EF7020" w:rsidRDefault="00E660F2" w:rsidP="008F0588">
            <w:pPr>
              <w:rPr>
                <w:rFonts w:eastAsiaTheme="minorHAnsi"/>
                <w:sz w:val="18"/>
                <w:szCs w:val="18"/>
              </w:rPr>
            </w:pPr>
            <w:r w:rsidRPr="00EF7020">
              <w:rPr>
                <w:rFonts w:eastAsiaTheme="minorHAnsi"/>
                <w:sz w:val="18"/>
                <w:szCs w:val="18"/>
              </w:rPr>
              <w:t>0</w:t>
            </w:r>
          </w:p>
        </w:tc>
        <w:tc>
          <w:tcPr>
            <w:tcW w:w="1559" w:type="dxa"/>
          </w:tcPr>
          <w:p w:rsidR="00E660F2" w:rsidRPr="00EF7020" w:rsidRDefault="00E660F2" w:rsidP="008F0588">
            <w:pPr>
              <w:rPr>
                <w:sz w:val="18"/>
                <w:szCs w:val="18"/>
              </w:rPr>
            </w:pPr>
            <w:r w:rsidRPr="00EF7020">
              <w:rPr>
                <w:sz w:val="18"/>
                <w:szCs w:val="18"/>
              </w:rPr>
              <w:t>0.0</w:t>
            </w:r>
          </w:p>
        </w:tc>
        <w:tc>
          <w:tcPr>
            <w:tcW w:w="992" w:type="dxa"/>
            <w:noWrap/>
            <w:hideMark/>
          </w:tcPr>
          <w:p w:rsidR="00E660F2" w:rsidRPr="00EF7020" w:rsidRDefault="00E660F2" w:rsidP="008F0588">
            <w:pPr>
              <w:rPr>
                <w:sz w:val="18"/>
                <w:szCs w:val="18"/>
              </w:rPr>
            </w:pPr>
            <w:r w:rsidRPr="00EF7020">
              <w:rPr>
                <w:sz w:val="18"/>
                <w:szCs w:val="18"/>
              </w:rPr>
              <w:t>0.0</w:t>
            </w:r>
          </w:p>
        </w:tc>
      </w:tr>
      <w:tr w:rsidR="00E660F2" w:rsidRPr="00756969" w:rsidTr="008F0588">
        <w:trPr>
          <w:trHeight w:val="227"/>
        </w:trPr>
        <w:tc>
          <w:tcPr>
            <w:tcW w:w="2235" w:type="dxa"/>
            <w:noWrap/>
            <w:hideMark/>
          </w:tcPr>
          <w:p w:rsidR="00E660F2" w:rsidRPr="00EF7020" w:rsidRDefault="00E660F2" w:rsidP="008F0588">
            <w:pPr>
              <w:rPr>
                <w:b/>
                <w:color w:val="FF0000"/>
                <w:sz w:val="18"/>
                <w:szCs w:val="18"/>
              </w:rPr>
            </w:pPr>
            <w:r w:rsidRPr="00EF7020">
              <w:rPr>
                <w:b/>
                <w:color w:val="FF0000"/>
                <w:sz w:val="18"/>
                <w:szCs w:val="18"/>
                <w:lang w:val="en-US"/>
              </w:rPr>
              <w:t>Suicidal ideation</w:t>
            </w:r>
          </w:p>
        </w:tc>
        <w:tc>
          <w:tcPr>
            <w:tcW w:w="992" w:type="dxa"/>
          </w:tcPr>
          <w:p w:rsidR="00E660F2" w:rsidRPr="00EF7020" w:rsidRDefault="00E660F2" w:rsidP="008F0588">
            <w:pPr>
              <w:rPr>
                <w:rFonts w:eastAsiaTheme="minorHAnsi"/>
                <w:sz w:val="18"/>
                <w:szCs w:val="18"/>
              </w:rPr>
            </w:pPr>
            <w:r w:rsidRPr="00EF7020">
              <w:rPr>
                <w:rFonts w:eastAsiaTheme="minorHAnsi"/>
                <w:sz w:val="18"/>
                <w:szCs w:val="18"/>
              </w:rPr>
              <w:t>3</w:t>
            </w:r>
          </w:p>
        </w:tc>
        <w:tc>
          <w:tcPr>
            <w:tcW w:w="1559" w:type="dxa"/>
          </w:tcPr>
          <w:p w:rsidR="00E660F2" w:rsidRPr="00EF7020" w:rsidRDefault="00E660F2" w:rsidP="008F0588">
            <w:pPr>
              <w:rPr>
                <w:sz w:val="18"/>
                <w:szCs w:val="18"/>
              </w:rPr>
            </w:pPr>
            <w:r w:rsidRPr="00EF7020">
              <w:rPr>
                <w:sz w:val="18"/>
                <w:szCs w:val="18"/>
              </w:rPr>
              <w:t>0.4</w:t>
            </w:r>
          </w:p>
        </w:tc>
        <w:tc>
          <w:tcPr>
            <w:tcW w:w="992" w:type="dxa"/>
          </w:tcPr>
          <w:p w:rsidR="00E660F2" w:rsidRPr="00EF7020" w:rsidRDefault="00E660F2" w:rsidP="008F0588">
            <w:pPr>
              <w:rPr>
                <w:sz w:val="18"/>
                <w:szCs w:val="18"/>
              </w:rPr>
            </w:pPr>
            <w:r w:rsidRPr="00EF7020">
              <w:rPr>
                <w:sz w:val="18"/>
                <w:szCs w:val="18"/>
              </w:rPr>
              <w:t>0.3</w:t>
            </w:r>
          </w:p>
        </w:tc>
        <w:tc>
          <w:tcPr>
            <w:tcW w:w="993" w:type="dxa"/>
          </w:tcPr>
          <w:p w:rsidR="00E660F2" w:rsidRPr="00EF7020" w:rsidRDefault="00E660F2" w:rsidP="008F0588">
            <w:pPr>
              <w:rPr>
                <w:rFonts w:eastAsiaTheme="minorHAnsi"/>
                <w:sz w:val="18"/>
                <w:szCs w:val="18"/>
              </w:rPr>
            </w:pPr>
            <w:r w:rsidRPr="00EF7020">
              <w:rPr>
                <w:rFonts w:eastAsiaTheme="minorHAnsi"/>
                <w:sz w:val="18"/>
                <w:szCs w:val="18"/>
              </w:rPr>
              <w:t>0</w:t>
            </w:r>
          </w:p>
        </w:tc>
        <w:tc>
          <w:tcPr>
            <w:tcW w:w="1559" w:type="dxa"/>
          </w:tcPr>
          <w:p w:rsidR="00E660F2" w:rsidRPr="00EF7020" w:rsidRDefault="00E660F2" w:rsidP="008F0588">
            <w:pPr>
              <w:rPr>
                <w:sz w:val="18"/>
                <w:szCs w:val="18"/>
              </w:rPr>
            </w:pPr>
            <w:r w:rsidRPr="00EF7020">
              <w:rPr>
                <w:sz w:val="18"/>
                <w:szCs w:val="18"/>
              </w:rPr>
              <w:t>0.0</w:t>
            </w:r>
          </w:p>
        </w:tc>
        <w:tc>
          <w:tcPr>
            <w:tcW w:w="992" w:type="dxa"/>
            <w:noWrap/>
            <w:hideMark/>
          </w:tcPr>
          <w:p w:rsidR="00E660F2" w:rsidRPr="00EF7020" w:rsidRDefault="00E660F2" w:rsidP="008F0588">
            <w:pPr>
              <w:rPr>
                <w:sz w:val="18"/>
                <w:szCs w:val="18"/>
              </w:rPr>
            </w:pPr>
            <w:r w:rsidRPr="00EF7020">
              <w:rPr>
                <w:sz w:val="18"/>
                <w:szCs w:val="18"/>
              </w:rPr>
              <w:t>0.0</w:t>
            </w:r>
          </w:p>
        </w:tc>
      </w:tr>
      <w:tr w:rsidR="00E660F2" w:rsidRPr="00756969" w:rsidTr="008F0588">
        <w:trPr>
          <w:trHeight w:val="227"/>
        </w:trPr>
        <w:tc>
          <w:tcPr>
            <w:tcW w:w="2235" w:type="dxa"/>
            <w:noWrap/>
            <w:hideMark/>
          </w:tcPr>
          <w:p w:rsidR="00E660F2" w:rsidRPr="00EF7020" w:rsidRDefault="00E660F2" w:rsidP="008F0588">
            <w:pPr>
              <w:rPr>
                <w:b/>
                <w:color w:val="FF0000"/>
                <w:sz w:val="18"/>
                <w:szCs w:val="18"/>
              </w:rPr>
            </w:pPr>
            <w:r w:rsidRPr="00EF7020">
              <w:rPr>
                <w:b/>
                <w:color w:val="FF0000"/>
                <w:sz w:val="18"/>
                <w:szCs w:val="18"/>
                <w:lang w:val="en-US"/>
              </w:rPr>
              <w:t>Major depression</w:t>
            </w:r>
          </w:p>
        </w:tc>
        <w:tc>
          <w:tcPr>
            <w:tcW w:w="992" w:type="dxa"/>
          </w:tcPr>
          <w:p w:rsidR="00E660F2" w:rsidRPr="00EF7020" w:rsidRDefault="00E660F2" w:rsidP="008F0588">
            <w:pPr>
              <w:rPr>
                <w:rFonts w:eastAsiaTheme="minorHAnsi"/>
                <w:sz w:val="18"/>
                <w:szCs w:val="18"/>
              </w:rPr>
            </w:pPr>
            <w:r w:rsidRPr="00EF7020">
              <w:rPr>
                <w:rFonts w:eastAsiaTheme="minorHAnsi"/>
                <w:sz w:val="18"/>
                <w:szCs w:val="18"/>
              </w:rPr>
              <w:t>2</w:t>
            </w:r>
          </w:p>
        </w:tc>
        <w:tc>
          <w:tcPr>
            <w:tcW w:w="1559" w:type="dxa"/>
          </w:tcPr>
          <w:p w:rsidR="00E660F2" w:rsidRPr="00EF7020" w:rsidRDefault="00E660F2" w:rsidP="008F0588">
            <w:pPr>
              <w:rPr>
                <w:sz w:val="18"/>
                <w:szCs w:val="18"/>
              </w:rPr>
            </w:pPr>
            <w:r w:rsidRPr="00EF7020">
              <w:rPr>
                <w:sz w:val="18"/>
                <w:szCs w:val="18"/>
              </w:rPr>
              <w:t>0.2</w:t>
            </w:r>
          </w:p>
        </w:tc>
        <w:tc>
          <w:tcPr>
            <w:tcW w:w="992" w:type="dxa"/>
          </w:tcPr>
          <w:p w:rsidR="00E660F2" w:rsidRPr="00EF7020" w:rsidRDefault="00E660F2" w:rsidP="008F0588">
            <w:pPr>
              <w:rPr>
                <w:sz w:val="18"/>
                <w:szCs w:val="18"/>
              </w:rPr>
            </w:pPr>
            <w:r w:rsidRPr="00EF7020">
              <w:rPr>
                <w:sz w:val="18"/>
                <w:szCs w:val="18"/>
              </w:rPr>
              <w:t>0.2</w:t>
            </w:r>
          </w:p>
        </w:tc>
        <w:tc>
          <w:tcPr>
            <w:tcW w:w="993" w:type="dxa"/>
          </w:tcPr>
          <w:p w:rsidR="00E660F2" w:rsidRPr="00EF7020" w:rsidRDefault="00E660F2" w:rsidP="008F0588">
            <w:pPr>
              <w:rPr>
                <w:rFonts w:eastAsiaTheme="minorHAnsi"/>
                <w:sz w:val="18"/>
                <w:szCs w:val="18"/>
              </w:rPr>
            </w:pPr>
            <w:r w:rsidRPr="00EF7020">
              <w:rPr>
                <w:rFonts w:eastAsiaTheme="minorHAnsi"/>
                <w:sz w:val="18"/>
                <w:szCs w:val="18"/>
              </w:rPr>
              <w:t>0</w:t>
            </w:r>
          </w:p>
        </w:tc>
        <w:tc>
          <w:tcPr>
            <w:tcW w:w="1559" w:type="dxa"/>
          </w:tcPr>
          <w:p w:rsidR="00E660F2" w:rsidRPr="00EF7020" w:rsidRDefault="00E660F2" w:rsidP="008F0588">
            <w:pPr>
              <w:rPr>
                <w:sz w:val="18"/>
                <w:szCs w:val="18"/>
              </w:rPr>
            </w:pPr>
            <w:r w:rsidRPr="00EF7020">
              <w:rPr>
                <w:sz w:val="18"/>
                <w:szCs w:val="18"/>
              </w:rPr>
              <w:t>0.0</w:t>
            </w:r>
          </w:p>
        </w:tc>
        <w:tc>
          <w:tcPr>
            <w:tcW w:w="992" w:type="dxa"/>
            <w:noWrap/>
            <w:hideMark/>
          </w:tcPr>
          <w:p w:rsidR="00E660F2" w:rsidRPr="00EF7020" w:rsidRDefault="00E660F2" w:rsidP="008F0588">
            <w:pPr>
              <w:rPr>
                <w:sz w:val="18"/>
                <w:szCs w:val="18"/>
              </w:rPr>
            </w:pPr>
            <w:r w:rsidRPr="00EF7020">
              <w:rPr>
                <w:sz w:val="18"/>
                <w:szCs w:val="18"/>
              </w:rPr>
              <w:t>0.0</w:t>
            </w:r>
          </w:p>
        </w:tc>
      </w:tr>
      <w:tr w:rsidR="00E660F2" w:rsidRPr="00756969" w:rsidTr="008F0588">
        <w:trPr>
          <w:trHeight w:val="227"/>
        </w:trPr>
        <w:tc>
          <w:tcPr>
            <w:tcW w:w="2235" w:type="dxa"/>
            <w:noWrap/>
            <w:hideMark/>
          </w:tcPr>
          <w:p w:rsidR="00E660F2" w:rsidRPr="00EF7020" w:rsidRDefault="00E660F2" w:rsidP="008F0588">
            <w:pPr>
              <w:rPr>
                <w:b/>
                <w:color w:val="FF0000"/>
                <w:sz w:val="18"/>
                <w:szCs w:val="18"/>
              </w:rPr>
            </w:pPr>
            <w:r w:rsidRPr="00EF7020">
              <w:rPr>
                <w:b/>
                <w:color w:val="FF0000"/>
                <w:sz w:val="18"/>
                <w:szCs w:val="18"/>
                <w:lang w:val="en-US"/>
              </w:rPr>
              <w:t>Adjustment disorder with depressed mood</w:t>
            </w:r>
          </w:p>
        </w:tc>
        <w:tc>
          <w:tcPr>
            <w:tcW w:w="992" w:type="dxa"/>
          </w:tcPr>
          <w:p w:rsidR="00E660F2" w:rsidRPr="00EF7020" w:rsidRDefault="00E660F2" w:rsidP="008F0588">
            <w:pPr>
              <w:rPr>
                <w:rFonts w:eastAsiaTheme="minorHAnsi"/>
                <w:sz w:val="18"/>
                <w:szCs w:val="18"/>
              </w:rPr>
            </w:pPr>
            <w:r w:rsidRPr="00EF7020">
              <w:rPr>
                <w:rFonts w:eastAsiaTheme="minorHAnsi"/>
                <w:sz w:val="18"/>
                <w:szCs w:val="18"/>
              </w:rPr>
              <w:t>1</w:t>
            </w:r>
          </w:p>
        </w:tc>
        <w:tc>
          <w:tcPr>
            <w:tcW w:w="1559" w:type="dxa"/>
          </w:tcPr>
          <w:p w:rsidR="00E660F2" w:rsidRPr="00EF7020" w:rsidRDefault="00E660F2" w:rsidP="008F0588">
            <w:pPr>
              <w:rPr>
                <w:sz w:val="18"/>
                <w:szCs w:val="18"/>
              </w:rPr>
            </w:pPr>
            <w:r w:rsidRPr="00EF7020">
              <w:rPr>
                <w:sz w:val="18"/>
                <w:szCs w:val="18"/>
              </w:rPr>
              <w:t>0.1</w:t>
            </w:r>
          </w:p>
        </w:tc>
        <w:tc>
          <w:tcPr>
            <w:tcW w:w="992" w:type="dxa"/>
          </w:tcPr>
          <w:p w:rsidR="00E660F2" w:rsidRPr="00EF7020" w:rsidRDefault="00E660F2" w:rsidP="008F0588">
            <w:pPr>
              <w:rPr>
                <w:sz w:val="18"/>
                <w:szCs w:val="18"/>
              </w:rPr>
            </w:pPr>
            <w:r w:rsidRPr="00EF7020">
              <w:rPr>
                <w:sz w:val="18"/>
                <w:szCs w:val="18"/>
              </w:rPr>
              <w:t>0.1</w:t>
            </w:r>
          </w:p>
        </w:tc>
        <w:tc>
          <w:tcPr>
            <w:tcW w:w="993" w:type="dxa"/>
          </w:tcPr>
          <w:p w:rsidR="00E660F2" w:rsidRPr="00EF7020" w:rsidRDefault="00E660F2" w:rsidP="008F0588">
            <w:pPr>
              <w:rPr>
                <w:rFonts w:eastAsiaTheme="minorHAnsi"/>
                <w:sz w:val="18"/>
                <w:szCs w:val="18"/>
              </w:rPr>
            </w:pPr>
            <w:r w:rsidRPr="00EF7020">
              <w:rPr>
                <w:rFonts w:eastAsiaTheme="minorHAnsi"/>
                <w:sz w:val="18"/>
                <w:szCs w:val="18"/>
              </w:rPr>
              <w:t>0</w:t>
            </w:r>
          </w:p>
        </w:tc>
        <w:tc>
          <w:tcPr>
            <w:tcW w:w="1559" w:type="dxa"/>
          </w:tcPr>
          <w:p w:rsidR="00E660F2" w:rsidRPr="00EF7020" w:rsidRDefault="00E660F2" w:rsidP="008F0588">
            <w:pPr>
              <w:rPr>
                <w:sz w:val="18"/>
                <w:szCs w:val="18"/>
              </w:rPr>
            </w:pPr>
            <w:r w:rsidRPr="00EF7020">
              <w:rPr>
                <w:sz w:val="18"/>
                <w:szCs w:val="18"/>
              </w:rPr>
              <w:t>0.0</w:t>
            </w:r>
          </w:p>
        </w:tc>
        <w:tc>
          <w:tcPr>
            <w:tcW w:w="992" w:type="dxa"/>
            <w:noWrap/>
            <w:hideMark/>
          </w:tcPr>
          <w:p w:rsidR="00E660F2" w:rsidRPr="00EF7020" w:rsidRDefault="00E660F2" w:rsidP="008F0588">
            <w:pPr>
              <w:rPr>
                <w:sz w:val="18"/>
                <w:szCs w:val="18"/>
              </w:rPr>
            </w:pPr>
            <w:r w:rsidRPr="00EF7020">
              <w:rPr>
                <w:sz w:val="18"/>
                <w:szCs w:val="18"/>
              </w:rPr>
              <w:t>0.0</w:t>
            </w:r>
          </w:p>
        </w:tc>
      </w:tr>
      <w:tr w:rsidR="00E660F2" w:rsidRPr="00756969" w:rsidTr="008F0588">
        <w:trPr>
          <w:trHeight w:val="227"/>
        </w:trPr>
        <w:tc>
          <w:tcPr>
            <w:tcW w:w="2235" w:type="dxa"/>
            <w:noWrap/>
            <w:hideMark/>
          </w:tcPr>
          <w:p w:rsidR="00E660F2" w:rsidRPr="00EF7020" w:rsidRDefault="00E660F2" w:rsidP="008F0588">
            <w:pPr>
              <w:rPr>
                <w:b/>
                <w:color w:val="FF0000"/>
                <w:sz w:val="18"/>
                <w:szCs w:val="18"/>
              </w:rPr>
            </w:pPr>
            <w:r w:rsidRPr="00EF7020">
              <w:rPr>
                <w:b/>
                <w:color w:val="FF0000"/>
                <w:sz w:val="18"/>
                <w:szCs w:val="18"/>
                <w:lang w:val="en-US"/>
              </w:rPr>
              <w:lastRenderedPageBreak/>
              <w:t>Affect lability</w:t>
            </w:r>
          </w:p>
        </w:tc>
        <w:tc>
          <w:tcPr>
            <w:tcW w:w="992" w:type="dxa"/>
          </w:tcPr>
          <w:p w:rsidR="00E660F2" w:rsidRPr="00EF7020" w:rsidRDefault="00E660F2" w:rsidP="008F0588">
            <w:pPr>
              <w:rPr>
                <w:rFonts w:eastAsiaTheme="minorHAnsi"/>
                <w:sz w:val="18"/>
                <w:szCs w:val="18"/>
              </w:rPr>
            </w:pPr>
            <w:r w:rsidRPr="00EF7020">
              <w:rPr>
                <w:rFonts w:eastAsiaTheme="minorHAnsi"/>
                <w:sz w:val="18"/>
                <w:szCs w:val="18"/>
              </w:rPr>
              <w:t>1</w:t>
            </w:r>
          </w:p>
        </w:tc>
        <w:tc>
          <w:tcPr>
            <w:tcW w:w="1559" w:type="dxa"/>
          </w:tcPr>
          <w:p w:rsidR="00E660F2" w:rsidRPr="00EF7020" w:rsidRDefault="00E660F2" w:rsidP="008F0588">
            <w:pPr>
              <w:rPr>
                <w:sz w:val="18"/>
                <w:szCs w:val="18"/>
              </w:rPr>
            </w:pPr>
            <w:r w:rsidRPr="00EF7020">
              <w:rPr>
                <w:sz w:val="18"/>
                <w:szCs w:val="18"/>
              </w:rPr>
              <w:t>0.1</w:t>
            </w:r>
          </w:p>
        </w:tc>
        <w:tc>
          <w:tcPr>
            <w:tcW w:w="992" w:type="dxa"/>
          </w:tcPr>
          <w:p w:rsidR="00E660F2" w:rsidRPr="00EF7020" w:rsidRDefault="00E660F2" w:rsidP="008F0588">
            <w:pPr>
              <w:rPr>
                <w:sz w:val="18"/>
                <w:szCs w:val="18"/>
              </w:rPr>
            </w:pPr>
            <w:r w:rsidRPr="00EF7020">
              <w:rPr>
                <w:sz w:val="18"/>
                <w:szCs w:val="18"/>
              </w:rPr>
              <w:t>0.1</w:t>
            </w:r>
          </w:p>
        </w:tc>
        <w:tc>
          <w:tcPr>
            <w:tcW w:w="993" w:type="dxa"/>
          </w:tcPr>
          <w:p w:rsidR="00E660F2" w:rsidRPr="00EF7020" w:rsidRDefault="00E660F2" w:rsidP="008F0588">
            <w:pPr>
              <w:rPr>
                <w:rFonts w:eastAsiaTheme="minorHAnsi"/>
                <w:sz w:val="18"/>
                <w:szCs w:val="18"/>
              </w:rPr>
            </w:pPr>
            <w:r w:rsidRPr="00EF7020">
              <w:rPr>
                <w:rFonts w:eastAsiaTheme="minorHAnsi"/>
                <w:sz w:val="18"/>
                <w:szCs w:val="18"/>
              </w:rPr>
              <w:t>0</w:t>
            </w:r>
          </w:p>
        </w:tc>
        <w:tc>
          <w:tcPr>
            <w:tcW w:w="1559" w:type="dxa"/>
          </w:tcPr>
          <w:p w:rsidR="00E660F2" w:rsidRPr="00EF7020" w:rsidRDefault="00E660F2" w:rsidP="008F0588">
            <w:pPr>
              <w:rPr>
                <w:sz w:val="18"/>
                <w:szCs w:val="18"/>
              </w:rPr>
            </w:pPr>
            <w:r w:rsidRPr="00EF7020">
              <w:rPr>
                <w:sz w:val="18"/>
                <w:szCs w:val="18"/>
              </w:rPr>
              <w:t>0.0</w:t>
            </w:r>
          </w:p>
        </w:tc>
        <w:tc>
          <w:tcPr>
            <w:tcW w:w="992" w:type="dxa"/>
            <w:noWrap/>
            <w:hideMark/>
          </w:tcPr>
          <w:p w:rsidR="00E660F2" w:rsidRPr="00EF7020" w:rsidRDefault="00E660F2" w:rsidP="008F0588">
            <w:pPr>
              <w:rPr>
                <w:sz w:val="18"/>
                <w:szCs w:val="18"/>
              </w:rPr>
            </w:pPr>
            <w:r w:rsidRPr="00EF7020">
              <w:rPr>
                <w:sz w:val="18"/>
                <w:szCs w:val="18"/>
              </w:rPr>
              <w:t>0.0</w:t>
            </w:r>
          </w:p>
        </w:tc>
      </w:tr>
      <w:tr w:rsidR="00E660F2" w:rsidRPr="00756969" w:rsidTr="008F0588">
        <w:trPr>
          <w:trHeight w:val="227"/>
        </w:trPr>
        <w:tc>
          <w:tcPr>
            <w:tcW w:w="2235" w:type="dxa"/>
            <w:noWrap/>
            <w:hideMark/>
          </w:tcPr>
          <w:p w:rsidR="00E660F2" w:rsidRPr="00EF7020" w:rsidRDefault="00E660F2" w:rsidP="008F0588">
            <w:pPr>
              <w:rPr>
                <w:b/>
                <w:color w:val="FF0000"/>
                <w:sz w:val="18"/>
                <w:szCs w:val="18"/>
              </w:rPr>
            </w:pPr>
            <w:r w:rsidRPr="00EF7020">
              <w:rPr>
                <w:b/>
                <w:color w:val="FF0000"/>
                <w:sz w:val="18"/>
                <w:szCs w:val="18"/>
                <w:lang w:val="en-US"/>
              </w:rPr>
              <w:t>Affective disorder</w:t>
            </w:r>
          </w:p>
        </w:tc>
        <w:tc>
          <w:tcPr>
            <w:tcW w:w="992" w:type="dxa"/>
          </w:tcPr>
          <w:p w:rsidR="00E660F2" w:rsidRPr="00EF7020" w:rsidRDefault="00E660F2" w:rsidP="008F0588">
            <w:pPr>
              <w:rPr>
                <w:rFonts w:eastAsiaTheme="minorHAnsi"/>
                <w:sz w:val="18"/>
                <w:szCs w:val="18"/>
              </w:rPr>
            </w:pPr>
            <w:r w:rsidRPr="00EF7020">
              <w:rPr>
                <w:rFonts w:eastAsiaTheme="minorHAnsi"/>
                <w:sz w:val="18"/>
                <w:szCs w:val="18"/>
              </w:rPr>
              <w:t>1</w:t>
            </w:r>
          </w:p>
        </w:tc>
        <w:tc>
          <w:tcPr>
            <w:tcW w:w="1559" w:type="dxa"/>
          </w:tcPr>
          <w:p w:rsidR="00E660F2" w:rsidRPr="00EF7020" w:rsidRDefault="00E660F2" w:rsidP="008F0588">
            <w:pPr>
              <w:rPr>
                <w:sz w:val="18"/>
                <w:szCs w:val="18"/>
              </w:rPr>
            </w:pPr>
            <w:r w:rsidRPr="00EF7020">
              <w:rPr>
                <w:sz w:val="18"/>
                <w:szCs w:val="18"/>
              </w:rPr>
              <w:t>0.1</w:t>
            </w:r>
          </w:p>
        </w:tc>
        <w:tc>
          <w:tcPr>
            <w:tcW w:w="992" w:type="dxa"/>
          </w:tcPr>
          <w:p w:rsidR="00E660F2" w:rsidRPr="00EF7020" w:rsidRDefault="00E660F2" w:rsidP="008F0588">
            <w:pPr>
              <w:rPr>
                <w:sz w:val="18"/>
                <w:szCs w:val="18"/>
              </w:rPr>
            </w:pPr>
            <w:r w:rsidRPr="00EF7020">
              <w:rPr>
                <w:sz w:val="18"/>
                <w:szCs w:val="18"/>
              </w:rPr>
              <w:t>0.1</w:t>
            </w:r>
          </w:p>
        </w:tc>
        <w:tc>
          <w:tcPr>
            <w:tcW w:w="993" w:type="dxa"/>
          </w:tcPr>
          <w:p w:rsidR="00E660F2" w:rsidRPr="00EF7020" w:rsidRDefault="00E660F2" w:rsidP="008F0588">
            <w:pPr>
              <w:rPr>
                <w:rFonts w:eastAsiaTheme="minorHAnsi"/>
                <w:sz w:val="18"/>
                <w:szCs w:val="18"/>
              </w:rPr>
            </w:pPr>
            <w:r w:rsidRPr="00EF7020">
              <w:rPr>
                <w:rFonts w:eastAsiaTheme="minorHAnsi"/>
                <w:sz w:val="18"/>
                <w:szCs w:val="18"/>
              </w:rPr>
              <w:t>0</w:t>
            </w:r>
          </w:p>
        </w:tc>
        <w:tc>
          <w:tcPr>
            <w:tcW w:w="1559" w:type="dxa"/>
          </w:tcPr>
          <w:p w:rsidR="00E660F2" w:rsidRPr="00EF7020" w:rsidRDefault="00E660F2" w:rsidP="008F0588">
            <w:pPr>
              <w:rPr>
                <w:sz w:val="18"/>
                <w:szCs w:val="18"/>
              </w:rPr>
            </w:pPr>
            <w:r w:rsidRPr="00EF7020">
              <w:rPr>
                <w:sz w:val="18"/>
                <w:szCs w:val="18"/>
              </w:rPr>
              <w:t>0.0</w:t>
            </w:r>
          </w:p>
        </w:tc>
        <w:tc>
          <w:tcPr>
            <w:tcW w:w="992" w:type="dxa"/>
            <w:noWrap/>
            <w:hideMark/>
          </w:tcPr>
          <w:p w:rsidR="00E660F2" w:rsidRPr="00EF7020" w:rsidRDefault="00E660F2" w:rsidP="008F0588">
            <w:pPr>
              <w:rPr>
                <w:sz w:val="18"/>
                <w:szCs w:val="18"/>
              </w:rPr>
            </w:pPr>
            <w:r w:rsidRPr="00EF7020">
              <w:rPr>
                <w:sz w:val="18"/>
                <w:szCs w:val="18"/>
              </w:rPr>
              <w:t>0.0</w:t>
            </w:r>
          </w:p>
        </w:tc>
      </w:tr>
      <w:tr w:rsidR="00E660F2" w:rsidRPr="00756969" w:rsidTr="008F0588">
        <w:trPr>
          <w:trHeight w:val="227"/>
        </w:trPr>
        <w:tc>
          <w:tcPr>
            <w:tcW w:w="2235" w:type="dxa"/>
            <w:noWrap/>
            <w:hideMark/>
          </w:tcPr>
          <w:p w:rsidR="00E660F2" w:rsidRPr="00EF7020" w:rsidRDefault="00E660F2" w:rsidP="008F0588">
            <w:pPr>
              <w:rPr>
                <w:b/>
                <w:color w:val="FF0000"/>
                <w:sz w:val="18"/>
                <w:szCs w:val="18"/>
              </w:rPr>
            </w:pPr>
            <w:r w:rsidRPr="00EF7020">
              <w:rPr>
                <w:b/>
                <w:color w:val="FF0000"/>
                <w:sz w:val="18"/>
                <w:szCs w:val="18"/>
                <w:lang w:val="en-US"/>
              </w:rPr>
              <w:t>Aggression</w:t>
            </w:r>
          </w:p>
        </w:tc>
        <w:tc>
          <w:tcPr>
            <w:tcW w:w="992" w:type="dxa"/>
          </w:tcPr>
          <w:p w:rsidR="00E660F2" w:rsidRPr="00EF7020" w:rsidRDefault="00E660F2" w:rsidP="008F0588">
            <w:pPr>
              <w:rPr>
                <w:rFonts w:eastAsiaTheme="minorHAnsi"/>
                <w:sz w:val="18"/>
                <w:szCs w:val="18"/>
              </w:rPr>
            </w:pPr>
            <w:r w:rsidRPr="00EF7020">
              <w:rPr>
                <w:rFonts w:eastAsiaTheme="minorHAnsi"/>
                <w:sz w:val="18"/>
                <w:szCs w:val="18"/>
              </w:rPr>
              <w:t>1</w:t>
            </w:r>
          </w:p>
        </w:tc>
        <w:tc>
          <w:tcPr>
            <w:tcW w:w="1559" w:type="dxa"/>
          </w:tcPr>
          <w:p w:rsidR="00E660F2" w:rsidRPr="00EF7020" w:rsidRDefault="00E660F2" w:rsidP="008F0588">
            <w:pPr>
              <w:rPr>
                <w:sz w:val="18"/>
                <w:szCs w:val="18"/>
              </w:rPr>
            </w:pPr>
            <w:r w:rsidRPr="00EF7020">
              <w:rPr>
                <w:sz w:val="18"/>
                <w:szCs w:val="18"/>
              </w:rPr>
              <w:t>0.1</w:t>
            </w:r>
          </w:p>
        </w:tc>
        <w:tc>
          <w:tcPr>
            <w:tcW w:w="992" w:type="dxa"/>
          </w:tcPr>
          <w:p w:rsidR="00E660F2" w:rsidRPr="00EF7020" w:rsidRDefault="00E660F2" w:rsidP="008F0588">
            <w:pPr>
              <w:rPr>
                <w:sz w:val="18"/>
                <w:szCs w:val="18"/>
              </w:rPr>
            </w:pPr>
            <w:r w:rsidRPr="00EF7020">
              <w:rPr>
                <w:sz w:val="18"/>
                <w:szCs w:val="18"/>
              </w:rPr>
              <w:t>0.1</w:t>
            </w:r>
          </w:p>
        </w:tc>
        <w:tc>
          <w:tcPr>
            <w:tcW w:w="993" w:type="dxa"/>
          </w:tcPr>
          <w:p w:rsidR="00E660F2" w:rsidRPr="00EF7020" w:rsidRDefault="00E660F2" w:rsidP="008F0588">
            <w:pPr>
              <w:rPr>
                <w:rFonts w:eastAsiaTheme="minorHAnsi"/>
                <w:sz w:val="18"/>
                <w:szCs w:val="18"/>
              </w:rPr>
            </w:pPr>
            <w:r w:rsidRPr="00EF7020">
              <w:rPr>
                <w:rFonts w:eastAsiaTheme="minorHAnsi"/>
                <w:sz w:val="18"/>
                <w:szCs w:val="18"/>
              </w:rPr>
              <w:t>0</w:t>
            </w:r>
          </w:p>
        </w:tc>
        <w:tc>
          <w:tcPr>
            <w:tcW w:w="1559" w:type="dxa"/>
          </w:tcPr>
          <w:p w:rsidR="00E660F2" w:rsidRPr="00EF7020" w:rsidRDefault="00E660F2" w:rsidP="008F0588">
            <w:pPr>
              <w:rPr>
                <w:sz w:val="18"/>
                <w:szCs w:val="18"/>
              </w:rPr>
            </w:pPr>
            <w:r w:rsidRPr="00EF7020">
              <w:rPr>
                <w:sz w:val="18"/>
                <w:szCs w:val="18"/>
              </w:rPr>
              <w:t>0.0</w:t>
            </w:r>
          </w:p>
        </w:tc>
        <w:tc>
          <w:tcPr>
            <w:tcW w:w="992" w:type="dxa"/>
            <w:noWrap/>
            <w:hideMark/>
          </w:tcPr>
          <w:p w:rsidR="00E660F2" w:rsidRPr="00EF7020" w:rsidRDefault="00E660F2" w:rsidP="008F0588">
            <w:pPr>
              <w:rPr>
                <w:sz w:val="18"/>
                <w:szCs w:val="18"/>
              </w:rPr>
            </w:pPr>
            <w:r w:rsidRPr="00EF7020">
              <w:rPr>
                <w:sz w:val="18"/>
                <w:szCs w:val="18"/>
              </w:rPr>
              <w:t>0.0</w:t>
            </w:r>
          </w:p>
        </w:tc>
      </w:tr>
      <w:tr w:rsidR="00E660F2" w:rsidRPr="00756969" w:rsidTr="008F0588">
        <w:trPr>
          <w:trHeight w:val="227"/>
        </w:trPr>
        <w:tc>
          <w:tcPr>
            <w:tcW w:w="2235" w:type="dxa"/>
            <w:noWrap/>
            <w:hideMark/>
          </w:tcPr>
          <w:p w:rsidR="00E660F2" w:rsidRPr="00EF7020" w:rsidRDefault="00E660F2" w:rsidP="008F0588">
            <w:pPr>
              <w:rPr>
                <w:b/>
                <w:color w:val="FF0000"/>
                <w:sz w:val="18"/>
                <w:szCs w:val="18"/>
              </w:rPr>
            </w:pPr>
            <w:r w:rsidRPr="00EF7020">
              <w:rPr>
                <w:b/>
                <w:color w:val="FF0000"/>
                <w:sz w:val="18"/>
                <w:szCs w:val="18"/>
                <w:lang w:val="en-US"/>
              </w:rPr>
              <w:t>Depressive symptom</w:t>
            </w:r>
          </w:p>
        </w:tc>
        <w:tc>
          <w:tcPr>
            <w:tcW w:w="992" w:type="dxa"/>
          </w:tcPr>
          <w:p w:rsidR="00E660F2" w:rsidRPr="00EF7020" w:rsidRDefault="00E660F2" w:rsidP="008F0588">
            <w:pPr>
              <w:rPr>
                <w:rFonts w:eastAsiaTheme="minorHAnsi"/>
                <w:sz w:val="18"/>
                <w:szCs w:val="18"/>
              </w:rPr>
            </w:pPr>
            <w:r w:rsidRPr="00EF7020">
              <w:rPr>
                <w:rFonts w:eastAsiaTheme="minorHAnsi"/>
                <w:sz w:val="18"/>
                <w:szCs w:val="18"/>
              </w:rPr>
              <w:t>1</w:t>
            </w:r>
          </w:p>
        </w:tc>
        <w:tc>
          <w:tcPr>
            <w:tcW w:w="1559" w:type="dxa"/>
          </w:tcPr>
          <w:p w:rsidR="00E660F2" w:rsidRPr="00EF7020" w:rsidRDefault="00E660F2" w:rsidP="008F0588">
            <w:pPr>
              <w:rPr>
                <w:sz w:val="18"/>
                <w:szCs w:val="18"/>
              </w:rPr>
            </w:pPr>
            <w:r w:rsidRPr="00EF7020">
              <w:rPr>
                <w:sz w:val="18"/>
                <w:szCs w:val="18"/>
              </w:rPr>
              <w:t>0.1</w:t>
            </w:r>
          </w:p>
        </w:tc>
        <w:tc>
          <w:tcPr>
            <w:tcW w:w="992" w:type="dxa"/>
          </w:tcPr>
          <w:p w:rsidR="00E660F2" w:rsidRPr="00EF7020" w:rsidRDefault="00E660F2" w:rsidP="008F0588">
            <w:pPr>
              <w:rPr>
                <w:sz w:val="18"/>
                <w:szCs w:val="18"/>
              </w:rPr>
            </w:pPr>
            <w:r w:rsidRPr="00EF7020">
              <w:rPr>
                <w:sz w:val="18"/>
                <w:szCs w:val="18"/>
              </w:rPr>
              <w:t>0.1</w:t>
            </w:r>
          </w:p>
        </w:tc>
        <w:tc>
          <w:tcPr>
            <w:tcW w:w="993" w:type="dxa"/>
          </w:tcPr>
          <w:p w:rsidR="00E660F2" w:rsidRPr="00EF7020" w:rsidRDefault="00E660F2" w:rsidP="008F0588">
            <w:pPr>
              <w:rPr>
                <w:rFonts w:eastAsiaTheme="minorHAnsi"/>
                <w:sz w:val="18"/>
                <w:szCs w:val="18"/>
              </w:rPr>
            </w:pPr>
            <w:r w:rsidRPr="00EF7020">
              <w:rPr>
                <w:rFonts w:eastAsiaTheme="minorHAnsi"/>
                <w:sz w:val="18"/>
                <w:szCs w:val="18"/>
              </w:rPr>
              <w:t>0</w:t>
            </w:r>
          </w:p>
        </w:tc>
        <w:tc>
          <w:tcPr>
            <w:tcW w:w="1559" w:type="dxa"/>
          </w:tcPr>
          <w:p w:rsidR="00E660F2" w:rsidRPr="00EF7020" w:rsidRDefault="00E660F2" w:rsidP="008F0588">
            <w:pPr>
              <w:rPr>
                <w:sz w:val="18"/>
                <w:szCs w:val="18"/>
              </w:rPr>
            </w:pPr>
            <w:r w:rsidRPr="00EF7020">
              <w:rPr>
                <w:sz w:val="18"/>
                <w:szCs w:val="18"/>
              </w:rPr>
              <w:t>0.0</w:t>
            </w:r>
          </w:p>
        </w:tc>
        <w:tc>
          <w:tcPr>
            <w:tcW w:w="992" w:type="dxa"/>
            <w:noWrap/>
            <w:hideMark/>
          </w:tcPr>
          <w:p w:rsidR="00E660F2" w:rsidRPr="00EF7020" w:rsidRDefault="00E660F2" w:rsidP="008F0588">
            <w:pPr>
              <w:rPr>
                <w:sz w:val="18"/>
                <w:szCs w:val="18"/>
              </w:rPr>
            </w:pPr>
            <w:r w:rsidRPr="00EF7020">
              <w:rPr>
                <w:sz w:val="18"/>
                <w:szCs w:val="18"/>
              </w:rPr>
              <w:t>0.0</w:t>
            </w:r>
          </w:p>
        </w:tc>
      </w:tr>
      <w:tr w:rsidR="00E660F2" w:rsidRPr="00756969" w:rsidTr="008F0588">
        <w:trPr>
          <w:trHeight w:val="227"/>
        </w:trPr>
        <w:tc>
          <w:tcPr>
            <w:tcW w:w="2235" w:type="dxa"/>
            <w:noWrap/>
            <w:hideMark/>
          </w:tcPr>
          <w:p w:rsidR="00E660F2" w:rsidRPr="00EF7020" w:rsidRDefault="00E660F2" w:rsidP="008F0588">
            <w:pPr>
              <w:rPr>
                <w:b/>
                <w:color w:val="FF0000"/>
                <w:sz w:val="18"/>
                <w:szCs w:val="18"/>
              </w:rPr>
            </w:pPr>
            <w:r w:rsidRPr="00EF7020">
              <w:rPr>
                <w:b/>
                <w:color w:val="FF0000"/>
                <w:sz w:val="18"/>
                <w:szCs w:val="18"/>
                <w:lang w:val="en-US"/>
              </w:rPr>
              <w:t>Hallucination, visual</w:t>
            </w:r>
          </w:p>
        </w:tc>
        <w:tc>
          <w:tcPr>
            <w:tcW w:w="992" w:type="dxa"/>
          </w:tcPr>
          <w:p w:rsidR="00E660F2" w:rsidRPr="00EF7020" w:rsidRDefault="00E660F2" w:rsidP="008F0588">
            <w:pPr>
              <w:rPr>
                <w:rFonts w:eastAsiaTheme="minorHAnsi"/>
                <w:sz w:val="18"/>
                <w:szCs w:val="18"/>
              </w:rPr>
            </w:pPr>
            <w:r w:rsidRPr="00EF7020">
              <w:rPr>
                <w:rFonts w:eastAsiaTheme="minorHAnsi"/>
                <w:sz w:val="18"/>
                <w:szCs w:val="18"/>
              </w:rPr>
              <w:t>1</w:t>
            </w:r>
          </w:p>
        </w:tc>
        <w:tc>
          <w:tcPr>
            <w:tcW w:w="1559" w:type="dxa"/>
          </w:tcPr>
          <w:p w:rsidR="00E660F2" w:rsidRPr="00EF7020" w:rsidRDefault="00E660F2" w:rsidP="008F0588">
            <w:pPr>
              <w:rPr>
                <w:sz w:val="18"/>
                <w:szCs w:val="18"/>
              </w:rPr>
            </w:pPr>
            <w:r w:rsidRPr="00EF7020">
              <w:rPr>
                <w:sz w:val="18"/>
                <w:szCs w:val="18"/>
              </w:rPr>
              <w:t>0.1</w:t>
            </w:r>
          </w:p>
        </w:tc>
        <w:tc>
          <w:tcPr>
            <w:tcW w:w="992" w:type="dxa"/>
          </w:tcPr>
          <w:p w:rsidR="00E660F2" w:rsidRPr="00EF7020" w:rsidRDefault="00E660F2" w:rsidP="008F0588">
            <w:pPr>
              <w:rPr>
                <w:sz w:val="18"/>
                <w:szCs w:val="18"/>
              </w:rPr>
            </w:pPr>
            <w:r w:rsidRPr="00EF7020">
              <w:rPr>
                <w:sz w:val="18"/>
                <w:szCs w:val="18"/>
              </w:rPr>
              <w:t>0.1</w:t>
            </w:r>
          </w:p>
        </w:tc>
        <w:tc>
          <w:tcPr>
            <w:tcW w:w="993" w:type="dxa"/>
          </w:tcPr>
          <w:p w:rsidR="00E660F2" w:rsidRPr="00EF7020" w:rsidRDefault="00E660F2" w:rsidP="008F0588">
            <w:pPr>
              <w:rPr>
                <w:rFonts w:eastAsiaTheme="minorHAnsi"/>
                <w:sz w:val="18"/>
                <w:szCs w:val="18"/>
              </w:rPr>
            </w:pPr>
            <w:r w:rsidRPr="00EF7020">
              <w:rPr>
                <w:rFonts w:eastAsiaTheme="minorHAnsi"/>
                <w:sz w:val="18"/>
                <w:szCs w:val="18"/>
              </w:rPr>
              <w:t>0</w:t>
            </w:r>
          </w:p>
        </w:tc>
        <w:tc>
          <w:tcPr>
            <w:tcW w:w="1559" w:type="dxa"/>
          </w:tcPr>
          <w:p w:rsidR="00E660F2" w:rsidRPr="00EF7020" w:rsidRDefault="00E660F2" w:rsidP="008F0588">
            <w:pPr>
              <w:rPr>
                <w:sz w:val="18"/>
                <w:szCs w:val="18"/>
              </w:rPr>
            </w:pPr>
            <w:r w:rsidRPr="00EF7020">
              <w:rPr>
                <w:sz w:val="18"/>
                <w:szCs w:val="18"/>
              </w:rPr>
              <w:t>0.0</w:t>
            </w:r>
          </w:p>
        </w:tc>
        <w:tc>
          <w:tcPr>
            <w:tcW w:w="992" w:type="dxa"/>
            <w:noWrap/>
            <w:hideMark/>
          </w:tcPr>
          <w:p w:rsidR="00E660F2" w:rsidRPr="00EF7020" w:rsidRDefault="00E660F2" w:rsidP="008F0588">
            <w:pPr>
              <w:rPr>
                <w:sz w:val="18"/>
                <w:szCs w:val="18"/>
              </w:rPr>
            </w:pPr>
            <w:r w:rsidRPr="00EF7020">
              <w:rPr>
                <w:sz w:val="18"/>
                <w:szCs w:val="18"/>
              </w:rPr>
              <w:t>0.0</w:t>
            </w:r>
          </w:p>
        </w:tc>
      </w:tr>
      <w:tr w:rsidR="00E660F2" w:rsidRPr="00756969" w:rsidTr="008F0588">
        <w:trPr>
          <w:trHeight w:val="227"/>
        </w:trPr>
        <w:tc>
          <w:tcPr>
            <w:tcW w:w="2235" w:type="dxa"/>
            <w:noWrap/>
            <w:hideMark/>
          </w:tcPr>
          <w:p w:rsidR="00E660F2" w:rsidRPr="00EF7020" w:rsidRDefault="00E660F2" w:rsidP="008F0588">
            <w:pPr>
              <w:rPr>
                <w:b/>
                <w:color w:val="FF0000"/>
                <w:sz w:val="18"/>
                <w:szCs w:val="18"/>
              </w:rPr>
            </w:pPr>
            <w:r w:rsidRPr="00EF7020">
              <w:rPr>
                <w:b/>
                <w:color w:val="FF0000"/>
                <w:sz w:val="18"/>
                <w:szCs w:val="18"/>
                <w:lang w:val="en-US"/>
              </w:rPr>
              <w:t>Hypersomnia</w:t>
            </w:r>
          </w:p>
        </w:tc>
        <w:tc>
          <w:tcPr>
            <w:tcW w:w="992" w:type="dxa"/>
          </w:tcPr>
          <w:p w:rsidR="00E660F2" w:rsidRPr="00EF7020" w:rsidRDefault="00E660F2" w:rsidP="008F0588">
            <w:pPr>
              <w:rPr>
                <w:rFonts w:eastAsiaTheme="minorHAnsi"/>
                <w:sz w:val="18"/>
                <w:szCs w:val="18"/>
              </w:rPr>
            </w:pPr>
            <w:r w:rsidRPr="00EF7020">
              <w:rPr>
                <w:rFonts w:eastAsiaTheme="minorHAnsi"/>
                <w:sz w:val="18"/>
                <w:szCs w:val="18"/>
              </w:rPr>
              <w:t>1</w:t>
            </w:r>
          </w:p>
        </w:tc>
        <w:tc>
          <w:tcPr>
            <w:tcW w:w="1559" w:type="dxa"/>
          </w:tcPr>
          <w:p w:rsidR="00E660F2" w:rsidRPr="00EF7020" w:rsidRDefault="00E660F2" w:rsidP="008F0588">
            <w:pPr>
              <w:rPr>
                <w:sz w:val="18"/>
                <w:szCs w:val="18"/>
              </w:rPr>
            </w:pPr>
            <w:r w:rsidRPr="00EF7020">
              <w:rPr>
                <w:sz w:val="18"/>
                <w:szCs w:val="18"/>
              </w:rPr>
              <w:t>0.1</w:t>
            </w:r>
          </w:p>
        </w:tc>
        <w:tc>
          <w:tcPr>
            <w:tcW w:w="992" w:type="dxa"/>
          </w:tcPr>
          <w:p w:rsidR="00E660F2" w:rsidRPr="00EF7020" w:rsidRDefault="00E660F2" w:rsidP="008F0588">
            <w:pPr>
              <w:rPr>
                <w:sz w:val="18"/>
                <w:szCs w:val="18"/>
              </w:rPr>
            </w:pPr>
            <w:r w:rsidRPr="00EF7020">
              <w:rPr>
                <w:sz w:val="18"/>
                <w:szCs w:val="18"/>
              </w:rPr>
              <w:t>0.1</w:t>
            </w:r>
          </w:p>
        </w:tc>
        <w:tc>
          <w:tcPr>
            <w:tcW w:w="993" w:type="dxa"/>
          </w:tcPr>
          <w:p w:rsidR="00E660F2" w:rsidRPr="00EF7020" w:rsidRDefault="00E660F2" w:rsidP="008F0588">
            <w:pPr>
              <w:rPr>
                <w:rFonts w:eastAsiaTheme="minorHAnsi"/>
                <w:sz w:val="18"/>
                <w:szCs w:val="18"/>
              </w:rPr>
            </w:pPr>
            <w:r w:rsidRPr="00EF7020">
              <w:rPr>
                <w:rFonts w:eastAsiaTheme="minorHAnsi"/>
                <w:sz w:val="18"/>
                <w:szCs w:val="18"/>
              </w:rPr>
              <w:t>0</w:t>
            </w:r>
          </w:p>
        </w:tc>
        <w:tc>
          <w:tcPr>
            <w:tcW w:w="1559" w:type="dxa"/>
          </w:tcPr>
          <w:p w:rsidR="00E660F2" w:rsidRPr="00EF7020" w:rsidRDefault="00E660F2" w:rsidP="008F0588">
            <w:pPr>
              <w:rPr>
                <w:sz w:val="18"/>
                <w:szCs w:val="18"/>
              </w:rPr>
            </w:pPr>
            <w:r w:rsidRPr="00EF7020">
              <w:rPr>
                <w:sz w:val="18"/>
                <w:szCs w:val="18"/>
              </w:rPr>
              <w:t>0.0</w:t>
            </w:r>
          </w:p>
        </w:tc>
        <w:tc>
          <w:tcPr>
            <w:tcW w:w="992" w:type="dxa"/>
            <w:noWrap/>
            <w:hideMark/>
          </w:tcPr>
          <w:p w:rsidR="00E660F2" w:rsidRPr="00EF7020" w:rsidRDefault="00E660F2" w:rsidP="008F0588">
            <w:pPr>
              <w:rPr>
                <w:sz w:val="18"/>
                <w:szCs w:val="18"/>
              </w:rPr>
            </w:pPr>
            <w:r w:rsidRPr="00EF7020">
              <w:rPr>
                <w:sz w:val="18"/>
                <w:szCs w:val="18"/>
              </w:rPr>
              <w:t>0.0</w:t>
            </w:r>
          </w:p>
        </w:tc>
      </w:tr>
      <w:tr w:rsidR="00E660F2" w:rsidRPr="00756969" w:rsidTr="008F0588">
        <w:trPr>
          <w:trHeight w:val="227"/>
        </w:trPr>
        <w:tc>
          <w:tcPr>
            <w:tcW w:w="2235" w:type="dxa"/>
            <w:noWrap/>
            <w:hideMark/>
          </w:tcPr>
          <w:p w:rsidR="00E660F2" w:rsidRPr="00EF7020" w:rsidRDefault="00E660F2" w:rsidP="008F0588">
            <w:pPr>
              <w:rPr>
                <w:b/>
                <w:color w:val="FF0000"/>
                <w:sz w:val="18"/>
                <w:szCs w:val="18"/>
              </w:rPr>
            </w:pPr>
            <w:r w:rsidRPr="00EF7020">
              <w:rPr>
                <w:b/>
                <w:color w:val="FF0000"/>
                <w:sz w:val="18"/>
                <w:szCs w:val="18"/>
                <w:lang w:val="en-US"/>
              </w:rPr>
              <w:t>Middle insomnia</w:t>
            </w:r>
          </w:p>
        </w:tc>
        <w:tc>
          <w:tcPr>
            <w:tcW w:w="992" w:type="dxa"/>
          </w:tcPr>
          <w:p w:rsidR="00E660F2" w:rsidRPr="00EF7020" w:rsidRDefault="00E660F2" w:rsidP="008F0588">
            <w:pPr>
              <w:rPr>
                <w:rFonts w:eastAsiaTheme="minorHAnsi"/>
                <w:sz w:val="18"/>
                <w:szCs w:val="18"/>
              </w:rPr>
            </w:pPr>
            <w:r w:rsidRPr="00EF7020">
              <w:rPr>
                <w:rFonts w:eastAsiaTheme="minorHAnsi"/>
                <w:sz w:val="18"/>
                <w:szCs w:val="18"/>
              </w:rPr>
              <w:t>1</w:t>
            </w:r>
          </w:p>
        </w:tc>
        <w:tc>
          <w:tcPr>
            <w:tcW w:w="1559" w:type="dxa"/>
          </w:tcPr>
          <w:p w:rsidR="00E660F2" w:rsidRPr="00EF7020" w:rsidRDefault="00E660F2" w:rsidP="008F0588">
            <w:pPr>
              <w:rPr>
                <w:sz w:val="18"/>
                <w:szCs w:val="18"/>
              </w:rPr>
            </w:pPr>
            <w:r w:rsidRPr="00EF7020">
              <w:rPr>
                <w:sz w:val="18"/>
                <w:szCs w:val="18"/>
              </w:rPr>
              <w:t>0.1</w:t>
            </w:r>
          </w:p>
        </w:tc>
        <w:tc>
          <w:tcPr>
            <w:tcW w:w="992" w:type="dxa"/>
          </w:tcPr>
          <w:p w:rsidR="00E660F2" w:rsidRPr="00EF7020" w:rsidRDefault="00E660F2" w:rsidP="008F0588">
            <w:pPr>
              <w:rPr>
                <w:sz w:val="18"/>
                <w:szCs w:val="18"/>
              </w:rPr>
            </w:pPr>
            <w:r w:rsidRPr="00EF7020">
              <w:rPr>
                <w:sz w:val="18"/>
                <w:szCs w:val="18"/>
              </w:rPr>
              <w:t>0.1</w:t>
            </w:r>
          </w:p>
        </w:tc>
        <w:tc>
          <w:tcPr>
            <w:tcW w:w="993" w:type="dxa"/>
          </w:tcPr>
          <w:p w:rsidR="00E660F2" w:rsidRPr="00EF7020" w:rsidRDefault="00E660F2" w:rsidP="008F0588">
            <w:pPr>
              <w:rPr>
                <w:rFonts w:eastAsiaTheme="minorHAnsi"/>
                <w:sz w:val="18"/>
                <w:szCs w:val="18"/>
              </w:rPr>
            </w:pPr>
            <w:r w:rsidRPr="00EF7020">
              <w:rPr>
                <w:rFonts w:eastAsiaTheme="minorHAnsi"/>
                <w:sz w:val="18"/>
                <w:szCs w:val="18"/>
              </w:rPr>
              <w:t>0</w:t>
            </w:r>
          </w:p>
        </w:tc>
        <w:tc>
          <w:tcPr>
            <w:tcW w:w="1559" w:type="dxa"/>
          </w:tcPr>
          <w:p w:rsidR="00E660F2" w:rsidRPr="00EF7020" w:rsidRDefault="00E660F2" w:rsidP="008F0588">
            <w:pPr>
              <w:rPr>
                <w:sz w:val="18"/>
                <w:szCs w:val="18"/>
              </w:rPr>
            </w:pPr>
            <w:r w:rsidRPr="00EF7020">
              <w:rPr>
                <w:sz w:val="18"/>
                <w:szCs w:val="18"/>
              </w:rPr>
              <w:t>0.0</w:t>
            </w:r>
          </w:p>
        </w:tc>
        <w:tc>
          <w:tcPr>
            <w:tcW w:w="992" w:type="dxa"/>
            <w:noWrap/>
            <w:hideMark/>
          </w:tcPr>
          <w:p w:rsidR="00E660F2" w:rsidRPr="00EF7020" w:rsidRDefault="00E660F2" w:rsidP="008F0588">
            <w:pPr>
              <w:rPr>
                <w:sz w:val="18"/>
                <w:szCs w:val="18"/>
              </w:rPr>
            </w:pPr>
            <w:r w:rsidRPr="00EF7020">
              <w:rPr>
                <w:sz w:val="18"/>
                <w:szCs w:val="18"/>
              </w:rPr>
              <w:t>0.0</w:t>
            </w:r>
          </w:p>
        </w:tc>
      </w:tr>
      <w:tr w:rsidR="00E660F2" w:rsidRPr="00756969" w:rsidTr="008F0588">
        <w:trPr>
          <w:trHeight w:val="227"/>
        </w:trPr>
        <w:tc>
          <w:tcPr>
            <w:tcW w:w="2235" w:type="dxa"/>
            <w:noWrap/>
            <w:hideMark/>
          </w:tcPr>
          <w:p w:rsidR="00E660F2" w:rsidRPr="00EF7020" w:rsidRDefault="00E660F2" w:rsidP="008F0588">
            <w:pPr>
              <w:rPr>
                <w:b/>
                <w:sz w:val="18"/>
                <w:szCs w:val="18"/>
              </w:rPr>
            </w:pPr>
            <w:r w:rsidRPr="00EF7020">
              <w:rPr>
                <w:b/>
                <w:sz w:val="18"/>
                <w:szCs w:val="18"/>
                <w:lang w:val="en-US"/>
              </w:rPr>
              <w:t>Mood swings</w:t>
            </w:r>
          </w:p>
        </w:tc>
        <w:tc>
          <w:tcPr>
            <w:tcW w:w="992" w:type="dxa"/>
          </w:tcPr>
          <w:p w:rsidR="00E660F2" w:rsidRPr="00EF7020" w:rsidRDefault="00E660F2" w:rsidP="008F0588">
            <w:pPr>
              <w:rPr>
                <w:rFonts w:eastAsiaTheme="minorHAnsi"/>
                <w:sz w:val="18"/>
                <w:szCs w:val="18"/>
              </w:rPr>
            </w:pPr>
            <w:r w:rsidRPr="00EF7020">
              <w:rPr>
                <w:rFonts w:eastAsiaTheme="minorHAnsi"/>
                <w:sz w:val="18"/>
                <w:szCs w:val="18"/>
              </w:rPr>
              <w:t>1</w:t>
            </w:r>
          </w:p>
        </w:tc>
        <w:tc>
          <w:tcPr>
            <w:tcW w:w="1559" w:type="dxa"/>
          </w:tcPr>
          <w:p w:rsidR="00E660F2" w:rsidRPr="00EF7020" w:rsidRDefault="00E660F2" w:rsidP="008F0588">
            <w:pPr>
              <w:rPr>
                <w:sz w:val="18"/>
                <w:szCs w:val="18"/>
              </w:rPr>
            </w:pPr>
            <w:r w:rsidRPr="00EF7020">
              <w:rPr>
                <w:sz w:val="18"/>
                <w:szCs w:val="18"/>
              </w:rPr>
              <w:t>0.1</w:t>
            </w:r>
          </w:p>
        </w:tc>
        <w:tc>
          <w:tcPr>
            <w:tcW w:w="992" w:type="dxa"/>
          </w:tcPr>
          <w:p w:rsidR="00E660F2" w:rsidRPr="00EF7020" w:rsidRDefault="00E660F2" w:rsidP="008F0588">
            <w:pPr>
              <w:rPr>
                <w:sz w:val="18"/>
                <w:szCs w:val="18"/>
              </w:rPr>
            </w:pPr>
            <w:r w:rsidRPr="00EF7020">
              <w:rPr>
                <w:sz w:val="18"/>
                <w:szCs w:val="18"/>
              </w:rPr>
              <w:t>0.1</w:t>
            </w:r>
          </w:p>
        </w:tc>
        <w:tc>
          <w:tcPr>
            <w:tcW w:w="993" w:type="dxa"/>
          </w:tcPr>
          <w:p w:rsidR="00E660F2" w:rsidRPr="00EF7020" w:rsidRDefault="00E660F2" w:rsidP="008F0588">
            <w:pPr>
              <w:rPr>
                <w:rFonts w:eastAsiaTheme="minorHAnsi"/>
                <w:sz w:val="18"/>
                <w:szCs w:val="18"/>
              </w:rPr>
            </w:pPr>
            <w:r w:rsidRPr="00EF7020">
              <w:rPr>
                <w:rFonts w:eastAsiaTheme="minorHAnsi"/>
                <w:sz w:val="18"/>
                <w:szCs w:val="18"/>
              </w:rPr>
              <w:t>1</w:t>
            </w:r>
          </w:p>
        </w:tc>
        <w:tc>
          <w:tcPr>
            <w:tcW w:w="1559" w:type="dxa"/>
          </w:tcPr>
          <w:p w:rsidR="00E660F2" w:rsidRPr="00EF7020" w:rsidRDefault="00E660F2" w:rsidP="008F0588">
            <w:pPr>
              <w:rPr>
                <w:sz w:val="18"/>
                <w:szCs w:val="18"/>
              </w:rPr>
            </w:pPr>
            <w:r w:rsidRPr="00EF7020">
              <w:rPr>
                <w:sz w:val="18"/>
                <w:szCs w:val="18"/>
              </w:rPr>
              <w:t>0.3</w:t>
            </w:r>
          </w:p>
        </w:tc>
        <w:tc>
          <w:tcPr>
            <w:tcW w:w="992" w:type="dxa"/>
            <w:noWrap/>
            <w:hideMark/>
          </w:tcPr>
          <w:p w:rsidR="00E660F2" w:rsidRPr="00EF7020" w:rsidRDefault="00E660F2" w:rsidP="008F0588">
            <w:pPr>
              <w:rPr>
                <w:sz w:val="18"/>
                <w:szCs w:val="18"/>
              </w:rPr>
            </w:pPr>
            <w:r w:rsidRPr="00EF7020">
              <w:rPr>
                <w:sz w:val="18"/>
                <w:szCs w:val="18"/>
              </w:rPr>
              <w:t>0.2</w:t>
            </w:r>
          </w:p>
        </w:tc>
      </w:tr>
      <w:tr w:rsidR="00E660F2" w:rsidRPr="00756969" w:rsidTr="008F0588">
        <w:trPr>
          <w:trHeight w:val="227"/>
        </w:trPr>
        <w:tc>
          <w:tcPr>
            <w:tcW w:w="2235" w:type="dxa"/>
            <w:noWrap/>
            <w:hideMark/>
          </w:tcPr>
          <w:p w:rsidR="00E660F2" w:rsidRPr="00EF7020" w:rsidRDefault="00E660F2" w:rsidP="008F0588">
            <w:pPr>
              <w:rPr>
                <w:b/>
                <w:color w:val="FF0000"/>
                <w:sz w:val="18"/>
                <w:szCs w:val="18"/>
              </w:rPr>
            </w:pPr>
            <w:r w:rsidRPr="00EF7020">
              <w:rPr>
                <w:b/>
                <w:color w:val="FF0000"/>
                <w:sz w:val="18"/>
                <w:szCs w:val="18"/>
                <w:lang w:val="en-US"/>
              </w:rPr>
              <w:t>Psychomotor hyperactivity</w:t>
            </w:r>
          </w:p>
        </w:tc>
        <w:tc>
          <w:tcPr>
            <w:tcW w:w="992" w:type="dxa"/>
          </w:tcPr>
          <w:p w:rsidR="00E660F2" w:rsidRPr="00EF7020" w:rsidRDefault="00E660F2" w:rsidP="008F0588">
            <w:pPr>
              <w:rPr>
                <w:rFonts w:eastAsiaTheme="minorHAnsi"/>
                <w:sz w:val="18"/>
                <w:szCs w:val="18"/>
              </w:rPr>
            </w:pPr>
            <w:r w:rsidRPr="00EF7020">
              <w:rPr>
                <w:rFonts w:eastAsiaTheme="minorHAnsi"/>
                <w:sz w:val="18"/>
                <w:szCs w:val="18"/>
              </w:rPr>
              <w:t>1</w:t>
            </w:r>
          </w:p>
        </w:tc>
        <w:tc>
          <w:tcPr>
            <w:tcW w:w="1559" w:type="dxa"/>
          </w:tcPr>
          <w:p w:rsidR="00E660F2" w:rsidRPr="00EF7020" w:rsidRDefault="00E660F2" w:rsidP="008F0588">
            <w:pPr>
              <w:rPr>
                <w:sz w:val="18"/>
                <w:szCs w:val="18"/>
              </w:rPr>
            </w:pPr>
            <w:r w:rsidRPr="00EF7020">
              <w:rPr>
                <w:sz w:val="18"/>
                <w:szCs w:val="18"/>
              </w:rPr>
              <w:t>0.1</w:t>
            </w:r>
          </w:p>
        </w:tc>
        <w:tc>
          <w:tcPr>
            <w:tcW w:w="992" w:type="dxa"/>
          </w:tcPr>
          <w:p w:rsidR="00E660F2" w:rsidRPr="00EF7020" w:rsidRDefault="00E660F2" w:rsidP="008F0588">
            <w:pPr>
              <w:rPr>
                <w:sz w:val="18"/>
                <w:szCs w:val="18"/>
              </w:rPr>
            </w:pPr>
            <w:r w:rsidRPr="00EF7020">
              <w:rPr>
                <w:sz w:val="18"/>
                <w:szCs w:val="18"/>
              </w:rPr>
              <w:t>0.1</w:t>
            </w:r>
          </w:p>
        </w:tc>
        <w:tc>
          <w:tcPr>
            <w:tcW w:w="993" w:type="dxa"/>
          </w:tcPr>
          <w:p w:rsidR="00E660F2" w:rsidRPr="00EF7020" w:rsidRDefault="00E660F2" w:rsidP="008F0588">
            <w:pPr>
              <w:rPr>
                <w:rFonts w:eastAsiaTheme="minorHAnsi"/>
                <w:sz w:val="18"/>
                <w:szCs w:val="18"/>
              </w:rPr>
            </w:pPr>
            <w:r w:rsidRPr="00EF7020">
              <w:rPr>
                <w:rFonts w:eastAsiaTheme="minorHAnsi"/>
                <w:sz w:val="18"/>
                <w:szCs w:val="18"/>
              </w:rPr>
              <w:t>0</w:t>
            </w:r>
          </w:p>
        </w:tc>
        <w:tc>
          <w:tcPr>
            <w:tcW w:w="1559" w:type="dxa"/>
          </w:tcPr>
          <w:p w:rsidR="00E660F2" w:rsidRPr="00EF7020" w:rsidRDefault="00E660F2" w:rsidP="008F0588">
            <w:pPr>
              <w:rPr>
                <w:sz w:val="18"/>
                <w:szCs w:val="18"/>
              </w:rPr>
            </w:pPr>
            <w:r w:rsidRPr="00EF7020">
              <w:rPr>
                <w:sz w:val="18"/>
                <w:szCs w:val="18"/>
              </w:rPr>
              <w:t>0.0</w:t>
            </w:r>
          </w:p>
        </w:tc>
        <w:tc>
          <w:tcPr>
            <w:tcW w:w="992" w:type="dxa"/>
            <w:noWrap/>
            <w:hideMark/>
          </w:tcPr>
          <w:p w:rsidR="00E660F2" w:rsidRPr="00EF7020" w:rsidRDefault="00E660F2" w:rsidP="008F0588">
            <w:pPr>
              <w:rPr>
                <w:sz w:val="18"/>
                <w:szCs w:val="18"/>
              </w:rPr>
            </w:pPr>
            <w:r w:rsidRPr="00EF7020">
              <w:rPr>
                <w:sz w:val="18"/>
                <w:szCs w:val="18"/>
              </w:rPr>
              <w:t>0.0</w:t>
            </w:r>
          </w:p>
        </w:tc>
      </w:tr>
      <w:tr w:rsidR="00E660F2" w:rsidRPr="00756969" w:rsidTr="008F0588">
        <w:trPr>
          <w:trHeight w:val="227"/>
        </w:trPr>
        <w:tc>
          <w:tcPr>
            <w:tcW w:w="2235" w:type="dxa"/>
            <w:noWrap/>
            <w:hideMark/>
          </w:tcPr>
          <w:p w:rsidR="00E660F2" w:rsidRPr="00EF7020" w:rsidRDefault="00E660F2" w:rsidP="008F0588">
            <w:pPr>
              <w:rPr>
                <w:b/>
                <w:color w:val="FF0000"/>
                <w:sz w:val="18"/>
                <w:szCs w:val="18"/>
              </w:rPr>
            </w:pPr>
            <w:r w:rsidRPr="00EF7020">
              <w:rPr>
                <w:b/>
                <w:color w:val="FF0000"/>
                <w:sz w:val="18"/>
                <w:szCs w:val="18"/>
                <w:lang w:val="en-US"/>
              </w:rPr>
              <w:t>Psychomotor retardation</w:t>
            </w:r>
          </w:p>
        </w:tc>
        <w:tc>
          <w:tcPr>
            <w:tcW w:w="992" w:type="dxa"/>
          </w:tcPr>
          <w:p w:rsidR="00E660F2" w:rsidRPr="00EF7020" w:rsidRDefault="00E660F2" w:rsidP="008F0588">
            <w:pPr>
              <w:rPr>
                <w:rFonts w:eastAsiaTheme="minorHAnsi"/>
                <w:sz w:val="18"/>
                <w:szCs w:val="18"/>
              </w:rPr>
            </w:pPr>
            <w:r w:rsidRPr="00EF7020">
              <w:rPr>
                <w:rFonts w:eastAsiaTheme="minorHAnsi"/>
                <w:sz w:val="18"/>
                <w:szCs w:val="18"/>
              </w:rPr>
              <w:t>1</w:t>
            </w:r>
          </w:p>
        </w:tc>
        <w:tc>
          <w:tcPr>
            <w:tcW w:w="1559" w:type="dxa"/>
          </w:tcPr>
          <w:p w:rsidR="00E660F2" w:rsidRPr="00EF7020" w:rsidRDefault="00E660F2" w:rsidP="008F0588">
            <w:pPr>
              <w:rPr>
                <w:sz w:val="18"/>
                <w:szCs w:val="18"/>
              </w:rPr>
            </w:pPr>
            <w:r w:rsidRPr="00EF7020">
              <w:rPr>
                <w:sz w:val="18"/>
                <w:szCs w:val="18"/>
              </w:rPr>
              <w:t>0.1</w:t>
            </w:r>
          </w:p>
        </w:tc>
        <w:tc>
          <w:tcPr>
            <w:tcW w:w="992" w:type="dxa"/>
          </w:tcPr>
          <w:p w:rsidR="00E660F2" w:rsidRPr="00EF7020" w:rsidRDefault="00E660F2" w:rsidP="008F0588">
            <w:pPr>
              <w:rPr>
                <w:sz w:val="18"/>
                <w:szCs w:val="18"/>
              </w:rPr>
            </w:pPr>
            <w:r w:rsidRPr="00EF7020">
              <w:rPr>
                <w:sz w:val="18"/>
                <w:szCs w:val="18"/>
              </w:rPr>
              <w:t>0.1</w:t>
            </w:r>
          </w:p>
        </w:tc>
        <w:tc>
          <w:tcPr>
            <w:tcW w:w="993" w:type="dxa"/>
          </w:tcPr>
          <w:p w:rsidR="00E660F2" w:rsidRPr="00EF7020" w:rsidRDefault="00E660F2" w:rsidP="008F0588">
            <w:pPr>
              <w:rPr>
                <w:rFonts w:eastAsiaTheme="minorHAnsi"/>
                <w:sz w:val="18"/>
                <w:szCs w:val="18"/>
              </w:rPr>
            </w:pPr>
            <w:r w:rsidRPr="00EF7020">
              <w:rPr>
                <w:rFonts w:eastAsiaTheme="minorHAnsi"/>
                <w:sz w:val="18"/>
                <w:szCs w:val="18"/>
              </w:rPr>
              <w:t>0</w:t>
            </w:r>
          </w:p>
        </w:tc>
        <w:tc>
          <w:tcPr>
            <w:tcW w:w="1559" w:type="dxa"/>
          </w:tcPr>
          <w:p w:rsidR="00E660F2" w:rsidRPr="00EF7020" w:rsidRDefault="00E660F2" w:rsidP="008F0588">
            <w:pPr>
              <w:rPr>
                <w:sz w:val="18"/>
                <w:szCs w:val="18"/>
              </w:rPr>
            </w:pPr>
            <w:r w:rsidRPr="00EF7020">
              <w:rPr>
                <w:sz w:val="18"/>
                <w:szCs w:val="18"/>
              </w:rPr>
              <w:t>0.0</w:t>
            </w:r>
          </w:p>
        </w:tc>
        <w:tc>
          <w:tcPr>
            <w:tcW w:w="992" w:type="dxa"/>
            <w:noWrap/>
            <w:hideMark/>
          </w:tcPr>
          <w:p w:rsidR="00E660F2" w:rsidRPr="00EF7020" w:rsidRDefault="00E660F2" w:rsidP="008F0588">
            <w:pPr>
              <w:rPr>
                <w:sz w:val="18"/>
                <w:szCs w:val="18"/>
              </w:rPr>
            </w:pPr>
            <w:r w:rsidRPr="00EF7020">
              <w:rPr>
                <w:sz w:val="18"/>
                <w:szCs w:val="18"/>
              </w:rPr>
              <w:t>0.0</w:t>
            </w:r>
          </w:p>
        </w:tc>
      </w:tr>
      <w:tr w:rsidR="00E660F2" w:rsidRPr="00756969" w:rsidTr="008F0588">
        <w:trPr>
          <w:trHeight w:val="227"/>
        </w:trPr>
        <w:tc>
          <w:tcPr>
            <w:tcW w:w="2235" w:type="dxa"/>
            <w:noWrap/>
            <w:hideMark/>
          </w:tcPr>
          <w:p w:rsidR="00E660F2" w:rsidRPr="00EF7020" w:rsidRDefault="00E660F2" w:rsidP="008F0588">
            <w:pPr>
              <w:rPr>
                <w:b/>
                <w:sz w:val="18"/>
                <w:szCs w:val="18"/>
              </w:rPr>
            </w:pPr>
            <w:r w:rsidRPr="00EF7020">
              <w:rPr>
                <w:b/>
                <w:sz w:val="18"/>
                <w:szCs w:val="18"/>
                <w:lang w:val="en-US"/>
              </w:rPr>
              <w:t>Alcoholism</w:t>
            </w:r>
          </w:p>
        </w:tc>
        <w:tc>
          <w:tcPr>
            <w:tcW w:w="992" w:type="dxa"/>
          </w:tcPr>
          <w:p w:rsidR="00E660F2" w:rsidRPr="00EF7020" w:rsidRDefault="00E660F2" w:rsidP="008F0588">
            <w:pPr>
              <w:rPr>
                <w:rFonts w:eastAsiaTheme="minorHAnsi"/>
                <w:sz w:val="18"/>
                <w:szCs w:val="18"/>
              </w:rPr>
            </w:pPr>
            <w:r w:rsidRPr="00EF7020">
              <w:rPr>
                <w:rFonts w:eastAsiaTheme="minorHAnsi"/>
                <w:sz w:val="18"/>
                <w:szCs w:val="18"/>
              </w:rPr>
              <w:t>0</w:t>
            </w:r>
          </w:p>
        </w:tc>
        <w:tc>
          <w:tcPr>
            <w:tcW w:w="1559" w:type="dxa"/>
          </w:tcPr>
          <w:p w:rsidR="00E660F2" w:rsidRPr="00EF7020" w:rsidRDefault="00E660F2" w:rsidP="008F0588">
            <w:pPr>
              <w:rPr>
                <w:sz w:val="18"/>
                <w:szCs w:val="18"/>
              </w:rPr>
            </w:pPr>
            <w:r w:rsidRPr="00EF7020">
              <w:rPr>
                <w:sz w:val="18"/>
                <w:szCs w:val="18"/>
              </w:rPr>
              <w:t>0.0</w:t>
            </w:r>
          </w:p>
        </w:tc>
        <w:tc>
          <w:tcPr>
            <w:tcW w:w="992" w:type="dxa"/>
          </w:tcPr>
          <w:p w:rsidR="00E660F2" w:rsidRPr="00EF7020" w:rsidRDefault="00E660F2" w:rsidP="008F0588">
            <w:pPr>
              <w:rPr>
                <w:sz w:val="18"/>
                <w:szCs w:val="18"/>
              </w:rPr>
            </w:pPr>
            <w:r w:rsidRPr="00EF7020">
              <w:rPr>
                <w:sz w:val="18"/>
                <w:szCs w:val="18"/>
              </w:rPr>
              <w:t>0.0</w:t>
            </w:r>
          </w:p>
        </w:tc>
        <w:tc>
          <w:tcPr>
            <w:tcW w:w="993" w:type="dxa"/>
          </w:tcPr>
          <w:p w:rsidR="00E660F2" w:rsidRPr="00EF7020" w:rsidRDefault="00E660F2" w:rsidP="008F0588">
            <w:pPr>
              <w:rPr>
                <w:rFonts w:eastAsiaTheme="minorHAnsi"/>
                <w:sz w:val="18"/>
                <w:szCs w:val="18"/>
              </w:rPr>
            </w:pPr>
            <w:r w:rsidRPr="00EF7020">
              <w:rPr>
                <w:rFonts w:eastAsiaTheme="minorHAnsi"/>
                <w:sz w:val="18"/>
                <w:szCs w:val="18"/>
              </w:rPr>
              <w:t>1</w:t>
            </w:r>
          </w:p>
        </w:tc>
        <w:tc>
          <w:tcPr>
            <w:tcW w:w="1559" w:type="dxa"/>
          </w:tcPr>
          <w:p w:rsidR="00E660F2" w:rsidRPr="00EF7020" w:rsidRDefault="00E660F2" w:rsidP="008F0588">
            <w:pPr>
              <w:rPr>
                <w:sz w:val="18"/>
                <w:szCs w:val="18"/>
              </w:rPr>
            </w:pPr>
            <w:r w:rsidRPr="00EF7020">
              <w:rPr>
                <w:sz w:val="18"/>
                <w:szCs w:val="18"/>
              </w:rPr>
              <w:t>0.3</w:t>
            </w:r>
          </w:p>
        </w:tc>
        <w:tc>
          <w:tcPr>
            <w:tcW w:w="992" w:type="dxa"/>
            <w:noWrap/>
            <w:hideMark/>
          </w:tcPr>
          <w:p w:rsidR="00E660F2" w:rsidRPr="00EF7020" w:rsidRDefault="00E660F2" w:rsidP="008F0588">
            <w:pPr>
              <w:rPr>
                <w:sz w:val="18"/>
                <w:szCs w:val="18"/>
              </w:rPr>
            </w:pPr>
            <w:r w:rsidRPr="00EF7020">
              <w:rPr>
                <w:sz w:val="18"/>
                <w:szCs w:val="18"/>
              </w:rPr>
              <w:t>0.2</w:t>
            </w:r>
          </w:p>
        </w:tc>
      </w:tr>
      <w:tr w:rsidR="00E660F2" w:rsidRPr="00756969" w:rsidTr="008F0588">
        <w:trPr>
          <w:trHeight w:val="227"/>
        </w:trPr>
        <w:tc>
          <w:tcPr>
            <w:tcW w:w="2235" w:type="dxa"/>
            <w:noWrap/>
            <w:hideMark/>
          </w:tcPr>
          <w:p w:rsidR="00E660F2" w:rsidRPr="00EF7020" w:rsidRDefault="00E660F2" w:rsidP="008F0588">
            <w:pPr>
              <w:rPr>
                <w:b/>
                <w:sz w:val="18"/>
                <w:szCs w:val="18"/>
              </w:rPr>
            </w:pPr>
            <w:r w:rsidRPr="00EF7020">
              <w:rPr>
                <w:b/>
                <w:sz w:val="18"/>
                <w:szCs w:val="18"/>
                <w:lang w:val="en-US"/>
              </w:rPr>
              <w:t>Speech disorder</w:t>
            </w:r>
          </w:p>
        </w:tc>
        <w:tc>
          <w:tcPr>
            <w:tcW w:w="992" w:type="dxa"/>
          </w:tcPr>
          <w:p w:rsidR="00E660F2" w:rsidRPr="00EF7020" w:rsidRDefault="00E660F2" w:rsidP="008F0588">
            <w:pPr>
              <w:rPr>
                <w:rFonts w:eastAsiaTheme="minorHAnsi"/>
                <w:sz w:val="18"/>
                <w:szCs w:val="18"/>
              </w:rPr>
            </w:pPr>
            <w:r w:rsidRPr="00EF7020">
              <w:rPr>
                <w:rFonts w:eastAsiaTheme="minorHAnsi"/>
                <w:sz w:val="18"/>
                <w:szCs w:val="18"/>
              </w:rPr>
              <w:t>0</w:t>
            </w:r>
          </w:p>
        </w:tc>
        <w:tc>
          <w:tcPr>
            <w:tcW w:w="1559" w:type="dxa"/>
          </w:tcPr>
          <w:p w:rsidR="00E660F2" w:rsidRPr="00EF7020" w:rsidRDefault="00E660F2" w:rsidP="008F0588">
            <w:pPr>
              <w:rPr>
                <w:sz w:val="18"/>
                <w:szCs w:val="18"/>
              </w:rPr>
            </w:pPr>
            <w:r w:rsidRPr="00EF7020">
              <w:rPr>
                <w:sz w:val="18"/>
                <w:szCs w:val="18"/>
              </w:rPr>
              <w:t>0.0</w:t>
            </w:r>
          </w:p>
        </w:tc>
        <w:tc>
          <w:tcPr>
            <w:tcW w:w="992" w:type="dxa"/>
          </w:tcPr>
          <w:p w:rsidR="00E660F2" w:rsidRPr="00EF7020" w:rsidRDefault="00E660F2" w:rsidP="008F0588">
            <w:pPr>
              <w:rPr>
                <w:sz w:val="18"/>
                <w:szCs w:val="18"/>
              </w:rPr>
            </w:pPr>
            <w:r w:rsidRPr="00EF7020">
              <w:rPr>
                <w:sz w:val="18"/>
                <w:szCs w:val="18"/>
              </w:rPr>
              <w:t>0.0</w:t>
            </w:r>
          </w:p>
        </w:tc>
        <w:tc>
          <w:tcPr>
            <w:tcW w:w="993" w:type="dxa"/>
          </w:tcPr>
          <w:p w:rsidR="00E660F2" w:rsidRPr="00EF7020" w:rsidRDefault="00E660F2" w:rsidP="008F0588">
            <w:pPr>
              <w:rPr>
                <w:rFonts w:eastAsiaTheme="minorHAnsi"/>
                <w:sz w:val="18"/>
                <w:szCs w:val="18"/>
              </w:rPr>
            </w:pPr>
            <w:r w:rsidRPr="00EF7020">
              <w:rPr>
                <w:rFonts w:eastAsiaTheme="minorHAnsi"/>
                <w:sz w:val="18"/>
                <w:szCs w:val="18"/>
              </w:rPr>
              <w:t>1</w:t>
            </w:r>
          </w:p>
        </w:tc>
        <w:tc>
          <w:tcPr>
            <w:tcW w:w="1559" w:type="dxa"/>
          </w:tcPr>
          <w:p w:rsidR="00E660F2" w:rsidRPr="00EF7020" w:rsidRDefault="00E660F2" w:rsidP="008F0588">
            <w:pPr>
              <w:rPr>
                <w:sz w:val="18"/>
                <w:szCs w:val="18"/>
              </w:rPr>
            </w:pPr>
            <w:r w:rsidRPr="00EF7020">
              <w:rPr>
                <w:sz w:val="18"/>
                <w:szCs w:val="18"/>
              </w:rPr>
              <w:t>0.3</w:t>
            </w:r>
          </w:p>
        </w:tc>
        <w:tc>
          <w:tcPr>
            <w:tcW w:w="992" w:type="dxa"/>
            <w:noWrap/>
            <w:hideMark/>
          </w:tcPr>
          <w:p w:rsidR="00E660F2" w:rsidRPr="00EF7020" w:rsidRDefault="00E660F2" w:rsidP="008F0588">
            <w:pPr>
              <w:rPr>
                <w:sz w:val="18"/>
                <w:szCs w:val="18"/>
              </w:rPr>
            </w:pPr>
            <w:r w:rsidRPr="00EF7020">
              <w:rPr>
                <w:sz w:val="18"/>
                <w:szCs w:val="18"/>
              </w:rPr>
              <w:t>0.2</w:t>
            </w:r>
          </w:p>
        </w:tc>
      </w:tr>
    </w:tbl>
    <w:p w:rsidR="00E660F2" w:rsidRDefault="00E660F2" w:rsidP="00E660F2">
      <w:r w:rsidRPr="001A46BC">
        <w:t>The Delegate commented that when adjusted for time on study and dose intensity, the difference between arms is approximately</w:t>
      </w:r>
      <w:r>
        <w:t xml:space="preserve"> 2.8 cases per 100 patient-years. </w:t>
      </w:r>
    </w:p>
    <w:p w:rsidR="00E660F2" w:rsidRDefault="00E660F2" w:rsidP="00E660F2">
      <w:r w:rsidRPr="007302CF">
        <w:rPr>
          <w:i/>
        </w:rPr>
        <w:t>Cognitive impairment</w:t>
      </w:r>
      <w:r>
        <w:rPr>
          <w:i/>
        </w:rPr>
        <w:t>:</w:t>
      </w:r>
      <w:r>
        <w:t xml:space="preserve"> The Australian clinical evaluator stated:</w:t>
      </w:r>
    </w:p>
    <w:p w:rsidR="00E660F2" w:rsidRPr="00085014" w:rsidRDefault="00E660F2" w:rsidP="00E660F2">
      <w:pPr>
        <w:ind w:left="720"/>
        <w:rPr>
          <w:i/>
        </w:rPr>
      </w:pPr>
      <w:r w:rsidRPr="00085014">
        <w:rPr>
          <w:i/>
        </w:rPr>
        <w:t>Dementia occurred more commonly in those on apalutamide – 8.3% v</w:t>
      </w:r>
      <w:r>
        <w:rPr>
          <w:i/>
        </w:rPr>
        <w:t>ersu</w:t>
      </w:r>
      <w:r w:rsidRPr="00085014">
        <w:rPr>
          <w:i/>
        </w:rPr>
        <w:t>s 5.8%. This information is important for prescribers and patients as any incremental deterioration may severely affect day-to-day functioning. Given the observed duration of treatment is much less than the likely duration of treatment based on the estimated median MFS, the magnitude of this increased risk is unknown. This should be considered as an ADR and included as such, in the PI.</w:t>
      </w:r>
    </w:p>
    <w:p w:rsidR="00E660F2" w:rsidRPr="00D178D0" w:rsidRDefault="00E660F2" w:rsidP="00E660F2">
      <w:r>
        <w:t>The sponsor responded:</w:t>
      </w:r>
    </w:p>
    <w:p w:rsidR="00E660F2" w:rsidRPr="00085014" w:rsidRDefault="00E660F2" w:rsidP="00E660F2">
      <w:pPr>
        <w:ind w:left="720"/>
        <w:rPr>
          <w:i/>
        </w:rPr>
      </w:pPr>
      <w:r w:rsidRPr="00085014">
        <w:rPr>
          <w:i/>
        </w:rPr>
        <w:t>Dementia did not meet the threshold for consideration as an ADR as it met the ≥1% threshold but did not occur at ≥ 5 events per 100 patient-years (P-Y). Thus, dementia is not considered to be an ADR.</w:t>
      </w:r>
    </w:p>
    <w:p w:rsidR="00E660F2" w:rsidRDefault="00E660F2" w:rsidP="00E660F2">
      <w:r>
        <w:t>The MedDRA SMQ for Dementia was used to review TEAEs in the pivotal trial with the following results (Table 29). Red text indicates rate per 100 PY was higher in the apalutamide arm.</w:t>
      </w:r>
    </w:p>
    <w:p w:rsidR="00E660F2" w:rsidRPr="004924EA" w:rsidRDefault="00E660F2" w:rsidP="002B2B5B">
      <w:pPr>
        <w:pStyle w:val="TableTitle"/>
        <w:pageBreakBefore/>
      </w:pPr>
      <w:r>
        <w:lastRenderedPageBreak/>
        <w:t>Table 29: MedDRA SMQ for Dementia</w:t>
      </w:r>
    </w:p>
    <w:tbl>
      <w:tblPr>
        <w:tblStyle w:val="TableTGAblue"/>
        <w:tblW w:w="9464" w:type="dxa"/>
        <w:tblLayout w:type="fixed"/>
        <w:tblLook w:val="04A0" w:firstRow="1" w:lastRow="0" w:firstColumn="1" w:lastColumn="0" w:noHBand="0" w:noVBand="1"/>
      </w:tblPr>
      <w:tblGrid>
        <w:gridCol w:w="2518"/>
        <w:gridCol w:w="1134"/>
        <w:gridCol w:w="1559"/>
        <w:gridCol w:w="993"/>
        <w:gridCol w:w="992"/>
        <w:gridCol w:w="1276"/>
        <w:gridCol w:w="992"/>
      </w:tblGrid>
      <w:tr w:rsidR="00E660F2" w:rsidRPr="00756969" w:rsidTr="008F0588">
        <w:trPr>
          <w:cnfStyle w:val="100000000000" w:firstRow="1" w:lastRow="0" w:firstColumn="0" w:lastColumn="0" w:oddVBand="0" w:evenVBand="0" w:oddHBand="0" w:evenHBand="0" w:firstRowFirstColumn="0" w:firstRowLastColumn="0" w:lastRowFirstColumn="0" w:lastRowLastColumn="0"/>
          <w:trHeight w:val="227"/>
        </w:trPr>
        <w:tc>
          <w:tcPr>
            <w:tcW w:w="2518" w:type="dxa"/>
            <w:noWrap/>
          </w:tcPr>
          <w:p w:rsidR="00E660F2" w:rsidRPr="00F86B82" w:rsidRDefault="00E660F2" w:rsidP="008F0588">
            <w:pPr>
              <w:rPr>
                <w:sz w:val="18"/>
                <w:szCs w:val="18"/>
              </w:rPr>
            </w:pPr>
          </w:p>
        </w:tc>
        <w:tc>
          <w:tcPr>
            <w:tcW w:w="3686" w:type="dxa"/>
            <w:gridSpan w:val="3"/>
          </w:tcPr>
          <w:p w:rsidR="00E660F2" w:rsidRPr="00F86B82" w:rsidRDefault="00E660F2" w:rsidP="008F0588">
            <w:pPr>
              <w:rPr>
                <w:iCs/>
                <w:sz w:val="18"/>
                <w:szCs w:val="18"/>
              </w:rPr>
            </w:pPr>
            <w:r w:rsidRPr="00F86B82">
              <w:rPr>
                <w:iCs/>
                <w:sz w:val="18"/>
                <w:szCs w:val="18"/>
              </w:rPr>
              <w:t>Apalutamide (n=803)</w:t>
            </w:r>
          </w:p>
        </w:tc>
        <w:tc>
          <w:tcPr>
            <w:tcW w:w="3260" w:type="dxa"/>
            <w:gridSpan w:val="3"/>
          </w:tcPr>
          <w:p w:rsidR="00E660F2" w:rsidRPr="00F86B82" w:rsidRDefault="00E660F2" w:rsidP="008F0588">
            <w:pPr>
              <w:rPr>
                <w:iCs/>
                <w:sz w:val="18"/>
                <w:szCs w:val="18"/>
              </w:rPr>
            </w:pPr>
            <w:r w:rsidRPr="00F86B82">
              <w:rPr>
                <w:iCs/>
                <w:sz w:val="18"/>
                <w:szCs w:val="18"/>
              </w:rPr>
              <w:t>Placebo (n=398)</w:t>
            </w:r>
          </w:p>
        </w:tc>
      </w:tr>
      <w:tr w:rsidR="00E660F2" w:rsidRPr="00756969" w:rsidTr="008F0588">
        <w:trPr>
          <w:trHeight w:val="227"/>
        </w:trPr>
        <w:tc>
          <w:tcPr>
            <w:tcW w:w="2518" w:type="dxa"/>
            <w:noWrap/>
          </w:tcPr>
          <w:p w:rsidR="00E660F2" w:rsidRPr="00F86B82" w:rsidRDefault="00E660F2" w:rsidP="008F0588">
            <w:pPr>
              <w:rPr>
                <w:b/>
                <w:color w:val="000000"/>
                <w:sz w:val="18"/>
                <w:szCs w:val="18"/>
              </w:rPr>
            </w:pPr>
            <w:r w:rsidRPr="00F86B82">
              <w:rPr>
                <w:b/>
                <w:color w:val="000000"/>
                <w:sz w:val="18"/>
                <w:szCs w:val="18"/>
              </w:rPr>
              <w:t>Subject-years of exposure / dose intensity</w:t>
            </w:r>
          </w:p>
        </w:tc>
        <w:tc>
          <w:tcPr>
            <w:tcW w:w="3686" w:type="dxa"/>
            <w:gridSpan w:val="3"/>
          </w:tcPr>
          <w:p w:rsidR="00E660F2" w:rsidRPr="00F86B82" w:rsidRDefault="00E660F2" w:rsidP="008F0588">
            <w:pPr>
              <w:rPr>
                <w:i/>
                <w:iCs/>
                <w:color w:val="000000"/>
                <w:sz w:val="18"/>
                <w:szCs w:val="18"/>
              </w:rPr>
            </w:pPr>
            <w:r w:rsidRPr="00F86B82">
              <w:rPr>
                <w:i/>
                <w:iCs/>
                <w:color w:val="000000"/>
                <w:sz w:val="18"/>
                <w:szCs w:val="18"/>
              </w:rPr>
              <w:t>1160.3 / 0.91</w:t>
            </w:r>
          </w:p>
        </w:tc>
        <w:tc>
          <w:tcPr>
            <w:tcW w:w="3260" w:type="dxa"/>
            <w:gridSpan w:val="3"/>
          </w:tcPr>
          <w:p w:rsidR="00E660F2" w:rsidRPr="00F86B82" w:rsidRDefault="00E660F2" w:rsidP="008F0588">
            <w:pPr>
              <w:rPr>
                <w:i/>
                <w:iCs/>
                <w:color w:val="000000"/>
                <w:sz w:val="18"/>
                <w:szCs w:val="18"/>
              </w:rPr>
            </w:pPr>
            <w:r w:rsidRPr="00F86B82">
              <w:rPr>
                <w:i/>
                <w:iCs/>
                <w:color w:val="000000"/>
                <w:sz w:val="18"/>
                <w:szCs w:val="18"/>
              </w:rPr>
              <w:t>411.3</w:t>
            </w:r>
          </w:p>
        </w:tc>
      </w:tr>
      <w:tr w:rsidR="00E660F2" w:rsidRPr="00756969" w:rsidTr="008F0588">
        <w:trPr>
          <w:trHeight w:val="227"/>
        </w:trPr>
        <w:tc>
          <w:tcPr>
            <w:tcW w:w="2518" w:type="dxa"/>
            <w:noWrap/>
            <w:hideMark/>
          </w:tcPr>
          <w:p w:rsidR="00E660F2" w:rsidRPr="00F86B82" w:rsidRDefault="00E660F2" w:rsidP="008F0588">
            <w:pPr>
              <w:rPr>
                <w:b/>
                <w:color w:val="000000"/>
                <w:sz w:val="18"/>
                <w:szCs w:val="18"/>
              </w:rPr>
            </w:pPr>
          </w:p>
        </w:tc>
        <w:tc>
          <w:tcPr>
            <w:tcW w:w="1134" w:type="dxa"/>
          </w:tcPr>
          <w:p w:rsidR="00E660F2" w:rsidRPr="00F86B82" w:rsidRDefault="00E660F2" w:rsidP="008F0588">
            <w:pPr>
              <w:rPr>
                <w:i/>
                <w:iCs/>
                <w:color w:val="000000"/>
                <w:sz w:val="18"/>
                <w:szCs w:val="18"/>
              </w:rPr>
            </w:pPr>
            <w:r w:rsidRPr="00F86B82">
              <w:rPr>
                <w:i/>
                <w:iCs/>
                <w:color w:val="000000"/>
                <w:sz w:val="18"/>
                <w:szCs w:val="18"/>
              </w:rPr>
              <w:t>Cases</w:t>
            </w:r>
          </w:p>
        </w:tc>
        <w:tc>
          <w:tcPr>
            <w:tcW w:w="1559" w:type="dxa"/>
          </w:tcPr>
          <w:p w:rsidR="00E660F2" w:rsidRPr="00F86B82" w:rsidRDefault="00E660F2" w:rsidP="008F0588">
            <w:pPr>
              <w:rPr>
                <w:i/>
                <w:iCs/>
                <w:color w:val="000000"/>
                <w:sz w:val="18"/>
                <w:szCs w:val="18"/>
              </w:rPr>
            </w:pPr>
            <w:r>
              <w:rPr>
                <w:i/>
                <w:iCs/>
                <w:color w:val="000000"/>
                <w:sz w:val="18"/>
                <w:szCs w:val="18"/>
              </w:rPr>
              <w:t>I</w:t>
            </w:r>
            <w:r w:rsidRPr="00F86B82">
              <w:rPr>
                <w:i/>
                <w:iCs/>
                <w:color w:val="000000"/>
                <w:sz w:val="18"/>
                <w:szCs w:val="18"/>
              </w:rPr>
              <w:t>ncidence (unadjusted)</w:t>
            </w:r>
          </w:p>
        </w:tc>
        <w:tc>
          <w:tcPr>
            <w:tcW w:w="993" w:type="dxa"/>
          </w:tcPr>
          <w:p w:rsidR="00E660F2" w:rsidRPr="00F86B82" w:rsidRDefault="00E660F2" w:rsidP="008F0588">
            <w:pPr>
              <w:rPr>
                <w:i/>
                <w:iCs/>
                <w:color w:val="000000"/>
                <w:sz w:val="18"/>
                <w:szCs w:val="18"/>
              </w:rPr>
            </w:pPr>
            <w:r w:rsidRPr="00F86B82">
              <w:rPr>
                <w:i/>
                <w:iCs/>
                <w:color w:val="000000"/>
                <w:sz w:val="18"/>
                <w:szCs w:val="18"/>
              </w:rPr>
              <w:t>Total per 100</w:t>
            </w:r>
            <w:r>
              <w:rPr>
                <w:i/>
                <w:iCs/>
                <w:color w:val="000000"/>
                <w:sz w:val="18"/>
                <w:szCs w:val="18"/>
              </w:rPr>
              <w:t xml:space="preserve"> PY</w:t>
            </w:r>
          </w:p>
        </w:tc>
        <w:tc>
          <w:tcPr>
            <w:tcW w:w="992" w:type="dxa"/>
          </w:tcPr>
          <w:p w:rsidR="00E660F2" w:rsidRPr="00F86B82" w:rsidRDefault="00E660F2" w:rsidP="008F0588">
            <w:pPr>
              <w:rPr>
                <w:i/>
                <w:iCs/>
                <w:color w:val="000000"/>
                <w:sz w:val="18"/>
                <w:szCs w:val="18"/>
              </w:rPr>
            </w:pPr>
            <w:r w:rsidRPr="00F86B82">
              <w:rPr>
                <w:i/>
                <w:iCs/>
                <w:color w:val="000000"/>
                <w:sz w:val="18"/>
                <w:szCs w:val="18"/>
              </w:rPr>
              <w:t>Cases</w:t>
            </w:r>
          </w:p>
        </w:tc>
        <w:tc>
          <w:tcPr>
            <w:tcW w:w="1276" w:type="dxa"/>
          </w:tcPr>
          <w:p w:rsidR="00E660F2" w:rsidRPr="00F86B82" w:rsidRDefault="00E660F2" w:rsidP="008F0588">
            <w:pPr>
              <w:rPr>
                <w:i/>
                <w:iCs/>
                <w:color w:val="000000"/>
                <w:sz w:val="18"/>
                <w:szCs w:val="18"/>
              </w:rPr>
            </w:pPr>
            <w:r>
              <w:rPr>
                <w:i/>
                <w:iCs/>
                <w:color w:val="000000"/>
                <w:sz w:val="18"/>
                <w:szCs w:val="18"/>
              </w:rPr>
              <w:t>I</w:t>
            </w:r>
            <w:r w:rsidRPr="00F86B82">
              <w:rPr>
                <w:i/>
                <w:iCs/>
                <w:color w:val="000000"/>
                <w:sz w:val="18"/>
                <w:szCs w:val="18"/>
              </w:rPr>
              <w:t>ncidence (unadjusted)</w:t>
            </w:r>
          </w:p>
        </w:tc>
        <w:tc>
          <w:tcPr>
            <w:tcW w:w="992" w:type="dxa"/>
            <w:noWrap/>
            <w:hideMark/>
          </w:tcPr>
          <w:p w:rsidR="00E660F2" w:rsidRPr="00F86B82" w:rsidRDefault="00E660F2" w:rsidP="008F0588">
            <w:pPr>
              <w:rPr>
                <w:i/>
                <w:iCs/>
                <w:color w:val="000000"/>
                <w:sz w:val="18"/>
                <w:szCs w:val="18"/>
              </w:rPr>
            </w:pPr>
            <w:r w:rsidRPr="00F86B82">
              <w:rPr>
                <w:i/>
                <w:iCs/>
                <w:color w:val="000000"/>
                <w:sz w:val="18"/>
                <w:szCs w:val="18"/>
              </w:rPr>
              <w:t>Total per 100</w:t>
            </w:r>
            <w:r>
              <w:rPr>
                <w:i/>
                <w:iCs/>
                <w:color w:val="000000"/>
                <w:sz w:val="18"/>
                <w:szCs w:val="18"/>
              </w:rPr>
              <w:t xml:space="preserve"> PY</w:t>
            </w:r>
          </w:p>
        </w:tc>
      </w:tr>
      <w:tr w:rsidR="00E660F2" w:rsidRPr="00756969" w:rsidTr="008F0588">
        <w:trPr>
          <w:trHeight w:val="227"/>
        </w:trPr>
        <w:tc>
          <w:tcPr>
            <w:tcW w:w="2518" w:type="dxa"/>
            <w:noWrap/>
            <w:hideMark/>
          </w:tcPr>
          <w:p w:rsidR="00E660F2" w:rsidRPr="00F86B82" w:rsidRDefault="00E660F2" w:rsidP="008F0588">
            <w:pPr>
              <w:rPr>
                <w:b/>
                <w:bCs/>
                <w:color w:val="000000"/>
                <w:sz w:val="18"/>
                <w:szCs w:val="18"/>
              </w:rPr>
            </w:pPr>
            <w:r w:rsidRPr="00F86B82">
              <w:rPr>
                <w:b/>
                <w:bCs/>
                <w:color w:val="FF0000"/>
                <w:sz w:val="18"/>
                <w:szCs w:val="18"/>
                <w:lang w:val="en-US"/>
              </w:rPr>
              <w:t>Number of distinct TEAEs in DEMENTIA SMQ</w:t>
            </w:r>
          </w:p>
        </w:tc>
        <w:tc>
          <w:tcPr>
            <w:tcW w:w="1134" w:type="dxa"/>
          </w:tcPr>
          <w:p w:rsidR="00E660F2" w:rsidRPr="00F86B82" w:rsidRDefault="00E660F2" w:rsidP="008F0588">
            <w:pPr>
              <w:rPr>
                <w:bCs/>
                <w:color w:val="000000"/>
                <w:sz w:val="18"/>
                <w:szCs w:val="18"/>
              </w:rPr>
            </w:pPr>
            <w:r w:rsidRPr="00F86B82">
              <w:rPr>
                <w:bCs/>
                <w:color w:val="000000"/>
                <w:sz w:val="18"/>
                <w:szCs w:val="18"/>
              </w:rPr>
              <w:t>95</w:t>
            </w:r>
          </w:p>
        </w:tc>
        <w:tc>
          <w:tcPr>
            <w:tcW w:w="1559" w:type="dxa"/>
          </w:tcPr>
          <w:p w:rsidR="00E660F2" w:rsidRPr="00F86B82" w:rsidRDefault="00E660F2" w:rsidP="008F0588">
            <w:pPr>
              <w:rPr>
                <w:color w:val="000000"/>
                <w:sz w:val="18"/>
                <w:szCs w:val="18"/>
              </w:rPr>
            </w:pPr>
            <w:r w:rsidRPr="00F86B82">
              <w:rPr>
                <w:color w:val="000000"/>
                <w:sz w:val="18"/>
                <w:szCs w:val="18"/>
              </w:rPr>
              <w:t>11.8</w:t>
            </w:r>
          </w:p>
        </w:tc>
        <w:tc>
          <w:tcPr>
            <w:tcW w:w="993" w:type="dxa"/>
          </w:tcPr>
          <w:p w:rsidR="00E660F2" w:rsidRPr="00F86B82" w:rsidRDefault="00E660F2" w:rsidP="008F0588">
            <w:pPr>
              <w:rPr>
                <w:bCs/>
                <w:color w:val="000000"/>
                <w:sz w:val="18"/>
                <w:szCs w:val="18"/>
              </w:rPr>
            </w:pPr>
            <w:r w:rsidRPr="00F86B82">
              <w:rPr>
                <w:bCs/>
                <w:color w:val="000000"/>
                <w:sz w:val="18"/>
                <w:szCs w:val="18"/>
              </w:rPr>
              <w:t>9.0</w:t>
            </w:r>
          </w:p>
        </w:tc>
        <w:tc>
          <w:tcPr>
            <w:tcW w:w="992" w:type="dxa"/>
          </w:tcPr>
          <w:p w:rsidR="00E660F2" w:rsidRPr="00F86B82" w:rsidRDefault="00E660F2" w:rsidP="008F0588">
            <w:pPr>
              <w:rPr>
                <w:bCs/>
                <w:color w:val="000000"/>
                <w:sz w:val="18"/>
                <w:szCs w:val="18"/>
              </w:rPr>
            </w:pPr>
            <w:r w:rsidRPr="00F86B82">
              <w:rPr>
                <w:bCs/>
                <w:color w:val="000000"/>
                <w:sz w:val="18"/>
                <w:szCs w:val="18"/>
              </w:rPr>
              <w:t>24</w:t>
            </w:r>
          </w:p>
        </w:tc>
        <w:tc>
          <w:tcPr>
            <w:tcW w:w="1276" w:type="dxa"/>
          </w:tcPr>
          <w:p w:rsidR="00E660F2" w:rsidRPr="00F86B82" w:rsidRDefault="00E660F2" w:rsidP="008F0588">
            <w:pPr>
              <w:rPr>
                <w:color w:val="000000"/>
                <w:sz w:val="18"/>
                <w:szCs w:val="18"/>
              </w:rPr>
            </w:pPr>
            <w:r w:rsidRPr="00F86B82">
              <w:rPr>
                <w:color w:val="000000"/>
                <w:sz w:val="18"/>
                <w:szCs w:val="18"/>
              </w:rPr>
              <w:t>6.0</w:t>
            </w:r>
          </w:p>
        </w:tc>
        <w:tc>
          <w:tcPr>
            <w:tcW w:w="992" w:type="dxa"/>
            <w:noWrap/>
            <w:hideMark/>
          </w:tcPr>
          <w:p w:rsidR="00E660F2" w:rsidRPr="00F86B82" w:rsidRDefault="00E660F2" w:rsidP="008F0588">
            <w:pPr>
              <w:rPr>
                <w:bCs/>
                <w:color w:val="000000"/>
                <w:sz w:val="18"/>
                <w:szCs w:val="18"/>
              </w:rPr>
            </w:pPr>
            <w:r w:rsidRPr="00F86B82">
              <w:rPr>
                <w:bCs/>
                <w:color w:val="000000"/>
                <w:sz w:val="18"/>
                <w:szCs w:val="18"/>
              </w:rPr>
              <w:t>5.8</w:t>
            </w:r>
          </w:p>
        </w:tc>
      </w:tr>
      <w:tr w:rsidR="00E660F2" w:rsidRPr="00756969" w:rsidTr="008F0588">
        <w:trPr>
          <w:trHeight w:val="227"/>
        </w:trPr>
        <w:tc>
          <w:tcPr>
            <w:tcW w:w="2518" w:type="dxa"/>
            <w:noWrap/>
          </w:tcPr>
          <w:p w:rsidR="00E660F2" w:rsidRPr="00F86B82" w:rsidRDefault="00E660F2" w:rsidP="008F0588">
            <w:pPr>
              <w:rPr>
                <w:b/>
                <w:color w:val="FF0000"/>
                <w:sz w:val="18"/>
                <w:szCs w:val="18"/>
              </w:rPr>
            </w:pPr>
            <w:r w:rsidRPr="00F86B82">
              <w:rPr>
                <w:b/>
                <w:color w:val="FF0000"/>
                <w:sz w:val="18"/>
                <w:szCs w:val="18"/>
              </w:rPr>
              <w:t>Feeling abnormal</w:t>
            </w:r>
          </w:p>
        </w:tc>
        <w:tc>
          <w:tcPr>
            <w:tcW w:w="1134" w:type="dxa"/>
          </w:tcPr>
          <w:p w:rsidR="00E660F2" w:rsidRPr="00F86B82" w:rsidRDefault="00E660F2" w:rsidP="008F0588">
            <w:pPr>
              <w:rPr>
                <w:color w:val="000000"/>
                <w:sz w:val="18"/>
                <w:szCs w:val="18"/>
              </w:rPr>
            </w:pPr>
            <w:r w:rsidRPr="00F86B82">
              <w:rPr>
                <w:color w:val="000000"/>
                <w:sz w:val="18"/>
                <w:szCs w:val="18"/>
              </w:rPr>
              <w:t>2</w:t>
            </w:r>
          </w:p>
        </w:tc>
        <w:tc>
          <w:tcPr>
            <w:tcW w:w="1559" w:type="dxa"/>
          </w:tcPr>
          <w:p w:rsidR="00E660F2" w:rsidRPr="00F86B82" w:rsidRDefault="00E660F2" w:rsidP="008F0588">
            <w:pPr>
              <w:rPr>
                <w:color w:val="000000"/>
                <w:sz w:val="18"/>
                <w:szCs w:val="18"/>
              </w:rPr>
            </w:pPr>
            <w:r w:rsidRPr="00F86B82">
              <w:rPr>
                <w:color w:val="000000"/>
                <w:sz w:val="18"/>
                <w:szCs w:val="18"/>
              </w:rPr>
              <w:t>0.2</w:t>
            </w:r>
          </w:p>
        </w:tc>
        <w:tc>
          <w:tcPr>
            <w:tcW w:w="993" w:type="dxa"/>
          </w:tcPr>
          <w:p w:rsidR="00E660F2" w:rsidRPr="00F86B82" w:rsidRDefault="00E660F2" w:rsidP="008F0588">
            <w:pPr>
              <w:rPr>
                <w:color w:val="000000"/>
                <w:sz w:val="18"/>
                <w:szCs w:val="18"/>
              </w:rPr>
            </w:pPr>
            <w:r w:rsidRPr="00F86B82">
              <w:rPr>
                <w:color w:val="000000"/>
                <w:sz w:val="18"/>
                <w:szCs w:val="18"/>
              </w:rPr>
              <w:t>0.2</w:t>
            </w:r>
          </w:p>
        </w:tc>
        <w:tc>
          <w:tcPr>
            <w:tcW w:w="992" w:type="dxa"/>
          </w:tcPr>
          <w:p w:rsidR="00E660F2" w:rsidRPr="00F86B82" w:rsidRDefault="00E660F2" w:rsidP="008F0588">
            <w:pPr>
              <w:rPr>
                <w:color w:val="000000"/>
                <w:sz w:val="18"/>
                <w:szCs w:val="18"/>
              </w:rPr>
            </w:pPr>
            <w:r w:rsidRPr="00F86B82">
              <w:rPr>
                <w:color w:val="000000"/>
                <w:sz w:val="18"/>
                <w:szCs w:val="18"/>
              </w:rPr>
              <w:t>0</w:t>
            </w:r>
          </w:p>
        </w:tc>
        <w:tc>
          <w:tcPr>
            <w:tcW w:w="1276" w:type="dxa"/>
          </w:tcPr>
          <w:p w:rsidR="00E660F2" w:rsidRPr="00F86B82" w:rsidRDefault="00E660F2" w:rsidP="008F0588">
            <w:pPr>
              <w:rPr>
                <w:color w:val="000000"/>
                <w:sz w:val="18"/>
                <w:szCs w:val="18"/>
              </w:rPr>
            </w:pPr>
            <w:r w:rsidRPr="00F86B82">
              <w:rPr>
                <w:color w:val="000000"/>
                <w:sz w:val="18"/>
                <w:szCs w:val="18"/>
              </w:rPr>
              <w:t>0.0</w:t>
            </w:r>
          </w:p>
        </w:tc>
        <w:tc>
          <w:tcPr>
            <w:tcW w:w="992" w:type="dxa"/>
            <w:noWrap/>
          </w:tcPr>
          <w:p w:rsidR="00E660F2" w:rsidRPr="00F86B82" w:rsidRDefault="00E660F2" w:rsidP="008F0588">
            <w:pPr>
              <w:rPr>
                <w:color w:val="000000"/>
                <w:sz w:val="18"/>
                <w:szCs w:val="18"/>
              </w:rPr>
            </w:pPr>
            <w:r w:rsidRPr="00F86B82">
              <w:rPr>
                <w:color w:val="000000"/>
                <w:sz w:val="18"/>
                <w:szCs w:val="18"/>
              </w:rPr>
              <w:t>0.0</w:t>
            </w:r>
          </w:p>
        </w:tc>
      </w:tr>
      <w:tr w:rsidR="00E660F2" w:rsidRPr="00756969" w:rsidTr="008F0588">
        <w:trPr>
          <w:trHeight w:val="227"/>
        </w:trPr>
        <w:tc>
          <w:tcPr>
            <w:tcW w:w="2518" w:type="dxa"/>
            <w:noWrap/>
          </w:tcPr>
          <w:p w:rsidR="00E660F2" w:rsidRPr="00F86B82" w:rsidRDefault="00E660F2" w:rsidP="008F0588">
            <w:pPr>
              <w:rPr>
                <w:b/>
                <w:color w:val="FF0000"/>
                <w:sz w:val="18"/>
                <w:szCs w:val="18"/>
              </w:rPr>
            </w:pPr>
            <w:r w:rsidRPr="00F86B82">
              <w:rPr>
                <w:b/>
                <w:color w:val="FF0000"/>
                <w:sz w:val="18"/>
                <w:szCs w:val="18"/>
              </w:rPr>
              <w:t>Amnesia</w:t>
            </w:r>
          </w:p>
        </w:tc>
        <w:tc>
          <w:tcPr>
            <w:tcW w:w="1134" w:type="dxa"/>
          </w:tcPr>
          <w:p w:rsidR="00E660F2" w:rsidRPr="00F86B82" w:rsidRDefault="00E660F2" w:rsidP="008F0588">
            <w:pPr>
              <w:rPr>
                <w:color w:val="000000"/>
                <w:sz w:val="18"/>
                <w:szCs w:val="18"/>
              </w:rPr>
            </w:pPr>
            <w:r w:rsidRPr="00F86B82">
              <w:rPr>
                <w:color w:val="000000"/>
                <w:sz w:val="18"/>
                <w:szCs w:val="18"/>
              </w:rPr>
              <w:t>15</w:t>
            </w:r>
          </w:p>
        </w:tc>
        <w:tc>
          <w:tcPr>
            <w:tcW w:w="1559" w:type="dxa"/>
          </w:tcPr>
          <w:p w:rsidR="00E660F2" w:rsidRPr="00F86B82" w:rsidRDefault="00E660F2" w:rsidP="008F0588">
            <w:pPr>
              <w:rPr>
                <w:color w:val="000000"/>
                <w:sz w:val="18"/>
                <w:szCs w:val="18"/>
              </w:rPr>
            </w:pPr>
            <w:r w:rsidRPr="00F86B82">
              <w:rPr>
                <w:color w:val="000000"/>
                <w:sz w:val="18"/>
                <w:szCs w:val="18"/>
              </w:rPr>
              <w:t>1.9</w:t>
            </w:r>
          </w:p>
        </w:tc>
        <w:tc>
          <w:tcPr>
            <w:tcW w:w="993" w:type="dxa"/>
          </w:tcPr>
          <w:p w:rsidR="00E660F2" w:rsidRPr="00F86B82" w:rsidRDefault="00E660F2" w:rsidP="008F0588">
            <w:pPr>
              <w:rPr>
                <w:color w:val="000000"/>
                <w:sz w:val="18"/>
                <w:szCs w:val="18"/>
              </w:rPr>
            </w:pPr>
            <w:r w:rsidRPr="00F86B82">
              <w:rPr>
                <w:color w:val="000000"/>
                <w:sz w:val="18"/>
                <w:szCs w:val="18"/>
              </w:rPr>
              <w:t>1.4</w:t>
            </w:r>
          </w:p>
        </w:tc>
        <w:tc>
          <w:tcPr>
            <w:tcW w:w="992" w:type="dxa"/>
          </w:tcPr>
          <w:p w:rsidR="00E660F2" w:rsidRPr="00F86B82" w:rsidRDefault="00E660F2" w:rsidP="008F0588">
            <w:pPr>
              <w:rPr>
                <w:color w:val="000000"/>
                <w:sz w:val="18"/>
                <w:szCs w:val="18"/>
              </w:rPr>
            </w:pPr>
            <w:r w:rsidRPr="00F86B82">
              <w:rPr>
                <w:color w:val="000000"/>
                <w:sz w:val="18"/>
                <w:szCs w:val="18"/>
              </w:rPr>
              <w:t>4</w:t>
            </w:r>
          </w:p>
        </w:tc>
        <w:tc>
          <w:tcPr>
            <w:tcW w:w="1276" w:type="dxa"/>
          </w:tcPr>
          <w:p w:rsidR="00E660F2" w:rsidRPr="00F86B82" w:rsidRDefault="00E660F2" w:rsidP="008F0588">
            <w:pPr>
              <w:rPr>
                <w:color w:val="000000"/>
                <w:sz w:val="18"/>
                <w:szCs w:val="18"/>
              </w:rPr>
            </w:pPr>
            <w:r w:rsidRPr="00F86B82">
              <w:rPr>
                <w:color w:val="000000"/>
                <w:sz w:val="18"/>
                <w:szCs w:val="18"/>
              </w:rPr>
              <w:t>1.0</w:t>
            </w:r>
          </w:p>
        </w:tc>
        <w:tc>
          <w:tcPr>
            <w:tcW w:w="992" w:type="dxa"/>
            <w:noWrap/>
          </w:tcPr>
          <w:p w:rsidR="00E660F2" w:rsidRPr="00F86B82" w:rsidRDefault="00E660F2" w:rsidP="008F0588">
            <w:pPr>
              <w:rPr>
                <w:color w:val="000000"/>
                <w:sz w:val="18"/>
                <w:szCs w:val="18"/>
              </w:rPr>
            </w:pPr>
            <w:r w:rsidRPr="00F86B82">
              <w:rPr>
                <w:color w:val="000000"/>
                <w:sz w:val="18"/>
                <w:szCs w:val="18"/>
              </w:rPr>
              <w:t>1.0</w:t>
            </w:r>
          </w:p>
        </w:tc>
      </w:tr>
      <w:tr w:rsidR="00E660F2" w:rsidRPr="00756969" w:rsidTr="008F0588">
        <w:trPr>
          <w:trHeight w:val="227"/>
        </w:trPr>
        <w:tc>
          <w:tcPr>
            <w:tcW w:w="2518" w:type="dxa"/>
            <w:noWrap/>
          </w:tcPr>
          <w:p w:rsidR="00E660F2" w:rsidRPr="00F86B82" w:rsidRDefault="00E660F2" w:rsidP="008F0588">
            <w:pPr>
              <w:rPr>
                <w:b/>
                <w:color w:val="000000"/>
                <w:sz w:val="18"/>
                <w:szCs w:val="18"/>
              </w:rPr>
            </w:pPr>
            <w:r w:rsidRPr="00F86B82">
              <w:rPr>
                <w:b/>
                <w:color w:val="000000"/>
                <w:sz w:val="18"/>
                <w:szCs w:val="18"/>
              </w:rPr>
              <w:t>Memory impairment</w:t>
            </w:r>
          </w:p>
        </w:tc>
        <w:tc>
          <w:tcPr>
            <w:tcW w:w="1134" w:type="dxa"/>
          </w:tcPr>
          <w:p w:rsidR="00E660F2" w:rsidRPr="00F86B82" w:rsidRDefault="00E660F2" w:rsidP="008F0588">
            <w:pPr>
              <w:rPr>
                <w:color w:val="000000"/>
                <w:sz w:val="18"/>
                <w:szCs w:val="18"/>
              </w:rPr>
            </w:pPr>
            <w:r w:rsidRPr="00F86B82">
              <w:rPr>
                <w:color w:val="000000"/>
                <w:sz w:val="18"/>
                <w:szCs w:val="18"/>
              </w:rPr>
              <w:t>13</w:t>
            </w:r>
          </w:p>
        </w:tc>
        <w:tc>
          <w:tcPr>
            <w:tcW w:w="1559" w:type="dxa"/>
          </w:tcPr>
          <w:p w:rsidR="00E660F2" w:rsidRPr="00F86B82" w:rsidRDefault="00E660F2" w:rsidP="008F0588">
            <w:pPr>
              <w:rPr>
                <w:color w:val="000000"/>
                <w:sz w:val="18"/>
                <w:szCs w:val="18"/>
              </w:rPr>
            </w:pPr>
            <w:r w:rsidRPr="00F86B82">
              <w:rPr>
                <w:color w:val="000000"/>
                <w:sz w:val="18"/>
                <w:szCs w:val="18"/>
              </w:rPr>
              <w:t>1.6</w:t>
            </w:r>
          </w:p>
        </w:tc>
        <w:tc>
          <w:tcPr>
            <w:tcW w:w="993" w:type="dxa"/>
          </w:tcPr>
          <w:p w:rsidR="00E660F2" w:rsidRPr="00F86B82" w:rsidRDefault="00E660F2" w:rsidP="008F0588">
            <w:pPr>
              <w:rPr>
                <w:color w:val="000000"/>
                <w:sz w:val="18"/>
                <w:szCs w:val="18"/>
              </w:rPr>
            </w:pPr>
            <w:r w:rsidRPr="00F86B82">
              <w:rPr>
                <w:color w:val="000000"/>
                <w:sz w:val="18"/>
                <w:szCs w:val="18"/>
              </w:rPr>
              <w:t>1.2</w:t>
            </w:r>
          </w:p>
        </w:tc>
        <w:tc>
          <w:tcPr>
            <w:tcW w:w="992" w:type="dxa"/>
          </w:tcPr>
          <w:p w:rsidR="00E660F2" w:rsidRPr="00F86B82" w:rsidRDefault="00E660F2" w:rsidP="008F0588">
            <w:pPr>
              <w:rPr>
                <w:color w:val="000000"/>
                <w:sz w:val="18"/>
                <w:szCs w:val="18"/>
              </w:rPr>
            </w:pPr>
            <w:r w:rsidRPr="00F86B82">
              <w:rPr>
                <w:color w:val="000000"/>
                <w:sz w:val="18"/>
                <w:szCs w:val="18"/>
              </w:rPr>
              <w:t>6</w:t>
            </w:r>
          </w:p>
        </w:tc>
        <w:tc>
          <w:tcPr>
            <w:tcW w:w="1276" w:type="dxa"/>
          </w:tcPr>
          <w:p w:rsidR="00E660F2" w:rsidRPr="00F86B82" w:rsidRDefault="00E660F2" w:rsidP="008F0588">
            <w:pPr>
              <w:rPr>
                <w:color w:val="000000"/>
                <w:sz w:val="18"/>
                <w:szCs w:val="18"/>
              </w:rPr>
            </w:pPr>
            <w:r w:rsidRPr="00F86B82">
              <w:rPr>
                <w:color w:val="000000"/>
                <w:sz w:val="18"/>
                <w:szCs w:val="18"/>
              </w:rPr>
              <w:t>1.5</w:t>
            </w:r>
          </w:p>
        </w:tc>
        <w:tc>
          <w:tcPr>
            <w:tcW w:w="992" w:type="dxa"/>
            <w:noWrap/>
          </w:tcPr>
          <w:p w:rsidR="00E660F2" w:rsidRPr="00F86B82" w:rsidRDefault="00E660F2" w:rsidP="008F0588">
            <w:pPr>
              <w:rPr>
                <w:color w:val="000000"/>
                <w:sz w:val="18"/>
                <w:szCs w:val="18"/>
              </w:rPr>
            </w:pPr>
            <w:r w:rsidRPr="00F86B82">
              <w:rPr>
                <w:color w:val="000000"/>
                <w:sz w:val="18"/>
                <w:szCs w:val="18"/>
              </w:rPr>
              <w:t>1.5</w:t>
            </w:r>
          </w:p>
        </w:tc>
      </w:tr>
      <w:tr w:rsidR="00E660F2" w:rsidRPr="00756969" w:rsidTr="008F0588">
        <w:trPr>
          <w:trHeight w:val="227"/>
        </w:trPr>
        <w:tc>
          <w:tcPr>
            <w:tcW w:w="2518" w:type="dxa"/>
            <w:noWrap/>
          </w:tcPr>
          <w:p w:rsidR="00E660F2" w:rsidRPr="00F86B82" w:rsidRDefault="00E660F2" w:rsidP="008F0588">
            <w:pPr>
              <w:rPr>
                <w:b/>
                <w:color w:val="FF0000"/>
                <w:sz w:val="18"/>
                <w:szCs w:val="18"/>
              </w:rPr>
            </w:pPr>
            <w:r w:rsidRPr="00F86B82">
              <w:rPr>
                <w:b/>
                <w:color w:val="FF0000"/>
                <w:sz w:val="18"/>
                <w:szCs w:val="18"/>
              </w:rPr>
              <w:t>Somnolence</w:t>
            </w:r>
          </w:p>
        </w:tc>
        <w:tc>
          <w:tcPr>
            <w:tcW w:w="1134" w:type="dxa"/>
          </w:tcPr>
          <w:p w:rsidR="00E660F2" w:rsidRPr="00F86B82" w:rsidRDefault="00E660F2" w:rsidP="008F0588">
            <w:pPr>
              <w:rPr>
                <w:color w:val="000000"/>
                <w:sz w:val="18"/>
                <w:szCs w:val="18"/>
              </w:rPr>
            </w:pPr>
            <w:r w:rsidRPr="00F86B82">
              <w:rPr>
                <w:color w:val="000000"/>
                <w:sz w:val="18"/>
                <w:szCs w:val="18"/>
              </w:rPr>
              <w:t>12</w:t>
            </w:r>
          </w:p>
        </w:tc>
        <w:tc>
          <w:tcPr>
            <w:tcW w:w="1559" w:type="dxa"/>
          </w:tcPr>
          <w:p w:rsidR="00E660F2" w:rsidRPr="00F86B82" w:rsidRDefault="00E660F2" w:rsidP="008F0588">
            <w:pPr>
              <w:rPr>
                <w:color w:val="000000"/>
                <w:sz w:val="18"/>
                <w:szCs w:val="18"/>
              </w:rPr>
            </w:pPr>
            <w:r w:rsidRPr="00F86B82">
              <w:rPr>
                <w:color w:val="000000"/>
                <w:sz w:val="18"/>
                <w:szCs w:val="18"/>
              </w:rPr>
              <w:t>1.5</w:t>
            </w:r>
          </w:p>
        </w:tc>
        <w:tc>
          <w:tcPr>
            <w:tcW w:w="993" w:type="dxa"/>
          </w:tcPr>
          <w:p w:rsidR="00E660F2" w:rsidRPr="00F86B82" w:rsidRDefault="00E660F2" w:rsidP="008F0588">
            <w:pPr>
              <w:rPr>
                <w:color w:val="000000"/>
                <w:sz w:val="18"/>
                <w:szCs w:val="18"/>
              </w:rPr>
            </w:pPr>
            <w:r w:rsidRPr="00F86B82">
              <w:rPr>
                <w:color w:val="000000"/>
                <w:sz w:val="18"/>
                <w:szCs w:val="18"/>
              </w:rPr>
              <w:t>1.1</w:t>
            </w:r>
          </w:p>
        </w:tc>
        <w:tc>
          <w:tcPr>
            <w:tcW w:w="992" w:type="dxa"/>
          </w:tcPr>
          <w:p w:rsidR="00E660F2" w:rsidRPr="00F86B82" w:rsidRDefault="00E660F2" w:rsidP="008F0588">
            <w:pPr>
              <w:rPr>
                <w:color w:val="000000"/>
                <w:sz w:val="18"/>
                <w:szCs w:val="18"/>
              </w:rPr>
            </w:pPr>
            <w:r w:rsidRPr="00F86B82">
              <w:rPr>
                <w:color w:val="000000"/>
                <w:sz w:val="18"/>
                <w:szCs w:val="18"/>
              </w:rPr>
              <w:t>1</w:t>
            </w:r>
          </w:p>
        </w:tc>
        <w:tc>
          <w:tcPr>
            <w:tcW w:w="1276" w:type="dxa"/>
          </w:tcPr>
          <w:p w:rsidR="00E660F2" w:rsidRPr="00F86B82" w:rsidRDefault="00E660F2" w:rsidP="008F0588">
            <w:pPr>
              <w:rPr>
                <w:color w:val="000000"/>
                <w:sz w:val="18"/>
                <w:szCs w:val="18"/>
              </w:rPr>
            </w:pPr>
            <w:r w:rsidRPr="00F86B82">
              <w:rPr>
                <w:color w:val="000000"/>
                <w:sz w:val="18"/>
                <w:szCs w:val="18"/>
              </w:rPr>
              <w:t>0.3</w:t>
            </w:r>
          </w:p>
        </w:tc>
        <w:tc>
          <w:tcPr>
            <w:tcW w:w="992" w:type="dxa"/>
            <w:noWrap/>
          </w:tcPr>
          <w:p w:rsidR="00E660F2" w:rsidRPr="00F86B82" w:rsidRDefault="00E660F2" w:rsidP="008F0588">
            <w:pPr>
              <w:rPr>
                <w:color w:val="000000"/>
                <w:sz w:val="18"/>
                <w:szCs w:val="18"/>
              </w:rPr>
            </w:pPr>
            <w:r w:rsidRPr="00F86B82">
              <w:rPr>
                <w:color w:val="000000"/>
                <w:sz w:val="18"/>
                <w:szCs w:val="18"/>
              </w:rPr>
              <w:t>0.2</w:t>
            </w:r>
          </w:p>
        </w:tc>
      </w:tr>
      <w:tr w:rsidR="00E660F2" w:rsidRPr="00756969" w:rsidTr="008F0588">
        <w:trPr>
          <w:trHeight w:val="227"/>
        </w:trPr>
        <w:tc>
          <w:tcPr>
            <w:tcW w:w="2518" w:type="dxa"/>
            <w:noWrap/>
          </w:tcPr>
          <w:p w:rsidR="00E660F2" w:rsidRPr="00F86B82" w:rsidRDefault="00E660F2" w:rsidP="008F0588">
            <w:pPr>
              <w:rPr>
                <w:b/>
                <w:color w:val="FF0000"/>
                <w:sz w:val="18"/>
                <w:szCs w:val="18"/>
              </w:rPr>
            </w:pPr>
            <w:r w:rsidRPr="00F86B82">
              <w:rPr>
                <w:b/>
                <w:color w:val="FF0000"/>
                <w:sz w:val="18"/>
                <w:szCs w:val="18"/>
              </w:rPr>
              <w:t>Disturbance in attention</w:t>
            </w:r>
          </w:p>
        </w:tc>
        <w:tc>
          <w:tcPr>
            <w:tcW w:w="1134" w:type="dxa"/>
          </w:tcPr>
          <w:p w:rsidR="00E660F2" w:rsidRPr="00F86B82" w:rsidRDefault="00E660F2" w:rsidP="008F0588">
            <w:pPr>
              <w:rPr>
                <w:color w:val="000000"/>
                <w:sz w:val="18"/>
                <w:szCs w:val="18"/>
              </w:rPr>
            </w:pPr>
            <w:r w:rsidRPr="00F86B82">
              <w:rPr>
                <w:color w:val="000000"/>
                <w:sz w:val="18"/>
                <w:szCs w:val="18"/>
              </w:rPr>
              <w:t>10</w:t>
            </w:r>
          </w:p>
        </w:tc>
        <w:tc>
          <w:tcPr>
            <w:tcW w:w="1559" w:type="dxa"/>
          </w:tcPr>
          <w:p w:rsidR="00E660F2" w:rsidRPr="00F86B82" w:rsidRDefault="00E660F2" w:rsidP="008F0588">
            <w:pPr>
              <w:rPr>
                <w:color w:val="000000"/>
                <w:sz w:val="18"/>
                <w:szCs w:val="18"/>
              </w:rPr>
            </w:pPr>
            <w:r w:rsidRPr="00F86B82">
              <w:rPr>
                <w:color w:val="000000"/>
                <w:sz w:val="18"/>
                <w:szCs w:val="18"/>
              </w:rPr>
              <w:t>1.2</w:t>
            </w:r>
          </w:p>
        </w:tc>
        <w:tc>
          <w:tcPr>
            <w:tcW w:w="993" w:type="dxa"/>
          </w:tcPr>
          <w:p w:rsidR="00E660F2" w:rsidRPr="00F86B82" w:rsidRDefault="00E660F2" w:rsidP="008F0588">
            <w:pPr>
              <w:rPr>
                <w:color w:val="000000"/>
                <w:sz w:val="18"/>
                <w:szCs w:val="18"/>
              </w:rPr>
            </w:pPr>
            <w:r w:rsidRPr="00F86B82">
              <w:rPr>
                <w:color w:val="000000"/>
                <w:sz w:val="18"/>
                <w:szCs w:val="18"/>
              </w:rPr>
              <w:t>0.9</w:t>
            </w:r>
          </w:p>
        </w:tc>
        <w:tc>
          <w:tcPr>
            <w:tcW w:w="992" w:type="dxa"/>
          </w:tcPr>
          <w:p w:rsidR="00E660F2" w:rsidRPr="00F86B82" w:rsidRDefault="00E660F2" w:rsidP="008F0588">
            <w:pPr>
              <w:rPr>
                <w:color w:val="000000"/>
                <w:sz w:val="18"/>
                <w:szCs w:val="18"/>
              </w:rPr>
            </w:pPr>
            <w:r w:rsidRPr="00F86B82">
              <w:rPr>
                <w:color w:val="000000"/>
                <w:sz w:val="18"/>
                <w:szCs w:val="18"/>
              </w:rPr>
              <w:t>1</w:t>
            </w:r>
          </w:p>
        </w:tc>
        <w:tc>
          <w:tcPr>
            <w:tcW w:w="1276" w:type="dxa"/>
          </w:tcPr>
          <w:p w:rsidR="00E660F2" w:rsidRPr="00F86B82" w:rsidRDefault="00E660F2" w:rsidP="008F0588">
            <w:pPr>
              <w:rPr>
                <w:color w:val="000000"/>
                <w:sz w:val="18"/>
                <w:szCs w:val="18"/>
              </w:rPr>
            </w:pPr>
            <w:r w:rsidRPr="00F86B82">
              <w:rPr>
                <w:color w:val="000000"/>
                <w:sz w:val="18"/>
                <w:szCs w:val="18"/>
              </w:rPr>
              <w:t>0.3</w:t>
            </w:r>
          </w:p>
        </w:tc>
        <w:tc>
          <w:tcPr>
            <w:tcW w:w="992" w:type="dxa"/>
            <w:noWrap/>
          </w:tcPr>
          <w:p w:rsidR="00E660F2" w:rsidRPr="00F86B82" w:rsidRDefault="00E660F2" w:rsidP="008F0588">
            <w:pPr>
              <w:rPr>
                <w:color w:val="000000"/>
                <w:sz w:val="18"/>
                <w:szCs w:val="18"/>
              </w:rPr>
            </w:pPr>
            <w:r w:rsidRPr="00F86B82">
              <w:rPr>
                <w:color w:val="000000"/>
                <w:sz w:val="18"/>
                <w:szCs w:val="18"/>
              </w:rPr>
              <w:t>0.2</w:t>
            </w:r>
          </w:p>
        </w:tc>
      </w:tr>
      <w:tr w:rsidR="00E660F2" w:rsidRPr="00756969" w:rsidTr="008F0588">
        <w:trPr>
          <w:trHeight w:val="227"/>
        </w:trPr>
        <w:tc>
          <w:tcPr>
            <w:tcW w:w="2518" w:type="dxa"/>
            <w:noWrap/>
          </w:tcPr>
          <w:p w:rsidR="00E660F2" w:rsidRPr="00F86B82" w:rsidRDefault="00E660F2" w:rsidP="008F0588">
            <w:pPr>
              <w:rPr>
                <w:b/>
                <w:color w:val="000000"/>
                <w:sz w:val="18"/>
                <w:szCs w:val="18"/>
              </w:rPr>
            </w:pPr>
            <w:r w:rsidRPr="00F86B82">
              <w:rPr>
                <w:b/>
                <w:color w:val="000000"/>
                <w:sz w:val="18"/>
                <w:szCs w:val="18"/>
              </w:rPr>
              <w:t>Cognitive disorder</w:t>
            </w:r>
          </w:p>
        </w:tc>
        <w:tc>
          <w:tcPr>
            <w:tcW w:w="1134" w:type="dxa"/>
          </w:tcPr>
          <w:p w:rsidR="00E660F2" w:rsidRPr="00F86B82" w:rsidRDefault="00E660F2" w:rsidP="008F0588">
            <w:pPr>
              <w:rPr>
                <w:color w:val="000000"/>
                <w:sz w:val="18"/>
                <w:szCs w:val="18"/>
              </w:rPr>
            </w:pPr>
            <w:r w:rsidRPr="00F86B82">
              <w:rPr>
                <w:color w:val="000000"/>
                <w:sz w:val="18"/>
                <w:szCs w:val="18"/>
              </w:rPr>
              <w:t>6</w:t>
            </w:r>
          </w:p>
        </w:tc>
        <w:tc>
          <w:tcPr>
            <w:tcW w:w="1559" w:type="dxa"/>
          </w:tcPr>
          <w:p w:rsidR="00E660F2" w:rsidRPr="00F86B82" w:rsidRDefault="00E660F2" w:rsidP="008F0588">
            <w:pPr>
              <w:rPr>
                <w:color w:val="000000"/>
                <w:sz w:val="18"/>
                <w:szCs w:val="18"/>
              </w:rPr>
            </w:pPr>
            <w:r w:rsidRPr="00F86B82">
              <w:rPr>
                <w:color w:val="000000"/>
                <w:sz w:val="18"/>
                <w:szCs w:val="18"/>
              </w:rPr>
              <w:t>0.7</w:t>
            </w:r>
          </w:p>
        </w:tc>
        <w:tc>
          <w:tcPr>
            <w:tcW w:w="993" w:type="dxa"/>
          </w:tcPr>
          <w:p w:rsidR="00E660F2" w:rsidRPr="00F86B82" w:rsidRDefault="00E660F2" w:rsidP="008F0588">
            <w:pPr>
              <w:rPr>
                <w:color w:val="000000"/>
                <w:sz w:val="18"/>
                <w:szCs w:val="18"/>
              </w:rPr>
            </w:pPr>
            <w:r w:rsidRPr="00F86B82">
              <w:rPr>
                <w:color w:val="000000"/>
                <w:sz w:val="18"/>
                <w:szCs w:val="18"/>
              </w:rPr>
              <w:t>0.6</w:t>
            </w:r>
          </w:p>
        </w:tc>
        <w:tc>
          <w:tcPr>
            <w:tcW w:w="992" w:type="dxa"/>
          </w:tcPr>
          <w:p w:rsidR="00E660F2" w:rsidRPr="00F86B82" w:rsidRDefault="00E660F2" w:rsidP="008F0588">
            <w:pPr>
              <w:rPr>
                <w:color w:val="000000"/>
                <w:sz w:val="18"/>
                <w:szCs w:val="18"/>
              </w:rPr>
            </w:pPr>
            <w:r w:rsidRPr="00F86B82">
              <w:rPr>
                <w:color w:val="000000"/>
                <w:sz w:val="18"/>
                <w:szCs w:val="18"/>
              </w:rPr>
              <w:t>3</w:t>
            </w:r>
          </w:p>
        </w:tc>
        <w:tc>
          <w:tcPr>
            <w:tcW w:w="1276" w:type="dxa"/>
          </w:tcPr>
          <w:p w:rsidR="00E660F2" w:rsidRPr="00F86B82" w:rsidRDefault="00E660F2" w:rsidP="008F0588">
            <w:pPr>
              <w:rPr>
                <w:color w:val="000000"/>
                <w:sz w:val="18"/>
                <w:szCs w:val="18"/>
              </w:rPr>
            </w:pPr>
            <w:r w:rsidRPr="00F86B82">
              <w:rPr>
                <w:color w:val="000000"/>
                <w:sz w:val="18"/>
                <w:szCs w:val="18"/>
              </w:rPr>
              <w:t>0.8</w:t>
            </w:r>
          </w:p>
        </w:tc>
        <w:tc>
          <w:tcPr>
            <w:tcW w:w="992" w:type="dxa"/>
            <w:noWrap/>
          </w:tcPr>
          <w:p w:rsidR="00E660F2" w:rsidRPr="00F86B82" w:rsidRDefault="00E660F2" w:rsidP="008F0588">
            <w:pPr>
              <w:rPr>
                <w:color w:val="000000"/>
                <w:sz w:val="18"/>
                <w:szCs w:val="18"/>
              </w:rPr>
            </w:pPr>
            <w:r w:rsidRPr="00F86B82">
              <w:rPr>
                <w:color w:val="000000"/>
                <w:sz w:val="18"/>
                <w:szCs w:val="18"/>
              </w:rPr>
              <w:t>0.7</w:t>
            </w:r>
          </w:p>
        </w:tc>
      </w:tr>
      <w:tr w:rsidR="00E660F2" w:rsidRPr="00756969" w:rsidTr="008F0588">
        <w:trPr>
          <w:trHeight w:val="227"/>
        </w:trPr>
        <w:tc>
          <w:tcPr>
            <w:tcW w:w="2518" w:type="dxa"/>
            <w:noWrap/>
          </w:tcPr>
          <w:p w:rsidR="00E660F2" w:rsidRPr="00F86B82" w:rsidRDefault="00E660F2" w:rsidP="008F0588">
            <w:pPr>
              <w:rPr>
                <w:b/>
                <w:color w:val="000000"/>
                <w:sz w:val="18"/>
                <w:szCs w:val="18"/>
              </w:rPr>
            </w:pPr>
            <w:r w:rsidRPr="00F86B82">
              <w:rPr>
                <w:b/>
                <w:color w:val="000000"/>
                <w:sz w:val="18"/>
                <w:szCs w:val="18"/>
              </w:rPr>
              <w:t>Aphasia</w:t>
            </w:r>
          </w:p>
        </w:tc>
        <w:tc>
          <w:tcPr>
            <w:tcW w:w="1134" w:type="dxa"/>
          </w:tcPr>
          <w:p w:rsidR="00E660F2" w:rsidRPr="00F86B82" w:rsidRDefault="00E660F2" w:rsidP="008F0588">
            <w:pPr>
              <w:rPr>
                <w:color w:val="000000"/>
                <w:sz w:val="18"/>
                <w:szCs w:val="18"/>
              </w:rPr>
            </w:pPr>
            <w:r w:rsidRPr="00F86B82">
              <w:rPr>
                <w:color w:val="000000"/>
                <w:sz w:val="18"/>
                <w:szCs w:val="18"/>
              </w:rPr>
              <w:t>2</w:t>
            </w:r>
          </w:p>
        </w:tc>
        <w:tc>
          <w:tcPr>
            <w:tcW w:w="1559" w:type="dxa"/>
          </w:tcPr>
          <w:p w:rsidR="00E660F2" w:rsidRPr="00F86B82" w:rsidRDefault="00E660F2" w:rsidP="008F0588">
            <w:pPr>
              <w:rPr>
                <w:color w:val="000000"/>
                <w:sz w:val="18"/>
                <w:szCs w:val="18"/>
              </w:rPr>
            </w:pPr>
            <w:r w:rsidRPr="00F86B82">
              <w:rPr>
                <w:color w:val="000000"/>
                <w:sz w:val="18"/>
                <w:szCs w:val="18"/>
              </w:rPr>
              <w:t>0.2</w:t>
            </w:r>
          </w:p>
        </w:tc>
        <w:tc>
          <w:tcPr>
            <w:tcW w:w="993" w:type="dxa"/>
          </w:tcPr>
          <w:p w:rsidR="00E660F2" w:rsidRPr="00F86B82" w:rsidRDefault="00E660F2" w:rsidP="008F0588">
            <w:pPr>
              <w:rPr>
                <w:color w:val="000000"/>
                <w:sz w:val="18"/>
                <w:szCs w:val="18"/>
              </w:rPr>
            </w:pPr>
            <w:r w:rsidRPr="00F86B82">
              <w:rPr>
                <w:color w:val="000000"/>
                <w:sz w:val="18"/>
                <w:szCs w:val="18"/>
              </w:rPr>
              <w:t>0.2</w:t>
            </w:r>
          </w:p>
        </w:tc>
        <w:tc>
          <w:tcPr>
            <w:tcW w:w="992" w:type="dxa"/>
          </w:tcPr>
          <w:p w:rsidR="00E660F2" w:rsidRPr="00F86B82" w:rsidRDefault="00E660F2" w:rsidP="008F0588">
            <w:pPr>
              <w:rPr>
                <w:color w:val="000000"/>
                <w:sz w:val="18"/>
                <w:szCs w:val="18"/>
              </w:rPr>
            </w:pPr>
            <w:r w:rsidRPr="00F86B82">
              <w:rPr>
                <w:color w:val="000000"/>
                <w:sz w:val="18"/>
                <w:szCs w:val="18"/>
              </w:rPr>
              <w:t>1</w:t>
            </w:r>
          </w:p>
        </w:tc>
        <w:tc>
          <w:tcPr>
            <w:tcW w:w="1276" w:type="dxa"/>
          </w:tcPr>
          <w:p w:rsidR="00E660F2" w:rsidRPr="00F86B82" w:rsidRDefault="00E660F2" w:rsidP="008F0588">
            <w:pPr>
              <w:rPr>
                <w:color w:val="000000"/>
                <w:sz w:val="18"/>
                <w:szCs w:val="18"/>
              </w:rPr>
            </w:pPr>
            <w:r w:rsidRPr="00F86B82">
              <w:rPr>
                <w:color w:val="000000"/>
                <w:sz w:val="18"/>
                <w:szCs w:val="18"/>
              </w:rPr>
              <w:t>0.3</w:t>
            </w:r>
          </w:p>
        </w:tc>
        <w:tc>
          <w:tcPr>
            <w:tcW w:w="992" w:type="dxa"/>
            <w:noWrap/>
          </w:tcPr>
          <w:p w:rsidR="00E660F2" w:rsidRPr="00F86B82" w:rsidRDefault="00E660F2" w:rsidP="008F0588">
            <w:pPr>
              <w:rPr>
                <w:color w:val="000000"/>
                <w:sz w:val="18"/>
                <w:szCs w:val="18"/>
              </w:rPr>
            </w:pPr>
            <w:r w:rsidRPr="00F86B82">
              <w:rPr>
                <w:color w:val="000000"/>
                <w:sz w:val="18"/>
                <w:szCs w:val="18"/>
              </w:rPr>
              <w:t>0.2</w:t>
            </w:r>
          </w:p>
        </w:tc>
      </w:tr>
      <w:tr w:rsidR="00E660F2" w:rsidRPr="00756969" w:rsidTr="008F0588">
        <w:trPr>
          <w:trHeight w:val="227"/>
        </w:trPr>
        <w:tc>
          <w:tcPr>
            <w:tcW w:w="2518" w:type="dxa"/>
            <w:noWrap/>
          </w:tcPr>
          <w:p w:rsidR="00E660F2" w:rsidRPr="00F86B82" w:rsidRDefault="00E660F2" w:rsidP="008F0588">
            <w:pPr>
              <w:rPr>
                <w:b/>
                <w:color w:val="FF0000"/>
                <w:sz w:val="18"/>
                <w:szCs w:val="18"/>
              </w:rPr>
            </w:pPr>
            <w:r w:rsidRPr="00F86B82">
              <w:rPr>
                <w:b/>
                <w:color w:val="FF0000"/>
                <w:sz w:val="18"/>
                <w:szCs w:val="18"/>
              </w:rPr>
              <w:t>Cerebral atrophy</w:t>
            </w:r>
          </w:p>
        </w:tc>
        <w:tc>
          <w:tcPr>
            <w:tcW w:w="1134" w:type="dxa"/>
          </w:tcPr>
          <w:p w:rsidR="00E660F2" w:rsidRPr="00F86B82" w:rsidRDefault="00E660F2" w:rsidP="008F0588">
            <w:pPr>
              <w:rPr>
                <w:sz w:val="18"/>
                <w:szCs w:val="18"/>
              </w:rPr>
            </w:pPr>
            <w:r w:rsidRPr="00F86B82">
              <w:rPr>
                <w:sz w:val="18"/>
                <w:szCs w:val="18"/>
              </w:rPr>
              <w:t>1</w:t>
            </w:r>
          </w:p>
        </w:tc>
        <w:tc>
          <w:tcPr>
            <w:tcW w:w="1559" w:type="dxa"/>
          </w:tcPr>
          <w:p w:rsidR="00E660F2" w:rsidRPr="00F86B82" w:rsidRDefault="00E660F2" w:rsidP="008F0588">
            <w:pPr>
              <w:rPr>
                <w:sz w:val="18"/>
                <w:szCs w:val="18"/>
              </w:rPr>
            </w:pPr>
            <w:r w:rsidRPr="00F86B82">
              <w:rPr>
                <w:sz w:val="18"/>
                <w:szCs w:val="18"/>
              </w:rPr>
              <w:t>0.1</w:t>
            </w:r>
          </w:p>
        </w:tc>
        <w:tc>
          <w:tcPr>
            <w:tcW w:w="993" w:type="dxa"/>
          </w:tcPr>
          <w:p w:rsidR="00E660F2" w:rsidRPr="00F86B82" w:rsidRDefault="00E660F2" w:rsidP="008F0588">
            <w:pPr>
              <w:rPr>
                <w:sz w:val="18"/>
                <w:szCs w:val="18"/>
              </w:rPr>
            </w:pPr>
            <w:r w:rsidRPr="00F86B82">
              <w:rPr>
                <w:sz w:val="18"/>
                <w:szCs w:val="18"/>
              </w:rPr>
              <w:t>0.1</w:t>
            </w:r>
          </w:p>
        </w:tc>
        <w:tc>
          <w:tcPr>
            <w:tcW w:w="992" w:type="dxa"/>
          </w:tcPr>
          <w:p w:rsidR="00E660F2" w:rsidRPr="00F86B82" w:rsidRDefault="00E660F2" w:rsidP="008F0588">
            <w:pPr>
              <w:rPr>
                <w:color w:val="000000"/>
                <w:sz w:val="18"/>
                <w:szCs w:val="18"/>
              </w:rPr>
            </w:pPr>
            <w:r w:rsidRPr="00F86B82">
              <w:rPr>
                <w:color w:val="000000"/>
                <w:sz w:val="18"/>
                <w:szCs w:val="18"/>
              </w:rPr>
              <w:t>0</w:t>
            </w:r>
          </w:p>
        </w:tc>
        <w:tc>
          <w:tcPr>
            <w:tcW w:w="1276" w:type="dxa"/>
          </w:tcPr>
          <w:p w:rsidR="00E660F2" w:rsidRPr="00F86B82" w:rsidRDefault="00E660F2" w:rsidP="008F0588">
            <w:pPr>
              <w:rPr>
                <w:color w:val="000000"/>
                <w:sz w:val="18"/>
                <w:szCs w:val="18"/>
              </w:rPr>
            </w:pPr>
            <w:r w:rsidRPr="00F86B82">
              <w:rPr>
                <w:color w:val="000000"/>
                <w:sz w:val="18"/>
                <w:szCs w:val="18"/>
              </w:rPr>
              <w:t>0.0</w:t>
            </w:r>
          </w:p>
        </w:tc>
        <w:tc>
          <w:tcPr>
            <w:tcW w:w="992" w:type="dxa"/>
            <w:noWrap/>
          </w:tcPr>
          <w:p w:rsidR="00E660F2" w:rsidRPr="00F86B82" w:rsidRDefault="00E660F2" w:rsidP="008F0588">
            <w:pPr>
              <w:rPr>
                <w:color w:val="000000"/>
                <w:sz w:val="18"/>
                <w:szCs w:val="18"/>
              </w:rPr>
            </w:pPr>
            <w:r w:rsidRPr="00F86B82">
              <w:rPr>
                <w:color w:val="000000"/>
                <w:sz w:val="18"/>
                <w:szCs w:val="18"/>
              </w:rPr>
              <w:t>0.0</w:t>
            </w:r>
          </w:p>
        </w:tc>
      </w:tr>
      <w:tr w:rsidR="00E660F2" w:rsidRPr="00756969" w:rsidTr="008F0588">
        <w:trPr>
          <w:trHeight w:val="227"/>
        </w:trPr>
        <w:tc>
          <w:tcPr>
            <w:tcW w:w="2518" w:type="dxa"/>
            <w:noWrap/>
          </w:tcPr>
          <w:p w:rsidR="00E660F2" w:rsidRPr="00F86B82" w:rsidRDefault="00E660F2" w:rsidP="008F0588">
            <w:pPr>
              <w:rPr>
                <w:b/>
                <w:color w:val="FF0000"/>
                <w:sz w:val="18"/>
                <w:szCs w:val="18"/>
              </w:rPr>
            </w:pPr>
            <w:r w:rsidRPr="00F86B82">
              <w:rPr>
                <w:b/>
                <w:color w:val="FF0000"/>
                <w:sz w:val="18"/>
                <w:szCs w:val="18"/>
              </w:rPr>
              <w:t>Dementia</w:t>
            </w:r>
          </w:p>
        </w:tc>
        <w:tc>
          <w:tcPr>
            <w:tcW w:w="1134" w:type="dxa"/>
          </w:tcPr>
          <w:p w:rsidR="00E660F2" w:rsidRPr="00F86B82" w:rsidRDefault="00E660F2" w:rsidP="008F0588">
            <w:pPr>
              <w:rPr>
                <w:sz w:val="18"/>
                <w:szCs w:val="18"/>
              </w:rPr>
            </w:pPr>
            <w:r w:rsidRPr="00F86B82">
              <w:rPr>
                <w:sz w:val="18"/>
                <w:szCs w:val="18"/>
              </w:rPr>
              <w:t>1</w:t>
            </w:r>
          </w:p>
        </w:tc>
        <w:tc>
          <w:tcPr>
            <w:tcW w:w="1559" w:type="dxa"/>
          </w:tcPr>
          <w:p w:rsidR="00E660F2" w:rsidRPr="00F86B82" w:rsidRDefault="00E660F2" w:rsidP="008F0588">
            <w:pPr>
              <w:rPr>
                <w:sz w:val="18"/>
                <w:szCs w:val="18"/>
              </w:rPr>
            </w:pPr>
            <w:r w:rsidRPr="00F86B82">
              <w:rPr>
                <w:sz w:val="18"/>
                <w:szCs w:val="18"/>
              </w:rPr>
              <w:t>0.1</w:t>
            </w:r>
          </w:p>
        </w:tc>
        <w:tc>
          <w:tcPr>
            <w:tcW w:w="993" w:type="dxa"/>
          </w:tcPr>
          <w:p w:rsidR="00E660F2" w:rsidRPr="00F86B82" w:rsidRDefault="00E660F2" w:rsidP="008F0588">
            <w:pPr>
              <w:rPr>
                <w:sz w:val="18"/>
                <w:szCs w:val="18"/>
              </w:rPr>
            </w:pPr>
            <w:r w:rsidRPr="00F86B82">
              <w:rPr>
                <w:sz w:val="18"/>
                <w:szCs w:val="18"/>
              </w:rPr>
              <w:t>0.1</w:t>
            </w:r>
          </w:p>
        </w:tc>
        <w:tc>
          <w:tcPr>
            <w:tcW w:w="992" w:type="dxa"/>
          </w:tcPr>
          <w:p w:rsidR="00E660F2" w:rsidRPr="00F86B82" w:rsidRDefault="00E660F2" w:rsidP="008F0588">
            <w:pPr>
              <w:rPr>
                <w:color w:val="000000"/>
                <w:sz w:val="18"/>
                <w:szCs w:val="18"/>
              </w:rPr>
            </w:pPr>
            <w:r w:rsidRPr="00F86B82">
              <w:rPr>
                <w:color w:val="000000"/>
                <w:sz w:val="18"/>
                <w:szCs w:val="18"/>
              </w:rPr>
              <w:t>0</w:t>
            </w:r>
          </w:p>
        </w:tc>
        <w:tc>
          <w:tcPr>
            <w:tcW w:w="1276" w:type="dxa"/>
          </w:tcPr>
          <w:p w:rsidR="00E660F2" w:rsidRPr="00F86B82" w:rsidRDefault="00E660F2" w:rsidP="008F0588">
            <w:pPr>
              <w:rPr>
                <w:color w:val="000000"/>
                <w:sz w:val="18"/>
                <w:szCs w:val="18"/>
              </w:rPr>
            </w:pPr>
            <w:r w:rsidRPr="00F86B82">
              <w:rPr>
                <w:color w:val="000000"/>
                <w:sz w:val="18"/>
                <w:szCs w:val="18"/>
              </w:rPr>
              <w:t>0.0</w:t>
            </w:r>
          </w:p>
        </w:tc>
        <w:tc>
          <w:tcPr>
            <w:tcW w:w="992" w:type="dxa"/>
            <w:noWrap/>
          </w:tcPr>
          <w:p w:rsidR="00E660F2" w:rsidRPr="00F86B82" w:rsidRDefault="00E660F2" w:rsidP="008F0588">
            <w:pPr>
              <w:rPr>
                <w:color w:val="000000"/>
                <w:sz w:val="18"/>
                <w:szCs w:val="18"/>
              </w:rPr>
            </w:pPr>
            <w:r w:rsidRPr="00F86B82">
              <w:rPr>
                <w:color w:val="000000"/>
                <w:sz w:val="18"/>
                <w:szCs w:val="18"/>
              </w:rPr>
              <w:t>0.0</w:t>
            </w:r>
          </w:p>
        </w:tc>
      </w:tr>
      <w:tr w:rsidR="00E660F2" w:rsidRPr="00756969" w:rsidTr="008F0588">
        <w:trPr>
          <w:trHeight w:val="227"/>
        </w:trPr>
        <w:tc>
          <w:tcPr>
            <w:tcW w:w="2518" w:type="dxa"/>
            <w:noWrap/>
          </w:tcPr>
          <w:p w:rsidR="00E660F2" w:rsidRPr="00F86B82" w:rsidRDefault="00E660F2" w:rsidP="008F0588">
            <w:pPr>
              <w:rPr>
                <w:b/>
                <w:color w:val="FF0000"/>
                <w:sz w:val="18"/>
                <w:szCs w:val="18"/>
              </w:rPr>
            </w:pPr>
            <w:r w:rsidRPr="00F86B82">
              <w:rPr>
                <w:b/>
                <w:color w:val="FF0000"/>
                <w:sz w:val="18"/>
                <w:szCs w:val="18"/>
              </w:rPr>
              <w:t>Dementia Alzheimer's type</w:t>
            </w:r>
          </w:p>
        </w:tc>
        <w:tc>
          <w:tcPr>
            <w:tcW w:w="1134" w:type="dxa"/>
          </w:tcPr>
          <w:p w:rsidR="00E660F2" w:rsidRPr="00F86B82" w:rsidRDefault="00E660F2" w:rsidP="008F0588">
            <w:pPr>
              <w:rPr>
                <w:sz w:val="18"/>
                <w:szCs w:val="18"/>
              </w:rPr>
            </w:pPr>
            <w:r w:rsidRPr="00F86B82">
              <w:rPr>
                <w:sz w:val="18"/>
                <w:szCs w:val="18"/>
              </w:rPr>
              <w:t>1</w:t>
            </w:r>
          </w:p>
        </w:tc>
        <w:tc>
          <w:tcPr>
            <w:tcW w:w="1559" w:type="dxa"/>
          </w:tcPr>
          <w:p w:rsidR="00E660F2" w:rsidRPr="00F86B82" w:rsidRDefault="00E660F2" w:rsidP="008F0588">
            <w:pPr>
              <w:rPr>
                <w:sz w:val="18"/>
                <w:szCs w:val="18"/>
              </w:rPr>
            </w:pPr>
            <w:r w:rsidRPr="00F86B82">
              <w:rPr>
                <w:sz w:val="18"/>
                <w:szCs w:val="18"/>
              </w:rPr>
              <w:t>0.1</w:t>
            </w:r>
          </w:p>
        </w:tc>
        <w:tc>
          <w:tcPr>
            <w:tcW w:w="993" w:type="dxa"/>
          </w:tcPr>
          <w:p w:rsidR="00E660F2" w:rsidRPr="00F86B82" w:rsidRDefault="00E660F2" w:rsidP="008F0588">
            <w:pPr>
              <w:rPr>
                <w:sz w:val="18"/>
                <w:szCs w:val="18"/>
              </w:rPr>
            </w:pPr>
            <w:r w:rsidRPr="00F86B82">
              <w:rPr>
                <w:sz w:val="18"/>
                <w:szCs w:val="18"/>
              </w:rPr>
              <w:t>0.1</w:t>
            </w:r>
          </w:p>
        </w:tc>
        <w:tc>
          <w:tcPr>
            <w:tcW w:w="992" w:type="dxa"/>
          </w:tcPr>
          <w:p w:rsidR="00E660F2" w:rsidRPr="00F86B82" w:rsidRDefault="00E660F2" w:rsidP="008F0588">
            <w:pPr>
              <w:rPr>
                <w:color w:val="000000"/>
                <w:sz w:val="18"/>
                <w:szCs w:val="18"/>
              </w:rPr>
            </w:pPr>
            <w:r w:rsidRPr="00F86B82">
              <w:rPr>
                <w:color w:val="000000"/>
                <w:sz w:val="18"/>
                <w:szCs w:val="18"/>
              </w:rPr>
              <w:t>0</w:t>
            </w:r>
          </w:p>
        </w:tc>
        <w:tc>
          <w:tcPr>
            <w:tcW w:w="1276" w:type="dxa"/>
          </w:tcPr>
          <w:p w:rsidR="00E660F2" w:rsidRPr="00F86B82" w:rsidRDefault="00E660F2" w:rsidP="008F0588">
            <w:pPr>
              <w:rPr>
                <w:color w:val="000000"/>
                <w:sz w:val="18"/>
                <w:szCs w:val="18"/>
              </w:rPr>
            </w:pPr>
            <w:r w:rsidRPr="00F86B82">
              <w:rPr>
                <w:color w:val="000000"/>
                <w:sz w:val="18"/>
                <w:szCs w:val="18"/>
              </w:rPr>
              <w:t>0.0</w:t>
            </w:r>
          </w:p>
        </w:tc>
        <w:tc>
          <w:tcPr>
            <w:tcW w:w="992" w:type="dxa"/>
            <w:noWrap/>
          </w:tcPr>
          <w:p w:rsidR="00E660F2" w:rsidRPr="00F86B82" w:rsidRDefault="00E660F2" w:rsidP="008F0588">
            <w:pPr>
              <w:rPr>
                <w:color w:val="000000"/>
                <w:sz w:val="18"/>
                <w:szCs w:val="18"/>
              </w:rPr>
            </w:pPr>
            <w:r w:rsidRPr="00F86B82">
              <w:rPr>
                <w:color w:val="000000"/>
                <w:sz w:val="18"/>
                <w:szCs w:val="18"/>
              </w:rPr>
              <w:t>0.0</w:t>
            </w:r>
          </w:p>
        </w:tc>
      </w:tr>
      <w:tr w:rsidR="00E660F2" w:rsidRPr="00756969" w:rsidTr="008F0588">
        <w:trPr>
          <w:trHeight w:val="227"/>
        </w:trPr>
        <w:tc>
          <w:tcPr>
            <w:tcW w:w="2518" w:type="dxa"/>
            <w:noWrap/>
          </w:tcPr>
          <w:p w:rsidR="00E660F2" w:rsidRPr="00F86B82" w:rsidRDefault="00E660F2" w:rsidP="008F0588">
            <w:pPr>
              <w:rPr>
                <w:b/>
                <w:color w:val="000000"/>
                <w:sz w:val="18"/>
                <w:szCs w:val="18"/>
              </w:rPr>
            </w:pPr>
            <w:r w:rsidRPr="00F86B82">
              <w:rPr>
                <w:b/>
                <w:color w:val="000000"/>
                <w:sz w:val="18"/>
                <w:szCs w:val="18"/>
              </w:rPr>
              <w:t>Speech disorder</w:t>
            </w:r>
          </w:p>
        </w:tc>
        <w:tc>
          <w:tcPr>
            <w:tcW w:w="1134" w:type="dxa"/>
          </w:tcPr>
          <w:p w:rsidR="00E660F2" w:rsidRPr="00F86B82" w:rsidRDefault="00E660F2" w:rsidP="008F0588">
            <w:pPr>
              <w:rPr>
                <w:color w:val="000000"/>
                <w:sz w:val="18"/>
                <w:szCs w:val="18"/>
              </w:rPr>
            </w:pPr>
            <w:r w:rsidRPr="00F86B82">
              <w:rPr>
                <w:color w:val="000000"/>
                <w:sz w:val="18"/>
                <w:szCs w:val="18"/>
              </w:rPr>
              <w:t>0</w:t>
            </w:r>
          </w:p>
        </w:tc>
        <w:tc>
          <w:tcPr>
            <w:tcW w:w="1559" w:type="dxa"/>
          </w:tcPr>
          <w:p w:rsidR="00E660F2" w:rsidRPr="00F86B82" w:rsidRDefault="00E660F2" w:rsidP="008F0588">
            <w:pPr>
              <w:rPr>
                <w:color w:val="000000"/>
                <w:sz w:val="18"/>
                <w:szCs w:val="18"/>
              </w:rPr>
            </w:pPr>
            <w:r w:rsidRPr="00F86B82">
              <w:rPr>
                <w:color w:val="000000"/>
                <w:sz w:val="18"/>
                <w:szCs w:val="18"/>
              </w:rPr>
              <w:t>0.0</w:t>
            </w:r>
          </w:p>
        </w:tc>
        <w:tc>
          <w:tcPr>
            <w:tcW w:w="993" w:type="dxa"/>
          </w:tcPr>
          <w:p w:rsidR="00E660F2" w:rsidRPr="00F86B82" w:rsidRDefault="00E660F2" w:rsidP="008F0588">
            <w:pPr>
              <w:rPr>
                <w:color w:val="000000"/>
                <w:sz w:val="18"/>
                <w:szCs w:val="18"/>
              </w:rPr>
            </w:pPr>
            <w:r w:rsidRPr="00F86B82">
              <w:rPr>
                <w:color w:val="000000"/>
                <w:sz w:val="18"/>
                <w:szCs w:val="18"/>
              </w:rPr>
              <w:t>0.0</w:t>
            </w:r>
          </w:p>
        </w:tc>
        <w:tc>
          <w:tcPr>
            <w:tcW w:w="992" w:type="dxa"/>
          </w:tcPr>
          <w:p w:rsidR="00E660F2" w:rsidRPr="00F86B82" w:rsidRDefault="00E660F2" w:rsidP="008F0588">
            <w:pPr>
              <w:rPr>
                <w:color w:val="000000"/>
                <w:sz w:val="18"/>
                <w:szCs w:val="18"/>
              </w:rPr>
            </w:pPr>
            <w:r w:rsidRPr="00F86B82">
              <w:rPr>
                <w:color w:val="000000"/>
                <w:sz w:val="18"/>
                <w:szCs w:val="18"/>
              </w:rPr>
              <w:t>1</w:t>
            </w:r>
          </w:p>
        </w:tc>
        <w:tc>
          <w:tcPr>
            <w:tcW w:w="1276" w:type="dxa"/>
          </w:tcPr>
          <w:p w:rsidR="00E660F2" w:rsidRPr="00F86B82" w:rsidRDefault="00E660F2" w:rsidP="008F0588">
            <w:pPr>
              <w:rPr>
                <w:color w:val="000000"/>
                <w:sz w:val="18"/>
                <w:szCs w:val="18"/>
              </w:rPr>
            </w:pPr>
            <w:r w:rsidRPr="00F86B82">
              <w:rPr>
                <w:color w:val="000000"/>
                <w:sz w:val="18"/>
                <w:szCs w:val="18"/>
              </w:rPr>
              <w:t>0.3</w:t>
            </w:r>
          </w:p>
        </w:tc>
        <w:tc>
          <w:tcPr>
            <w:tcW w:w="992" w:type="dxa"/>
            <w:noWrap/>
          </w:tcPr>
          <w:p w:rsidR="00E660F2" w:rsidRPr="00F86B82" w:rsidRDefault="00E660F2" w:rsidP="008F0588">
            <w:pPr>
              <w:rPr>
                <w:color w:val="000000"/>
                <w:sz w:val="18"/>
                <w:szCs w:val="18"/>
              </w:rPr>
            </w:pPr>
            <w:r w:rsidRPr="00F86B82">
              <w:rPr>
                <w:color w:val="000000"/>
                <w:sz w:val="18"/>
                <w:szCs w:val="18"/>
              </w:rPr>
              <w:t>0.2</w:t>
            </w:r>
          </w:p>
        </w:tc>
      </w:tr>
      <w:tr w:rsidR="00E660F2" w:rsidRPr="00756969" w:rsidTr="008F0588">
        <w:trPr>
          <w:trHeight w:val="227"/>
        </w:trPr>
        <w:tc>
          <w:tcPr>
            <w:tcW w:w="2518" w:type="dxa"/>
            <w:noWrap/>
          </w:tcPr>
          <w:p w:rsidR="00E660F2" w:rsidRPr="00F86B82" w:rsidRDefault="00E660F2" w:rsidP="008F0588">
            <w:pPr>
              <w:rPr>
                <w:b/>
                <w:color w:val="000000"/>
                <w:sz w:val="18"/>
                <w:szCs w:val="18"/>
              </w:rPr>
            </w:pPr>
            <w:r w:rsidRPr="00F86B82">
              <w:rPr>
                <w:b/>
                <w:color w:val="FF0000"/>
                <w:sz w:val="18"/>
                <w:szCs w:val="18"/>
              </w:rPr>
              <w:t>Agitation</w:t>
            </w:r>
          </w:p>
        </w:tc>
        <w:tc>
          <w:tcPr>
            <w:tcW w:w="1134" w:type="dxa"/>
          </w:tcPr>
          <w:p w:rsidR="00E660F2" w:rsidRPr="00F86B82" w:rsidRDefault="00E660F2" w:rsidP="008F0588">
            <w:pPr>
              <w:rPr>
                <w:color w:val="000000"/>
                <w:sz w:val="18"/>
                <w:szCs w:val="18"/>
              </w:rPr>
            </w:pPr>
            <w:r w:rsidRPr="00F86B82">
              <w:rPr>
                <w:color w:val="000000"/>
                <w:sz w:val="18"/>
                <w:szCs w:val="18"/>
              </w:rPr>
              <w:t>8</w:t>
            </w:r>
          </w:p>
        </w:tc>
        <w:tc>
          <w:tcPr>
            <w:tcW w:w="1559" w:type="dxa"/>
          </w:tcPr>
          <w:p w:rsidR="00E660F2" w:rsidRPr="00F86B82" w:rsidRDefault="00E660F2" w:rsidP="008F0588">
            <w:pPr>
              <w:rPr>
                <w:color w:val="000000"/>
                <w:sz w:val="18"/>
                <w:szCs w:val="18"/>
              </w:rPr>
            </w:pPr>
            <w:r w:rsidRPr="00F86B82">
              <w:rPr>
                <w:color w:val="000000"/>
                <w:sz w:val="18"/>
                <w:szCs w:val="18"/>
              </w:rPr>
              <w:t>1.0</w:t>
            </w:r>
          </w:p>
        </w:tc>
        <w:tc>
          <w:tcPr>
            <w:tcW w:w="993" w:type="dxa"/>
          </w:tcPr>
          <w:p w:rsidR="00E660F2" w:rsidRPr="00F86B82" w:rsidRDefault="00E660F2" w:rsidP="008F0588">
            <w:pPr>
              <w:rPr>
                <w:color w:val="000000"/>
                <w:sz w:val="18"/>
                <w:szCs w:val="18"/>
              </w:rPr>
            </w:pPr>
            <w:r w:rsidRPr="00F86B82">
              <w:rPr>
                <w:color w:val="000000"/>
                <w:sz w:val="18"/>
                <w:szCs w:val="18"/>
              </w:rPr>
              <w:t>0.8</w:t>
            </w:r>
          </w:p>
        </w:tc>
        <w:tc>
          <w:tcPr>
            <w:tcW w:w="992" w:type="dxa"/>
          </w:tcPr>
          <w:p w:rsidR="00E660F2" w:rsidRPr="00F86B82" w:rsidRDefault="00E660F2" w:rsidP="008F0588">
            <w:pPr>
              <w:rPr>
                <w:color w:val="000000"/>
                <w:sz w:val="18"/>
                <w:szCs w:val="18"/>
              </w:rPr>
            </w:pPr>
            <w:r w:rsidRPr="00F86B82">
              <w:rPr>
                <w:color w:val="000000"/>
                <w:sz w:val="18"/>
                <w:szCs w:val="18"/>
              </w:rPr>
              <w:t>2</w:t>
            </w:r>
          </w:p>
        </w:tc>
        <w:tc>
          <w:tcPr>
            <w:tcW w:w="1276" w:type="dxa"/>
          </w:tcPr>
          <w:p w:rsidR="00E660F2" w:rsidRPr="00F86B82" w:rsidRDefault="00E660F2" w:rsidP="008F0588">
            <w:pPr>
              <w:rPr>
                <w:color w:val="000000"/>
                <w:sz w:val="18"/>
                <w:szCs w:val="18"/>
              </w:rPr>
            </w:pPr>
            <w:r w:rsidRPr="00F86B82">
              <w:rPr>
                <w:color w:val="000000"/>
                <w:sz w:val="18"/>
                <w:szCs w:val="18"/>
              </w:rPr>
              <w:t>0.5</w:t>
            </w:r>
          </w:p>
        </w:tc>
        <w:tc>
          <w:tcPr>
            <w:tcW w:w="992" w:type="dxa"/>
            <w:noWrap/>
          </w:tcPr>
          <w:p w:rsidR="00E660F2" w:rsidRPr="00F86B82" w:rsidRDefault="00E660F2" w:rsidP="008F0588">
            <w:pPr>
              <w:rPr>
                <w:color w:val="000000"/>
                <w:sz w:val="18"/>
                <w:szCs w:val="18"/>
              </w:rPr>
            </w:pPr>
            <w:r w:rsidRPr="00F86B82">
              <w:rPr>
                <w:color w:val="000000"/>
                <w:sz w:val="18"/>
                <w:szCs w:val="18"/>
              </w:rPr>
              <w:t>0.5</w:t>
            </w:r>
          </w:p>
        </w:tc>
      </w:tr>
      <w:tr w:rsidR="00E660F2" w:rsidRPr="00756969" w:rsidTr="008F0588">
        <w:trPr>
          <w:trHeight w:val="227"/>
        </w:trPr>
        <w:tc>
          <w:tcPr>
            <w:tcW w:w="2518" w:type="dxa"/>
            <w:noWrap/>
          </w:tcPr>
          <w:p w:rsidR="00E660F2" w:rsidRPr="00F86B82" w:rsidRDefault="00E660F2" w:rsidP="008F0588">
            <w:pPr>
              <w:rPr>
                <w:b/>
                <w:color w:val="000000"/>
                <w:sz w:val="18"/>
                <w:szCs w:val="18"/>
              </w:rPr>
            </w:pPr>
            <w:r w:rsidRPr="00F86B82">
              <w:rPr>
                <w:b/>
                <w:color w:val="FF0000"/>
                <w:sz w:val="18"/>
                <w:szCs w:val="18"/>
              </w:rPr>
              <w:t>Confusional state</w:t>
            </w:r>
          </w:p>
        </w:tc>
        <w:tc>
          <w:tcPr>
            <w:tcW w:w="1134" w:type="dxa"/>
          </w:tcPr>
          <w:p w:rsidR="00E660F2" w:rsidRPr="00F86B82" w:rsidRDefault="00E660F2" w:rsidP="008F0588">
            <w:pPr>
              <w:rPr>
                <w:color w:val="000000"/>
                <w:sz w:val="18"/>
                <w:szCs w:val="18"/>
              </w:rPr>
            </w:pPr>
            <w:r w:rsidRPr="00F86B82">
              <w:rPr>
                <w:color w:val="000000"/>
                <w:sz w:val="18"/>
                <w:szCs w:val="18"/>
              </w:rPr>
              <w:t>6</w:t>
            </w:r>
          </w:p>
        </w:tc>
        <w:tc>
          <w:tcPr>
            <w:tcW w:w="1559" w:type="dxa"/>
          </w:tcPr>
          <w:p w:rsidR="00E660F2" w:rsidRPr="00F86B82" w:rsidRDefault="00E660F2" w:rsidP="008F0588">
            <w:pPr>
              <w:rPr>
                <w:color w:val="000000"/>
                <w:sz w:val="18"/>
                <w:szCs w:val="18"/>
              </w:rPr>
            </w:pPr>
            <w:r w:rsidRPr="00F86B82">
              <w:rPr>
                <w:color w:val="000000"/>
                <w:sz w:val="18"/>
                <w:szCs w:val="18"/>
              </w:rPr>
              <w:t>0.7</w:t>
            </w:r>
          </w:p>
        </w:tc>
        <w:tc>
          <w:tcPr>
            <w:tcW w:w="993" w:type="dxa"/>
          </w:tcPr>
          <w:p w:rsidR="00E660F2" w:rsidRPr="00F86B82" w:rsidRDefault="00E660F2" w:rsidP="008F0588">
            <w:pPr>
              <w:rPr>
                <w:color w:val="000000"/>
                <w:sz w:val="18"/>
                <w:szCs w:val="18"/>
              </w:rPr>
            </w:pPr>
            <w:r w:rsidRPr="00F86B82">
              <w:rPr>
                <w:color w:val="000000"/>
                <w:sz w:val="18"/>
                <w:szCs w:val="18"/>
              </w:rPr>
              <w:t>0.6</w:t>
            </w:r>
          </w:p>
        </w:tc>
        <w:tc>
          <w:tcPr>
            <w:tcW w:w="992" w:type="dxa"/>
          </w:tcPr>
          <w:p w:rsidR="00E660F2" w:rsidRPr="00F86B82" w:rsidRDefault="00E660F2" w:rsidP="008F0588">
            <w:pPr>
              <w:rPr>
                <w:color w:val="000000"/>
                <w:sz w:val="18"/>
                <w:szCs w:val="18"/>
              </w:rPr>
            </w:pPr>
            <w:r w:rsidRPr="00F86B82">
              <w:rPr>
                <w:color w:val="000000"/>
                <w:sz w:val="18"/>
                <w:szCs w:val="18"/>
              </w:rPr>
              <w:t>0</w:t>
            </w:r>
          </w:p>
        </w:tc>
        <w:tc>
          <w:tcPr>
            <w:tcW w:w="1276" w:type="dxa"/>
          </w:tcPr>
          <w:p w:rsidR="00E660F2" w:rsidRPr="00F86B82" w:rsidRDefault="00E660F2" w:rsidP="008F0588">
            <w:pPr>
              <w:rPr>
                <w:color w:val="000000"/>
                <w:sz w:val="18"/>
                <w:szCs w:val="18"/>
              </w:rPr>
            </w:pPr>
            <w:r w:rsidRPr="00F86B82">
              <w:rPr>
                <w:color w:val="000000"/>
                <w:sz w:val="18"/>
                <w:szCs w:val="18"/>
              </w:rPr>
              <w:t>0.0</w:t>
            </w:r>
          </w:p>
        </w:tc>
        <w:tc>
          <w:tcPr>
            <w:tcW w:w="992" w:type="dxa"/>
            <w:noWrap/>
          </w:tcPr>
          <w:p w:rsidR="00E660F2" w:rsidRPr="00F86B82" w:rsidRDefault="00E660F2" w:rsidP="008F0588">
            <w:pPr>
              <w:rPr>
                <w:color w:val="000000"/>
                <w:sz w:val="18"/>
                <w:szCs w:val="18"/>
              </w:rPr>
            </w:pPr>
            <w:r w:rsidRPr="00F86B82">
              <w:rPr>
                <w:color w:val="000000"/>
                <w:sz w:val="18"/>
                <w:szCs w:val="18"/>
              </w:rPr>
              <w:t>0.0</w:t>
            </w:r>
          </w:p>
        </w:tc>
      </w:tr>
      <w:tr w:rsidR="00E660F2" w:rsidRPr="00756969" w:rsidTr="008F0588">
        <w:trPr>
          <w:trHeight w:val="227"/>
        </w:trPr>
        <w:tc>
          <w:tcPr>
            <w:tcW w:w="2518" w:type="dxa"/>
            <w:noWrap/>
          </w:tcPr>
          <w:p w:rsidR="00E660F2" w:rsidRPr="00F86B82" w:rsidRDefault="00E660F2" w:rsidP="008F0588">
            <w:pPr>
              <w:rPr>
                <w:b/>
                <w:color w:val="FF0000"/>
                <w:sz w:val="18"/>
                <w:szCs w:val="18"/>
              </w:rPr>
            </w:pPr>
            <w:r w:rsidRPr="00F86B82">
              <w:rPr>
                <w:b/>
                <w:color w:val="FF0000"/>
                <w:sz w:val="18"/>
                <w:szCs w:val="18"/>
              </w:rPr>
              <w:t>Mood altered</w:t>
            </w:r>
          </w:p>
        </w:tc>
        <w:tc>
          <w:tcPr>
            <w:tcW w:w="1134" w:type="dxa"/>
          </w:tcPr>
          <w:p w:rsidR="00E660F2" w:rsidRPr="00F86B82" w:rsidRDefault="00E660F2" w:rsidP="008F0588">
            <w:pPr>
              <w:rPr>
                <w:color w:val="000000"/>
                <w:sz w:val="18"/>
                <w:szCs w:val="18"/>
              </w:rPr>
            </w:pPr>
            <w:r w:rsidRPr="00F86B82">
              <w:rPr>
                <w:color w:val="000000"/>
                <w:sz w:val="18"/>
                <w:szCs w:val="18"/>
              </w:rPr>
              <w:t>4</w:t>
            </w:r>
          </w:p>
        </w:tc>
        <w:tc>
          <w:tcPr>
            <w:tcW w:w="1559" w:type="dxa"/>
          </w:tcPr>
          <w:p w:rsidR="00E660F2" w:rsidRPr="00F86B82" w:rsidRDefault="00E660F2" w:rsidP="008F0588">
            <w:pPr>
              <w:rPr>
                <w:color w:val="000000"/>
                <w:sz w:val="18"/>
                <w:szCs w:val="18"/>
              </w:rPr>
            </w:pPr>
            <w:r w:rsidRPr="00F86B82">
              <w:rPr>
                <w:color w:val="000000"/>
                <w:sz w:val="18"/>
                <w:szCs w:val="18"/>
              </w:rPr>
              <w:t>0.5</w:t>
            </w:r>
          </w:p>
        </w:tc>
        <w:tc>
          <w:tcPr>
            <w:tcW w:w="993" w:type="dxa"/>
          </w:tcPr>
          <w:p w:rsidR="00E660F2" w:rsidRPr="00F86B82" w:rsidRDefault="00E660F2" w:rsidP="008F0588">
            <w:pPr>
              <w:rPr>
                <w:color w:val="000000"/>
                <w:sz w:val="18"/>
                <w:szCs w:val="18"/>
              </w:rPr>
            </w:pPr>
            <w:r w:rsidRPr="00F86B82">
              <w:rPr>
                <w:color w:val="000000"/>
                <w:sz w:val="18"/>
                <w:szCs w:val="18"/>
              </w:rPr>
              <w:t>0.4</w:t>
            </w:r>
          </w:p>
        </w:tc>
        <w:tc>
          <w:tcPr>
            <w:tcW w:w="992" w:type="dxa"/>
          </w:tcPr>
          <w:p w:rsidR="00E660F2" w:rsidRPr="00F86B82" w:rsidRDefault="00E660F2" w:rsidP="008F0588">
            <w:pPr>
              <w:rPr>
                <w:color w:val="000000"/>
                <w:sz w:val="18"/>
                <w:szCs w:val="18"/>
              </w:rPr>
            </w:pPr>
            <w:r w:rsidRPr="00F86B82">
              <w:rPr>
                <w:color w:val="000000"/>
                <w:sz w:val="18"/>
                <w:szCs w:val="18"/>
              </w:rPr>
              <w:t>1</w:t>
            </w:r>
          </w:p>
        </w:tc>
        <w:tc>
          <w:tcPr>
            <w:tcW w:w="1276" w:type="dxa"/>
          </w:tcPr>
          <w:p w:rsidR="00E660F2" w:rsidRPr="00F86B82" w:rsidRDefault="00E660F2" w:rsidP="008F0588">
            <w:pPr>
              <w:rPr>
                <w:color w:val="000000"/>
                <w:sz w:val="18"/>
                <w:szCs w:val="18"/>
              </w:rPr>
            </w:pPr>
            <w:r w:rsidRPr="00F86B82">
              <w:rPr>
                <w:color w:val="000000"/>
                <w:sz w:val="18"/>
                <w:szCs w:val="18"/>
              </w:rPr>
              <w:t>0.3</w:t>
            </w:r>
          </w:p>
        </w:tc>
        <w:tc>
          <w:tcPr>
            <w:tcW w:w="992" w:type="dxa"/>
            <w:noWrap/>
          </w:tcPr>
          <w:p w:rsidR="00E660F2" w:rsidRPr="00F86B82" w:rsidRDefault="00E660F2" w:rsidP="008F0588">
            <w:pPr>
              <w:rPr>
                <w:color w:val="000000"/>
                <w:sz w:val="18"/>
                <w:szCs w:val="18"/>
              </w:rPr>
            </w:pPr>
            <w:r w:rsidRPr="00F86B82">
              <w:rPr>
                <w:color w:val="000000"/>
                <w:sz w:val="18"/>
                <w:szCs w:val="18"/>
              </w:rPr>
              <w:t>0.2</w:t>
            </w:r>
          </w:p>
        </w:tc>
      </w:tr>
      <w:tr w:rsidR="00E660F2" w:rsidRPr="00756969" w:rsidTr="008F0588">
        <w:trPr>
          <w:trHeight w:val="227"/>
        </w:trPr>
        <w:tc>
          <w:tcPr>
            <w:tcW w:w="2518" w:type="dxa"/>
            <w:noWrap/>
          </w:tcPr>
          <w:p w:rsidR="00E660F2" w:rsidRPr="00F86B82" w:rsidRDefault="00E660F2" w:rsidP="008F0588">
            <w:pPr>
              <w:rPr>
                <w:b/>
                <w:color w:val="FF0000"/>
                <w:sz w:val="18"/>
                <w:szCs w:val="18"/>
              </w:rPr>
            </w:pPr>
            <w:r w:rsidRPr="00F86B82">
              <w:rPr>
                <w:b/>
                <w:color w:val="FF0000"/>
                <w:sz w:val="18"/>
                <w:szCs w:val="18"/>
              </w:rPr>
              <w:t>Apathy</w:t>
            </w:r>
          </w:p>
        </w:tc>
        <w:tc>
          <w:tcPr>
            <w:tcW w:w="1134" w:type="dxa"/>
          </w:tcPr>
          <w:p w:rsidR="00E660F2" w:rsidRPr="00F86B82" w:rsidRDefault="00E660F2" w:rsidP="008F0588">
            <w:pPr>
              <w:rPr>
                <w:color w:val="000000"/>
                <w:sz w:val="18"/>
                <w:szCs w:val="18"/>
              </w:rPr>
            </w:pPr>
            <w:r w:rsidRPr="00F86B82">
              <w:rPr>
                <w:color w:val="000000"/>
                <w:sz w:val="18"/>
                <w:szCs w:val="18"/>
              </w:rPr>
              <w:t>3</w:t>
            </w:r>
          </w:p>
        </w:tc>
        <w:tc>
          <w:tcPr>
            <w:tcW w:w="1559" w:type="dxa"/>
          </w:tcPr>
          <w:p w:rsidR="00E660F2" w:rsidRPr="00F86B82" w:rsidRDefault="00E660F2" w:rsidP="008F0588">
            <w:pPr>
              <w:rPr>
                <w:color w:val="000000"/>
                <w:sz w:val="18"/>
                <w:szCs w:val="18"/>
              </w:rPr>
            </w:pPr>
            <w:r w:rsidRPr="00F86B82">
              <w:rPr>
                <w:color w:val="000000"/>
                <w:sz w:val="18"/>
                <w:szCs w:val="18"/>
              </w:rPr>
              <w:t>0.4</w:t>
            </w:r>
          </w:p>
        </w:tc>
        <w:tc>
          <w:tcPr>
            <w:tcW w:w="993" w:type="dxa"/>
          </w:tcPr>
          <w:p w:rsidR="00E660F2" w:rsidRPr="00F86B82" w:rsidRDefault="00E660F2" w:rsidP="008F0588">
            <w:pPr>
              <w:rPr>
                <w:color w:val="000000"/>
                <w:sz w:val="18"/>
                <w:szCs w:val="18"/>
              </w:rPr>
            </w:pPr>
            <w:r w:rsidRPr="00F86B82">
              <w:rPr>
                <w:color w:val="000000"/>
                <w:sz w:val="18"/>
                <w:szCs w:val="18"/>
              </w:rPr>
              <w:t>0.3</w:t>
            </w:r>
          </w:p>
        </w:tc>
        <w:tc>
          <w:tcPr>
            <w:tcW w:w="992" w:type="dxa"/>
          </w:tcPr>
          <w:p w:rsidR="00E660F2" w:rsidRPr="00F86B82" w:rsidRDefault="00E660F2" w:rsidP="008F0588">
            <w:pPr>
              <w:rPr>
                <w:color w:val="000000"/>
                <w:sz w:val="18"/>
                <w:szCs w:val="18"/>
              </w:rPr>
            </w:pPr>
            <w:r w:rsidRPr="00F86B82">
              <w:rPr>
                <w:color w:val="000000"/>
                <w:sz w:val="18"/>
                <w:szCs w:val="18"/>
              </w:rPr>
              <w:t>1</w:t>
            </w:r>
          </w:p>
        </w:tc>
        <w:tc>
          <w:tcPr>
            <w:tcW w:w="1276" w:type="dxa"/>
          </w:tcPr>
          <w:p w:rsidR="00E660F2" w:rsidRPr="00F86B82" w:rsidRDefault="00E660F2" w:rsidP="008F0588">
            <w:pPr>
              <w:rPr>
                <w:color w:val="000000"/>
                <w:sz w:val="18"/>
                <w:szCs w:val="18"/>
              </w:rPr>
            </w:pPr>
            <w:r w:rsidRPr="00F86B82">
              <w:rPr>
                <w:color w:val="000000"/>
                <w:sz w:val="18"/>
                <w:szCs w:val="18"/>
              </w:rPr>
              <w:t>0.3</w:t>
            </w:r>
          </w:p>
        </w:tc>
        <w:tc>
          <w:tcPr>
            <w:tcW w:w="992" w:type="dxa"/>
            <w:noWrap/>
          </w:tcPr>
          <w:p w:rsidR="00E660F2" w:rsidRPr="00F86B82" w:rsidRDefault="00E660F2" w:rsidP="008F0588">
            <w:pPr>
              <w:rPr>
                <w:color w:val="000000"/>
                <w:sz w:val="18"/>
                <w:szCs w:val="18"/>
              </w:rPr>
            </w:pPr>
            <w:r w:rsidRPr="00F86B82">
              <w:rPr>
                <w:color w:val="000000"/>
                <w:sz w:val="18"/>
                <w:szCs w:val="18"/>
              </w:rPr>
              <w:t>0.2</w:t>
            </w:r>
          </w:p>
        </w:tc>
      </w:tr>
      <w:tr w:rsidR="00E660F2" w:rsidRPr="00756969" w:rsidTr="008F0588">
        <w:trPr>
          <w:trHeight w:val="227"/>
        </w:trPr>
        <w:tc>
          <w:tcPr>
            <w:tcW w:w="2518" w:type="dxa"/>
            <w:noWrap/>
          </w:tcPr>
          <w:p w:rsidR="00E660F2" w:rsidRPr="00F86B82" w:rsidRDefault="00E660F2" w:rsidP="008F0588">
            <w:pPr>
              <w:rPr>
                <w:b/>
                <w:color w:val="FF0000"/>
                <w:sz w:val="18"/>
                <w:szCs w:val="18"/>
              </w:rPr>
            </w:pPr>
            <w:r w:rsidRPr="00F86B82">
              <w:rPr>
                <w:b/>
                <w:color w:val="FF0000"/>
                <w:sz w:val="18"/>
                <w:szCs w:val="18"/>
              </w:rPr>
              <w:t>Hallucination</w:t>
            </w:r>
          </w:p>
        </w:tc>
        <w:tc>
          <w:tcPr>
            <w:tcW w:w="1134" w:type="dxa"/>
          </w:tcPr>
          <w:p w:rsidR="00E660F2" w:rsidRPr="00F86B82" w:rsidRDefault="00E660F2" w:rsidP="008F0588">
            <w:pPr>
              <w:rPr>
                <w:color w:val="000000"/>
                <w:sz w:val="18"/>
                <w:szCs w:val="18"/>
              </w:rPr>
            </w:pPr>
            <w:r w:rsidRPr="00F86B82">
              <w:rPr>
                <w:color w:val="000000"/>
                <w:sz w:val="18"/>
                <w:szCs w:val="18"/>
              </w:rPr>
              <w:t>3</w:t>
            </w:r>
          </w:p>
        </w:tc>
        <w:tc>
          <w:tcPr>
            <w:tcW w:w="1559" w:type="dxa"/>
          </w:tcPr>
          <w:p w:rsidR="00E660F2" w:rsidRPr="00F86B82" w:rsidRDefault="00E660F2" w:rsidP="008F0588">
            <w:pPr>
              <w:rPr>
                <w:color w:val="000000"/>
                <w:sz w:val="18"/>
                <w:szCs w:val="18"/>
              </w:rPr>
            </w:pPr>
            <w:r w:rsidRPr="00F86B82">
              <w:rPr>
                <w:color w:val="000000"/>
                <w:sz w:val="18"/>
                <w:szCs w:val="18"/>
              </w:rPr>
              <w:t>0.4</w:t>
            </w:r>
          </w:p>
        </w:tc>
        <w:tc>
          <w:tcPr>
            <w:tcW w:w="993" w:type="dxa"/>
          </w:tcPr>
          <w:p w:rsidR="00E660F2" w:rsidRPr="00F86B82" w:rsidRDefault="00E660F2" w:rsidP="008F0588">
            <w:pPr>
              <w:rPr>
                <w:color w:val="000000"/>
                <w:sz w:val="18"/>
                <w:szCs w:val="18"/>
              </w:rPr>
            </w:pPr>
            <w:r w:rsidRPr="00F86B82">
              <w:rPr>
                <w:color w:val="000000"/>
                <w:sz w:val="18"/>
                <w:szCs w:val="18"/>
              </w:rPr>
              <w:t>0.3</w:t>
            </w:r>
          </w:p>
        </w:tc>
        <w:tc>
          <w:tcPr>
            <w:tcW w:w="992" w:type="dxa"/>
          </w:tcPr>
          <w:p w:rsidR="00E660F2" w:rsidRPr="00F86B82" w:rsidRDefault="00E660F2" w:rsidP="008F0588">
            <w:pPr>
              <w:rPr>
                <w:color w:val="000000"/>
                <w:sz w:val="18"/>
                <w:szCs w:val="18"/>
              </w:rPr>
            </w:pPr>
            <w:r w:rsidRPr="00F86B82">
              <w:rPr>
                <w:color w:val="000000"/>
                <w:sz w:val="18"/>
                <w:szCs w:val="18"/>
              </w:rPr>
              <w:t>0</w:t>
            </w:r>
          </w:p>
        </w:tc>
        <w:tc>
          <w:tcPr>
            <w:tcW w:w="1276" w:type="dxa"/>
          </w:tcPr>
          <w:p w:rsidR="00E660F2" w:rsidRPr="00F86B82" w:rsidRDefault="00E660F2" w:rsidP="008F0588">
            <w:pPr>
              <w:rPr>
                <w:color w:val="000000"/>
                <w:sz w:val="18"/>
                <w:szCs w:val="18"/>
              </w:rPr>
            </w:pPr>
            <w:r w:rsidRPr="00F86B82">
              <w:rPr>
                <w:color w:val="000000"/>
                <w:sz w:val="18"/>
                <w:szCs w:val="18"/>
              </w:rPr>
              <w:t>0.0</w:t>
            </w:r>
          </w:p>
        </w:tc>
        <w:tc>
          <w:tcPr>
            <w:tcW w:w="992" w:type="dxa"/>
            <w:noWrap/>
          </w:tcPr>
          <w:p w:rsidR="00E660F2" w:rsidRPr="00F86B82" w:rsidRDefault="00E660F2" w:rsidP="008F0588">
            <w:pPr>
              <w:rPr>
                <w:color w:val="000000"/>
                <w:sz w:val="18"/>
                <w:szCs w:val="18"/>
              </w:rPr>
            </w:pPr>
            <w:r w:rsidRPr="00F86B82">
              <w:rPr>
                <w:color w:val="000000"/>
                <w:sz w:val="18"/>
                <w:szCs w:val="18"/>
              </w:rPr>
              <w:t>0.0</w:t>
            </w:r>
          </w:p>
        </w:tc>
      </w:tr>
      <w:tr w:rsidR="00E660F2" w:rsidRPr="00756969" w:rsidTr="008F0588">
        <w:trPr>
          <w:trHeight w:val="227"/>
        </w:trPr>
        <w:tc>
          <w:tcPr>
            <w:tcW w:w="2518" w:type="dxa"/>
            <w:noWrap/>
          </w:tcPr>
          <w:p w:rsidR="00E660F2" w:rsidRPr="00F86B82" w:rsidRDefault="00E660F2" w:rsidP="008F0588">
            <w:pPr>
              <w:rPr>
                <w:b/>
                <w:color w:val="000000"/>
                <w:sz w:val="18"/>
                <w:szCs w:val="18"/>
              </w:rPr>
            </w:pPr>
            <w:r w:rsidRPr="00F86B82">
              <w:rPr>
                <w:b/>
                <w:color w:val="000000"/>
                <w:sz w:val="18"/>
                <w:szCs w:val="18"/>
              </w:rPr>
              <w:t>Delirium</w:t>
            </w:r>
          </w:p>
        </w:tc>
        <w:tc>
          <w:tcPr>
            <w:tcW w:w="1134" w:type="dxa"/>
          </w:tcPr>
          <w:p w:rsidR="00E660F2" w:rsidRPr="00F86B82" w:rsidRDefault="00E660F2" w:rsidP="008F0588">
            <w:pPr>
              <w:rPr>
                <w:color w:val="000000"/>
                <w:sz w:val="18"/>
                <w:szCs w:val="18"/>
              </w:rPr>
            </w:pPr>
            <w:r w:rsidRPr="00F86B82">
              <w:rPr>
                <w:color w:val="000000"/>
                <w:sz w:val="18"/>
                <w:szCs w:val="18"/>
              </w:rPr>
              <w:t>1</w:t>
            </w:r>
          </w:p>
        </w:tc>
        <w:tc>
          <w:tcPr>
            <w:tcW w:w="1559" w:type="dxa"/>
          </w:tcPr>
          <w:p w:rsidR="00E660F2" w:rsidRPr="00F86B82" w:rsidRDefault="00E660F2" w:rsidP="008F0588">
            <w:pPr>
              <w:rPr>
                <w:color w:val="000000"/>
                <w:sz w:val="18"/>
                <w:szCs w:val="18"/>
              </w:rPr>
            </w:pPr>
            <w:r w:rsidRPr="00F86B82">
              <w:rPr>
                <w:color w:val="000000"/>
                <w:sz w:val="18"/>
                <w:szCs w:val="18"/>
              </w:rPr>
              <w:t>0.1</w:t>
            </w:r>
          </w:p>
        </w:tc>
        <w:tc>
          <w:tcPr>
            <w:tcW w:w="993" w:type="dxa"/>
          </w:tcPr>
          <w:p w:rsidR="00E660F2" w:rsidRPr="00F86B82" w:rsidRDefault="00E660F2" w:rsidP="008F0588">
            <w:pPr>
              <w:rPr>
                <w:color w:val="000000"/>
                <w:sz w:val="18"/>
                <w:szCs w:val="18"/>
              </w:rPr>
            </w:pPr>
            <w:r w:rsidRPr="00F86B82">
              <w:rPr>
                <w:color w:val="000000"/>
                <w:sz w:val="18"/>
                <w:szCs w:val="18"/>
              </w:rPr>
              <w:t>0.1</w:t>
            </w:r>
          </w:p>
        </w:tc>
        <w:tc>
          <w:tcPr>
            <w:tcW w:w="992" w:type="dxa"/>
          </w:tcPr>
          <w:p w:rsidR="00E660F2" w:rsidRPr="00F86B82" w:rsidRDefault="00E660F2" w:rsidP="008F0588">
            <w:pPr>
              <w:rPr>
                <w:color w:val="000000"/>
                <w:sz w:val="18"/>
                <w:szCs w:val="18"/>
              </w:rPr>
            </w:pPr>
            <w:r w:rsidRPr="00F86B82">
              <w:rPr>
                <w:color w:val="000000"/>
                <w:sz w:val="18"/>
                <w:szCs w:val="18"/>
              </w:rPr>
              <w:t>2</w:t>
            </w:r>
          </w:p>
        </w:tc>
        <w:tc>
          <w:tcPr>
            <w:tcW w:w="1276" w:type="dxa"/>
          </w:tcPr>
          <w:p w:rsidR="00E660F2" w:rsidRPr="00F86B82" w:rsidRDefault="00E660F2" w:rsidP="008F0588">
            <w:pPr>
              <w:rPr>
                <w:color w:val="000000"/>
                <w:sz w:val="18"/>
                <w:szCs w:val="18"/>
              </w:rPr>
            </w:pPr>
            <w:r w:rsidRPr="00F86B82">
              <w:rPr>
                <w:color w:val="000000"/>
                <w:sz w:val="18"/>
                <w:szCs w:val="18"/>
              </w:rPr>
              <w:t>0.5</w:t>
            </w:r>
          </w:p>
        </w:tc>
        <w:tc>
          <w:tcPr>
            <w:tcW w:w="992" w:type="dxa"/>
            <w:noWrap/>
          </w:tcPr>
          <w:p w:rsidR="00E660F2" w:rsidRPr="00F86B82" w:rsidRDefault="00E660F2" w:rsidP="008F0588">
            <w:pPr>
              <w:rPr>
                <w:color w:val="000000"/>
                <w:sz w:val="18"/>
                <w:szCs w:val="18"/>
              </w:rPr>
            </w:pPr>
            <w:r w:rsidRPr="00F86B82">
              <w:rPr>
                <w:color w:val="000000"/>
                <w:sz w:val="18"/>
                <w:szCs w:val="18"/>
              </w:rPr>
              <w:t>0.5</w:t>
            </w:r>
          </w:p>
        </w:tc>
      </w:tr>
      <w:tr w:rsidR="00E660F2" w:rsidRPr="00756969" w:rsidTr="008F0588">
        <w:trPr>
          <w:trHeight w:val="227"/>
        </w:trPr>
        <w:tc>
          <w:tcPr>
            <w:tcW w:w="2518" w:type="dxa"/>
            <w:noWrap/>
          </w:tcPr>
          <w:p w:rsidR="00E660F2" w:rsidRPr="00F86B82" w:rsidRDefault="00E660F2" w:rsidP="008F0588">
            <w:pPr>
              <w:rPr>
                <w:b/>
                <w:color w:val="000000"/>
                <w:sz w:val="18"/>
                <w:szCs w:val="18"/>
              </w:rPr>
            </w:pPr>
            <w:r w:rsidRPr="00F86B82">
              <w:rPr>
                <w:b/>
                <w:color w:val="000000"/>
                <w:sz w:val="18"/>
                <w:szCs w:val="18"/>
              </w:rPr>
              <w:t>Mood swings</w:t>
            </w:r>
          </w:p>
        </w:tc>
        <w:tc>
          <w:tcPr>
            <w:tcW w:w="1134" w:type="dxa"/>
          </w:tcPr>
          <w:p w:rsidR="00E660F2" w:rsidRPr="00F86B82" w:rsidRDefault="00E660F2" w:rsidP="008F0588">
            <w:pPr>
              <w:rPr>
                <w:color w:val="000000"/>
                <w:sz w:val="18"/>
                <w:szCs w:val="18"/>
              </w:rPr>
            </w:pPr>
            <w:r w:rsidRPr="00F86B82">
              <w:rPr>
                <w:color w:val="000000"/>
                <w:sz w:val="18"/>
                <w:szCs w:val="18"/>
              </w:rPr>
              <w:t>1</w:t>
            </w:r>
          </w:p>
        </w:tc>
        <w:tc>
          <w:tcPr>
            <w:tcW w:w="1559" w:type="dxa"/>
          </w:tcPr>
          <w:p w:rsidR="00E660F2" w:rsidRPr="00F86B82" w:rsidRDefault="00E660F2" w:rsidP="008F0588">
            <w:pPr>
              <w:rPr>
                <w:color w:val="000000"/>
                <w:sz w:val="18"/>
                <w:szCs w:val="18"/>
              </w:rPr>
            </w:pPr>
            <w:r w:rsidRPr="00F86B82">
              <w:rPr>
                <w:color w:val="000000"/>
                <w:sz w:val="18"/>
                <w:szCs w:val="18"/>
              </w:rPr>
              <w:t>0.1</w:t>
            </w:r>
          </w:p>
        </w:tc>
        <w:tc>
          <w:tcPr>
            <w:tcW w:w="993" w:type="dxa"/>
          </w:tcPr>
          <w:p w:rsidR="00E660F2" w:rsidRPr="00F86B82" w:rsidRDefault="00E660F2" w:rsidP="008F0588">
            <w:pPr>
              <w:rPr>
                <w:color w:val="000000"/>
                <w:sz w:val="18"/>
                <w:szCs w:val="18"/>
              </w:rPr>
            </w:pPr>
            <w:r w:rsidRPr="00F86B82">
              <w:rPr>
                <w:color w:val="000000"/>
                <w:sz w:val="18"/>
                <w:szCs w:val="18"/>
              </w:rPr>
              <w:t>0.1</w:t>
            </w:r>
          </w:p>
        </w:tc>
        <w:tc>
          <w:tcPr>
            <w:tcW w:w="992" w:type="dxa"/>
          </w:tcPr>
          <w:p w:rsidR="00E660F2" w:rsidRPr="00F86B82" w:rsidRDefault="00E660F2" w:rsidP="008F0588">
            <w:pPr>
              <w:rPr>
                <w:color w:val="000000"/>
                <w:sz w:val="18"/>
                <w:szCs w:val="18"/>
              </w:rPr>
            </w:pPr>
            <w:r w:rsidRPr="00F86B82">
              <w:rPr>
                <w:color w:val="000000"/>
                <w:sz w:val="18"/>
                <w:szCs w:val="18"/>
              </w:rPr>
              <w:t>1</w:t>
            </w:r>
          </w:p>
        </w:tc>
        <w:tc>
          <w:tcPr>
            <w:tcW w:w="1276" w:type="dxa"/>
          </w:tcPr>
          <w:p w:rsidR="00E660F2" w:rsidRPr="00F86B82" w:rsidRDefault="00E660F2" w:rsidP="008F0588">
            <w:pPr>
              <w:rPr>
                <w:color w:val="000000"/>
                <w:sz w:val="18"/>
                <w:szCs w:val="18"/>
              </w:rPr>
            </w:pPr>
            <w:r w:rsidRPr="00F86B82">
              <w:rPr>
                <w:color w:val="000000"/>
                <w:sz w:val="18"/>
                <w:szCs w:val="18"/>
              </w:rPr>
              <w:t>0.3</w:t>
            </w:r>
          </w:p>
        </w:tc>
        <w:tc>
          <w:tcPr>
            <w:tcW w:w="992" w:type="dxa"/>
            <w:noWrap/>
          </w:tcPr>
          <w:p w:rsidR="00E660F2" w:rsidRPr="00F86B82" w:rsidRDefault="00E660F2" w:rsidP="008F0588">
            <w:pPr>
              <w:rPr>
                <w:color w:val="000000"/>
                <w:sz w:val="18"/>
                <w:szCs w:val="18"/>
              </w:rPr>
            </w:pPr>
            <w:r w:rsidRPr="00F86B82">
              <w:rPr>
                <w:color w:val="000000"/>
                <w:sz w:val="18"/>
                <w:szCs w:val="18"/>
              </w:rPr>
              <w:t>0.2</w:t>
            </w:r>
          </w:p>
        </w:tc>
      </w:tr>
      <w:tr w:rsidR="00E660F2" w:rsidRPr="00756969" w:rsidTr="008F0588">
        <w:trPr>
          <w:trHeight w:val="227"/>
        </w:trPr>
        <w:tc>
          <w:tcPr>
            <w:tcW w:w="2518" w:type="dxa"/>
            <w:noWrap/>
          </w:tcPr>
          <w:p w:rsidR="00E660F2" w:rsidRPr="00F86B82" w:rsidRDefault="00E660F2" w:rsidP="008F0588">
            <w:pPr>
              <w:rPr>
                <w:b/>
                <w:color w:val="FF0000"/>
                <w:sz w:val="18"/>
                <w:szCs w:val="18"/>
              </w:rPr>
            </w:pPr>
            <w:r w:rsidRPr="00F86B82">
              <w:rPr>
                <w:b/>
                <w:color w:val="FF0000"/>
                <w:sz w:val="18"/>
                <w:szCs w:val="18"/>
              </w:rPr>
              <w:t>Affect lability</w:t>
            </w:r>
          </w:p>
        </w:tc>
        <w:tc>
          <w:tcPr>
            <w:tcW w:w="1134" w:type="dxa"/>
          </w:tcPr>
          <w:p w:rsidR="00E660F2" w:rsidRPr="00F86B82" w:rsidRDefault="00E660F2" w:rsidP="008F0588">
            <w:pPr>
              <w:rPr>
                <w:color w:val="000000"/>
                <w:sz w:val="18"/>
                <w:szCs w:val="18"/>
              </w:rPr>
            </w:pPr>
            <w:r w:rsidRPr="00F86B82">
              <w:rPr>
                <w:color w:val="000000"/>
                <w:sz w:val="18"/>
                <w:szCs w:val="18"/>
              </w:rPr>
              <w:t>1</w:t>
            </w:r>
          </w:p>
        </w:tc>
        <w:tc>
          <w:tcPr>
            <w:tcW w:w="1559" w:type="dxa"/>
          </w:tcPr>
          <w:p w:rsidR="00E660F2" w:rsidRPr="00F86B82" w:rsidRDefault="00E660F2" w:rsidP="008F0588">
            <w:pPr>
              <w:rPr>
                <w:color w:val="000000"/>
                <w:sz w:val="18"/>
                <w:szCs w:val="18"/>
              </w:rPr>
            </w:pPr>
            <w:r w:rsidRPr="00F86B82">
              <w:rPr>
                <w:color w:val="000000"/>
                <w:sz w:val="18"/>
                <w:szCs w:val="18"/>
              </w:rPr>
              <w:t>0.1</w:t>
            </w:r>
          </w:p>
        </w:tc>
        <w:tc>
          <w:tcPr>
            <w:tcW w:w="993" w:type="dxa"/>
          </w:tcPr>
          <w:p w:rsidR="00E660F2" w:rsidRPr="00F86B82" w:rsidRDefault="00E660F2" w:rsidP="008F0588">
            <w:pPr>
              <w:rPr>
                <w:color w:val="000000"/>
                <w:sz w:val="18"/>
                <w:szCs w:val="18"/>
              </w:rPr>
            </w:pPr>
            <w:r w:rsidRPr="00F86B82">
              <w:rPr>
                <w:color w:val="000000"/>
                <w:sz w:val="18"/>
                <w:szCs w:val="18"/>
              </w:rPr>
              <w:t>0.1</w:t>
            </w:r>
          </w:p>
        </w:tc>
        <w:tc>
          <w:tcPr>
            <w:tcW w:w="992" w:type="dxa"/>
          </w:tcPr>
          <w:p w:rsidR="00E660F2" w:rsidRPr="00F86B82" w:rsidRDefault="00E660F2" w:rsidP="008F0588">
            <w:pPr>
              <w:rPr>
                <w:color w:val="000000"/>
                <w:sz w:val="18"/>
                <w:szCs w:val="18"/>
              </w:rPr>
            </w:pPr>
            <w:r w:rsidRPr="00F86B82">
              <w:rPr>
                <w:color w:val="000000"/>
                <w:sz w:val="18"/>
                <w:szCs w:val="18"/>
              </w:rPr>
              <w:t>0</w:t>
            </w:r>
          </w:p>
        </w:tc>
        <w:tc>
          <w:tcPr>
            <w:tcW w:w="1276" w:type="dxa"/>
          </w:tcPr>
          <w:p w:rsidR="00E660F2" w:rsidRPr="00F86B82" w:rsidRDefault="00E660F2" w:rsidP="008F0588">
            <w:pPr>
              <w:rPr>
                <w:color w:val="000000"/>
                <w:sz w:val="18"/>
                <w:szCs w:val="18"/>
              </w:rPr>
            </w:pPr>
            <w:r w:rsidRPr="00F86B82">
              <w:rPr>
                <w:color w:val="000000"/>
                <w:sz w:val="18"/>
                <w:szCs w:val="18"/>
              </w:rPr>
              <w:t>0.0</w:t>
            </w:r>
          </w:p>
        </w:tc>
        <w:tc>
          <w:tcPr>
            <w:tcW w:w="992" w:type="dxa"/>
            <w:noWrap/>
          </w:tcPr>
          <w:p w:rsidR="00E660F2" w:rsidRPr="00F86B82" w:rsidRDefault="00E660F2" w:rsidP="008F0588">
            <w:pPr>
              <w:rPr>
                <w:color w:val="000000"/>
                <w:sz w:val="18"/>
                <w:szCs w:val="18"/>
              </w:rPr>
            </w:pPr>
            <w:r w:rsidRPr="00F86B82">
              <w:rPr>
                <w:color w:val="000000"/>
                <w:sz w:val="18"/>
                <w:szCs w:val="18"/>
              </w:rPr>
              <w:t>0.0</w:t>
            </w:r>
          </w:p>
        </w:tc>
      </w:tr>
      <w:tr w:rsidR="00E660F2" w:rsidRPr="00756969" w:rsidTr="008F0588">
        <w:trPr>
          <w:trHeight w:val="227"/>
        </w:trPr>
        <w:tc>
          <w:tcPr>
            <w:tcW w:w="2518" w:type="dxa"/>
            <w:noWrap/>
            <w:hideMark/>
          </w:tcPr>
          <w:p w:rsidR="00E660F2" w:rsidRPr="00F86B82" w:rsidRDefault="00E660F2" w:rsidP="008F0588">
            <w:pPr>
              <w:rPr>
                <w:b/>
                <w:color w:val="FF0000"/>
                <w:sz w:val="18"/>
                <w:szCs w:val="18"/>
              </w:rPr>
            </w:pPr>
            <w:r w:rsidRPr="00F86B82">
              <w:rPr>
                <w:b/>
                <w:color w:val="FF0000"/>
                <w:sz w:val="18"/>
                <w:szCs w:val="18"/>
              </w:rPr>
              <w:lastRenderedPageBreak/>
              <w:t>Aggression</w:t>
            </w:r>
          </w:p>
        </w:tc>
        <w:tc>
          <w:tcPr>
            <w:tcW w:w="1134" w:type="dxa"/>
          </w:tcPr>
          <w:p w:rsidR="00E660F2" w:rsidRPr="00F86B82" w:rsidRDefault="00E660F2" w:rsidP="008F0588">
            <w:pPr>
              <w:rPr>
                <w:color w:val="000000"/>
                <w:sz w:val="18"/>
                <w:szCs w:val="18"/>
              </w:rPr>
            </w:pPr>
            <w:r w:rsidRPr="00F86B82">
              <w:rPr>
                <w:color w:val="000000"/>
                <w:sz w:val="18"/>
                <w:szCs w:val="18"/>
              </w:rPr>
              <w:t>1</w:t>
            </w:r>
          </w:p>
        </w:tc>
        <w:tc>
          <w:tcPr>
            <w:tcW w:w="1559" w:type="dxa"/>
          </w:tcPr>
          <w:p w:rsidR="00E660F2" w:rsidRPr="00F86B82" w:rsidRDefault="00E660F2" w:rsidP="008F0588">
            <w:pPr>
              <w:rPr>
                <w:color w:val="000000"/>
                <w:sz w:val="18"/>
                <w:szCs w:val="18"/>
              </w:rPr>
            </w:pPr>
            <w:r w:rsidRPr="00F86B82">
              <w:rPr>
                <w:color w:val="000000"/>
                <w:sz w:val="18"/>
                <w:szCs w:val="18"/>
              </w:rPr>
              <w:t>0.1</w:t>
            </w:r>
          </w:p>
        </w:tc>
        <w:tc>
          <w:tcPr>
            <w:tcW w:w="993" w:type="dxa"/>
          </w:tcPr>
          <w:p w:rsidR="00E660F2" w:rsidRPr="00F86B82" w:rsidRDefault="00E660F2" w:rsidP="008F0588">
            <w:pPr>
              <w:rPr>
                <w:color w:val="000000"/>
                <w:sz w:val="18"/>
                <w:szCs w:val="18"/>
              </w:rPr>
            </w:pPr>
            <w:r w:rsidRPr="00F86B82">
              <w:rPr>
                <w:color w:val="000000"/>
                <w:sz w:val="18"/>
                <w:szCs w:val="18"/>
              </w:rPr>
              <w:t>0.1</w:t>
            </w:r>
          </w:p>
        </w:tc>
        <w:tc>
          <w:tcPr>
            <w:tcW w:w="992" w:type="dxa"/>
          </w:tcPr>
          <w:p w:rsidR="00E660F2" w:rsidRPr="00F86B82" w:rsidRDefault="00E660F2" w:rsidP="008F0588">
            <w:pPr>
              <w:rPr>
                <w:color w:val="000000"/>
                <w:sz w:val="18"/>
                <w:szCs w:val="18"/>
              </w:rPr>
            </w:pPr>
            <w:r w:rsidRPr="00F86B82">
              <w:rPr>
                <w:color w:val="000000"/>
                <w:sz w:val="18"/>
                <w:szCs w:val="18"/>
              </w:rPr>
              <w:t>0</w:t>
            </w:r>
          </w:p>
        </w:tc>
        <w:tc>
          <w:tcPr>
            <w:tcW w:w="1276" w:type="dxa"/>
          </w:tcPr>
          <w:p w:rsidR="00E660F2" w:rsidRPr="00F86B82" w:rsidRDefault="00E660F2" w:rsidP="008F0588">
            <w:pPr>
              <w:rPr>
                <w:color w:val="000000"/>
                <w:sz w:val="18"/>
                <w:szCs w:val="18"/>
              </w:rPr>
            </w:pPr>
            <w:r w:rsidRPr="00F86B82">
              <w:rPr>
                <w:color w:val="000000"/>
                <w:sz w:val="18"/>
                <w:szCs w:val="18"/>
              </w:rPr>
              <w:t>0.0</w:t>
            </w:r>
          </w:p>
        </w:tc>
        <w:tc>
          <w:tcPr>
            <w:tcW w:w="992" w:type="dxa"/>
            <w:noWrap/>
            <w:hideMark/>
          </w:tcPr>
          <w:p w:rsidR="00E660F2" w:rsidRPr="00F86B82" w:rsidRDefault="00E660F2" w:rsidP="008F0588">
            <w:pPr>
              <w:rPr>
                <w:color w:val="000000"/>
                <w:sz w:val="18"/>
                <w:szCs w:val="18"/>
              </w:rPr>
            </w:pPr>
            <w:r w:rsidRPr="00F86B82">
              <w:rPr>
                <w:color w:val="000000"/>
                <w:sz w:val="18"/>
                <w:szCs w:val="18"/>
              </w:rPr>
              <w:t>0.0</w:t>
            </w:r>
          </w:p>
        </w:tc>
      </w:tr>
      <w:tr w:rsidR="00E660F2" w:rsidRPr="00756969" w:rsidTr="008F0588">
        <w:trPr>
          <w:trHeight w:val="227"/>
        </w:trPr>
        <w:tc>
          <w:tcPr>
            <w:tcW w:w="2518" w:type="dxa"/>
            <w:noWrap/>
            <w:hideMark/>
          </w:tcPr>
          <w:p w:rsidR="00E660F2" w:rsidRPr="00F86B82" w:rsidRDefault="00E660F2" w:rsidP="008F0588">
            <w:pPr>
              <w:rPr>
                <w:b/>
                <w:color w:val="FF0000"/>
                <w:sz w:val="18"/>
                <w:szCs w:val="18"/>
              </w:rPr>
            </w:pPr>
            <w:r w:rsidRPr="00F86B82">
              <w:rPr>
                <w:b/>
                <w:color w:val="FF0000"/>
                <w:sz w:val="18"/>
                <w:szCs w:val="18"/>
              </w:rPr>
              <w:t>Disorientation</w:t>
            </w:r>
          </w:p>
        </w:tc>
        <w:tc>
          <w:tcPr>
            <w:tcW w:w="1134" w:type="dxa"/>
          </w:tcPr>
          <w:p w:rsidR="00E660F2" w:rsidRPr="00F86B82" w:rsidRDefault="00E660F2" w:rsidP="008F0588">
            <w:pPr>
              <w:rPr>
                <w:color w:val="000000"/>
                <w:sz w:val="18"/>
                <w:szCs w:val="18"/>
              </w:rPr>
            </w:pPr>
            <w:r w:rsidRPr="00F86B82">
              <w:rPr>
                <w:color w:val="000000"/>
                <w:sz w:val="18"/>
                <w:szCs w:val="18"/>
              </w:rPr>
              <w:t>1</w:t>
            </w:r>
          </w:p>
        </w:tc>
        <w:tc>
          <w:tcPr>
            <w:tcW w:w="1559" w:type="dxa"/>
          </w:tcPr>
          <w:p w:rsidR="00E660F2" w:rsidRPr="00F86B82" w:rsidRDefault="00E660F2" w:rsidP="008F0588">
            <w:pPr>
              <w:rPr>
                <w:color w:val="000000"/>
                <w:sz w:val="18"/>
                <w:szCs w:val="18"/>
              </w:rPr>
            </w:pPr>
            <w:r w:rsidRPr="00F86B82">
              <w:rPr>
                <w:color w:val="000000"/>
                <w:sz w:val="18"/>
                <w:szCs w:val="18"/>
              </w:rPr>
              <w:t>0.1</w:t>
            </w:r>
          </w:p>
        </w:tc>
        <w:tc>
          <w:tcPr>
            <w:tcW w:w="993" w:type="dxa"/>
          </w:tcPr>
          <w:p w:rsidR="00E660F2" w:rsidRPr="00F86B82" w:rsidRDefault="00E660F2" w:rsidP="008F0588">
            <w:pPr>
              <w:rPr>
                <w:color w:val="000000"/>
                <w:sz w:val="18"/>
                <w:szCs w:val="18"/>
              </w:rPr>
            </w:pPr>
            <w:r w:rsidRPr="00F86B82">
              <w:rPr>
                <w:color w:val="000000"/>
                <w:sz w:val="18"/>
                <w:szCs w:val="18"/>
              </w:rPr>
              <w:t>0.1</w:t>
            </w:r>
          </w:p>
        </w:tc>
        <w:tc>
          <w:tcPr>
            <w:tcW w:w="992" w:type="dxa"/>
          </w:tcPr>
          <w:p w:rsidR="00E660F2" w:rsidRPr="00F86B82" w:rsidRDefault="00E660F2" w:rsidP="008F0588">
            <w:pPr>
              <w:rPr>
                <w:color w:val="000000"/>
                <w:sz w:val="18"/>
                <w:szCs w:val="18"/>
              </w:rPr>
            </w:pPr>
            <w:r w:rsidRPr="00F86B82">
              <w:rPr>
                <w:color w:val="000000"/>
                <w:sz w:val="18"/>
                <w:szCs w:val="18"/>
              </w:rPr>
              <w:t>0</w:t>
            </w:r>
          </w:p>
        </w:tc>
        <w:tc>
          <w:tcPr>
            <w:tcW w:w="1276" w:type="dxa"/>
          </w:tcPr>
          <w:p w:rsidR="00E660F2" w:rsidRPr="00F86B82" w:rsidRDefault="00E660F2" w:rsidP="008F0588">
            <w:pPr>
              <w:rPr>
                <w:color w:val="000000"/>
                <w:sz w:val="18"/>
                <w:szCs w:val="18"/>
              </w:rPr>
            </w:pPr>
            <w:r w:rsidRPr="00F86B82">
              <w:rPr>
                <w:color w:val="000000"/>
                <w:sz w:val="18"/>
                <w:szCs w:val="18"/>
              </w:rPr>
              <w:t>0.0</w:t>
            </w:r>
          </w:p>
        </w:tc>
        <w:tc>
          <w:tcPr>
            <w:tcW w:w="992" w:type="dxa"/>
            <w:noWrap/>
            <w:hideMark/>
          </w:tcPr>
          <w:p w:rsidR="00E660F2" w:rsidRPr="00F86B82" w:rsidRDefault="00E660F2" w:rsidP="008F0588">
            <w:pPr>
              <w:rPr>
                <w:color w:val="000000"/>
                <w:sz w:val="18"/>
                <w:szCs w:val="18"/>
              </w:rPr>
            </w:pPr>
            <w:r w:rsidRPr="00F86B82">
              <w:rPr>
                <w:color w:val="000000"/>
                <w:sz w:val="18"/>
                <w:szCs w:val="18"/>
              </w:rPr>
              <w:t>0.0</w:t>
            </w:r>
          </w:p>
        </w:tc>
      </w:tr>
      <w:tr w:rsidR="00E660F2" w:rsidRPr="00756969" w:rsidTr="008F0588">
        <w:trPr>
          <w:trHeight w:val="227"/>
        </w:trPr>
        <w:tc>
          <w:tcPr>
            <w:tcW w:w="2518" w:type="dxa"/>
            <w:noWrap/>
            <w:hideMark/>
          </w:tcPr>
          <w:p w:rsidR="00E660F2" w:rsidRPr="00F86B82" w:rsidRDefault="00E660F2" w:rsidP="008F0588">
            <w:pPr>
              <w:rPr>
                <w:b/>
                <w:color w:val="FF0000"/>
                <w:sz w:val="18"/>
                <w:szCs w:val="18"/>
              </w:rPr>
            </w:pPr>
            <w:r w:rsidRPr="00F86B82">
              <w:rPr>
                <w:b/>
                <w:color w:val="FF0000"/>
                <w:sz w:val="18"/>
                <w:szCs w:val="18"/>
              </w:rPr>
              <w:t>Hallucination, visual</w:t>
            </w:r>
          </w:p>
        </w:tc>
        <w:tc>
          <w:tcPr>
            <w:tcW w:w="1134" w:type="dxa"/>
          </w:tcPr>
          <w:p w:rsidR="00E660F2" w:rsidRPr="00F86B82" w:rsidRDefault="00E660F2" w:rsidP="008F0588">
            <w:pPr>
              <w:rPr>
                <w:color w:val="000000"/>
                <w:sz w:val="18"/>
                <w:szCs w:val="18"/>
              </w:rPr>
            </w:pPr>
            <w:r w:rsidRPr="00F86B82">
              <w:rPr>
                <w:color w:val="000000"/>
                <w:sz w:val="18"/>
                <w:szCs w:val="18"/>
              </w:rPr>
              <w:t>1</w:t>
            </w:r>
          </w:p>
        </w:tc>
        <w:tc>
          <w:tcPr>
            <w:tcW w:w="1559" w:type="dxa"/>
          </w:tcPr>
          <w:p w:rsidR="00E660F2" w:rsidRPr="00F86B82" w:rsidRDefault="00E660F2" w:rsidP="008F0588">
            <w:pPr>
              <w:rPr>
                <w:color w:val="000000"/>
                <w:sz w:val="18"/>
                <w:szCs w:val="18"/>
              </w:rPr>
            </w:pPr>
            <w:r w:rsidRPr="00F86B82">
              <w:rPr>
                <w:color w:val="000000"/>
                <w:sz w:val="18"/>
                <w:szCs w:val="18"/>
              </w:rPr>
              <w:t>0.1</w:t>
            </w:r>
          </w:p>
        </w:tc>
        <w:tc>
          <w:tcPr>
            <w:tcW w:w="993" w:type="dxa"/>
          </w:tcPr>
          <w:p w:rsidR="00E660F2" w:rsidRPr="00F86B82" w:rsidRDefault="00E660F2" w:rsidP="008F0588">
            <w:pPr>
              <w:rPr>
                <w:color w:val="000000"/>
                <w:sz w:val="18"/>
                <w:szCs w:val="18"/>
              </w:rPr>
            </w:pPr>
            <w:r w:rsidRPr="00F86B82">
              <w:rPr>
                <w:color w:val="000000"/>
                <w:sz w:val="18"/>
                <w:szCs w:val="18"/>
              </w:rPr>
              <w:t>0.1</w:t>
            </w:r>
          </w:p>
        </w:tc>
        <w:tc>
          <w:tcPr>
            <w:tcW w:w="992" w:type="dxa"/>
          </w:tcPr>
          <w:p w:rsidR="00E660F2" w:rsidRPr="00F86B82" w:rsidRDefault="00E660F2" w:rsidP="008F0588">
            <w:pPr>
              <w:rPr>
                <w:color w:val="000000"/>
                <w:sz w:val="18"/>
                <w:szCs w:val="18"/>
              </w:rPr>
            </w:pPr>
            <w:r w:rsidRPr="00F86B82">
              <w:rPr>
                <w:color w:val="000000"/>
                <w:sz w:val="18"/>
                <w:szCs w:val="18"/>
              </w:rPr>
              <w:t>0</w:t>
            </w:r>
          </w:p>
        </w:tc>
        <w:tc>
          <w:tcPr>
            <w:tcW w:w="1276" w:type="dxa"/>
          </w:tcPr>
          <w:p w:rsidR="00E660F2" w:rsidRPr="00F86B82" w:rsidRDefault="00E660F2" w:rsidP="008F0588">
            <w:pPr>
              <w:rPr>
                <w:color w:val="000000"/>
                <w:sz w:val="18"/>
                <w:szCs w:val="18"/>
              </w:rPr>
            </w:pPr>
            <w:r w:rsidRPr="00F86B82">
              <w:rPr>
                <w:color w:val="000000"/>
                <w:sz w:val="18"/>
                <w:szCs w:val="18"/>
              </w:rPr>
              <w:t>0.0</w:t>
            </w:r>
          </w:p>
        </w:tc>
        <w:tc>
          <w:tcPr>
            <w:tcW w:w="992" w:type="dxa"/>
            <w:noWrap/>
            <w:hideMark/>
          </w:tcPr>
          <w:p w:rsidR="00E660F2" w:rsidRPr="00F86B82" w:rsidRDefault="00E660F2" w:rsidP="008F0588">
            <w:pPr>
              <w:rPr>
                <w:color w:val="000000"/>
                <w:sz w:val="18"/>
                <w:szCs w:val="18"/>
              </w:rPr>
            </w:pPr>
            <w:r w:rsidRPr="00F86B82">
              <w:rPr>
                <w:color w:val="000000"/>
                <w:sz w:val="18"/>
                <w:szCs w:val="18"/>
              </w:rPr>
              <w:t>0.0</w:t>
            </w:r>
          </w:p>
        </w:tc>
      </w:tr>
      <w:tr w:rsidR="00E660F2" w:rsidRPr="00756969" w:rsidTr="008F0588">
        <w:trPr>
          <w:trHeight w:val="227"/>
        </w:trPr>
        <w:tc>
          <w:tcPr>
            <w:tcW w:w="2518" w:type="dxa"/>
            <w:noWrap/>
            <w:hideMark/>
          </w:tcPr>
          <w:p w:rsidR="00E660F2" w:rsidRPr="00F86B82" w:rsidRDefault="00E660F2" w:rsidP="008F0588">
            <w:pPr>
              <w:rPr>
                <w:b/>
                <w:color w:val="FF0000"/>
                <w:sz w:val="18"/>
                <w:szCs w:val="18"/>
              </w:rPr>
            </w:pPr>
            <w:r w:rsidRPr="00F86B82">
              <w:rPr>
                <w:b/>
                <w:color w:val="FF0000"/>
                <w:sz w:val="18"/>
                <w:szCs w:val="18"/>
              </w:rPr>
              <w:t>Mental status changes</w:t>
            </w:r>
          </w:p>
        </w:tc>
        <w:tc>
          <w:tcPr>
            <w:tcW w:w="1134" w:type="dxa"/>
          </w:tcPr>
          <w:p w:rsidR="00E660F2" w:rsidRPr="00F86B82" w:rsidRDefault="00E660F2" w:rsidP="008F0588">
            <w:pPr>
              <w:rPr>
                <w:color w:val="000000"/>
                <w:sz w:val="18"/>
                <w:szCs w:val="18"/>
              </w:rPr>
            </w:pPr>
            <w:r w:rsidRPr="00F86B82">
              <w:rPr>
                <w:color w:val="000000"/>
                <w:sz w:val="18"/>
                <w:szCs w:val="18"/>
              </w:rPr>
              <w:t>1</w:t>
            </w:r>
          </w:p>
        </w:tc>
        <w:tc>
          <w:tcPr>
            <w:tcW w:w="1559" w:type="dxa"/>
          </w:tcPr>
          <w:p w:rsidR="00E660F2" w:rsidRPr="00F86B82" w:rsidRDefault="00E660F2" w:rsidP="008F0588">
            <w:pPr>
              <w:rPr>
                <w:color w:val="000000"/>
                <w:sz w:val="18"/>
                <w:szCs w:val="18"/>
              </w:rPr>
            </w:pPr>
            <w:r w:rsidRPr="00F86B82">
              <w:rPr>
                <w:color w:val="000000"/>
                <w:sz w:val="18"/>
                <w:szCs w:val="18"/>
              </w:rPr>
              <w:t>0.1</w:t>
            </w:r>
          </w:p>
        </w:tc>
        <w:tc>
          <w:tcPr>
            <w:tcW w:w="993" w:type="dxa"/>
          </w:tcPr>
          <w:p w:rsidR="00E660F2" w:rsidRPr="00F86B82" w:rsidRDefault="00E660F2" w:rsidP="008F0588">
            <w:pPr>
              <w:rPr>
                <w:color w:val="000000"/>
                <w:sz w:val="18"/>
                <w:szCs w:val="18"/>
              </w:rPr>
            </w:pPr>
            <w:r w:rsidRPr="00F86B82">
              <w:rPr>
                <w:color w:val="000000"/>
                <w:sz w:val="18"/>
                <w:szCs w:val="18"/>
              </w:rPr>
              <w:t>0.1</w:t>
            </w:r>
          </w:p>
        </w:tc>
        <w:tc>
          <w:tcPr>
            <w:tcW w:w="992" w:type="dxa"/>
          </w:tcPr>
          <w:p w:rsidR="00E660F2" w:rsidRPr="00F86B82" w:rsidRDefault="00E660F2" w:rsidP="008F0588">
            <w:pPr>
              <w:rPr>
                <w:color w:val="000000"/>
                <w:sz w:val="18"/>
                <w:szCs w:val="18"/>
              </w:rPr>
            </w:pPr>
            <w:r w:rsidRPr="00F86B82">
              <w:rPr>
                <w:color w:val="000000"/>
                <w:sz w:val="18"/>
                <w:szCs w:val="18"/>
              </w:rPr>
              <w:t>0</w:t>
            </w:r>
          </w:p>
        </w:tc>
        <w:tc>
          <w:tcPr>
            <w:tcW w:w="1276" w:type="dxa"/>
          </w:tcPr>
          <w:p w:rsidR="00E660F2" w:rsidRPr="00F86B82" w:rsidRDefault="00E660F2" w:rsidP="008F0588">
            <w:pPr>
              <w:rPr>
                <w:color w:val="000000"/>
                <w:sz w:val="18"/>
                <w:szCs w:val="18"/>
              </w:rPr>
            </w:pPr>
            <w:r w:rsidRPr="00F86B82">
              <w:rPr>
                <w:color w:val="000000"/>
                <w:sz w:val="18"/>
                <w:szCs w:val="18"/>
              </w:rPr>
              <w:t>0.0</w:t>
            </w:r>
          </w:p>
        </w:tc>
        <w:tc>
          <w:tcPr>
            <w:tcW w:w="992" w:type="dxa"/>
            <w:noWrap/>
            <w:hideMark/>
          </w:tcPr>
          <w:p w:rsidR="00E660F2" w:rsidRPr="00F86B82" w:rsidRDefault="00E660F2" w:rsidP="008F0588">
            <w:pPr>
              <w:rPr>
                <w:color w:val="000000"/>
                <w:sz w:val="18"/>
                <w:szCs w:val="18"/>
              </w:rPr>
            </w:pPr>
            <w:r w:rsidRPr="00F86B82">
              <w:rPr>
                <w:color w:val="000000"/>
                <w:sz w:val="18"/>
                <w:szCs w:val="18"/>
              </w:rPr>
              <w:t>0.0</w:t>
            </w:r>
          </w:p>
        </w:tc>
      </w:tr>
      <w:tr w:rsidR="00E660F2" w:rsidRPr="00756969" w:rsidTr="008F0588">
        <w:trPr>
          <w:trHeight w:val="227"/>
        </w:trPr>
        <w:tc>
          <w:tcPr>
            <w:tcW w:w="2518" w:type="dxa"/>
            <w:noWrap/>
            <w:hideMark/>
          </w:tcPr>
          <w:p w:rsidR="00E660F2" w:rsidRPr="00F86B82" w:rsidRDefault="00E660F2" w:rsidP="008F0588">
            <w:pPr>
              <w:rPr>
                <w:b/>
                <w:color w:val="FF0000"/>
                <w:sz w:val="18"/>
                <w:szCs w:val="18"/>
              </w:rPr>
            </w:pPr>
            <w:r w:rsidRPr="00F86B82">
              <w:rPr>
                <w:b/>
                <w:color w:val="FF0000"/>
                <w:sz w:val="18"/>
                <w:szCs w:val="18"/>
              </w:rPr>
              <w:t>Restlessness</w:t>
            </w:r>
          </w:p>
        </w:tc>
        <w:tc>
          <w:tcPr>
            <w:tcW w:w="1134" w:type="dxa"/>
          </w:tcPr>
          <w:p w:rsidR="00E660F2" w:rsidRPr="00F86B82" w:rsidRDefault="00E660F2" w:rsidP="008F0588">
            <w:pPr>
              <w:rPr>
                <w:color w:val="000000"/>
                <w:sz w:val="18"/>
                <w:szCs w:val="18"/>
              </w:rPr>
            </w:pPr>
            <w:r w:rsidRPr="00F86B82">
              <w:rPr>
                <w:color w:val="000000"/>
                <w:sz w:val="18"/>
                <w:szCs w:val="18"/>
              </w:rPr>
              <w:t>1</w:t>
            </w:r>
          </w:p>
        </w:tc>
        <w:tc>
          <w:tcPr>
            <w:tcW w:w="1559" w:type="dxa"/>
          </w:tcPr>
          <w:p w:rsidR="00E660F2" w:rsidRPr="00F86B82" w:rsidRDefault="00E660F2" w:rsidP="008F0588">
            <w:pPr>
              <w:rPr>
                <w:color w:val="000000"/>
                <w:sz w:val="18"/>
                <w:szCs w:val="18"/>
              </w:rPr>
            </w:pPr>
            <w:r w:rsidRPr="00F86B82">
              <w:rPr>
                <w:color w:val="000000"/>
                <w:sz w:val="18"/>
                <w:szCs w:val="18"/>
              </w:rPr>
              <w:t>0.1</w:t>
            </w:r>
          </w:p>
        </w:tc>
        <w:tc>
          <w:tcPr>
            <w:tcW w:w="993" w:type="dxa"/>
          </w:tcPr>
          <w:p w:rsidR="00E660F2" w:rsidRPr="00F86B82" w:rsidRDefault="00E660F2" w:rsidP="008F0588">
            <w:pPr>
              <w:rPr>
                <w:color w:val="000000"/>
                <w:sz w:val="18"/>
                <w:szCs w:val="18"/>
              </w:rPr>
            </w:pPr>
            <w:r w:rsidRPr="00F86B82">
              <w:rPr>
                <w:color w:val="000000"/>
                <w:sz w:val="18"/>
                <w:szCs w:val="18"/>
              </w:rPr>
              <w:t>0.1</w:t>
            </w:r>
          </w:p>
        </w:tc>
        <w:tc>
          <w:tcPr>
            <w:tcW w:w="992" w:type="dxa"/>
          </w:tcPr>
          <w:p w:rsidR="00E660F2" w:rsidRPr="00F86B82" w:rsidRDefault="00E660F2" w:rsidP="008F0588">
            <w:pPr>
              <w:rPr>
                <w:color w:val="000000"/>
                <w:sz w:val="18"/>
                <w:szCs w:val="18"/>
              </w:rPr>
            </w:pPr>
            <w:r w:rsidRPr="00F86B82">
              <w:rPr>
                <w:color w:val="000000"/>
                <w:sz w:val="18"/>
                <w:szCs w:val="18"/>
              </w:rPr>
              <w:t>0</w:t>
            </w:r>
          </w:p>
        </w:tc>
        <w:tc>
          <w:tcPr>
            <w:tcW w:w="1276" w:type="dxa"/>
          </w:tcPr>
          <w:p w:rsidR="00E660F2" w:rsidRPr="00F86B82" w:rsidRDefault="00E660F2" w:rsidP="008F0588">
            <w:pPr>
              <w:rPr>
                <w:color w:val="000000"/>
                <w:sz w:val="18"/>
                <w:szCs w:val="18"/>
              </w:rPr>
            </w:pPr>
            <w:r w:rsidRPr="00F86B82">
              <w:rPr>
                <w:color w:val="000000"/>
                <w:sz w:val="18"/>
                <w:szCs w:val="18"/>
              </w:rPr>
              <w:t>0.0</w:t>
            </w:r>
          </w:p>
        </w:tc>
        <w:tc>
          <w:tcPr>
            <w:tcW w:w="992" w:type="dxa"/>
            <w:noWrap/>
            <w:hideMark/>
          </w:tcPr>
          <w:p w:rsidR="00E660F2" w:rsidRPr="00F86B82" w:rsidRDefault="00E660F2" w:rsidP="008F0588">
            <w:pPr>
              <w:rPr>
                <w:color w:val="000000"/>
                <w:sz w:val="18"/>
                <w:szCs w:val="18"/>
              </w:rPr>
            </w:pPr>
            <w:r w:rsidRPr="00F86B82">
              <w:rPr>
                <w:color w:val="000000"/>
                <w:sz w:val="18"/>
                <w:szCs w:val="18"/>
              </w:rPr>
              <w:t>0.0</w:t>
            </w:r>
          </w:p>
        </w:tc>
      </w:tr>
    </w:tbl>
    <w:p w:rsidR="00E660F2" w:rsidRPr="004924EA" w:rsidRDefault="00E660F2" w:rsidP="00E660F2">
      <w:r w:rsidRPr="001A46BC">
        <w:t>The Delegate commented that when adjusted for exposure and dose intensity, the difference between arms</w:t>
      </w:r>
      <w:r>
        <w:t xml:space="preserve"> is approximately 3.2 cases per 100 patient-years. </w:t>
      </w:r>
    </w:p>
    <w:p w:rsidR="00E660F2" w:rsidRPr="001A46BC" w:rsidRDefault="00E660F2" w:rsidP="00E660F2">
      <w:pPr>
        <w:pStyle w:val="Comment"/>
      </w:pPr>
      <w:r w:rsidRPr="001A46BC">
        <w:t>The Delegate noted regarding mood and cognition terms:</w:t>
      </w:r>
    </w:p>
    <w:p w:rsidR="00E660F2" w:rsidRDefault="00E660F2" w:rsidP="00E660F2">
      <w:pPr>
        <w:pStyle w:val="Comment"/>
        <w:ind w:firstLine="0"/>
      </w:pPr>
      <w:r>
        <w:t>Cognitive impairment and mood effects are known to occur with ADT so there is biological plausibility to both of these categories of event. Across both categories, there were four Grade 3 terms (confusional state, major depression, delirium and mental status) in the apalutamide arm and three Grade 3 terms (insomnia, anxiety, depression) in the placebo arm. Per the sponsor’s response to PI requests from the Delegate email dated 02 July 2018, the TEAEs in the tables counted above may have been reported for more than one patient each, so comparing the rates between arms in the above tables is not reliable.</w:t>
      </w:r>
    </w:p>
    <w:p w:rsidR="00E660F2" w:rsidRDefault="00E660F2" w:rsidP="00E660F2">
      <w:pPr>
        <w:pStyle w:val="Comment"/>
        <w:ind w:firstLine="1"/>
      </w:pPr>
      <w:r>
        <w:t>It was decided not to request addition to the PI of these categories of broad categories of events due to the non-specificity of the events, in a population at risk of these categories of event due to baseline characteristics and treatment with ADT and as the rate of Grade 3 event terms is similar between arms. Due to the potential severity of suicidal ideation, however, the sponsor was requested to add ‘depression’ including counts for depression, major depression and suicidal ideation as a</w:t>
      </w:r>
      <w:r w:rsidRPr="00565DAA">
        <w:t xml:space="preserve">dditional clinically significant adverse events occurring in at least 2% of patients treated with </w:t>
      </w:r>
      <w:r>
        <w:t>Erlyand.</w:t>
      </w:r>
    </w:p>
    <w:p w:rsidR="00E660F2" w:rsidRPr="006D0025" w:rsidRDefault="00E660F2" w:rsidP="00E660F2">
      <w:r w:rsidRPr="007302CF">
        <w:rPr>
          <w:i/>
        </w:rPr>
        <w:t>Dysgeusia</w:t>
      </w:r>
      <w:r>
        <w:rPr>
          <w:i/>
        </w:rPr>
        <w:t>:</w:t>
      </w:r>
      <w:r>
        <w:t xml:space="preserve"> The Australian clinical evaluator stated (PI comments 14 and 16):</w:t>
      </w:r>
    </w:p>
    <w:p w:rsidR="00E660F2" w:rsidRPr="00F86B82" w:rsidRDefault="00E660F2" w:rsidP="00E660F2">
      <w:pPr>
        <w:ind w:left="720"/>
        <w:rPr>
          <w:i/>
        </w:rPr>
      </w:pPr>
      <w:r w:rsidRPr="00F86B82">
        <w:rPr>
          <w:i/>
        </w:rPr>
        <w:t>Hot flushes, dysgeusia and suicidal ideation were more common and more severe in the apalutamide arm than placebo and have not been included as an ADR, and should be in both Table 1 of the PI, and the CMI.</w:t>
      </w:r>
    </w:p>
    <w:p w:rsidR="00E660F2" w:rsidRPr="00F86B82" w:rsidRDefault="00E660F2" w:rsidP="00E660F2">
      <w:pPr>
        <w:ind w:left="720"/>
        <w:rPr>
          <w:i/>
        </w:rPr>
      </w:pPr>
      <w:r>
        <w:rPr>
          <w:i/>
        </w:rPr>
        <w:t>…</w:t>
      </w:r>
    </w:p>
    <w:p w:rsidR="00E660F2" w:rsidRPr="00F86B82" w:rsidRDefault="00E660F2" w:rsidP="00E660F2">
      <w:pPr>
        <w:ind w:left="720"/>
        <w:rPr>
          <w:i/>
        </w:rPr>
      </w:pPr>
      <w:r w:rsidRPr="00F86B82">
        <w:rPr>
          <w:i/>
        </w:rPr>
        <w:t>Dysgeusia is an ADR and should be included in Table 1. The incidence for dysgeusia among those who took only the tablet formulation (proposed formulation for marketing) was 6.2% in the apalutamide arm and 0.7% in the placebo arm.</w:t>
      </w:r>
    </w:p>
    <w:p w:rsidR="00E660F2" w:rsidRPr="00D178D0" w:rsidRDefault="00E660F2" w:rsidP="00E660F2">
      <w:r>
        <w:t>The sponsor responded:</w:t>
      </w:r>
    </w:p>
    <w:p w:rsidR="00E660F2" w:rsidRPr="00900040" w:rsidRDefault="00E660F2" w:rsidP="00E660F2">
      <w:pPr>
        <w:ind w:left="720"/>
        <w:rPr>
          <w:i/>
        </w:rPr>
      </w:pPr>
      <w:r w:rsidRPr="00900040">
        <w:rPr>
          <w:i/>
        </w:rPr>
        <w:t>Dysgeusia did not meet the threshold for consideration as an ADR as it met the ≥1% threshold but did not occur at ≥ 5 events per 100 patient-years (P-Y). Thus, dysgeusia is not considered to be an ADR.</w:t>
      </w:r>
    </w:p>
    <w:p w:rsidR="00E660F2" w:rsidRDefault="00E660F2" w:rsidP="00E660F2">
      <w:r>
        <w:t>Dysgeusia in the pivotal trial was reported as follows (Table 30):</w:t>
      </w:r>
    </w:p>
    <w:p w:rsidR="00E660F2" w:rsidRDefault="00E660F2" w:rsidP="00E660F2">
      <w:pPr>
        <w:pStyle w:val="TableTitle"/>
      </w:pPr>
      <w:r>
        <w:lastRenderedPageBreak/>
        <w:t>Table 30: Dysgeusia results</w:t>
      </w:r>
    </w:p>
    <w:tbl>
      <w:tblPr>
        <w:tblStyle w:val="TableTGAblue"/>
        <w:tblW w:w="9149" w:type="dxa"/>
        <w:tblLayout w:type="fixed"/>
        <w:tblLook w:val="04A0" w:firstRow="1" w:lastRow="0" w:firstColumn="1" w:lastColumn="0" w:noHBand="0" w:noVBand="1"/>
      </w:tblPr>
      <w:tblGrid>
        <w:gridCol w:w="1951"/>
        <w:gridCol w:w="992"/>
        <w:gridCol w:w="1560"/>
        <w:gridCol w:w="1134"/>
        <w:gridCol w:w="992"/>
        <w:gridCol w:w="1559"/>
        <w:gridCol w:w="961"/>
      </w:tblGrid>
      <w:tr w:rsidR="00E660F2" w:rsidRPr="0021592E" w:rsidTr="008F0588">
        <w:trPr>
          <w:cnfStyle w:val="100000000000" w:firstRow="1" w:lastRow="0" w:firstColumn="0" w:lastColumn="0" w:oddVBand="0" w:evenVBand="0" w:oddHBand="0" w:evenHBand="0" w:firstRowFirstColumn="0" w:firstRowLastColumn="0" w:lastRowFirstColumn="0" w:lastRowLastColumn="0"/>
          <w:trHeight w:val="227"/>
        </w:trPr>
        <w:tc>
          <w:tcPr>
            <w:tcW w:w="1951" w:type="dxa"/>
            <w:noWrap/>
          </w:tcPr>
          <w:p w:rsidR="00E660F2" w:rsidRPr="00900040" w:rsidRDefault="00E660F2" w:rsidP="008F0588">
            <w:pPr>
              <w:rPr>
                <w:sz w:val="18"/>
                <w:szCs w:val="18"/>
              </w:rPr>
            </w:pPr>
          </w:p>
        </w:tc>
        <w:tc>
          <w:tcPr>
            <w:tcW w:w="3686" w:type="dxa"/>
            <w:gridSpan w:val="3"/>
          </w:tcPr>
          <w:p w:rsidR="00E660F2" w:rsidRPr="00900040" w:rsidRDefault="00E660F2" w:rsidP="008F0588">
            <w:pPr>
              <w:rPr>
                <w:iCs/>
                <w:sz w:val="18"/>
                <w:szCs w:val="18"/>
              </w:rPr>
            </w:pPr>
            <w:r w:rsidRPr="00900040">
              <w:rPr>
                <w:iCs/>
                <w:sz w:val="18"/>
                <w:szCs w:val="18"/>
              </w:rPr>
              <w:t>Apalutamide (n=803)</w:t>
            </w:r>
          </w:p>
        </w:tc>
        <w:tc>
          <w:tcPr>
            <w:tcW w:w="3512" w:type="dxa"/>
            <w:gridSpan w:val="3"/>
          </w:tcPr>
          <w:p w:rsidR="00E660F2" w:rsidRPr="00900040" w:rsidRDefault="00E660F2" w:rsidP="008F0588">
            <w:pPr>
              <w:rPr>
                <w:iCs/>
                <w:sz w:val="18"/>
                <w:szCs w:val="18"/>
              </w:rPr>
            </w:pPr>
            <w:r w:rsidRPr="00900040">
              <w:rPr>
                <w:iCs/>
                <w:sz w:val="18"/>
                <w:szCs w:val="18"/>
              </w:rPr>
              <w:t>Placebo (n=398)</w:t>
            </w:r>
          </w:p>
        </w:tc>
      </w:tr>
      <w:tr w:rsidR="00E660F2" w:rsidRPr="000A68EF" w:rsidTr="008F0588">
        <w:trPr>
          <w:trHeight w:val="227"/>
        </w:trPr>
        <w:tc>
          <w:tcPr>
            <w:tcW w:w="1951" w:type="dxa"/>
            <w:noWrap/>
          </w:tcPr>
          <w:p w:rsidR="00E660F2" w:rsidRPr="00900040" w:rsidRDefault="00E660F2" w:rsidP="008F0588">
            <w:pPr>
              <w:rPr>
                <w:sz w:val="18"/>
                <w:szCs w:val="18"/>
              </w:rPr>
            </w:pPr>
            <w:r>
              <w:rPr>
                <w:sz w:val="18"/>
                <w:szCs w:val="18"/>
              </w:rPr>
              <w:t>S</w:t>
            </w:r>
            <w:r w:rsidRPr="00900040">
              <w:rPr>
                <w:sz w:val="18"/>
                <w:szCs w:val="18"/>
              </w:rPr>
              <w:t>ubject-years of exposure / dose intensity</w:t>
            </w:r>
          </w:p>
        </w:tc>
        <w:tc>
          <w:tcPr>
            <w:tcW w:w="3686" w:type="dxa"/>
            <w:gridSpan w:val="3"/>
          </w:tcPr>
          <w:p w:rsidR="00E660F2" w:rsidRPr="00900040" w:rsidRDefault="00E660F2" w:rsidP="008F0588">
            <w:pPr>
              <w:rPr>
                <w:iCs/>
                <w:sz w:val="18"/>
                <w:szCs w:val="18"/>
              </w:rPr>
            </w:pPr>
            <w:r w:rsidRPr="00900040">
              <w:rPr>
                <w:iCs/>
                <w:sz w:val="18"/>
                <w:szCs w:val="18"/>
              </w:rPr>
              <w:t>1160.3 / 0.91</w:t>
            </w:r>
          </w:p>
        </w:tc>
        <w:tc>
          <w:tcPr>
            <w:tcW w:w="3512" w:type="dxa"/>
            <w:gridSpan w:val="3"/>
          </w:tcPr>
          <w:p w:rsidR="00E660F2" w:rsidRPr="00900040" w:rsidRDefault="00E660F2" w:rsidP="008F0588">
            <w:pPr>
              <w:rPr>
                <w:iCs/>
                <w:sz w:val="18"/>
                <w:szCs w:val="18"/>
              </w:rPr>
            </w:pPr>
            <w:r w:rsidRPr="00900040">
              <w:rPr>
                <w:iCs/>
                <w:sz w:val="18"/>
                <w:szCs w:val="18"/>
              </w:rPr>
              <w:t>411.3</w:t>
            </w:r>
          </w:p>
        </w:tc>
      </w:tr>
      <w:tr w:rsidR="00E660F2" w:rsidRPr="00756969" w:rsidTr="008F0588">
        <w:trPr>
          <w:trHeight w:val="227"/>
        </w:trPr>
        <w:tc>
          <w:tcPr>
            <w:tcW w:w="1951" w:type="dxa"/>
            <w:noWrap/>
            <w:hideMark/>
          </w:tcPr>
          <w:p w:rsidR="00E660F2" w:rsidRPr="00900040" w:rsidRDefault="00E660F2" w:rsidP="008F0588">
            <w:pPr>
              <w:rPr>
                <w:sz w:val="18"/>
                <w:szCs w:val="18"/>
              </w:rPr>
            </w:pPr>
          </w:p>
        </w:tc>
        <w:tc>
          <w:tcPr>
            <w:tcW w:w="992" w:type="dxa"/>
          </w:tcPr>
          <w:p w:rsidR="00E660F2" w:rsidRPr="00900040" w:rsidRDefault="00E660F2" w:rsidP="008F0588">
            <w:pPr>
              <w:rPr>
                <w:iCs/>
                <w:sz w:val="18"/>
                <w:szCs w:val="18"/>
              </w:rPr>
            </w:pPr>
            <w:r w:rsidRPr="00900040">
              <w:rPr>
                <w:iCs/>
                <w:sz w:val="18"/>
                <w:szCs w:val="18"/>
              </w:rPr>
              <w:t>Cases</w:t>
            </w:r>
          </w:p>
        </w:tc>
        <w:tc>
          <w:tcPr>
            <w:tcW w:w="1560" w:type="dxa"/>
          </w:tcPr>
          <w:p w:rsidR="00E660F2" w:rsidRPr="00900040" w:rsidRDefault="00E660F2" w:rsidP="008F0588">
            <w:pPr>
              <w:rPr>
                <w:iCs/>
                <w:sz w:val="18"/>
                <w:szCs w:val="18"/>
              </w:rPr>
            </w:pPr>
            <w:r w:rsidRPr="00900040">
              <w:rPr>
                <w:iCs/>
                <w:sz w:val="18"/>
                <w:szCs w:val="18"/>
              </w:rPr>
              <w:t>incidence (unadjusted)</w:t>
            </w:r>
          </w:p>
        </w:tc>
        <w:tc>
          <w:tcPr>
            <w:tcW w:w="1134" w:type="dxa"/>
          </w:tcPr>
          <w:p w:rsidR="00E660F2" w:rsidRDefault="00E660F2" w:rsidP="008F0588">
            <w:pPr>
              <w:rPr>
                <w:iCs/>
                <w:sz w:val="18"/>
                <w:szCs w:val="18"/>
              </w:rPr>
            </w:pPr>
            <w:r w:rsidRPr="00900040">
              <w:rPr>
                <w:iCs/>
                <w:sz w:val="18"/>
                <w:szCs w:val="18"/>
              </w:rPr>
              <w:t xml:space="preserve">Total per 100 </w:t>
            </w:r>
          </w:p>
          <w:p w:rsidR="00E660F2" w:rsidRPr="00900040" w:rsidRDefault="00E660F2" w:rsidP="008F0588">
            <w:pPr>
              <w:rPr>
                <w:iCs/>
                <w:sz w:val="18"/>
                <w:szCs w:val="18"/>
              </w:rPr>
            </w:pPr>
            <w:r w:rsidRPr="00900040">
              <w:rPr>
                <w:iCs/>
                <w:sz w:val="18"/>
                <w:szCs w:val="18"/>
              </w:rPr>
              <w:t>P-Y</w:t>
            </w:r>
          </w:p>
        </w:tc>
        <w:tc>
          <w:tcPr>
            <w:tcW w:w="992" w:type="dxa"/>
          </w:tcPr>
          <w:p w:rsidR="00E660F2" w:rsidRPr="00900040" w:rsidRDefault="00E660F2" w:rsidP="008F0588">
            <w:pPr>
              <w:rPr>
                <w:iCs/>
                <w:sz w:val="18"/>
                <w:szCs w:val="18"/>
              </w:rPr>
            </w:pPr>
            <w:r w:rsidRPr="00900040">
              <w:rPr>
                <w:iCs/>
                <w:sz w:val="18"/>
                <w:szCs w:val="18"/>
              </w:rPr>
              <w:t>Cases</w:t>
            </w:r>
          </w:p>
        </w:tc>
        <w:tc>
          <w:tcPr>
            <w:tcW w:w="1559" w:type="dxa"/>
          </w:tcPr>
          <w:p w:rsidR="00E660F2" w:rsidRPr="00900040" w:rsidRDefault="00E660F2" w:rsidP="008F0588">
            <w:pPr>
              <w:rPr>
                <w:iCs/>
                <w:sz w:val="18"/>
                <w:szCs w:val="18"/>
              </w:rPr>
            </w:pPr>
            <w:r w:rsidRPr="00900040">
              <w:rPr>
                <w:iCs/>
                <w:sz w:val="18"/>
                <w:szCs w:val="18"/>
              </w:rPr>
              <w:t>incidence (unadjusted)</w:t>
            </w:r>
          </w:p>
        </w:tc>
        <w:tc>
          <w:tcPr>
            <w:tcW w:w="961" w:type="dxa"/>
            <w:noWrap/>
            <w:hideMark/>
          </w:tcPr>
          <w:p w:rsidR="00E660F2" w:rsidRDefault="00E660F2" w:rsidP="008F0588">
            <w:pPr>
              <w:rPr>
                <w:iCs/>
                <w:sz w:val="18"/>
                <w:szCs w:val="18"/>
              </w:rPr>
            </w:pPr>
            <w:r w:rsidRPr="00900040">
              <w:rPr>
                <w:iCs/>
                <w:sz w:val="18"/>
                <w:szCs w:val="18"/>
              </w:rPr>
              <w:t xml:space="preserve">Total per 100 </w:t>
            </w:r>
          </w:p>
          <w:p w:rsidR="00E660F2" w:rsidRPr="00900040" w:rsidRDefault="00E660F2" w:rsidP="008F0588">
            <w:pPr>
              <w:rPr>
                <w:iCs/>
                <w:sz w:val="18"/>
                <w:szCs w:val="18"/>
              </w:rPr>
            </w:pPr>
            <w:r w:rsidRPr="00900040">
              <w:rPr>
                <w:iCs/>
                <w:sz w:val="18"/>
                <w:szCs w:val="18"/>
              </w:rPr>
              <w:t>P-Y</w:t>
            </w:r>
          </w:p>
        </w:tc>
      </w:tr>
      <w:tr w:rsidR="00E660F2" w:rsidTr="008F0588">
        <w:trPr>
          <w:trHeight w:val="227"/>
        </w:trPr>
        <w:tc>
          <w:tcPr>
            <w:tcW w:w="1951" w:type="dxa"/>
            <w:noWrap/>
            <w:hideMark/>
          </w:tcPr>
          <w:p w:rsidR="00E660F2" w:rsidRPr="00900040" w:rsidRDefault="00E660F2" w:rsidP="008F0588">
            <w:pPr>
              <w:rPr>
                <w:bCs/>
                <w:sz w:val="18"/>
                <w:szCs w:val="18"/>
              </w:rPr>
            </w:pPr>
            <w:r w:rsidRPr="00900040">
              <w:rPr>
                <w:bCs/>
                <w:color w:val="FF0000"/>
                <w:sz w:val="18"/>
                <w:szCs w:val="18"/>
                <w:lang w:val="en-US"/>
              </w:rPr>
              <w:t>Number of dysgeusia reports</w:t>
            </w:r>
          </w:p>
        </w:tc>
        <w:tc>
          <w:tcPr>
            <w:tcW w:w="992" w:type="dxa"/>
          </w:tcPr>
          <w:p w:rsidR="00E660F2" w:rsidRPr="00900040" w:rsidRDefault="00E660F2" w:rsidP="008F0588">
            <w:pPr>
              <w:rPr>
                <w:bCs/>
                <w:sz w:val="18"/>
                <w:szCs w:val="18"/>
              </w:rPr>
            </w:pPr>
            <w:r w:rsidRPr="00900040">
              <w:rPr>
                <w:bCs/>
                <w:sz w:val="18"/>
                <w:szCs w:val="18"/>
              </w:rPr>
              <w:t>57</w:t>
            </w:r>
          </w:p>
        </w:tc>
        <w:tc>
          <w:tcPr>
            <w:tcW w:w="1560" w:type="dxa"/>
          </w:tcPr>
          <w:p w:rsidR="00E660F2" w:rsidRPr="00900040" w:rsidRDefault="00E660F2" w:rsidP="008F0588">
            <w:pPr>
              <w:rPr>
                <w:sz w:val="18"/>
                <w:szCs w:val="18"/>
              </w:rPr>
            </w:pPr>
            <w:r w:rsidRPr="00900040">
              <w:rPr>
                <w:sz w:val="18"/>
                <w:szCs w:val="18"/>
              </w:rPr>
              <w:t>7.1%</w:t>
            </w:r>
          </w:p>
        </w:tc>
        <w:tc>
          <w:tcPr>
            <w:tcW w:w="1134" w:type="dxa"/>
          </w:tcPr>
          <w:p w:rsidR="00E660F2" w:rsidRPr="00900040" w:rsidRDefault="00E660F2" w:rsidP="008F0588">
            <w:pPr>
              <w:rPr>
                <w:bCs/>
                <w:sz w:val="18"/>
                <w:szCs w:val="18"/>
              </w:rPr>
            </w:pPr>
            <w:r w:rsidRPr="00900040">
              <w:rPr>
                <w:bCs/>
                <w:sz w:val="18"/>
                <w:szCs w:val="18"/>
              </w:rPr>
              <w:t>5.4</w:t>
            </w:r>
          </w:p>
        </w:tc>
        <w:tc>
          <w:tcPr>
            <w:tcW w:w="992" w:type="dxa"/>
          </w:tcPr>
          <w:p w:rsidR="00E660F2" w:rsidRPr="00900040" w:rsidRDefault="00E660F2" w:rsidP="008F0588">
            <w:pPr>
              <w:rPr>
                <w:bCs/>
                <w:sz w:val="18"/>
                <w:szCs w:val="18"/>
              </w:rPr>
            </w:pPr>
            <w:r w:rsidRPr="00900040">
              <w:rPr>
                <w:bCs/>
                <w:sz w:val="18"/>
                <w:szCs w:val="18"/>
              </w:rPr>
              <w:t>6</w:t>
            </w:r>
          </w:p>
        </w:tc>
        <w:tc>
          <w:tcPr>
            <w:tcW w:w="1559" w:type="dxa"/>
          </w:tcPr>
          <w:p w:rsidR="00E660F2" w:rsidRPr="00900040" w:rsidRDefault="00E660F2" w:rsidP="008F0588">
            <w:pPr>
              <w:rPr>
                <w:sz w:val="18"/>
                <w:szCs w:val="18"/>
              </w:rPr>
            </w:pPr>
            <w:r w:rsidRPr="00900040">
              <w:rPr>
                <w:sz w:val="18"/>
                <w:szCs w:val="18"/>
              </w:rPr>
              <w:t>1.5%</w:t>
            </w:r>
          </w:p>
        </w:tc>
        <w:tc>
          <w:tcPr>
            <w:tcW w:w="961" w:type="dxa"/>
            <w:noWrap/>
            <w:hideMark/>
          </w:tcPr>
          <w:p w:rsidR="00E660F2" w:rsidRPr="00900040" w:rsidRDefault="00E660F2" w:rsidP="008F0588">
            <w:pPr>
              <w:rPr>
                <w:bCs/>
                <w:sz w:val="18"/>
                <w:szCs w:val="18"/>
              </w:rPr>
            </w:pPr>
            <w:r w:rsidRPr="00900040">
              <w:rPr>
                <w:bCs/>
                <w:sz w:val="18"/>
                <w:szCs w:val="18"/>
              </w:rPr>
              <w:t>1.5</w:t>
            </w:r>
          </w:p>
        </w:tc>
      </w:tr>
    </w:tbl>
    <w:p w:rsidR="00E660F2" w:rsidRPr="001A46BC" w:rsidRDefault="00E660F2" w:rsidP="00E660F2">
      <w:r>
        <w:t xml:space="preserve">The </w:t>
      </w:r>
      <w:r w:rsidRPr="001A46BC">
        <w:t>Delegate commented that when adjusted for exposure and dose intensity, the difference between arms is 5 cases per 100 patient-years. This is an adverse effect known to occur with enzalutamide, and is considered likely to be related to apalutamide in this trial.</w:t>
      </w:r>
    </w:p>
    <w:p w:rsidR="00E660F2" w:rsidRPr="007302CF" w:rsidRDefault="00E660F2" w:rsidP="00E660F2">
      <w:pPr>
        <w:rPr>
          <w:i/>
        </w:rPr>
      </w:pPr>
      <w:r w:rsidRPr="007302CF">
        <w:rPr>
          <w:i/>
        </w:rPr>
        <w:t>Cardiovascular events:</w:t>
      </w:r>
    </w:p>
    <w:p w:rsidR="00E660F2" w:rsidRPr="006526A1" w:rsidRDefault="00E660F2" w:rsidP="00E660F2">
      <w:pPr>
        <w:rPr>
          <w:i/>
        </w:rPr>
      </w:pPr>
      <w:r w:rsidRPr="006526A1">
        <w:rPr>
          <w:i/>
        </w:rPr>
        <w:t>Ischaemic heart disease (IHD)</w:t>
      </w:r>
    </w:p>
    <w:p w:rsidR="00E660F2" w:rsidRPr="00FD0EF3" w:rsidRDefault="00E660F2" w:rsidP="00E660F2">
      <w:pPr>
        <w:rPr>
          <w:szCs w:val="24"/>
        </w:rPr>
      </w:pPr>
      <w:r>
        <w:t>The Australian clinical evaluator stated:</w:t>
      </w:r>
    </w:p>
    <w:p w:rsidR="00E660F2" w:rsidRPr="00900040" w:rsidRDefault="00E660F2" w:rsidP="00E660F2">
      <w:pPr>
        <w:ind w:left="720"/>
        <w:rPr>
          <w:i/>
        </w:rPr>
      </w:pPr>
      <w:r w:rsidRPr="00900040">
        <w:rPr>
          <w:i/>
        </w:rPr>
        <w:t>IHD, including fatal events of myocardial infarction were also more common with apalutamide and should be included.</w:t>
      </w:r>
    </w:p>
    <w:p w:rsidR="00E660F2" w:rsidRDefault="00E660F2" w:rsidP="00E660F2">
      <w:r>
        <w:t>The sponsor responded:</w:t>
      </w:r>
    </w:p>
    <w:p w:rsidR="00E660F2" w:rsidRPr="00900040" w:rsidRDefault="00E660F2" w:rsidP="00E660F2">
      <w:pPr>
        <w:ind w:left="720"/>
        <w:rPr>
          <w:i/>
        </w:rPr>
      </w:pPr>
      <w:r w:rsidRPr="00900040">
        <w:rPr>
          <w:i/>
        </w:rPr>
        <w:t>The sponsor agrees to the addition of Ischemic Heart Disease (IHD) and myocardial infarction and proposes the following: Ischemic heart disease was observed in 3.7% of subjects treated with apalutamide and 2% treated with placebo. One patient (0.3%) treated with placebo died from an adverse reaction of cardiopulmonary arrest (n=1).</w:t>
      </w:r>
    </w:p>
    <w:p w:rsidR="00E660F2" w:rsidRDefault="00E660F2" w:rsidP="00E660F2">
      <w:r>
        <w:t>Adverse events in keeping with ischaemic heart disease per Delegate assessment in the SPARTAN trial were as follows (Table 31). Red text indicates rate per 100 PY was higher in the apalutamide arm.</w:t>
      </w:r>
    </w:p>
    <w:p w:rsidR="00E660F2" w:rsidRDefault="00E660F2" w:rsidP="00E660F2">
      <w:pPr>
        <w:pStyle w:val="TableTitle"/>
      </w:pPr>
      <w:r>
        <w:t>Table 31: Adverse events in keeping with ischaemic heart disease</w:t>
      </w:r>
    </w:p>
    <w:tbl>
      <w:tblPr>
        <w:tblStyle w:val="TableTGAblue"/>
        <w:tblW w:w="9149" w:type="dxa"/>
        <w:tblLayout w:type="fixed"/>
        <w:tblLook w:val="04A0" w:firstRow="1" w:lastRow="0" w:firstColumn="1" w:lastColumn="0" w:noHBand="0" w:noVBand="1"/>
      </w:tblPr>
      <w:tblGrid>
        <w:gridCol w:w="1951"/>
        <w:gridCol w:w="1134"/>
        <w:gridCol w:w="1418"/>
        <w:gridCol w:w="992"/>
        <w:gridCol w:w="992"/>
        <w:gridCol w:w="1559"/>
        <w:gridCol w:w="1103"/>
      </w:tblGrid>
      <w:tr w:rsidR="00E660F2" w:rsidRPr="00756969" w:rsidTr="008F0588">
        <w:trPr>
          <w:cnfStyle w:val="100000000000" w:firstRow="1" w:lastRow="0" w:firstColumn="0" w:lastColumn="0" w:oddVBand="0" w:evenVBand="0" w:oddHBand="0" w:evenHBand="0" w:firstRowFirstColumn="0" w:firstRowLastColumn="0" w:lastRowFirstColumn="0" w:lastRowLastColumn="0"/>
          <w:cantSplit/>
          <w:trHeight w:val="227"/>
        </w:trPr>
        <w:tc>
          <w:tcPr>
            <w:tcW w:w="1951" w:type="dxa"/>
            <w:noWrap/>
          </w:tcPr>
          <w:p w:rsidR="00E660F2" w:rsidRPr="00900040" w:rsidRDefault="00E660F2" w:rsidP="008F0588">
            <w:pPr>
              <w:rPr>
                <w:sz w:val="18"/>
                <w:szCs w:val="18"/>
              </w:rPr>
            </w:pPr>
          </w:p>
        </w:tc>
        <w:tc>
          <w:tcPr>
            <w:tcW w:w="3544" w:type="dxa"/>
            <w:gridSpan w:val="3"/>
          </w:tcPr>
          <w:p w:rsidR="00E660F2" w:rsidRPr="00900040" w:rsidRDefault="00E660F2" w:rsidP="008F0588">
            <w:pPr>
              <w:rPr>
                <w:iCs/>
                <w:sz w:val="18"/>
                <w:szCs w:val="18"/>
              </w:rPr>
            </w:pPr>
            <w:r w:rsidRPr="00900040">
              <w:rPr>
                <w:iCs/>
                <w:sz w:val="18"/>
                <w:szCs w:val="18"/>
              </w:rPr>
              <w:t>Apalutamide (n=803)</w:t>
            </w:r>
          </w:p>
        </w:tc>
        <w:tc>
          <w:tcPr>
            <w:tcW w:w="3654" w:type="dxa"/>
            <w:gridSpan w:val="3"/>
          </w:tcPr>
          <w:p w:rsidR="00E660F2" w:rsidRPr="00900040" w:rsidRDefault="00E660F2" w:rsidP="008F0588">
            <w:pPr>
              <w:rPr>
                <w:iCs/>
                <w:sz w:val="18"/>
                <w:szCs w:val="18"/>
              </w:rPr>
            </w:pPr>
            <w:r w:rsidRPr="00900040">
              <w:rPr>
                <w:iCs/>
                <w:sz w:val="18"/>
                <w:szCs w:val="18"/>
              </w:rPr>
              <w:t>Placebo (n=398)</w:t>
            </w:r>
          </w:p>
        </w:tc>
      </w:tr>
      <w:tr w:rsidR="00E660F2" w:rsidRPr="00756969" w:rsidTr="008F0588">
        <w:trPr>
          <w:trHeight w:val="227"/>
        </w:trPr>
        <w:tc>
          <w:tcPr>
            <w:tcW w:w="1951" w:type="dxa"/>
            <w:noWrap/>
          </w:tcPr>
          <w:p w:rsidR="00E660F2" w:rsidRPr="00900040" w:rsidRDefault="00E660F2" w:rsidP="008F0588">
            <w:pPr>
              <w:rPr>
                <w:sz w:val="18"/>
                <w:szCs w:val="18"/>
              </w:rPr>
            </w:pPr>
            <w:r>
              <w:rPr>
                <w:sz w:val="18"/>
                <w:szCs w:val="18"/>
              </w:rPr>
              <w:t>S</w:t>
            </w:r>
            <w:r w:rsidRPr="00900040">
              <w:rPr>
                <w:sz w:val="18"/>
                <w:szCs w:val="18"/>
              </w:rPr>
              <w:t>ubject-years of exposure / dose intensity</w:t>
            </w:r>
          </w:p>
        </w:tc>
        <w:tc>
          <w:tcPr>
            <w:tcW w:w="3544" w:type="dxa"/>
            <w:gridSpan w:val="3"/>
          </w:tcPr>
          <w:p w:rsidR="00E660F2" w:rsidRPr="00900040" w:rsidRDefault="00E660F2" w:rsidP="008F0588">
            <w:pPr>
              <w:rPr>
                <w:iCs/>
                <w:sz w:val="18"/>
                <w:szCs w:val="18"/>
              </w:rPr>
            </w:pPr>
            <w:r w:rsidRPr="00900040">
              <w:rPr>
                <w:iCs/>
                <w:sz w:val="18"/>
                <w:szCs w:val="18"/>
              </w:rPr>
              <w:t>1160.3 / 0.91</w:t>
            </w:r>
          </w:p>
        </w:tc>
        <w:tc>
          <w:tcPr>
            <w:tcW w:w="3654" w:type="dxa"/>
            <w:gridSpan w:val="3"/>
          </w:tcPr>
          <w:p w:rsidR="00E660F2" w:rsidRPr="00900040" w:rsidRDefault="00E660F2" w:rsidP="008F0588">
            <w:pPr>
              <w:rPr>
                <w:iCs/>
                <w:sz w:val="18"/>
                <w:szCs w:val="18"/>
              </w:rPr>
            </w:pPr>
            <w:r w:rsidRPr="00900040">
              <w:rPr>
                <w:iCs/>
                <w:sz w:val="18"/>
                <w:szCs w:val="18"/>
              </w:rPr>
              <w:t>411.3</w:t>
            </w:r>
          </w:p>
        </w:tc>
      </w:tr>
      <w:tr w:rsidR="00E660F2" w:rsidRPr="00756969" w:rsidTr="008F0588">
        <w:trPr>
          <w:trHeight w:val="227"/>
        </w:trPr>
        <w:tc>
          <w:tcPr>
            <w:tcW w:w="1951" w:type="dxa"/>
            <w:noWrap/>
            <w:hideMark/>
          </w:tcPr>
          <w:p w:rsidR="00E660F2" w:rsidRPr="00900040" w:rsidRDefault="00E660F2" w:rsidP="008F0588">
            <w:pPr>
              <w:rPr>
                <w:sz w:val="18"/>
                <w:szCs w:val="18"/>
              </w:rPr>
            </w:pPr>
          </w:p>
        </w:tc>
        <w:tc>
          <w:tcPr>
            <w:tcW w:w="1134" w:type="dxa"/>
          </w:tcPr>
          <w:p w:rsidR="00E660F2" w:rsidRPr="00900040" w:rsidRDefault="00E660F2" w:rsidP="008F0588">
            <w:pPr>
              <w:rPr>
                <w:iCs/>
                <w:sz w:val="18"/>
                <w:szCs w:val="18"/>
              </w:rPr>
            </w:pPr>
            <w:r w:rsidRPr="00900040">
              <w:rPr>
                <w:iCs/>
                <w:sz w:val="18"/>
                <w:szCs w:val="18"/>
              </w:rPr>
              <w:t>Cases</w:t>
            </w:r>
          </w:p>
        </w:tc>
        <w:tc>
          <w:tcPr>
            <w:tcW w:w="1418" w:type="dxa"/>
          </w:tcPr>
          <w:p w:rsidR="00E660F2" w:rsidRPr="00900040" w:rsidRDefault="00E660F2" w:rsidP="008F0588">
            <w:pPr>
              <w:rPr>
                <w:iCs/>
                <w:sz w:val="18"/>
                <w:szCs w:val="18"/>
              </w:rPr>
            </w:pPr>
            <w:r>
              <w:rPr>
                <w:iCs/>
                <w:sz w:val="18"/>
                <w:szCs w:val="18"/>
              </w:rPr>
              <w:t>I</w:t>
            </w:r>
            <w:r w:rsidRPr="00900040">
              <w:rPr>
                <w:iCs/>
                <w:sz w:val="18"/>
                <w:szCs w:val="18"/>
              </w:rPr>
              <w:t>ncidence unadjusted</w:t>
            </w:r>
          </w:p>
        </w:tc>
        <w:tc>
          <w:tcPr>
            <w:tcW w:w="992" w:type="dxa"/>
          </w:tcPr>
          <w:p w:rsidR="00E660F2" w:rsidRPr="00900040" w:rsidRDefault="00E660F2" w:rsidP="008F0588">
            <w:pPr>
              <w:rPr>
                <w:iCs/>
                <w:sz w:val="18"/>
                <w:szCs w:val="18"/>
              </w:rPr>
            </w:pPr>
            <w:r w:rsidRPr="00900040">
              <w:rPr>
                <w:iCs/>
                <w:sz w:val="18"/>
                <w:szCs w:val="18"/>
              </w:rPr>
              <w:t>Total per 100</w:t>
            </w:r>
            <w:r>
              <w:rPr>
                <w:iCs/>
                <w:sz w:val="18"/>
                <w:szCs w:val="18"/>
              </w:rPr>
              <w:t xml:space="preserve"> PY</w:t>
            </w:r>
          </w:p>
        </w:tc>
        <w:tc>
          <w:tcPr>
            <w:tcW w:w="992" w:type="dxa"/>
          </w:tcPr>
          <w:p w:rsidR="00E660F2" w:rsidRPr="00900040" w:rsidRDefault="00E660F2" w:rsidP="008F0588">
            <w:pPr>
              <w:rPr>
                <w:iCs/>
                <w:sz w:val="18"/>
                <w:szCs w:val="18"/>
              </w:rPr>
            </w:pPr>
            <w:r w:rsidRPr="00900040">
              <w:rPr>
                <w:iCs/>
                <w:sz w:val="18"/>
                <w:szCs w:val="18"/>
              </w:rPr>
              <w:t>Cases</w:t>
            </w:r>
          </w:p>
        </w:tc>
        <w:tc>
          <w:tcPr>
            <w:tcW w:w="1559" w:type="dxa"/>
          </w:tcPr>
          <w:p w:rsidR="00E660F2" w:rsidRPr="00900040" w:rsidRDefault="00E660F2" w:rsidP="008F0588">
            <w:pPr>
              <w:rPr>
                <w:iCs/>
                <w:sz w:val="18"/>
                <w:szCs w:val="18"/>
              </w:rPr>
            </w:pPr>
            <w:r>
              <w:rPr>
                <w:iCs/>
                <w:sz w:val="18"/>
                <w:szCs w:val="18"/>
              </w:rPr>
              <w:t>I</w:t>
            </w:r>
            <w:r w:rsidRPr="00900040">
              <w:rPr>
                <w:iCs/>
                <w:sz w:val="18"/>
                <w:szCs w:val="18"/>
              </w:rPr>
              <w:t>ncidence unadjusted</w:t>
            </w:r>
          </w:p>
        </w:tc>
        <w:tc>
          <w:tcPr>
            <w:tcW w:w="1103" w:type="dxa"/>
            <w:noWrap/>
            <w:hideMark/>
          </w:tcPr>
          <w:p w:rsidR="00E660F2" w:rsidRPr="00900040" w:rsidRDefault="00E660F2" w:rsidP="008F0588">
            <w:pPr>
              <w:rPr>
                <w:iCs/>
                <w:sz w:val="18"/>
                <w:szCs w:val="18"/>
              </w:rPr>
            </w:pPr>
            <w:r w:rsidRPr="00900040">
              <w:rPr>
                <w:iCs/>
                <w:sz w:val="18"/>
                <w:szCs w:val="18"/>
              </w:rPr>
              <w:t>Total per 100 PY</w:t>
            </w:r>
          </w:p>
        </w:tc>
      </w:tr>
      <w:tr w:rsidR="00E660F2" w:rsidRPr="00756969" w:rsidTr="008F0588">
        <w:trPr>
          <w:trHeight w:val="227"/>
        </w:trPr>
        <w:tc>
          <w:tcPr>
            <w:tcW w:w="1951" w:type="dxa"/>
            <w:noWrap/>
            <w:hideMark/>
          </w:tcPr>
          <w:p w:rsidR="00E660F2" w:rsidRPr="00900040" w:rsidRDefault="00E660F2" w:rsidP="008F0588">
            <w:pPr>
              <w:rPr>
                <w:bCs/>
                <w:sz w:val="18"/>
                <w:szCs w:val="18"/>
              </w:rPr>
            </w:pPr>
            <w:r w:rsidRPr="00900040">
              <w:rPr>
                <w:bCs/>
                <w:color w:val="FF0000"/>
                <w:sz w:val="18"/>
                <w:szCs w:val="18"/>
                <w:lang w:val="en-US"/>
              </w:rPr>
              <w:t xml:space="preserve">Number of distinct TEAEs </w:t>
            </w:r>
          </w:p>
        </w:tc>
        <w:tc>
          <w:tcPr>
            <w:tcW w:w="1134" w:type="dxa"/>
          </w:tcPr>
          <w:p w:rsidR="00E660F2" w:rsidRPr="00900040" w:rsidRDefault="00E660F2" w:rsidP="008F0588">
            <w:pPr>
              <w:rPr>
                <w:bCs/>
                <w:sz w:val="18"/>
                <w:szCs w:val="18"/>
              </w:rPr>
            </w:pPr>
            <w:r w:rsidRPr="00900040">
              <w:rPr>
                <w:bCs/>
                <w:sz w:val="18"/>
                <w:szCs w:val="18"/>
              </w:rPr>
              <w:t>38</w:t>
            </w:r>
          </w:p>
        </w:tc>
        <w:tc>
          <w:tcPr>
            <w:tcW w:w="1418" w:type="dxa"/>
          </w:tcPr>
          <w:p w:rsidR="00E660F2" w:rsidRPr="00900040" w:rsidRDefault="00E660F2" w:rsidP="008F0588">
            <w:pPr>
              <w:rPr>
                <w:sz w:val="18"/>
                <w:szCs w:val="18"/>
              </w:rPr>
            </w:pPr>
            <w:r w:rsidRPr="00900040">
              <w:rPr>
                <w:sz w:val="18"/>
                <w:szCs w:val="18"/>
              </w:rPr>
              <w:t>4.7</w:t>
            </w:r>
          </w:p>
        </w:tc>
        <w:tc>
          <w:tcPr>
            <w:tcW w:w="992" w:type="dxa"/>
          </w:tcPr>
          <w:p w:rsidR="00E660F2" w:rsidRPr="00900040" w:rsidRDefault="00E660F2" w:rsidP="008F0588">
            <w:pPr>
              <w:rPr>
                <w:bCs/>
                <w:sz w:val="18"/>
                <w:szCs w:val="18"/>
              </w:rPr>
            </w:pPr>
            <w:r w:rsidRPr="00900040">
              <w:rPr>
                <w:bCs/>
                <w:sz w:val="18"/>
                <w:szCs w:val="18"/>
              </w:rPr>
              <w:t>3.6</w:t>
            </w:r>
          </w:p>
        </w:tc>
        <w:tc>
          <w:tcPr>
            <w:tcW w:w="992" w:type="dxa"/>
          </w:tcPr>
          <w:p w:rsidR="00E660F2" w:rsidRPr="00900040" w:rsidRDefault="00E660F2" w:rsidP="008F0588">
            <w:pPr>
              <w:rPr>
                <w:bCs/>
                <w:sz w:val="18"/>
                <w:szCs w:val="18"/>
              </w:rPr>
            </w:pPr>
            <w:r w:rsidRPr="00900040">
              <w:rPr>
                <w:bCs/>
                <w:sz w:val="18"/>
                <w:szCs w:val="18"/>
              </w:rPr>
              <w:t>8</w:t>
            </w:r>
          </w:p>
        </w:tc>
        <w:tc>
          <w:tcPr>
            <w:tcW w:w="1559" w:type="dxa"/>
          </w:tcPr>
          <w:p w:rsidR="00E660F2" w:rsidRPr="00900040" w:rsidRDefault="00E660F2" w:rsidP="008F0588">
            <w:pPr>
              <w:rPr>
                <w:sz w:val="18"/>
                <w:szCs w:val="18"/>
              </w:rPr>
            </w:pPr>
            <w:r w:rsidRPr="00900040">
              <w:rPr>
                <w:sz w:val="18"/>
                <w:szCs w:val="18"/>
              </w:rPr>
              <w:t>2.0</w:t>
            </w:r>
          </w:p>
        </w:tc>
        <w:tc>
          <w:tcPr>
            <w:tcW w:w="1103" w:type="dxa"/>
            <w:noWrap/>
            <w:hideMark/>
          </w:tcPr>
          <w:p w:rsidR="00E660F2" w:rsidRPr="00900040" w:rsidRDefault="00E660F2" w:rsidP="008F0588">
            <w:pPr>
              <w:rPr>
                <w:bCs/>
                <w:sz w:val="18"/>
                <w:szCs w:val="18"/>
              </w:rPr>
            </w:pPr>
            <w:r w:rsidRPr="00900040">
              <w:rPr>
                <w:bCs/>
                <w:sz w:val="18"/>
                <w:szCs w:val="18"/>
              </w:rPr>
              <w:t>1.9</w:t>
            </w:r>
          </w:p>
        </w:tc>
      </w:tr>
      <w:tr w:rsidR="00E660F2" w:rsidRPr="00756969" w:rsidTr="008F0588">
        <w:trPr>
          <w:trHeight w:val="227"/>
        </w:trPr>
        <w:tc>
          <w:tcPr>
            <w:tcW w:w="1951" w:type="dxa"/>
            <w:noWrap/>
            <w:hideMark/>
          </w:tcPr>
          <w:p w:rsidR="00E660F2" w:rsidRPr="00900040" w:rsidRDefault="00E660F2" w:rsidP="008F0588">
            <w:pPr>
              <w:rPr>
                <w:color w:val="FF0000"/>
                <w:sz w:val="18"/>
                <w:szCs w:val="18"/>
              </w:rPr>
            </w:pPr>
            <w:r w:rsidRPr="00900040">
              <w:rPr>
                <w:color w:val="FF0000"/>
                <w:sz w:val="18"/>
                <w:szCs w:val="18"/>
              </w:rPr>
              <w:t>Angina pectoris</w:t>
            </w:r>
          </w:p>
        </w:tc>
        <w:tc>
          <w:tcPr>
            <w:tcW w:w="1134" w:type="dxa"/>
          </w:tcPr>
          <w:p w:rsidR="00E660F2" w:rsidRPr="00900040" w:rsidRDefault="00E660F2" w:rsidP="008F0588">
            <w:pPr>
              <w:rPr>
                <w:sz w:val="18"/>
                <w:szCs w:val="18"/>
              </w:rPr>
            </w:pPr>
            <w:r w:rsidRPr="00900040">
              <w:rPr>
                <w:sz w:val="18"/>
                <w:szCs w:val="18"/>
              </w:rPr>
              <w:t>13</w:t>
            </w:r>
          </w:p>
        </w:tc>
        <w:tc>
          <w:tcPr>
            <w:tcW w:w="1418" w:type="dxa"/>
          </w:tcPr>
          <w:p w:rsidR="00E660F2" w:rsidRPr="00900040" w:rsidRDefault="00E660F2" w:rsidP="008F0588">
            <w:pPr>
              <w:rPr>
                <w:sz w:val="18"/>
                <w:szCs w:val="18"/>
              </w:rPr>
            </w:pPr>
            <w:r w:rsidRPr="00900040">
              <w:rPr>
                <w:sz w:val="18"/>
                <w:szCs w:val="18"/>
              </w:rPr>
              <w:t>1.6</w:t>
            </w:r>
          </w:p>
        </w:tc>
        <w:tc>
          <w:tcPr>
            <w:tcW w:w="992" w:type="dxa"/>
          </w:tcPr>
          <w:p w:rsidR="00E660F2" w:rsidRPr="00900040" w:rsidRDefault="00E660F2" w:rsidP="008F0588">
            <w:pPr>
              <w:rPr>
                <w:sz w:val="18"/>
                <w:szCs w:val="18"/>
              </w:rPr>
            </w:pPr>
            <w:r w:rsidRPr="00900040">
              <w:rPr>
                <w:sz w:val="18"/>
                <w:szCs w:val="18"/>
              </w:rPr>
              <w:t>1.2</w:t>
            </w:r>
          </w:p>
        </w:tc>
        <w:tc>
          <w:tcPr>
            <w:tcW w:w="992" w:type="dxa"/>
          </w:tcPr>
          <w:p w:rsidR="00E660F2" w:rsidRPr="00900040" w:rsidRDefault="00E660F2" w:rsidP="008F0588">
            <w:pPr>
              <w:rPr>
                <w:sz w:val="18"/>
                <w:szCs w:val="18"/>
              </w:rPr>
            </w:pPr>
            <w:r w:rsidRPr="00900040">
              <w:rPr>
                <w:sz w:val="18"/>
                <w:szCs w:val="18"/>
              </w:rPr>
              <w:t>2</w:t>
            </w:r>
          </w:p>
        </w:tc>
        <w:tc>
          <w:tcPr>
            <w:tcW w:w="1559" w:type="dxa"/>
          </w:tcPr>
          <w:p w:rsidR="00E660F2" w:rsidRPr="00900040" w:rsidRDefault="00E660F2" w:rsidP="008F0588">
            <w:pPr>
              <w:rPr>
                <w:sz w:val="18"/>
                <w:szCs w:val="18"/>
              </w:rPr>
            </w:pPr>
            <w:r w:rsidRPr="00900040">
              <w:rPr>
                <w:sz w:val="18"/>
                <w:szCs w:val="18"/>
              </w:rPr>
              <w:t>0.5</w:t>
            </w:r>
          </w:p>
        </w:tc>
        <w:tc>
          <w:tcPr>
            <w:tcW w:w="1103" w:type="dxa"/>
            <w:noWrap/>
            <w:hideMark/>
          </w:tcPr>
          <w:p w:rsidR="00E660F2" w:rsidRPr="00900040" w:rsidRDefault="00E660F2" w:rsidP="008F0588">
            <w:pPr>
              <w:rPr>
                <w:sz w:val="18"/>
                <w:szCs w:val="18"/>
              </w:rPr>
            </w:pPr>
            <w:r w:rsidRPr="00900040">
              <w:rPr>
                <w:sz w:val="18"/>
                <w:szCs w:val="18"/>
              </w:rPr>
              <w:t>0.5</w:t>
            </w:r>
          </w:p>
        </w:tc>
      </w:tr>
      <w:tr w:rsidR="00E660F2" w:rsidRPr="00756969" w:rsidTr="008F0588">
        <w:trPr>
          <w:trHeight w:val="227"/>
        </w:trPr>
        <w:tc>
          <w:tcPr>
            <w:tcW w:w="1951" w:type="dxa"/>
            <w:noWrap/>
            <w:hideMark/>
          </w:tcPr>
          <w:p w:rsidR="00E660F2" w:rsidRPr="00900040" w:rsidRDefault="00E660F2" w:rsidP="008F0588">
            <w:pPr>
              <w:rPr>
                <w:color w:val="FF0000"/>
                <w:sz w:val="18"/>
                <w:szCs w:val="18"/>
              </w:rPr>
            </w:pPr>
            <w:r w:rsidRPr="00900040">
              <w:rPr>
                <w:color w:val="FF0000"/>
                <w:sz w:val="18"/>
                <w:szCs w:val="18"/>
              </w:rPr>
              <w:lastRenderedPageBreak/>
              <w:t>Coronary artery disease</w:t>
            </w:r>
          </w:p>
        </w:tc>
        <w:tc>
          <w:tcPr>
            <w:tcW w:w="1134" w:type="dxa"/>
          </w:tcPr>
          <w:p w:rsidR="00E660F2" w:rsidRPr="00900040" w:rsidRDefault="00E660F2" w:rsidP="008F0588">
            <w:pPr>
              <w:rPr>
                <w:sz w:val="18"/>
                <w:szCs w:val="18"/>
              </w:rPr>
            </w:pPr>
            <w:r w:rsidRPr="00900040">
              <w:rPr>
                <w:sz w:val="18"/>
                <w:szCs w:val="18"/>
              </w:rPr>
              <w:t>6</w:t>
            </w:r>
          </w:p>
        </w:tc>
        <w:tc>
          <w:tcPr>
            <w:tcW w:w="1418" w:type="dxa"/>
          </w:tcPr>
          <w:p w:rsidR="00E660F2" w:rsidRPr="00900040" w:rsidRDefault="00E660F2" w:rsidP="008F0588">
            <w:pPr>
              <w:rPr>
                <w:sz w:val="18"/>
                <w:szCs w:val="18"/>
              </w:rPr>
            </w:pPr>
            <w:r w:rsidRPr="00900040">
              <w:rPr>
                <w:sz w:val="18"/>
                <w:szCs w:val="18"/>
              </w:rPr>
              <w:t>0.7</w:t>
            </w:r>
          </w:p>
        </w:tc>
        <w:tc>
          <w:tcPr>
            <w:tcW w:w="992" w:type="dxa"/>
          </w:tcPr>
          <w:p w:rsidR="00E660F2" w:rsidRPr="00900040" w:rsidRDefault="00E660F2" w:rsidP="008F0588">
            <w:pPr>
              <w:rPr>
                <w:sz w:val="18"/>
                <w:szCs w:val="18"/>
              </w:rPr>
            </w:pPr>
            <w:r w:rsidRPr="00900040">
              <w:rPr>
                <w:sz w:val="18"/>
                <w:szCs w:val="18"/>
              </w:rPr>
              <w:t>0.6</w:t>
            </w:r>
          </w:p>
        </w:tc>
        <w:tc>
          <w:tcPr>
            <w:tcW w:w="992" w:type="dxa"/>
          </w:tcPr>
          <w:p w:rsidR="00E660F2" w:rsidRPr="00900040" w:rsidRDefault="00E660F2" w:rsidP="008F0588">
            <w:pPr>
              <w:rPr>
                <w:sz w:val="18"/>
                <w:szCs w:val="18"/>
              </w:rPr>
            </w:pPr>
            <w:r w:rsidRPr="00900040">
              <w:rPr>
                <w:sz w:val="18"/>
                <w:szCs w:val="18"/>
              </w:rPr>
              <w:t>1</w:t>
            </w:r>
          </w:p>
        </w:tc>
        <w:tc>
          <w:tcPr>
            <w:tcW w:w="1559" w:type="dxa"/>
          </w:tcPr>
          <w:p w:rsidR="00E660F2" w:rsidRPr="00900040" w:rsidRDefault="00E660F2" w:rsidP="008F0588">
            <w:pPr>
              <w:rPr>
                <w:sz w:val="18"/>
                <w:szCs w:val="18"/>
              </w:rPr>
            </w:pPr>
            <w:r w:rsidRPr="00900040">
              <w:rPr>
                <w:sz w:val="18"/>
                <w:szCs w:val="18"/>
              </w:rPr>
              <w:t>0.3</w:t>
            </w:r>
          </w:p>
        </w:tc>
        <w:tc>
          <w:tcPr>
            <w:tcW w:w="1103" w:type="dxa"/>
            <w:noWrap/>
            <w:hideMark/>
          </w:tcPr>
          <w:p w:rsidR="00E660F2" w:rsidRPr="00900040" w:rsidRDefault="00E660F2" w:rsidP="008F0588">
            <w:pPr>
              <w:rPr>
                <w:sz w:val="18"/>
                <w:szCs w:val="18"/>
              </w:rPr>
            </w:pPr>
            <w:r w:rsidRPr="00900040">
              <w:rPr>
                <w:sz w:val="18"/>
                <w:szCs w:val="18"/>
              </w:rPr>
              <w:t>0.2</w:t>
            </w:r>
          </w:p>
        </w:tc>
      </w:tr>
      <w:tr w:rsidR="00E660F2" w:rsidRPr="00756969" w:rsidTr="008F0588">
        <w:trPr>
          <w:trHeight w:val="227"/>
        </w:trPr>
        <w:tc>
          <w:tcPr>
            <w:tcW w:w="1951" w:type="dxa"/>
            <w:noWrap/>
            <w:hideMark/>
          </w:tcPr>
          <w:p w:rsidR="00E660F2" w:rsidRPr="00900040" w:rsidRDefault="00E660F2" w:rsidP="008F0588">
            <w:pPr>
              <w:rPr>
                <w:color w:val="FF0000"/>
                <w:sz w:val="18"/>
                <w:szCs w:val="18"/>
              </w:rPr>
            </w:pPr>
            <w:r w:rsidRPr="00900040">
              <w:rPr>
                <w:color w:val="FF0000"/>
                <w:sz w:val="18"/>
                <w:szCs w:val="18"/>
              </w:rPr>
              <w:t>Myocardial infarction*</w:t>
            </w:r>
          </w:p>
        </w:tc>
        <w:tc>
          <w:tcPr>
            <w:tcW w:w="1134" w:type="dxa"/>
          </w:tcPr>
          <w:p w:rsidR="00E660F2" w:rsidRPr="00900040" w:rsidRDefault="00E660F2" w:rsidP="008F0588">
            <w:pPr>
              <w:rPr>
                <w:sz w:val="18"/>
                <w:szCs w:val="18"/>
              </w:rPr>
            </w:pPr>
            <w:r w:rsidRPr="00900040">
              <w:rPr>
                <w:sz w:val="18"/>
                <w:szCs w:val="18"/>
              </w:rPr>
              <w:t>8</w:t>
            </w:r>
          </w:p>
        </w:tc>
        <w:tc>
          <w:tcPr>
            <w:tcW w:w="1418" w:type="dxa"/>
          </w:tcPr>
          <w:p w:rsidR="00E660F2" w:rsidRPr="00900040" w:rsidRDefault="00E660F2" w:rsidP="008F0588">
            <w:pPr>
              <w:rPr>
                <w:sz w:val="18"/>
                <w:szCs w:val="18"/>
              </w:rPr>
            </w:pPr>
            <w:r w:rsidRPr="00900040">
              <w:rPr>
                <w:sz w:val="18"/>
                <w:szCs w:val="18"/>
              </w:rPr>
              <w:t>1.0</w:t>
            </w:r>
          </w:p>
        </w:tc>
        <w:tc>
          <w:tcPr>
            <w:tcW w:w="992" w:type="dxa"/>
          </w:tcPr>
          <w:p w:rsidR="00E660F2" w:rsidRPr="00900040" w:rsidRDefault="00E660F2" w:rsidP="008F0588">
            <w:pPr>
              <w:rPr>
                <w:sz w:val="18"/>
                <w:szCs w:val="18"/>
              </w:rPr>
            </w:pPr>
            <w:r w:rsidRPr="00900040">
              <w:rPr>
                <w:sz w:val="18"/>
                <w:szCs w:val="18"/>
              </w:rPr>
              <w:t>0.8</w:t>
            </w:r>
          </w:p>
        </w:tc>
        <w:tc>
          <w:tcPr>
            <w:tcW w:w="992" w:type="dxa"/>
          </w:tcPr>
          <w:p w:rsidR="00E660F2" w:rsidRPr="00900040" w:rsidRDefault="00E660F2" w:rsidP="008F0588">
            <w:pPr>
              <w:rPr>
                <w:sz w:val="18"/>
                <w:szCs w:val="18"/>
              </w:rPr>
            </w:pPr>
            <w:r w:rsidRPr="00900040">
              <w:rPr>
                <w:sz w:val="18"/>
                <w:szCs w:val="18"/>
              </w:rPr>
              <w:t>0</w:t>
            </w:r>
          </w:p>
        </w:tc>
        <w:tc>
          <w:tcPr>
            <w:tcW w:w="1559" w:type="dxa"/>
          </w:tcPr>
          <w:p w:rsidR="00E660F2" w:rsidRPr="00900040" w:rsidRDefault="00E660F2" w:rsidP="008F0588">
            <w:pPr>
              <w:rPr>
                <w:sz w:val="18"/>
                <w:szCs w:val="18"/>
              </w:rPr>
            </w:pPr>
            <w:r w:rsidRPr="00900040">
              <w:rPr>
                <w:sz w:val="18"/>
                <w:szCs w:val="18"/>
              </w:rPr>
              <w:t>0.0</w:t>
            </w:r>
          </w:p>
        </w:tc>
        <w:tc>
          <w:tcPr>
            <w:tcW w:w="1103" w:type="dxa"/>
            <w:noWrap/>
            <w:hideMark/>
          </w:tcPr>
          <w:p w:rsidR="00E660F2" w:rsidRPr="00900040" w:rsidRDefault="00E660F2" w:rsidP="008F0588">
            <w:pPr>
              <w:rPr>
                <w:sz w:val="18"/>
                <w:szCs w:val="18"/>
              </w:rPr>
            </w:pPr>
            <w:r w:rsidRPr="00900040">
              <w:rPr>
                <w:sz w:val="18"/>
                <w:szCs w:val="18"/>
              </w:rPr>
              <w:t>0.0</w:t>
            </w:r>
          </w:p>
        </w:tc>
      </w:tr>
      <w:tr w:rsidR="00E660F2" w:rsidRPr="00756969" w:rsidTr="008F0588">
        <w:trPr>
          <w:trHeight w:val="227"/>
        </w:trPr>
        <w:tc>
          <w:tcPr>
            <w:tcW w:w="1951" w:type="dxa"/>
            <w:noWrap/>
            <w:hideMark/>
          </w:tcPr>
          <w:p w:rsidR="00E660F2" w:rsidRPr="00900040" w:rsidRDefault="00E660F2" w:rsidP="008F0588">
            <w:pPr>
              <w:rPr>
                <w:sz w:val="18"/>
                <w:szCs w:val="18"/>
              </w:rPr>
            </w:pPr>
            <w:r w:rsidRPr="00900040">
              <w:rPr>
                <w:sz w:val="18"/>
                <w:szCs w:val="18"/>
              </w:rPr>
              <w:t>Myocardial ischaemia</w:t>
            </w:r>
          </w:p>
        </w:tc>
        <w:tc>
          <w:tcPr>
            <w:tcW w:w="1134" w:type="dxa"/>
          </w:tcPr>
          <w:p w:rsidR="00E660F2" w:rsidRPr="00900040" w:rsidRDefault="00E660F2" w:rsidP="008F0588">
            <w:pPr>
              <w:rPr>
                <w:sz w:val="18"/>
                <w:szCs w:val="18"/>
              </w:rPr>
            </w:pPr>
            <w:r w:rsidRPr="00900040">
              <w:rPr>
                <w:sz w:val="18"/>
                <w:szCs w:val="18"/>
              </w:rPr>
              <w:t>2</w:t>
            </w:r>
          </w:p>
        </w:tc>
        <w:tc>
          <w:tcPr>
            <w:tcW w:w="1418" w:type="dxa"/>
          </w:tcPr>
          <w:p w:rsidR="00E660F2" w:rsidRPr="00900040" w:rsidRDefault="00E660F2" w:rsidP="008F0588">
            <w:pPr>
              <w:rPr>
                <w:sz w:val="18"/>
                <w:szCs w:val="18"/>
              </w:rPr>
            </w:pPr>
            <w:r w:rsidRPr="00900040">
              <w:rPr>
                <w:sz w:val="18"/>
                <w:szCs w:val="18"/>
              </w:rPr>
              <w:t>0.2</w:t>
            </w:r>
          </w:p>
        </w:tc>
        <w:tc>
          <w:tcPr>
            <w:tcW w:w="992" w:type="dxa"/>
          </w:tcPr>
          <w:p w:rsidR="00E660F2" w:rsidRPr="00900040" w:rsidRDefault="00E660F2" w:rsidP="008F0588">
            <w:pPr>
              <w:rPr>
                <w:sz w:val="18"/>
                <w:szCs w:val="18"/>
              </w:rPr>
            </w:pPr>
            <w:r w:rsidRPr="00900040">
              <w:rPr>
                <w:sz w:val="18"/>
                <w:szCs w:val="18"/>
              </w:rPr>
              <w:t>0.2</w:t>
            </w:r>
          </w:p>
        </w:tc>
        <w:tc>
          <w:tcPr>
            <w:tcW w:w="992" w:type="dxa"/>
          </w:tcPr>
          <w:p w:rsidR="00E660F2" w:rsidRPr="00900040" w:rsidRDefault="00E660F2" w:rsidP="008F0588">
            <w:pPr>
              <w:rPr>
                <w:sz w:val="18"/>
                <w:szCs w:val="18"/>
              </w:rPr>
            </w:pPr>
            <w:r w:rsidRPr="00900040">
              <w:rPr>
                <w:sz w:val="18"/>
                <w:szCs w:val="18"/>
              </w:rPr>
              <w:t>2</w:t>
            </w:r>
          </w:p>
        </w:tc>
        <w:tc>
          <w:tcPr>
            <w:tcW w:w="1559" w:type="dxa"/>
          </w:tcPr>
          <w:p w:rsidR="00E660F2" w:rsidRPr="00900040" w:rsidRDefault="00E660F2" w:rsidP="008F0588">
            <w:pPr>
              <w:rPr>
                <w:sz w:val="18"/>
                <w:szCs w:val="18"/>
              </w:rPr>
            </w:pPr>
            <w:r w:rsidRPr="00900040">
              <w:rPr>
                <w:sz w:val="18"/>
                <w:szCs w:val="18"/>
              </w:rPr>
              <w:t>0.5</w:t>
            </w:r>
          </w:p>
        </w:tc>
        <w:tc>
          <w:tcPr>
            <w:tcW w:w="1103" w:type="dxa"/>
            <w:noWrap/>
            <w:hideMark/>
          </w:tcPr>
          <w:p w:rsidR="00E660F2" w:rsidRPr="00900040" w:rsidRDefault="00E660F2" w:rsidP="008F0588">
            <w:pPr>
              <w:rPr>
                <w:sz w:val="18"/>
                <w:szCs w:val="18"/>
              </w:rPr>
            </w:pPr>
            <w:r w:rsidRPr="00900040">
              <w:rPr>
                <w:sz w:val="18"/>
                <w:szCs w:val="18"/>
              </w:rPr>
              <w:t>0.5</w:t>
            </w:r>
          </w:p>
        </w:tc>
      </w:tr>
      <w:tr w:rsidR="00E660F2" w:rsidRPr="00756969" w:rsidTr="008F0588">
        <w:trPr>
          <w:trHeight w:val="227"/>
        </w:trPr>
        <w:tc>
          <w:tcPr>
            <w:tcW w:w="1951" w:type="dxa"/>
            <w:noWrap/>
            <w:hideMark/>
          </w:tcPr>
          <w:p w:rsidR="00E660F2" w:rsidRPr="00900040" w:rsidRDefault="00E660F2" w:rsidP="008F0588">
            <w:pPr>
              <w:rPr>
                <w:color w:val="FF0000"/>
                <w:sz w:val="18"/>
                <w:szCs w:val="18"/>
              </w:rPr>
            </w:pPr>
            <w:r w:rsidRPr="00900040">
              <w:rPr>
                <w:color w:val="FF0000"/>
                <w:sz w:val="18"/>
                <w:szCs w:val="18"/>
              </w:rPr>
              <w:t>Angina unstable</w:t>
            </w:r>
          </w:p>
        </w:tc>
        <w:tc>
          <w:tcPr>
            <w:tcW w:w="1134" w:type="dxa"/>
          </w:tcPr>
          <w:p w:rsidR="00E660F2" w:rsidRPr="00900040" w:rsidRDefault="00E660F2" w:rsidP="008F0588">
            <w:pPr>
              <w:rPr>
                <w:sz w:val="18"/>
                <w:szCs w:val="18"/>
              </w:rPr>
            </w:pPr>
            <w:r w:rsidRPr="00900040">
              <w:rPr>
                <w:sz w:val="18"/>
                <w:szCs w:val="18"/>
              </w:rPr>
              <w:t>2</w:t>
            </w:r>
          </w:p>
        </w:tc>
        <w:tc>
          <w:tcPr>
            <w:tcW w:w="1418" w:type="dxa"/>
          </w:tcPr>
          <w:p w:rsidR="00E660F2" w:rsidRPr="00900040" w:rsidRDefault="00E660F2" w:rsidP="008F0588">
            <w:pPr>
              <w:rPr>
                <w:sz w:val="18"/>
                <w:szCs w:val="18"/>
              </w:rPr>
            </w:pPr>
            <w:r w:rsidRPr="00900040">
              <w:rPr>
                <w:sz w:val="18"/>
                <w:szCs w:val="18"/>
              </w:rPr>
              <w:t>0.2</w:t>
            </w:r>
          </w:p>
        </w:tc>
        <w:tc>
          <w:tcPr>
            <w:tcW w:w="992" w:type="dxa"/>
          </w:tcPr>
          <w:p w:rsidR="00E660F2" w:rsidRPr="00900040" w:rsidRDefault="00E660F2" w:rsidP="008F0588">
            <w:pPr>
              <w:rPr>
                <w:sz w:val="18"/>
                <w:szCs w:val="18"/>
              </w:rPr>
            </w:pPr>
            <w:r w:rsidRPr="00900040">
              <w:rPr>
                <w:sz w:val="18"/>
                <w:szCs w:val="18"/>
              </w:rPr>
              <w:t>0.2</w:t>
            </w:r>
          </w:p>
        </w:tc>
        <w:tc>
          <w:tcPr>
            <w:tcW w:w="992" w:type="dxa"/>
          </w:tcPr>
          <w:p w:rsidR="00E660F2" w:rsidRPr="00900040" w:rsidRDefault="00E660F2" w:rsidP="008F0588">
            <w:pPr>
              <w:rPr>
                <w:sz w:val="18"/>
                <w:szCs w:val="18"/>
              </w:rPr>
            </w:pPr>
            <w:r w:rsidRPr="00900040">
              <w:rPr>
                <w:sz w:val="18"/>
                <w:szCs w:val="18"/>
              </w:rPr>
              <w:t>0</w:t>
            </w:r>
          </w:p>
        </w:tc>
        <w:tc>
          <w:tcPr>
            <w:tcW w:w="1559" w:type="dxa"/>
          </w:tcPr>
          <w:p w:rsidR="00E660F2" w:rsidRPr="00900040" w:rsidRDefault="00E660F2" w:rsidP="008F0588">
            <w:pPr>
              <w:rPr>
                <w:sz w:val="18"/>
                <w:szCs w:val="18"/>
              </w:rPr>
            </w:pPr>
            <w:r w:rsidRPr="00900040">
              <w:rPr>
                <w:sz w:val="18"/>
                <w:szCs w:val="18"/>
              </w:rPr>
              <w:t>0.0</w:t>
            </w:r>
          </w:p>
        </w:tc>
        <w:tc>
          <w:tcPr>
            <w:tcW w:w="1103" w:type="dxa"/>
            <w:noWrap/>
            <w:hideMark/>
          </w:tcPr>
          <w:p w:rsidR="00E660F2" w:rsidRPr="00900040" w:rsidRDefault="00E660F2" w:rsidP="008F0588">
            <w:pPr>
              <w:rPr>
                <w:sz w:val="18"/>
                <w:szCs w:val="18"/>
              </w:rPr>
            </w:pPr>
            <w:r w:rsidRPr="00900040">
              <w:rPr>
                <w:sz w:val="18"/>
                <w:szCs w:val="18"/>
              </w:rPr>
              <w:t>0.0</w:t>
            </w:r>
          </w:p>
        </w:tc>
      </w:tr>
      <w:tr w:rsidR="00E660F2" w:rsidRPr="00756969" w:rsidTr="008F0588">
        <w:trPr>
          <w:trHeight w:val="227"/>
        </w:trPr>
        <w:tc>
          <w:tcPr>
            <w:tcW w:w="1951" w:type="dxa"/>
            <w:noWrap/>
            <w:hideMark/>
          </w:tcPr>
          <w:p w:rsidR="00E660F2" w:rsidRPr="00900040" w:rsidRDefault="00E660F2" w:rsidP="008F0588">
            <w:pPr>
              <w:rPr>
                <w:color w:val="FF0000"/>
                <w:sz w:val="18"/>
                <w:szCs w:val="18"/>
              </w:rPr>
            </w:pPr>
            <w:r w:rsidRPr="00900040">
              <w:rPr>
                <w:color w:val="FF0000"/>
                <w:sz w:val="18"/>
                <w:szCs w:val="18"/>
              </w:rPr>
              <w:t>Arterioscleroisis coronary artery</w:t>
            </w:r>
          </w:p>
        </w:tc>
        <w:tc>
          <w:tcPr>
            <w:tcW w:w="1134" w:type="dxa"/>
          </w:tcPr>
          <w:p w:rsidR="00E660F2" w:rsidRPr="00900040" w:rsidRDefault="00E660F2" w:rsidP="008F0588">
            <w:pPr>
              <w:rPr>
                <w:sz w:val="18"/>
                <w:szCs w:val="18"/>
              </w:rPr>
            </w:pPr>
            <w:r w:rsidRPr="00900040">
              <w:rPr>
                <w:sz w:val="18"/>
                <w:szCs w:val="18"/>
              </w:rPr>
              <w:t>2</w:t>
            </w:r>
          </w:p>
        </w:tc>
        <w:tc>
          <w:tcPr>
            <w:tcW w:w="1418" w:type="dxa"/>
          </w:tcPr>
          <w:p w:rsidR="00E660F2" w:rsidRPr="00900040" w:rsidRDefault="00E660F2" w:rsidP="008F0588">
            <w:pPr>
              <w:rPr>
                <w:sz w:val="18"/>
                <w:szCs w:val="18"/>
              </w:rPr>
            </w:pPr>
            <w:r w:rsidRPr="00900040">
              <w:rPr>
                <w:sz w:val="18"/>
                <w:szCs w:val="18"/>
              </w:rPr>
              <w:t>0.2</w:t>
            </w:r>
          </w:p>
        </w:tc>
        <w:tc>
          <w:tcPr>
            <w:tcW w:w="992" w:type="dxa"/>
          </w:tcPr>
          <w:p w:rsidR="00E660F2" w:rsidRPr="00900040" w:rsidRDefault="00E660F2" w:rsidP="008F0588">
            <w:pPr>
              <w:rPr>
                <w:sz w:val="18"/>
                <w:szCs w:val="18"/>
              </w:rPr>
            </w:pPr>
            <w:r w:rsidRPr="00900040">
              <w:rPr>
                <w:sz w:val="18"/>
                <w:szCs w:val="18"/>
              </w:rPr>
              <w:t>0.2</w:t>
            </w:r>
          </w:p>
        </w:tc>
        <w:tc>
          <w:tcPr>
            <w:tcW w:w="992" w:type="dxa"/>
          </w:tcPr>
          <w:p w:rsidR="00E660F2" w:rsidRPr="00900040" w:rsidRDefault="00E660F2" w:rsidP="008F0588">
            <w:pPr>
              <w:rPr>
                <w:sz w:val="18"/>
                <w:szCs w:val="18"/>
              </w:rPr>
            </w:pPr>
            <w:r w:rsidRPr="00900040">
              <w:rPr>
                <w:sz w:val="18"/>
                <w:szCs w:val="18"/>
              </w:rPr>
              <w:t>0</w:t>
            </w:r>
          </w:p>
        </w:tc>
        <w:tc>
          <w:tcPr>
            <w:tcW w:w="1559" w:type="dxa"/>
          </w:tcPr>
          <w:p w:rsidR="00E660F2" w:rsidRPr="00900040" w:rsidRDefault="00E660F2" w:rsidP="008F0588">
            <w:pPr>
              <w:rPr>
                <w:sz w:val="18"/>
                <w:szCs w:val="18"/>
              </w:rPr>
            </w:pPr>
            <w:r w:rsidRPr="00900040">
              <w:rPr>
                <w:sz w:val="18"/>
                <w:szCs w:val="18"/>
              </w:rPr>
              <w:t>0.0</w:t>
            </w:r>
          </w:p>
        </w:tc>
        <w:tc>
          <w:tcPr>
            <w:tcW w:w="1103" w:type="dxa"/>
            <w:noWrap/>
            <w:hideMark/>
          </w:tcPr>
          <w:p w:rsidR="00E660F2" w:rsidRPr="00900040" w:rsidRDefault="00E660F2" w:rsidP="008F0588">
            <w:pPr>
              <w:rPr>
                <w:sz w:val="18"/>
                <w:szCs w:val="18"/>
              </w:rPr>
            </w:pPr>
            <w:r w:rsidRPr="00900040">
              <w:rPr>
                <w:sz w:val="18"/>
                <w:szCs w:val="18"/>
              </w:rPr>
              <w:t>0.0</w:t>
            </w:r>
          </w:p>
        </w:tc>
      </w:tr>
      <w:tr w:rsidR="00E660F2" w:rsidRPr="00756969" w:rsidTr="008F0588">
        <w:trPr>
          <w:trHeight w:val="227"/>
        </w:trPr>
        <w:tc>
          <w:tcPr>
            <w:tcW w:w="1951" w:type="dxa"/>
            <w:noWrap/>
            <w:hideMark/>
          </w:tcPr>
          <w:p w:rsidR="00E660F2" w:rsidRPr="00900040" w:rsidRDefault="00E660F2" w:rsidP="008F0588">
            <w:pPr>
              <w:rPr>
                <w:sz w:val="18"/>
                <w:szCs w:val="18"/>
              </w:rPr>
            </w:pPr>
            <w:r w:rsidRPr="00900040">
              <w:rPr>
                <w:sz w:val="18"/>
                <w:szCs w:val="18"/>
              </w:rPr>
              <w:t>Acute coronary syndrome</w:t>
            </w:r>
          </w:p>
        </w:tc>
        <w:tc>
          <w:tcPr>
            <w:tcW w:w="1134" w:type="dxa"/>
          </w:tcPr>
          <w:p w:rsidR="00E660F2" w:rsidRPr="00900040" w:rsidRDefault="00E660F2" w:rsidP="008F0588">
            <w:pPr>
              <w:rPr>
                <w:sz w:val="18"/>
                <w:szCs w:val="18"/>
              </w:rPr>
            </w:pPr>
            <w:r w:rsidRPr="00900040">
              <w:rPr>
                <w:sz w:val="18"/>
                <w:szCs w:val="18"/>
              </w:rPr>
              <w:t>1</w:t>
            </w:r>
          </w:p>
        </w:tc>
        <w:tc>
          <w:tcPr>
            <w:tcW w:w="1418" w:type="dxa"/>
          </w:tcPr>
          <w:p w:rsidR="00E660F2" w:rsidRPr="00900040" w:rsidRDefault="00E660F2" w:rsidP="008F0588">
            <w:pPr>
              <w:rPr>
                <w:sz w:val="18"/>
                <w:szCs w:val="18"/>
              </w:rPr>
            </w:pPr>
            <w:r w:rsidRPr="00900040">
              <w:rPr>
                <w:sz w:val="18"/>
                <w:szCs w:val="18"/>
              </w:rPr>
              <w:t>0.1</w:t>
            </w:r>
          </w:p>
        </w:tc>
        <w:tc>
          <w:tcPr>
            <w:tcW w:w="992" w:type="dxa"/>
          </w:tcPr>
          <w:p w:rsidR="00E660F2" w:rsidRPr="00900040" w:rsidRDefault="00E660F2" w:rsidP="008F0588">
            <w:pPr>
              <w:rPr>
                <w:sz w:val="18"/>
                <w:szCs w:val="18"/>
              </w:rPr>
            </w:pPr>
            <w:r w:rsidRPr="00900040">
              <w:rPr>
                <w:sz w:val="18"/>
                <w:szCs w:val="18"/>
              </w:rPr>
              <w:t>0.1</w:t>
            </w:r>
          </w:p>
        </w:tc>
        <w:tc>
          <w:tcPr>
            <w:tcW w:w="992" w:type="dxa"/>
          </w:tcPr>
          <w:p w:rsidR="00E660F2" w:rsidRPr="00900040" w:rsidRDefault="00E660F2" w:rsidP="008F0588">
            <w:pPr>
              <w:rPr>
                <w:sz w:val="18"/>
                <w:szCs w:val="18"/>
              </w:rPr>
            </w:pPr>
            <w:r w:rsidRPr="00900040">
              <w:rPr>
                <w:sz w:val="18"/>
                <w:szCs w:val="18"/>
              </w:rPr>
              <w:t>1</w:t>
            </w:r>
          </w:p>
        </w:tc>
        <w:tc>
          <w:tcPr>
            <w:tcW w:w="1559" w:type="dxa"/>
          </w:tcPr>
          <w:p w:rsidR="00E660F2" w:rsidRPr="00900040" w:rsidRDefault="00E660F2" w:rsidP="008F0588">
            <w:pPr>
              <w:rPr>
                <w:sz w:val="18"/>
                <w:szCs w:val="18"/>
              </w:rPr>
            </w:pPr>
            <w:r w:rsidRPr="00900040">
              <w:rPr>
                <w:sz w:val="18"/>
                <w:szCs w:val="18"/>
              </w:rPr>
              <w:t>0.3</w:t>
            </w:r>
          </w:p>
        </w:tc>
        <w:tc>
          <w:tcPr>
            <w:tcW w:w="1103" w:type="dxa"/>
            <w:noWrap/>
            <w:hideMark/>
          </w:tcPr>
          <w:p w:rsidR="00E660F2" w:rsidRPr="00900040" w:rsidRDefault="00E660F2" w:rsidP="008F0588">
            <w:pPr>
              <w:rPr>
                <w:sz w:val="18"/>
                <w:szCs w:val="18"/>
              </w:rPr>
            </w:pPr>
            <w:r w:rsidRPr="00900040">
              <w:rPr>
                <w:sz w:val="18"/>
                <w:szCs w:val="18"/>
              </w:rPr>
              <w:t>0.2</w:t>
            </w:r>
          </w:p>
        </w:tc>
      </w:tr>
      <w:tr w:rsidR="00E660F2" w:rsidRPr="00756969" w:rsidTr="008F0588">
        <w:trPr>
          <w:trHeight w:val="227"/>
        </w:trPr>
        <w:tc>
          <w:tcPr>
            <w:tcW w:w="1951" w:type="dxa"/>
            <w:noWrap/>
            <w:hideMark/>
          </w:tcPr>
          <w:p w:rsidR="00E660F2" w:rsidRPr="00900040" w:rsidRDefault="00E660F2" w:rsidP="008F0588">
            <w:pPr>
              <w:rPr>
                <w:sz w:val="18"/>
                <w:szCs w:val="18"/>
              </w:rPr>
            </w:pPr>
            <w:r w:rsidRPr="00900040">
              <w:rPr>
                <w:sz w:val="18"/>
                <w:szCs w:val="18"/>
              </w:rPr>
              <w:t>Acute myocardial infarction</w:t>
            </w:r>
          </w:p>
        </w:tc>
        <w:tc>
          <w:tcPr>
            <w:tcW w:w="1134" w:type="dxa"/>
          </w:tcPr>
          <w:p w:rsidR="00E660F2" w:rsidRPr="00900040" w:rsidRDefault="00E660F2" w:rsidP="008F0588">
            <w:pPr>
              <w:rPr>
                <w:sz w:val="18"/>
                <w:szCs w:val="18"/>
              </w:rPr>
            </w:pPr>
            <w:r w:rsidRPr="00900040">
              <w:rPr>
                <w:sz w:val="18"/>
                <w:szCs w:val="18"/>
              </w:rPr>
              <w:t>1</w:t>
            </w:r>
          </w:p>
        </w:tc>
        <w:tc>
          <w:tcPr>
            <w:tcW w:w="1418" w:type="dxa"/>
          </w:tcPr>
          <w:p w:rsidR="00E660F2" w:rsidRPr="00900040" w:rsidRDefault="00E660F2" w:rsidP="008F0588">
            <w:pPr>
              <w:rPr>
                <w:sz w:val="18"/>
                <w:szCs w:val="18"/>
              </w:rPr>
            </w:pPr>
            <w:r w:rsidRPr="00900040">
              <w:rPr>
                <w:sz w:val="18"/>
                <w:szCs w:val="18"/>
              </w:rPr>
              <w:t>0.1</w:t>
            </w:r>
          </w:p>
        </w:tc>
        <w:tc>
          <w:tcPr>
            <w:tcW w:w="992" w:type="dxa"/>
          </w:tcPr>
          <w:p w:rsidR="00E660F2" w:rsidRPr="00900040" w:rsidRDefault="00E660F2" w:rsidP="008F0588">
            <w:pPr>
              <w:rPr>
                <w:sz w:val="18"/>
                <w:szCs w:val="18"/>
              </w:rPr>
            </w:pPr>
            <w:r w:rsidRPr="00900040">
              <w:rPr>
                <w:sz w:val="18"/>
                <w:szCs w:val="18"/>
              </w:rPr>
              <w:t>0.1</w:t>
            </w:r>
          </w:p>
        </w:tc>
        <w:tc>
          <w:tcPr>
            <w:tcW w:w="992" w:type="dxa"/>
          </w:tcPr>
          <w:p w:rsidR="00E660F2" w:rsidRPr="00900040" w:rsidRDefault="00E660F2" w:rsidP="008F0588">
            <w:pPr>
              <w:rPr>
                <w:sz w:val="18"/>
                <w:szCs w:val="18"/>
              </w:rPr>
            </w:pPr>
            <w:r w:rsidRPr="00900040">
              <w:rPr>
                <w:sz w:val="18"/>
                <w:szCs w:val="18"/>
              </w:rPr>
              <w:t>1</w:t>
            </w:r>
          </w:p>
        </w:tc>
        <w:tc>
          <w:tcPr>
            <w:tcW w:w="1559" w:type="dxa"/>
          </w:tcPr>
          <w:p w:rsidR="00E660F2" w:rsidRPr="00900040" w:rsidRDefault="00E660F2" w:rsidP="008F0588">
            <w:pPr>
              <w:rPr>
                <w:sz w:val="18"/>
                <w:szCs w:val="18"/>
              </w:rPr>
            </w:pPr>
            <w:r w:rsidRPr="00900040">
              <w:rPr>
                <w:sz w:val="18"/>
                <w:szCs w:val="18"/>
              </w:rPr>
              <w:t>0.3</w:t>
            </w:r>
          </w:p>
        </w:tc>
        <w:tc>
          <w:tcPr>
            <w:tcW w:w="1103" w:type="dxa"/>
            <w:noWrap/>
            <w:hideMark/>
          </w:tcPr>
          <w:p w:rsidR="00E660F2" w:rsidRPr="00900040" w:rsidRDefault="00E660F2" w:rsidP="008F0588">
            <w:pPr>
              <w:rPr>
                <w:sz w:val="18"/>
                <w:szCs w:val="18"/>
              </w:rPr>
            </w:pPr>
            <w:r w:rsidRPr="00900040">
              <w:rPr>
                <w:sz w:val="18"/>
                <w:szCs w:val="18"/>
              </w:rPr>
              <w:t>0.2</w:t>
            </w:r>
          </w:p>
        </w:tc>
      </w:tr>
      <w:tr w:rsidR="00E660F2" w:rsidRPr="00756969" w:rsidTr="008F0588">
        <w:trPr>
          <w:trHeight w:val="227"/>
        </w:trPr>
        <w:tc>
          <w:tcPr>
            <w:tcW w:w="1951" w:type="dxa"/>
            <w:noWrap/>
            <w:hideMark/>
          </w:tcPr>
          <w:p w:rsidR="00E660F2" w:rsidRPr="00900040" w:rsidRDefault="00E660F2" w:rsidP="008F0588">
            <w:pPr>
              <w:rPr>
                <w:color w:val="FF0000"/>
                <w:sz w:val="18"/>
                <w:szCs w:val="18"/>
              </w:rPr>
            </w:pPr>
            <w:r w:rsidRPr="00900040">
              <w:rPr>
                <w:color w:val="FF0000"/>
                <w:sz w:val="18"/>
                <w:szCs w:val="18"/>
              </w:rPr>
              <w:t>Coronary artery occlusion</w:t>
            </w:r>
          </w:p>
        </w:tc>
        <w:tc>
          <w:tcPr>
            <w:tcW w:w="1134" w:type="dxa"/>
          </w:tcPr>
          <w:p w:rsidR="00E660F2" w:rsidRPr="00900040" w:rsidRDefault="00E660F2" w:rsidP="008F0588">
            <w:pPr>
              <w:rPr>
                <w:sz w:val="18"/>
                <w:szCs w:val="18"/>
              </w:rPr>
            </w:pPr>
            <w:r w:rsidRPr="00900040">
              <w:rPr>
                <w:sz w:val="18"/>
                <w:szCs w:val="18"/>
              </w:rPr>
              <w:t>1</w:t>
            </w:r>
          </w:p>
        </w:tc>
        <w:tc>
          <w:tcPr>
            <w:tcW w:w="1418" w:type="dxa"/>
          </w:tcPr>
          <w:p w:rsidR="00E660F2" w:rsidRPr="00900040" w:rsidRDefault="00E660F2" w:rsidP="008F0588">
            <w:pPr>
              <w:rPr>
                <w:sz w:val="18"/>
                <w:szCs w:val="18"/>
              </w:rPr>
            </w:pPr>
            <w:r w:rsidRPr="00900040">
              <w:rPr>
                <w:sz w:val="18"/>
                <w:szCs w:val="18"/>
              </w:rPr>
              <w:t>0.1</w:t>
            </w:r>
          </w:p>
        </w:tc>
        <w:tc>
          <w:tcPr>
            <w:tcW w:w="992" w:type="dxa"/>
          </w:tcPr>
          <w:p w:rsidR="00E660F2" w:rsidRPr="00900040" w:rsidRDefault="00E660F2" w:rsidP="008F0588">
            <w:pPr>
              <w:rPr>
                <w:sz w:val="18"/>
                <w:szCs w:val="18"/>
              </w:rPr>
            </w:pPr>
            <w:r w:rsidRPr="00900040">
              <w:rPr>
                <w:sz w:val="18"/>
                <w:szCs w:val="18"/>
              </w:rPr>
              <w:t>0.1</w:t>
            </w:r>
          </w:p>
        </w:tc>
        <w:tc>
          <w:tcPr>
            <w:tcW w:w="992" w:type="dxa"/>
          </w:tcPr>
          <w:p w:rsidR="00E660F2" w:rsidRPr="00900040" w:rsidRDefault="00E660F2" w:rsidP="008F0588">
            <w:pPr>
              <w:rPr>
                <w:sz w:val="18"/>
                <w:szCs w:val="18"/>
              </w:rPr>
            </w:pPr>
            <w:r w:rsidRPr="00900040">
              <w:rPr>
                <w:sz w:val="18"/>
                <w:szCs w:val="18"/>
              </w:rPr>
              <w:t>0</w:t>
            </w:r>
          </w:p>
        </w:tc>
        <w:tc>
          <w:tcPr>
            <w:tcW w:w="1559" w:type="dxa"/>
          </w:tcPr>
          <w:p w:rsidR="00E660F2" w:rsidRPr="00900040" w:rsidRDefault="00E660F2" w:rsidP="008F0588">
            <w:pPr>
              <w:rPr>
                <w:sz w:val="18"/>
                <w:szCs w:val="18"/>
              </w:rPr>
            </w:pPr>
            <w:r w:rsidRPr="00900040">
              <w:rPr>
                <w:sz w:val="18"/>
                <w:szCs w:val="18"/>
              </w:rPr>
              <w:t>0.0</w:t>
            </w:r>
          </w:p>
        </w:tc>
        <w:tc>
          <w:tcPr>
            <w:tcW w:w="1103" w:type="dxa"/>
            <w:noWrap/>
            <w:hideMark/>
          </w:tcPr>
          <w:p w:rsidR="00E660F2" w:rsidRPr="00900040" w:rsidRDefault="00E660F2" w:rsidP="008F0588">
            <w:pPr>
              <w:rPr>
                <w:sz w:val="18"/>
                <w:szCs w:val="18"/>
              </w:rPr>
            </w:pPr>
            <w:r w:rsidRPr="00900040">
              <w:rPr>
                <w:sz w:val="18"/>
                <w:szCs w:val="18"/>
              </w:rPr>
              <w:t>0.0</w:t>
            </w:r>
          </w:p>
        </w:tc>
      </w:tr>
      <w:tr w:rsidR="00E660F2" w:rsidRPr="00756969" w:rsidTr="008F0588">
        <w:trPr>
          <w:trHeight w:val="227"/>
        </w:trPr>
        <w:tc>
          <w:tcPr>
            <w:tcW w:w="1951" w:type="dxa"/>
            <w:noWrap/>
            <w:hideMark/>
          </w:tcPr>
          <w:p w:rsidR="00E660F2" w:rsidRPr="00900040" w:rsidRDefault="00E660F2" w:rsidP="008F0588">
            <w:pPr>
              <w:rPr>
                <w:color w:val="FF0000"/>
                <w:sz w:val="18"/>
                <w:szCs w:val="18"/>
              </w:rPr>
            </w:pPr>
            <w:r w:rsidRPr="00900040">
              <w:rPr>
                <w:color w:val="FF0000"/>
                <w:sz w:val="18"/>
                <w:szCs w:val="18"/>
              </w:rPr>
              <w:t>Silent myocardial infarction</w:t>
            </w:r>
          </w:p>
        </w:tc>
        <w:tc>
          <w:tcPr>
            <w:tcW w:w="1134" w:type="dxa"/>
          </w:tcPr>
          <w:p w:rsidR="00E660F2" w:rsidRPr="00900040" w:rsidRDefault="00E660F2" w:rsidP="008F0588">
            <w:pPr>
              <w:rPr>
                <w:sz w:val="18"/>
                <w:szCs w:val="18"/>
              </w:rPr>
            </w:pPr>
            <w:r w:rsidRPr="00900040">
              <w:rPr>
                <w:sz w:val="18"/>
                <w:szCs w:val="18"/>
              </w:rPr>
              <w:t>1</w:t>
            </w:r>
          </w:p>
        </w:tc>
        <w:tc>
          <w:tcPr>
            <w:tcW w:w="1418" w:type="dxa"/>
          </w:tcPr>
          <w:p w:rsidR="00E660F2" w:rsidRPr="00900040" w:rsidRDefault="00E660F2" w:rsidP="008F0588">
            <w:pPr>
              <w:rPr>
                <w:sz w:val="18"/>
                <w:szCs w:val="18"/>
              </w:rPr>
            </w:pPr>
            <w:r w:rsidRPr="00900040">
              <w:rPr>
                <w:sz w:val="18"/>
                <w:szCs w:val="18"/>
              </w:rPr>
              <w:t>0.1</w:t>
            </w:r>
          </w:p>
        </w:tc>
        <w:tc>
          <w:tcPr>
            <w:tcW w:w="992" w:type="dxa"/>
          </w:tcPr>
          <w:p w:rsidR="00E660F2" w:rsidRPr="00900040" w:rsidRDefault="00E660F2" w:rsidP="008F0588">
            <w:pPr>
              <w:rPr>
                <w:sz w:val="18"/>
                <w:szCs w:val="18"/>
              </w:rPr>
            </w:pPr>
            <w:r w:rsidRPr="00900040">
              <w:rPr>
                <w:sz w:val="18"/>
                <w:szCs w:val="18"/>
              </w:rPr>
              <w:t>0.1</w:t>
            </w:r>
          </w:p>
        </w:tc>
        <w:tc>
          <w:tcPr>
            <w:tcW w:w="992" w:type="dxa"/>
          </w:tcPr>
          <w:p w:rsidR="00E660F2" w:rsidRPr="00900040" w:rsidRDefault="00E660F2" w:rsidP="008F0588">
            <w:pPr>
              <w:rPr>
                <w:sz w:val="18"/>
                <w:szCs w:val="18"/>
              </w:rPr>
            </w:pPr>
            <w:r w:rsidRPr="00900040">
              <w:rPr>
                <w:sz w:val="18"/>
                <w:szCs w:val="18"/>
              </w:rPr>
              <w:t>0</w:t>
            </w:r>
          </w:p>
        </w:tc>
        <w:tc>
          <w:tcPr>
            <w:tcW w:w="1559" w:type="dxa"/>
          </w:tcPr>
          <w:p w:rsidR="00E660F2" w:rsidRPr="00900040" w:rsidRDefault="00E660F2" w:rsidP="008F0588">
            <w:pPr>
              <w:rPr>
                <w:sz w:val="18"/>
                <w:szCs w:val="18"/>
              </w:rPr>
            </w:pPr>
            <w:r w:rsidRPr="00900040">
              <w:rPr>
                <w:sz w:val="18"/>
                <w:szCs w:val="18"/>
              </w:rPr>
              <w:t>0.0</w:t>
            </w:r>
          </w:p>
        </w:tc>
        <w:tc>
          <w:tcPr>
            <w:tcW w:w="1103" w:type="dxa"/>
            <w:noWrap/>
            <w:hideMark/>
          </w:tcPr>
          <w:p w:rsidR="00E660F2" w:rsidRPr="00900040" w:rsidRDefault="00E660F2" w:rsidP="008F0588">
            <w:pPr>
              <w:rPr>
                <w:sz w:val="18"/>
                <w:szCs w:val="18"/>
              </w:rPr>
            </w:pPr>
            <w:r w:rsidRPr="00900040">
              <w:rPr>
                <w:sz w:val="18"/>
                <w:szCs w:val="18"/>
              </w:rPr>
              <w:t>0.0</w:t>
            </w:r>
          </w:p>
        </w:tc>
      </w:tr>
      <w:tr w:rsidR="00E660F2" w:rsidRPr="00756969" w:rsidTr="008F0588">
        <w:trPr>
          <w:trHeight w:val="227"/>
        </w:trPr>
        <w:tc>
          <w:tcPr>
            <w:tcW w:w="1951" w:type="dxa"/>
            <w:noWrap/>
          </w:tcPr>
          <w:p w:rsidR="00E660F2" w:rsidRPr="00900040" w:rsidRDefault="00E660F2" w:rsidP="008F0588">
            <w:pPr>
              <w:rPr>
                <w:color w:val="FF0000"/>
                <w:sz w:val="18"/>
                <w:szCs w:val="18"/>
              </w:rPr>
            </w:pPr>
            <w:r w:rsidRPr="00900040">
              <w:rPr>
                <w:sz w:val="18"/>
                <w:szCs w:val="18"/>
              </w:rPr>
              <w:t>Cardio-respiratory arrest (</w:t>
            </w:r>
            <w:r>
              <w:rPr>
                <w:sz w:val="18"/>
                <w:szCs w:val="18"/>
              </w:rPr>
              <w:t>G</w:t>
            </w:r>
            <w:r w:rsidRPr="00900040">
              <w:rPr>
                <w:sz w:val="18"/>
                <w:szCs w:val="18"/>
              </w:rPr>
              <w:t>rade 5)</w:t>
            </w:r>
          </w:p>
        </w:tc>
        <w:tc>
          <w:tcPr>
            <w:tcW w:w="1134" w:type="dxa"/>
          </w:tcPr>
          <w:p w:rsidR="00E660F2" w:rsidRPr="00900040" w:rsidRDefault="00E660F2" w:rsidP="008F0588">
            <w:pPr>
              <w:rPr>
                <w:sz w:val="18"/>
                <w:szCs w:val="18"/>
              </w:rPr>
            </w:pPr>
            <w:r w:rsidRPr="00900040">
              <w:rPr>
                <w:sz w:val="18"/>
                <w:szCs w:val="18"/>
              </w:rPr>
              <w:t>0</w:t>
            </w:r>
          </w:p>
        </w:tc>
        <w:tc>
          <w:tcPr>
            <w:tcW w:w="1418" w:type="dxa"/>
          </w:tcPr>
          <w:p w:rsidR="00E660F2" w:rsidRPr="00900040" w:rsidRDefault="00E660F2" w:rsidP="008F0588">
            <w:pPr>
              <w:rPr>
                <w:sz w:val="18"/>
                <w:szCs w:val="18"/>
              </w:rPr>
            </w:pPr>
            <w:r w:rsidRPr="00900040">
              <w:rPr>
                <w:sz w:val="18"/>
                <w:szCs w:val="18"/>
              </w:rPr>
              <w:t>0</w:t>
            </w:r>
          </w:p>
        </w:tc>
        <w:tc>
          <w:tcPr>
            <w:tcW w:w="992" w:type="dxa"/>
          </w:tcPr>
          <w:p w:rsidR="00E660F2" w:rsidRPr="00900040" w:rsidRDefault="00E660F2" w:rsidP="008F0588">
            <w:pPr>
              <w:rPr>
                <w:sz w:val="18"/>
                <w:szCs w:val="18"/>
              </w:rPr>
            </w:pPr>
            <w:r w:rsidRPr="00900040">
              <w:rPr>
                <w:sz w:val="18"/>
                <w:szCs w:val="18"/>
              </w:rPr>
              <w:t>0</w:t>
            </w:r>
          </w:p>
        </w:tc>
        <w:tc>
          <w:tcPr>
            <w:tcW w:w="992" w:type="dxa"/>
          </w:tcPr>
          <w:p w:rsidR="00E660F2" w:rsidRPr="00900040" w:rsidRDefault="00E660F2" w:rsidP="008F0588">
            <w:pPr>
              <w:rPr>
                <w:sz w:val="18"/>
                <w:szCs w:val="18"/>
              </w:rPr>
            </w:pPr>
            <w:r w:rsidRPr="00900040">
              <w:rPr>
                <w:sz w:val="18"/>
                <w:szCs w:val="18"/>
              </w:rPr>
              <w:t>1</w:t>
            </w:r>
          </w:p>
        </w:tc>
        <w:tc>
          <w:tcPr>
            <w:tcW w:w="1559" w:type="dxa"/>
          </w:tcPr>
          <w:p w:rsidR="00E660F2" w:rsidRPr="00900040" w:rsidRDefault="00E660F2" w:rsidP="008F0588">
            <w:pPr>
              <w:rPr>
                <w:sz w:val="18"/>
                <w:szCs w:val="18"/>
              </w:rPr>
            </w:pPr>
            <w:r w:rsidRPr="00900040">
              <w:rPr>
                <w:sz w:val="18"/>
                <w:szCs w:val="18"/>
              </w:rPr>
              <w:t>0.3</w:t>
            </w:r>
          </w:p>
        </w:tc>
        <w:tc>
          <w:tcPr>
            <w:tcW w:w="1103" w:type="dxa"/>
            <w:noWrap/>
          </w:tcPr>
          <w:p w:rsidR="00E660F2" w:rsidRPr="00900040" w:rsidRDefault="00E660F2" w:rsidP="008F0588">
            <w:pPr>
              <w:rPr>
                <w:sz w:val="18"/>
                <w:szCs w:val="18"/>
              </w:rPr>
            </w:pPr>
            <w:r w:rsidRPr="00900040">
              <w:rPr>
                <w:sz w:val="18"/>
                <w:szCs w:val="18"/>
              </w:rPr>
              <w:t>0.2</w:t>
            </w:r>
          </w:p>
        </w:tc>
      </w:tr>
      <w:tr w:rsidR="00E660F2" w:rsidRPr="00756969" w:rsidTr="008F0588">
        <w:trPr>
          <w:trHeight w:val="227"/>
        </w:trPr>
        <w:tc>
          <w:tcPr>
            <w:tcW w:w="1951" w:type="dxa"/>
            <w:noWrap/>
          </w:tcPr>
          <w:p w:rsidR="00E660F2" w:rsidRPr="00900040" w:rsidRDefault="00E660F2" w:rsidP="008F0588">
            <w:pPr>
              <w:rPr>
                <w:sz w:val="18"/>
                <w:szCs w:val="18"/>
              </w:rPr>
            </w:pPr>
            <w:r w:rsidRPr="00900040">
              <w:rPr>
                <w:sz w:val="18"/>
                <w:szCs w:val="18"/>
              </w:rPr>
              <w:t>Cardiopulmonary arrest (</w:t>
            </w:r>
            <w:r>
              <w:rPr>
                <w:sz w:val="18"/>
                <w:szCs w:val="18"/>
              </w:rPr>
              <w:t>G</w:t>
            </w:r>
            <w:r w:rsidRPr="00900040">
              <w:rPr>
                <w:sz w:val="18"/>
                <w:szCs w:val="18"/>
              </w:rPr>
              <w:t>rade 5)</w:t>
            </w:r>
          </w:p>
        </w:tc>
        <w:tc>
          <w:tcPr>
            <w:tcW w:w="1134" w:type="dxa"/>
          </w:tcPr>
          <w:p w:rsidR="00E660F2" w:rsidRPr="00900040" w:rsidRDefault="00E660F2" w:rsidP="008F0588">
            <w:pPr>
              <w:rPr>
                <w:sz w:val="18"/>
                <w:szCs w:val="18"/>
              </w:rPr>
            </w:pPr>
            <w:r w:rsidRPr="00900040">
              <w:rPr>
                <w:sz w:val="18"/>
                <w:szCs w:val="18"/>
              </w:rPr>
              <w:t>1</w:t>
            </w:r>
          </w:p>
        </w:tc>
        <w:tc>
          <w:tcPr>
            <w:tcW w:w="1418" w:type="dxa"/>
          </w:tcPr>
          <w:p w:rsidR="00E660F2" w:rsidRPr="00900040" w:rsidRDefault="00E660F2" w:rsidP="008F0588">
            <w:pPr>
              <w:rPr>
                <w:sz w:val="18"/>
                <w:szCs w:val="18"/>
              </w:rPr>
            </w:pPr>
            <w:r w:rsidRPr="00900040">
              <w:rPr>
                <w:sz w:val="18"/>
                <w:szCs w:val="18"/>
              </w:rPr>
              <w:t>0.1</w:t>
            </w:r>
          </w:p>
        </w:tc>
        <w:tc>
          <w:tcPr>
            <w:tcW w:w="992" w:type="dxa"/>
          </w:tcPr>
          <w:p w:rsidR="00E660F2" w:rsidRPr="00900040" w:rsidRDefault="00E660F2" w:rsidP="008F0588">
            <w:pPr>
              <w:rPr>
                <w:sz w:val="18"/>
                <w:szCs w:val="18"/>
              </w:rPr>
            </w:pPr>
            <w:r w:rsidRPr="00900040">
              <w:rPr>
                <w:sz w:val="18"/>
                <w:szCs w:val="18"/>
              </w:rPr>
              <w:t>0.1</w:t>
            </w:r>
          </w:p>
        </w:tc>
        <w:tc>
          <w:tcPr>
            <w:tcW w:w="992" w:type="dxa"/>
          </w:tcPr>
          <w:p w:rsidR="00E660F2" w:rsidRPr="00900040" w:rsidRDefault="00E660F2" w:rsidP="008F0588">
            <w:pPr>
              <w:rPr>
                <w:sz w:val="18"/>
                <w:szCs w:val="18"/>
              </w:rPr>
            </w:pPr>
            <w:r w:rsidRPr="00900040">
              <w:rPr>
                <w:sz w:val="18"/>
                <w:szCs w:val="18"/>
              </w:rPr>
              <w:t>0</w:t>
            </w:r>
          </w:p>
        </w:tc>
        <w:tc>
          <w:tcPr>
            <w:tcW w:w="1559" w:type="dxa"/>
          </w:tcPr>
          <w:p w:rsidR="00E660F2" w:rsidRPr="00900040" w:rsidRDefault="00E660F2" w:rsidP="008F0588">
            <w:pPr>
              <w:rPr>
                <w:sz w:val="18"/>
                <w:szCs w:val="18"/>
              </w:rPr>
            </w:pPr>
            <w:r w:rsidRPr="00900040">
              <w:rPr>
                <w:sz w:val="18"/>
                <w:szCs w:val="18"/>
              </w:rPr>
              <w:t>0</w:t>
            </w:r>
          </w:p>
        </w:tc>
        <w:tc>
          <w:tcPr>
            <w:tcW w:w="1103" w:type="dxa"/>
            <w:noWrap/>
          </w:tcPr>
          <w:p w:rsidR="00E660F2" w:rsidRPr="00900040" w:rsidRDefault="00E660F2" w:rsidP="008F0588">
            <w:pPr>
              <w:rPr>
                <w:sz w:val="18"/>
                <w:szCs w:val="18"/>
              </w:rPr>
            </w:pPr>
            <w:r w:rsidRPr="00900040">
              <w:rPr>
                <w:sz w:val="18"/>
                <w:szCs w:val="18"/>
              </w:rPr>
              <w:t>0</w:t>
            </w:r>
          </w:p>
        </w:tc>
      </w:tr>
    </w:tbl>
    <w:p w:rsidR="00E660F2" w:rsidRDefault="00E660F2" w:rsidP="00E660F2">
      <w:pPr>
        <w:pStyle w:val="TableDescription"/>
      </w:pPr>
      <w:r>
        <w:t>*including 3 Grade 5 events</w:t>
      </w:r>
    </w:p>
    <w:p w:rsidR="00E660F2" w:rsidRDefault="00E660F2" w:rsidP="00E660F2">
      <w:r>
        <w:t xml:space="preserve">Once adjusted for exposure and dose intensity, </w:t>
      </w:r>
      <w:r w:rsidRPr="00EE441B">
        <w:t>incidences for ischemic heart disease (</w:t>
      </w:r>
      <w:r>
        <w:t>3.6</w:t>
      </w:r>
      <w:r w:rsidRPr="00EE441B">
        <w:t xml:space="preserve"> v</w:t>
      </w:r>
      <w:r>
        <w:t>ersu</w:t>
      </w:r>
      <w:r w:rsidRPr="00EE441B">
        <w:t xml:space="preserve">s </w:t>
      </w:r>
      <w:r>
        <w:t xml:space="preserve">1.9 </w:t>
      </w:r>
      <w:r w:rsidRPr="00EE441B">
        <w:t>per 100 subject-year</w:t>
      </w:r>
      <w:r>
        <w:t>s</w:t>
      </w:r>
      <w:r w:rsidRPr="00EE441B">
        <w:t xml:space="preserve"> of exposure) </w:t>
      </w:r>
      <w:r>
        <w:t>remain</w:t>
      </w:r>
      <w:r w:rsidRPr="00EE441B">
        <w:t xml:space="preserve"> </w:t>
      </w:r>
      <w:r>
        <w:t xml:space="preserve">slightly </w:t>
      </w:r>
      <w:r w:rsidRPr="00EE441B">
        <w:t xml:space="preserve">higher in </w:t>
      </w:r>
      <w:r>
        <w:t>the apalutamide arm by 1.7 events per 100 person-years</w:t>
      </w:r>
      <w:r w:rsidRPr="00EE441B">
        <w:t>.</w:t>
      </w:r>
    </w:p>
    <w:p w:rsidR="00E660F2" w:rsidRDefault="00E660F2" w:rsidP="00E660F2">
      <w:r w:rsidRPr="00EE441B">
        <w:t xml:space="preserve">Three </w:t>
      </w:r>
      <w:r>
        <w:t>myocardial infarctions</w:t>
      </w:r>
      <w:r w:rsidRPr="00EE441B">
        <w:t xml:space="preserve"> in </w:t>
      </w:r>
      <w:r>
        <w:t xml:space="preserve">the </w:t>
      </w:r>
      <w:r w:rsidRPr="00EE441B">
        <w:t>apalut</w:t>
      </w:r>
      <w:r>
        <w:t>a</w:t>
      </w:r>
      <w:r w:rsidRPr="00EE441B">
        <w:t xml:space="preserve">mide arm </w:t>
      </w:r>
      <w:r>
        <w:t xml:space="preserve">were fatal </w:t>
      </w:r>
      <w:r w:rsidRPr="00EE441B">
        <w:t>compared to none in the placebo arm</w:t>
      </w:r>
      <w:r>
        <w:t>, and three were Grade 4, compared to one Grade 4 event of myocardial ischaemia one Grade 5 event of cardiopulmonary arrest in the placebo arm.</w:t>
      </w:r>
    </w:p>
    <w:p w:rsidR="00E660F2" w:rsidRDefault="00E660F2" w:rsidP="00E660F2">
      <w:r>
        <w:t>In the placebo arm, 63% of events were Grade 3+ and 25% were Grade 4+.</w:t>
      </w:r>
    </w:p>
    <w:p w:rsidR="00E660F2" w:rsidRDefault="00E660F2" w:rsidP="00E660F2">
      <w:r>
        <w:t>In the apalutamide arm, 34% of events were Grade 3+ and 18% were Grade 4+.</w:t>
      </w:r>
    </w:p>
    <w:p w:rsidR="00E660F2" w:rsidRDefault="00E660F2" w:rsidP="00E660F2">
      <w:r>
        <w:t>Importantly, the following were exclusion criteria in the pivotal study:</w:t>
      </w:r>
    </w:p>
    <w:p w:rsidR="00E660F2" w:rsidRDefault="00E660F2" w:rsidP="00E660F2">
      <w:pPr>
        <w:pStyle w:val="ListBullet"/>
        <w:numPr>
          <w:ilvl w:val="0"/>
          <w:numId w:val="1"/>
        </w:numPr>
      </w:pPr>
      <w:r>
        <w:t>Any of the following within 6 months prior to randomisation: Severe/unstable angina, myocardial infarction, symptomatic congestive heart failure, arterial or venous thromboembolic events (for example, pulmonary embolism, cerebrovascular accident including transient ischemic attacks) or clinically significant ventricular arrhythmias.</w:t>
      </w:r>
    </w:p>
    <w:p w:rsidR="00E660F2" w:rsidRDefault="00E660F2" w:rsidP="00E660F2">
      <w:pPr>
        <w:pStyle w:val="ListBullet"/>
        <w:numPr>
          <w:ilvl w:val="0"/>
          <w:numId w:val="1"/>
        </w:numPr>
      </w:pPr>
      <w:r>
        <w:t>Uncontrolled hypertension (systolic blood pressure ≥160 mmHg or diastolic BP ≥100 mmHg). Patients with a history of uncontrolled hypertension are allowed provided blood pressure is controlled by anti-hypertensive treatment.</w:t>
      </w:r>
    </w:p>
    <w:p w:rsidR="00E660F2" w:rsidRDefault="00E660F2" w:rsidP="00E660F2">
      <w:r>
        <w:lastRenderedPageBreak/>
        <w:t>The exclusion criteria would have excluded high-risk patients from both arms.</w:t>
      </w:r>
    </w:p>
    <w:p w:rsidR="00E660F2" w:rsidRDefault="00E660F2" w:rsidP="00E660F2">
      <w:r>
        <w:t xml:space="preserve">The </w:t>
      </w:r>
      <w:r w:rsidRPr="001A46BC">
        <w:t>Delegate commented that there is not enough evidence from the pivotal study data of an increase in IHD risk to warrant a</w:t>
      </w:r>
      <w:r>
        <w:t xml:space="preserve"> Precaution that states the risk is definitely higher with apalutamide, but given the trial exclusion criteria, biological plausibility and the persisting difference between arms after adjustment for follow-up and dose intensity, a Precaution is warranted to note the exclusions, and a note in the Adverse events section is warranted to state the size of the increased incidence.</w:t>
      </w:r>
    </w:p>
    <w:p w:rsidR="00E660F2" w:rsidRPr="006526A1" w:rsidRDefault="00E660F2" w:rsidP="00E660F2">
      <w:pPr>
        <w:rPr>
          <w:i/>
        </w:rPr>
      </w:pPr>
      <w:r w:rsidRPr="006526A1">
        <w:rPr>
          <w:i/>
        </w:rPr>
        <w:t>QT prolongation</w:t>
      </w:r>
    </w:p>
    <w:p w:rsidR="00E660F2" w:rsidRDefault="00E660F2" w:rsidP="00E660F2">
      <w:r>
        <w:t>Australian nonclinical findings stated:</w:t>
      </w:r>
    </w:p>
    <w:p w:rsidR="00E660F2" w:rsidRPr="006526A1" w:rsidRDefault="00E660F2" w:rsidP="00E660F2">
      <w:pPr>
        <w:ind w:left="720"/>
        <w:rPr>
          <w:i/>
          <w:snapToGrid w:val="0"/>
        </w:rPr>
      </w:pPr>
      <w:r w:rsidRPr="006526A1">
        <w:rPr>
          <w:i/>
          <w:snapToGrid w:val="0"/>
        </w:rPr>
        <w:t>Apalutamide and M3 inhibited the hERG K</w:t>
      </w:r>
      <w:r w:rsidRPr="006526A1">
        <w:rPr>
          <w:i/>
          <w:snapToGrid w:val="0"/>
          <w:vertAlign w:val="superscript"/>
        </w:rPr>
        <w:t>+</w:t>
      </w:r>
      <w:r w:rsidRPr="006526A1">
        <w:rPr>
          <w:i/>
          <w:snapToGrid w:val="0"/>
        </w:rPr>
        <w:t xml:space="preserve"> tail current with IC</w:t>
      </w:r>
      <w:r w:rsidRPr="006526A1">
        <w:rPr>
          <w:i/>
          <w:snapToGrid w:val="0"/>
          <w:vertAlign w:val="subscript"/>
        </w:rPr>
        <w:t>50</w:t>
      </w:r>
      <w:r w:rsidRPr="006526A1">
        <w:rPr>
          <w:i/>
          <w:snapToGrid w:val="0"/>
        </w:rPr>
        <w:t xml:space="preserve">s values corresponding to </w:t>
      </w:r>
      <w:r w:rsidRPr="006526A1">
        <w:rPr>
          <w:i/>
          <w:snapToGrid w:val="0"/>
          <w:kern w:val="2"/>
        </w:rPr>
        <w:t>13 and 8 times the clinical steady state unbound C</w:t>
      </w:r>
      <w:r w:rsidRPr="006526A1">
        <w:rPr>
          <w:i/>
          <w:snapToGrid w:val="0"/>
          <w:kern w:val="2"/>
          <w:vertAlign w:val="subscript"/>
        </w:rPr>
        <w:t xml:space="preserve">max </w:t>
      </w:r>
      <w:r w:rsidRPr="006526A1">
        <w:rPr>
          <w:i/>
          <w:snapToGrid w:val="0"/>
          <w:kern w:val="2"/>
        </w:rPr>
        <w:t>, respectively, but n</w:t>
      </w:r>
      <w:r w:rsidRPr="006526A1">
        <w:rPr>
          <w:i/>
          <w:snapToGrid w:val="0"/>
        </w:rPr>
        <w:t>o ECG abnormalities were seen in pivotal toxicity studies in dogs up to 10 mg/kg/day (C</w:t>
      </w:r>
      <w:r w:rsidRPr="006526A1">
        <w:rPr>
          <w:i/>
          <w:snapToGrid w:val="0"/>
          <w:vertAlign w:val="subscript"/>
        </w:rPr>
        <w:t>max</w:t>
      </w:r>
      <w:r w:rsidRPr="006526A1">
        <w:rPr>
          <w:i/>
          <w:snapToGrid w:val="0"/>
        </w:rPr>
        <w:t xml:space="preserve"> approximately 3.5 and approximately 1.5 times the clinical steady state C</w:t>
      </w:r>
      <w:r w:rsidRPr="006526A1">
        <w:rPr>
          <w:i/>
          <w:snapToGrid w:val="0"/>
          <w:vertAlign w:val="subscript"/>
        </w:rPr>
        <w:t>max</w:t>
      </w:r>
      <w:r w:rsidRPr="006526A1">
        <w:rPr>
          <w:i/>
          <w:snapToGrid w:val="0"/>
        </w:rPr>
        <w:t>, respectively). However, QT prolongation in patients taking apalutamide cannot be excluded.</w:t>
      </w:r>
    </w:p>
    <w:p w:rsidR="00E660F2" w:rsidRPr="002D7CF2" w:rsidRDefault="00E660F2" w:rsidP="00E660F2">
      <w:r w:rsidRPr="002D7CF2">
        <w:t>Summary of dedicated QT Study PCR 1019 findings</w:t>
      </w:r>
      <w:r>
        <w:t xml:space="preserve"> as per the study report</w:t>
      </w:r>
      <w:r w:rsidRPr="002D7CF2">
        <w:t>:</w:t>
      </w:r>
    </w:p>
    <w:p w:rsidR="00E660F2" w:rsidRPr="006526A1" w:rsidRDefault="00E660F2" w:rsidP="00E660F2">
      <w:pPr>
        <w:ind w:left="720"/>
        <w:rPr>
          <w:i/>
        </w:rPr>
      </w:pPr>
      <w:r w:rsidRPr="002D7CF2">
        <w:rPr>
          <w:i/>
        </w:rPr>
        <w:t>The dedicated QT/QTc study for apalutamide (Study 56021927PCR1019) showed that the exposures of apalutamide and M3 are statistically correlated with a QT effect at the steady-state on Cycle 3 Day 1 in subjects with CRPC. Per the study report, ‘PK/PD analysis showed a concentration dependent increase in QTcF and predicted a prolongation of 13.81 ms at Cmax at steady-state with an upper bound of 2-sided 90% CI of 17.85 ms, below the threshold of 20 ms.’ In addition, De novo T-wave inversion and/or flat T-wave were observed in 3 subjects (7%) on Cycle 3 Day 1.</w:t>
      </w:r>
    </w:p>
    <w:p w:rsidR="00E660F2" w:rsidRDefault="00E660F2" w:rsidP="00E660F2">
      <w:r w:rsidRPr="002613CD">
        <w:t>The evaluator’s concerns and the sponsor’s responses are summarised in the table below (Table 32):</w:t>
      </w:r>
    </w:p>
    <w:p w:rsidR="00E660F2" w:rsidRPr="00437C38" w:rsidRDefault="00E660F2" w:rsidP="00E660F2">
      <w:pPr>
        <w:pStyle w:val="TableTitle"/>
      </w:pPr>
      <w:r>
        <w:t>Table 32: Concerns and responses</w:t>
      </w:r>
    </w:p>
    <w:tbl>
      <w:tblPr>
        <w:tblStyle w:val="TableTGAblue"/>
        <w:tblW w:w="9464" w:type="dxa"/>
        <w:tblLayout w:type="fixed"/>
        <w:tblLook w:val="04A0" w:firstRow="1" w:lastRow="0" w:firstColumn="1" w:lastColumn="0" w:noHBand="0" w:noVBand="1"/>
      </w:tblPr>
      <w:tblGrid>
        <w:gridCol w:w="2943"/>
        <w:gridCol w:w="4111"/>
        <w:gridCol w:w="2410"/>
      </w:tblGrid>
      <w:tr w:rsidR="00E660F2" w:rsidTr="008F0588">
        <w:trPr>
          <w:cnfStyle w:val="100000000000" w:firstRow="1" w:lastRow="0" w:firstColumn="0" w:lastColumn="0" w:oddVBand="0" w:evenVBand="0" w:oddHBand="0" w:evenHBand="0" w:firstRowFirstColumn="0" w:firstRowLastColumn="0" w:lastRowFirstColumn="0" w:lastRowLastColumn="0"/>
        </w:trPr>
        <w:tc>
          <w:tcPr>
            <w:tcW w:w="2943" w:type="dxa"/>
          </w:tcPr>
          <w:p w:rsidR="00E660F2" w:rsidRPr="000B640B" w:rsidRDefault="00E660F2" w:rsidP="008F0588">
            <w:pPr>
              <w:rPr>
                <w:sz w:val="18"/>
                <w:szCs w:val="18"/>
              </w:rPr>
            </w:pPr>
            <w:r>
              <w:rPr>
                <w:sz w:val="18"/>
                <w:szCs w:val="18"/>
              </w:rPr>
              <w:t>E</w:t>
            </w:r>
            <w:r w:rsidRPr="000B640B">
              <w:rPr>
                <w:sz w:val="18"/>
                <w:szCs w:val="18"/>
              </w:rPr>
              <w:t>valuator concerns</w:t>
            </w:r>
          </w:p>
        </w:tc>
        <w:tc>
          <w:tcPr>
            <w:tcW w:w="4111" w:type="dxa"/>
          </w:tcPr>
          <w:p w:rsidR="00E660F2" w:rsidRPr="000B640B" w:rsidRDefault="00E660F2" w:rsidP="008F0588">
            <w:pPr>
              <w:rPr>
                <w:sz w:val="18"/>
                <w:szCs w:val="18"/>
              </w:rPr>
            </w:pPr>
            <w:r w:rsidRPr="000B640B">
              <w:rPr>
                <w:sz w:val="18"/>
                <w:szCs w:val="18"/>
              </w:rPr>
              <w:t>Sponsor response</w:t>
            </w:r>
            <w:r>
              <w:rPr>
                <w:sz w:val="18"/>
                <w:szCs w:val="18"/>
              </w:rPr>
              <w:t>s</w:t>
            </w:r>
          </w:p>
        </w:tc>
        <w:tc>
          <w:tcPr>
            <w:tcW w:w="2410" w:type="dxa"/>
          </w:tcPr>
          <w:p w:rsidR="00E660F2" w:rsidRPr="000B640B" w:rsidRDefault="00E660F2" w:rsidP="008F0588">
            <w:pPr>
              <w:rPr>
                <w:sz w:val="18"/>
                <w:szCs w:val="18"/>
              </w:rPr>
            </w:pPr>
            <w:r w:rsidRPr="000B640B">
              <w:rPr>
                <w:sz w:val="18"/>
                <w:szCs w:val="18"/>
              </w:rPr>
              <w:t>TGA delegate comments</w:t>
            </w:r>
          </w:p>
        </w:tc>
      </w:tr>
      <w:tr w:rsidR="00E660F2" w:rsidTr="008F0588">
        <w:tc>
          <w:tcPr>
            <w:tcW w:w="2943" w:type="dxa"/>
          </w:tcPr>
          <w:p w:rsidR="00E660F2" w:rsidRPr="000B640B" w:rsidRDefault="00E660F2" w:rsidP="008F0588">
            <w:pPr>
              <w:rPr>
                <w:sz w:val="18"/>
                <w:szCs w:val="18"/>
              </w:rPr>
            </w:pPr>
            <w:r w:rsidRPr="000B640B">
              <w:rPr>
                <w:sz w:val="18"/>
                <w:szCs w:val="18"/>
              </w:rPr>
              <w:t>In vitro hERG IC</w:t>
            </w:r>
            <w:r w:rsidRPr="000B640B">
              <w:rPr>
                <w:sz w:val="18"/>
                <w:szCs w:val="18"/>
                <w:vertAlign w:val="subscript"/>
              </w:rPr>
              <w:t>50</w:t>
            </w:r>
            <w:r w:rsidRPr="000B640B">
              <w:rPr>
                <w:sz w:val="18"/>
                <w:szCs w:val="18"/>
              </w:rPr>
              <w:t xml:space="preserve"> for apalutamide and equally active metabolite M3 (2.95 and 2.11 μg/mL, respectively) are lower than the C</w:t>
            </w:r>
            <w:r w:rsidRPr="000B640B">
              <w:rPr>
                <w:sz w:val="18"/>
                <w:szCs w:val="18"/>
                <w:vertAlign w:val="subscript"/>
              </w:rPr>
              <w:t>max</w:t>
            </w:r>
            <w:r w:rsidRPr="000B640B">
              <w:rPr>
                <w:sz w:val="18"/>
                <w:szCs w:val="18"/>
              </w:rPr>
              <w:t xml:space="preserve"> at steady state for both compounds (5.95 and 5.85 μg/mL, respectively).</w:t>
            </w:r>
          </w:p>
        </w:tc>
        <w:tc>
          <w:tcPr>
            <w:tcW w:w="4111" w:type="dxa"/>
          </w:tcPr>
          <w:p w:rsidR="00E660F2" w:rsidRPr="000B640B" w:rsidRDefault="00E660F2" w:rsidP="008F0588">
            <w:pPr>
              <w:rPr>
                <w:sz w:val="18"/>
                <w:szCs w:val="18"/>
              </w:rPr>
            </w:pPr>
            <w:r w:rsidRPr="000B640B">
              <w:rPr>
                <w:sz w:val="18"/>
                <w:szCs w:val="18"/>
              </w:rPr>
              <w:t>Both apalutamide and M3 are highly plasma protein bound (4 to 5% unbound in vitro). Plasma unbound exposure was approximately 12 fold lower for apalutamide and 7 fold lower for M3 than the hERG IC</w:t>
            </w:r>
            <w:r w:rsidRPr="000B640B">
              <w:rPr>
                <w:sz w:val="18"/>
                <w:szCs w:val="18"/>
                <w:vertAlign w:val="subscript"/>
              </w:rPr>
              <w:t>50</w:t>
            </w:r>
            <w:r w:rsidRPr="000B640B">
              <w:rPr>
                <w:sz w:val="18"/>
                <w:szCs w:val="18"/>
              </w:rPr>
              <w:t>.</w:t>
            </w:r>
          </w:p>
        </w:tc>
        <w:tc>
          <w:tcPr>
            <w:tcW w:w="2410" w:type="dxa"/>
          </w:tcPr>
          <w:p w:rsidR="00E660F2" w:rsidRPr="000B640B" w:rsidRDefault="00E660F2" w:rsidP="008F0588">
            <w:pPr>
              <w:rPr>
                <w:sz w:val="18"/>
                <w:szCs w:val="18"/>
              </w:rPr>
            </w:pPr>
            <w:r>
              <w:rPr>
                <w:sz w:val="18"/>
                <w:szCs w:val="18"/>
              </w:rPr>
              <w:t>Nil</w:t>
            </w:r>
          </w:p>
        </w:tc>
      </w:tr>
      <w:tr w:rsidR="00E660F2" w:rsidTr="008F0588">
        <w:tc>
          <w:tcPr>
            <w:tcW w:w="2943" w:type="dxa"/>
          </w:tcPr>
          <w:p w:rsidR="00E660F2" w:rsidRPr="000B640B" w:rsidRDefault="00E660F2" w:rsidP="008F0588">
            <w:pPr>
              <w:rPr>
                <w:sz w:val="18"/>
                <w:szCs w:val="18"/>
              </w:rPr>
            </w:pPr>
            <w:r w:rsidRPr="000B640B">
              <w:rPr>
                <w:sz w:val="18"/>
                <w:szCs w:val="18"/>
              </w:rPr>
              <w:t>Supra-therapeutic doses were not tested in the dedicated QT study (PCR 1019).</w:t>
            </w:r>
          </w:p>
        </w:tc>
        <w:tc>
          <w:tcPr>
            <w:tcW w:w="4111" w:type="dxa"/>
          </w:tcPr>
          <w:p w:rsidR="00E660F2" w:rsidRPr="000B640B" w:rsidRDefault="00E660F2" w:rsidP="008F0588">
            <w:pPr>
              <w:rPr>
                <w:sz w:val="18"/>
                <w:szCs w:val="18"/>
              </w:rPr>
            </w:pPr>
            <w:r w:rsidRPr="000B640B">
              <w:rPr>
                <w:sz w:val="18"/>
                <w:szCs w:val="18"/>
              </w:rPr>
              <w:t>This was because of the limited clinical experience with apalutamide at doses greater than the 240 mg/day clinical dose and the concern of seizure risk at a supra-therapeutic dose.</w:t>
            </w:r>
          </w:p>
        </w:tc>
        <w:tc>
          <w:tcPr>
            <w:tcW w:w="2410" w:type="dxa"/>
          </w:tcPr>
          <w:p w:rsidR="00E660F2" w:rsidRPr="000B640B" w:rsidRDefault="00E660F2" w:rsidP="008F0588">
            <w:pPr>
              <w:rPr>
                <w:sz w:val="18"/>
                <w:szCs w:val="18"/>
              </w:rPr>
            </w:pPr>
            <w:r>
              <w:rPr>
                <w:sz w:val="18"/>
                <w:szCs w:val="18"/>
              </w:rPr>
              <w:t>Nil</w:t>
            </w:r>
          </w:p>
        </w:tc>
      </w:tr>
      <w:tr w:rsidR="00E660F2" w:rsidTr="008F0588">
        <w:tc>
          <w:tcPr>
            <w:tcW w:w="2943" w:type="dxa"/>
          </w:tcPr>
          <w:p w:rsidR="00E660F2" w:rsidRPr="000B640B" w:rsidRDefault="00E660F2" w:rsidP="008F0588">
            <w:pPr>
              <w:rPr>
                <w:sz w:val="18"/>
                <w:szCs w:val="18"/>
              </w:rPr>
            </w:pPr>
            <w:r w:rsidRPr="000B640B">
              <w:rPr>
                <w:sz w:val="18"/>
                <w:szCs w:val="18"/>
              </w:rPr>
              <w:t>In PCR1019, the greatest mean change from baseline in QTcF (∆QTcF) on Cycle 3</w:t>
            </w:r>
            <w:r>
              <w:rPr>
                <w:sz w:val="18"/>
                <w:szCs w:val="18"/>
              </w:rPr>
              <w:t xml:space="preserve"> Day 1 was estimated at around T</w:t>
            </w:r>
            <w:r w:rsidRPr="000B640B">
              <w:rPr>
                <w:sz w:val="18"/>
                <w:szCs w:val="18"/>
                <w:vertAlign w:val="subscript"/>
              </w:rPr>
              <w:t>max</w:t>
            </w:r>
            <w:r>
              <w:rPr>
                <w:sz w:val="18"/>
                <w:szCs w:val="18"/>
              </w:rPr>
              <w:t xml:space="preserve"> even when T</w:t>
            </w:r>
            <w:r w:rsidRPr="000B640B">
              <w:rPr>
                <w:sz w:val="18"/>
                <w:szCs w:val="18"/>
                <w:vertAlign w:val="subscript"/>
              </w:rPr>
              <w:t>max</w:t>
            </w:r>
            <w:r w:rsidRPr="000B640B">
              <w:rPr>
                <w:sz w:val="18"/>
                <w:szCs w:val="18"/>
              </w:rPr>
              <w:t xml:space="preserve"> differed among the subjects tested. It was also noted that many subjects had maximum QTcF at time points </w:t>
            </w:r>
            <w:r w:rsidRPr="000B640B">
              <w:rPr>
                <w:sz w:val="18"/>
                <w:szCs w:val="18"/>
              </w:rPr>
              <w:lastRenderedPageBreak/>
              <w:t>outside the median T</w:t>
            </w:r>
            <w:r w:rsidRPr="000B640B">
              <w:rPr>
                <w:sz w:val="18"/>
                <w:szCs w:val="18"/>
                <w:vertAlign w:val="subscript"/>
              </w:rPr>
              <w:t>max</w:t>
            </w:r>
            <w:r w:rsidRPr="000B640B">
              <w:rPr>
                <w:sz w:val="18"/>
                <w:szCs w:val="18"/>
              </w:rPr>
              <w:t xml:space="preserve"> of 2 hr post-dose on Cycle 1 Day 1 and Cycle 3 Day 1 based on Listings LPDQTC01 and LPDQTC02 of the CSR. </w:t>
            </w:r>
          </w:p>
          <w:p w:rsidR="00E660F2" w:rsidRPr="000B640B" w:rsidRDefault="00E660F2" w:rsidP="008F0588">
            <w:pPr>
              <w:rPr>
                <w:sz w:val="18"/>
                <w:szCs w:val="18"/>
              </w:rPr>
            </w:pPr>
            <w:r w:rsidRPr="000B640B">
              <w:rPr>
                <w:sz w:val="18"/>
                <w:szCs w:val="18"/>
              </w:rPr>
              <w:t xml:space="preserve">Mean maximal </w:t>
            </w:r>
            <w:proofErr w:type="spellStart"/>
            <w:r w:rsidRPr="000B640B">
              <w:rPr>
                <w:sz w:val="18"/>
                <w:szCs w:val="18"/>
              </w:rPr>
              <w:t>ΔQTcF</w:t>
            </w:r>
            <w:proofErr w:type="spellEnd"/>
            <w:r w:rsidRPr="000B640B">
              <w:rPr>
                <w:sz w:val="18"/>
                <w:szCs w:val="18"/>
              </w:rPr>
              <w:t xml:space="preserve"> from baseline and the 90% CI for Cycle 1 Day 1and Cycle 3 Day 1 regardless of T</w:t>
            </w:r>
            <w:r w:rsidRPr="000B640B">
              <w:rPr>
                <w:sz w:val="18"/>
                <w:szCs w:val="18"/>
                <w:vertAlign w:val="subscript"/>
              </w:rPr>
              <w:t>max</w:t>
            </w:r>
            <w:r w:rsidRPr="000B640B">
              <w:rPr>
                <w:sz w:val="18"/>
                <w:szCs w:val="18"/>
              </w:rPr>
              <w:t xml:space="preserve"> was requested from the </w:t>
            </w:r>
            <w:r>
              <w:rPr>
                <w:sz w:val="18"/>
                <w:szCs w:val="18"/>
              </w:rPr>
              <w:t>s</w:t>
            </w:r>
            <w:r w:rsidRPr="000B640B">
              <w:rPr>
                <w:sz w:val="18"/>
                <w:szCs w:val="18"/>
              </w:rPr>
              <w:t>ponsor and showed a mean maximal ΔQTcF of 20.2, with 90% CI (16.6, 23.7).</w:t>
            </w:r>
          </w:p>
        </w:tc>
        <w:tc>
          <w:tcPr>
            <w:tcW w:w="4111" w:type="dxa"/>
          </w:tcPr>
          <w:p w:rsidR="00E660F2" w:rsidRPr="000B640B" w:rsidRDefault="00E660F2" w:rsidP="008F0588">
            <w:pPr>
              <w:rPr>
                <w:sz w:val="18"/>
                <w:szCs w:val="18"/>
              </w:rPr>
            </w:pPr>
            <w:r w:rsidRPr="000B640B">
              <w:rPr>
                <w:sz w:val="18"/>
                <w:szCs w:val="18"/>
              </w:rPr>
              <w:lastRenderedPageBreak/>
              <w:t>According to the Health Canada Guidance Document (Section 4.1.3), the use of maximum individual QT/QTc increase from baseline as an endpoint for analyses of central tendency is considered appropriate for drugs where a substantial delay between the C</w:t>
            </w:r>
            <w:r w:rsidRPr="000B640B">
              <w:rPr>
                <w:sz w:val="18"/>
                <w:szCs w:val="18"/>
                <w:vertAlign w:val="subscript"/>
              </w:rPr>
              <w:t>max</w:t>
            </w:r>
            <w:r w:rsidRPr="000B640B">
              <w:rPr>
                <w:sz w:val="18"/>
                <w:szCs w:val="18"/>
              </w:rPr>
              <w:t xml:space="preserve"> of the parent compound and peak QT/QTc prolongation is present. However, for </w:t>
            </w:r>
            <w:r w:rsidRPr="000B640B">
              <w:rPr>
                <w:sz w:val="18"/>
                <w:szCs w:val="18"/>
              </w:rPr>
              <w:lastRenderedPageBreak/>
              <w:t>apalutamide and based on the totality of the data, there is no substantial delay between C</w:t>
            </w:r>
            <w:r w:rsidRPr="000B640B">
              <w:rPr>
                <w:sz w:val="18"/>
                <w:szCs w:val="18"/>
                <w:vertAlign w:val="subscript"/>
              </w:rPr>
              <w:t>max</w:t>
            </w:r>
            <w:r w:rsidRPr="000B640B">
              <w:rPr>
                <w:sz w:val="18"/>
                <w:szCs w:val="18"/>
              </w:rPr>
              <w:t xml:space="preserve"> of the parent compound and the peak of QT/QTc prolongation.</w:t>
            </w:r>
          </w:p>
          <w:p w:rsidR="00E660F2" w:rsidRPr="000B640B" w:rsidRDefault="00E660F2" w:rsidP="008F0588">
            <w:pPr>
              <w:rPr>
                <w:sz w:val="18"/>
                <w:szCs w:val="18"/>
              </w:rPr>
            </w:pPr>
            <w:r w:rsidRPr="000B640B">
              <w:rPr>
                <w:sz w:val="18"/>
                <w:szCs w:val="18"/>
              </w:rPr>
              <w:t xml:space="preserve">Study 56021927PCR1019 applied maximum mean QT/QTc increase from baseline as the primary endpoint for analyses of central tendency, in accordance with Section 4.1.1 of the Health Canada Guidance Document. Interpretation of results using the maximum individual QT/QTc increase from baseline should take into consideration the inherent upward bias of selecting extreme values, which may follow a generalized extreme value distribution rather than the normal distribution and demand great caution when interpreting the results of commonly used statistics. This upward bias is reflected in an increase in maximum ΔQTcF to 6.0 milliseconds (ms) on Cycle 1 Day 1 and 20.2 ms on Cycle 3 Day 1 (compared to 1.9 ms and 12.4 ms, respectively, from the original analysis). Bias in selecting maximum change </w:t>
            </w:r>
            <w:r w:rsidRPr="008C2057">
              <w:rPr>
                <w:sz w:val="18"/>
                <w:szCs w:val="18"/>
              </w:rPr>
              <w:t>over time has been reported by Chapel et al. 2011).</w:t>
            </w:r>
            <w:r w:rsidRPr="008C2057">
              <w:rPr>
                <w:rStyle w:val="FootnoteReference"/>
                <w:sz w:val="18"/>
                <w:szCs w:val="18"/>
              </w:rPr>
              <w:footnoteReference w:id="34"/>
            </w:r>
          </w:p>
        </w:tc>
        <w:tc>
          <w:tcPr>
            <w:tcW w:w="2410" w:type="dxa"/>
          </w:tcPr>
          <w:p w:rsidR="00E660F2" w:rsidRPr="000B640B" w:rsidRDefault="00E660F2" w:rsidP="008F0588">
            <w:pPr>
              <w:rPr>
                <w:sz w:val="18"/>
                <w:szCs w:val="18"/>
              </w:rPr>
            </w:pPr>
            <w:r w:rsidRPr="000B640B">
              <w:rPr>
                <w:sz w:val="18"/>
                <w:szCs w:val="18"/>
              </w:rPr>
              <w:lastRenderedPageBreak/>
              <w:t xml:space="preserve">TGA Delegate comment: Use of the worst case scenario estimate in this instance is considered informative, however the </w:t>
            </w:r>
            <w:r>
              <w:rPr>
                <w:sz w:val="18"/>
                <w:szCs w:val="18"/>
              </w:rPr>
              <w:t>s</w:t>
            </w:r>
            <w:r w:rsidRPr="000B640B">
              <w:rPr>
                <w:sz w:val="18"/>
                <w:szCs w:val="18"/>
              </w:rPr>
              <w:t xml:space="preserve">ponsor’s note that this would represent the extreme </w:t>
            </w:r>
            <w:r w:rsidRPr="000B640B">
              <w:rPr>
                <w:sz w:val="18"/>
                <w:szCs w:val="18"/>
              </w:rPr>
              <w:lastRenderedPageBreak/>
              <w:t>distribution is noted.</w:t>
            </w:r>
          </w:p>
        </w:tc>
      </w:tr>
      <w:tr w:rsidR="00E660F2" w:rsidTr="008F0588">
        <w:tc>
          <w:tcPr>
            <w:tcW w:w="2943" w:type="dxa"/>
          </w:tcPr>
          <w:p w:rsidR="00E660F2" w:rsidRPr="000B640B" w:rsidRDefault="00E660F2" w:rsidP="008F0588">
            <w:pPr>
              <w:rPr>
                <w:sz w:val="18"/>
                <w:szCs w:val="18"/>
              </w:rPr>
            </w:pPr>
            <w:r w:rsidRPr="000B640B">
              <w:rPr>
                <w:sz w:val="18"/>
                <w:szCs w:val="18"/>
              </w:rPr>
              <w:lastRenderedPageBreak/>
              <w:t>Please provide similar analyses to assess relationship between Delta QTcF and plasma concentration of apalutamide plus M3 (</w:t>
            </w:r>
            <w:r>
              <w:rPr>
                <w:sz w:val="18"/>
                <w:szCs w:val="18"/>
              </w:rPr>
              <w:t>that is,</w:t>
            </w:r>
            <w:r w:rsidRPr="000B640B">
              <w:rPr>
                <w:sz w:val="18"/>
                <w:szCs w:val="18"/>
              </w:rPr>
              <w:t xml:space="preserve"> total exposure of both) given both compounds are equally potent in hERG assay.</w:t>
            </w:r>
          </w:p>
        </w:tc>
        <w:tc>
          <w:tcPr>
            <w:tcW w:w="4111" w:type="dxa"/>
          </w:tcPr>
          <w:p w:rsidR="00E660F2" w:rsidRPr="000B640B" w:rsidRDefault="00E660F2" w:rsidP="008F0588">
            <w:pPr>
              <w:rPr>
                <w:sz w:val="18"/>
                <w:szCs w:val="18"/>
              </w:rPr>
            </w:pPr>
            <w:r w:rsidRPr="000B640B">
              <w:rPr>
                <w:sz w:val="18"/>
                <w:szCs w:val="18"/>
              </w:rPr>
              <w:t>The statistical analysis indicates a significant correlation between the change in QTcF from baseline and apalutamide plus M3 concentration (estimated slope was 1.32, with the associated 90% CI [0.98, 1.67]). P&lt;0.0001</w:t>
            </w:r>
          </w:p>
          <w:p w:rsidR="00E660F2" w:rsidRPr="000B640B" w:rsidRDefault="00E660F2" w:rsidP="008F0588">
            <w:pPr>
              <w:rPr>
                <w:sz w:val="18"/>
                <w:szCs w:val="18"/>
              </w:rPr>
            </w:pPr>
            <w:r w:rsidRPr="000B640B">
              <w:rPr>
                <w:sz w:val="18"/>
                <w:szCs w:val="18"/>
              </w:rPr>
              <w:t>Overall, the results are consistent with the original analysis conducted for apalutamide and M3 individually.</w:t>
            </w:r>
          </w:p>
        </w:tc>
        <w:tc>
          <w:tcPr>
            <w:tcW w:w="2410" w:type="dxa"/>
          </w:tcPr>
          <w:p w:rsidR="00E660F2" w:rsidRPr="000B640B" w:rsidRDefault="00E660F2" w:rsidP="008F0588">
            <w:pPr>
              <w:rPr>
                <w:sz w:val="18"/>
                <w:szCs w:val="18"/>
              </w:rPr>
            </w:pPr>
            <w:r w:rsidRPr="000B640B">
              <w:rPr>
                <w:sz w:val="18"/>
                <w:szCs w:val="18"/>
              </w:rPr>
              <w:t>A significant correlation is indicated.</w:t>
            </w:r>
          </w:p>
        </w:tc>
      </w:tr>
      <w:tr w:rsidR="00E660F2" w:rsidTr="008F0588">
        <w:tc>
          <w:tcPr>
            <w:tcW w:w="2943" w:type="dxa"/>
          </w:tcPr>
          <w:p w:rsidR="00E660F2" w:rsidRPr="000B640B" w:rsidRDefault="00E660F2" w:rsidP="008F0588">
            <w:pPr>
              <w:rPr>
                <w:sz w:val="18"/>
                <w:szCs w:val="18"/>
              </w:rPr>
            </w:pPr>
            <w:r w:rsidRPr="000B640B">
              <w:rPr>
                <w:sz w:val="18"/>
                <w:szCs w:val="18"/>
              </w:rPr>
              <w:t xml:space="preserve">Please explain the rationale for the 20 </w:t>
            </w:r>
            <w:r>
              <w:rPr>
                <w:sz w:val="18"/>
                <w:szCs w:val="18"/>
              </w:rPr>
              <w:t>ms</w:t>
            </w:r>
            <w:r w:rsidRPr="000B640B">
              <w:rPr>
                <w:sz w:val="18"/>
                <w:szCs w:val="18"/>
              </w:rPr>
              <w:t xml:space="preserve"> threshold for QTc (upper 95% CI to be below) threshold when the ICHE14 QTc threshold is 5-10 </w:t>
            </w:r>
            <w:r>
              <w:rPr>
                <w:sz w:val="18"/>
                <w:szCs w:val="18"/>
              </w:rPr>
              <w:t>ms</w:t>
            </w:r>
            <w:r w:rsidRPr="000B640B">
              <w:rPr>
                <w:sz w:val="18"/>
                <w:szCs w:val="18"/>
              </w:rPr>
              <w:t>.</w:t>
            </w:r>
          </w:p>
        </w:tc>
        <w:tc>
          <w:tcPr>
            <w:tcW w:w="4111" w:type="dxa"/>
          </w:tcPr>
          <w:p w:rsidR="00E660F2" w:rsidRPr="000B640B" w:rsidRDefault="00E660F2" w:rsidP="008F0588">
            <w:pPr>
              <w:rPr>
                <w:sz w:val="18"/>
                <w:szCs w:val="18"/>
              </w:rPr>
            </w:pPr>
            <w:r w:rsidRPr="000B640B">
              <w:rPr>
                <w:sz w:val="18"/>
                <w:szCs w:val="18"/>
              </w:rPr>
              <w:t xml:space="preserve">ICHE14 is intended for healthy volunteers, and in more benign diseases, where the tolerance for drug-induced proarrythmia is low. For oncology drugs, a higher limit of 20 </w:t>
            </w:r>
            <w:r>
              <w:rPr>
                <w:sz w:val="18"/>
                <w:szCs w:val="18"/>
              </w:rPr>
              <w:t>ms</w:t>
            </w:r>
            <w:r w:rsidRPr="000B640B">
              <w:rPr>
                <w:sz w:val="18"/>
                <w:szCs w:val="18"/>
              </w:rPr>
              <w:t xml:space="preserve"> is proposed in the literature. In this instance it was chosen to reflect a more heterogeneous population of cancer patients and the absence of a placebo arm. FDA agreed to this approach.</w:t>
            </w:r>
          </w:p>
        </w:tc>
        <w:tc>
          <w:tcPr>
            <w:tcW w:w="2410" w:type="dxa"/>
          </w:tcPr>
          <w:p w:rsidR="00E660F2" w:rsidRPr="000B640B" w:rsidRDefault="00E660F2" w:rsidP="008F0588">
            <w:pPr>
              <w:rPr>
                <w:sz w:val="18"/>
                <w:szCs w:val="18"/>
              </w:rPr>
            </w:pPr>
            <w:r w:rsidRPr="000B640B">
              <w:rPr>
                <w:sz w:val="18"/>
                <w:szCs w:val="18"/>
              </w:rPr>
              <w:t xml:space="preserve">The high limit of threshold of regulatory concern is acceptable given the indication and the risks of not treating, but the 5-10 </w:t>
            </w:r>
            <w:r>
              <w:rPr>
                <w:sz w:val="18"/>
                <w:szCs w:val="18"/>
              </w:rPr>
              <w:t>ms</w:t>
            </w:r>
            <w:r w:rsidRPr="000B640B">
              <w:rPr>
                <w:sz w:val="18"/>
                <w:szCs w:val="18"/>
              </w:rPr>
              <w:t xml:space="preserve"> threshold is still clinically relevant.</w:t>
            </w:r>
          </w:p>
        </w:tc>
      </w:tr>
      <w:tr w:rsidR="00E660F2" w:rsidTr="008F0588">
        <w:tc>
          <w:tcPr>
            <w:tcW w:w="2943" w:type="dxa"/>
          </w:tcPr>
          <w:p w:rsidR="00E660F2" w:rsidRPr="000B640B" w:rsidRDefault="00E660F2" w:rsidP="008F0588">
            <w:pPr>
              <w:rPr>
                <w:sz w:val="18"/>
                <w:szCs w:val="18"/>
              </w:rPr>
            </w:pPr>
            <w:r w:rsidRPr="000B640B">
              <w:rPr>
                <w:sz w:val="18"/>
                <w:szCs w:val="18"/>
              </w:rPr>
              <w:t xml:space="preserve">There were frequent ‘atrial premature complexes’ and ‘ventricular premature </w:t>
            </w:r>
            <w:r w:rsidRPr="000B640B">
              <w:rPr>
                <w:sz w:val="18"/>
                <w:szCs w:val="18"/>
              </w:rPr>
              <w:lastRenderedPageBreak/>
              <w:t>complexes’ in Study 1019</w:t>
            </w:r>
          </w:p>
        </w:tc>
        <w:tc>
          <w:tcPr>
            <w:tcW w:w="4111" w:type="dxa"/>
          </w:tcPr>
          <w:p w:rsidR="00E660F2" w:rsidRPr="000B640B" w:rsidRDefault="00E660F2" w:rsidP="008F0588">
            <w:pPr>
              <w:rPr>
                <w:sz w:val="18"/>
                <w:szCs w:val="18"/>
              </w:rPr>
            </w:pPr>
            <w:r w:rsidRPr="000B640B">
              <w:rPr>
                <w:sz w:val="18"/>
                <w:szCs w:val="18"/>
              </w:rPr>
              <w:lastRenderedPageBreak/>
              <w:t xml:space="preserve">Atrial and ventricular premature complexes are a common observation. Study 1019 was conducted in an elderly population, and a </w:t>
            </w:r>
            <w:r w:rsidRPr="000B640B">
              <w:rPr>
                <w:sz w:val="18"/>
                <w:szCs w:val="18"/>
              </w:rPr>
              <w:lastRenderedPageBreak/>
              <w:t>significant number of patients had atrial or ventricular premature complex</w:t>
            </w:r>
            <w:r>
              <w:rPr>
                <w:sz w:val="18"/>
                <w:szCs w:val="18"/>
              </w:rPr>
              <w:t>es on predose or postdose ECGs.</w:t>
            </w:r>
          </w:p>
        </w:tc>
        <w:tc>
          <w:tcPr>
            <w:tcW w:w="2410" w:type="dxa"/>
          </w:tcPr>
          <w:p w:rsidR="00E660F2" w:rsidRPr="000B640B" w:rsidRDefault="00E660F2" w:rsidP="008F0588">
            <w:pPr>
              <w:rPr>
                <w:sz w:val="18"/>
                <w:szCs w:val="18"/>
              </w:rPr>
            </w:pPr>
            <w:r w:rsidRPr="000B640B">
              <w:rPr>
                <w:sz w:val="18"/>
                <w:szCs w:val="18"/>
              </w:rPr>
              <w:lastRenderedPageBreak/>
              <w:t>An analysis is provided showing high pre-treatment incidence</w:t>
            </w:r>
            <w:r>
              <w:rPr>
                <w:sz w:val="18"/>
                <w:szCs w:val="18"/>
              </w:rPr>
              <w:t xml:space="preserve">. </w:t>
            </w:r>
            <w:r>
              <w:rPr>
                <w:sz w:val="18"/>
                <w:szCs w:val="18"/>
              </w:rPr>
              <w:lastRenderedPageBreak/>
              <w:t>The Delegate agrees with the sp</w:t>
            </w:r>
            <w:r w:rsidRPr="000B640B">
              <w:rPr>
                <w:sz w:val="18"/>
                <w:szCs w:val="18"/>
              </w:rPr>
              <w:t>onsor that the data don’t indicate increased incidence post-treatment</w:t>
            </w:r>
            <w:r>
              <w:rPr>
                <w:sz w:val="18"/>
                <w:szCs w:val="18"/>
              </w:rPr>
              <w:t>;</w:t>
            </w:r>
            <w:r w:rsidRPr="000B640B">
              <w:rPr>
                <w:sz w:val="18"/>
                <w:szCs w:val="18"/>
              </w:rPr>
              <w:t xml:space="preserve"> see </w:t>
            </w:r>
            <w:r>
              <w:rPr>
                <w:sz w:val="18"/>
                <w:szCs w:val="18"/>
              </w:rPr>
              <w:t>s</w:t>
            </w:r>
            <w:r w:rsidRPr="000B640B">
              <w:rPr>
                <w:sz w:val="18"/>
                <w:szCs w:val="18"/>
              </w:rPr>
              <w:t xml:space="preserve">ponsor’s </w:t>
            </w:r>
            <w:r>
              <w:rPr>
                <w:sz w:val="18"/>
                <w:szCs w:val="18"/>
              </w:rPr>
              <w:t>‘Table</w:t>
            </w:r>
            <w:r w:rsidRPr="000B640B">
              <w:rPr>
                <w:sz w:val="18"/>
                <w:szCs w:val="18"/>
              </w:rPr>
              <w:t xml:space="preserve"> 19’, copied </w:t>
            </w:r>
            <w:r>
              <w:rPr>
                <w:sz w:val="18"/>
                <w:szCs w:val="18"/>
              </w:rPr>
              <w:t xml:space="preserve">(as Table 33) </w:t>
            </w:r>
            <w:r w:rsidRPr="000B640B">
              <w:rPr>
                <w:sz w:val="18"/>
                <w:szCs w:val="18"/>
              </w:rPr>
              <w:t xml:space="preserve">below. </w:t>
            </w:r>
          </w:p>
        </w:tc>
      </w:tr>
    </w:tbl>
    <w:p w:rsidR="00E660F2" w:rsidRDefault="00E660F2" w:rsidP="00E660F2">
      <w:pPr>
        <w:pStyle w:val="TableTitle"/>
      </w:pPr>
      <w:r>
        <w:lastRenderedPageBreak/>
        <w:t>Table 33: Incidence count and percentage of subjects with pre-treatment and post-treatment atrial or ventricular premature complexes Primary analysis set Study 56021927PCR1019</w:t>
      </w:r>
    </w:p>
    <w:p w:rsidR="00E660F2" w:rsidRPr="00437C38" w:rsidRDefault="00E660F2" w:rsidP="00E660F2">
      <w:r w:rsidRPr="000B640B">
        <w:rPr>
          <w:noProof/>
          <w:sz w:val="18"/>
          <w:szCs w:val="18"/>
          <w:lang w:eastAsia="en-AU"/>
        </w:rPr>
        <w:drawing>
          <wp:inline distT="0" distB="0" distL="0" distR="0" wp14:anchorId="23A4BB07" wp14:editId="01A7BD56">
            <wp:extent cx="4762500" cy="3639903"/>
            <wp:effectExtent l="0" t="0" r="0" b="0"/>
            <wp:docPr id="1" name="Picture 1" descr="Incidence count and percentage of subjects with pre-treatment and post-treatment atrial or ventricular premature complexes Primary analysis set Study 56021927PCR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BEBA8EAE-BF5A-486C-A8C5-ECC9F3942E4B}">
                          <a14:imgProps xmlns:a14="http://schemas.microsoft.com/office/drawing/2010/main">
                            <a14:imgLayer r:embed="rId45">
                              <a14:imgEffect>
                                <a14:sharpenSoften amount="50000"/>
                              </a14:imgEffect>
                              <a14:imgEffect>
                                <a14:brightnessContrast contrast="-40000"/>
                              </a14:imgEffect>
                            </a14:imgLayer>
                          </a14:imgProps>
                        </a:ext>
                      </a:extLst>
                    </a:blip>
                    <a:srcRect t="8000"/>
                    <a:stretch/>
                  </pic:blipFill>
                  <pic:spPr bwMode="auto">
                    <a:xfrm>
                      <a:off x="0" y="0"/>
                      <a:ext cx="4767128" cy="3643440"/>
                    </a:xfrm>
                    <a:prstGeom prst="rect">
                      <a:avLst/>
                    </a:prstGeom>
                    <a:ln>
                      <a:noFill/>
                    </a:ln>
                    <a:extLst>
                      <a:ext uri="{53640926-AAD7-44D8-BBD7-CCE9431645EC}">
                        <a14:shadowObscured xmlns:a14="http://schemas.microsoft.com/office/drawing/2010/main"/>
                      </a:ext>
                    </a:extLst>
                  </pic:spPr>
                </pic:pic>
              </a:graphicData>
            </a:graphic>
          </wp:inline>
        </w:drawing>
      </w:r>
    </w:p>
    <w:p w:rsidR="00E660F2" w:rsidRDefault="00E660F2" w:rsidP="00E660F2">
      <w:r>
        <w:t>The multi-disciplinary review documents from the FDA for apalutamide as a new entity, publicly available online,</w:t>
      </w:r>
      <w:r>
        <w:rPr>
          <w:rStyle w:val="FootnoteReference"/>
          <w:szCs w:val="24"/>
        </w:rPr>
        <w:footnoteReference w:id="35"/>
      </w:r>
      <w:r>
        <w:t xml:space="preserve"> record the FDA consideration of the dedicated QT study by the FDA:</w:t>
      </w:r>
    </w:p>
    <w:p w:rsidR="00E660F2" w:rsidRDefault="00E660F2" w:rsidP="00E660F2">
      <w:r>
        <w:t>Page 65:</w:t>
      </w:r>
    </w:p>
    <w:p w:rsidR="00E660F2" w:rsidRPr="000A6F58" w:rsidRDefault="00E660F2" w:rsidP="00E660F2">
      <w:pPr>
        <w:ind w:left="720"/>
        <w:rPr>
          <w:i/>
        </w:rPr>
      </w:pPr>
      <w:r w:rsidRPr="000A6F58">
        <w:rPr>
          <w:i/>
        </w:rPr>
        <w:t>QT Prolongation: The effect of apalutamide 240 mg once daily on the QTc interval was assessed in an open-label, uncontrolled, multi-center, single-arm dedicated QT study in 45 patients with CRPC. The maximum mean QTcF change from baseline was 12.4 ms (2-sided 90% upper CI: 16.1 ms). An exposure-QT analysis suggested a concentration-dependent increase in QTcF for apalutamide and it</w:t>
      </w:r>
      <w:r>
        <w:rPr>
          <w:i/>
        </w:rPr>
        <w:t>s active metabolite (Figure 1).</w:t>
      </w:r>
    </w:p>
    <w:p w:rsidR="00E660F2" w:rsidRPr="000A6F58" w:rsidRDefault="00E660F2" w:rsidP="00E660F2">
      <w:pPr>
        <w:ind w:left="720"/>
        <w:rPr>
          <w:i/>
        </w:rPr>
      </w:pPr>
      <w:r w:rsidRPr="000A6F58">
        <w:rPr>
          <w:i/>
        </w:rPr>
        <w:t xml:space="preserve">ECG monitoring is recommended if therapy is initiated in patients with congestive heart failure, bradyarrhythmias, drugs known to prolong the QT interval, including Class Ia and III antiarrhythmics, electrolyte abnormalities and severe hepatic </w:t>
      </w:r>
      <w:r w:rsidRPr="000A6F58">
        <w:rPr>
          <w:i/>
        </w:rPr>
        <w:lastRenderedPageBreak/>
        <w:t>impairment. Correct hypokalemia or hypomagnesemia prior to initiating ERLEADA and monitor these electrolytes periodically during therapy. Avoid ERLEADA in patients wi</w:t>
      </w:r>
      <w:r>
        <w:rPr>
          <w:i/>
        </w:rPr>
        <w:t>th congenital long QT syndrome.</w:t>
      </w:r>
    </w:p>
    <w:p w:rsidR="00E660F2" w:rsidRDefault="00E660F2" w:rsidP="00E660F2">
      <w:r>
        <w:t>Page 139:</w:t>
      </w:r>
    </w:p>
    <w:p w:rsidR="00E660F2" w:rsidRPr="000A6F58" w:rsidRDefault="00E660F2" w:rsidP="00E660F2">
      <w:pPr>
        <w:ind w:left="397"/>
        <w:rPr>
          <w:i/>
        </w:rPr>
      </w:pPr>
      <w:r w:rsidRPr="000A6F58">
        <w:rPr>
          <w:i/>
        </w:rPr>
        <w:t>In SPARTAN, ECGs were performed at baseline and as clinically indicated. There were no significant ECG findings noted. An optional sub-study was performed to evaluate the effect of apalutamide on ventricular repolarization, however only 17 out of a planned 100 patients participated, which limited the interpretability.</w:t>
      </w:r>
    </w:p>
    <w:p w:rsidR="00E660F2" w:rsidRPr="000A6F58" w:rsidRDefault="00E660F2" w:rsidP="00E660F2">
      <w:pPr>
        <w:ind w:left="397"/>
        <w:rPr>
          <w:i/>
        </w:rPr>
      </w:pPr>
      <w:r w:rsidRPr="000A6F58">
        <w:rPr>
          <w:i/>
        </w:rPr>
        <w:t>QT</w:t>
      </w:r>
    </w:p>
    <w:p w:rsidR="00E660F2" w:rsidRPr="000A6F58" w:rsidRDefault="00E660F2" w:rsidP="00E660F2">
      <w:pPr>
        <w:ind w:left="397"/>
        <w:rPr>
          <w:i/>
        </w:rPr>
      </w:pPr>
      <w:r w:rsidRPr="000A6F58">
        <w:rPr>
          <w:i/>
        </w:rPr>
        <w:t>The QT-IRT team reviewed the data from a dedicated QT study of 42 patients (56021927PCR1019). The reviewers note a QTc interval prolongation when apalutamide was administered as 240mg QD with a largest upper bound of 16 ms observed at one hour postdose on Cycle 3 Day 1. In an open-label phase 1b study, 45 patients were treated with apalutamide 240mg QD and the maximum upper bound of ΔQTcF was 19.0</w:t>
      </w:r>
      <w:r>
        <w:rPr>
          <w:i/>
        </w:rPr>
        <w:t> </w:t>
      </w:r>
      <w:r w:rsidRPr="000A6F58">
        <w:rPr>
          <w:i/>
        </w:rPr>
        <w:t>ms for apalutamide and 16.2 ms for JNJ-56142060, the active metabolite. An exposure-QT analysis suggested a concentration-dependent increase in QTcF.</w:t>
      </w:r>
    </w:p>
    <w:p w:rsidR="00E660F2" w:rsidRDefault="00E660F2" w:rsidP="00E660F2">
      <w:pPr>
        <w:ind w:left="397"/>
      </w:pPr>
      <w:r w:rsidRPr="000A6F58">
        <w:rPr>
          <w:i/>
        </w:rPr>
        <w:t>Reviewer Comment: The QTc interval results will be summarized in section 12 of the label. Given that no clinical findings were seen, including no concerning increase in sudden deaths in the treatment arm nor was there increase in QTc &gt;20ms the ability to make strong clinical recommendations based on these findings is not possible.</w:t>
      </w:r>
    </w:p>
    <w:p w:rsidR="00E660F2" w:rsidRDefault="00E660F2" w:rsidP="00E660F2">
      <w:r w:rsidRPr="005A6FF4">
        <w:t>Cardiac adverse events possibly related to QT prolongation</w:t>
      </w:r>
      <w:r>
        <w:t xml:space="preserve"> (MedDRA SMQ Torsades de pointes/QT prolongation or ICH-E14 (seizure)) in the SPARTAN study were re-reviewed by the Delegate, and are as follows (Table 34). Red text indicates rate per 100 PY was higher in the apalutamide arm.</w:t>
      </w:r>
    </w:p>
    <w:p w:rsidR="00E660F2" w:rsidRDefault="00E660F2" w:rsidP="00E660F2">
      <w:pPr>
        <w:pStyle w:val="TableTitle"/>
      </w:pPr>
      <w:r>
        <w:t xml:space="preserve">Table 34: </w:t>
      </w:r>
      <w:r w:rsidRPr="005A6FF4">
        <w:t>Cardiac adverse events possibly related to QT prolongation</w:t>
      </w:r>
      <w:r>
        <w:t xml:space="preserve"> MedDRA SMQ Torsades de pointes/QT prolongation or ICH-E14 [seizure]) in the SPARTAN study</w:t>
      </w:r>
    </w:p>
    <w:tbl>
      <w:tblPr>
        <w:tblStyle w:val="TableTGAblue"/>
        <w:tblW w:w="9149" w:type="dxa"/>
        <w:tblLayout w:type="fixed"/>
        <w:tblLook w:val="04A0" w:firstRow="1" w:lastRow="0" w:firstColumn="1" w:lastColumn="0" w:noHBand="0" w:noVBand="1"/>
      </w:tblPr>
      <w:tblGrid>
        <w:gridCol w:w="1951"/>
        <w:gridCol w:w="1134"/>
        <w:gridCol w:w="1418"/>
        <w:gridCol w:w="1275"/>
        <w:gridCol w:w="993"/>
        <w:gridCol w:w="1417"/>
        <w:gridCol w:w="961"/>
      </w:tblGrid>
      <w:tr w:rsidR="00E660F2" w:rsidRPr="00756969" w:rsidTr="008F0588">
        <w:trPr>
          <w:cnfStyle w:val="100000000000" w:firstRow="1" w:lastRow="0" w:firstColumn="0" w:lastColumn="0" w:oddVBand="0" w:evenVBand="0" w:oddHBand="0" w:evenHBand="0" w:firstRowFirstColumn="0" w:firstRowLastColumn="0" w:lastRowFirstColumn="0" w:lastRowLastColumn="0"/>
          <w:cantSplit/>
          <w:trHeight w:val="227"/>
        </w:trPr>
        <w:tc>
          <w:tcPr>
            <w:tcW w:w="1951" w:type="dxa"/>
            <w:noWrap/>
          </w:tcPr>
          <w:p w:rsidR="00E660F2" w:rsidRPr="00D26E50" w:rsidRDefault="00E660F2" w:rsidP="008F0588">
            <w:pPr>
              <w:rPr>
                <w:sz w:val="18"/>
                <w:szCs w:val="18"/>
              </w:rPr>
            </w:pPr>
          </w:p>
        </w:tc>
        <w:tc>
          <w:tcPr>
            <w:tcW w:w="3827" w:type="dxa"/>
            <w:gridSpan w:val="3"/>
          </w:tcPr>
          <w:p w:rsidR="00E660F2" w:rsidRPr="00D26E50" w:rsidRDefault="00E660F2" w:rsidP="008F0588">
            <w:pPr>
              <w:rPr>
                <w:iCs/>
                <w:sz w:val="18"/>
                <w:szCs w:val="18"/>
              </w:rPr>
            </w:pPr>
            <w:r w:rsidRPr="00D26E50">
              <w:rPr>
                <w:iCs/>
                <w:sz w:val="18"/>
                <w:szCs w:val="18"/>
              </w:rPr>
              <w:t>Apalutamide (n=803)</w:t>
            </w:r>
          </w:p>
        </w:tc>
        <w:tc>
          <w:tcPr>
            <w:tcW w:w="3371" w:type="dxa"/>
            <w:gridSpan w:val="3"/>
          </w:tcPr>
          <w:p w:rsidR="00E660F2" w:rsidRPr="00D26E50" w:rsidRDefault="00E660F2" w:rsidP="008F0588">
            <w:pPr>
              <w:rPr>
                <w:iCs/>
                <w:sz w:val="18"/>
                <w:szCs w:val="18"/>
              </w:rPr>
            </w:pPr>
            <w:r w:rsidRPr="00D26E50">
              <w:rPr>
                <w:iCs/>
                <w:sz w:val="18"/>
                <w:szCs w:val="18"/>
              </w:rPr>
              <w:t>Placebo (n=398)</w:t>
            </w:r>
          </w:p>
        </w:tc>
      </w:tr>
      <w:tr w:rsidR="00E660F2" w:rsidRPr="00756969" w:rsidTr="008F0588">
        <w:trPr>
          <w:trHeight w:val="227"/>
        </w:trPr>
        <w:tc>
          <w:tcPr>
            <w:tcW w:w="1951" w:type="dxa"/>
            <w:noWrap/>
          </w:tcPr>
          <w:p w:rsidR="00E660F2" w:rsidRPr="00D26E50" w:rsidRDefault="00E660F2" w:rsidP="008F0588">
            <w:pPr>
              <w:rPr>
                <w:sz w:val="18"/>
                <w:szCs w:val="18"/>
              </w:rPr>
            </w:pPr>
            <w:r>
              <w:rPr>
                <w:sz w:val="18"/>
                <w:szCs w:val="18"/>
              </w:rPr>
              <w:t>S</w:t>
            </w:r>
            <w:r w:rsidRPr="00D26E50">
              <w:rPr>
                <w:sz w:val="18"/>
                <w:szCs w:val="18"/>
              </w:rPr>
              <w:t>ubject-years of exposure / dose intensity</w:t>
            </w:r>
          </w:p>
        </w:tc>
        <w:tc>
          <w:tcPr>
            <w:tcW w:w="3827" w:type="dxa"/>
            <w:gridSpan w:val="3"/>
          </w:tcPr>
          <w:p w:rsidR="00E660F2" w:rsidRPr="00D26E50" w:rsidRDefault="00E660F2" w:rsidP="008F0588">
            <w:pPr>
              <w:rPr>
                <w:iCs/>
                <w:sz w:val="18"/>
                <w:szCs w:val="18"/>
              </w:rPr>
            </w:pPr>
            <w:r w:rsidRPr="00D26E50">
              <w:rPr>
                <w:iCs/>
                <w:sz w:val="18"/>
                <w:szCs w:val="18"/>
              </w:rPr>
              <w:t>1160.3 / 0.91</w:t>
            </w:r>
          </w:p>
        </w:tc>
        <w:tc>
          <w:tcPr>
            <w:tcW w:w="3371" w:type="dxa"/>
            <w:gridSpan w:val="3"/>
          </w:tcPr>
          <w:p w:rsidR="00E660F2" w:rsidRPr="00D26E50" w:rsidRDefault="00E660F2" w:rsidP="008F0588">
            <w:pPr>
              <w:rPr>
                <w:iCs/>
                <w:sz w:val="18"/>
                <w:szCs w:val="18"/>
              </w:rPr>
            </w:pPr>
            <w:r w:rsidRPr="00D26E50">
              <w:rPr>
                <w:iCs/>
                <w:sz w:val="18"/>
                <w:szCs w:val="18"/>
              </w:rPr>
              <w:t>411.3</w:t>
            </w:r>
          </w:p>
        </w:tc>
      </w:tr>
      <w:tr w:rsidR="00E660F2" w:rsidRPr="00756969" w:rsidTr="008F0588">
        <w:trPr>
          <w:trHeight w:val="227"/>
        </w:trPr>
        <w:tc>
          <w:tcPr>
            <w:tcW w:w="1951" w:type="dxa"/>
            <w:noWrap/>
            <w:hideMark/>
          </w:tcPr>
          <w:p w:rsidR="00E660F2" w:rsidRPr="00D26E50" w:rsidRDefault="00E660F2" w:rsidP="008F0588">
            <w:pPr>
              <w:rPr>
                <w:sz w:val="18"/>
                <w:szCs w:val="18"/>
              </w:rPr>
            </w:pPr>
          </w:p>
        </w:tc>
        <w:tc>
          <w:tcPr>
            <w:tcW w:w="1134" w:type="dxa"/>
          </w:tcPr>
          <w:p w:rsidR="00E660F2" w:rsidRPr="00D26E50" w:rsidRDefault="00E660F2" w:rsidP="008F0588">
            <w:pPr>
              <w:rPr>
                <w:iCs/>
                <w:sz w:val="18"/>
                <w:szCs w:val="18"/>
              </w:rPr>
            </w:pPr>
            <w:r w:rsidRPr="00D26E50">
              <w:rPr>
                <w:iCs/>
                <w:sz w:val="18"/>
                <w:szCs w:val="18"/>
              </w:rPr>
              <w:t>Cases</w:t>
            </w:r>
          </w:p>
        </w:tc>
        <w:tc>
          <w:tcPr>
            <w:tcW w:w="1418" w:type="dxa"/>
          </w:tcPr>
          <w:p w:rsidR="00E660F2" w:rsidRPr="00D26E50" w:rsidRDefault="00E660F2" w:rsidP="008F0588">
            <w:pPr>
              <w:rPr>
                <w:iCs/>
                <w:sz w:val="18"/>
                <w:szCs w:val="18"/>
              </w:rPr>
            </w:pPr>
            <w:r>
              <w:rPr>
                <w:iCs/>
                <w:sz w:val="18"/>
                <w:szCs w:val="18"/>
              </w:rPr>
              <w:t>I</w:t>
            </w:r>
            <w:r w:rsidRPr="00D26E50">
              <w:rPr>
                <w:iCs/>
                <w:sz w:val="18"/>
                <w:szCs w:val="18"/>
              </w:rPr>
              <w:t>ncidence unadjusted</w:t>
            </w:r>
          </w:p>
        </w:tc>
        <w:tc>
          <w:tcPr>
            <w:tcW w:w="1275" w:type="dxa"/>
          </w:tcPr>
          <w:p w:rsidR="00E660F2" w:rsidRPr="00D26E50" w:rsidRDefault="00E660F2" w:rsidP="008F0588">
            <w:pPr>
              <w:rPr>
                <w:iCs/>
                <w:sz w:val="18"/>
                <w:szCs w:val="18"/>
              </w:rPr>
            </w:pPr>
            <w:r w:rsidRPr="00D26E50">
              <w:rPr>
                <w:iCs/>
                <w:sz w:val="18"/>
                <w:szCs w:val="18"/>
              </w:rPr>
              <w:t>Total per 100</w:t>
            </w:r>
            <w:r>
              <w:rPr>
                <w:iCs/>
                <w:sz w:val="18"/>
                <w:szCs w:val="18"/>
              </w:rPr>
              <w:t xml:space="preserve"> PY</w:t>
            </w:r>
          </w:p>
        </w:tc>
        <w:tc>
          <w:tcPr>
            <w:tcW w:w="993" w:type="dxa"/>
          </w:tcPr>
          <w:p w:rsidR="00E660F2" w:rsidRPr="00D26E50" w:rsidRDefault="00E660F2" w:rsidP="008F0588">
            <w:pPr>
              <w:rPr>
                <w:iCs/>
                <w:sz w:val="18"/>
                <w:szCs w:val="18"/>
              </w:rPr>
            </w:pPr>
            <w:r w:rsidRPr="00D26E50">
              <w:rPr>
                <w:iCs/>
                <w:sz w:val="18"/>
                <w:szCs w:val="18"/>
              </w:rPr>
              <w:t>Cases</w:t>
            </w:r>
          </w:p>
        </w:tc>
        <w:tc>
          <w:tcPr>
            <w:tcW w:w="1417" w:type="dxa"/>
          </w:tcPr>
          <w:p w:rsidR="00E660F2" w:rsidRPr="00D26E50" w:rsidRDefault="00E660F2" w:rsidP="008F0588">
            <w:pPr>
              <w:rPr>
                <w:iCs/>
                <w:sz w:val="18"/>
                <w:szCs w:val="18"/>
              </w:rPr>
            </w:pPr>
            <w:r>
              <w:rPr>
                <w:iCs/>
                <w:sz w:val="18"/>
                <w:szCs w:val="18"/>
              </w:rPr>
              <w:t>I</w:t>
            </w:r>
            <w:r w:rsidRPr="00D26E50">
              <w:rPr>
                <w:iCs/>
                <w:sz w:val="18"/>
                <w:szCs w:val="18"/>
              </w:rPr>
              <w:t>ncidence unadjusted</w:t>
            </w:r>
          </w:p>
        </w:tc>
        <w:tc>
          <w:tcPr>
            <w:tcW w:w="961" w:type="dxa"/>
            <w:noWrap/>
            <w:hideMark/>
          </w:tcPr>
          <w:p w:rsidR="00E660F2" w:rsidRPr="00D26E50" w:rsidRDefault="00E660F2" w:rsidP="008F0588">
            <w:pPr>
              <w:rPr>
                <w:iCs/>
                <w:sz w:val="18"/>
                <w:szCs w:val="18"/>
              </w:rPr>
            </w:pPr>
            <w:r w:rsidRPr="00D26E50">
              <w:rPr>
                <w:iCs/>
                <w:sz w:val="18"/>
                <w:szCs w:val="18"/>
              </w:rPr>
              <w:t>Total per 100</w:t>
            </w:r>
            <w:r>
              <w:rPr>
                <w:iCs/>
                <w:sz w:val="18"/>
                <w:szCs w:val="18"/>
              </w:rPr>
              <w:t xml:space="preserve"> PY</w:t>
            </w:r>
          </w:p>
        </w:tc>
      </w:tr>
      <w:tr w:rsidR="00E660F2" w:rsidRPr="00756969" w:rsidTr="008F0588">
        <w:trPr>
          <w:trHeight w:val="227"/>
        </w:trPr>
        <w:tc>
          <w:tcPr>
            <w:tcW w:w="1951" w:type="dxa"/>
            <w:noWrap/>
            <w:hideMark/>
          </w:tcPr>
          <w:p w:rsidR="00E660F2" w:rsidRPr="00D26E50" w:rsidRDefault="00E660F2" w:rsidP="008F0588">
            <w:pPr>
              <w:rPr>
                <w:bCs/>
                <w:sz w:val="18"/>
                <w:szCs w:val="18"/>
              </w:rPr>
            </w:pPr>
            <w:r w:rsidRPr="00D26E50">
              <w:rPr>
                <w:bCs/>
                <w:color w:val="FF0000"/>
                <w:sz w:val="18"/>
                <w:szCs w:val="18"/>
                <w:lang w:val="en-US"/>
              </w:rPr>
              <w:t xml:space="preserve">Number of distinct TEAEs </w:t>
            </w:r>
          </w:p>
        </w:tc>
        <w:tc>
          <w:tcPr>
            <w:tcW w:w="1134" w:type="dxa"/>
          </w:tcPr>
          <w:p w:rsidR="00E660F2" w:rsidRPr="00D26E50" w:rsidRDefault="00E660F2" w:rsidP="008F0588">
            <w:pPr>
              <w:rPr>
                <w:bCs/>
                <w:sz w:val="18"/>
                <w:szCs w:val="18"/>
              </w:rPr>
            </w:pPr>
            <w:r w:rsidRPr="00D26E50">
              <w:rPr>
                <w:bCs/>
                <w:sz w:val="18"/>
                <w:szCs w:val="18"/>
              </w:rPr>
              <w:t>25</w:t>
            </w:r>
          </w:p>
        </w:tc>
        <w:tc>
          <w:tcPr>
            <w:tcW w:w="1418" w:type="dxa"/>
          </w:tcPr>
          <w:p w:rsidR="00E660F2" w:rsidRPr="00D26E50" w:rsidRDefault="00E660F2" w:rsidP="008F0588">
            <w:pPr>
              <w:rPr>
                <w:sz w:val="18"/>
                <w:szCs w:val="18"/>
              </w:rPr>
            </w:pPr>
            <w:r w:rsidRPr="00D26E50">
              <w:rPr>
                <w:sz w:val="18"/>
                <w:szCs w:val="18"/>
              </w:rPr>
              <w:t>3.1</w:t>
            </w:r>
          </w:p>
        </w:tc>
        <w:tc>
          <w:tcPr>
            <w:tcW w:w="1275" w:type="dxa"/>
          </w:tcPr>
          <w:p w:rsidR="00E660F2" w:rsidRPr="00D26E50" w:rsidRDefault="00E660F2" w:rsidP="008F0588">
            <w:pPr>
              <w:rPr>
                <w:bCs/>
                <w:sz w:val="18"/>
                <w:szCs w:val="18"/>
              </w:rPr>
            </w:pPr>
            <w:r w:rsidRPr="00D26E50">
              <w:rPr>
                <w:bCs/>
                <w:sz w:val="18"/>
                <w:szCs w:val="18"/>
              </w:rPr>
              <w:t>2.4</w:t>
            </w:r>
          </w:p>
        </w:tc>
        <w:tc>
          <w:tcPr>
            <w:tcW w:w="993" w:type="dxa"/>
          </w:tcPr>
          <w:p w:rsidR="00E660F2" w:rsidRPr="00D26E50" w:rsidRDefault="00E660F2" w:rsidP="008F0588">
            <w:pPr>
              <w:rPr>
                <w:bCs/>
                <w:sz w:val="18"/>
                <w:szCs w:val="18"/>
              </w:rPr>
            </w:pPr>
            <w:r w:rsidRPr="00D26E50">
              <w:rPr>
                <w:bCs/>
                <w:sz w:val="18"/>
                <w:szCs w:val="18"/>
              </w:rPr>
              <w:t>7</w:t>
            </w:r>
          </w:p>
        </w:tc>
        <w:tc>
          <w:tcPr>
            <w:tcW w:w="1417" w:type="dxa"/>
          </w:tcPr>
          <w:p w:rsidR="00E660F2" w:rsidRPr="00D26E50" w:rsidRDefault="00E660F2" w:rsidP="008F0588">
            <w:pPr>
              <w:rPr>
                <w:sz w:val="18"/>
                <w:szCs w:val="18"/>
              </w:rPr>
            </w:pPr>
            <w:r w:rsidRPr="00D26E50">
              <w:rPr>
                <w:sz w:val="18"/>
                <w:szCs w:val="18"/>
              </w:rPr>
              <w:t>1.8</w:t>
            </w:r>
          </w:p>
        </w:tc>
        <w:tc>
          <w:tcPr>
            <w:tcW w:w="961" w:type="dxa"/>
            <w:noWrap/>
            <w:hideMark/>
          </w:tcPr>
          <w:p w:rsidR="00E660F2" w:rsidRPr="00D26E50" w:rsidRDefault="00E660F2" w:rsidP="008F0588">
            <w:pPr>
              <w:rPr>
                <w:bCs/>
                <w:sz w:val="18"/>
                <w:szCs w:val="18"/>
              </w:rPr>
            </w:pPr>
            <w:r w:rsidRPr="00D26E50">
              <w:rPr>
                <w:bCs/>
                <w:sz w:val="18"/>
                <w:szCs w:val="18"/>
              </w:rPr>
              <w:t>1.7</w:t>
            </w:r>
          </w:p>
        </w:tc>
      </w:tr>
      <w:tr w:rsidR="00E660F2" w:rsidRPr="00756969" w:rsidTr="008F0588">
        <w:trPr>
          <w:trHeight w:val="227"/>
        </w:trPr>
        <w:tc>
          <w:tcPr>
            <w:tcW w:w="1951" w:type="dxa"/>
            <w:noWrap/>
            <w:hideMark/>
          </w:tcPr>
          <w:p w:rsidR="00E660F2" w:rsidRPr="00D26E50" w:rsidRDefault="00E660F2" w:rsidP="008F0588">
            <w:pPr>
              <w:rPr>
                <w:color w:val="FF0000"/>
                <w:sz w:val="18"/>
                <w:szCs w:val="18"/>
              </w:rPr>
            </w:pPr>
            <w:r w:rsidRPr="00D26E50">
              <w:rPr>
                <w:color w:val="FF0000"/>
                <w:sz w:val="18"/>
                <w:szCs w:val="18"/>
              </w:rPr>
              <w:t>Syncope</w:t>
            </w:r>
          </w:p>
        </w:tc>
        <w:tc>
          <w:tcPr>
            <w:tcW w:w="1134" w:type="dxa"/>
          </w:tcPr>
          <w:p w:rsidR="00E660F2" w:rsidRPr="00D26E50" w:rsidRDefault="00E660F2" w:rsidP="008F0588">
            <w:pPr>
              <w:rPr>
                <w:sz w:val="18"/>
                <w:szCs w:val="18"/>
              </w:rPr>
            </w:pPr>
            <w:r w:rsidRPr="00D26E50">
              <w:rPr>
                <w:sz w:val="18"/>
                <w:szCs w:val="18"/>
              </w:rPr>
              <w:t>17</w:t>
            </w:r>
          </w:p>
        </w:tc>
        <w:tc>
          <w:tcPr>
            <w:tcW w:w="1418" w:type="dxa"/>
          </w:tcPr>
          <w:p w:rsidR="00E660F2" w:rsidRPr="00D26E50" w:rsidRDefault="00E660F2" w:rsidP="008F0588">
            <w:pPr>
              <w:rPr>
                <w:sz w:val="18"/>
                <w:szCs w:val="18"/>
              </w:rPr>
            </w:pPr>
            <w:r w:rsidRPr="00D26E50">
              <w:rPr>
                <w:sz w:val="18"/>
                <w:szCs w:val="18"/>
              </w:rPr>
              <w:t>2.1</w:t>
            </w:r>
          </w:p>
        </w:tc>
        <w:tc>
          <w:tcPr>
            <w:tcW w:w="1275" w:type="dxa"/>
          </w:tcPr>
          <w:p w:rsidR="00E660F2" w:rsidRPr="00D26E50" w:rsidRDefault="00E660F2" w:rsidP="008F0588">
            <w:pPr>
              <w:rPr>
                <w:sz w:val="18"/>
                <w:szCs w:val="18"/>
              </w:rPr>
            </w:pPr>
            <w:r w:rsidRPr="00D26E50">
              <w:rPr>
                <w:sz w:val="18"/>
                <w:szCs w:val="18"/>
              </w:rPr>
              <w:t>1.6</w:t>
            </w:r>
          </w:p>
        </w:tc>
        <w:tc>
          <w:tcPr>
            <w:tcW w:w="993" w:type="dxa"/>
          </w:tcPr>
          <w:p w:rsidR="00E660F2" w:rsidRPr="00D26E50" w:rsidRDefault="00E660F2" w:rsidP="008F0588">
            <w:pPr>
              <w:rPr>
                <w:sz w:val="18"/>
                <w:szCs w:val="18"/>
              </w:rPr>
            </w:pPr>
            <w:r w:rsidRPr="00D26E50">
              <w:rPr>
                <w:sz w:val="18"/>
                <w:szCs w:val="18"/>
              </w:rPr>
              <w:t>4</w:t>
            </w:r>
          </w:p>
        </w:tc>
        <w:tc>
          <w:tcPr>
            <w:tcW w:w="1417" w:type="dxa"/>
          </w:tcPr>
          <w:p w:rsidR="00E660F2" w:rsidRPr="00D26E50" w:rsidRDefault="00E660F2" w:rsidP="008F0588">
            <w:pPr>
              <w:rPr>
                <w:sz w:val="18"/>
                <w:szCs w:val="18"/>
              </w:rPr>
            </w:pPr>
            <w:r w:rsidRPr="00D26E50">
              <w:rPr>
                <w:sz w:val="18"/>
                <w:szCs w:val="18"/>
              </w:rPr>
              <w:t>1.0</w:t>
            </w:r>
          </w:p>
        </w:tc>
        <w:tc>
          <w:tcPr>
            <w:tcW w:w="961" w:type="dxa"/>
            <w:noWrap/>
            <w:hideMark/>
          </w:tcPr>
          <w:p w:rsidR="00E660F2" w:rsidRPr="00D26E50" w:rsidRDefault="00E660F2" w:rsidP="008F0588">
            <w:pPr>
              <w:rPr>
                <w:sz w:val="18"/>
                <w:szCs w:val="18"/>
              </w:rPr>
            </w:pPr>
            <w:r w:rsidRPr="00D26E50">
              <w:rPr>
                <w:sz w:val="18"/>
                <w:szCs w:val="18"/>
              </w:rPr>
              <w:t>1.0</w:t>
            </w:r>
          </w:p>
        </w:tc>
      </w:tr>
      <w:tr w:rsidR="00E660F2" w:rsidRPr="00756969" w:rsidTr="008F0588">
        <w:trPr>
          <w:trHeight w:val="227"/>
        </w:trPr>
        <w:tc>
          <w:tcPr>
            <w:tcW w:w="1951" w:type="dxa"/>
            <w:noWrap/>
            <w:hideMark/>
          </w:tcPr>
          <w:p w:rsidR="00E660F2" w:rsidRPr="00D26E50" w:rsidRDefault="00E660F2" w:rsidP="008F0588">
            <w:pPr>
              <w:rPr>
                <w:color w:val="FF0000"/>
                <w:sz w:val="18"/>
                <w:szCs w:val="18"/>
              </w:rPr>
            </w:pPr>
            <w:r w:rsidRPr="00D26E50">
              <w:rPr>
                <w:color w:val="FF0000"/>
                <w:sz w:val="18"/>
                <w:szCs w:val="18"/>
              </w:rPr>
              <w:t>Loss of consciousness</w:t>
            </w:r>
          </w:p>
        </w:tc>
        <w:tc>
          <w:tcPr>
            <w:tcW w:w="1134" w:type="dxa"/>
          </w:tcPr>
          <w:p w:rsidR="00E660F2" w:rsidRPr="00D26E50" w:rsidRDefault="00E660F2" w:rsidP="008F0588">
            <w:pPr>
              <w:rPr>
                <w:sz w:val="18"/>
                <w:szCs w:val="18"/>
              </w:rPr>
            </w:pPr>
            <w:r w:rsidRPr="00D26E50">
              <w:rPr>
                <w:sz w:val="18"/>
                <w:szCs w:val="18"/>
              </w:rPr>
              <w:t>2</w:t>
            </w:r>
          </w:p>
        </w:tc>
        <w:tc>
          <w:tcPr>
            <w:tcW w:w="1418" w:type="dxa"/>
          </w:tcPr>
          <w:p w:rsidR="00E660F2" w:rsidRPr="00D26E50" w:rsidRDefault="00E660F2" w:rsidP="008F0588">
            <w:pPr>
              <w:rPr>
                <w:sz w:val="18"/>
                <w:szCs w:val="18"/>
              </w:rPr>
            </w:pPr>
            <w:r w:rsidRPr="00D26E50">
              <w:rPr>
                <w:sz w:val="18"/>
                <w:szCs w:val="18"/>
              </w:rPr>
              <w:t>0.2</w:t>
            </w:r>
          </w:p>
        </w:tc>
        <w:tc>
          <w:tcPr>
            <w:tcW w:w="1275" w:type="dxa"/>
          </w:tcPr>
          <w:p w:rsidR="00E660F2" w:rsidRPr="00D26E50" w:rsidRDefault="00E660F2" w:rsidP="008F0588">
            <w:pPr>
              <w:rPr>
                <w:sz w:val="18"/>
                <w:szCs w:val="18"/>
              </w:rPr>
            </w:pPr>
            <w:r w:rsidRPr="00D26E50">
              <w:rPr>
                <w:sz w:val="18"/>
                <w:szCs w:val="18"/>
              </w:rPr>
              <w:t>0.2</w:t>
            </w:r>
          </w:p>
        </w:tc>
        <w:tc>
          <w:tcPr>
            <w:tcW w:w="993" w:type="dxa"/>
          </w:tcPr>
          <w:p w:rsidR="00E660F2" w:rsidRPr="00D26E50" w:rsidRDefault="00E660F2" w:rsidP="008F0588">
            <w:pPr>
              <w:rPr>
                <w:sz w:val="18"/>
                <w:szCs w:val="18"/>
              </w:rPr>
            </w:pPr>
            <w:r w:rsidRPr="00D26E50">
              <w:rPr>
                <w:sz w:val="18"/>
                <w:szCs w:val="18"/>
              </w:rPr>
              <w:t>0</w:t>
            </w:r>
          </w:p>
        </w:tc>
        <w:tc>
          <w:tcPr>
            <w:tcW w:w="1417" w:type="dxa"/>
          </w:tcPr>
          <w:p w:rsidR="00E660F2" w:rsidRPr="00D26E50" w:rsidRDefault="00E660F2" w:rsidP="008F0588">
            <w:pPr>
              <w:rPr>
                <w:sz w:val="18"/>
                <w:szCs w:val="18"/>
              </w:rPr>
            </w:pPr>
            <w:r w:rsidRPr="00D26E50">
              <w:rPr>
                <w:sz w:val="18"/>
                <w:szCs w:val="18"/>
              </w:rPr>
              <w:t>0.0</w:t>
            </w:r>
          </w:p>
        </w:tc>
        <w:tc>
          <w:tcPr>
            <w:tcW w:w="961" w:type="dxa"/>
            <w:noWrap/>
            <w:hideMark/>
          </w:tcPr>
          <w:p w:rsidR="00E660F2" w:rsidRPr="00D26E50" w:rsidRDefault="00E660F2" w:rsidP="008F0588">
            <w:pPr>
              <w:rPr>
                <w:sz w:val="18"/>
                <w:szCs w:val="18"/>
              </w:rPr>
            </w:pPr>
            <w:r w:rsidRPr="00D26E50">
              <w:rPr>
                <w:sz w:val="18"/>
                <w:szCs w:val="18"/>
              </w:rPr>
              <w:t>0.0</w:t>
            </w:r>
          </w:p>
        </w:tc>
      </w:tr>
      <w:tr w:rsidR="00E660F2" w:rsidRPr="00756969" w:rsidTr="008F0588">
        <w:trPr>
          <w:trHeight w:val="227"/>
        </w:trPr>
        <w:tc>
          <w:tcPr>
            <w:tcW w:w="1951" w:type="dxa"/>
            <w:noWrap/>
            <w:hideMark/>
          </w:tcPr>
          <w:p w:rsidR="00E660F2" w:rsidRPr="00D26E50" w:rsidRDefault="00E660F2" w:rsidP="008F0588">
            <w:pPr>
              <w:rPr>
                <w:sz w:val="18"/>
                <w:szCs w:val="18"/>
              </w:rPr>
            </w:pPr>
            <w:r w:rsidRPr="00D26E50">
              <w:rPr>
                <w:sz w:val="18"/>
                <w:szCs w:val="18"/>
              </w:rPr>
              <w:t>Electrocardiogram QT prolonged</w:t>
            </w:r>
          </w:p>
        </w:tc>
        <w:tc>
          <w:tcPr>
            <w:tcW w:w="1134" w:type="dxa"/>
          </w:tcPr>
          <w:p w:rsidR="00E660F2" w:rsidRPr="00D26E50" w:rsidRDefault="00E660F2" w:rsidP="008F0588">
            <w:pPr>
              <w:rPr>
                <w:sz w:val="18"/>
                <w:szCs w:val="18"/>
              </w:rPr>
            </w:pPr>
            <w:r w:rsidRPr="00D26E50">
              <w:rPr>
                <w:sz w:val="18"/>
                <w:szCs w:val="18"/>
              </w:rPr>
              <w:t>1</w:t>
            </w:r>
          </w:p>
        </w:tc>
        <w:tc>
          <w:tcPr>
            <w:tcW w:w="1418" w:type="dxa"/>
          </w:tcPr>
          <w:p w:rsidR="00E660F2" w:rsidRPr="00D26E50" w:rsidRDefault="00E660F2" w:rsidP="008F0588">
            <w:pPr>
              <w:rPr>
                <w:sz w:val="18"/>
                <w:szCs w:val="18"/>
              </w:rPr>
            </w:pPr>
            <w:r w:rsidRPr="00D26E50">
              <w:rPr>
                <w:sz w:val="18"/>
                <w:szCs w:val="18"/>
              </w:rPr>
              <w:t>0.1</w:t>
            </w:r>
          </w:p>
        </w:tc>
        <w:tc>
          <w:tcPr>
            <w:tcW w:w="1275" w:type="dxa"/>
          </w:tcPr>
          <w:p w:rsidR="00E660F2" w:rsidRPr="00D26E50" w:rsidRDefault="00E660F2" w:rsidP="008F0588">
            <w:pPr>
              <w:rPr>
                <w:sz w:val="18"/>
                <w:szCs w:val="18"/>
              </w:rPr>
            </w:pPr>
            <w:r w:rsidRPr="00D26E50">
              <w:rPr>
                <w:sz w:val="18"/>
                <w:szCs w:val="18"/>
              </w:rPr>
              <w:t>0.1</w:t>
            </w:r>
          </w:p>
        </w:tc>
        <w:tc>
          <w:tcPr>
            <w:tcW w:w="993" w:type="dxa"/>
          </w:tcPr>
          <w:p w:rsidR="00E660F2" w:rsidRPr="00D26E50" w:rsidRDefault="00E660F2" w:rsidP="008F0588">
            <w:pPr>
              <w:rPr>
                <w:sz w:val="18"/>
                <w:szCs w:val="18"/>
              </w:rPr>
            </w:pPr>
            <w:r w:rsidRPr="00D26E50">
              <w:rPr>
                <w:sz w:val="18"/>
                <w:szCs w:val="18"/>
              </w:rPr>
              <w:t>1</w:t>
            </w:r>
          </w:p>
        </w:tc>
        <w:tc>
          <w:tcPr>
            <w:tcW w:w="1417" w:type="dxa"/>
          </w:tcPr>
          <w:p w:rsidR="00E660F2" w:rsidRPr="00D26E50" w:rsidRDefault="00E660F2" w:rsidP="008F0588">
            <w:pPr>
              <w:rPr>
                <w:sz w:val="18"/>
                <w:szCs w:val="18"/>
              </w:rPr>
            </w:pPr>
            <w:r w:rsidRPr="00D26E50">
              <w:rPr>
                <w:sz w:val="18"/>
                <w:szCs w:val="18"/>
              </w:rPr>
              <w:t>0.3</w:t>
            </w:r>
          </w:p>
        </w:tc>
        <w:tc>
          <w:tcPr>
            <w:tcW w:w="961" w:type="dxa"/>
            <w:noWrap/>
            <w:hideMark/>
          </w:tcPr>
          <w:p w:rsidR="00E660F2" w:rsidRPr="00D26E50" w:rsidRDefault="00E660F2" w:rsidP="008F0588">
            <w:pPr>
              <w:rPr>
                <w:sz w:val="18"/>
                <w:szCs w:val="18"/>
              </w:rPr>
            </w:pPr>
            <w:r w:rsidRPr="00D26E50">
              <w:rPr>
                <w:sz w:val="18"/>
                <w:szCs w:val="18"/>
              </w:rPr>
              <w:t>0.2</w:t>
            </w:r>
          </w:p>
        </w:tc>
      </w:tr>
      <w:tr w:rsidR="00E660F2" w:rsidRPr="00756969" w:rsidTr="008F0588">
        <w:trPr>
          <w:trHeight w:val="227"/>
        </w:trPr>
        <w:tc>
          <w:tcPr>
            <w:tcW w:w="1951" w:type="dxa"/>
            <w:noWrap/>
            <w:hideMark/>
          </w:tcPr>
          <w:p w:rsidR="00E660F2" w:rsidRPr="00D26E50" w:rsidRDefault="00E660F2" w:rsidP="008F0588">
            <w:pPr>
              <w:rPr>
                <w:sz w:val="18"/>
                <w:szCs w:val="18"/>
              </w:rPr>
            </w:pPr>
            <w:r w:rsidRPr="00D26E50">
              <w:rPr>
                <w:sz w:val="18"/>
                <w:szCs w:val="18"/>
              </w:rPr>
              <w:t>Ventricular arrhythmia</w:t>
            </w:r>
          </w:p>
        </w:tc>
        <w:tc>
          <w:tcPr>
            <w:tcW w:w="1134" w:type="dxa"/>
          </w:tcPr>
          <w:p w:rsidR="00E660F2" w:rsidRPr="00D26E50" w:rsidRDefault="00E660F2" w:rsidP="008F0588">
            <w:pPr>
              <w:rPr>
                <w:sz w:val="18"/>
                <w:szCs w:val="18"/>
              </w:rPr>
            </w:pPr>
            <w:r w:rsidRPr="00D26E50">
              <w:rPr>
                <w:sz w:val="18"/>
                <w:szCs w:val="18"/>
              </w:rPr>
              <w:t>0</w:t>
            </w:r>
          </w:p>
        </w:tc>
        <w:tc>
          <w:tcPr>
            <w:tcW w:w="1418" w:type="dxa"/>
          </w:tcPr>
          <w:p w:rsidR="00E660F2" w:rsidRPr="00D26E50" w:rsidRDefault="00E660F2" w:rsidP="008F0588">
            <w:pPr>
              <w:rPr>
                <w:sz w:val="18"/>
                <w:szCs w:val="18"/>
              </w:rPr>
            </w:pPr>
            <w:r w:rsidRPr="00D26E50">
              <w:rPr>
                <w:sz w:val="18"/>
                <w:szCs w:val="18"/>
              </w:rPr>
              <w:t>0.0</w:t>
            </w:r>
          </w:p>
        </w:tc>
        <w:tc>
          <w:tcPr>
            <w:tcW w:w="1275" w:type="dxa"/>
          </w:tcPr>
          <w:p w:rsidR="00E660F2" w:rsidRPr="00D26E50" w:rsidRDefault="00E660F2" w:rsidP="008F0588">
            <w:pPr>
              <w:rPr>
                <w:sz w:val="18"/>
                <w:szCs w:val="18"/>
              </w:rPr>
            </w:pPr>
            <w:r w:rsidRPr="00D26E50">
              <w:rPr>
                <w:sz w:val="18"/>
                <w:szCs w:val="18"/>
              </w:rPr>
              <w:t>0.0</w:t>
            </w:r>
          </w:p>
        </w:tc>
        <w:tc>
          <w:tcPr>
            <w:tcW w:w="993" w:type="dxa"/>
          </w:tcPr>
          <w:p w:rsidR="00E660F2" w:rsidRPr="00D26E50" w:rsidRDefault="00E660F2" w:rsidP="008F0588">
            <w:pPr>
              <w:rPr>
                <w:sz w:val="18"/>
                <w:szCs w:val="18"/>
              </w:rPr>
            </w:pPr>
            <w:r w:rsidRPr="00D26E50">
              <w:rPr>
                <w:sz w:val="18"/>
                <w:szCs w:val="18"/>
              </w:rPr>
              <w:t>1</w:t>
            </w:r>
          </w:p>
        </w:tc>
        <w:tc>
          <w:tcPr>
            <w:tcW w:w="1417" w:type="dxa"/>
          </w:tcPr>
          <w:p w:rsidR="00E660F2" w:rsidRPr="00D26E50" w:rsidRDefault="00E660F2" w:rsidP="008F0588">
            <w:pPr>
              <w:rPr>
                <w:sz w:val="18"/>
                <w:szCs w:val="18"/>
              </w:rPr>
            </w:pPr>
            <w:r w:rsidRPr="00D26E50">
              <w:rPr>
                <w:sz w:val="18"/>
                <w:szCs w:val="18"/>
              </w:rPr>
              <w:t>0.3</w:t>
            </w:r>
          </w:p>
        </w:tc>
        <w:tc>
          <w:tcPr>
            <w:tcW w:w="961" w:type="dxa"/>
            <w:noWrap/>
            <w:hideMark/>
          </w:tcPr>
          <w:p w:rsidR="00E660F2" w:rsidRPr="00D26E50" w:rsidRDefault="00E660F2" w:rsidP="008F0588">
            <w:pPr>
              <w:rPr>
                <w:sz w:val="18"/>
                <w:szCs w:val="18"/>
              </w:rPr>
            </w:pPr>
            <w:r w:rsidRPr="00D26E50">
              <w:rPr>
                <w:sz w:val="18"/>
                <w:szCs w:val="18"/>
              </w:rPr>
              <w:t>0.2</w:t>
            </w:r>
          </w:p>
        </w:tc>
      </w:tr>
      <w:tr w:rsidR="00E660F2" w:rsidRPr="00756969" w:rsidTr="008F0588">
        <w:trPr>
          <w:trHeight w:val="227"/>
        </w:trPr>
        <w:tc>
          <w:tcPr>
            <w:tcW w:w="1951" w:type="dxa"/>
            <w:noWrap/>
            <w:hideMark/>
          </w:tcPr>
          <w:p w:rsidR="00E660F2" w:rsidRPr="00D26E50" w:rsidRDefault="00E660F2" w:rsidP="008F0588">
            <w:pPr>
              <w:rPr>
                <w:sz w:val="18"/>
                <w:szCs w:val="18"/>
              </w:rPr>
            </w:pPr>
            <w:r w:rsidRPr="00D26E50">
              <w:rPr>
                <w:color w:val="FF0000"/>
                <w:sz w:val="18"/>
                <w:szCs w:val="18"/>
              </w:rPr>
              <w:lastRenderedPageBreak/>
              <w:t>Ventricular tachycardia</w:t>
            </w:r>
          </w:p>
        </w:tc>
        <w:tc>
          <w:tcPr>
            <w:tcW w:w="1134" w:type="dxa"/>
          </w:tcPr>
          <w:p w:rsidR="00E660F2" w:rsidRPr="00D26E50" w:rsidRDefault="00E660F2" w:rsidP="008F0588">
            <w:pPr>
              <w:rPr>
                <w:sz w:val="18"/>
                <w:szCs w:val="18"/>
              </w:rPr>
            </w:pPr>
            <w:r w:rsidRPr="00D26E50">
              <w:rPr>
                <w:sz w:val="18"/>
                <w:szCs w:val="18"/>
              </w:rPr>
              <w:t>2</w:t>
            </w:r>
          </w:p>
        </w:tc>
        <w:tc>
          <w:tcPr>
            <w:tcW w:w="1418" w:type="dxa"/>
          </w:tcPr>
          <w:p w:rsidR="00E660F2" w:rsidRPr="00D26E50" w:rsidRDefault="00E660F2" w:rsidP="008F0588">
            <w:pPr>
              <w:rPr>
                <w:sz w:val="18"/>
                <w:szCs w:val="18"/>
              </w:rPr>
            </w:pPr>
            <w:r w:rsidRPr="00D26E50">
              <w:rPr>
                <w:sz w:val="18"/>
                <w:szCs w:val="18"/>
              </w:rPr>
              <w:t>0.2</w:t>
            </w:r>
          </w:p>
        </w:tc>
        <w:tc>
          <w:tcPr>
            <w:tcW w:w="1275" w:type="dxa"/>
          </w:tcPr>
          <w:p w:rsidR="00E660F2" w:rsidRPr="00D26E50" w:rsidRDefault="00E660F2" w:rsidP="008F0588">
            <w:pPr>
              <w:rPr>
                <w:sz w:val="18"/>
                <w:szCs w:val="18"/>
              </w:rPr>
            </w:pPr>
            <w:r w:rsidRPr="00D26E50">
              <w:rPr>
                <w:sz w:val="18"/>
                <w:szCs w:val="18"/>
              </w:rPr>
              <w:t>0.2</w:t>
            </w:r>
          </w:p>
        </w:tc>
        <w:tc>
          <w:tcPr>
            <w:tcW w:w="993" w:type="dxa"/>
          </w:tcPr>
          <w:p w:rsidR="00E660F2" w:rsidRPr="00D26E50" w:rsidRDefault="00E660F2" w:rsidP="008F0588">
            <w:pPr>
              <w:rPr>
                <w:sz w:val="18"/>
                <w:szCs w:val="18"/>
              </w:rPr>
            </w:pPr>
            <w:r w:rsidRPr="00D26E50">
              <w:rPr>
                <w:sz w:val="18"/>
                <w:szCs w:val="18"/>
              </w:rPr>
              <w:t>0</w:t>
            </w:r>
          </w:p>
        </w:tc>
        <w:tc>
          <w:tcPr>
            <w:tcW w:w="1417" w:type="dxa"/>
          </w:tcPr>
          <w:p w:rsidR="00E660F2" w:rsidRPr="00D26E50" w:rsidRDefault="00E660F2" w:rsidP="008F0588">
            <w:pPr>
              <w:rPr>
                <w:sz w:val="18"/>
                <w:szCs w:val="18"/>
              </w:rPr>
            </w:pPr>
            <w:r w:rsidRPr="00D26E50">
              <w:rPr>
                <w:sz w:val="18"/>
                <w:szCs w:val="18"/>
              </w:rPr>
              <w:t>0.0</w:t>
            </w:r>
          </w:p>
        </w:tc>
        <w:tc>
          <w:tcPr>
            <w:tcW w:w="961" w:type="dxa"/>
            <w:noWrap/>
            <w:hideMark/>
          </w:tcPr>
          <w:p w:rsidR="00E660F2" w:rsidRPr="00D26E50" w:rsidRDefault="00E660F2" w:rsidP="008F0588">
            <w:pPr>
              <w:rPr>
                <w:sz w:val="18"/>
                <w:szCs w:val="18"/>
              </w:rPr>
            </w:pPr>
            <w:r w:rsidRPr="00D26E50">
              <w:rPr>
                <w:sz w:val="18"/>
                <w:szCs w:val="18"/>
              </w:rPr>
              <w:t>0.0</w:t>
            </w:r>
          </w:p>
        </w:tc>
      </w:tr>
      <w:tr w:rsidR="00E660F2" w:rsidRPr="00756969" w:rsidTr="008F0588">
        <w:trPr>
          <w:trHeight w:val="227"/>
        </w:trPr>
        <w:tc>
          <w:tcPr>
            <w:tcW w:w="1951" w:type="dxa"/>
            <w:noWrap/>
            <w:hideMark/>
          </w:tcPr>
          <w:p w:rsidR="00E660F2" w:rsidRPr="00D26E50" w:rsidRDefault="00E660F2" w:rsidP="008F0588">
            <w:pPr>
              <w:rPr>
                <w:sz w:val="18"/>
                <w:szCs w:val="18"/>
              </w:rPr>
            </w:pPr>
            <w:r w:rsidRPr="00D26E50">
              <w:rPr>
                <w:sz w:val="18"/>
                <w:szCs w:val="18"/>
              </w:rPr>
              <w:t>Cardio-respiratory arrest</w:t>
            </w:r>
          </w:p>
        </w:tc>
        <w:tc>
          <w:tcPr>
            <w:tcW w:w="1134" w:type="dxa"/>
          </w:tcPr>
          <w:p w:rsidR="00E660F2" w:rsidRPr="00D26E50" w:rsidRDefault="00E660F2" w:rsidP="008F0588">
            <w:pPr>
              <w:rPr>
                <w:sz w:val="18"/>
                <w:szCs w:val="18"/>
              </w:rPr>
            </w:pPr>
            <w:r w:rsidRPr="00D26E50">
              <w:rPr>
                <w:sz w:val="18"/>
                <w:szCs w:val="18"/>
              </w:rPr>
              <w:t>0</w:t>
            </w:r>
          </w:p>
        </w:tc>
        <w:tc>
          <w:tcPr>
            <w:tcW w:w="1418" w:type="dxa"/>
          </w:tcPr>
          <w:p w:rsidR="00E660F2" w:rsidRPr="00D26E50" w:rsidRDefault="00E660F2" w:rsidP="008F0588">
            <w:pPr>
              <w:rPr>
                <w:sz w:val="18"/>
                <w:szCs w:val="18"/>
              </w:rPr>
            </w:pPr>
            <w:r w:rsidRPr="00D26E50">
              <w:rPr>
                <w:sz w:val="18"/>
                <w:szCs w:val="18"/>
              </w:rPr>
              <w:t>0.0</w:t>
            </w:r>
          </w:p>
        </w:tc>
        <w:tc>
          <w:tcPr>
            <w:tcW w:w="1275" w:type="dxa"/>
          </w:tcPr>
          <w:p w:rsidR="00E660F2" w:rsidRPr="00D26E50" w:rsidRDefault="00E660F2" w:rsidP="008F0588">
            <w:pPr>
              <w:rPr>
                <w:sz w:val="18"/>
                <w:szCs w:val="18"/>
              </w:rPr>
            </w:pPr>
            <w:r w:rsidRPr="00D26E50">
              <w:rPr>
                <w:sz w:val="18"/>
                <w:szCs w:val="18"/>
              </w:rPr>
              <w:t>0.0</w:t>
            </w:r>
          </w:p>
        </w:tc>
        <w:tc>
          <w:tcPr>
            <w:tcW w:w="993" w:type="dxa"/>
          </w:tcPr>
          <w:p w:rsidR="00E660F2" w:rsidRPr="00D26E50" w:rsidRDefault="00E660F2" w:rsidP="008F0588">
            <w:pPr>
              <w:rPr>
                <w:sz w:val="18"/>
                <w:szCs w:val="18"/>
              </w:rPr>
            </w:pPr>
            <w:r w:rsidRPr="00D26E50">
              <w:rPr>
                <w:sz w:val="18"/>
                <w:szCs w:val="18"/>
              </w:rPr>
              <w:t>1</w:t>
            </w:r>
          </w:p>
        </w:tc>
        <w:tc>
          <w:tcPr>
            <w:tcW w:w="1417" w:type="dxa"/>
          </w:tcPr>
          <w:p w:rsidR="00E660F2" w:rsidRPr="00D26E50" w:rsidRDefault="00E660F2" w:rsidP="008F0588">
            <w:pPr>
              <w:rPr>
                <w:sz w:val="18"/>
                <w:szCs w:val="18"/>
              </w:rPr>
            </w:pPr>
            <w:r w:rsidRPr="00D26E50">
              <w:rPr>
                <w:sz w:val="18"/>
                <w:szCs w:val="18"/>
              </w:rPr>
              <w:t>0.3</w:t>
            </w:r>
          </w:p>
        </w:tc>
        <w:tc>
          <w:tcPr>
            <w:tcW w:w="961" w:type="dxa"/>
            <w:noWrap/>
            <w:hideMark/>
          </w:tcPr>
          <w:p w:rsidR="00E660F2" w:rsidRPr="00D26E50" w:rsidRDefault="00E660F2" w:rsidP="008F0588">
            <w:pPr>
              <w:rPr>
                <w:sz w:val="18"/>
                <w:szCs w:val="18"/>
              </w:rPr>
            </w:pPr>
            <w:r w:rsidRPr="00D26E50">
              <w:rPr>
                <w:sz w:val="18"/>
                <w:szCs w:val="18"/>
              </w:rPr>
              <w:t>0.2</w:t>
            </w:r>
          </w:p>
        </w:tc>
      </w:tr>
      <w:tr w:rsidR="00E660F2" w:rsidRPr="00756969" w:rsidTr="008F0588">
        <w:trPr>
          <w:trHeight w:val="227"/>
        </w:trPr>
        <w:tc>
          <w:tcPr>
            <w:tcW w:w="1951" w:type="dxa"/>
            <w:noWrap/>
            <w:hideMark/>
          </w:tcPr>
          <w:p w:rsidR="00E660F2" w:rsidRPr="00D26E50" w:rsidRDefault="00E660F2" w:rsidP="008F0588">
            <w:pPr>
              <w:rPr>
                <w:sz w:val="18"/>
                <w:szCs w:val="18"/>
              </w:rPr>
            </w:pPr>
            <w:r w:rsidRPr="00D26E50">
              <w:rPr>
                <w:color w:val="FF0000"/>
                <w:sz w:val="18"/>
                <w:szCs w:val="18"/>
              </w:rPr>
              <w:t>Cardiopulmonary arrest</w:t>
            </w:r>
          </w:p>
        </w:tc>
        <w:tc>
          <w:tcPr>
            <w:tcW w:w="1134" w:type="dxa"/>
          </w:tcPr>
          <w:p w:rsidR="00E660F2" w:rsidRPr="00D26E50" w:rsidRDefault="00E660F2" w:rsidP="008F0588">
            <w:pPr>
              <w:rPr>
                <w:sz w:val="18"/>
                <w:szCs w:val="18"/>
              </w:rPr>
            </w:pPr>
            <w:r w:rsidRPr="00D26E50">
              <w:rPr>
                <w:sz w:val="18"/>
                <w:szCs w:val="18"/>
              </w:rPr>
              <w:t>1</w:t>
            </w:r>
          </w:p>
        </w:tc>
        <w:tc>
          <w:tcPr>
            <w:tcW w:w="1418" w:type="dxa"/>
          </w:tcPr>
          <w:p w:rsidR="00E660F2" w:rsidRPr="00D26E50" w:rsidRDefault="00E660F2" w:rsidP="008F0588">
            <w:pPr>
              <w:rPr>
                <w:sz w:val="18"/>
                <w:szCs w:val="18"/>
              </w:rPr>
            </w:pPr>
            <w:r w:rsidRPr="00D26E50">
              <w:rPr>
                <w:sz w:val="18"/>
                <w:szCs w:val="18"/>
              </w:rPr>
              <w:t>0.1</w:t>
            </w:r>
          </w:p>
        </w:tc>
        <w:tc>
          <w:tcPr>
            <w:tcW w:w="1275" w:type="dxa"/>
          </w:tcPr>
          <w:p w:rsidR="00E660F2" w:rsidRPr="00D26E50" w:rsidRDefault="00E660F2" w:rsidP="008F0588">
            <w:pPr>
              <w:rPr>
                <w:sz w:val="18"/>
                <w:szCs w:val="18"/>
              </w:rPr>
            </w:pPr>
            <w:r w:rsidRPr="00D26E50">
              <w:rPr>
                <w:sz w:val="18"/>
                <w:szCs w:val="18"/>
              </w:rPr>
              <w:t>0.1</w:t>
            </w:r>
          </w:p>
        </w:tc>
        <w:tc>
          <w:tcPr>
            <w:tcW w:w="993" w:type="dxa"/>
          </w:tcPr>
          <w:p w:rsidR="00E660F2" w:rsidRPr="00D26E50" w:rsidRDefault="00E660F2" w:rsidP="008F0588">
            <w:pPr>
              <w:rPr>
                <w:sz w:val="18"/>
                <w:szCs w:val="18"/>
              </w:rPr>
            </w:pPr>
            <w:r w:rsidRPr="00D26E50">
              <w:rPr>
                <w:sz w:val="18"/>
                <w:szCs w:val="18"/>
              </w:rPr>
              <w:t>0</w:t>
            </w:r>
          </w:p>
        </w:tc>
        <w:tc>
          <w:tcPr>
            <w:tcW w:w="1417" w:type="dxa"/>
          </w:tcPr>
          <w:p w:rsidR="00E660F2" w:rsidRPr="00D26E50" w:rsidRDefault="00E660F2" w:rsidP="008F0588">
            <w:pPr>
              <w:rPr>
                <w:sz w:val="18"/>
                <w:szCs w:val="18"/>
              </w:rPr>
            </w:pPr>
            <w:r w:rsidRPr="00D26E50">
              <w:rPr>
                <w:sz w:val="18"/>
                <w:szCs w:val="18"/>
              </w:rPr>
              <w:t>0.0</w:t>
            </w:r>
          </w:p>
        </w:tc>
        <w:tc>
          <w:tcPr>
            <w:tcW w:w="961" w:type="dxa"/>
            <w:noWrap/>
            <w:hideMark/>
          </w:tcPr>
          <w:p w:rsidR="00E660F2" w:rsidRPr="00D26E50" w:rsidRDefault="00E660F2" w:rsidP="008F0588">
            <w:pPr>
              <w:rPr>
                <w:sz w:val="18"/>
                <w:szCs w:val="18"/>
              </w:rPr>
            </w:pPr>
            <w:r w:rsidRPr="00D26E50">
              <w:rPr>
                <w:sz w:val="18"/>
                <w:szCs w:val="18"/>
              </w:rPr>
              <w:t>0.0</w:t>
            </w:r>
          </w:p>
        </w:tc>
      </w:tr>
      <w:tr w:rsidR="00E660F2" w:rsidRPr="00756969" w:rsidTr="008F0588">
        <w:trPr>
          <w:trHeight w:val="227"/>
        </w:trPr>
        <w:tc>
          <w:tcPr>
            <w:tcW w:w="1951" w:type="dxa"/>
            <w:noWrap/>
            <w:hideMark/>
          </w:tcPr>
          <w:p w:rsidR="00E660F2" w:rsidRPr="00D26E50" w:rsidRDefault="00E660F2" w:rsidP="008F0588">
            <w:pPr>
              <w:rPr>
                <w:sz w:val="18"/>
                <w:szCs w:val="18"/>
              </w:rPr>
            </w:pPr>
            <w:r w:rsidRPr="00D26E50">
              <w:rPr>
                <w:color w:val="FF0000"/>
                <w:sz w:val="18"/>
                <w:szCs w:val="18"/>
              </w:rPr>
              <w:t>Seizure</w:t>
            </w:r>
          </w:p>
        </w:tc>
        <w:tc>
          <w:tcPr>
            <w:tcW w:w="1134" w:type="dxa"/>
          </w:tcPr>
          <w:p w:rsidR="00E660F2" w:rsidRPr="00D26E50" w:rsidRDefault="00E660F2" w:rsidP="008F0588">
            <w:pPr>
              <w:rPr>
                <w:sz w:val="18"/>
                <w:szCs w:val="18"/>
              </w:rPr>
            </w:pPr>
            <w:r w:rsidRPr="00D26E50">
              <w:rPr>
                <w:sz w:val="18"/>
                <w:szCs w:val="18"/>
              </w:rPr>
              <w:t>2</w:t>
            </w:r>
          </w:p>
        </w:tc>
        <w:tc>
          <w:tcPr>
            <w:tcW w:w="1418" w:type="dxa"/>
          </w:tcPr>
          <w:p w:rsidR="00E660F2" w:rsidRPr="00D26E50" w:rsidRDefault="00E660F2" w:rsidP="008F0588">
            <w:pPr>
              <w:rPr>
                <w:sz w:val="18"/>
                <w:szCs w:val="18"/>
              </w:rPr>
            </w:pPr>
            <w:r w:rsidRPr="00D26E50">
              <w:rPr>
                <w:sz w:val="18"/>
                <w:szCs w:val="18"/>
              </w:rPr>
              <w:t>0.2</w:t>
            </w:r>
          </w:p>
        </w:tc>
        <w:tc>
          <w:tcPr>
            <w:tcW w:w="1275" w:type="dxa"/>
          </w:tcPr>
          <w:p w:rsidR="00E660F2" w:rsidRPr="00D26E50" w:rsidRDefault="00E660F2" w:rsidP="008F0588">
            <w:pPr>
              <w:rPr>
                <w:sz w:val="18"/>
                <w:szCs w:val="18"/>
              </w:rPr>
            </w:pPr>
            <w:r w:rsidRPr="00D26E50">
              <w:rPr>
                <w:sz w:val="18"/>
                <w:szCs w:val="18"/>
              </w:rPr>
              <w:t>0.2</w:t>
            </w:r>
          </w:p>
        </w:tc>
        <w:tc>
          <w:tcPr>
            <w:tcW w:w="993" w:type="dxa"/>
          </w:tcPr>
          <w:p w:rsidR="00E660F2" w:rsidRPr="00D26E50" w:rsidRDefault="00E660F2" w:rsidP="008F0588">
            <w:pPr>
              <w:rPr>
                <w:sz w:val="18"/>
                <w:szCs w:val="18"/>
              </w:rPr>
            </w:pPr>
            <w:r w:rsidRPr="00D26E50">
              <w:rPr>
                <w:sz w:val="18"/>
                <w:szCs w:val="18"/>
              </w:rPr>
              <w:t>0</w:t>
            </w:r>
          </w:p>
        </w:tc>
        <w:tc>
          <w:tcPr>
            <w:tcW w:w="1417" w:type="dxa"/>
          </w:tcPr>
          <w:p w:rsidR="00E660F2" w:rsidRPr="00D26E50" w:rsidRDefault="00E660F2" w:rsidP="008F0588">
            <w:pPr>
              <w:rPr>
                <w:sz w:val="18"/>
                <w:szCs w:val="18"/>
              </w:rPr>
            </w:pPr>
            <w:r w:rsidRPr="00D26E50">
              <w:rPr>
                <w:sz w:val="18"/>
                <w:szCs w:val="18"/>
              </w:rPr>
              <w:t>0.0</w:t>
            </w:r>
          </w:p>
        </w:tc>
        <w:tc>
          <w:tcPr>
            <w:tcW w:w="961" w:type="dxa"/>
            <w:noWrap/>
            <w:hideMark/>
          </w:tcPr>
          <w:p w:rsidR="00E660F2" w:rsidRPr="00D26E50" w:rsidRDefault="00E660F2" w:rsidP="008F0588">
            <w:pPr>
              <w:rPr>
                <w:sz w:val="18"/>
                <w:szCs w:val="18"/>
              </w:rPr>
            </w:pPr>
            <w:r w:rsidRPr="00D26E50">
              <w:rPr>
                <w:sz w:val="18"/>
                <w:szCs w:val="18"/>
              </w:rPr>
              <w:t>0.0</w:t>
            </w:r>
          </w:p>
        </w:tc>
      </w:tr>
    </w:tbl>
    <w:p w:rsidR="00E660F2" w:rsidRDefault="00E660F2" w:rsidP="00E660F2">
      <w:r>
        <w:t>In the placebo arm, 71% of events were Grade 3+ and 14% were Grade 4+.</w:t>
      </w:r>
    </w:p>
    <w:p w:rsidR="00E660F2" w:rsidRDefault="00E660F2" w:rsidP="00E660F2">
      <w:r>
        <w:t>In the apalutamide arm, 84% of events were Grade 3+ and 4% were Grade 4+.</w:t>
      </w:r>
    </w:p>
    <w:p w:rsidR="00E660F2" w:rsidRDefault="00E660F2" w:rsidP="00E660F2">
      <w:r>
        <w:t>Palpitations and tachycardia are not included in the SMQ, presumably due to lack of specificity.</w:t>
      </w:r>
    </w:p>
    <w:p w:rsidR="00E660F2" w:rsidRDefault="00E660F2" w:rsidP="00E660F2">
      <w:r>
        <w:t>If these two events are also included, the exposure adjusted rate is more than double in the apalutamide arm; see Table 35 below.</w:t>
      </w:r>
    </w:p>
    <w:p w:rsidR="00E660F2" w:rsidRDefault="00E660F2" w:rsidP="00E660F2">
      <w:pPr>
        <w:pStyle w:val="TableTitle"/>
      </w:pPr>
      <w:r>
        <w:t>Table 35: Exposure adjusted rates in the apalutamide arm</w:t>
      </w:r>
    </w:p>
    <w:tbl>
      <w:tblPr>
        <w:tblStyle w:val="TableTGAblue"/>
        <w:tblW w:w="9322" w:type="dxa"/>
        <w:tblLayout w:type="fixed"/>
        <w:tblLook w:val="04A0" w:firstRow="1" w:lastRow="0" w:firstColumn="1" w:lastColumn="0" w:noHBand="0" w:noVBand="1"/>
      </w:tblPr>
      <w:tblGrid>
        <w:gridCol w:w="1809"/>
        <w:gridCol w:w="1134"/>
        <w:gridCol w:w="1560"/>
        <w:gridCol w:w="992"/>
        <w:gridCol w:w="1134"/>
        <w:gridCol w:w="1559"/>
        <w:gridCol w:w="1134"/>
      </w:tblGrid>
      <w:tr w:rsidR="00E660F2" w:rsidRPr="00D26E50" w:rsidTr="008F0588">
        <w:trPr>
          <w:cnfStyle w:val="100000000000" w:firstRow="1" w:lastRow="0" w:firstColumn="0" w:lastColumn="0" w:oddVBand="0" w:evenVBand="0" w:oddHBand="0" w:evenHBand="0" w:firstRowFirstColumn="0" w:firstRowLastColumn="0" w:lastRowFirstColumn="0" w:lastRowLastColumn="0"/>
          <w:cantSplit/>
          <w:trHeight w:val="227"/>
        </w:trPr>
        <w:tc>
          <w:tcPr>
            <w:tcW w:w="1809" w:type="dxa"/>
            <w:noWrap/>
            <w:hideMark/>
          </w:tcPr>
          <w:p w:rsidR="00E660F2" w:rsidRPr="00D26E50" w:rsidRDefault="00E660F2" w:rsidP="008F0588">
            <w:pPr>
              <w:rPr>
                <w:sz w:val="18"/>
                <w:szCs w:val="18"/>
              </w:rPr>
            </w:pPr>
            <w:r w:rsidRPr="00D26E50">
              <w:rPr>
                <w:sz w:val="18"/>
                <w:szCs w:val="18"/>
              </w:rPr>
              <w:t>Totals if palpitations and tachycardia are included</w:t>
            </w:r>
          </w:p>
        </w:tc>
        <w:tc>
          <w:tcPr>
            <w:tcW w:w="1134" w:type="dxa"/>
          </w:tcPr>
          <w:p w:rsidR="00E660F2" w:rsidRPr="00D26E50" w:rsidRDefault="00E660F2" w:rsidP="008F0588">
            <w:pPr>
              <w:rPr>
                <w:iCs/>
                <w:sz w:val="18"/>
                <w:szCs w:val="18"/>
              </w:rPr>
            </w:pPr>
            <w:r w:rsidRPr="00D26E50">
              <w:rPr>
                <w:iCs/>
                <w:sz w:val="18"/>
                <w:szCs w:val="18"/>
              </w:rPr>
              <w:t>Cases</w:t>
            </w:r>
          </w:p>
        </w:tc>
        <w:tc>
          <w:tcPr>
            <w:tcW w:w="1560" w:type="dxa"/>
          </w:tcPr>
          <w:p w:rsidR="00E660F2" w:rsidRPr="00D26E50" w:rsidRDefault="00E660F2" w:rsidP="008F0588">
            <w:pPr>
              <w:rPr>
                <w:iCs/>
                <w:sz w:val="18"/>
                <w:szCs w:val="18"/>
              </w:rPr>
            </w:pPr>
            <w:r>
              <w:rPr>
                <w:iCs/>
                <w:sz w:val="18"/>
                <w:szCs w:val="18"/>
              </w:rPr>
              <w:t>I</w:t>
            </w:r>
            <w:r w:rsidRPr="00D26E50">
              <w:rPr>
                <w:iCs/>
                <w:sz w:val="18"/>
                <w:szCs w:val="18"/>
              </w:rPr>
              <w:t>ncidence unadjusted</w:t>
            </w:r>
          </w:p>
        </w:tc>
        <w:tc>
          <w:tcPr>
            <w:tcW w:w="992" w:type="dxa"/>
          </w:tcPr>
          <w:p w:rsidR="00E660F2" w:rsidRDefault="00E660F2" w:rsidP="008F0588">
            <w:pPr>
              <w:rPr>
                <w:iCs/>
                <w:sz w:val="18"/>
                <w:szCs w:val="18"/>
              </w:rPr>
            </w:pPr>
            <w:r w:rsidRPr="00D26E50">
              <w:rPr>
                <w:iCs/>
                <w:sz w:val="18"/>
                <w:szCs w:val="18"/>
              </w:rPr>
              <w:t>Total per 100</w:t>
            </w:r>
          </w:p>
          <w:p w:rsidR="00E660F2" w:rsidRPr="00D26E50" w:rsidRDefault="00E660F2" w:rsidP="008F0588">
            <w:pPr>
              <w:rPr>
                <w:iCs/>
                <w:sz w:val="18"/>
                <w:szCs w:val="18"/>
              </w:rPr>
            </w:pPr>
            <w:r w:rsidRPr="00D26E50">
              <w:rPr>
                <w:iCs/>
                <w:sz w:val="18"/>
                <w:szCs w:val="18"/>
              </w:rPr>
              <w:t>P-Y</w:t>
            </w:r>
          </w:p>
        </w:tc>
        <w:tc>
          <w:tcPr>
            <w:tcW w:w="1134" w:type="dxa"/>
          </w:tcPr>
          <w:p w:rsidR="00E660F2" w:rsidRPr="00D26E50" w:rsidRDefault="00E660F2" w:rsidP="008F0588">
            <w:pPr>
              <w:rPr>
                <w:iCs/>
                <w:sz w:val="18"/>
                <w:szCs w:val="18"/>
              </w:rPr>
            </w:pPr>
            <w:r w:rsidRPr="00D26E50">
              <w:rPr>
                <w:iCs/>
                <w:sz w:val="18"/>
                <w:szCs w:val="18"/>
              </w:rPr>
              <w:t>Cases</w:t>
            </w:r>
          </w:p>
        </w:tc>
        <w:tc>
          <w:tcPr>
            <w:tcW w:w="1559" w:type="dxa"/>
          </w:tcPr>
          <w:p w:rsidR="00E660F2" w:rsidRPr="00D26E50" w:rsidRDefault="00E660F2" w:rsidP="008F0588">
            <w:pPr>
              <w:rPr>
                <w:iCs/>
                <w:sz w:val="18"/>
                <w:szCs w:val="18"/>
              </w:rPr>
            </w:pPr>
            <w:r>
              <w:rPr>
                <w:iCs/>
                <w:sz w:val="18"/>
                <w:szCs w:val="18"/>
              </w:rPr>
              <w:t>I</w:t>
            </w:r>
            <w:r w:rsidRPr="00D26E50">
              <w:rPr>
                <w:iCs/>
                <w:sz w:val="18"/>
                <w:szCs w:val="18"/>
              </w:rPr>
              <w:t>ncidence unadjusted</w:t>
            </w:r>
          </w:p>
        </w:tc>
        <w:tc>
          <w:tcPr>
            <w:tcW w:w="1134" w:type="dxa"/>
            <w:noWrap/>
            <w:hideMark/>
          </w:tcPr>
          <w:p w:rsidR="00E660F2" w:rsidRDefault="00E660F2" w:rsidP="008F0588">
            <w:pPr>
              <w:rPr>
                <w:iCs/>
                <w:sz w:val="18"/>
                <w:szCs w:val="18"/>
              </w:rPr>
            </w:pPr>
            <w:r w:rsidRPr="00D26E50">
              <w:rPr>
                <w:iCs/>
                <w:sz w:val="18"/>
                <w:szCs w:val="18"/>
              </w:rPr>
              <w:t xml:space="preserve">Total per 100 </w:t>
            </w:r>
          </w:p>
          <w:p w:rsidR="00E660F2" w:rsidRPr="00D26E50" w:rsidRDefault="00E660F2" w:rsidP="008F0588">
            <w:pPr>
              <w:rPr>
                <w:iCs/>
                <w:sz w:val="18"/>
                <w:szCs w:val="18"/>
              </w:rPr>
            </w:pPr>
            <w:r w:rsidRPr="00D26E50">
              <w:rPr>
                <w:iCs/>
                <w:sz w:val="18"/>
                <w:szCs w:val="18"/>
              </w:rPr>
              <w:t>P-Y</w:t>
            </w:r>
          </w:p>
        </w:tc>
      </w:tr>
      <w:tr w:rsidR="00E660F2" w:rsidRPr="003E3AB9" w:rsidTr="008F0588">
        <w:trPr>
          <w:trHeight w:val="227"/>
        </w:trPr>
        <w:tc>
          <w:tcPr>
            <w:tcW w:w="1809" w:type="dxa"/>
            <w:noWrap/>
            <w:hideMark/>
          </w:tcPr>
          <w:p w:rsidR="00E660F2" w:rsidRPr="00D26E50" w:rsidRDefault="00E660F2" w:rsidP="008F0588">
            <w:pPr>
              <w:rPr>
                <w:bCs/>
                <w:color w:val="000000"/>
                <w:sz w:val="18"/>
                <w:szCs w:val="18"/>
              </w:rPr>
            </w:pPr>
            <w:r w:rsidRPr="00D26E50">
              <w:rPr>
                <w:bCs/>
                <w:color w:val="FF0000"/>
                <w:sz w:val="18"/>
                <w:szCs w:val="18"/>
                <w:lang w:val="en-US"/>
              </w:rPr>
              <w:t>Number of distinct TEAEs including the above</w:t>
            </w:r>
          </w:p>
        </w:tc>
        <w:tc>
          <w:tcPr>
            <w:tcW w:w="1134" w:type="dxa"/>
          </w:tcPr>
          <w:p w:rsidR="00E660F2" w:rsidRPr="00D26E50" w:rsidRDefault="00E660F2" w:rsidP="008F0588">
            <w:pPr>
              <w:rPr>
                <w:bCs/>
                <w:color w:val="000000"/>
                <w:sz w:val="18"/>
                <w:szCs w:val="18"/>
              </w:rPr>
            </w:pPr>
            <w:r w:rsidRPr="00D26E50">
              <w:rPr>
                <w:bCs/>
                <w:color w:val="000000"/>
                <w:sz w:val="18"/>
                <w:szCs w:val="18"/>
              </w:rPr>
              <w:t>48</w:t>
            </w:r>
          </w:p>
        </w:tc>
        <w:tc>
          <w:tcPr>
            <w:tcW w:w="1560" w:type="dxa"/>
          </w:tcPr>
          <w:p w:rsidR="00E660F2" w:rsidRPr="00D26E50" w:rsidRDefault="00E660F2" w:rsidP="008F0588">
            <w:pPr>
              <w:rPr>
                <w:color w:val="000000"/>
                <w:sz w:val="18"/>
                <w:szCs w:val="18"/>
              </w:rPr>
            </w:pPr>
            <w:r w:rsidRPr="00D26E50">
              <w:rPr>
                <w:color w:val="000000"/>
                <w:sz w:val="18"/>
                <w:szCs w:val="18"/>
              </w:rPr>
              <w:t>6.0</w:t>
            </w:r>
          </w:p>
        </w:tc>
        <w:tc>
          <w:tcPr>
            <w:tcW w:w="992" w:type="dxa"/>
          </w:tcPr>
          <w:p w:rsidR="00E660F2" w:rsidRPr="00D26E50" w:rsidRDefault="00E660F2" w:rsidP="008F0588">
            <w:pPr>
              <w:rPr>
                <w:bCs/>
                <w:color w:val="000000"/>
                <w:sz w:val="18"/>
                <w:szCs w:val="18"/>
              </w:rPr>
            </w:pPr>
            <w:r w:rsidRPr="00D26E50">
              <w:rPr>
                <w:bCs/>
                <w:color w:val="000000"/>
                <w:sz w:val="18"/>
                <w:szCs w:val="18"/>
              </w:rPr>
              <w:t>4.5</w:t>
            </w:r>
          </w:p>
        </w:tc>
        <w:tc>
          <w:tcPr>
            <w:tcW w:w="1134" w:type="dxa"/>
          </w:tcPr>
          <w:p w:rsidR="00E660F2" w:rsidRPr="00D26E50" w:rsidRDefault="00E660F2" w:rsidP="008F0588">
            <w:pPr>
              <w:rPr>
                <w:bCs/>
                <w:color w:val="000000"/>
                <w:sz w:val="18"/>
                <w:szCs w:val="18"/>
              </w:rPr>
            </w:pPr>
            <w:r w:rsidRPr="00D26E50">
              <w:rPr>
                <w:bCs/>
                <w:color w:val="000000"/>
                <w:sz w:val="18"/>
                <w:szCs w:val="18"/>
              </w:rPr>
              <w:t>8</w:t>
            </w:r>
          </w:p>
        </w:tc>
        <w:tc>
          <w:tcPr>
            <w:tcW w:w="1559" w:type="dxa"/>
          </w:tcPr>
          <w:p w:rsidR="00E660F2" w:rsidRPr="00D26E50" w:rsidRDefault="00E660F2" w:rsidP="008F0588">
            <w:pPr>
              <w:rPr>
                <w:color w:val="000000"/>
                <w:sz w:val="18"/>
                <w:szCs w:val="18"/>
              </w:rPr>
            </w:pPr>
            <w:r w:rsidRPr="00D26E50">
              <w:rPr>
                <w:color w:val="000000"/>
                <w:sz w:val="18"/>
                <w:szCs w:val="18"/>
              </w:rPr>
              <w:t>2.0</w:t>
            </w:r>
          </w:p>
        </w:tc>
        <w:tc>
          <w:tcPr>
            <w:tcW w:w="1134" w:type="dxa"/>
            <w:noWrap/>
            <w:hideMark/>
          </w:tcPr>
          <w:p w:rsidR="00E660F2" w:rsidRPr="00D26E50" w:rsidRDefault="00E660F2" w:rsidP="008F0588">
            <w:pPr>
              <w:rPr>
                <w:bCs/>
                <w:color w:val="000000"/>
                <w:sz w:val="18"/>
                <w:szCs w:val="18"/>
              </w:rPr>
            </w:pPr>
            <w:r w:rsidRPr="00D26E50">
              <w:rPr>
                <w:bCs/>
                <w:color w:val="000000"/>
                <w:sz w:val="18"/>
                <w:szCs w:val="18"/>
              </w:rPr>
              <w:t>1.9</w:t>
            </w:r>
          </w:p>
        </w:tc>
      </w:tr>
      <w:tr w:rsidR="00E660F2" w:rsidRPr="00E71782" w:rsidTr="008F0588">
        <w:trPr>
          <w:trHeight w:val="227"/>
        </w:trPr>
        <w:tc>
          <w:tcPr>
            <w:tcW w:w="1809" w:type="dxa"/>
            <w:noWrap/>
            <w:hideMark/>
          </w:tcPr>
          <w:p w:rsidR="00E660F2" w:rsidRPr="00D26E50" w:rsidRDefault="00E660F2" w:rsidP="008F0588">
            <w:pPr>
              <w:rPr>
                <w:color w:val="FF0000"/>
                <w:sz w:val="18"/>
                <w:szCs w:val="18"/>
              </w:rPr>
            </w:pPr>
            <w:r w:rsidRPr="00D26E50">
              <w:rPr>
                <w:color w:val="FF0000"/>
                <w:sz w:val="18"/>
                <w:szCs w:val="18"/>
              </w:rPr>
              <w:t>palpitations</w:t>
            </w:r>
          </w:p>
        </w:tc>
        <w:tc>
          <w:tcPr>
            <w:tcW w:w="1134" w:type="dxa"/>
          </w:tcPr>
          <w:p w:rsidR="00E660F2" w:rsidRPr="00D26E50" w:rsidRDefault="00E660F2" w:rsidP="008F0588">
            <w:pPr>
              <w:rPr>
                <w:color w:val="000000"/>
                <w:sz w:val="18"/>
                <w:szCs w:val="18"/>
              </w:rPr>
            </w:pPr>
            <w:r w:rsidRPr="00D26E50">
              <w:rPr>
                <w:color w:val="000000"/>
                <w:sz w:val="18"/>
                <w:szCs w:val="18"/>
              </w:rPr>
              <w:t>14</w:t>
            </w:r>
          </w:p>
        </w:tc>
        <w:tc>
          <w:tcPr>
            <w:tcW w:w="1560" w:type="dxa"/>
          </w:tcPr>
          <w:p w:rsidR="00E660F2" w:rsidRPr="00D26E50" w:rsidRDefault="00E660F2" w:rsidP="008F0588">
            <w:pPr>
              <w:rPr>
                <w:color w:val="000000"/>
                <w:sz w:val="18"/>
                <w:szCs w:val="18"/>
              </w:rPr>
            </w:pPr>
            <w:r w:rsidRPr="00D26E50">
              <w:rPr>
                <w:color w:val="000000"/>
                <w:sz w:val="18"/>
                <w:szCs w:val="18"/>
              </w:rPr>
              <w:t>1.7</w:t>
            </w:r>
          </w:p>
        </w:tc>
        <w:tc>
          <w:tcPr>
            <w:tcW w:w="992" w:type="dxa"/>
          </w:tcPr>
          <w:p w:rsidR="00E660F2" w:rsidRPr="00D26E50" w:rsidRDefault="00E660F2" w:rsidP="008F0588">
            <w:pPr>
              <w:rPr>
                <w:color w:val="000000"/>
                <w:sz w:val="18"/>
                <w:szCs w:val="18"/>
              </w:rPr>
            </w:pPr>
            <w:r w:rsidRPr="00D26E50">
              <w:rPr>
                <w:color w:val="000000"/>
                <w:sz w:val="18"/>
                <w:szCs w:val="18"/>
              </w:rPr>
              <w:t>1.3</w:t>
            </w:r>
          </w:p>
        </w:tc>
        <w:tc>
          <w:tcPr>
            <w:tcW w:w="1134" w:type="dxa"/>
          </w:tcPr>
          <w:p w:rsidR="00E660F2" w:rsidRPr="00D26E50" w:rsidRDefault="00E660F2" w:rsidP="008F0588">
            <w:pPr>
              <w:rPr>
                <w:color w:val="000000"/>
                <w:sz w:val="18"/>
                <w:szCs w:val="18"/>
              </w:rPr>
            </w:pPr>
            <w:r w:rsidRPr="00D26E50">
              <w:rPr>
                <w:color w:val="000000"/>
                <w:sz w:val="18"/>
                <w:szCs w:val="18"/>
              </w:rPr>
              <w:t>0</w:t>
            </w:r>
          </w:p>
        </w:tc>
        <w:tc>
          <w:tcPr>
            <w:tcW w:w="1559" w:type="dxa"/>
          </w:tcPr>
          <w:p w:rsidR="00E660F2" w:rsidRPr="00D26E50" w:rsidRDefault="00E660F2" w:rsidP="008F0588">
            <w:pPr>
              <w:rPr>
                <w:color w:val="000000"/>
                <w:sz w:val="18"/>
                <w:szCs w:val="18"/>
              </w:rPr>
            </w:pPr>
            <w:r w:rsidRPr="00D26E50">
              <w:rPr>
                <w:color w:val="000000"/>
                <w:sz w:val="18"/>
                <w:szCs w:val="18"/>
              </w:rPr>
              <w:t>0.0</w:t>
            </w:r>
          </w:p>
        </w:tc>
        <w:tc>
          <w:tcPr>
            <w:tcW w:w="1134" w:type="dxa"/>
            <w:noWrap/>
            <w:hideMark/>
          </w:tcPr>
          <w:p w:rsidR="00E660F2" w:rsidRPr="00D26E50" w:rsidRDefault="00E660F2" w:rsidP="008F0588">
            <w:pPr>
              <w:rPr>
                <w:color w:val="000000"/>
                <w:sz w:val="18"/>
                <w:szCs w:val="18"/>
              </w:rPr>
            </w:pPr>
            <w:r w:rsidRPr="00D26E50">
              <w:rPr>
                <w:color w:val="000000"/>
                <w:sz w:val="18"/>
                <w:szCs w:val="18"/>
              </w:rPr>
              <w:t>0.0</w:t>
            </w:r>
          </w:p>
        </w:tc>
      </w:tr>
      <w:tr w:rsidR="00E660F2" w:rsidRPr="00E71782" w:rsidTr="008F0588">
        <w:trPr>
          <w:trHeight w:val="227"/>
        </w:trPr>
        <w:tc>
          <w:tcPr>
            <w:tcW w:w="1809" w:type="dxa"/>
            <w:noWrap/>
          </w:tcPr>
          <w:p w:rsidR="00E660F2" w:rsidRPr="00D26E50" w:rsidRDefault="00E660F2" w:rsidP="008F0588">
            <w:pPr>
              <w:rPr>
                <w:color w:val="FF0000"/>
                <w:sz w:val="18"/>
                <w:szCs w:val="18"/>
              </w:rPr>
            </w:pPr>
            <w:r w:rsidRPr="00D26E50">
              <w:rPr>
                <w:color w:val="FF0000"/>
                <w:sz w:val="18"/>
                <w:szCs w:val="18"/>
              </w:rPr>
              <w:t>tachycardia</w:t>
            </w:r>
          </w:p>
        </w:tc>
        <w:tc>
          <w:tcPr>
            <w:tcW w:w="1134" w:type="dxa"/>
          </w:tcPr>
          <w:p w:rsidR="00E660F2" w:rsidRPr="00D26E50" w:rsidRDefault="00E660F2" w:rsidP="008F0588">
            <w:pPr>
              <w:rPr>
                <w:color w:val="000000"/>
                <w:sz w:val="18"/>
                <w:szCs w:val="18"/>
              </w:rPr>
            </w:pPr>
            <w:r w:rsidRPr="00D26E50">
              <w:rPr>
                <w:color w:val="000000"/>
                <w:sz w:val="18"/>
                <w:szCs w:val="18"/>
              </w:rPr>
              <w:t>9</w:t>
            </w:r>
          </w:p>
        </w:tc>
        <w:tc>
          <w:tcPr>
            <w:tcW w:w="1560" w:type="dxa"/>
          </w:tcPr>
          <w:p w:rsidR="00E660F2" w:rsidRPr="00D26E50" w:rsidRDefault="00E660F2" w:rsidP="008F0588">
            <w:pPr>
              <w:rPr>
                <w:color w:val="000000"/>
                <w:sz w:val="18"/>
                <w:szCs w:val="18"/>
              </w:rPr>
            </w:pPr>
            <w:r w:rsidRPr="00D26E50">
              <w:rPr>
                <w:color w:val="000000"/>
                <w:sz w:val="18"/>
                <w:szCs w:val="18"/>
              </w:rPr>
              <w:t>1.1</w:t>
            </w:r>
          </w:p>
        </w:tc>
        <w:tc>
          <w:tcPr>
            <w:tcW w:w="992" w:type="dxa"/>
          </w:tcPr>
          <w:p w:rsidR="00E660F2" w:rsidRPr="00D26E50" w:rsidRDefault="00E660F2" w:rsidP="008F0588">
            <w:pPr>
              <w:rPr>
                <w:color w:val="000000"/>
                <w:sz w:val="18"/>
                <w:szCs w:val="18"/>
              </w:rPr>
            </w:pPr>
            <w:r w:rsidRPr="00D26E50">
              <w:rPr>
                <w:color w:val="000000"/>
                <w:sz w:val="18"/>
                <w:szCs w:val="18"/>
              </w:rPr>
              <w:t>0.9</w:t>
            </w:r>
          </w:p>
        </w:tc>
        <w:tc>
          <w:tcPr>
            <w:tcW w:w="1134" w:type="dxa"/>
          </w:tcPr>
          <w:p w:rsidR="00E660F2" w:rsidRPr="00D26E50" w:rsidRDefault="00E660F2" w:rsidP="008F0588">
            <w:pPr>
              <w:rPr>
                <w:color w:val="000000"/>
                <w:sz w:val="18"/>
                <w:szCs w:val="18"/>
              </w:rPr>
            </w:pPr>
            <w:r w:rsidRPr="00D26E50">
              <w:rPr>
                <w:color w:val="000000"/>
                <w:sz w:val="18"/>
                <w:szCs w:val="18"/>
              </w:rPr>
              <w:t>1</w:t>
            </w:r>
          </w:p>
        </w:tc>
        <w:tc>
          <w:tcPr>
            <w:tcW w:w="1559" w:type="dxa"/>
          </w:tcPr>
          <w:p w:rsidR="00E660F2" w:rsidRPr="00D26E50" w:rsidRDefault="00E660F2" w:rsidP="008F0588">
            <w:pPr>
              <w:rPr>
                <w:color w:val="000000"/>
                <w:sz w:val="18"/>
                <w:szCs w:val="18"/>
              </w:rPr>
            </w:pPr>
            <w:r w:rsidRPr="00D26E50">
              <w:rPr>
                <w:color w:val="000000"/>
                <w:sz w:val="18"/>
                <w:szCs w:val="18"/>
              </w:rPr>
              <w:t>0.3</w:t>
            </w:r>
          </w:p>
        </w:tc>
        <w:tc>
          <w:tcPr>
            <w:tcW w:w="1134" w:type="dxa"/>
            <w:noWrap/>
          </w:tcPr>
          <w:p w:rsidR="00E660F2" w:rsidRPr="00D26E50" w:rsidRDefault="00E660F2" w:rsidP="008F0588">
            <w:pPr>
              <w:rPr>
                <w:color w:val="000000"/>
                <w:sz w:val="18"/>
                <w:szCs w:val="18"/>
              </w:rPr>
            </w:pPr>
            <w:r w:rsidRPr="00D26E50">
              <w:rPr>
                <w:color w:val="000000"/>
                <w:sz w:val="18"/>
                <w:szCs w:val="18"/>
              </w:rPr>
              <w:t>0.2</w:t>
            </w:r>
          </w:p>
        </w:tc>
      </w:tr>
    </w:tbl>
    <w:p w:rsidR="00E660F2" w:rsidRDefault="00E660F2" w:rsidP="00E660F2">
      <w:r>
        <w:t>With these events included:</w:t>
      </w:r>
    </w:p>
    <w:p w:rsidR="00E660F2" w:rsidRDefault="00E660F2" w:rsidP="00E660F2">
      <w:pPr>
        <w:pStyle w:val="ListBullet"/>
        <w:numPr>
          <w:ilvl w:val="0"/>
          <w:numId w:val="1"/>
        </w:numPr>
      </w:pPr>
      <w:r>
        <w:t>In the placebo arm, 63% of events were Grade 3+ and 13% were Grade 4+.</w:t>
      </w:r>
    </w:p>
    <w:p w:rsidR="00E660F2" w:rsidRDefault="00E660F2" w:rsidP="00E660F2">
      <w:pPr>
        <w:pStyle w:val="ListBullet"/>
        <w:numPr>
          <w:ilvl w:val="0"/>
          <w:numId w:val="1"/>
        </w:numPr>
      </w:pPr>
      <w:r>
        <w:t>In the apalutamide arm, 46% of events were Grade 3+ and 2% were Grade 4+.</w:t>
      </w:r>
    </w:p>
    <w:p w:rsidR="00E660F2" w:rsidRDefault="00E660F2" w:rsidP="00E660F2">
      <w:pPr>
        <w:pStyle w:val="Heading5"/>
      </w:pPr>
      <w:r>
        <w:t>Delegate summary of issues</w:t>
      </w:r>
    </w:p>
    <w:p w:rsidR="00E660F2" w:rsidRDefault="00E660F2" w:rsidP="00E660F2">
      <w:pPr>
        <w:pStyle w:val="ListBullet"/>
        <w:numPr>
          <w:ilvl w:val="0"/>
          <w:numId w:val="1"/>
        </w:numPr>
      </w:pPr>
      <w:r>
        <w:t>QT prolongation is a known risk of androgen deprivation and at least a general statement on QT interval prolongation and androgen deprivation therapy should be included in the PI, as has been done for goserelin, leuprorelin and enzalutamide under ‘Precautions’.</w:t>
      </w:r>
    </w:p>
    <w:p w:rsidR="00E660F2" w:rsidRDefault="00E660F2" w:rsidP="00E660F2">
      <w:pPr>
        <w:pStyle w:val="ListBullet"/>
        <w:numPr>
          <w:ilvl w:val="0"/>
          <w:numId w:val="1"/>
        </w:numPr>
      </w:pPr>
      <w:r>
        <w:t>There is clear evidence of a concentration-dependent effect on QT with apalutamide and active metabolite M3, individually and combined:</w:t>
      </w:r>
    </w:p>
    <w:p w:rsidR="00E660F2" w:rsidRDefault="00E660F2" w:rsidP="00E660F2">
      <w:pPr>
        <w:pStyle w:val="ListBullet2"/>
        <w:numPr>
          <w:ilvl w:val="1"/>
          <w:numId w:val="1"/>
        </w:numPr>
      </w:pPr>
      <w:r>
        <w:t xml:space="preserve">From Phase Ib Study </w:t>
      </w:r>
      <w:r w:rsidRPr="007919CE">
        <w:t>PCR1019</w:t>
      </w:r>
      <w:r>
        <w:t xml:space="preserve"> in which the upper bound of the ΔQTcF was 19.0 ms for apalutamide and 16.2 ms for active metabolite JNJ-56142060</w:t>
      </w:r>
    </w:p>
    <w:p w:rsidR="00E660F2" w:rsidRDefault="00E660F2" w:rsidP="00E660F2">
      <w:pPr>
        <w:pStyle w:val="ListBullet2"/>
        <w:numPr>
          <w:ilvl w:val="1"/>
          <w:numId w:val="1"/>
        </w:numPr>
      </w:pPr>
      <w:r>
        <w:t>From exposure-QT analysis of Study PCR1019</w:t>
      </w:r>
    </w:p>
    <w:p w:rsidR="00E660F2" w:rsidRDefault="00E660F2" w:rsidP="00E660F2">
      <w:pPr>
        <w:pStyle w:val="ListBullet2"/>
        <w:numPr>
          <w:ilvl w:val="1"/>
          <w:numId w:val="1"/>
        </w:numPr>
      </w:pPr>
      <w:r>
        <w:lastRenderedPageBreak/>
        <w:t>No control arm was included in dedicated QT Study PCR1019</w:t>
      </w:r>
    </w:p>
    <w:p w:rsidR="00E660F2" w:rsidRDefault="00E660F2" w:rsidP="00E660F2">
      <w:pPr>
        <w:pStyle w:val="ListBullet"/>
        <w:numPr>
          <w:ilvl w:val="0"/>
          <w:numId w:val="1"/>
        </w:numPr>
      </w:pPr>
      <w:r>
        <w:t>Interpretation of data from the pivotal trial is very limited due to the extremely small substudy size (11 apalutamide patients).</w:t>
      </w:r>
    </w:p>
    <w:p w:rsidR="00E660F2" w:rsidRDefault="00E660F2" w:rsidP="00E660F2">
      <w:pPr>
        <w:pStyle w:val="ListBullet"/>
        <w:numPr>
          <w:ilvl w:val="0"/>
          <w:numId w:val="1"/>
        </w:numPr>
      </w:pPr>
      <w:r>
        <w:t xml:space="preserve">The 20 ms threshold for ‘regulatory importance’ is arbitrary, and it is agreed that in an oncology indication there is probably more tolerance of propensity for QTc prolongation that for non-life threatening diseases. The significance of a time-matched mean ΔQTcF of 12.4 ms, with an extreme estimate of </w:t>
      </w:r>
      <w:r w:rsidRPr="00635DC5">
        <w:t>mean</w:t>
      </w:r>
      <w:r>
        <w:t xml:space="preserve"> increase of 20.2 ms (upper CI bound 23.7 ms) should be considered possibly clinically significant.</w:t>
      </w:r>
    </w:p>
    <w:p w:rsidR="00E660F2" w:rsidRDefault="00E660F2" w:rsidP="00E660F2">
      <w:pPr>
        <w:pStyle w:val="ListBullet"/>
        <w:numPr>
          <w:ilvl w:val="0"/>
          <w:numId w:val="1"/>
        </w:numPr>
      </w:pPr>
      <w:r>
        <w:t>The clinical significance of this propensity to increase QT should be viewed in context of the real-world patient population (who are generally a ‘well’ group), balanced against the risk of not treating.</w:t>
      </w:r>
    </w:p>
    <w:p w:rsidR="00E660F2" w:rsidRDefault="00E660F2" w:rsidP="00E660F2">
      <w:pPr>
        <w:pStyle w:val="ListBullet"/>
        <w:numPr>
          <w:ilvl w:val="0"/>
          <w:numId w:val="1"/>
        </w:numPr>
      </w:pPr>
      <w:r>
        <w:t>The FDA concluded: ‘</w:t>
      </w:r>
      <w:r w:rsidRPr="000420C6">
        <w:rPr>
          <w:i/>
        </w:rPr>
        <w:t>Given that no clinical findings were seen, including no concerning increase in sudden deaths in the treatment arm nor was there increase in QTc &gt;20ms the ability to make strong clinical recommendations based on these findings is not possible.’</w:t>
      </w:r>
    </w:p>
    <w:p w:rsidR="00E660F2" w:rsidRPr="006163BE" w:rsidRDefault="00E660F2" w:rsidP="00E660F2">
      <w:r w:rsidRPr="006163BE">
        <w:t>The Delegate commented that it is agreed that strong clinical recommendations are not warranted. However, the QT prolongation data should be included as has been done in the US label, including the exposure-QT analysis and t-wave findings. A Precaution regarding QT prolongation in androgen deprivation is also warranted.</w:t>
      </w:r>
    </w:p>
    <w:p w:rsidR="00E660F2" w:rsidRDefault="00E660F2" w:rsidP="00E660F2">
      <w:pPr>
        <w:pStyle w:val="Heading6"/>
      </w:pPr>
      <w:r>
        <w:t>Indication wording</w:t>
      </w:r>
    </w:p>
    <w:p w:rsidR="00E660F2" w:rsidRDefault="00E660F2" w:rsidP="00E660F2">
      <w:r>
        <w:t xml:space="preserve">The clinical </w:t>
      </w:r>
      <w:r w:rsidR="006E55E4">
        <w:t>evaluator</w:t>
      </w:r>
      <w:r>
        <w:t xml:space="preserve"> recommended removal of ‘</w:t>
      </w:r>
      <w:r w:rsidRPr="00391F42">
        <w:t>at risk of developing metastases’</w:t>
      </w:r>
      <w:r>
        <w:t xml:space="preserve"> to simplify the indication:</w:t>
      </w:r>
    </w:p>
    <w:p w:rsidR="00E660F2" w:rsidRPr="00CA3099" w:rsidRDefault="00E660F2" w:rsidP="00E660F2">
      <w:pPr>
        <w:ind w:left="720"/>
        <w:rPr>
          <w:i/>
        </w:rPr>
      </w:pPr>
      <w:r w:rsidRPr="00CA3099">
        <w:rPr>
          <w:i/>
        </w:rPr>
        <w:t xml:space="preserve">as the use of the PSADT is just one means of identifying patients at increased risk of metastatic disease following biochemical recurrence. The magnitude of </w:t>
      </w:r>
      <w:r>
        <w:rPr>
          <w:i/>
        </w:rPr>
        <w:t>r</w:t>
      </w:r>
      <w:r w:rsidRPr="00CA3099">
        <w:rPr>
          <w:i/>
        </w:rPr>
        <w:t>esponse was maintained across the study population, and therefore, exactly how the patient population is best determined remains unclear.</w:t>
      </w:r>
    </w:p>
    <w:p w:rsidR="00E660F2" w:rsidRDefault="00E660F2" w:rsidP="00E660F2">
      <w:r>
        <w:t>T</w:t>
      </w:r>
      <w:r w:rsidRPr="0046033F">
        <w:t xml:space="preserve">he </w:t>
      </w:r>
      <w:r>
        <w:t>s</w:t>
      </w:r>
      <w:r w:rsidRPr="0046033F">
        <w:t xml:space="preserve">ponsor </w:t>
      </w:r>
      <w:r>
        <w:t xml:space="preserve">agreed, and additionally </w:t>
      </w:r>
      <w:r w:rsidRPr="0046033F">
        <w:t>proposed</w:t>
      </w:r>
      <w:r>
        <w:t xml:space="preserve"> to:</w:t>
      </w:r>
    </w:p>
    <w:p w:rsidR="00E660F2" w:rsidRDefault="00E660F2" w:rsidP="00E660F2">
      <w:pPr>
        <w:pStyle w:val="Numberbullet0"/>
        <w:numPr>
          <w:ilvl w:val="0"/>
          <w:numId w:val="10"/>
        </w:numPr>
        <w:ind w:left="567"/>
      </w:pPr>
      <w:r>
        <w:t>Add ‘see Clinical Trials’ to the end of the Indication statement.</w:t>
      </w:r>
    </w:p>
    <w:p w:rsidR="00E660F2" w:rsidRPr="00EB74A1" w:rsidRDefault="00E660F2" w:rsidP="00E660F2">
      <w:pPr>
        <w:pStyle w:val="Numberbullet0"/>
        <w:numPr>
          <w:ilvl w:val="0"/>
          <w:numId w:val="2"/>
        </w:numPr>
        <w:ind w:left="567"/>
      </w:pPr>
      <w:r>
        <w:t>Include the text into the Clinical trials section ‘</w:t>
      </w:r>
      <w:r w:rsidRPr="00CA3099">
        <w:rPr>
          <w:i/>
        </w:rPr>
        <w:t>In the SPARTAN study, metastases were detected by technetium-99m bone scan, CT or MRI of the chest, abdomen and pelvis</w:t>
      </w:r>
      <w:r>
        <w:t>.’ This will make it clear to prescribers of how metastases were detected.’</w:t>
      </w:r>
    </w:p>
    <w:p w:rsidR="00E660F2" w:rsidRDefault="00E660F2" w:rsidP="00E660F2">
      <w:r w:rsidRPr="006163BE">
        <w:t>The Delegate commented that the risk-benefit decision to treat made by a patient and</w:t>
      </w:r>
      <w:r>
        <w:t xml:space="preserve"> prescriber should take into account the decreased likelihood of developing metastatic disease if treated with apalutamide, versus the risks of apalutamide usage. The way that ‘high risk’ was defined in the study protocol (that is, PSA doubling time) is considered useful to prescribers for their information but should not be used to restrict the indication for the reasons cited by the evaluator.</w:t>
      </w:r>
    </w:p>
    <w:p w:rsidR="00E660F2" w:rsidRDefault="00E660F2" w:rsidP="00E660F2">
      <w:pPr>
        <w:pStyle w:val="ListBullet"/>
        <w:numPr>
          <w:ilvl w:val="0"/>
          <w:numId w:val="1"/>
        </w:numPr>
        <w:ind w:left="720"/>
      </w:pPr>
      <w:r>
        <w:t>The information that appears under the Indications heading in the PI document must comply with the statutory definition of ‘indications’ in section 3 of the Act and must be self-contained.</w:t>
      </w:r>
    </w:p>
    <w:p w:rsidR="00E660F2" w:rsidRDefault="00E660F2" w:rsidP="00E660F2">
      <w:pPr>
        <w:pStyle w:val="ListBullet"/>
        <w:numPr>
          <w:ilvl w:val="0"/>
          <w:numId w:val="1"/>
        </w:numPr>
        <w:ind w:left="720"/>
      </w:pPr>
      <w:r>
        <w:t>Information that appears under other headings in the PI document cannot be presented as ‘indications’ or otherwise modify the indications enumerated under the heading ‘Indications’.</w:t>
      </w:r>
    </w:p>
    <w:p w:rsidR="00E660F2" w:rsidRDefault="00E660F2" w:rsidP="00E660F2">
      <w:pPr>
        <w:pStyle w:val="ListBullet"/>
        <w:numPr>
          <w:ilvl w:val="0"/>
          <w:numId w:val="1"/>
        </w:numPr>
        <w:ind w:left="720"/>
      </w:pPr>
      <w:r>
        <w:t>Information that appears under the Indications heading in the PI document can refer to additional information under other headings in the PI document where that information serves to explain the basis for the specific therapeutic uses of the goods. However, that information must not alter the specific therapeutic uses of the goods.</w:t>
      </w:r>
    </w:p>
    <w:p w:rsidR="00E660F2" w:rsidRDefault="00E660F2" w:rsidP="00E660F2">
      <w:pPr>
        <w:ind w:left="360"/>
      </w:pPr>
      <w:r>
        <w:lastRenderedPageBreak/>
        <w:t xml:space="preserve">Based on this, the indication could refer to Clinical Trials to explain the basis for the indication, but the content of the Clinical trials section would not alter the specific therapeutic use, that is, would provide detail of the inclusion criteria of the trial including how the pivotal trial population were selected, but does not dictate by what means a clinician and patient decide the risks of treatment are outweighed by the possible efficacy benefit (which necessarily involves consideration of the likely MFS if not treated). </w:t>
      </w:r>
    </w:p>
    <w:p w:rsidR="00E660F2" w:rsidRDefault="00E660F2" w:rsidP="00E660F2">
      <w:pPr>
        <w:ind w:left="360"/>
      </w:pPr>
      <w:r w:rsidRPr="00FE68D0">
        <w:t>The Delegate therefore recom</w:t>
      </w:r>
      <w:r>
        <w:t>mends the following indication:</w:t>
      </w:r>
    </w:p>
    <w:p w:rsidR="00E660F2" w:rsidRDefault="00E660F2" w:rsidP="00E660F2">
      <w:pPr>
        <w:ind w:left="720"/>
      </w:pPr>
      <w:r>
        <w:rPr>
          <w:i/>
        </w:rPr>
        <w:t>‘…</w:t>
      </w:r>
      <w:r w:rsidRPr="006843D6">
        <w:rPr>
          <w:i/>
        </w:rPr>
        <w:t xml:space="preserve">for the treatment of patients with </w:t>
      </w:r>
      <w:r w:rsidRPr="00250AC5">
        <w:rPr>
          <w:i/>
        </w:rPr>
        <w:t xml:space="preserve">non-metastatic castration-resistant prostate cancer </w:t>
      </w:r>
      <w:r>
        <w:rPr>
          <w:i/>
        </w:rPr>
        <w:t>(see 5.1 Clinical trials).’</w:t>
      </w:r>
    </w:p>
    <w:p w:rsidR="00E660F2" w:rsidRDefault="00E660F2" w:rsidP="00E660F2">
      <w:pPr>
        <w:pStyle w:val="Heading3"/>
        <w:rPr>
          <w:lang w:eastAsia="en-AU"/>
        </w:rPr>
      </w:pPr>
      <w:bookmarkStart w:id="202" w:name="_Toc314842514"/>
      <w:bookmarkStart w:id="203" w:name="_Toc523915080"/>
      <w:bookmarkStart w:id="204" w:name="_Toc5014080"/>
      <w:r>
        <w:rPr>
          <w:lang w:eastAsia="en-AU"/>
        </w:rPr>
        <w:t>Risk management plan</w:t>
      </w:r>
      <w:bookmarkEnd w:id="202"/>
      <w:bookmarkEnd w:id="203"/>
      <w:bookmarkEnd w:id="204"/>
    </w:p>
    <w:p w:rsidR="00E660F2" w:rsidRDefault="00E660F2" w:rsidP="00E660F2">
      <w:r>
        <w:t xml:space="preserve">See </w:t>
      </w:r>
      <w:r w:rsidRPr="00F64D1D">
        <w:rPr>
          <w:i/>
        </w:rPr>
        <w:t>Pharmacovigilance</w:t>
      </w:r>
      <w:r>
        <w:t xml:space="preserve"> findings above.</w:t>
      </w:r>
    </w:p>
    <w:p w:rsidR="00E660F2" w:rsidRDefault="00E660F2" w:rsidP="00E660F2">
      <w:r>
        <w:t>The RMP evaluator made a number of specific recommendations to the Delegate. The issues raised are predominantly in keeping with issues addressed in the clinical evaluation and so are covered in the above discussions. Other recommendations were:</w:t>
      </w:r>
    </w:p>
    <w:p w:rsidR="00E660F2" w:rsidRDefault="00E660F2" w:rsidP="00E660F2">
      <w:pPr>
        <w:pStyle w:val="ListBullet"/>
        <w:numPr>
          <w:ilvl w:val="0"/>
          <w:numId w:val="1"/>
        </w:numPr>
      </w:pPr>
      <w:r w:rsidRPr="00624552">
        <w:t>Noting that apalutamide has not been studied in people under 18 years of age and that children can very rarely develop prostate cancer, it is recommended to the Delegate that the PI include mention that apalutamide has not been studied in people under 18 years of age.</w:t>
      </w:r>
    </w:p>
    <w:p w:rsidR="00E660F2" w:rsidRPr="006163BE" w:rsidRDefault="00E660F2" w:rsidP="00E660F2">
      <w:r w:rsidRPr="006163BE">
        <w:t>The Delegate commented that a comment regarding paediatric data has been included in PI changes proposed by the Delegate.</w:t>
      </w:r>
    </w:p>
    <w:p w:rsidR="00E660F2" w:rsidRPr="0052103B" w:rsidRDefault="00E660F2" w:rsidP="00E660F2">
      <w:r>
        <w:t>Recommended wording for conditions of registration regarding the RMP, the Black triangle scheme (to be included as this is a new chemical entity) and PSUR requirements are outlined in the final RMP evaluation report.</w:t>
      </w:r>
    </w:p>
    <w:p w:rsidR="00E660F2" w:rsidRDefault="00E660F2" w:rsidP="00E660F2">
      <w:pPr>
        <w:pStyle w:val="Heading3"/>
      </w:pPr>
      <w:bookmarkStart w:id="205" w:name="_Toc247691531"/>
      <w:bookmarkStart w:id="206" w:name="_Toc314842515"/>
      <w:bookmarkStart w:id="207" w:name="_Toc523915081"/>
      <w:bookmarkStart w:id="208" w:name="_Toc196046505"/>
      <w:bookmarkStart w:id="209" w:name="_Toc196046949"/>
      <w:bookmarkStart w:id="210" w:name="_Toc5014081"/>
      <w:r>
        <w:t>Risk-benefit analysis</w:t>
      </w:r>
      <w:bookmarkEnd w:id="205"/>
      <w:bookmarkEnd w:id="206"/>
      <w:bookmarkEnd w:id="207"/>
      <w:bookmarkEnd w:id="210"/>
    </w:p>
    <w:p w:rsidR="00E660F2" w:rsidRDefault="00E660F2" w:rsidP="00E660F2">
      <w:pPr>
        <w:pStyle w:val="Heading4"/>
      </w:pPr>
      <w:r w:rsidRPr="00D23139">
        <w:t>Delegate’s considerations</w:t>
      </w:r>
    </w:p>
    <w:p w:rsidR="00E660F2" w:rsidRDefault="00E660F2" w:rsidP="00E660F2">
      <w:pPr>
        <w:pStyle w:val="Heading5"/>
      </w:pPr>
      <w:r w:rsidRPr="00C70779">
        <w:t>Condition</w:t>
      </w:r>
    </w:p>
    <w:p w:rsidR="00E660F2" w:rsidRDefault="00E660F2" w:rsidP="00E660F2">
      <w:r>
        <w:t>About 80% of patients have regionally localised prostate cancer at diagnosis (that is, no discernible distant metastases).</w:t>
      </w:r>
    </w:p>
    <w:p w:rsidR="00E660F2" w:rsidRDefault="00E660F2" w:rsidP="00E660F2">
      <w:r>
        <w:t>Risk stratification for patients with regionally localised disease is based on factors such as the extent of disease in the prostate, involvement of local lymph nodes, PSA, and Gleason score. For men with low-risk disease, active surveillance may be offered (or definitive treatment with prostatectomy or RT). For men with intermediate risk or high risk disease definitive treatment with prostatectomy or RT is usually offered. Of course, co-morbidities and life expectancy may factor into management decisions.</w:t>
      </w:r>
    </w:p>
    <w:p w:rsidR="00E660F2" w:rsidRDefault="00E660F2" w:rsidP="00E660F2">
      <w:r>
        <w:t xml:space="preserve">In Australia, </w:t>
      </w:r>
      <w:r w:rsidRPr="000B1A32">
        <w:t xml:space="preserve">use of ADT </w:t>
      </w:r>
      <w:r>
        <w:t xml:space="preserve">(GnRH agonist or surgical castration) </w:t>
      </w:r>
      <w:r w:rsidRPr="000B1A32">
        <w:t xml:space="preserve">or </w:t>
      </w:r>
      <w:r>
        <w:t xml:space="preserve">first generation </w:t>
      </w:r>
      <w:r w:rsidRPr="000B1A32">
        <w:t>anti</w:t>
      </w:r>
      <w:r>
        <w:noBreakHyphen/>
      </w:r>
      <w:r w:rsidRPr="000B1A32">
        <w:t xml:space="preserve">androgen monotherapy </w:t>
      </w:r>
      <w:r>
        <w:t>(bicalutamide, nilutamide and flutamide) instead of prostatectomy or RT is usually</w:t>
      </w:r>
      <w:r w:rsidRPr="000B1A32">
        <w:t xml:space="preserve"> limited to patient</w:t>
      </w:r>
      <w:r>
        <w:t>s with significant comorbidities that preclude</w:t>
      </w:r>
      <w:r w:rsidRPr="000B1A32">
        <w:t xml:space="preserve"> </w:t>
      </w:r>
      <w:r>
        <w:t xml:space="preserve">these </w:t>
      </w:r>
      <w:r w:rsidRPr="000B1A32">
        <w:t>definitive treatment</w:t>
      </w:r>
      <w:r>
        <w:t>s</w:t>
      </w:r>
      <w:r w:rsidRPr="000B1A32">
        <w:t>.</w:t>
      </w:r>
    </w:p>
    <w:p w:rsidR="00E660F2" w:rsidRDefault="00E660F2" w:rsidP="00E660F2">
      <w:r w:rsidRPr="000B1A32">
        <w:t xml:space="preserve">For patients with </w:t>
      </w:r>
      <w:r>
        <w:t xml:space="preserve">high-risk disease (for example, </w:t>
      </w:r>
      <w:r w:rsidRPr="000B1A32">
        <w:t>more extensive lymph node involvement</w:t>
      </w:r>
      <w:r>
        <w:t>)</w:t>
      </w:r>
      <w:r w:rsidRPr="000B1A32">
        <w:t>, adjuvant ADT</w:t>
      </w:r>
      <w:r>
        <w:t xml:space="preserve"> is sometimes offered. The optimal period of adjuvant treatment with ADT is currently uncertain.</w:t>
      </w:r>
    </w:p>
    <w:p w:rsidR="00E660F2" w:rsidRDefault="00E660F2" w:rsidP="00E660F2">
      <w:r>
        <w:lastRenderedPageBreak/>
        <w:t>Currently, most men do not receive adjuvant ADT. Instead they receive ADT when the PSA level increases, subsequent to an initial period of PSA stability; after definitive treatment (prostatectomy, RT).</w:t>
      </w:r>
    </w:p>
    <w:p w:rsidR="00E660F2" w:rsidRDefault="00E660F2" w:rsidP="00E660F2">
      <w:r>
        <w:t>ADT typically results in an initial PSA decrease followed by another period of PSA stability.</w:t>
      </w:r>
    </w:p>
    <w:p w:rsidR="00E660F2" w:rsidRDefault="00E660F2" w:rsidP="00E660F2">
      <w:r>
        <w:t>Subsequently, resistance to ADT often develops and patients then develop CRPC, which is marked by an increase in PSA despite castration levels of testosterone.</w:t>
      </w:r>
    </w:p>
    <w:p w:rsidR="00E660F2" w:rsidRDefault="00E660F2" w:rsidP="00E660F2">
      <w:r>
        <w:t>Because PSA is readily measured in the blood and may increase before overt metastatic disease is present, it is possible for patients to be in a state where their PSA rises but no measurable disease is discernible on any imaging modality (biochemical recurrence). This is termed ‘non-metastatic castration-resistant prostate cancer’ (NM-CRPC or M0 CRPC); micro-metastases are present; they are not discernible with imaging.</w:t>
      </w:r>
    </w:p>
    <w:p w:rsidR="00E660F2" w:rsidRDefault="00E660F2" w:rsidP="00E660F2">
      <w:pPr>
        <w:rPr>
          <w:szCs w:val="18"/>
        </w:rPr>
      </w:pPr>
      <w:r>
        <w:t xml:space="preserve">Among men with NM-CRPC, a shorter PSADT (the estimated time required for the PSA level to double) is associated with a shorter time to metastasis and death. </w:t>
      </w:r>
      <w:r>
        <w:rPr>
          <w:szCs w:val="18"/>
        </w:rPr>
        <w:t>W</w:t>
      </w:r>
      <w:r w:rsidRPr="00C005F3">
        <w:rPr>
          <w:szCs w:val="18"/>
        </w:rPr>
        <w:t xml:space="preserve">hen the </w:t>
      </w:r>
      <w:r w:rsidR="00C31962">
        <w:rPr>
          <w:szCs w:val="18"/>
        </w:rPr>
        <w:t>PSADT is</w:t>
      </w:r>
      <w:r>
        <w:rPr>
          <w:szCs w:val="18"/>
        </w:rPr>
        <w:t xml:space="preserve"> &lt;10 months, m</w:t>
      </w:r>
      <w:r w:rsidRPr="00C005F3">
        <w:rPr>
          <w:szCs w:val="18"/>
        </w:rPr>
        <w:t>edian time to detectabl</w:t>
      </w:r>
      <w:r>
        <w:rPr>
          <w:szCs w:val="18"/>
        </w:rPr>
        <w:t>e metastases is about 2 years.</w:t>
      </w:r>
    </w:p>
    <w:p w:rsidR="00E660F2" w:rsidRDefault="00E660F2" w:rsidP="00E660F2">
      <w:r>
        <w:t>Nearly all men with NM-</w:t>
      </w:r>
      <w:r w:rsidRPr="00C005F3">
        <w:t>CRPC eventually develop skeletal</w:t>
      </w:r>
      <w:r>
        <w:t xml:space="preserve"> </w:t>
      </w:r>
      <w:r w:rsidRPr="00C005F3">
        <w:t>related events, pain and progressive complications that are life-threatening and difficult to treat.</w:t>
      </w:r>
      <w:r>
        <w:t xml:space="preserve"> Distant metastases are a major cause of complications and death among men with prostate cancer. Nearly all men who die from prostate cancer have antecedent distant metastases.</w:t>
      </w:r>
    </w:p>
    <w:p w:rsidR="00E660F2" w:rsidRPr="00AA7FEA" w:rsidRDefault="00E660F2" w:rsidP="00E660F2">
      <w:r>
        <w:t>That is, the prognosis is poor for metastatic CRPC. Common sites of metastases are bone, lymph nodes, and liver (also lung). Once the cancer has progressed to this stage, median survival time is approximately 3 years. A delay in the time to metastatic disease has the potential to delay cancer related symptoms and may help prolong survival.</w:t>
      </w:r>
    </w:p>
    <w:p w:rsidR="00E660F2" w:rsidRDefault="00E660F2" w:rsidP="00E660F2">
      <w:r>
        <w:t>Bone metastases are associated with pain, pathologic fractures and spinal cord compression. Prevention of metastases to bone and other sites represents an important treatment goal.</w:t>
      </w:r>
    </w:p>
    <w:p w:rsidR="00E660F2" w:rsidRPr="007B2BBF" w:rsidRDefault="00E660F2" w:rsidP="00E660F2">
      <w:pPr>
        <w:pStyle w:val="Heading5"/>
      </w:pPr>
      <w:r w:rsidRPr="00C70779">
        <w:t>Current treatment options</w:t>
      </w:r>
    </w:p>
    <w:p w:rsidR="00E660F2" w:rsidRDefault="00E660F2" w:rsidP="00E660F2">
      <w:r>
        <w:t>For patients CRPC and identified metastases (M1+ CRPC), there are several medicines available such as abiraterone, enzalutamide, docetaxel, carbazitaxel (in combination with ADT). Patients without detectable metastases (NM-CRPC) were excluded from the registration trials for these medicines.</w:t>
      </w:r>
    </w:p>
    <w:p w:rsidR="00E660F2" w:rsidRDefault="00E660F2" w:rsidP="00E660F2">
      <w:r>
        <w:t>In contrast, there are currently no medicines on the ARTG specifically for patients with NM-CRPC (no radiographic evidence of metastasis). First generation anti-androgens such as bicalutamide, nilutamide and flutamide (combined with ADT) have been used. Other hormonal therapies that have been used indirectly to treat NM-CRPC include low dose corticosteroids such as hydrocortisone, dexamethasone and prednisone; and ketoconazole for its indirect effects to inhibit adrenal production.</w:t>
      </w:r>
    </w:p>
    <w:p w:rsidR="00E660F2" w:rsidRPr="00357606" w:rsidRDefault="00E660F2" w:rsidP="00E660F2">
      <w:r>
        <w:t>Three of four</w:t>
      </w:r>
      <w:r w:rsidRPr="00165FCB">
        <w:t xml:space="preserve"> </w:t>
      </w:r>
      <w:r>
        <w:t>previous large randomis</w:t>
      </w:r>
      <w:r w:rsidRPr="00165FCB">
        <w:t xml:space="preserve">ed control trials in </w:t>
      </w:r>
      <w:r>
        <w:t>NM-CRPC (atrasentan, z</w:t>
      </w:r>
      <w:r w:rsidRPr="00165FCB">
        <w:t>ibotentan</w:t>
      </w:r>
      <w:r>
        <w:t xml:space="preserve"> and zoledronic acid) failed to show a significant benefit on BMFS versus placebo. D</w:t>
      </w:r>
      <w:r>
        <w:rPr>
          <w:rFonts w:cstheme="minorHAnsi"/>
        </w:rPr>
        <w:t>enos</w:t>
      </w:r>
      <w:r w:rsidRPr="0086558D">
        <w:rPr>
          <w:rFonts w:cstheme="minorHAnsi"/>
        </w:rPr>
        <w:t>umab showed a 4</w:t>
      </w:r>
      <w:r>
        <w:rPr>
          <w:rFonts w:cstheme="minorHAnsi"/>
        </w:rPr>
        <w:t xml:space="preserve"> </w:t>
      </w:r>
      <w:r w:rsidRPr="0086558D">
        <w:rPr>
          <w:rFonts w:cstheme="minorHAnsi"/>
        </w:rPr>
        <w:t xml:space="preserve">month benefit on </w:t>
      </w:r>
      <w:r>
        <w:rPr>
          <w:rFonts w:cstheme="minorHAnsi"/>
        </w:rPr>
        <w:t>B</w:t>
      </w:r>
      <w:r w:rsidRPr="0086558D">
        <w:rPr>
          <w:rFonts w:cstheme="minorHAnsi"/>
        </w:rPr>
        <w:t>MFS over placebo but did not improve OS, and 5% of patients developed osteonecrosis</w:t>
      </w:r>
      <w:r>
        <w:rPr>
          <w:rFonts w:cstheme="minorHAnsi"/>
        </w:rPr>
        <w:t>, thus was not approved in the US where it was submitted for registration.</w:t>
      </w:r>
    </w:p>
    <w:p w:rsidR="00E660F2" w:rsidRDefault="00E660F2" w:rsidP="00E660F2">
      <w:r>
        <w:t>If approved, apalutamide will be the first therapy approved in Australia for the treatment of NM-CRPC (in combination with ADT).</w:t>
      </w:r>
    </w:p>
    <w:p w:rsidR="00E660F2" w:rsidRDefault="00E660F2" w:rsidP="00E660F2">
      <w:pPr>
        <w:pStyle w:val="Heading5"/>
      </w:pPr>
      <w:r w:rsidRPr="00C70779">
        <w:t>Benefits</w:t>
      </w:r>
    </w:p>
    <w:p w:rsidR="00E660F2" w:rsidRDefault="00E660F2" w:rsidP="00E660F2">
      <w:r w:rsidRPr="00F64D1D">
        <w:rPr>
          <w:i/>
        </w:rPr>
        <w:t>Pivotal study for registration:</w:t>
      </w:r>
      <w:r>
        <w:t xml:space="preserve"> Study ARN 509-003/SPARTAN trial.</w:t>
      </w:r>
    </w:p>
    <w:p w:rsidR="00E660F2" w:rsidRDefault="00E660F2" w:rsidP="00E660F2">
      <w:r w:rsidRPr="00F64D1D">
        <w:rPr>
          <w:i/>
        </w:rPr>
        <w:t>Apalutamide (add-on to continuing ADT):</w:t>
      </w:r>
      <w:r>
        <w:t xml:space="preserve"> n=806</w:t>
      </w:r>
    </w:p>
    <w:p w:rsidR="00E660F2" w:rsidRDefault="00E660F2" w:rsidP="00E660F2">
      <w:r w:rsidRPr="00F64D1D">
        <w:rPr>
          <w:i/>
        </w:rPr>
        <w:t>Placebo (continuing ADT):</w:t>
      </w:r>
      <w:r>
        <w:t xml:space="preserve"> n=401</w:t>
      </w:r>
    </w:p>
    <w:p w:rsidR="00E660F2" w:rsidRDefault="00E660F2" w:rsidP="00E660F2">
      <w:r w:rsidRPr="00507599">
        <w:lastRenderedPageBreak/>
        <w:t>Patients were required to have CRPC, PSADT &lt;10</w:t>
      </w:r>
      <w:r>
        <w:t xml:space="preserve"> months</w:t>
      </w:r>
      <w:r w:rsidRPr="00507599">
        <w:t xml:space="preserve"> </w:t>
      </w:r>
      <w:r>
        <w:t xml:space="preserve">and </w:t>
      </w:r>
      <w:r w:rsidRPr="00507599">
        <w:t>an absence of distant metastases confirmed by BIRC</w:t>
      </w:r>
      <w:r>
        <w:t xml:space="preserve"> (NM-CRPC)</w:t>
      </w:r>
      <w:r w:rsidRPr="00507599">
        <w:t>. Patients with</w:t>
      </w:r>
      <w:r>
        <w:t xml:space="preserve"> </w:t>
      </w:r>
      <w:r w:rsidRPr="00507599">
        <w:t>asymptomatic locoregional disease (N1) were allowed on the study.</w:t>
      </w:r>
    </w:p>
    <w:p w:rsidR="00E660F2" w:rsidRDefault="00E660F2" w:rsidP="00E660F2">
      <w:r w:rsidRPr="00F64D1D">
        <w:rPr>
          <w:i/>
        </w:rPr>
        <w:t>Primary endpoint:</w:t>
      </w:r>
      <w:r>
        <w:t xml:space="preserve"> BIRC </w:t>
      </w:r>
      <w:r w:rsidRPr="00507599">
        <w:t>assessed MFS</w:t>
      </w:r>
      <w:r>
        <w:t>.</w:t>
      </w:r>
    </w:p>
    <w:p w:rsidR="00E660F2" w:rsidRDefault="00E660F2" w:rsidP="00E660F2">
      <w:r w:rsidRPr="00F64D1D">
        <w:rPr>
          <w:i/>
        </w:rPr>
        <w:t xml:space="preserve">Apalutamide: </w:t>
      </w:r>
      <w:r>
        <w:t>Median (MFS) =40 months</w:t>
      </w:r>
    </w:p>
    <w:p w:rsidR="00E660F2" w:rsidRDefault="00E660F2" w:rsidP="00E660F2">
      <w:r w:rsidRPr="00F64D1D">
        <w:rPr>
          <w:i/>
        </w:rPr>
        <w:t>Placebo:</w:t>
      </w:r>
      <w:r>
        <w:t xml:space="preserve"> Median (MFS) =16 months</w:t>
      </w:r>
    </w:p>
    <w:p w:rsidR="00E660F2" w:rsidRDefault="00E660F2" w:rsidP="00E660F2">
      <w:pPr>
        <w:pStyle w:val="ListBullet"/>
        <w:numPr>
          <w:ilvl w:val="0"/>
          <w:numId w:val="1"/>
        </w:numPr>
      </w:pPr>
      <w:r>
        <w:t>HR (MFS) =0.28; p&lt;0.0001.</w:t>
      </w:r>
    </w:p>
    <w:p w:rsidR="00E660F2" w:rsidRDefault="00E660F2" w:rsidP="00E660F2">
      <w:pPr>
        <w:pStyle w:val="ListBullet"/>
        <w:numPr>
          <w:ilvl w:val="0"/>
          <w:numId w:val="1"/>
        </w:numPr>
      </w:pPr>
      <w:r>
        <w:t>The results for PFS were similar:</w:t>
      </w:r>
    </w:p>
    <w:p w:rsidR="00E660F2" w:rsidRDefault="00E660F2" w:rsidP="00E660F2">
      <w:pPr>
        <w:pStyle w:val="ListBullet2"/>
        <w:numPr>
          <w:ilvl w:val="1"/>
          <w:numId w:val="1"/>
        </w:numPr>
      </w:pPr>
      <w:r>
        <w:t>Median (PFS) 41 months versus 17 months</w:t>
      </w:r>
    </w:p>
    <w:p w:rsidR="00E660F2" w:rsidRDefault="00E660F2" w:rsidP="00E660F2">
      <w:pPr>
        <w:pStyle w:val="ListBullet2"/>
        <w:numPr>
          <w:ilvl w:val="1"/>
          <w:numId w:val="1"/>
        </w:numPr>
      </w:pPr>
      <w:r>
        <w:t>HR (PFS) =0.27</w:t>
      </w:r>
    </w:p>
    <w:p w:rsidR="00E660F2" w:rsidRDefault="00E660F2" w:rsidP="00E660F2">
      <w:r>
        <w:t>Other secondary endpoints were supportive: time-to-metastasis, time to symptomatic progression.</w:t>
      </w:r>
    </w:p>
    <w:p w:rsidR="00E660F2" w:rsidRDefault="00E660F2" w:rsidP="00E660F2">
      <w:r>
        <w:t>OS data were immature (24% of deaths required for the final OS analysis). T</w:t>
      </w:r>
      <w:r w:rsidRPr="00CB565B">
        <w:t>here was no decrement in</w:t>
      </w:r>
      <w:r>
        <w:t xml:space="preserve"> OS</w:t>
      </w:r>
      <w:r w:rsidRPr="00CB565B">
        <w:t xml:space="preserve"> and a numerical trend to improved </w:t>
      </w:r>
      <w:r>
        <w:t>OS</w:t>
      </w:r>
      <w:r w:rsidRPr="00CB565B">
        <w:t xml:space="preserve">, which </w:t>
      </w:r>
      <w:r>
        <w:t>provides some reassurance about</w:t>
      </w:r>
      <w:r w:rsidRPr="00CB565B">
        <w:t xml:space="preserve"> the safety of apalutamide</w:t>
      </w:r>
      <w:r>
        <w:t>.</w:t>
      </w:r>
    </w:p>
    <w:p w:rsidR="00E660F2" w:rsidRDefault="00E660F2" w:rsidP="00E660F2">
      <w:pPr>
        <w:pStyle w:val="Heading5"/>
      </w:pPr>
      <w:r w:rsidRPr="00C70779">
        <w:t>Harms</w:t>
      </w:r>
    </w:p>
    <w:p w:rsidR="00E660F2" w:rsidRPr="00CB565B" w:rsidRDefault="00E660F2" w:rsidP="00E660F2">
      <w:r>
        <w:t>T</w:t>
      </w:r>
      <w:r w:rsidRPr="00CB565B">
        <w:t xml:space="preserve">oxicities </w:t>
      </w:r>
      <w:r>
        <w:t xml:space="preserve">specific to apalutamide </w:t>
      </w:r>
      <w:r w:rsidRPr="00CB565B">
        <w:t xml:space="preserve">included rash, </w:t>
      </w:r>
      <w:r>
        <w:t xml:space="preserve">hypothyroidism, </w:t>
      </w:r>
      <w:r w:rsidRPr="00CB565B">
        <w:t>falls and fractures.</w:t>
      </w:r>
    </w:p>
    <w:p w:rsidR="00E660F2" w:rsidRDefault="00E660F2" w:rsidP="00E660F2">
      <w:r w:rsidRPr="00CB565B">
        <w:t>The</w:t>
      </w:r>
      <w:r>
        <w:t>re were rare events of seizure (2 patients in the apalutamide arm). Patients at risk of seizure (a known side effect of antiandrogens from the bicalutamide class) were excluded from the SPARTAN trial.</w:t>
      </w:r>
    </w:p>
    <w:p w:rsidR="00E660F2" w:rsidRDefault="00E660F2" w:rsidP="00E660F2">
      <w:r>
        <w:t>Treatment discontinuations due to AEs were 11% in the apalutamide arm and 7% in the placebo arm.</w:t>
      </w:r>
    </w:p>
    <w:p w:rsidR="00E660F2" w:rsidRDefault="00E660F2" w:rsidP="00E660F2">
      <w:r>
        <w:t>The most common reason for discontinuation in the apalutamide arm was rash (3%).</w:t>
      </w:r>
    </w:p>
    <w:p w:rsidR="00E660F2" w:rsidRDefault="00E660F2" w:rsidP="00E660F2">
      <w:r>
        <w:t>Fractures occurred at the rate of 10.5 per 100 PY in the apalutamide arm and 7.8 per 100 PY in the placebo arm.</w:t>
      </w:r>
    </w:p>
    <w:p w:rsidR="00E660F2" w:rsidRDefault="00E660F2" w:rsidP="00E660F2">
      <w:pPr>
        <w:pStyle w:val="Heading5"/>
      </w:pPr>
      <w:r w:rsidRPr="00C70779">
        <w:t>Benefit-risk balance</w:t>
      </w:r>
    </w:p>
    <w:p w:rsidR="00E660F2" w:rsidRDefault="00E660F2" w:rsidP="00E660F2">
      <w:r w:rsidRPr="00AD35F2">
        <w:t xml:space="preserve">Apalutamide is expected to be prescribed by oncologists </w:t>
      </w:r>
      <w:r>
        <w:t>who are experts</w:t>
      </w:r>
      <w:r w:rsidRPr="00AD35F2">
        <w:t xml:space="preserve"> in the care and</w:t>
      </w:r>
      <w:r>
        <w:t xml:space="preserve"> </w:t>
      </w:r>
      <w:r w:rsidRPr="00AD35F2">
        <w:t>management of patients with prostate cancer. Apalutamide will be dispensed in an ambulatory car</w:t>
      </w:r>
      <w:r>
        <w:t xml:space="preserve">e </w:t>
      </w:r>
      <w:r w:rsidRPr="00AD35F2">
        <w:t>setting.</w:t>
      </w:r>
    </w:p>
    <w:p w:rsidR="00E660F2" w:rsidRDefault="00E660F2" w:rsidP="00E660F2">
      <w:r>
        <w:t>The improvement in median MFS was about 2 years (40 months versus 16 months).</w:t>
      </w:r>
    </w:p>
    <w:p w:rsidR="00E660F2" w:rsidRDefault="00E660F2" w:rsidP="00E660F2">
      <w:r>
        <w:t xml:space="preserve">The well-characterised effects of </w:t>
      </w:r>
      <w:r w:rsidRPr="00353919">
        <w:t>prolonged androgen depriv</w:t>
      </w:r>
      <w:r>
        <w:t>ation include fatigue, bone-density loss, sarcopenia, diabetes</w:t>
      </w:r>
      <w:r w:rsidRPr="00353919">
        <w:t xml:space="preserve"> and coronary artery disease.</w:t>
      </w:r>
      <w:r>
        <w:t xml:space="preserve"> In the SPARTAN trial, the increased frequency and severity of these effects when apalutamide was added to continuing ADT seemed manageable. However, (as is often the case in registration trials) patients in the SPARTAN trial were highly selected; for example, patients with clinically significant cardiovascular disease were excluded (the median age was 74; ECOG was 0 or 1).</w:t>
      </w:r>
    </w:p>
    <w:p w:rsidR="00E660F2" w:rsidRDefault="00E660F2" w:rsidP="00E660F2">
      <w:r>
        <w:t xml:space="preserve">The reason for the increased risk of fracture is unclear. It may reflect weight loss, sarcopenia, increased fragility and decreased bone density in an </w:t>
      </w:r>
      <w:r w:rsidRPr="00CB565B">
        <w:t xml:space="preserve">elderly male population </w:t>
      </w:r>
      <w:r>
        <w:t>treated with</w:t>
      </w:r>
      <w:r w:rsidRPr="00CB565B">
        <w:t xml:space="preserve"> pr</w:t>
      </w:r>
      <w:r>
        <w:t>ior and continuing ADT.</w:t>
      </w:r>
    </w:p>
    <w:p w:rsidR="00E660F2" w:rsidRPr="00CF16A2" w:rsidRDefault="00E660F2" w:rsidP="00E660F2">
      <w:r>
        <w:t>One regulatory issue is whether the indication should reflect the inclusion criteria for the SPARTAN trial and stipulate a PSADT &lt; 10 months. S</w:t>
      </w:r>
      <w:r w:rsidRPr="001B4217">
        <w:t>ubgroup analyses</w:t>
      </w:r>
      <w:r>
        <w:t xml:space="preserve"> </w:t>
      </w:r>
      <w:r w:rsidRPr="001B4217">
        <w:t>showed similar efficacy across all cut</w:t>
      </w:r>
      <w:r>
        <w:t>-</w:t>
      </w:r>
      <w:r w:rsidRPr="001B4217">
        <w:t>offs for PSA doubling times,</w:t>
      </w:r>
      <w:r>
        <w:t xml:space="preserve"> </w:t>
      </w:r>
      <w:r w:rsidRPr="001B4217">
        <w:t>supporting a broader approval. Additionally, given the overall large magnitude of effect</w:t>
      </w:r>
      <w:r>
        <w:t xml:space="preserve"> </w:t>
      </w:r>
      <w:r w:rsidRPr="001B4217">
        <w:t xml:space="preserve">demonstrated by </w:t>
      </w:r>
      <w:r>
        <w:t xml:space="preserve">the </w:t>
      </w:r>
      <w:r w:rsidRPr="001B4217">
        <w:t>SPARTAN</w:t>
      </w:r>
      <w:r>
        <w:t xml:space="preserve"> </w:t>
      </w:r>
      <w:r>
        <w:lastRenderedPageBreak/>
        <w:t>trial</w:t>
      </w:r>
      <w:r w:rsidRPr="001B4217">
        <w:t>, the strict cut</w:t>
      </w:r>
      <w:r>
        <w:t>-</w:t>
      </w:r>
      <w:r w:rsidRPr="001B4217">
        <w:t>off of 10 months would exclude</w:t>
      </w:r>
      <w:r>
        <w:t xml:space="preserve"> </w:t>
      </w:r>
      <w:r w:rsidRPr="001B4217">
        <w:t xml:space="preserve">patients who </w:t>
      </w:r>
      <w:r>
        <w:t>might</w:t>
      </w:r>
      <w:r w:rsidRPr="001B4217">
        <w:t xml:space="preserve"> benefit, for instance those with</w:t>
      </w:r>
      <w:r>
        <w:t xml:space="preserve"> </w:t>
      </w:r>
      <w:r w:rsidRPr="001B4217">
        <w:t>PSADT slightly higher or those with other poor prognostic features.</w:t>
      </w:r>
    </w:p>
    <w:p w:rsidR="00E660F2" w:rsidRDefault="00E660F2" w:rsidP="00E660F2">
      <w:pPr>
        <w:pStyle w:val="Heading4"/>
      </w:pPr>
      <w:r w:rsidRPr="00D23139">
        <w:t>Proposed action</w:t>
      </w:r>
    </w:p>
    <w:p w:rsidR="00E660F2" w:rsidRDefault="00E660F2" w:rsidP="00E660F2">
      <w:r>
        <w:t xml:space="preserve">The Delegate </w:t>
      </w:r>
      <w:r w:rsidRPr="008A4AA4">
        <w:t>ha</w:t>
      </w:r>
      <w:r>
        <w:t>d</w:t>
      </w:r>
      <w:r w:rsidRPr="008A4AA4">
        <w:t xml:space="preserve"> no reason to say, at this point in time, that Erlyand should not be approved for marketing.</w:t>
      </w:r>
    </w:p>
    <w:p w:rsidR="00E660F2" w:rsidRDefault="00E660F2" w:rsidP="00E660F2">
      <w:pPr>
        <w:pStyle w:val="Heading4"/>
      </w:pPr>
      <w:r>
        <w:t>Conditions of registration</w:t>
      </w:r>
    </w:p>
    <w:p w:rsidR="00E660F2" w:rsidRPr="00E5703F" w:rsidRDefault="00E660F2" w:rsidP="00E660F2">
      <w:r>
        <w:rPr>
          <w:szCs w:val="24"/>
        </w:rPr>
        <w:t>Submission of the report for the final OS analysis from the SPARTAN trial should be a condition of registration, as well as any significant information or changes to study conduct arising from interim analyses in the meantime. The f</w:t>
      </w:r>
      <w:r>
        <w:t>inal clinical study report is expected to be available December 2022.</w:t>
      </w:r>
    </w:p>
    <w:p w:rsidR="00E660F2" w:rsidRDefault="00E660F2" w:rsidP="00E660F2">
      <w:pPr>
        <w:pStyle w:val="Heading4"/>
      </w:pPr>
      <w:r>
        <w:t>Advisory Committee Considerations</w:t>
      </w:r>
    </w:p>
    <w:p w:rsidR="00E660F2" w:rsidRPr="00A322B3" w:rsidRDefault="00E660F2" w:rsidP="00E660F2">
      <w:r>
        <w:rPr>
          <w:bCs/>
        </w:rPr>
        <w:t>The Delegate did not refer this application to the Advisory Committee on Medicines (ACM) for advice.</w:t>
      </w:r>
    </w:p>
    <w:p w:rsidR="00E660F2" w:rsidRPr="002E238E" w:rsidRDefault="00E660F2" w:rsidP="00E660F2">
      <w:pPr>
        <w:pStyle w:val="Heading3"/>
      </w:pPr>
      <w:bookmarkStart w:id="211" w:name="_Toc247691532"/>
      <w:bookmarkStart w:id="212" w:name="_Toc314842516"/>
      <w:bookmarkStart w:id="213" w:name="_Toc523915082"/>
      <w:bookmarkStart w:id="214" w:name="_Toc5014082"/>
      <w:bookmarkEnd w:id="125"/>
      <w:bookmarkEnd w:id="208"/>
      <w:bookmarkEnd w:id="209"/>
      <w:r>
        <w:t>Outcome</w:t>
      </w:r>
      <w:bookmarkEnd w:id="211"/>
      <w:bookmarkEnd w:id="212"/>
      <w:bookmarkEnd w:id="213"/>
      <w:bookmarkEnd w:id="214"/>
    </w:p>
    <w:p w:rsidR="00E660F2" w:rsidRPr="002627A1" w:rsidRDefault="00E660F2" w:rsidP="00E660F2">
      <w:bookmarkStart w:id="215" w:name="_Toc247691533"/>
      <w:bookmarkStart w:id="216" w:name="_Toc314842517"/>
      <w:r w:rsidRPr="002627A1">
        <w:t xml:space="preserve">Based on a review of quality, safety and efficacy, </w:t>
      </w:r>
      <w:r>
        <w:t xml:space="preserve">the </w:t>
      </w:r>
      <w:r w:rsidRPr="002627A1">
        <w:t>TGA approved the registration of Erlyand apalutamide 60 mg film-coated tablet bottle and Janssen Apalutamide 60 mg film</w:t>
      </w:r>
      <w:r>
        <w:noBreakHyphen/>
      </w:r>
      <w:r w:rsidRPr="002627A1">
        <w:t xml:space="preserve">coated tablet bottle </w:t>
      </w:r>
      <w:r>
        <w:t xml:space="preserve">to be </w:t>
      </w:r>
      <w:r w:rsidRPr="00804F1B">
        <w:t xml:space="preserve">administered orally </w:t>
      </w:r>
      <w:r>
        <w:t xml:space="preserve">at </w:t>
      </w:r>
      <w:r w:rsidRPr="00804F1B">
        <w:t>240 mg (four 60 mg tablets) once daily</w:t>
      </w:r>
      <w:r w:rsidRPr="002627A1">
        <w:t>, indicated for:</w:t>
      </w:r>
    </w:p>
    <w:p w:rsidR="00E660F2" w:rsidRPr="002627A1" w:rsidRDefault="00E660F2" w:rsidP="00E660F2">
      <w:pPr>
        <w:ind w:left="720"/>
        <w:rPr>
          <w:i/>
        </w:rPr>
      </w:pPr>
      <w:r w:rsidRPr="002627A1">
        <w:rPr>
          <w:i/>
        </w:rPr>
        <w:t>Erlyand/Janssen Apalutamide (apalutamide) is indicated for the treatment of patients with non-metastatic, castration-resistant prostate cancer (see section 5.1 Clinical trials.)</w:t>
      </w:r>
    </w:p>
    <w:p w:rsidR="00E660F2" w:rsidRDefault="00E660F2" w:rsidP="00E660F2">
      <w:pPr>
        <w:pStyle w:val="Heading4"/>
      </w:pPr>
      <w:r w:rsidRPr="00D23139">
        <w:t>Specific conditions of registration applying to these goods</w:t>
      </w:r>
    </w:p>
    <w:p w:rsidR="00E660F2" w:rsidRDefault="00E660F2" w:rsidP="00E660F2">
      <w:pPr>
        <w:pStyle w:val="Numberbullet0"/>
        <w:numPr>
          <w:ilvl w:val="0"/>
          <w:numId w:val="11"/>
        </w:numPr>
        <w:ind w:left="567"/>
      </w:pPr>
      <w:r>
        <w:t>Erlyand/Janssen Apalutamide (apalutamide) is to be included in the Black Triangle Scheme. The PI and CMI for Tradename must include the black triangle symbol and mandatory</w:t>
      </w:r>
      <w:r w:rsidRPr="00930267">
        <w:rPr>
          <w:spacing w:val="-2"/>
        </w:rPr>
        <w:t xml:space="preserve"> </w:t>
      </w:r>
      <w:r>
        <w:t>accompanying</w:t>
      </w:r>
      <w:r w:rsidRPr="00930267">
        <w:rPr>
          <w:spacing w:val="-2"/>
        </w:rPr>
        <w:t xml:space="preserve"> </w:t>
      </w:r>
      <w:r>
        <w:t>text</w:t>
      </w:r>
      <w:r w:rsidRPr="00930267">
        <w:rPr>
          <w:spacing w:val="-5"/>
        </w:rPr>
        <w:t xml:space="preserve"> </w:t>
      </w:r>
      <w:r>
        <w:t>for</w:t>
      </w:r>
      <w:r w:rsidRPr="00930267">
        <w:rPr>
          <w:spacing w:val="-3"/>
        </w:rPr>
        <w:t xml:space="preserve"> </w:t>
      </w:r>
      <w:r>
        <w:t>five</w:t>
      </w:r>
      <w:r w:rsidRPr="00930267">
        <w:rPr>
          <w:spacing w:val="-3"/>
        </w:rPr>
        <w:t xml:space="preserve"> </w:t>
      </w:r>
      <w:r>
        <w:t>years,</w:t>
      </w:r>
      <w:r w:rsidRPr="00930267">
        <w:rPr>
          <w:spacing w:val="-6"/>
        </w:rPr>
        <w:t xml:space="preserve"> </w:t>
      </w:r>
      <w:r>
        <w:t>which</w:t>
      </w:r>
      <w:r w:rsidRPr="00930267">
        <w:rPr>
          <w:spacing w:val="-4"/>
        </w:rPr>
        <w:t xml:space="preserve"> </w:t>
      </w:r>
      <w:r>
        <w:t>starts</w:t>
      </w:r>
      <w:r w:rsidRPr="00930267">
        <w:rPr>
          <w:spacing w:val="-3"/>
        </w:rPr>
        <w:t xml:space="preserve"> </w:t>
      </w:r>
      <w:r>
        <w:t>from</w:t>
      </w:r>
      <w:r w:rsidRPr="00930267">
        <w:rPr>
          <w:spacing w:val="-2"/>
        </w:rPr>
        <w:t xml:space="preserve"> </w:t>
      </w:r>
      <w:r>
        <w:t>the</w:t>
      </w:r>
      <w:r w:rsidRPr="00930267">
        <w:rPr>
          <w:spacing w:val="-3"/>
        </w:rPr>
        <w:t xml:space="preserve"> </w:t>
      </w:r>
      <w:r>
        <w:t>date</w:t>
      </w:r>
      <w:r w:rsidRPr="00930267">
        <w:rPr>
          <w:spacing w:val="-3"/>
        </w:rPr>
        <w:t xml:space="preserve"> </w:t>
      </w:r>
      <w:r>
        <w:t>that</w:t>
      </w:r>
      <w:r w:rsidRPr="00930267">
        <w:rPr>
          <w:spacing w:val="-5"/>
        </w:rPr>
        <w:t xml:space="preserve"> </w:t>
      </w:r>
      <w:r>
        <w:t>the sponsor notifies the TGA of supply of the</w:t>
      </w:r>
      <w:r w:rsidRPr="00930267">
        <w:rPr>
          <w:spacing w:val="-8"/>
        </w:rPr>
        <w:t xml:space="preserve"> </w:t>
      </w:r>
      <w:r>
        <w:t>product.</w:t>
      </w:r>
    </w:p>
    <w:p w:rsidR="00E660F2" w:rsidRPr="00804F1B" w:rsidRDefault="00E660F2" w:rsidP="00E660F2">
      <w:pPr>
        <w:pStyle w:val="Numberbullet0"/>
        <w:numPr>
          <w:ilvl w:val="0"/>
          <w:numId w:val="2"/>
        </w:numPr>
        <w:ind w:left="567"/>
      </w:pPr>
      <w:r w:rsidRPr="00804F1B">
        <w:t xml:space="preserve">You </w:t>
      </w:r>
      <w:r>
        <w:t xml:space="preserve">[the sponsor] </w:t>
      </w:r>
      <w:r w:rsidRPr="00804F1B">
        <w:t>must submit the following to the TGA (</w:t>
      </w:r>
      <w:hyperlink r:id="rId46">
        <w:r w:rsidRPr="00804F1B">
          <w:rPr>
            <w:rStyle w:val="Hyperlink"/>
          </w:rPr>
          <w:t>streamlinedsubmission@health.gov.au</w:t>
        </w:r>
      </w:hyperlink>
      <w:r w:rsidRPr="00804F1B">
        <w:t>) by 30 December 2022:</w:t>
      </w:r>
    </w:p>
    <w:p w:rsidR="00E660F2" w:rsidRDefault="00E660F2" w:rsidP="00E660F2">
      <w:pPr>
        <w:pStyle w:val="ListBullet2"/>
        <w:numPr>
          <w:ilvl w:val="1"/>
          <w:numId w:val="1"/>
        </w:numPr>
      </w:pPr>
      <w:r>
        <w:t xml:space="preserve">the SPARTAN trial clinical study report for the </w:t>
      </w:r>
      <w:r>
        <w:rPr>
          <w:spacing w:val="-3"/>
        </w:rPr>
        <w:t xml:space="preserve">final </w:t>
      </w:r>
      <w:r>
        <w:t>overall survival</w:t>
      </w:r>
      <w:r>
        <w:rPr>
          <w:spacing w:val="-18"/>
        </w:rPr>
        <w:t xml:space="preserve"> </w:t>
      </w:r>
      <w:r>
        <w:t>analysis.</w:t>
      </w:r>
    </w:p>
    <w:p w:rsidR="00E660F2" w:rsidRDefault="00E660F2" w:rsidP="00E660F2">
      <w:pPr>
        <w:ind w:left="567"/>
      </w:pPr>
      <w:r>
        <w:t>Please also note Standard Condition 2 above regarding the requirement to submit significant information or changes to study conduct that arise from interim analysis.</w:t>
      </w:r>
    </w:p>
    <w:p w:rsidR="00E660F2" w:rsidRDefault="00E660F2" w:rsidP="00E660F2">
      <w:pPr>
        <w:pStyle w:val="Numberbullet0"/>
        <w:numPr>
          <w:ilvl w:val="0"/>
          <w:numId w:val="2"/>
        </w:numPr>
        <w:ind w:left="567"/>
      </w:pPr>
      <w:r w:rsidRPr="00D9572B">
        <w:t>The Erlyand EU</w:t>
      </w:r>
      <w:r>
        <w:t>-Risk Management Plan (RMP) (version 0.1, dated 24 Jan 2018, data</w:t>
      </w:r>
      <w:r>
        <w:rPr>
          <w:spacing w:val="-35"/>
        </w:rPr>
        <w:t xml:space="preserve"> </w:t>
      </w:r>
      <w:r>
        <w:t>lock point 19 May 2017), with Australian Specific Annex (version 1.1, dated 23 May 2018), included with submission PM-2018-00489-1-4, and any subsequent revisions, as agreed with the TGA will be implemented in</w:t>
      </w:r>
      <w:r>
        <w:rPr>
          <w:spacing w:val="-13"/>
        </w:rPr>
        <w:t xml:space="preserve"> </w:t>
      </w:r>
      <w:r>
        <w:t>Australia.</w:t>
      </w:r>
    </w:p>
    <w:p w:rsidR="00E660F2" w:rsidRDefault="00E660F2" w:rsidP="00E660F2">
      <w:pPr>
        <w:pStyle w:val="Heading2"/>
      </w:pPr>
      <w:bookmarkStart w:id="217" w:name="_Toc523915083"/>
      <w:bookmarkStart w:id="218" w:name="_Toc5014083"/>
      <w:r>
        <w:t>Attachment 1. Product Information</w:t>
      </w:r>
      <w:bookmarkEnd w:id="215"/>
      <w:bookmarkEnd w:id="216"/>
      <w:bookmarkEnd w:id="217"/>
      <w:bookmarkEnd w:id="218"/>
    </w:p>
    <w:p w:rsidR="00C80137" w:rsidRPr="001D043B" w:rsidRDefault="00E660F2" w:rsidP="00E660F2">
      <w:pPr>
        <w:pStyle w:val="TableTitle"/>
        <w:sectPr w:rsidR="00C80137" w:rsidRPr="001D043B" w:rsidSect="00B452CE">
          <w:headerReference w:type="even" r:id="rId47"/>
          <w:headerReference w:type="default" r:id="rId48"/>
          <w:headerReference w:type="first" r:id="rId49"/>
          <w:footerReference w:type="first" r:id="rId50"/>
          <w:pgSz w:w="11906" w:h="16838" w:code="9"/>
          <w:pgMar w:top="834" w:right="1701" w:bottom="1191" w:left="1701" w:header="907" w:footer="216" w:gutter="0"/>
          <w:cols w:space="708"/>
          <w:docGrid w:linePitch="360"/>
        </w:sectPr>
      </w:pPr>
      <w:r w:rsidRPr="00E660F2">
        <w:rPr>
          <w:b w:val="0"/>
        </w:rPr>
        <w:t>The PI for Erlyand/Janssen Apalutamide approved with the submission which is described in this AusPAR is at Attachment 1. For the most recent PI, please refer to the TGA website at &lt;</w:t>
      </w:r>
      <w:hyperlink r:id="rId51" w:history="1">
        <w:r w:rsidRPr="007C6B9B">
          <w:rPr>
            <w:rStyle w:val="Hyperlink"/>
          </w:rPr>
          <w:t>https://www.tga.gov.au/product-information-pi</w:t>
        </w:r>
      </w:hyperlink>
      <w:r w:rsidRPr="007C6B9B">
        <w:t>&gt;.</w:t>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52" w:history="1">
              <w:r w:rsidRPr="004C239D">
                <w:rPr>
                  <w:rStyle w:val="Hyperlink"/>
                </w:rPr>
                <w:t>info@tga.gov.au</w:t>
              </w:r>
            </w:hyperlink>
            <w:r w:rsidRPr="00487162">
              <w:t xml:space="preserve">  Phone: 1800 020 653  Fax: 02 6232 8605</w:t>
            </w:r>
          </w:p>
          <w:p w:rsidR="001C32CD" w:rsidRPr="004C239D" w:rsidRDefault="008F0588" w:rsidP="00A05FA4">
            <w:pPr>
              <w:pStyle w:val="Address"/>
              <w:spacing w:line="260" w:lineRule="atLeast"/>
              <w:rPr>
                <w:b/>
                <w:color w:val="0000FF"/>
                <w:u w:val="single"/>
              </w:rPr>
            </w:pPr>
            <w:hyperlink r:id="rId53"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54"/>
      <w:headerReference w:type="default" r:id="rId55"/>
      <w:footerReference w:type="default" r:id="rId56"/>
      <w:headerReference w:type="first" r:id="rId57"/>
      <w:footerReference w:type="first" r:id="rId58"/>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588" w:rsidRDefault="008F0588" w:rsidP="00C40A36">
      <w:pPr>
        <w:spacing w:after="0"/>
      </w:pPr>
      <w:r>
        <w:separator/>
      </w:r>
    </w:p>
  </w:endnote>
  <w:endnote w:type="continuationSeparator" w:id="0">
    <w:p w:rsidR="008F0588" w:rsidRDefault="008F058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É_ˇ">
    <w:altName w:val="Cambria"/>
    <w:panose1 w:val="00000000000000000000"/>
    <w:charset w:val="4D"/>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imesNewRoman">
    <w:altName w:val="Times New Roman"/>
    <w:charset w:val="00"/>
    <w:family w:val="auto"/>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8F0588" w:rsidRPr="00487162" w:rsidTr="00DB750B">
      <w:trPr>
        <w:trHeight w:val="269"/>
      </w:trPr>
      <w:tc>
        <w:tcPr>
          <w:tcW w:w="7371" w:type="dxa"/>
          <w:tcMar>
            <w:top w:w="142" w:type="dxa"/>
            <w:bottom w:w="0" w:type="dxa"/>
          </w:tcMar>
        </w:tcPr>
        <w:p w:rsidR="008F0588" w:rsidRPr="00487162" w:rsidRDefault="008F0588" w:rsidP="00DB750B">
          <w:pPr>
            <w:pStyle w:val="Footer"/>
          </w:pPr>
          <w:r w:rsidRPr="00487162">
            <w:t>AusPA</w:t>
          </w:r>
          <w:r>
            <w:t>R Erlyand Apalutamide Janssen-Cilag Pty Ltd PM-2018</w:t>
          </w:r>
          <w:r w:rsidRPr="00487162">
            <w:t>-</w:t>
          </w:r>
          <w:r>
            <w:t>00489-1-4</w:t>
          </w:r>
          <w:r>
            <w:br/>
            <w:t>Final 25 March 2019</w:t>
          </w:r>
        </w:p>
      </w:tc>
      <w:tc>
        <w:tcPr>
          <w:tcW w:w="1490" w:type="dxa"/>
          <w:tcMar>
            <w:top w:w="142" w:type="dxa"/>
            <w:bottom w:w="0" w:type="dxa"/>
          </w:tcMar>
        </w:tcPr>
        <w:p w:rsidR="008F0588" w:rsidRPr="00487162" w:rsidRDefault="008F0588" w:rsidP="00DB750B">
          <w:pPr>
            <w:pStyle w:val="Footer"/>
            <w:jc w:val="right"/>
          </w:pPr>
          <w:r w:rsidRPr="00487162">
            <w:t xml:space="preserve">Page </w:t>
          </w:r>
          <w:r>
            <w:fldChar w:fldCharType="begin"/>
          </w:r>
          <w:r>
            <w:instrText xml:space="preserve"> PAGE  \* Arabic </w:instrText>
          </w:r>
          <w:r>
            <w:fldChar w:fldCharType="separate"/>
          </w:r>
          <w:r w:rsidR="002B2B5B">
            <w:rPr>
              <w:noProof/>
            </w:rPr>
            <w:t>3</w:t>
          </w:r>
          <w:r>
            <w:fldChar w:fldCharType="end"/>
          </w:r>
          <w:r w:rsidRPr="00487162">
            <w:t xml:space="preserve"> of </w:t>
          </w:r>
          <w:fldSimple w:instr=" NUMPAGES  \* Arabic ">
            <w:r w:rsidR="002B2B5B">
              <w:rPr>
                <w:noProof/>
              </w:rPr>
              <w:t>83</w:t>
            </w:r>
          </w:fldSimple>
        </w:p>
      </w:tc>
    </w:tr>
  </w:tbl>
  <w:p w:rsidR="008F0588" w:rsidRDefault="008F0588"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F0588" w:rsidRPr="00487162" w:rsidTr="00E45619">
      <w:trPr>
        <w:trHeight w:val="269"/>
      </w:trPr>
      <w:tc>
        <w:tcPr>
          <w:tcW w:w="4519" w:type="dxa"/>
          <w:tcBorders>
            <w:top w:val="single" w:sz="4" w:space="0" w:color="auto"/>
          </w:tcBorders>
          <w:tcMar>
            <w:top w:w="142" w:type="dxa"/>
            <w:bottom w:w="0" w:type="dxa"/>
          </w:tcMar>
        </w:tcPr>
        <w:p w:rsidR="008F0588" w:rsidRPr="00487162" w:rsidRDefault="008F0588" w:rsidP="00FE1DEE">
          <w:pPr>
            <w:pStyle w:val="Footer"/>
          </w:pPr>
          <w:r w:rsidRPr="00487162">
            <w:t>Document title, Part #, Section # - Section title</w:t>
          </w:r>
        </w:p>
        <w:p w:rsidR="008F0588" w:rsidRPr="00487162" w:rsidRDefault="008F0588" w:rsidP="00FE1DEE">
          <w:pPr>
            <w:pStyle w:val="Footer"/>
          </w:pPr>
          <w:r w:rsidRPr="00487162">
            <w:t>V1.0 October 2010</w:t>
          </w:r>
        </w:p>
      </w:tc>
      <w:tc>
        <w:tcPr>
          <w:tcW w:w="4342" w:type="dxa"/>
          <w:tcBorders>
            <w:top w:val="single" w:sz="4" w:space="0" w:color="auto"/>
          </w:tcBorders>
          <w:tcMar>
            <w:top w:w="142" w:type="dxa"/>
            <w:bottom w:w="0" w:type="dxa"/>
          </w:tcMar>
        </w:tcPr>
        <w:p w:rsidR="008F0588" w:rsidRPr="00487162" w:rsidRDefault="008F058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83</w:t>
            </w:r>
          </w:fldSimple>
        </w:p>
      </w:tc>
    </w:tr>
  </w:tbl>
  <w:p w:rsidR="008F0588" w:rsidRDefault="008F05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588" w:rsidRPr="001C32CD" w:rsidRDefault="008F0588"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F0588" w:rsidTr="0010601F">
      <w:trPr>
        <w:trHeight w:val="108"/>
      </w:trPr>
      <w:tc>
        <w:tcPr>
          <w:tcW w:w="8875" w:type="dxa"/>
          <w:gridSpan w:val="2"/>
          <w:tcBorders>
            <w:bottom w:val="single" w:sz="4" w:space="0" w:color="auto"/>
          </w:tcBorders>
          <w:tcMar>
            <w:right w:w="284" w:type="dxa"/>
          </w:tcMar>
        </w:tcPr>
        <w:p w:rsidR="008F0588" w:rsidRDefault="008F0588" w:rsidP="006E08B3">
          <w:pPr>
            <w:pStyle w:val="Heading3"/>
          </w:pPr>
          <w:r>
            <w:t>Copyright</w:t>
          </w:r>
        </w:p>
        <w:p w:rsidR="008F0588" w:rsidRDefault="008F0588" w:rsidP="006E08B3">
          <w:r>
            <w:rPr>
              <w:rFonts w:cs="Arial"/>
            </w:rPr>
            <w:t>©</w:t>
          </w:r>
          <w:r>
            <w:t xml:space="preserve"> Commonwealth of Australia [add year]</w:t>
          </w:r>
        </w:p>
        <w:p w:rsidR="008F0588" w:rsidRDefault="008F0588" w:rsidP="006E08B3"/>
        <w:p w:rsidR="008F0588" w:rsidRDefault="008F058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F0588" w:rsidRDefault="008F0588" w:rsidP="006E08B3"/>
        <w:p w:rsidR="008F0588" w:rsidRDefault="008F0588" w:rsidP="006E08B3">
          <w:pPr>
            <w:pStyle w:val="Heading3"/>
          </w:pPr>
          <w:r>
            <w:t>Confidentiality</w:t>
          </w:r>
        </w:p>
        <w:p w:rsidR="008F0588" w:rsidRDefault="008F058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F0588" w:rsidRDefault="008F0588" w:rsidP="006E08B3"/>
        <w:p w:rsidR="008F0588" w:rsidRDefault="008F0588" w:rsidP="006E08B3">
          <w:r>
            <w:t>For submission made by individuals, all personal details, other than your name, will be removed from your submission before it is published on the TGA’s Internet site.</w:t>
          </w:r>
        </w:p>
        <w:p w:rsidR="008F0588" w:rsidRDefault="008F0588" w:rsidP="006E08B3"/>
        <w:p w:rsidR="008F0588" w:rsidRDefault="008F0588" w:rsidP="006E08B3">
          <w:r>
            <w:t>In addition, a list of parties making submissions will be published. If you do not wish to be identified with your submission you must specifically request this in the space provided ib the submission coversheet.</w:t>
          </w:r>
        </w:p>
      </w:tc>
    </w:tr>
    <w:tr w:rsidR="008F0588" w:rsidTr="0010601F">
      <w:trPr>
        <w:trHeight w:val="417"/>
      </w:trPr>
      <w:tc>
        <w:tcPr>
          <w:tcW w:w="4519" w:type="dxa"/>
          <w:tcBorders>
            <w:top w:val="single" w:sz="4" w:space="0" w:color="auto"/>
          </w:tcBorders>
          <w:tcMar>
            <w:top w:w="142" w:type="dxa"/>
            <w:bottom w:w="0" w:type="dxa"/>
          </w:tcMar>
        </w:tcPr>
        <w:p w:rsidR="008F0588" w:rsidRDefault="008F0588" w:rsidP="006E08B3">
          <w:r>
            <w:t>Document title, Part #, Section # - Section title</w:t>
          </w:r>
        </w:p>
        <w:p w:rsidR="008F0588" w:rsidRDefault="008F0588" w:rsidP="006E08B3">
          <w:r>
            <w:t>V1.0 October 2010</w:t>
          </w:r>
        </w:p>
      </w:tc>
      <w:tc>
        <w:tcPr>
          <w:tcW w:w="4356" w:type="dxa"/>
          <w:tcBorders>
            <w:top w:val="single" w:sz="4" w:space="0" w:color="auto"/>
          </w:tcBorders>
          <w:tcMar>
            <w:top w:w="142" w:type="dxa"/>
            <w:bottom w:w="0" w:type="dxa"/>
          </w:tcMar>
        </w:tcPr>
        <w:p w:rsidR="008F0588" w:rsidRDefault="008F058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83</w:t>
            </w:r>
          </w:fldSimple>
          <w:r>
            <w:t xml:space="preserve">  </w:t>
          </w:r>
        </w:p>
      </w:tc>
    </w:tr>
  </w:tbl>
  <w:p w:rsidR="008F0588" w:rsidRDefault="008F058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588" w:rsidRDefault="008F0588" w:rsidP="00C40A36">
      <w:pPr>
        <w:spacing w:after="0"/>
      </w:pPr>
      <w:r>
        <w:separator/>
      </w:r>
    </w:p>
  </w:footnote>
  <w:footnote w:type="continuationSeparator" w:id="0">
    <w:p w:rsidR="008F0588" w:rsidRDefault="008F0588" w:rsidP="00C40A36">
      <w:pPr>
        <w:spacing w:after="0"/>
      </w:pPr>
      <w:r>
        <w:continuationSeparator/>
      </w:r>
    </w:p>
  </w:footnote>
  <w:footnote w:id="1">
    <w:p w:rsidR="008F0588" w:rsidRPr="00F64D1D" w:rsidRDefault="008F0588" w:rsidP="00E660F2">
      <w:pPr>
        <w:pStyle w:val="FootnoteText"/>
        <w:rPr>
          <w:lang w:val="en-GB"/>
        </w:rPr>
      </w:pPr>
      <w:r>
        <w:rPr>
          <w:rStyle w:val="FootnoteReference"/>
        </w:rPr>
        <w:footnoteRef/>
      </w:r>
      <w:r>
        <w:t xml:space="preserve"> </w:t>
      </w:r>
      <w:r w:rsidRPr="0015398D">
        <w:t>The ACSS Consortium is a collaborative initiative of like-minded, medium-sized regulatory authorities between Australia's Therapeutic Goods Administration (TGA), Health Canada (HC), Singapore's Health Sciences Authority (HSA) and the Swiss Agency for Therapeutic Products (Swissmedic) of Switzerland.</w:t>
      </w:r>
      <w:r>
        <w:t xml:space="preserve"> </w:t>
      </w:r>
      <w:r w:rsidRPr="0015398D">
        <w:t>The New Chemical Entities (NCE) Working Group was formed to focus on developing opportunities within regulatory program through the greater alignment of regulatory approaches and technical requirements. With this in mind, the NCE Working Group has launched an innovative work sharing pilot for the coordinated assessment of a NCE application that has been filed within two jurisdictions. The pilot will work through the practicalities of undertaking a coordinated assessment that will complement the regulatory decision-making within each jurisdiction.</w:t>
      </w:r>
    </w:p>
  </w:footnote>
  <w:footnote w:id="2">
    <w:p w:rsidR="008F0588" w:rsidRPr="001F3BF9" w:rsidRDefault="008F0588" w:rsidP="00E660F2">
      <w:pPr>
        <w:pStyle w:val="FootnoteText"/>
        <w:rPr>
          <w:lang w:val="en-US"/>
        </w:rPr>
      </w:pPr>
      <w:r>
        <w:rPr>
          <w:rStyle w:val="FootnoteReference"/>
        </w:rPr>
        <w:footnoteRef/>
      </w:r>
      <w:r>
        <w:t xml:space="preserve"> </w:t>
      </w:r>
      <w:r w:rsidRPr="001F3BF9">
        <w:t>https://www.tga.gov.au/priority-review-pathway-prescription-medicines</w:t>
      </w:r>
    </w:p>
  </w:footnote>
  <w:footnote w:id="3">
    <w:p w:rsidR="008F0588" w:rsidRPr="001F3BF9" w:rsidRDefault="008F0588" w:rsidP="00E660F2">
      <w:pPr>
        <w:pStyle w:val="FootnoteText"/>
        <w:rPr>
          <w:lang w:val="en-US"/>
        </w:rPr>
      </w:pPr>
      <w:r>
        <w:rPr>
          <w:rStyle w:val="FootnoteReference"/>
        </w:rPr>
        <w:footnoteRef/>
      </w:r>
      <w:r>
        <w:t xml:space="preserve"> </w:t>
      </w:r>
      <w:r w:rsidRPr="001F3BF9">
        <w:t>https://www.tga.gov.au/acss-nce-work-sharing-pilot</w:t>
      </w:r>
    </w:p>
  </w:footnote>
  <w:footnote w:id="4">
    <w:p w:rsidR="008F0588" w:rsidRDefault="008F0588" w:rsidP="00E660F2">
      <w:pPr>
        <w:pStyle w:val="FootnoteText"/>
      </w:pPr>
      <w:r>
        <w:rPr>
          <w:rStyle w:val="FootnoteReference"/>
        </w:rPr>
        <w:footnoteRef/>
      </w:r>
      <w:r>
        <w:t xml:space="preserve"> </w:t>
      </w:r>
      <w:r w:rsidRPr="00481BCB">
        <w:t>Androgen-deprivation therapies include surgical castration or medical therapy with gonadotropin-releasing hormone (GnRH) analogues, anti-androgens (such as bicalutamide, flutamide, and nilutamide), androgen synthesis blockers (such as abiraterone, ketoconazole; latter no longer available in Australia), and/or oestrogenic compounds</w:t>
      </w:r>
      <w:r>
        <w:t>.</w:t>
      </w:r>
    </w:p>
  </w:footnote>
  <w:footnote w:id="5">
    <w:p w:rsidR="008F0588" w:rsidRPr="003E5D94" w:rsidRDefault="008F0588" w:rsidP="00E660F2">
      <w:pPr>
        <w:spacing w:before="0" w:after="0" w:line="240" w:lineRule="auto"/>
        <w:rPr>
          <w:sz w:val="18"/>
          <w:szCs w:val="18"/>
        </w:rPr>
      </w:pPr>
      <w:r w:rsidRPr="003E5D94">
        <w:rPr>
          <w:rStyle w:val="FootnoteReference"/>
          <w:sz w:val="18"/>
          <w:szCs w:val="18"/>
        </w:rPr>
        <w:footnoteRef/>
      </w:r>
      <w:r w:rsidRPr="003E5D94">
        <w:rPr>
          <w:sz w:val="18"/>
          <w:szCs w:val="18"/>
        </w:rPr>
        <w:t xml:space="preserve">Carroll, P, Albertsen, P, Greene, K et al PSA Testing for the pretreatment staging and posttreatment management of prostate cancer 2013 </w:t>
      </w:r>
      <w:hyperlink r:id="rId1" w:history="1">
        <w:r w:rsidRPr="00FE5BFC">
          <w:rPr>
            <w:rStyle w:val="Hyperlink"/>
            <w:sz w:val="18"/>
            <w:szCs w:val="18"/>
          </w:rPr>
          <w:t>http://www.auanet.org/guidelines/prostate-specific-antigen-(2009-amended-2013</w:t>
        </w:r>
      </w:hyperlink>
      <w:r w:rsidRPr="003E5D94">
        <w:rPr>
          <w:sz w:val="18"/>
          <w:szCs w:val="18"/>
        </w:rPr>
        <w:t>) accessed 24 April 2018.</w:t>
      </w:r>
    </w:p>
  </w:footnote>
  <w:footnote w:id="6">
    <w:p w:rsidR="008F0588" w:rsidRPr="00CD4188" w:rsidRDefault="008F0588" w:rsidP="00E660F2">
      <w:pPr>
        <w:pStyle w:val="FootnoteText"/>
        <w:rPr>
          <w:lang w:val="en-US"/>
        </w:rPr>
      </w:pPr>
      <w:r>
        <w:rPr>
          <w:rStyle w:val="FootnoteReference"/>
        </w:rPr>
        <w:footnoteRef/>
      </w:r>
      <w:r>
        <w:t xml:space="preserve"> </w:t>
      </w:r>
      <w:r w:rsidRPr="00CD4188">
        <w:t>Roach, M (3rd), Hanks, G, Thames H Jr Defining biochemical failure following radiotherapy with our without hormonal therapy in men with clinically localized prostate cancer: recommendations of the RTOG-ASTRO Phoenix Consensus Conference. In J Radiat Oncol Biol Phys 2006 15; 65(4): 965-74</w:t>
      </w:r>
    </w:p>
  </w:footnote>
  <w:footnote w:id="7">
    <w:p w:rsidR="008F0588" w:rsidRPr="003E5D94" w:rsidRDefault="008F0588" w:rsidP="00E660F2">
      <w:pPr>
        <w:pStyle w:val="FootnoteText"/>
        <w:rPr>
          <w:lang w:val="en-US"/>
        </w:rPr>
      </w:pPr>
      <w:r>
        <w:rPr>
          <w:rStyle w:val="FootnoteReference"/>
        </w:rPr>
        <w:footnoteRef/>
      </w:r>
      <w:r>
        <w:t xml:space="preserve"> </w:t>
      </w:r>
      <w:r w:rsidRPr="003E5D94">
        <w:t>Antonarakis ES1, Zahurak ML, Lin J, Keizman D, Carducci MA, Eisenberger MA</w:t>
      </w:r>
      <w:r>
        <w:t xml:space="preserve">. </w:t>
      </w:r>
      <w:r w:rsidRPr="003E5D94">
        <w:t>Changes in PSA kinetics predict metastasis- free survival in men with PSA-recurrent prostate cancer treated with nonhormonal agents: combined analysis of 4 phase II trials.</w:t>
      </w:r>
      <w:r>
        <w:t xml:space="preserve"> </w:t>
      </w:r>
      <w:r w:rsidRPr="003E5D94">
        <w:t>Cancer. 2012 Mar 15;118(6):1533-42.</w:t>
      </w:r>
    </w:p>
  </w:footnote>
  <w:footnote w:id="8">
    <w:p w:rsidR="008F0588" w:rsidRPr="00F64D1D" w:rsidRDefault="008F0588" w:rsidP="00E660F2">
      <w:pPr>
        <w:pStyle w:val="FootnoteText"/>
        <w:rPr>
          <w:lang w:val="en-GB"/>
        </w:rPr>
      </w:pPr>
      <w:r>
        <w:rPr>
          <w:rStyle w:val="FootnoteReference"/>
        </w:rPr>
        <w:footnoteRef/>
      </w:r>
      <w:r>
        <w:t xml:space="preserve"> The Gleason score/grading system is a validated grading system used in the prognostic evaluation of prostate cancer using microscopy of prostate samples.</w:t>
      </w:r>
    </w:p>
  </w:footnote>
  <w:footnote w:id="9">
    <w:p w:rsidR="008F0588" w:rsidRPr="00CD4188" w:rsidRDefault="008F0588" w:rsidP="00E660F2">
      <w:pPr>
        <w:pStyle w:val="FootnoteText"/>
        <w:rPr>
          <w:lang w:val="en-US"/>
        </w:rPr>
      </w:pPr>
      <w:r>
        <w:rPr>
          <w:rStyle w:val="FootnoteReference"/>
        </w:rPr>
        <w:footnoteRef/>
      </w:r>
      <w:r>
        <w:t xml:space="preserve"> </w:t>
      </w:r>
      <w:r w:rsidRPr="00CD4188">
        <w:t>Freedland SJ, Humphreys EB, Mangold LA et al Death in patients with recurrent prostate cancer after radical prostatectomy: prostate-specific antigen doubling time subgroups and their associated contributions to all-cause mortality. J Clin Oncol. 2007;25(13):1765.</w:t>
      </w:r>
    </w:p>
  </w:footnote>
  <w:footnote w:id="10">
    <w:p w:rsidR="008F0588" w:rsidRPr="00481BCB" w:rsidRDefault="008F0588" w:rsidP="00E660F2">
      <w:pPr>
        <w:pStyle w:val="FootnoteText"/>
        <w:rPr>
          <w:szCs w:val="18"/>
          <w:lang w:val="en-US"/>
        </w:rPr>
      </w:pPr>
      <w:r>
        <w:rPr>
          <w:rStyle w:val="FootnoteReference"/>
        </w:rPr>
        <w:footnoteRef/>
      </w:r>
      <w:r>
        <w:t xml:space="preserve"> </w:t>
      </w:r>
      <w:r w:rsidRPr="00CD4188">
        <w:t xml:space="preserve">Stephenson AJ, Scardino PT, Kattan MW, Pisansky TM, Slawin KM, Klein EA, Anscher MS, Michalski JM, </w:t>
      </w:r>
      <w:r w:rsidRPr="00481BCB">
        <w:rPr>
          <w:szCs w:val="18"/>
        </w:rPr>
        <w:t>Sandler HM, Lin DW. et al. Predicting the outcome of salvage radiation therapy for recurrent prostate cancer after radical prostatectomy. J Clin Oncol. 2007;25:2035–2041. doi: 10.1200/JCO.2006.08.9607.</w:t>
      </w:r>
    </w:p>
  </w:footnote>
  <w:footnote w:id="11">
    <w:p w:rsidR="008F0588" w:rsidRPr="00481BCB" w:rsidRDefault="008F0588" w:rsidP="00E660F2">
      <w:pPr>
        <w:spacing w:before="0" w:after="0" w:line="240" w:lineRule="auto"/>
        <w:contextualSpacing/>
        <w:jc w:val="both"/>
        <w:rPr>
          <w:sz w:val="18"/>
          <w:szCs w:val="18"/>
        </w:rPr>
      </w:pPr>
      <w:r w:rsidRPr="00481BCB">
        <w:rPr>
          <w:rStyle w:val="FootnoteReference"/>
          <w:sz w:val="18"/>
          <w:szCs w:val="18"/>
        </w:rPr>
        <w:footnoteRef/>
      </w:r>
      <w:r w:rsidRPr="00481BCB">
        <w:rPr>
          <w:sz w:val="18"/>
          <w:szCs w:val="18"/>
        </w:rPr>
        <w:t xml:space="preserve"> Nguyen, T, Boldt, R and Rodrigues, G Prognostic factors for prostate cancer endpoints following biochemical failure: a review of the literature. Cureus 2015 Jan; 7(1): e238</w:t>
      </w:r>
    </w:p>
  </w:footnote>
  <w:footnote w:id="12">
    <w:p w:rsidR="008F0588" w:rsidRPr="003B4146" w:rsidRDefault="008F0588" w:rsidP="00E660F2">
      <w:pPr>
        <w:pStyle w:val="FootnoteText"/>
        <w:rPr>
          <w:lang w:val="en-US"/>
        </w:rPr>
      </w:pPr>
      <w:r>
        <w:rPr>
          <w:rStyle w:val="FootnoteReference"/>
        </w:rPr>
        <w:footnoteRef/>
      </w:r>
      <w:r>
        <w:t xml:space="preserve"> </w:t>
      </w:r>
      <w:r w:rsidRPr="003B4146">
        <w:t>The Biopharmaceutics Classification System (BCS) is a guidance for predicting the intestinal drug absorption provided by the U.S. Food and Drug Administration. According to the BCS, drug substances are classified as follows: Class I: high permeability, high solubility; Class II: high permeability, low solubility; Class III: low permeability, high solubility; Class IV: low permeability, low solubility.</w:t>
      </w:r>
    </w:p>
  </w:footnote>
  <w:footnote w:id="13">
    <w:p w:rsidR="008F0588" w:rsidRPr="00A32091" w:rsidRDefault="008F0588" w:rsidP="00E660F2">
      <w:pPr>
        <w:pStyle w:val="FootnoteText"/>
        <w:rPr>
          <w:lang w:val="en-US"/>
        </w:rPr>
      </w:pPr>
      <w:r>
        <w:rPr>
          <w:rStyle w:val="FootnoteReference"/>
        </w:rPr>
        <w:footnoteRef/>
      </w:r>
      <w:r>
        <w:t xml:space="preserve"> ICH </w:t>
      </w:r>
      <w:r w:rsidRPr="00A32091">
        <w:t>S9 Nonclinical Evaluation for Anticancer Pharmaceuticals</w:t>
      </w:r>
    </w:p>
  </w:footnote>
  <w:footnote w:id="14">
    <w:p w:rsidR="008F0588" w:rsidRPr="00DB318F" w:rsidRDefault="008F0588" w:rsidP="00E660F2">
      <w:pPr>
        <w:pStyle w:val="FootnoteText"/>
      </w:pPr>
      <w:r>
        <w:rPr>
          <w:rStyle w:val="FootnoteReference"/>
        </w:rPr>
        <w:footnoteRef/>
      </w:r>
      <w:r>
        <w:t xml:space="preserve"> Human steady state C</w:t>
      </w:r>
      <w:r>
        <w:rPr>
          <w:vertAlign w:val="subscript"/>
        </w:rPr>
        <w:t>max</w:t>
      </w:r>
      <w:r>
        <w:t xml:space="preserve"> 5.81 µg/mL (487 nM), C</w:t>
      </w:r>
      <w:r w:rsidRPr="00F86A01">
        <w:rPr>
          <w:vertAlign w:val="subscript"/>
        </w:rPr>
        <w:t>min</w:t>
      </w:r>
      <w:r>
        <w:t xml:space="preserve"> 4.24 µg/mL (355 nM) and AUC</w:t>
      </w:r>
      <w:r w:rsidRPr="00F86A01">
        <w:rPr>
          <w:vertAlign w:val="subscript"/>
        </w:rPr>
        <w:t>0-24h</w:t>
      </w:r>
      <w:r>
        <w:t xml:space="preserve"> 115 µg.h/mL and protein binding 96% </w:t>
      </w:r>
    </w:p>
  </w:footnote>
  <w:footnote w:id="15">
    <w:p w:rsidR="008F0588" w:rsidRPr="00C4668A" w:rsidRDefault="008F0588" w:rsidP="00E660F2">
      <w:pPr>
        <w:pStyle w:val="FootnoteText"/>
        <w:rPr>
          <w:lang w:val="en-US"/>
        </w:rPr>
      </w:pPr>
      <w:r>
        <w:rPr>
          <w:rStyle w:val="FootnoteReference"/>
        </w:rPr>
        <w:footnoteRef/>
      </w:r>
      <w:r>
        <w:t xml:space="preserve"> </w:t>
      </w:r>
      <w:r w:rsidRPr="00C4668A">
        <w:t>The Ki-67 protein (also known as MKI67) is a cellular marker for proliferation. It is strictly associated with cell proliferation.</w:t>
      </w:r>
    </w:p>
  </w:footnote>
  <w:footnote w:id="16">
    <w:p w:rsidR="008F0588" w:rsidRPr="00C4668A" w:rsidRDefault="008F0588" w:rsidP="00E660F2">
      <w:pPr>
        <w:pStyle w:val="FootnoteText"/>
        <w:rPr>
          <w:lang w:val="en-US"/>
        </w:rPr>
      </w:pPr>
      <w:r>
        <w:rPr>
          <w:rStyle w:val="FootnoteReference"/>
        </w:rPr>
        <w:footnoteRef/>
      </w:r>
      <w:r>
        <w:t xml:space="preserve"> </w:t>
      </w:r>
      <w:r w:rsidRPr="00C4668A">
        <w:t>TUNEL is a method for detecting apoptotic DNA fragmentation, used to identify and quantify apoptotic cells, or to detect excessive DNA breakage in individual cells.</w:t>
      </w:r>
      <w:r>
        <w:t xml:space="preserve"> </w:t>
      </w:r>
      <w:r w:rsidRPr="00C4668A">
        <w:t>The assay relies on the use of terminal deoxynucleotidyl transfera</w:t>
      </w:r>
      <w:r>
        <w:t>se (TdT), an enzyme that catalys</w:t>
      </w:r>
      <w:r w:rsidRPr="00C4668A">
        <w:t>es attachment of deoxynucleotides, tagged with a fluorochrome or another marker, to 3'-hydroxyl termini of DNA double strand breaks.</w:t>
      </w:r>
    </w:p>
  </w:footnote>
  <w:footnote w:id="17">
    <w:p w:rsidR="008F0588" w:rsidRPr="00970172" w:rsidRDefault="008F0588" w:rsidP="00E660F2">
      <w:pPr>
        <w:pStyle w:val="FootnoteText"/>
      </w:pPr>
      <w:r w:rsidRPr="00893890">
        <w:rPr>
          <w:rStyle w:val="FootnoteReference"/>
          <w:rFonts w:asciiTheme="minorHAnsi" w:hAnsiTheme="minorHAnsi"/>
          <w:szCs w:val="18"/>
        </w:rPr>
        <w:footnoteRef/>
      </w:r>
      <w:r w:rsidRPr="00893890">
        <w:t xml:space="preserve"> Golshayan AR </w:t>
      </w:r>
      <w:r>
        <w:t>and</w:t>
      </w:r>
      <w:r w:rsidRPr="00893890">
        <w:t xml:space="preserve"> Antonarakis ES (2013) Enzalutamide: an evidence-based review of its use in the treatment of prostate cancer. </w:t>
      </w:r>
      <w:r w:rsidRPr="00893890">
        <w:rPr>
          <w:i/>
        </w:rPr>
        <w:t>Core Evidence</w:t>
      </w:r>
      <w:r w:rsidRPr="00893890">
        <w:t xml:space="preserve"> 8: 27-35 (DOI: </w:t>
      </w:r>
      <w:hyperlink r:id="rId2" w:history="1">
        <w:r w:rsidRPr="00893890">
          <w:rPr>
            <w:rFonts w:eastAsiaTheme="minorEastAsia" w:cstheme="minorBidi"/>
            <w:color w:val="0000FF"/>
            <w:u w:val="single"/>
            <w:lang w:eastAsia="en-AU"/>
          </w:rPr>
          <w:t>https://doi.org/10.2147/CE.S34747</w:t>
        </w:r>
      </w:hyperlink>
      <w:r>
        <w:t>).</w:t>
      </w:r>
    </w:p>
  </w:footnote>
  <w:footnote w:id="18">
    <w:p w:rsidR="008F0588" w:rsidRPr="0082528A" w:rsidRDefault="008F0588" w:rsidP="00E660F2">
      <w:pPr>
        <w:pStyle w:val="FootnoteText"/>
        <w:spacing w:before="120" w:after="120"/>
        <w:rPr>
          <w:lang w:eastAsia="ja-JP"/>
        </w:rPr>
      </w:pPr>
      <w:r>
        <w:rPr>
          <w:rStyle w:val="FootnoteReference"/>
        </w:rPr>
        <w:footnoteRef/>
      </w:r>
      <w:r>
        <w:t xml:space="preserve"> </w:t>
      </w:r>
      <w:r w:rsidRPr="0082528A">
        <w:rPr>
          <w:lang w:eastAsia="ja-JP"/>
        </w:rPr>
        <w:t>The QT interval</w:t>
      </w:r>
      <w:r>
        <w:rPr>
          <w:lang w:eastAsia="ja-JP"/>
        </w:rPr>
        <w:t xml:space="preserve"> is the time from the start of the Q wave to the end of the T wave. It represents the time taken for ventricular depolarisation and repolarisation, effectively the period of ventricular systole from ventricular isovolumetric contraction to isovolumetric relaxation. The QT shortens at faster heart rates. An abnormally prolonged QT is associated with an increased risk of ventricular arrhythmias, especially Torsades de Pointes.</w:t>
      </w:r>
    </w:p>
  </w:footnote>
  <w:footnote w:id="19">
    <w:p w:rsidR="008F0588" w:rsidRPr="00FF514D" w:rsidRDefault="008F0588" w:rsidP="00E660F2">
      <w:pPr>
        <w:pStyle w:val="FootnoteText"/>
        <w:rPr>
          <w:lang w:val="en-US"/>
        </w:rPr>
      </w:pPr>
      <w:r>
        <w:rPr>
          <w:rStyle w:val="FootnoteReference"/>
        </w:rPr>
        <w:footnoteRef/>
      </w:r>
      <w:r>
        <w:t xml:space="preserve"> Kohle C &amp; Bock KW (2009) </w:t>
      </w:r>
      <w:r w:rsidRPr="00770C84">
        <w:t>Coordinate regulation of human drug-meta</w:t>
      </w:r>
      <w:r>
        <w:t xml:space="preserve">bolizing enzymes, and conjugate </w:t>
      </w:r>
      <w:r w:rsidRPr="00770C84">
        <w:t xml:space="preserve">transporters by the Ah receptor, </w:t>
      </w:r>
      <w:r>
        <w:t>P</w:t>
      </w:r>
      <w:r w:rsidRPr="00770C84">
        <w:t>regnane X receptor and constitutive androstane receptor</w:t>
      </w:r>
      <w:r>
        <w:t xml:space="preserve">. </w:t>
      </w:r>
      <w:r w:rsidRPr="00FF514D">
        <w:rPr>
          <w:i/>
        </w:rPr>
        <w:t xml:space="preserve">Biochemical Pharmacology </w:t>
      </w:r>
      <w:r w:rsidRPr="00FF514D">
        <w:rPr>
          <w:b/>
        </w:rPr>
        <w:t>77</w:t>
      </w:r>
      <w:r>
        <w:t>:</w:t>
      </w:r>
      <w:r w:rsidRPr="00770C84">
        <w:t xml:space="preserve"> 689–699</w:t>
      </w:r>
      <w:r>
        <w:t xml:space="preserve"> (</w:t>
      </w:r>
      <w:r w:rsidRPr="00770C84">
        <w:t>doi:10.1016/j.bcp.2008.05.020</w:t>
      </w:r>
      <w:r>
        <w:t>).</w:t>
      </w:r>
    </w:p>
  </w:footnote>
  <w:footnote w:id="20">
    <w:p w:rsidR="008F0588" w:rsidRPr="00FF514D" w:rsidRDefault="008F0588" w:rsidP="00E660F2">
      <w:pPr>
        <w:pStyle w:val="FootnoteText"/>
        <w:rPr>
          <w:lang w:val="en-US"/>
        </w:rPr>
      </w:pPr>
      <w:r>
        <w:rPr>
          <w:rStyle w:val="FootnoteReference"/>
        </w:rPr>
        <w:footnoteRef/>
      </w:r>
      <w:r>
        <w:t xml:space="preserve"> Chai X </w:t>
      </w:r>
      <w:r>
        <w:rPr>
          <w:i/>
        </w:rPr>
        <w:t>et al</w:t>
      </w:r>
      <w:r>
        <w:t xml:space="preserve">. </w:t>
      </w:r>
      <w:r w:rsidRPr="005E54AF">
        <w:t>(2013) Nuclear receptors PXR and CAR:</w:t>
      </w:r>
      <w:r>
        <w:t xml:space="preserve"> </w:t>
      </w:r>
      <w:r w:rsidRPr="005E54AF">
        <w:t xml:space="preserve">implications for drug metabolism regulation, pharmacogenomics and beyond, </w:t>
      </w:r>
      <w:r w:rsidRPr="00FF514D">
        <w:rPr>
          <w:i/>
        </w:rPr>
        <w:t>Expert Opinion on Drug Metabolism &amp; Toxicology</w:t>
      </w:r>
      <w:r w:rsidRPr="005E54AF">
        <w:t xml:space="preserve"> </w:t>
      </w:r>
      <w:r w:rsidRPr="00FF514D">
        <w:rPr>
          <w:b/>
        </w:rPr>
        <w:t>9</w:t>
      </w:r>
      <w:r w:rsidRPr="005E54AF">
        <w:t>:</w:t>
      </w:r>
      <w:r>
        <w:t xml:space="preserve"> </w:t>
      </w:r>
      <w:r w:rsidRPr="005E54AF">
        <w:t>253-266</w:t>
      </w:r>
      <w:r>
        <w:t xml:space="preserve"> (</w:t>
      </w:r>
      <w:r w:rsidRPr="005E54AF">
        <w:t>DOI: 10.1517/17425255.2013.754010</w:t>
      </w:r>
      <w:r>
        <w:t>)</w:t>
      </w:r>
    </w:p>
  </w:footnote>
  <w:footnote w:id="21">
    <w:p w:rsidR="008F0588" w:rsidRPr="004013C2" w:rsidRDefault="008F0588" w:rsidP="00E660F2">
      <w:pPr>
        <w:pStyle w:val="FootnoteText"/>
        <w:rPr>
          <w:lang w:val="en-US"/>
        </w:rPr>
      </w:pPr>
      <w:r>
        <w:rPr>
          <w:rStyle w:val="FootnoteReference"/>
        </w:rPr>
        <w:footnoteRef/>
      </w:r>
      <w:r>
        <w:t xml:space="preserve"> </w:t>
      </w:r>
      <w:r w:rsidRPr="00777689">
        <w:t>Pop PK analysis: Exposure Response</w:t>
      </w:r>
      <w:r>
        <w:t xml:space="preserve"> </w:t>
      </w:r>
      <w:r w:rsidRPr="00777689">
        <w:t>Report - Efficacy &amp; Safety</w:t>
      </w:r>
    </w:p>
  </w:footnote>
  <w:footnote w:id="22">
    <w:p w:rsidR="008F0588" w:rsidRPr="00FF6659" w:rsidRDefault="008F0588" w:rsidP="00E660F2">
      <w:pPr>
        <w:pStyle w:val="FootnoteText"/>
        <w:rPr>
          <w:i/>
          <w:lang w:val="en-US"/>
        </w:rPr>
      </w:pPr>
      <w:r>
        <w:rPr>
          <w:rStyle w:val="FootnoteReference"/>
        </w:rPr>
        <w:footnoteRef/>
      </w:r>
      <w:r>
        <w:t xml:space="preserve"> </w:t>
      </w:r>
      <w:r>
        <w:rPr>
          <w:lang w:val="en-US"/>
        </w:rPr>
        <w:t xml:space="preserve">Steinbach TJ </w:t>
      </w:r>
      <w:r w:rsidRPr="00FF6659">
        <w:rPr>
          <w:i/>
          <w:lang w:val="en-US"/>
        </w:rPr>
        <w:t>et al</w:t>
      </w:r>
      <w:r>
        <w:rPr>
          <w:lang w:val="en-US"/>
        </w:rPr>
        <w:t xml:space="preserve"> (2015) Human relevance of rodent Leydig cell tumors. In </w:t>
      </w:r>
      <w:r w:rsidRPr="00FF6659">
        <w:rPr>
          <w:i/>
        </w:rPr>
        <w:t>Hamilton &amp; Hardy’s Industrial Toxicology</w:t>
      </w:r>
      <w:r w:rsidRPr="00B93FE0">
        <w:t xml:space="preserve">, </w:t>
      </w:r>
      <w:r>
        <w:t>6</w:t>
      </w:r>
      <w:r w:rsidRPr="00B93FE0">
        <w:rPr>
          <w:vertAlign w:val="superscript"/>
        </w:rPr>
        <w:t>th</w:t>
      </w:r>
      <w:r>
        <w:t xml:space="preserve"> </w:t>
      </w:r>
      <w:r w:rsidRPr="00B93FE0">
        <w:t xml:space="preserve">Edn. Edited by </w:t>
      </w:r>
      <w:r>
        <w:t xml:space="preserve">Harbison RD </w:t>
      </w:r>
      <w:r w:rsidRPr="00B93FE0">
        <w:t>et al. John Wiley &amp; Sons, Inc</w:t>
      </w:r>
      <w:r>
        <w:t xml:space="preserve">. </w:t>
      </w:r>
      <w:r w:rsidRPr="00B93FE0">
        <w:t>pp. 1191-1198.</w:t>
      </w:r>
    </w:p>
  </w:footnote>
  <w:footnote w:id="23">
    <w:p w:rsidR="008F0588" w:rsidRPr="00124E26" w:rsidRDefault="008F0588" w:rsidP="00E660F2">
      <w:pPr>
        <w:pStyle w:val="Standard"/>
        <w:spacing w:after="0"/>
        <w:rPr>
          <w:sz w:val="18"/>
          <w:szCs w:val="18"/>
        </w:rPr>
      </w:pPr>
      <w:r w:rsidRPr="00124E26">
        <w:rPr>
          <w:rStyle w:val="FootnoteReference"/>
          <w:sz w:val="18"/>
          <w:szCs w:val="18"/>
        </w:rPr>
        <w:footnoteRef/>
      </w:r>
      <w:r w:rsidRPr="00124E26">
        <w:rPr>
          <w:sz w:val="18"/>
          <w:szCs w:val="18"/>
        </w:rPr>
        <w:t xml:space="preserve"> Iswaran, T.J., M, Imai, G.R. Betton and R.A. Siddall (1997). An overview of animal toxicology studies with bicalutamide (ICI 176,334). </w:t>
      </w:r>
      <w:r w:rsidRPr="00124E26">
        <w:rPr>
          <w:i/>
          <w:sz w:val="18"/>
          <w:szCs w:val="18"/>
        </w:rPr>
        <w:t xml:space="preserve">J. Toxicol. Sci. </w:t>
      </w:r>
      <w:r w:rsidRPr="00124E26">
        <w:rPr>
          <w:sz w:val="18"/>
          <w:szCs w:val="18"/>
        </w:rPr>
        <w:t>22: 75‒88.</w:t>
      </w:r>
    </w:p>
  </w:footnote>
  <w:footnote w:id="24">
    <w:p w:rsidR="008F0588" w:rsidRPr="00124E26" w:rsidRDefault="008F0588" w:rsidP="00E660F2">
      <w:pPr>
        <w:pStyle w:val="Standard"/>
        <w:spacing w:after="0"/>
        <w:rPr>
          <w:sz w:val="18"/>
          <w:szCs w:val="18"/>
        </w:rPr>
      </w:pPr>
      <w:r w:rsidRPr="00124E26">
        <w:rPr>
          <w:rStyle w:val="FootnoteReference"/>
          <w:sz w:val="18"/>
          <w:szCs w:val="18"/>
        </w:rPr>
        <w:footnoteRef/>
      </w:r>
      <w:r w:rsidRPr="00124E26">
        <w:rPr>
          <w:sz w:val="18"/>
          <w:szCs w:val="18"/>
        </w:rPr>
        <w:t xml:space="preserve"> Pinski J., Yano T., Szepeshazi K., Groot K. and Schally A.V. (1993). Recovery of pituitary-gonadal function in male rats after long-term suppression induced by a single injection of microcapsules of LH-RH antagonist Cetrorelix (SB-75</w:t>
      </w:r>
      <w:r w:rsidRPr="00124E26">
        <w:rPr>
          <w:i/>
          <w:sz w:val="18"/>
          <w:szCs w:val="18"/>
        </w:rPr>
        <w:t xml:space="preserve">). J Androl. </w:t>
      </w:r>
      <w:r w:rsidRPr="00124E26">
        <w:rPr>
          <w:sz w:val="18"/>
          <w:szCs w:val="18"/>
        </w:rPr>
        <w:t>14(3): 164-169.</w:t>
      </w:r>
    </w:p>
  </w:footnote>
  <w:footnote w:id="25">
    <w:p w:rsidR="008F0588" w:rsidRPr="00124E26" w:rsidRDefault="008F0588" w:rsidP="00E660F2">
      <w:pPr>
        <w:pStyle w:val="Standard"/>
        <w:spacing w:after="0"/>
        <w:rPr>
          <w:sz w:val="18"/>
          <w:szCs w:val="18"/>
        </w:rPr>
      </w:pPr>
      <w:r w:rsidRPr="00124E26">
        <w:rPr>
          <w:rStyle w:val="FootnoteReference"/>
          <w:sz w:val="18"/>
          <w:szCs w:val="18"/>
        </w:rPr>
        <w:footnoteRef/>
      </w:r>
      <w:r w:rsidRPr="00124E26">
        <w:rPr>
          <w:sz w:val="18"/>
          <w:szCs w:val="18"/>
        </w:rPr>
        <w:t xml:space="preserve"> Toyoda K., Shibutani M., Tamura T., Koujitani T., Uneyama C. and H. Masao (2000). Repeated dose (28 days) oral toxicity study of flutamide in rats, based on the draft protocol for the ‘Enhanced OECD Test Guideline 407’ for screening for endocrine-disrupting chemicals. </w:t>
      </w:r>
      <w:r w:rsidRPr="00124E26">
        <w:rPr>
          <w:i/>
          <w:sz w:val="18"/>
          <w:szCs w:val="18"/>
        </w:rPr>
        <w:t xml:space="preserve">Arch. Toxicol. </w:t>
      </w:r>
      <w:r w:rsidRPr="00124E26">
        <w:rPr>
          <w:sz w:val="18"/>
          <w:szCs w:val="18"/>
        </w:rPr>
        <w:t>74: 127-132.</w:t>
      </w:r>
    </w:p>
  </w:footnote>
  <w:footnote w:id="26">
    <w:p w:rsidR="008F0588" w:rsidRPr="00124E26" w:rsidRDefault="008F0588" w:rsidP="00E660F2">
      <w:pPr>
        <w:pStyle w:val="Standard"/>
        <w:spacing w:after="0"/>
        <w:rPr>
          <w:sz w:val="18"/>
          <w:szCs w:val="18"/>
        </w:rPr>
      </w:pPr>
      <w:r w:rsidRPr="00124E26">
        <w:rPr>
          <w:rStyle w:val="FootnoteReference"/>
          <w:sz w:val="18"/>
          <w:szCs w:val="18"/>
        </w:rPr>
        <w:footnoteRef/>
      </w:r>
      <w:r w:rsidRPr="00124E26">
        <w:rPr>
          <w:sz w:val="18"/>
          <w:szCs w:val="18"/>
        </w:rPr>
        <w:t xml:space="preserve"> Rouquié D, Friry-Santini C, Schorsch, F, Tinwell, H. and Bars R, (2009). Standard and Molecular NOAELs for rat testicular toxicity induced by flutamide. </w:t>
      </w:r>
      <w:r w:rsidRPr="00124E26">
        <w:rPr>
          <w:i/>
          <w:sz w:val="18"/>
          <w:szCs w:val="18"/>
        </w:rPr>
        <w:t>Toxicol. Sci.</w:t>
      </w:r>
      <w:r w:rsidRPr="00124E26">
        <w:rPr>
          <w:sz w:val="18"/>
          <w:szCs w:val="18"/>
        </w:rPr>
        <w:t>109(1): 59-65.</w:t>
      </w:r>
    </w:p>
  </w:footnote>
  <w:footnote w:id="27">
    <w:p w:rsidR="008F0588" w:rsidRPr="00FA4933" w:rsidRDefault="008F0588" w:rsidP="00E660F2">
      <w:pPr>
        <w:pStyle w:val="FootnoteText"/>
      </w:pPr>
      <w:r>
        <w:rPr>
          <w:rStyle w:val="FootnoteReference"/>
        </w:rPr>
        <w:footnoteRef/>
      </w:r>
      <w:r>
        <w:t xml:space="preserve"> Hall AP </w:t>
      </w:r>
      <w:r>
        <w:rPr>
          <w:i/>
        </w:rPr>
        <w:t>et al</w:t>
      </w:r>
      <w:r>
        <w:t>. (2012) Liver hypertrophy: A review of adaptive (adverse and non-adverse) changes – Conclusions from the 3</w:t>
      </w:r>
      <w:r w:rsidRPr="008B7ABC">
        <w:rPr>
          <w:vertAlign w:val="superscript"/>
        </w:rPr>
        <w:t>rd</w:t>
      </w:r>
      <w:r>
        <w:t xml:space="preserve"> International ESTP Expert Workshop. </w:t>
      </w:r>
      <w:r>
        <w:rPr>
          <w:i/>
        </w:rPr>
        <w:t xml:space="preserve">Toxicologic Pathology </w:t>
      </w:r>
      <w:r>
        <w:t xml:space="preserve">40: 971-994. </w:t>
      </w:r>
    </w:p>
  </w:footnote>
  <w:footnote w:id="28">
    <w:p w:rsidR="008F0588" w:rsidRPr="001A4511" w:rsidRDefault="008F0588" w:rsidP="00E660F2">
      <w:pPr>
        <w:pStyle w:val="FootnoteText"/>
        <w:rPr>
          <w:lang w:val="en-US"/>
        </w:rPr>
      </w:pPr>
      <w:r>
        <w:rPr>
          <w:rStyle w:val="FootnoteReference"/>
        </w:rPr>
        <w:footnoteRef/>
      </w:r>
      <w:r>
        <w:t xml:space="preserve"> Wu KM and Farrelly JG (2006). Preclinical development of new drugs that enhance thyroid hormone metabolism and clearance: inadequacy of using rats as an animal model for predicting human risks in an IND and NDA.</w:t>
      </w:r>
      <w:r w:rsidRPr="00ED5D43">
        <w:rPr>
          <w:i/>
        </w:rPr>
        <w:t>Am</w:t>
      </w:r>
      <w:r>
        <w:rPr>
          <w:i/>
        </w:rPr>
        <w:t xml:space="preserve">erican </w:t>
      </w:r>
      <w:r w:rsidRPr="00ED5D43">
        <w:rPr>
          <w:i/>
        </w:rPr>
        <w:t>J</w:t>
      </w:r>
      <w:r>
        <w:rPr>
          <w:i/>
        </w:rPr>
        <w:t>ournal of</w:t>
      </w:r>
      <w:r w:rsidRPr="00ED5D43">
        <w:rPr>
          <w:i/>
        </w:rPr>
        <w:t xml:space="preserve"> Ther</w:t>
      </w:r>
      <w:r>
        <w:rPr>
          <w:i/>
        </w:rPr>
        <w:t xml:space="preserve">apeutics. </w:t>
      </w:r>
      <w:r w:rsidRPr="005C4965">
        <w:t>13(2):</w:t>
      </w:r>
      <w:r>
        <w:t xml:space="preserve"> 141-144.</w:t>
      </w:r>
    </w:p>
  </w:footnote>
  <w:footnote w:id="29">
    <w:p w:rsidR="008F0588" w:rsidRPr="007B3800" w:rsidRDefault="008F0588" w:rsidP="00E660F2">
      <w:pPr>
        <w:pStyle w:val="FootnoteText"/>
      </w:pPr>
      <w:r>
        <w:rPr>
          <w:rStyle w:val="FootnoteReference"/>
        </w:rPr>
        <w:footnoteRef/>
      </w:r>
      <w:r>
        <w:t xml:space="preserve"> Galloway SM (2000) </w:t>
      </w:r>
      <w:r w:rsidRPr="007B3800">
        <w:t xml:space="preserve">Cytotoxicity and chromosome aberrations </w:t>
      </w:r>
      <w:r w:rsidRPr="007B3800">
        <w:rPr>
          <w:i/>
        </w:rPr>
        <w:t>in vitro</w:t>
      </w:r>
      <w:r w:rsidRPr="007B3800">
        <w:t>:</w:t>
      </w:r>
      <w:r>
        <w:t xml:space="preserve"> </w:t>
      </w:r>
      <w:r w:rsidRPr="007B3800">
        <w:t>Experience in industry and the case for an upper limit</w:t>
      </w:r>
      <w:r>
        <w:t xml:space="preserve"> </w:t>
      </w:r>
      <w:r w:rsidRPr="007B3800">
        <w:t>on toxicity in the aberration assay</w:t>
      </w:r>
      <w:r>
        <w:t xml:space="preserve">. </w:t>
      </w:r>
      <w:r>
        <w:rPr>
          <w:i/>
        </w:rPr>
        <w:t xml:space="preserve">Environmental and Molecular Mutagenesis. </w:t>
      </w:r>
      <w:r w:rsidRPr="007B2D70">
        <w:rPr>
          <w:b/>
        </w:rPr>
        <w:t>35</w:t>
      </w:r>
      <w:r>
        <w:t>:191-201.</w:t>
      </w:r>
    </w:p>
  </w:footnote>
  <w:footnote w:id="30">
    <w:p w:rsidR="008F0588" w:rsidRPr="009C5E76" w:rsidRDefault="008F0588" w:rsidP="00E660F2">
      <w:pPr>
        <w:pStyle w:val="FootnoteText"/>
        <w:rPr>
          <w:lang w:val="en-US"/>
        </w:rPr>
      </w:pPr>
      <w:r>
        <w:rPr>
          <w:rStyle w:val="FootnoteReference"/>
        </w:rPr>
        <w:footnoteRef/>
      </w:r>
      <w:r>
        <w:t xml:space="preserve"> </w:t>
      </w:r>
      <w:r>
        <w:rPr>
          <w:lang w:val="en-US"/>
        </w:rPr>
        <w:t xml:space="preserve">Based on AUC values from 4 week repeat dose studies (VUM00004 and TOX11086) for the dose of 25 mg/kg/day and 26 week study (TOX10838) for the dose of 150 mg/kg/day. </w:t>
      </w:r>
    </w:p>
  </w:footnote>
  <w:footnote w:id="31">
    <w:p w:rsidR="008F0588" w:rsidRPr="005C4965" w:rsidRDefault="008F0588" w:rsidP="00E660F2">
      <w:pPr>
        <w:pStyle w:val="FootnoteText"/>
        <w:rPr>
          <w:lang w:val="en-US"/>
        </w:rPr>
      </w:pPr>
      <w:r>
        <w:rPr>
          <w:rStyle w:val="FootnoteReference"/>
        </w:rPr>
        <w:footnoteRef/>
      </w:r>
      <w:r>
        <w:t xml:space="preserve"> Category D: 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32">
    <w:p w:rsidR="008F0588" w:rsidRDefault="008F0588" w:rsidP="00E660F2">
      <w:pPr>
        <w:pStyle w:val="FootnoteText"/>
      </w:pPr>
      <w:r>
        <w:rPr>
          <w:rStyle w:val="FootnoteReference"/>
        </w:rPr>
        <w:footnoteRef/>
      </w:r>
      <w:r>
        <w:t xml:space="preserve"> Sponsor comment: The PROSPER study results have now been filed with the FDA and enzalutamide has been approved for NM-CRPC in the USA.</w:t>
      </w:r>
    </w:p>
  </w:footnote>
  <w:footnote w:id="33">
    <w:p w:rsidR="008F0588" w:rsidRPr="00AE5CBC" w:rsidRDefault="008F0588" w:rsidP="00E660F2">
      <w:pPr>
        <w:pStyle w:val="FootnoteText"/>
        <w:rPr>
          <w:lang w:val="en-US"/>
        </w:rPr>
      </w:pPr>
      <w:r>
        <w:rPr>
          <w:rStyle w:val="FootnoteReference"/>
        </w:rPr>
        <w:footnoteRef/>
      </w:r>
      <w:r>
        <w:t xml:space="preserve"> </w:t>
      </w:r>
      <w:r w:rsidRPr="00AE5CBC">
        <w:t>Smith MR et al. N Engl J Med 2018;378:1408-18. DOI: 10.1056/NEJMoa1715546</w:t>
      </w:r>
    </w:p>
  </w:footnote>
  <w:footnote w:id="34">
    <w:p w:rsidR="008F0588" w:rsidRPr="001A46BC" w:rsidRDefault="008F0588" w:rsidP="00E660F2">
      <w:pPr>
        <w:rPr>
          <w:sz w:val="18"/>
          <w:szCs w:val="18"/>
        </w:rPr>
      </w:pPr>
      <w:r w:rsidRPr="001A46BC">
        <w:rPr>
          <w:sz w:val="18"/>
          <w:szCs w:val="18"/>
          <w:vertAlign w:val="superscript"/>
        </w:rPr>
        <w:footnoteRef/>
      </w:r>
      <w:r w:rsidRPr="001A46BC">
        <w:rPr>
          <w:sz w:val="18"/>
          <w:szCs w:val="18"/>
        </w:rPr>
        <w:t xml:space="preserve"> Chapel S, Hutmacher MM, Bockbrader H. de Greef R and Lalonde R. (2011) Comparison of QTc Data Analysis Methods</w:t>
      </w:r>
      <w:r w:rsidRPr="008C2057">
        <w:rPr>
          <w:sz w:val="18"/>
          <w:szCs w:val="18"/>
        </w:rPr>
        <w:t xml:space="preserve"> Recommended by the ICH E14 Guidance and Exposure–Response Analysis: Case Study of a Thorough QT Study of Asenapine. </w:t>
      </w:r>
      <w:hyperlink r:id="rId3" w:history="1">
        <w:r w:rsidRPr="008C2057">
          <w:rPr>
            <w:rStyle w:val="Hyperlink"/>
            <w:color w:val="auto"/>
            <w:sz w:val="18"/>
            <w:szCs w:val="18"/>
            <w:u w:val="none"/>
          </w:rPr>
          <w:t>Volume89, Issue1</w:t>
        </w:r>
      </w:hyperlink>
      <w:hyperlink r:id="rId4" w:history="1">
        <w:r w:rsidRPr="008C2057">
          <w:rPr>
            <w:rStyle w:val="Hyperlink"/>
            <w:color w:val="auto"/>
            <w:sz w:val="18"/>
            <w:szCs w:val="18"/>
            <w:u w:val="none"/>
          </w:rPr>
          <w:t>Sex and Lifestyle Drugs</w:t>
        </w:r>
      </w:hyperlink>
      <w:r>
        <w:rPr>
          <w:sz w:val="18"/>
          <w:szCs w:val="18"/>
        </w:rPr>
        <w:t xml:space="preserve"> Pages 75-80</w:t>
      </w:r>
    </w:p>
  </w:footnote>
  <w:footnote w:id="35">
    <w:p w:rsidR="008F0588" w:rsidRPr="002A1F64" w:rsidRDefault="008F0588" w:rsidP="00E660F2">
      <w:pPr>
        <w:pStyle w:val="FootnoteText"/>
        <w:rPr>
          <w:lang w:val="en-US"/>
        </w:rPr>
      </w:pPr>
      <w:r>
        <w:rPr>
          <w:rStyle w:val="FootnoteReference"/>
        </w:rPr>
        <w:footnoteRef/>
      </w:r>
      <w:r>
        <w:t xml:space="preserve"> </w:t>
      </w:r>
      <w:r w:rsidRPr="002A1F64">
        <w:t>https://www.accessdata.fda.gov/drugsatfda_docs/nda/2018/210951Orig1s000MultidisciplineR.pdf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588" w:rsidRDefault="008F0588"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588" w:rsidRDefault="008F0588">
    <w:pPr>
      <w:rPr>
        <w:noProof/>
        <w:lang w:eastAsia="en-AU"/>
      </w:rPr>
    </w:pPr>
    <w:r w:rsidRPr="00347824">
      <w:rPr>
        <w:noProof/>
        <w:lang w:eastAsia="en-AU"/>
      </w:rPr>
      <w:drawing>
        <wp:anchor distT="0" distB="0" distL="114300" distR="114300" simplePos="0" relativeHeight="251659264" behindDoc="1" locked="0" layoutInCell="1" allowOverlap="1" wp14:anchorId="7ED9F9D0" wp14:editId="0B51929B">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8F0588" w:rsidRDefault="008F0588" w:rsidP="00593AD1">
    <w:pPr>
      <w:pStyle w:val="HeaderNoLine"/>
    </w:pPr>
    <w:r>
      <w:rPr>
        <w:noProof/>
        <w:lang w:eastAsia="en-AU"/>
      </w:rPr>
      <w:drawing>
        <wp:inline distT="0" distB="0" distL="0" distR="0" wp14:anchorId="53720951" wp14:editId="58DC4D6E">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588" w:rsidRDefault="008F058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588" w:rsidRDefault="008F0588">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588" w:rsidRDefault="008F0588">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588" w:rsidRDefault="008F058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588" w:rsidRDefault="008F0588"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588" w:rsidRDefault="008F0588" w:rsidP="006E08B3">
    <w:r>
      <w:t>Therapeutic Goods Administration</w:t>
    </w:r>
  </w:p>
  <w:p w:rsidR="008F0588" w:rsidRDefault="008F0588"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35DA3B10"/>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2"/>
  </w:num>
  <w:num w:numId="4">
    <w:abstractNumId w:val="1"/>
  </w:num>
  <w:num w:numId="5">
    <w:abstractNumId w:val="0"/>
  </w:num>
  <w:num w:numId="6">
    <w:abstractNumId w:val="3"/>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0F2"/>
    <w:rsid w:val="00002031"/>
    <w:rsid w:val="00004734"/>
    <w:rsid w:val="00006B22"/>
    <w:rsid w:val="0001276A"/>
    <w:rsid w:val="000246AE"/>
    <w:rsid w:val="00025C67"/>
    <w:rsid w:val="0003008F"/>
    <w:rsid w:val="00044772"/>
    <w:rsid w:val="0005559E"/>
    <w:rsid w:val="000604D6"/>
    <w:rsid w:val="000734D8"/>
    <w:rsid w:val="00077775"/>
    <w:rsid w:val="00090471"/>
    <w:rsid w:val="00096AA7"/>
    <w:rsid w:val="000A3AED"/>
    <w:rsid w:val="000B3532"/>
    <w:rsid w:val="000B3A75"/>
    <w:rsid w:val="000C00C2"/>
    <w:rsid w:val="000C690F"/>
    <w:rsid w:val="000D1295"/>
    <w:rsid w:val="000D391B"/>
    <w:rsid w:val="000D3D6D"/>
    <w:rsid w:val="000D4FC7"/>
    <w:rsid w:val="000E6196"/>
    <w:rsid w:val="000F4869"/>
    <w:rsid w:val="000F5B42"/>
    <w:rsid w:val="000F6E6F"/>
    <w:rsid w:val="0010601F"/>
    <w:rsid w:val="0010788A"/>
    <w:rsid w:val="00107A31"/>
    <w:rsid w:val="00110EA5"/>
    <w:rsid w:val="00112F56"/>
    <w:rsid w:val="00124ACD"/>
    <w:rsid w:val="00125318"/>
    <w:rsid w:val="001305A2"/>
    <w:rsid w:val="00133238"/>
    <w:rsid w:val="00133A1B"/>
    <w:rsid w:val="0014197B"/>
    <w:rsid w:val="001447CD"/>
    <w:rsid w:val="001516B1"/>
    <w:rsid w:val="00154EBB"/>
    <w:rsid w:val="00156316"/>
    <w:rsid w:val="00161181"/>
    <w:rsid w:val="00162D14"/>
    <w:rsid w:val="00163780"/>
    <w:rsid w:val="00165389"/>
    <w:rsid w:val="0017693F"/>
    <w:rsid w:val="0018110E"/>
    <w:rsid w:val="00181684"/>
    <w:rsid w:val="001843C6"/>
    <w:rsid w:val="001850E0"/>
    <w:rsid w:val="00192C8B"/>
    <w:rsid w:val="001A2158"/>
    <w:rsid w:val="001A525F"/>
    <w:rsid w:val="001B09F9"/>
    <w:rsid w:val="001B5C90"/>
    <w:rsid w:val="001B6448"/>
    <w:rsid w:val="001C32CD"/>
    <w:rsid w:val="001D2984"/>
    <w:rsid w:val="001E07CF"/>
    <w:rsid w:val="001E59F1"/>
    <w:rsid w:val="001F2CEE"/>
    <w:rsid w:val="001F49EB"/>
    <w:rsid w:val="001F6CBA"/>
    <w:rsid w:val="00201D4E"/>
    <w:rsid w:val="002076C9"/>
    <w:rsid w:val="00220B8A"/>
    <w:rsid w:val="002257F3"/>
    <w:rsid w:val="00233456"/>
    <w:rsid w:val="002339A5"/>
    <w:rsid w:val="002462D7"/>
    <w:rsid w:val="00257848"/>
    <w:rsid w:val="0027084A"/>
    <w:rsid w:val="00286434"/>
    <w:rsid w:val="00286C59"/>
    <w:rsid w:val="00291957"/>
    <w:rsid w:val="002942D1"/>
    <w:rsid w:val="0029501A"/>
    <w:rsid w:val="002A3721"/>
    <w:rsid w:val="002B1638"/>
    <w:rsid w:val="002B2B5B"/>
    <w:rsid w:val="002B3624"/>
    <w:rsid w:val="002D0952"/>
    <w:rsid w:val="002E40B3"/>
    <w:rsid w:val="002E4C9A"/>
    <w:rsid w:val="002F11F8"/>
    <w:rsid w:val="002F3F56"/>
    <w:rsid w:val="002F44B5"/>
    <w:rsid w:val="002F5122"/>
    <w:rsid w:val="00311AC0"/>
    <w:rsid w:val="003176FC"/>
    <w:rsid w:val="0032583B"/>
    <w:rsid w:val="00327883"/>
    <w:rsid w:val="00335504"/>
    <w:rsid w:val="00340C18"/>
    <w:rsid w:val="003442FD"/>
    <w:rsid w:val="00347824"/>
    <w:rsid w:val="00350567"/>
    <w:rsid w:val="003521E8"/>
    <w:rsid w:val="00370CE3"/>
    <w:rsid w:val="003728F3"/>
    <w:rsid w:val="003735BC"/>
    <w:rsid w:val="0037496E"/>
    <w:rsid w:val="00383221"/>
    <w:rsid w:val="00386150"/>
    <w:rsid w:val="003874CE"/>
    <w:rsid w:val="00390900"/>
    <w:rsid w:val="003A7F6C"/>
    <w:rsid w:val="003B4D60"/>
    <w:rsid w:val="003B7E39"/>
    <w:rsid w:val="003C58DC"/>
    <w:rsid w:val="003D1E62"/>
    <w:rsid w:val="003E0B99"/>
    <w:rsid w:val="003E2486"/>
    <w:rsid w:val="003E3208"/>
    <w:rsid w:val="003F0B04"/>
    <w:rsid w:val="0040134E"/>
    <w:rsid w:val="004334C7"/>
    <w:rsid w:val="00440A2D"/>
    <w:rsid w:val="00441C3F"/>
    <w:rsid w:val="004564A7"/>
    <w:rsid w:val="00456765"/>
    <w:rsid w:val="004617BF"/>
    <w:rsid w:val="00463658"/>
    <w:rsid w:val="004637A0"/>
    <w:rsid w:val="004722CC"/>
    <w:rsid w:val="004936E4"/>
    <w:rsid w:val="00494E60"/>
    <w:rsid w:val="00497487"/>
    <w:rsid w:val="004A6189"/>
    <w:rsid w:val="004A7390"/>
    <w:rsid w:val="004B7B76"/>
    <w:rsid w:val="004C239D"/>
    <w:rsid w:val="004C2DCA"/>
    <w:rsid w:val="004C61D2"/>
    <w:rsid w:val="004F08D4"/>
    <w:rsid w:val="004F0C4A"/>
    <w:rsid w:val="004F0F38"/>
    <w:rsid w:val="004F47D6"/>
    <w:rsid w:val="00500337"/>
    <w:rsid w:val="00501921"/>
    <w:rsid w:val="00530354"/>
    <w:rsid w:val="0053625B"/>
    <w:rsid w:val="005434C6"/>
    <w:rsid w:val="00543B39"/>
    <w:rsid w:val="00546154"/>
    <w:rsid w:val="00550096"/>
    <w:rsid w:val="00555280"/>
    <w:rsid w:val="00557FF9"/>
    <w:rsid w:val="00562327"/>
    <w:rsid w:val="005711D5"/>
    <w:rsid w:val="00576378"/>
    <w:rsid w:val="00577130"/>
    <w:rsid w:val="00577945"/>
    <w:rsid w:val="00577E38"/>
    <w:rsid w:val="00585322"/>
    <w:rsid w:val="005857C6"/>
    <w:rsid w:val="00592F6E"/>
    <w:rsid w:val="00593AD1"/>
    <w:rsid w:val="005A68B6"/>
    <w:rsid w:val="005C5570"/>
    <w:rsid w:val="005C79A4"/>
    <w:rsid w:val="005D5442"/>
    <w:rsid w:val="00603F32"/>
    <w:rsid w:val="00605AD4"/>
    <w:rsid w:val="006136D7"/>
    <w:rsid w:val="00625A6E"/>
    <w:rsid w:val="00632398"/>
    <w:rsid w:val="00640FC3"/>
    <w:rsid w:val="00642020"/>
    <w:rsid w:val="0065337B"/>
    <w:rsid w:val="0065419D"/>
    <w:rsid w:val="006603BC"/>
    <w:rsid w:val="006604D8"/>
    <w:rsid w:val="00664A5B"/>
    <w:rsid w:val="0066735C"/>
    <w:rsid w:val="006763D2"/>
    <w:rsid w:val="00680C08"/>
    <w:rsid w:val="006916A0"/>
    <w:rsid w:val="006931B1"/>
    <w:rsid w:val="006A15C0"/>
    <w:rsid w:val="006C3E2A"/>
    <w:rsid w:val="006C642F"/>
    <w:rsid w:val="006D03E5"/>
    <w:rsid w:val="006D2048"/>
    <w:rsid w:val="006D5D3E"/>
    <w:rsid w:val="006E08B3"/>
    <w:rsid w:val="006E55E4"/>
    <w:rsid w:val="006F17AC"/>
    <w:rsid w:val="006F25B8"/>
    <w:rsid w:val="006F572E"/>
    <w:rsid w:val="007046D6"/>
    <w:rsid w:val="00705DB0"/>
    <w:rsid w:val="00722B57"/>
    <w:rsid w:val="00730F8A"/>
    <w:rsid w:val="00735A8C"/>
    <w:rsid w:val="0074253D"/>
    <w:rsid w:val="0074429B"/>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A46F5"/>
    <w:rsid w:val="007B6132"/>
    <w:rsid w:val="007B6E9F"/>
    <w:rsid w:val="007C1216"/>
    <w:rsid w:val="007C1AF7"/>
    <w:rsid w:val="007C6B9B"/>
    <w:rsid w:val="00805D27"/>
    <w:rsid w:val="00806DCB"/>
    <w:rsid w:val="00821776"/>
    <w:rsid w:val="008321F5"/>
    <w:rsid w:val="00832369"/>
    <w:rsid w:val="00834660"/>
    <w:rsid w:val="00836BC2"/>
    <w:rsid w:val="0085156D"/>
    <w:rsid w:val="00852B28"/>
    <w:rsid w:val="0085641B"/>
    <w:rsid w:val="00857136"/>
    <w:rsid w:val="00875A6B"/>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51A9"/>
    <w:rsid w:val="008E7846"/>
    <w:rsid w:val="008F02E5"/>
    <w:rsid w:val="008F0588"/>
    <w:rsid w:val="008F1CCC"/>
    <w:rsid w:val="008F2967"/>
    <w:rsid w:val="008F6943"/>
    <w:rsid w:val="00902A21"/>
    <w:rsid w:val="00914DE0"/>
    <w:rsid w:val="0091523F"/>
    <w:rsid w:val="00920330"/>
    <w:rsid w:val="009219D7"/>
    <w:rsid w:val="00922D53"/>
    <w:rsid w:val="00923B70"/>
    <w:rsid w:val="00924482"/>
    <w:rsid w:val="00930237"/>
    <w:rsid w:val="00937C17"/>
    <w:rsid w:val="00940A89"/>
    <w:rsid w:val="00946EA5"/>
    <w:rsid w:val="00963C08"/>
    <w:rsid w:val="009752A5"/>
    <w:rsid w:val="0098156E"/>
    <w:rsid w:val="0098585A"/>
    <w:rsid w:val="009A4CED"/>
    <w:rsid w:val="009A690D"/>
    <w:rsid w:val="009B1D12"/>
    <w:rsid w:val="009B416B"/>
    <w:rsid w:val="009C4BD5"/>
    <w:rsid w:val="009D7B77"/>
    <w:rsid w:val="009E0BB0"/>
    <w:rsid w:val="009E3FBB"/>
    <w:rsid w:val="009F4D83"/>
    <w:rsid w:val="009F7353"/>
    <w:rsid w:val="00A04F85"/>
    <w:rsid w:val="00A05FA4"/>
    <w:rsid w:val="00A102E4"/>
    <w:rsid w:val="00A12C42"/>
    <w:rsid w:val="00A14DF7"/>
    <w:rsid w:val="00A22D57"/>
    <w:rsid w:val="00A3246D"/>
    <w:rsid w:val="00A36FA7"/>
    <w:rsid w:val="00A44DDB"/>
    <w:rsid w:val="00A475B7"/>
    <w:rsid w:val="00A47AF7"/>
    <w:rsid w:val="00A47C3E"/>
    <w:rsid w:val="00A50226"/>
    <w:rsid w:val="00A60BAD"/>
    <w:rsid w:val="00A77F87"/>
    <w:rsid w:val="00A80B5B"/>
    <w:rsid w:val="00A84E36"/>
    <w:rsid w:val="00A964D1"/>
    <w:rsid w:val="00AA0ED0"/>
    <w:rsid w:val="00AC2B40"/>
    <w:rsid w:val="00AC2BB2"/>
    <w:rsid w:val="00AC2C3C"/>
    <w:rsid w:val="00AC512D"/>
    <w:rsid w:val="00AD0083"/>
    <w:rsid w:val="00AD3935"/>
    <w:rsid w:val="00AE65EB"/>
    <w:rsid w:val="00AE67A7"/>
    <w:rsid w:val="00AF1D94"/>
    <w:rsid w:val="00AF60C5"/>
    <w:rsid w:val="00B009C6"/>
    <w:rsid w:val="00B01548"/>
    <w:rsid w:val="00B13EBD"/>
    <w:rsid w:val="00B21D29"/>
    <w:rsid w:val="00B25034"/>
    <w:rsid w:val="00B33588"/>
    <w:rsid w:val="00B33863"/>
    <w:rsid w:val="00B37D17"/>
    <w:rsid w:val="00B4175E"/>
    <w:rsid w:val="00B41C85"/>
    <w:rsid w:val="00B452CE"/>
    <w:rsid w:val="00B54C25"/>
    <w:rsid w:val="00B76B91"/>
    <w:rsid w:val="00B77EB1"/>
    <w:rsid w:val="00B811C6"/>
    <w:rsid w:val="00B855B0"/>
    <w:rsid w:val="00B92E08"/>
    <w:rsid w:val="00BC622A"/>
    <w:rsid w:val="00BE0A78"/>
    <w:rsid w:val="00BE79F0"/>
    <w:rsid w:val="00BF046D"/>
    <w:rsid w:val="00BF1190"/>
    <w:rsid w:val="00BF3774"/>
    <w:rsid w:val="00BF5D04"/>
    <w:rsid w:val="00C009AA"/>
    <w:rsid w:val="00C1164D"/>
    <w:rsid w:val="00C16861"/>
    <w:rsid w:val="00C31962"/>
    <w:rsid w:val="00C346AB"/>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94CD4"/>
    <w:rsid w:val="00C9747E"/>
    <w:rsid w:val="00CB6BC0"/>
    <w:rsid w:val="00CC1B7C"/>
    <w:rsid w:val="00CC727F"/>
    <w:rsid w:val="00CF15C3"/>
    <w:rsid w:val="00CF2B6F"/>
    <w:rsid w:val="00CF2F3E"/>
    <w:rsid w:val="00CF58B6"/>
    <w:rsid w:val="00D0062D"/>
    <w:rsid w:val="00D017ED"/>
    <w:rsid w:val="00D040D3"/>
    <w:rsid w:val="00D04C65"/>
    <w:rsid w:val="00D201D2"/>
    <w:rsid w:val="00D224FE"/>
    <w:rsid w:val="00D23139"/>
    <w:rsid w:val="00D425BB"/>
    <w:rsid w:val="00D453FA"/>
    <w:rsid w:val="00D6493E"/>
    <w:rsid w:val="00D7195D"/>
    <w:rsid w:val="00D7301E"/>
    <w:rsid w:val="00D83AE1"/>
    <w:rsid w:val="00D855D4"/>
    <w:rsid w:val="00D902C9"/>
    <w:rsid w:val="00D93466"/>
    <w:rsid w:val="00DA1124"/>
    <w:rsid w:val="00DB06B8"/>
    <w:rsid w:val="00DB6124"/>
    <w:rsid w:val="00DB750B"/>
    <w:rsid w:val="00DB75B7"/>
    <w:rsid w:val="00DC6E02"/>
    <w:rsid w:val="00DD28CD"/>
    <w:rsid w:val="00DE02AE"/>
    <w:rsid w:val="00DE39D1"/>
    <w:rsid w:val="00DF1D7F"/>
    <w:rsid w:val="00DF4BE4"/>
    <w:rsid w:val="00E02382"/>
    <w:rsid w:val="00E02FB4"/>
    <w:rsid w:val="00E13FC7"/>
    <w:rsid w:val="00E20571"/>
    <w:rsid w:val="00E235F7"/>
    <w:rsid w:val="00E23659"/>
    <w:rsid w:val="00E239D4"/>
    <w:rsid w:val="00E26130"/>
    <w:rsid w:val="00E40B22"/>
    <w:rsid w:val="00E44ED1"/>
    <w:rsid w:val="00E45619"/>
    <w:rsid w:val="00E4588F"/>
    <w:rsid w:val="00E46DA3"/>
    <w:rsid w:val="00E51BB1"/>
    <w:rsid w:val="00E624A5"/>
    <w:rsid w:val="00E64BA4"/>
    <w:rsid w:val="00E660F2"/>
    <w:rsid w:val="00E7344E"/>
    <w:rsid w:val="00E82665"/>
    <w:rsid w:val="00EB0798"/>
    <w:rsid w:val="00EB40AD"/>
    <w:rsid w:val="00EB586E"/>
    <w:rsid w:val="00EB5FC8"/>
    <w:rsid w:val="00EC463D"/>
    <w:rsid w:val="00EC7A85"/>
    <w:rsid w:val="00ED2922"/>
    <w:rsid w:val="00ED3CAD"/>
    <w:rsid w:val="00ED5A41"/>
    <w:rsid w:val="00EE1DE8"/>
    <w:rsid w:val="00EE22BF"/>
    <w:rsid w:val="00EE27C2"/>
    <w:rsid w:val="00EF4BAD"/>
    <w:rsid w:val="00EF59DC"/>
    <w:rsid w:val="00F033EC"/>
    <w:rsid w:val="00F04F68"/>
    <w:rsid w:val="00F12670"/>
    <w:rsid w:val="00F14B27"/>
    <w:rsid w:val="00F3148D"/>
    <w:rsid w:val="00F325C5"/>
    <w:rsid w:val="00F32FE0"/>
    <w:rsid w:val="00F35298"/>
    <w:rsid w:val="00F47333"/>
    <w:rsid w:val="00F47E37"/>
    <w:rsid w:val="00F53C07"/>
    <w:rsid w:val="00F54B65"/>
    <w:rsid w:val="00F640B6"/>
    <w:rsid w:val="00F66DF2"/>
    <w:rsid w:val="00F80E40"/>
    <w:rsid w:val="00F848D9"/>
    <w:rsid w:val="00FA5069"/>
    <w:rsid w:val="00FA5B82"/>
    <w:rsid w:val="00FA639E"/>
    <w:rsid w:val="00FC1FCA"/>
    <w:rsid w:val="00FC25E4"/>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qFormat="1"/>
    <w:lsdException w:name="caption" w:semiHidden="0" w:uiPriority="0" w:unhideWhenUsed="0" w:qFormat="1"/>
    <w:lsdException w:name="footnote reference" w:uiPriority="0"/>
    <w:lsdException w:name="annotation reference"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unhideWhenUsed/>
    <w:qFormat/>
    <w:rsid w:val="00E660F2"/>
    <w:pPr>
      <w:keepNext/>
      <w:keepLines/>
      <w:adjustRightInd w:val="0"/>
      <w:snapToGrid w:val="0"/>
      <w:spacing w:before="200" w:after="0" w:line="240" w:lineRule="auto"/>
      <w:outlineLvl w:val="7"/>
    </w:pPr>
    <w:rPr>
      <w:rFonts w:asciiTheme="majorHAnsi" w:eastAsiaTheme="majorEastAsia" w:hAnsiTheme="majorHAnsi" w:cstheme="majorBidi"/>
      <w:i/>
      <w:color w:val="404040" w:themeColor="text1" w:themeTint="BF"/>
      <w:sz w:val="20"/>
      <w:szCs w:val="20"/>
      <w:u w:val="single"/>
      <w:lang w:eastAsia="ja-JP"/>
    </w:rPr>
  </w:style>
  <w:style w:type="paragraph" w:styleId="Heading9">
    <w:name w:val="heading 9"/>
    <w:basedOn w:val="Normal"/>
    <w:next w:val="Normal"/>
    <w:link w:val="Heading9Char"/>
    <w:uiPriority w:val="9"/>
    <w:unhideWhenUsed/>
    <w:qFormat/>
    <w:rsid w:val="00E660F2"/>
    <w:pPr>
      <w:keepNext/>
      <w:keepLines/>
      <w:adjustRightInd w:val="0"/>
      <w:snapToGrid w:val="0"/>
      <w:spacing w:before="200" w:after="0" w:line="240" w:lineRule="auto"/>
      <w:outlineLvl w:val="8"/>
    </w:pPr>
    <w:rPr>
      <w:rFonts w:asciiTheme="majorHAnsi" w:eastAsiaTheme="majorEastAsia" w:hAnsiTheme="majorHAnsi" w:cstheme="majorBidi"/>
      <w:b/>
      <w:i/>
      <w:iCs/>
      <w:color w:val="404040" w:themeColor="text1" w:themeTint="BF"/>
      <w:sz w:val="18"/>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8F0588"/>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8F0588"/>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semiHidden/>
    <w:unhideWhenUsed/>
    <w:rsid w:val="000E6196"/>
    <w:rPr>
      <w:vertAlign w:val="superscript"/>
    </w:rPr>
  </w:style>
  <w:style w:type="character" w:styleId="CommentReference">
    <w:name w:val="annotation reference"/>
    <w:basedOn w:val="DefaultParagraphFont"/>
    <w:unhideWhenUsed/>
    <w:rsid w:val="00EC463D"/>
    <w:rPr>
      <w:sz w:val="16"/>
      <w:szCs w:val="16"/>
    </w:rPr>
  </w:style>
  <w:style w:type="paragraph" w:styleId="CommentText">
    <w:name w:val="annotation text"/>
    <w:basedOn w:val="Normal"/>
    <w:link w:val="CommentTextChar"/>
    <w:unhideWhenUsed/>
    <w:rsid w:val="00EC463D"/>
    <w:pPr>
      <w:spacing w:line="240" w:lineRule="auto"/>
    </w:pPr>
    <w:rPr>
      <w:sz w:val="20"/>
      <w:szCs w:val="20"/>
    </w:rPr>
  </w:style>
  <w:style w:type="character" w:customStyle="1" w:styleId="CommentTextChar">
    <w:name w:val="Comment Text Char"/>
    <w:basedOn w:val="DefaultParagraphFont"/>
    <w:link w:val="CommentText"/>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eading8Char">
    <w:name w:val="Heading 8 Char"/>
    <w:basedOn w:val="DefaultParagraphFont"/>
    <w:link w:val="Heading8"/>
    <w:uiPriority w:val="9"/>
    <w:rsid w:val="00E660F2"/>
    <w:rPr>
      <w:rFonts w:asciiTheme="majorHAnsi" w:eastAsiaTheme="majorEastAsia" w:hAnsiTheme="majorHAnsi" w:cstheme="majorBidi"/>
      <w:i/>
      <w:color w:val="404040" w:themeColor="text1" w:themeTint="BF"/>
      <w:sz w:val="20"/>
      <w:szCs w:val="20"/>
      <w:u w:val="single"/>
      <w:lang w:eastAsia="ja-JP"/>
    </w:rPr>
  </w:style>
  <w:style w:type="character" w:customStyle="1" w:styleId="Heading9Char">
    <w:name w:val="Heading 9 Char"/>
    <w:basedOn w:val="DefaultParagraphFont"/>
    <w:link w:val="Heading9"/>
    <w:uiPriority w:val="9"/>
    <w:rsid w:val="00E660F2"/>
    <w:rPr>
      <w:rFonts w:asciiTheme="majorHAnsi" w:eastAsiaTheme="majorEastAsia" w:hAnsiTheme="majorHAnsi" w:cstheme="majorBidi"/>
      <w:b/>
      <w:i/>
      <w:iCs/>
      <w:color w:val="404040" w:themeColor="text1" w:themeTint="BF"/>
      <w:sz w:val="18"/>
      <w:szCs w:val="20"/>
      <w:lang w:eastAsia="ja-JP"/>
    </w:rPr>
  </w:style>
  <w:style w:type="paragraph" w:styleId="ListParagraph">
    <w:name w:val="List Paragraph"/>
    <w:basedOn w:val="Normal"/>
    <w:uiPriority w:val="34"/>
    <w:qFormat/>
    <w:rsid w:val="00E660F2"/>
    <w:pPr>
      <w:spacing w:after="180"/>
      <w:ind w:left="720"/>
      <w:contextualSpacing/>
    </w:pPr>
    <w:rPr>
      <w:rFonts w:cstheme="minorBidi"/>
    </w:rPr>
  </w:style>
  <w:style w:type="table" w:customStyle="1" w:styleId="TableGrid2">
    <w:name w:val="Table Grid2"/>
    <w:basedOn w:val="TableNormal"/>
    <w:next w:val="TableGrid"/>
    <w:uiPriority w:val="59"/>
    <w:rsid w:val="00E660F2"/>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E660F2"/>
  </w:style>
  <w:style w:type="paragraph" w:customStyle="1" w:styleId="Standard">
    <w:name w:val="Standard"/>
    <w:basedOn w:val="Normal"/>
    <w:link w:val="StandardChar"/>
    <w:qFormat/>
    <w:rsid w:val="00E660F2"/>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E660F2"/>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E660F2"/>
    <w:pPr>
      <w:numPr>
        <w:numId w:val="5"/>
      </w:numPr>
      <w:spacing w:after="180"/>
      <w:ind w:left="426" w:hanging="284"/>
    </w:pPr>
    <w:rPr>
      <w:kern w:val="2"/>
    </w:rPr>
  </w:style>
  <w:style w:type="character" w:customStyle="1" w:styleId="TabletextChar">
    <w:name w:val="Table text Char"/>
    <w:basedOn w:val="StandardChar"/>
    <w:link w:val="Tabletext"/>
    <w:rsid w:val="00E660F2"/>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E660F2"/>
    <w:rPr>
      <w:rFonts w:ascii="Cambria" w:eastAsia="Times New Roman" w:hAnsi="Cambria" w:cs="Times New Roman"/>
      <w:snapToGrid w:val="0"/>
      <w:kern w:val="2"/>
      <w:sz w:val="23"/>
      <w:szCs w:val="24"/>
    </w:rPr>
  </w:style>
  <w:style w:type="paragraph" w:styleId="Quote">
    <w:name w:val="Quote"/>
    <w:basedOn w:val="Normal"/>
    <w:next w:val="Normal"/>
    <w:link w:val="QuoteChar"/>
    <w:uiPriority w:val="29"/>
    <w:qFormat/>
    <w:rsid w:val="00E660F2"/>
    <w:pPr>
      <w:spacing w:before="0" w:after="200" w:line="276" w:lineRule="auto"/>
      <w:ind w:left="397" w:right="170"/>
    </w:pPr>
    <w:rPr>
      <w:rFonts w:asciiTheme="majorHAnsi" w:eastAsiaTheme="minorHAnsi" w:hAnsiTheme="majorHAnsi" w:cstheme="minorBidi"/>
      <w:i/>
      <w:iCs/>
      <w:color w:val="000000" w:themeColor="text1"/>
      <w:sz w:val="23"/>
    </w:rPr>
  </w:style>
  <w:style w:type="character" w:customStyle="1" w:styleId="QuoteChar">
    <w:name w:val="Quote Char"/>
    <w:basedOn w:val="DefaultParagraphFont"/>
    <w:link w:val="Quote"/>
    <w:uiPriority w:val="29"/>
    <w:rsid w:val="00E660F2"/>
    <w:rPr>
      <w:rFonts w:asciiTheme="majorHAnsi" w:hAnsiTheme="majorHAnsi"/>
      <w:i/>
      <w:iCs/>
      <w:color w:val="000000" w:themeColor="text1"/>
      <w:sz w:val="23"/>
    </w:rPr>
  </w:style>
  <w:style w:type="paragraph" w:customStyle="1" w:styleId="AssessmentSubsection">
    <w:name w:val="Assessment Subsection"/>
    <w:basedOn w:val="Standard"/>
    <w:next w:val="Standard"/>
    <w:rsid w:val="00E660F2"/>
    <w:pPr>
      <w:keepNext/>
      <w:spacing w:after="110"/>
      <w:outlineLvl w:val="2"/>
    </w:pPr>
    <w:rPr>
      <w:b/>
      <w:i/>
      <w:sz w:val="22"/>
    </w:rPr>
  </w:style>
  <w:style w:type="paragraph" w:customStyle="1" w:styleId="AssessmentSection">
    <w:name w:val="Assessment Section"/>
    <w:basedOn w:val="AssessmentSubsection"/>
    <w:next w:val="Standard"/>
    <w:rsid w:val="00E660F2"/>
    <w:pPr>
      <w:outlineLvl w:val="1"/>
    </w:pPr>
    <w:rPr>
      <w:i w:val="0"/>
    </w:rPr>
  </w:style>
  <w:style w:type="paragraph" w:customStyle="1" w:styleId="AssessmentSubsection2">
    <w:name w:val="Assessment Subsection 2"/>
    <w:basedOn w:val="AssessmentSubsection"/>
    <w:next w:val="Standard"/>
    <w:rsid w:val="00E660F2"/>
    <w:pPr>
      <w:outlineLvl w:val="3"/>
    </w:pPr>
    <w:rPr>
      <w:b w:val="0"/>
    </w:rPr>
  </w:style>
  <w:style w:type="paragraph" w:styleId="BodyText">
    <w:name w:val="Body Text"/>
    <w:basedOn w:val="Normal"/>
    <w:link w:val="BodyTextChar"/>
    <w:uiPriority w:val="99"/>
    <w:qFormat/>
    <w:rsid w:val="00E660F2"/>
    <w:pPr>
      <w:spacing w:before="0" w:after="200" w:line="252" w:lineRule="auto"/>
    </w:pPr>
    <w:rPr>
      <w:rFonts w:ascii="Times New Roman" w:eastAsia="Times New Roman" w:hAnsi="Times New Roman"/>
      <w:sz w:val="24"/>
      <w:szCs w:val="24"/>
      <w:lang w:eastAsia="en-AU"/>
    </w:rPr>
  </w:style>
  <w:style w:type="character" w:customStyle="1" w:styleId="BodyTextChar">
    <w:name w:val="Body Text Char"/>
    <w:basedOn w:val="DefaultParagraphFont"/>
    <w:link w:val="BodyText"/>
    <w:uiPriority w:val="99"/>
    <w:rsid w:val="00E660F2"/>
    <w:rPr>
      <w:rFonts w:ascii="Times New Roman" w:eastAsia="Times New Roman" w:hAnsi="Times New Roman" w:cs="Times New Roman"/>
      <w:sz w:val="24"/>
      <w:szCs w:val="24"/>
      <w:lang w:eastAsia="en-AU"/>
    </w:rPr>
  </w:style>
  <w:style w:type="paragraph" w:customStyle="1" w:styleId="WhiteSpace">
    <w:name w:val="White Space"/>
    <w:basedOn w:val="Standard"/>
    <w:next w:val="Standard"/>
    <w:link w:val="WhiteSpaceChar"/>
    <w:rsid w:val="00E660F2"/>
    <w:pPr>
      <w:spacing w:after="0"/>
    </w:pPr>
    <w:rPr>
      <w:sz w:val="16"/>
      <w:szCs w:val="16"/>
    </w:rPr>
  </w:style>
  <w:style w:type="character" w:customStyle="1" w:styleId="WhiteSpaceChar">
    <w:name w:val="White Space Char"/>
    <w:basedOn w:val="DefaultParagraphFont"/>
    <w:link w:val="WhiteSpace"/>
    <w:rsid w:val="00E660F2"/>
    <w:rPr>
      <w:rFonts w:ascii="Cambria" w:eastAsia="Times New Roman" w:hAnsi="Cambria" w:cs="Times New Roman"/>
      <w:snapToGrid w:val="0"/>
      <w:kern w:val="16"/>
      <w:sz w:val="16"/>
      <w:szCs w:val="16"/>
    </w:rPr>
  </w:style>
  <w:style w:type="paragraph" w:styleId="NormalWeb">
    <w:name w:val="Normal (Web)"/>
    <w:basedOn w:val="Normal"/>
    <w:uiPriority w:val="99"/>
    <w:unhideWhenUsed/>
    <w:rsid w:val="00E660F2"/>
    <w:pPr>
      <w:spacing w:before="100" w:beforeAutospacing="1" w:after="100" w:afterAutospacing="1" w:line="240" w:lineRule="auto"/>
    </w:pPr>
    <w:rPr>
      <w:rFonts w:ascii="Times" w:eastAsiaTheme="minorHAnsi" w:hAnsi="Times"/>
      <w:sz w:val="20"/>
      <w:szCs w:val="20"/>
    </w:rPr>
  </w:style>
  <w:style w:type="paragraph" w:customStyle="1" w:styleId="table">
    <w:name w:val="table"/>
    <w:basedOn w:val="Normal"/>
    <w:link w:val="tableChar"/>
    <w:rsid w:val="00E660F2"/>
    <w:pPr>
      <w:adjustRightInd w:val="0"/>
      <w:snapToGrid w:val="0"/>
      <w:spacing w:before="0" w:after="0" w:line="240" w:lineRule="auto"/>
    </w:pPr>
    <w:rPr>
      <w:rFonts w:eastAsia="MS Mincho"/>
      <w:sz w:val="18"/>
      <w:szCs w:val="20"/>
      <w:lang w:eastAsia="ja-JP"/>
    </w:rPr>
  </w:style>
  <w:style w:type="character" w:customStyle="1" w:styleId="tableChar">
    <w:name w:val="table Char"/>
    <w:basedOn w:val="DefaultParagraphFont"/>
    <w:link w:val="table"/>
    <w:rsid w:val="00E660F2"/>
    <w:rPr>
      <w:rFonts w:ascii="Cambria" w:eastAsia="MS Mincho" w:hAnsi="Cambria" w:cs="Times New Roman"/>
      <w:sz w:val="18"/>
      <w:szCs w:val="20"/>
      <w:lang w:eastAsia="ja-JP"/>
    </w:rPr>
  </w:style>
  <w:style w:type="paragraph" w:customStyle="1" w:styleId="mine">
    <w:name w:val="mine"/>
    <w:basedOn w:val="Normal"/>
    <w:rsid w:val="00E660F2"/>
    <w:pPr>
      <w:widowControl w:val="0"/>
      <w:adjustRightInd w:val="0"/>
      <w:snapToGrid w:val="0"/>
      <w:spacing w:before="0" w:after="0" w:line="240" w:lineRule="auto"/>
      <w:contextualSpacing/>
    </w:pPr>
    <w:rPr>
      <w:rFonts w:eastAsia="MS Mincho" w:cstheme="minorBidi"/>
      <w:szCs w:val="21"/>
      <w:lang w:eastAsia="en-AU"/>
    </w:rPr>
  </w:style>
  <w:style w:type="paragraph" w:styleId="NoSpacing">
    <w:name w:val="No Spacing"/>
    <w:uiPriority w:val="1"/>
    <w:qFormat/>
    <w:rsid w:val="00E660F2"/>
  </w:style>
  <w:style w:type="character" w:styleId="Strong">
    <w:name w:val="Strong"/>
    <w:basedOn w:val="DefaultParagraphFont"/>
    <w:uiPriority w:val="22"/>
    <w:rsid w:val="00E660F2"/>
    <w:rPr>
      <w:b/>
      <w:bCs/>
    </w:rPr>
  </w:style>
  <w:style w:type="paragraph" w:customStyle="1" w:styleId="TableParagraph">
    <w:name w:val="Table Paragraph"/>
    <w:basedOn w:val="Normal"/>
    <w:uiPriority w:val="1"/>
    <w:rsid w:val="00E660F2"/>
    <w:pPr>
      <w:widowControl w:val="0"/>
      <w:adjustRightInd w:val="0"/>
      <w:snapToGrid w:val="0"/>
      <w:spacing w:before="40" w:after="0" w:line="240" w:lineRule="auto"/>
      <w:ind w:left="81"/>
    </w:pPr>
    <w:rPr>
      <w:rFonts w:ascii="Arial Narrow" w:eastAsia="Times New Roman" w:hAnsi="Arial Narrow"/>
      <w:sz w:val="20"/>
      <w:szCs w:val="20"/>
      <w:lang w:val="en-US" w:eastAsia="ja-JP"/>
    </w:rPr>
  </w:style>
  <w:style w:type="paragraph" w:customStyle="1" w:styleId="BodytextAgency">
    <w:name w:val="Body text (Agency)"/>
    <w:basedOn w:val="Normal"/>
    <w:link w:val="BodytextAgencyChar"/>
    <w:rsid w:val="00E660F2"/>
    <w:pPr>
      <w:adjustRightInd w:val="0"/>
      <w:snapToGrid w:val="0"/>
      <w:spacing w:before="0" w:after="140" w:line="280" w:lineRule="atLeast"/>
    </w:pPr>
    <w:rPr>
      <w:rFonts w:ascii="Verdana" w:eastAsia="Verdana" w:hAnsi="Verdana" w:cs="Verdana"/>
      <w:sz w:val="18"/>
      <w:szCs w:val="18"/>
      <w:lang w:val="en-GB" w:eastAsia="en-GB"/>
    </w:rPr>
  </w:style>
  <w:style w:type="character" w:customStyle="1" w:styleId="BodytextAgencyChar">
    <w:name w:val="Body text (Agency) Char"/>
    <w:link w:val="BodytextAgency"/>
    <w:locked/>
    <w:rsid w:val="00E660F2"/>
    <w:rPr>
      <w:rFonts w:ascii="Verdana" w:eastAsia="Verdana" w:hAnsi="Verdana" w:cs="Verdana"/>
      <w:sz w:val="18"/>
      <w:szCs w:val="18"/>
      <w:lang w:val="en-GB" w:eastAsia="en-GB"/>
    </w:rPr>
  </w:style>
  <w:style w:type="paragraph" w:customStyle="1" w:styleId="FigureCaption">
    <w:name w:val="Figure Caption"/>
    <w:basedOn w:val="Normal"/>
    <w:qFormat/>
    <w:rsid w:val="00E660F2"/>
    <w:pPr>
      <w:adjustRightInd w:val="0"/>
      <w:snapToGrid w:val="0"/>
      <w:spacing w:before="0" w:after="0" w:line="240" w:lineRule="auto"/>
    </w:pPr>
    <w:rPr>
      <w:rFonts w:eastAsia="MS Mincho"/>
      <w:szCs w:val="20"/>
      <w:lang w:eastAsia="ja-JP"/>
    </w:rPr>
  </w:style>
  <w:style w:type="paragraph" w:customStyle="1" w:styleId="TableCaption">
    <w:name w:val="Table Caption"/>
    <w:basedOn w:val="FigureCaption"/>
    <w:qFormat/>
    <w:rsid w:val="00E660F2"/>
    <w:pPr>
      <w:spacing w:after="240"/>
    </w:pPr>
    <w:rPr>
      <w:sz w:val="17"/>
    </w:rPr>
  </w:style>
  <w:style w:type="paragraph" w:customStyle="1" w:styleId="Subject">
    <w:name w:val="Subject"/>
    <w:basedOn w:val="Normal"/>
    <w:qFormat/>
    <w:rsid w:val="00E660F2"/>
    <w:pPr>
      <w:adjustRightInd w:val="0"/>
      <w:snapToGrid w:val="0"/>
      <w:spacing w:before="0" w:after="0" w:line="240" w:lineRule="auto"/>
    </w:pPr>
    <w:rPr>
      <w:rFonts w:eastAsia="MS Mincho"/>
      <w:b/>
      <w:szCs w:val="20"/>
      <w:lang w:eastAsia="ja-JP"/>
    </w:rPr>
  </w:style>
  <w:style w:type="paragraph" w:customStyle="1" w:styleId="Addressee">
    <w:name w:val="Addressee"/>
    <w:basedOn w:val="Normal"/>
    <w:qFormat/>
    <w:rsid w:val="00E660F2"/>
    <w:pPr>
      <w:adjustRightInd w:val="0"/>
      <w:snapToGrid w:val="0"/>
      <w:spacing w:before="0" w:after="0" w:line="240" w:lineRule="auto"/>
    </w:pPr>
    <w:rPr>
      <w:rFonts w:eastAsia="MS Mincho"/>
      <w:szCs w:val="20"/>
      <w:lang w:eastAsia="ja-JP"/>
    </w:rPr>
  </w:style>
  <w:style w:type="character" w:customStyle="1" w:styleId="ABN">
    <w:name w:val="ABN"/>
    <w:basedOn w:val="DefaultParagraphFont"/>
    <w:uiPriority w:val="1"/>
    <w:qFormat/>
    <w:rsid w:val="00E660F2"/>
    <w:rPr>
      <w:rFonts w:ascii="Arial" w:hAnsi="Arial"/>
      <w:color w:val="002C47"/>
      <w:sz w:val="14"/>
    </w:rPr>
  </w:style>
  <w:style w:type="paragraph" w:customStyle="1" w:styleId="BodyCopy">
    <w:name w:val="Body Copy"/>
    <w:basedOn w:val="Normal"/>
    <w:qFormat/>
    <w:rsid w:val="00E660F2"/>
    <w:pPr>
      <w:adjustRightInd w:val="0"/>
      <w:snapToGrid w:val="0"/>
      <w:spacing w:before="0" w:after="0" w:line="240" w:lineRule="auto"/>
    </w:pPr>
    <w:rPr>
      <w:rFonts w:eastAsia="MS Mincho"/>
      <w:szCs w:val="20"/>
      <w:lang w:eastAsia="ja-JP"/>
    </w:rPr>
  </w:style>
  <w:style w:type="paragraph" w:customStyle="1" w:styleId="Delegatecomment">
    <w:name w:val="Delegate comment"/>
    <w:basedOn w:val="Notes"/>
    <w:qFormat/>
    <w:rsid w:val="00E660F2"/>
    <w:pPr>
      <w:adjustRightInd w:val="0"/>
      <w:snapToGrid w:val="0"/>
      <w:spacing w:before="0"/>
    </w:pPr>
    <w:rPr>
      <w:rFonts w:ascii="Arial Narrow" w:eastAsia="MS Mincho" w:hAnsi="Arial Narrow"/>
      <w:i/>
      <w:sz w:val="20"/>
      <w:szCs w:val="20"/>
      <w:lang w:eastAsia="ja-JP"/>
    </w:rPr>
  </w:style>
  <w:style w:type="paragraph" w:customStyle="1" w:styleId="Summaryofsafetyconcerns">
    <w:name w:val="Summary of safety concerns"/>
    <w:basedOn w:val="Normal"/>
    <w:link w:val="SummaryofsafetyconcernsChar"/>
    <w:qFormat/>
    <w:rsid w:val="00E660F2"/>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DefaultParagraphFont"/>
    <w:link w:val="Summaryofsafetyconcerns"/>
    <w:rsid w:val="00E660F2"/>
    <w:rPr>
      <w:rFonts w:ascii="Cambria" w:eastAsia="Times New Roman" w:hAnsi="Cambria" w:cs="Times New Roman"/>
      <w:b/>
      <w:snapToGrid w:val="0"/>
      <w:kern w:val="16"/>
      <w:sz w:val="20"/>
      <w:szCs w:val="24"/>
    </w:rPr>
  </w:style>
  <w:style w:type="paragraph" w:customStyle="1" w:styleId="Bulletpoint">
    <w:name w:val="Bullet point"/>
    <w:basedOn w:val="Normal"/>
    <w:rsid w:val="00E660F2"/>
    <w:pPr>
      <w:numPr>
        <w:numId w:val="6"/>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BodyText1">
    <w:name w:val="Body Text1"/>
    <w:basedOn w:val="Normal"/>
    <w:qFormat/>
    <w:rsid w:val="00E660F2"/>
    <w:pPr>
      <w:spacing w:before="60" w:line="240" w:lineRule="auto"/>
      <w:jc w:val="both"/>
    </w:pPr>
    <w:rPr>
      <w:rFonts w:ascii="Arial" w:eastAsiaTheme="minorHAnsi" w:hAnsi="Arial"/>
      <w:sz w:val="21"/>
      <w:szCs w:val="20"/>
    </w:rPr>
  </w:style>
  <w:style w:type="paragraph" w:customStyle="1" w:styleId="BodyText12">
    <w:name w:val="Body Text 12"/>
    <w:qFormat/>
    <w:rsid w:val="00E660F2"/>
    <w:pPr>
      <w:spacing w:after="240" w:line="264" w:lineRule="auto"/>
      <w:jc w:val="both"/>
    </w:pPr>
    <w:rPr>
      <w:rFonts w:ascii="Times New Roman" w:eastAsia="Times New Roman" w:hAnsi="Times New Roman" w:cs="Times New Roman"/>
      <w:sz w:val="24"/>
      <w:szCs w:val="20"/>
      <w:lang w:val="en-US"/>
    </w:rPr>
  </w:style>
  <w:style w:type="paragraph" w:styleId="BodyText3">
    <w:name w:val="Body Text 3"/>
    <w:basedOn w:val="Normal"/>
    <w:link w:val="BodyText3Char"/>
    <w:uiPriority w:val="99"/>
    <w:semiHidden/>
    <w:unhideWhenUsed/>
    <w:rsid w:val="00E660F2"/>
    <w:pPr>
      <w:adjustRightInd w:val="0"/>
      <w:snapToGrid w:val="0"/>
      <w:spacing w:before="0" w:line="240" w:lineRule="auto"/>
    </w:pPr>
    <w:rPr>
      <w:rFonts w:eastAsia="MS Mincho" w:cstheme="minorBidi"/>
      <w:sz w:val="16"/>
      <w:szCs w:val="16"/>
      <w:lang w:eastAsia="ja-JP"/>
    </w:rPr>
  </w:style>
  <w:style w:type="character" w:customStyle="1" w:styleId="BodyText3Char">
    <w:name w:val="Body Text 3 Char"/>
    <w:basedOn w:val="DefaultParagraphFont"/>
    <w:link w:val="BodyText3"/>
    <w:uiPriority w:val="99"/>
    <w:semiHidden/>
    <w:rsid w:val="00E660F2"/>
    <w:rPr>
      <w:rFonts w:ascii="Cambria" w:eastAsia="MS Mincho" w:hAnsi="Cambria"/>
      <w:sz w:val="16"/>
      <w:szCs w:val="16"/>
      <w:lang w:eastAsia="ja-JP"/>
    </w:rPr>
  </w:style>
  <w:style w:type="paragraph" w:customStyle="1" w:styleId="volume-issue">
    <w:name w:val="volume-issue"/>
    <w:basedOn w:val="Normal"/>
    <w:rsid w:val="00E660F2"/>
    <w:pPr>
      <w:spacing w:before="75" w:after="75" w:line="240" w:lineRule="auto"/>
    </w:pPr>
    <w:rPr>
      <w:rFonts w:ascii="Times New Roman" w:eastAsia="Times New Roman" w:hAnsi="Times New Roman"/>
      <w:sz w:val="24"/>
      <w:szCs w:val="24"/>
      <w:lang w:eastAsia="en-AU"/>
    </w:rPr>
  </w:style>
  <w:style w:type="paragraph" w:customStyle="1" w:styleId="page-range">
    <w:name w:val="page-range"/>
    <w:basedOn w:val="Normal"/>
    <w:rsid w:val="00E660F2"/>
    <w:pPr>
      <w:spacing w:before="75" w:after="75" w:line="240" w:lineRule="auto"/>
    </w:pPr>
    <w:rPr>
      <w:rFonts w:ascii="Times New Roman" w:eastAsia="Times New Roman" w:hAnsi="Times New Roman"/>
      <w:sz w:val="24"/>
      <w:szCs w:val="24"/>
      <w:lang w:eastAsia="en-AU"/>
    </w:rPr>
  </w:style>
  <w:style w:type="character" w:customStyle="1" w:styleId="val2">
    <w:name w:val="val2"/>
    <w:basedOn w:val="DefaultParagraphFont"/>
    <w:rsid w:val="00E660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qFormat="1"/>
    <w:lsdException w:name="caption" w:semiHidden="0" w:uiPriority="0" w:unhideWhenUsed="0" w:qFormat="1"/>
    <w:lsdException w:name="footnote reference" w:uiPriority="0"/>
    <w:lsdException w:name="annotation reference"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unhideWhenUsed/>
    <w:qFormat/>
    <w:rsid w:val="00E660F2"/>
    <w:pPr>
      <w:keepNext/>
      <w:keepLines/>
      <w:adjustRightInd w:val="0"/>
      <w:snapToGrid w:val="0"/>
      <w:spacing w:before="200" w:after="0" w:line="240" w:lineRule="auto"/>
      <w:outlineLvl w:val="7"/>
    </w:pPr>
    <w:rPr>
      <w:rFonts w:asciiTheme="majorHAnsi" w:eastAsiaTheme="majorEastAsia" w:hAnsiTheme="majorHAnsi" w:cstheme="majorBidi"/>
      <w:i/>
      <w:color w:val="404040" w:themeColor="text1" w:themeTint="BF"/>
      <w:sz w:val="20"/>
      <w:szCs w:val="20"/>
      <w:u w:val="single"/>
      <w:lang w:eastAsia="ja-JP"/>
    </w:rPr>
  </w:style>
  <w:style w:type="paragraph" w:styleId="Heading9">
    <w:name w:val="heading 9"/>
    <w:basedOn w:val="Normal"/>
    <w:next w:val="Normal"/>
    <w:link w:val="Heading9Char"/>
    <w:uiPriority w:val="9"/>
    <w:unhideWhenUsed/>
    <w:qFormat/>
    <w:rsid w:val="00E660F2"/>
    <w:pPr>
      <w:keepNext/>
      <w:keepLines/>
      <w:adjustRightInd w:val="0"/>
      <w:snapToGrid w:val="0"/>
      <w:spacing w:before="200" w:after="0" w:line="240" w:lineRule="auto"/>
      <w:outlineLvl w:val="8"/>
    </w:pPr>
    <w:rPr>
      <w:rFonts w:asciiTheme="majorHAnsi" w:eastAsiaTheme="majorEastAsia" w:hAnsiTheme="majorHAnsi" w:cstheme="majorBidi"/>
      <w:b/>
      <w:i/>
      <w:iCs/>
      <w:color w:val="404040" w:themeColor="text1" w:themeTint="BF"/>
      <w:sz w:val="18"/>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8F0588"/>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8F0588"/>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semiHidden/>
    <w:unhideWhenUsed/>
    <w:rsid w:val="000E6196"/>
    <w:rPr>
      <w:vertAlign w:val="superscript"/>
    </w:rPr>
  </w:style>
  <w:style w:type="character" w:styleId="CommentReference">
    <w:name w:val="annotation reference"/>
    <w:basedOn w:val="DefaultParagraphFont"/>
    <w:unhideWhenUsed/>
    <w:rsid w:val="00EC463D"/>
    <w:rPr>
      <w:sz w:val="16"/>
      <w:szCs w:val="16"/>
    </w:rPr>
  </w:style>
  <w:style w:type="paragraph" w:styleId="CommentText">
    <w:name w:val="annotation text"/>
    <w:basedOn w:val="Normal"/>
    <w:link w:val="CommentTextChar"/>
    <w:unhideWhenUsed/>
    <w:rsid w:val="00EC463D"/>
    <w:pPr>
      <w:spacing w:line="240" w:lineRule="auto"/>
    </w:pPr>
    <w:rPr>
      <w:sz w:val="20"/>
      <w:szCs w:val="20"/>
    </w:rPr>
  </w:style>
  <w:style w:type="character" w:customStyle="1" w:styleId="CommentTextChar">
    <w:name w:val="Comment Text Char"/>
    <w:basedOn w:val="DefaultParagraphFont"/>
    <w:link w:val="CommentText"/>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eading8Char">
    <w:name w:val="Heading 8 Char"/>
    <w:basedOn w:val="DefaultParagraphFont"/>
    <w:link w:val="Heading8"/>
    <w:uiPriority w:val="9"/>
    <w:rsid w:val="00E660F2"/>
    <w:rPr>
      <w:rFonts w:asciiTheme="majorHAnsi" w:eastAsiaTheme="majorEastAsia" w:hAnsiTheme="majorHAnsi" w:cstheme="majorBidi"/>
      <w:i/>
      <w:color w:val="404040" w:themeColor="text1" w:themeTint="BF"/>
      <w:sz w:val="20"/>
      <w:szCs w:val="20"/>
      <w:u w:val="single"/>
      <w:lang w:eastAsia="ja-JP"/>
    </w:rPr>
  </w:style>
  <w:style w:type="character" w:customStyle="1" w:styleId="Heading9Char">
    <w:name w:val="Heading 9 Char"/>
    <w:basedOn w:val="DefaultParagraphFont"/>
    <w:link w:val="Heading9"/>
    <w:uiPriority w:val="9"/>
    <w:rsid w:val="00E660F2"/>
    <w:rPr>
      <w:rFonts w:asciiTheme="majorHAnsi" w:eastAsiaTheme="majorEastAsia" w:hAnsiTheme="majorHAnsi" w:cstheme="majorBidi"/>
      <w:b/>
      <w:i/>
      <w:iCs/>
      <w:color w:val="404040" w:themeColor="text1" w:themeTint="BF"/>
      <w:sz w:val="18"/>
      <w:szCs w:val="20"/>
      <w:lang w:eastAsia="ja-JP"/>
    </w:rPr>
  </w:style>
  <w:style w:type="paragraph" w:styleId="ListParagraph">
    <w:name w:val="List Paragraph"/>
    <w:basedOn w:val="Normal"/>
    <w:uiPriority w:val="34"/>
    <w:qFormat/>
    <w:rsid w:val="00E660F2"/>
    <w:pPr>
      <w:spacing w:after="180"/>
      <w:ind w:left="720"/>
      <w:contextualSpacing/>
    </w:pPr>
    <w:rPr>
      <w:rFonts w:cstheme="minorBidi"/>
    </w:rPr>
  </w:style>
  <w:style w:type="table" w:customStyle="1" w:styleId="TableGrid2">
    <w:name w:val="Table Grid2"/>
    <w:basedOn w:val="TableNormal"/>
    <w:next w:val="TableGrid"/>
    <w:uiPriority w:val="59"/>
    <w:rsid w:val="00E660F2"/>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E660F2"/>
  </w:style>
  <w:style w:type="paragraph" w:customStyle="1" w:styleId="Standard">
    <w:name w:val="Standard"/>
    <w:basedOn w:val="Normal"/>
    <w:link w:val="StandardChar"/>
    <w:qFormat/>
    <w:rsid w:val="00E660F2"/>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E660F2"/>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E660F2"/>
    <w:pPr>
      <w:numPr>
        <w:numId w:val="5"/>
      </w:numPr>
      <w:spacing w:after="180"/>
      <w:ind w:left="426" w:hanging="284"/>
    </w:pPr>
    <w:rPr>
      <w:kern w:val="2"/>
    </w:rPr>
  </w:style>
  <w:style w:type="character" w:customStyle="1" w:styleId="TabletextChar">
    <w:name w:val="Table text Char"/>
    <w:basedOn w:val="StandardChar"/>
    <w:link w:val="Tabletext"/>
    <w:rsid w:val="00E660F2"/>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E660F2"/>
    <w:rPr>
      <w:rFonts w:ascii="Cambria" w:eastAsia="Times New Roman" w:hAnsi="Cambria" w:cs="Times New Roman"/>
      <w:snapToGrid w:val="0"/>
      <w:kern w:val="2"/>
      <w:sz w:val="23"/>
      <w:szCs w:val="24"/>
    </w:rPr>
  </w:style>
  <w:style w:type="paragraph" w:styleId="Quote">
    <w:name w:val="Quote"/>
    <w:basedOn w:val="Normal"/>
    <w:next w:val="Normal"/>
    <w:link w:val="QuoteChar"/>
    <w:uiPriority w:val="29"/>
    <w:qFormat/>
    <w:rsid w:val="00E660F2"/>
    <w:pPr>
      <w:spacing w:before="0" w:after="200" w:line="276" w:lineRule="auto"/>
      <w:ind w:left="397" w:right="170"/>
    </w:pPr>
    <w:rPr>
      <w:rFonts w:asciiTheme="majorHAnsi" w:eastAsiaTheme="minorHAnsi" w:hAnsiTheme="majorHAnsi" w:cstheme="minorBidi"/>
      <w:i/>
      <w:iCs/>
      <w:color w:val="000000" w:themeColor="text1"/>
      <w:sz w:val="23"/>
    </w:rPr>
  </w:style>
  <w:style w:type="character" w:customStyle="1" w:styleId="QuoteChar">
    <w:name w:val="Quote Char"/>
    <w:basedOn w:val="DefaultParagraphFont"/>
    <w:link w:val="Quote"/>
    <w:uiPriority w:val="29"/>
    <w:rsid w:val="00E660F2"/>
    <w:rPr>
      <w:rFonts w:asciiTheme="majorHAnsi" w:hAnsiTheme="majorHAnsi"/>
      <w:i/>
      <w:iCs/>
      <w:color w:val="000000" w:themeColor="text1"/>
      <w:sz w:val="23"/>
    </w:rPr>
  </w:style>
  <w:style w:type="paragraph" w:customStyle="1" w:styleId="AssessmentSubsection">
    <w:name w:val="Assessment Subsection"/>
    <w:basedOn w:val="Standard"/>
    <w:next w:val="Standard"/>
    <w:rsid w:val="00E660F2"/>
    <w:pPr>
      <w:keepNext/>
      <w:spacing w:after="110"/>
      <w:outlineLvl w:val="2"/>
    </w:pPr>
    <w:rPr>
      <w:b/>
      <w:i/>
      <w:sz w:val="22"/>
    </w:rPr>
  </w:style>
  <w:style w:type="paragraph" w:customStyle="1" w:styleId="AssessmentSection">
    <w:name w:val="Assessment Section"/>
    <w:basedOn w:val="AssessmentSubsection"/>
    <w:next w:val="Standard"/>
    <w:rsid w:val="00E660F2"/>
    <w:pPr>
      <w:outlineLvl w:val="1"/>
    </w:pPr>
    <w:rPr>
      <w:i w:val="0"/>
    </w:rPr>
  </w:style>
  <w:style w:type="paragraph" w:customStyle="1" w:styleId="AssessmentSubsection2">
    <w:name w:val="Assessment Subsection 2"/>
    <w:basedOn w:val="AssessmentSubsection"/>
    <w:next w:val="Standard"/>
    <w:rsid w:val="00E660F2"/>
    <w:pPr>
      <w:outlineLvl w:val="3"/>
    </w:pPr>
    <w:rPr>
      <w:b w:val="0"/>
    </w:rPr>
  </w:style>
  <w:style w:type="paragraph" w:styleId="BodyText">
    <w:name w:val="Body Text"/>
    <w:basedOn w:val="Normal"/>
    <w:link w:val="BodyTextChar"/>
    <w:uiPriority w:val="99"/>
    <w:qFormat/>
    <w:rsid w:val="00E660F2"/>
    <w:pPr>
      <w:spacing w:before="0" w:after="200" w:line="252" w:lineRule="auto"/>
    </w:pPr>
    <w:rPr>
      <w:rFonts w:ascii="Times New Roman" w:eastAsia="Times New Roman" w:hAnsi="Times New Roman"/>
      <w:sz w:val="24"/>
      <w:szCs w:val="24"/>
      <w:lang w:eastAsia="en-AU"/>
    </w:rPr>
  </w:style>
  <w:style w:type="character" w:customStyle="1" w:styleId="BodyTextChar">
    <w:name w:val="Body Text Char"/>
    <w:basedOn w:val="DefaultParagraphFont"/>
    <w:link w:val="BodyText"/>
    <w:uiPriority w:val="99"/>
    <w:rsid w:val="00E660F2"/>
    <w:rPr>
      <w:rFonts w:ascii="Times New Roman" w:eastAsia="Times New Roman" w:hAnsi="Times New Roman" w:cs="Times New Roman"/>
      <w:sz w:val="24"/>
      <w:szCs w:val="24"/>
      <w:lang w:eastAsia="en-AU"/>
    </w:rPr>
  </w:style>
  <w:style w:type="paragraph" w:customStyle="1" w:styleId="WhiteSpace">
    <w:name w:val="White Space"/>
    <w:basedOn w:val="Standard"/>
    <w:next w:val="Standard"/>
    <w:link w:val="WhiteSpaceChar"/>
    <w:rsid w:val="00E660F2"/>
    <w:pPr>
      <w:spacing w:after="0"/>
    </w:pPr>
    <w:rPr>
      <w:sz w:val="16"/>
      <w:szCs w:val="16"/>
    </w:rPr>
  </w:style>
  <w:style w:type="character" w:customStyle="1" w:styleId="WhiteSpaceChar">
    <w:name w:val="White Space Char"/>
    <w:basedOn w:val="DefaultParagraphFont"/>
    <w:link w:val="WhiteSpace"/>
    <w:rsid w:val="00E660F2"/>
    <w:rPr>
      <w:rFonts w:ascii="Cambria" w:eastAsia="Times New Roman" w:hAnsi="Cambria" w:cs="Times New Roman"/>
      <w:snapToGrid w:val="0"/>
      <w:kern w:val="16"/>
      <w:sz w:val="16"/>
      <w:szCs w:val="16"/>
    </w:rPr>
  </w:style>
  <w:style w:type="paragraph" w:styleId="NormalWeb">
    <w:name w:val="Normal (Web)"/>
    <w:basedOn w:val="Normal"/>
    <w:uiPriority w:val="99"/>
    <w:unhideWhenUsed/>
    <w:rsid w:val="00E660F2"/>
    <w:pPr>
      <w:spacing w:before="100" w:beforeAutospacing="1" w:after="100" w:afterAutospacing="1" w:line="240" w:lineRule="auto"/>
    </w:pPr>
    <w:rPr>
      <w:rFonts w:ascii="Times" w:eastAsiaTheme="minorHAnsi" w:hAnsi="Times"/>
      <w:sz w:val="20"/>
      <w:szCs w:val="20"/>
    </w:rPr>
  </w:style>
  <w:style w:type="paragraph" w:customStyle="1" w:styleId="table">
    <w:name w:val="table"/>
    <w:basedOn w:val="Normal"/>
    <w:link w:val="tableChar"/>
    <w:rsid w:val="00E660F2"/>
    <w:pPr>
      <w:adjustRightInd w:val="0"/>
      <w:snapToGrid w:val="0"/>
      <w:spacing w:before="0" w:after="0" w:line="240" w:lineRule="auto"/>
    </w:pPr>
    <w:rPr>
      <w:rFonts w:eastAsia="MS Mincho"/>
      <w:sz w:val="18"/>
      <w:szCs w:val="20"/>
      <w:lang w:eastAsia="ja-JP"/>
    </w:rPr>
  </w:style>
  <w:style w:type="character" w:customStyle="1" w:styleId="tableChar">
    <w:name w:val="table Char"/>
    <w:basedOn w:val="DefaultParagraphFont"/>
    <w:link w:val="table"/>
    <w:rsid w:val="00E660F2"/>
    <w:rPr>
      <w:rFonts w:ascii="Cambria" w:eastAsia="MS Mincho" w:hAnsi="Cambria" w:cs="Times New Roman"/>
      <w:sz w:val="18"/>
      <w:szCs w:val="20"/>
      <w:lang w:eastAsia="ja-JP"/>
    </w:rPr>
  </w:style>
  <w:style w:type="paragraph" w:customStyle="1" w:styleId="mine">
    <w:name w:val="mine"/>
    <w:basedOn w:val="Normal"/>
    <w:rsid w:val="00E660F2"/>
    <w:pPr>
      <w:widowControl w:val="0"/>
      <w:adjustRightInd w:val="0"/>
      <w:snapToGrid w:val="0"/>
      <w:spacing w:before="0" w:after="0" w:line="240" w:lineRule="auto"/>
      <w:contextualSpacing/>
    </w:pPr>
    <w:rPr>
      <w:rFonts w:eastAsia="MS Mincho" w:cstheme="minorBidi"/>
      <w:szCs w:val="21"/>
      <w:lang w:eastAsia="en-AU"/>
    </w:rPr>
  </w:style>
  <w:style w:type="paragraph" w:styleId="NoSpacing">
    <w:name w:val="No Spacing"/>
    <w:uiPriority w:val="1"/>
    <w:qFormat/>
    <w:rsid w:val="00E660F2"/>
  </w:style>
  <w:style w:type="character" w:styleId="Strong">
    <w:name w:val="Strong"/>
    <w:basedOn w:val="DefaultParagraphFont"/>
    <w:uiPriority w:val="22"/>
    <w:rsid w:val="00E660F2"/>
    <w:rPr>
      <w:b/>
      <w:bCs/>
    </w:rPr>
  </w:style>
  <w:style w:type="paragraph" w:customStyle="1" w:styleId="TableParagraph">
    <w:name w:val="Table Paragraph"/>
    <w:basedOn w:val="Normal"/>
    <w:uiPriority w:val="1"/>
    <w:rsid w:val="00E660F2"/>
    <w:pPr>
      <w:widowControl w:val="0"/>
      <w:adjustRightInd w:val="0"/>
      <w:snapToGrid w:val="0"/>
      <w:spacing w:before="40" w:after="0" w:line="240" w:lineRule="auto"/>
      <w:ind w:left="81"/>
    </w:pPr>
    <w:rPr>
      <w:rFonts w:ascii="Arial Narrow" w:eastAsia="Times New Roman" w:hAnsi="Arial Narrow"/>
      <w:sz w:val="20"/>
      <w:szCs w:val="20"/>
      <w:lang w:val="en-US" w:eastAsia="ja-JP"/>
    </w:rPr>
  </w:style>
  <w:style w:type="paragraph" w:customStyle="1" w:styleId="BodytextAgency">
    <w:name w:val="Body text (Agency)"/>
    <w:basedOn w:val="Normal"/>
    <w:link w:val="BodytextAgencyChar"/>
    <w:rsid w:val="00E660F2"/>
    <w:pPr>
      <w:adjustRightInd w:val="0"/>
      <w:snapToGrid w:val="0"/>
      <w:spacing w:before="0" w:after="140" w:line="280" w:lineRule="atLeast"/>
    </w:pPr>
    <w:rPr>
      <w:rFonts w:ascii="Verdana" w:eastAsia="Verdana" w:hAnsi="Verdana" w:cs="Verdana"/>
      <w:sz w:val="18"/>
      <w:szCs w:val="18"/>
      <w:lang w:val="en-GB" w:eastAsia="en-GB"/>
    </w:rPr>
  </w:style>
  <w:style w:type="character" w:customStyle="1" w:styleId="BodytextAgencyChar">
    <w:name w:val="Body text (Agency) Char"/>
    <w:link w:val="BodytextAgency"/>
    <w:locked/>
    <w:rsid w:val="00E660F2"/>
    <w:rPr>
      <w:rFonts w:ascii="Verdana" w:eastAsia="Verdana" w:hAnsi="Verdana" w:cs="Verdana"/>
      <w:sz w:val="18"/>
      <w:szCs w:val="18"/>
      <w:lang w:val="en-GB" w:eastAsia="en-GB"/>
    </w:rPr>
  </w:style>
  <w:style w:type="paragraph" w:customStyle="1" w:styleId="FigureCaption">
    <w:name w:val="Figure Caption"/>
    <w:basedOn w:val="Normal"/>
    <w:qFormat/>
    <w:rsid w:val="00E660F2"/>
    <w:pPr>
      <w:adjustRightInd w:val="0"/>
      <w:snapToGrid w:val="0"/>
      <w:spacing w:before="0" w:after="0" w:line="240" w:lineRule="auto"/>
    </w:pPr>
    <w:rPr>
      <w:rFonts w:eastAsia="MS Mincho"/>
      <w:szCs w:val="20"/>
      <w:lang w:eastAsia="ja-JP"/>
    </w:rPr>
  </w:style>
  <w:style w:type="paragraph" w:customStyle="1" w:styleId="TableCaption">
    <w:name w:val="Table Caption"/>
    <w:basedOn w:val="FigureCaption"/>
    <w:qFormat/>
    <w:rsid w:val="00E660F2"/>
    <w:pPr>
      <w:spacing w:after="240"/>
    </w:pPr>
    <w:rPr>
      <w:sz w:val="17"/>
    </w:rPr>
  </w:style>
  <w:style w:type="paragraph" w:customStyle="1" w:styleId="Subject">
    <w:name w:val="Subject"/>
    <w:basedOn w:val="Normal"/>
    <w:qFormat/>
    <w:rsid w:val="00E660F2"/>
    <w:pPr>
      <w:adjustRightInd w:val="0"/>
      <w:snapToGrid w:val="0"/>
      <w:spacing w:before="0" w:after="0" w:line="240" w:lineRule="auto"/>
    </w:pPr>
    <w:rPr>
      <w:rFonts w:eastAsia="MS Mincho"/>
      <w:b/>
      <w:szCs w:val="20"/>
      <w:lang w:eastAsia="ja-JP"/>
    </w:rPr>
  </w:style>
  <w:style w:type="paragraph" w:customStyle="1" w:styleId="Addressee">
    <w:name w:val="Addressee"/>
    <w:basedOn w:val="Normal"/>
    <w:qFormat/>
    <w:rsid w:val="00E660F2"/>
    <w:pPr>
      <w:adjustRightInd w:val="0"/>
      <w:snapToGrid w:val="0"/>
      <w:spacing w:before="0" w:after="0" w:line="240" w:lineRule="auto"/>
    </w:pPr>
    <w:rPr>
      <w:rFonts w:eastAsia="MS Mincho"/>
      <w:szCs w:val="20"/>
      <w:lang w:eastAsia="ja-JP"/>
    </w:rPr>
  </w:style>
  <w:style w:type="character" w:customStyle="1" w:styleId="ABN">
    <w:name w:val="ABN"/>
    <w:basedOn w:val="DefaultParagraphFont"/>
    <w:uiPriority w:val="1"/>
    <w:qFormat/>
    <w:rsid w:val="00E660F2"/>
    <w:rPr>
      <w:rFonts w:ascii="Arial" w:hAnsi="Arial"/>
      <w:color w:val="002C47"/>
      <w:sz w:val="14"/>
    </w:rPr>
  </w:style>
  <w:style w:type="paragraph" w:customStyle="1" w:styleId="BodyCopy">
    <w:name w:val="Body Copy"/>
    <w:basedOn w:val="Normal"/>
    <w:qFormat/>
    <w:rsid w:val="00E660F2"/>
    <w:pPr>
      <w:adjustRightInd w:val="0"/>
      <w:snapToGrid w:val="0"/>
      <w:spacing w:before="0" w:after="0" w:line="240" w:lineRule="auto"/>
    </w:pPr>
    <w:rPr>
      <w:rFonts w:eastAsia="MS Mincho"/>
      <w:szCs w:val="20"/>
      <w:lang w:eastAsia="ja-JP"/>
    </w:rPr>
  </w:style>
  <w:style w:type="paragraph" w:customStyle="1" w:styleId="Delegatecomment">
    <w:name w:val="Delegate comment"/>
    <w:basedOn w:val="Notes"/>
    <w:qFormat/>
    <w:rsid w:val="00E660F2"/>
    <w:pPr>
      <w:adjustRightInd w:val="0"/>
      <w:snapToGrid w:val="0"/>
      <w:spacing w:before="0"/>
    </w:pPr>
    <w:rPr>
      <w:rFonts w:ascii="Arial Narrow" w:eastAsia="MS Mincho" w:hAnsi="Arial Narrow"/>
      <w:i/>
      <w:sz w:val="20"/>
      <w:szCs w:val="20"/>
      <w:lang w:eastAsia="ja-JP"/>
    </w:rPr>
  </w:style>
  <w:style w:type="paragraph" w:customStyle="1" w:styleId="Summaryofsafetyconcerns">
    <w:name w:val="Summary of safety concerns"/>
    <w:basedOn w:val="Normal"/>
    <w:link w:val="SummaryofsafetyconcernsChar"/>
    <w:qFormat/>
    <w:rsid w:val="00E660F2"/>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DefaultParagraphFont"/>
    <w:link w:val="Summaryofsafetyconcerns"/>
    <w:rsid w:val="00E660F2"/>
    <w:rPr>
      <w:rFonts w:ascii="Cambria" w:eastAsia="Times New Roman" w:hAnsi="Cambria" w:cs="Times New Roman"/>
      <w:b/>
      <w:snapToGrid w:val="0"/>
      <w:kern w:val="16"/>
      <w:sz w:val="20"/>
      <w:szCs w:val="24"/>
    </w:rPr>
  </w:style>
  <w:style w:type="paragraph" w:customStyle="1" w:styleId="Bulletpoint">
    <w:name w:val="Bullet point"/>
    <w:basedOn w:val="Normal"/>
    <w:rsid w:val="00E660F2"/>
    <w:pPr>
      <w:numPr>
        <w:numId w:val="6"/>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BodyText1">
    <w:name w:val="Body Text1"/>
    <w:basedOn w:val="Normal"/>
    <w:qFormat/>
    <w:rsid w:val="00E660F2"/>
    <w:pPr>
      <w:spacing w:before="60" w:line="240" w:lineRule="auto"/>
      <w:jc w:val="both"/>
    </w:pPr>
    <w:rPr>
      <w:rFonts w:ascii="Arial" w:eastAsiaTheme="minorHAnsi" w:hAnsi="Arial"/>
      <w:sz w:val="21"/>
      <w:szCs w:val="20"/>
    </w:rPr>
  </w:style>
  <w:style w:type="paragraph" w:customStyle="1" w:styleId="BodyText12">
    <w:name w:val="Body Text 12"/>
    <w:qFormat/>
    <w:rsid w:val="00E660F2"/>
    <w:pPr>
      <w:spacing w:after="240" w:line="264" w:lineRule="auto"/>
      <w:jc w:val="both"/>
    </w:pPr>
    <w:rPr>
      <w:rFonts w:ascii="Times New Roman" w:eastAsia="Times New Roman" w:hAnsi="Times New Roman" w:cs="Times New Roman"/>
      <w:sz w:val="24"/>
      <w:szCs w:val="20"/>
      <w:lang w:val="en-US"/>
    </w:rPr>
  </w:style>
  <w:style w:type="paragraph" w:styleId="BodyText3">
    <w:name w:val="Body Text 3"/>
    <w:basedOn w:val="Normal"/>
    <w:link w:val="BodyText3Char"/>
    <w:uiPriority w:val="99"/>
    <w:semiHidden/>
    <w:unhideWhenUsed/>
    <w:rsid w:val="00E660F2"/>
    <w:pPr>
      <w:adjustRightInd w:val="0"/>
      <w:snapToGrid w:val="0"/>
      <w:spacing w:before="0" w:line="240" w:lineRule="auto"/>
    </w:pPr>
    <w:rPr>
      <w:rFonts w:eastAsia="MS Mincho" w:cstheme="minorBidi"/>
      <w:sz w:val="16"/>
      <w:szCs w:val="16"/>
      <w:lang w:eastAsia="ja-JP"/>
    </w:rPr>
  </w:style>
  <w:style w:type="character" w:customStyle="1" w:styleId="BodyText3Char">
    <w:name w:val="Body Text 3 Char"/>
    <w:basedOn w:val="DefaultParagraphFont"/>
    <w:link w:val="BodyText3"/>
    <w:uiPriority w:val="99"/>
    <w:semiHidden/>
    <w:rsid w:val="00E660F2"/>
    <w:rPr>
      <w:rFonts w:ascii="Cambria" w:eastAsia="MS Mincho" w:hAnsi="Cambria"/>
      <w:sz w:val="16"/>
      <w:szCs w:val="16"/>
      <w:lang w:eastAsia="ja-JP"/>
    </w:rPr>
  </w:style>
  <w:style w:type="paragraph" w:customStyle="1" w:styleId="volume-issue">
    <w:name w:val="volume-issue"/>
    <w:basedOn w:val="Normal"/>
    <w:rsid w:val="00E660F2"/>
    <w:pPr>
      <w:spacing w:before="75" w:after="75" w:line="240" w:lineRule="auto"/>
    </w:pPr>
    <w:rPr>
      <w:rFonts w:ascii="Times New Roman" w:eastAsia="Times New Roman" w:hAnsi="Times New Roman"/>
      <w:sz w:val="24"/>
      <w:szCs w:val="24"/>
      <w:lang w:eastAsia="en-AU"/>
    </w:rPr>
  </w:style>
  <w:style w:type="paragraph" w:customStyle="1" w:styleId="page-range">
    <w:name w:val="page-range"/>
    <w:basedOn w:val="Normal"/>
    <w:rsid w:val="00E660F2"/>
    <w:pPr>
      <w:spacing w:before="75" w:after="75" w:line="240" w:lineRule="auto"/>
    </w:pPr>
    <w:rPr>
      <w:rFonts w:ascii="Times New Roman" w:eastAsia="Times New Roman" w:hAnsi="Times New Roman"/>
      <w:sz w:val="24"/>
      <w:szCs w:val="24"/>
      <w:lang w:eastAsia="en-AU"/>
    </w:rPr>
  </w:style>
  <w:style w:type="character" w:customStyle="1" w:styleId="val2">
    <w:name w:val="val2"/>
    <w:basedOn w:val="DefaultParagraphFont"/>
    <w:rsid w:val="00E660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yperlink" Target="docubridge://open/Id=F7a6e9869c823435cb0ba15316a11d410&amp;NodeId=N92ca08dd2aa84ecb860eb0ed54767f36&amp;Page=0" TargetMode="External"/><Relationship Id="rId39" Type="http://schemas.microsoft.com/office/2007/relationships/hdphoto" Target="media/hdphoto9.wdp"/><Relationship Id="rId21" Type="http://schemas.microsoft.com/office/2007/relationships/hdphoto" Target="media/hdphoto2.wdp"/><Relationship Id="rId34" Type="http://schemas.openxmlformats.org/officeDocument/2006/relationships/image" Target="media/image10.png"/><Relationship Id="rId42" Type="http://schemas.openxmlformats.org/officeDocument/2006/relationships/image" Target="media/image14.png"/><Relationship Id="rId47" Type="http://schemas.openxmlformats.org/officeDocument/2006/relationships/header" Target="header3.xml"/><Relationship Id="rId50" Type="http://schemas.openxmlformats.org/officeDocument/2006/relationships/footer" Target="footer2.xml"/><Relationship Id="rId55"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docubridge://open/Id=F173143e72ea040cfb23875bf4c3edea2&amp;NodeId=N875cf051bdd647548bc4d39000ed0e98&amp;Page=8" TargetMode="External"/><Relationship Id="rId25" Type="http://schemas.openxmlformats.org/officeDocument/2006/relationships/hyperlink" Target="docubridge://open/Id=F7a6e9869c823435cb0ba15316a11d410&amp;NodeId=N5ff6ad34b5ca4f288b8daf20dd7d2bfe&amp;Page=0" TargetMode="External"/><Relationship Id="rId33" Type="http://schemas.microsoft.com/office/2007/relationships/hdphoto" Target="media/hdphoto6.wdp"/><Relationship Id="rId38" Type="http://schemas.openxmlformats.org/officeDocument/2006/relationships/image" Target="media/image12.png"/><Relationship Id="rId46" Type="http://schemas.openxmlformats.org/officeDocument/2006/relationships/hyperlink" Target="mailto:streamlinedsubmission@health.gov.au"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docubridge://open/Id=F173143e72ea040cfb23875bf4c3edea2&amp;NodeId=N875cf051bdd647548bc4d39000ed0e98&amp;Page=7" TargetMode="External"/><Relationship Id="rId20" Type="http://schemas.openxmlformats.org/officeDocument/2006/relationships/image" Target="media/image5.png"/><Relationship Id="rId29" Type="http://schemas.microsoft.com/office/2007/relationships/hdphoto" Target="media/hdphoto4.wdp"/><Relationship Id="rId41" Type="http://schemas.microsoft.com/office/2007/relationships/hdphoto" Target="media/hdphoto10.wdp"/><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docubridge://open/Id=F173143e72ea040cfb23875bf4c3edea2&amp;NodeId=N3c742e71ea1544d79235922956580fc9&amp;Page=0" TargetMode="External"/><Relationship Id="rId32" Type="http://schemas.openxmlformats.org/officeDocument/2006/relationships/image" Target="media/image9.png"/><Relationship Id="rId37" Type="http://schemas.microsoft.com/office/2007/relationships/hdphoto" Target="media/hdphoto8.wdp"/><Relationship Id="rId40" Type="http://schemas.openxmlformats.org/officeDocument/2006/relationships/image" Target="media/image13.png"/><Relationship Id="rId45" Type="http://schemas.microsoft.com/office/2007/relationships/hdphoto" Target="media/hdphoto12.wdp"/><Relationship Id="rId53" Type="http://schemas.openxmlformats.org/officeDocument/2006/relationships/hyperlink" Target="https://www.tga.gov.au" TargetMode="External"/><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png"/><Relationship Id="rId23" Type="http://schemas.microsoft.com/office/2007/relationships/hdphoto" Target="media/hdphoto3.wdp"/><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header" Target="header5.xml"/><Relationship Id="rId57" Type="http://schemas.openxmlformats.org/officeDocument/2006/relationships/header" Target="header8.xml"/><Relationship Id="rId10" Type="http://schemas.openxmlformats.org/officeDocument/2006/relationships/hyperlink" Target="mailto:tga.copyright@tga.gov.au" TargetMode="External"/><Relationship Id="rId19" Type="http://schemas.microsoft.com/office/2007/relationships/hdphoto" Target="media/hdphoto1.wdp"/><Relationship Id="rId31" Type="http://schemas.microsoft.com/office/2007/relationships/hdphoto" Target="media/hdphoto5.wdp"/><Relationship Id="rId44" Type="http://schemas.openxmlformats.org/officeDocument/2006/relationships/image" Target="media/image15.png"/><Relationship Id="rId52" Type="http://schemas.openxmlformats.org/officeDocument/2006/relationships/hyperlink" Target="mailto:info@tga.gov.au"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6.png"/><Relationship Id="rId27" Type="http://schemas.openxmlformats.org/officeDocument/2006/relationships/hyperlink" Target="https://www.fda.gov/downloads/drugs/guidances/ucm193282.pdf%2012%20April%202018" TargetMode="External"/><Relationship Id="rId30" Type="http://schemas.openxmlformats.org/officeDocument/2006/relationships/image" Target="media/image8.png"/><Relationship Id="rId35" Type="http://schemas.microsoft.com/office/2007/relationships/hdphoto" Target="media/hdphoto7.wdp"/><Relationship Id="rId43" Type="http://schemas.microsoft.com/office/2007/relationships/hdphoto" Target="media/hdphoto11.wdp"/><Relationship Id="rId48" Type="http://schemas.openxmlformats.org/officeDocument/2006/relationships/header" Target="header4.xm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www.tga.gov.au/product-information-pi"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ascpt.onlinelibrary.wiley.com/toc/15326535/2011/89/1" TargetMode="External"/><Relationship Id="rId2" Type="http://schemas.openxmlformats.org/officeDocument/2006/relationships/hyperlink" Target="https://doi.org/10.2147/CE.S34747" TargetMode="External"/><Relationship Id="rId1" Type="http://schemas.openxmlformats.org/officeDocument/2006/relationships/hyperlink" Target="http://www.auanet.org/guidelines/prostate-specific-antigen-(2009-amended-2013" TargetMode="External"/><Relationship Id="rId4" Type="http://schemas.openxmlformats.org/officeDocument/2006/relationships/hyperlink" Target="https://ascpt.onlinelibrary.wiley.com/toc/15326535/2011/89/1"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6908\R12%20926607%20%20AusPAR%20-%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94557-159C-477B-9BD3-3CFD8B641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template(2).DOTX</Template>
  <TotalTime>30</TotalTime>
  <Pages>83</Pages>
  <Words>28632</Words>
  <Characters>165213</Characters>
  <Application>Microsoft Office Word</Application>
  <DocSecurity>0</DocSecurity>
  <Lines>3754</Lines>
  <Paragraphs>2335</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191510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Apalutamide</dc:title>
  <dc:subject>prescription medicines</dc:subject>
  <dc:creator>Therapeutic Goods Administration</dc:creator>
  <cp:keywords>AusPARs</cp:keywords>
  <cp:lastPrinted>2015-09-22T23:39:00Z</cp:lastPrinted>
  <dcterms:created xsi:type="dcterms:W3CDTF">2019-04-01T00:58:00Z</dcterms:created>
  <dcterms:modified xsi:type="dcterms:W3CDTF">2019-04-01T01:28:00Z</dcterms:modified>
  <cp:category/>
</cp:coreProperties>
</file>