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FAC1" w14:textId="77777777" w:rsidR="007168F6" w:rsidRPr="00375DF3" w:rsidRDefault="007168F6" w:rsidP="007168F6">
      <w:pPr>
        <w:tabs>
          <w:tab w:val="left" w:pos="284"/>
        </w:tabs>
        <w:spacing w:after="480"/>
        <w:rPr>
          <w:rFonts w:asciiTheme="majorHAnsi" w:hAnsiTheme="majorHAnsi"/>
        </w:rPr>
      </w:pPr>
      <w:r>
        <w:rPr>
          <w:noProof/>
          <w:lang w:eastAsia="en-AU"/>
        </w:rPr>
        <mc:AlternateContent>
          <mc:Choice Requires="wps">
            <w:drawing>
              <wp:inline distT="0" distB="0" distL="0" distR="0" wp14:anchorId="745E62FA" wp14:editId="6407F8BE">
                <wp:extent cx="252095" cy="252095"/>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25466" w14:textId="77777777" w:rsidR="005F2A1A" w:rsidRPr="00BE2A26" w:rsidRDefault="005F2A1A" w:rsidP="007168F6">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k4xe1dQIAAP4EAAAOAAAAAAAAAAAA&#10;AAAAAC4CAABkcnMvZTJvRG9jLnhtbFBLAQItABQABgAIAAAAIQBj9U4M2QAAAAMBAAAPAAAAAAAA&#10;AAAAAAAAAM8EAABkcnMvZG93bnJldi54bWxQSwUGAAAAAAQABADzAAAA1QUAAAAA&#10;" stroked="f">
                <v:textbox inset="0,0,0,0">
                  <w:txbxContent>
                    <w:p w14:paraId="44A25466" w14:textId="77777777" w:rsidR="005F2A1A" w:rsidRPr="00BE2A26" w:rsidRDefault="005F2A1A" w:rsidP="007168F6">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9" w:history="1">
        <w:r>
          <w:rPr>
            <w:rStyle w:val="Hyperlink"/>
            <w:rFonts w:asciiTheme="majorHAnsi" w:hAnsiTheme="majorHAnsi"/>
          </w:rPr>
          <w:t>https://www.tga.gov.au/reporting-problems</w:t>
        </w:r>
      </w:hyperlink>
      <w:r w:rsidRPr="00375DF3">
        <w:rPr>
          <w:rFonts w:asciiTheme="majorHAnsi" w:hAnsiTheme="majorHAnsi"/>
        </w:rPr>
        <w:t>.</w:t>
      </w:r>
    </w:p>
    <w:p w14:paraId="185DEF9F" w14:textId="759002FC" w:rsidR="00423418" w:rsidRPr="00520F30" w:rsidRDefault="00155653" w:rsidP="00BB6CA7">
      <w:pPr>
        <w:pStyle w:val="Subtitle"/>
        <w:pBdr>
          <w:top w:val="single" w:sz="4" w:space="1" w:color="auto"/>
        </w:pBdr>
      </w:pPr>
      <w:r>
        <w:t>ERLYAND</w:t>
      </w:r>
      <w:r w:rsidR="00197EA1" w:rsidRPr="00197EA1">
        <w:rPr>
          <w:vertAlign w:val="superscript"/>
        </w:rPr>
        <w:t>®</w:t>
      </w:r>
    </w:p>
    <w:p w14:paraId="32442A5C" w14:textId="00D8ED22" w:rsidR="00075DCF" w:rsidRPr="00FC4BC0" w:rsidRDefault="002104E3" w:rsidP="00075DCF">
      <w:pPr>
        <w:pStyle w:val="Subtitle-activeingredient"/>
      </w:pPr>
      <w:r>
        <w:t>apalutamide</w:t>
      </w:r>
    </w:p>
    <w:p w14:paraId="66BE6925" w14:textId="7F71A73F" w:rsidR="00423418" w:rsidRPr="00520F30" w:rsidRDefault="00707326" w:rsidP="00BB6CA7">
      <w:pPr>
        <w:pStyle w:val="Title"/>
        <w:pBdr>
          <w:bottom w:val="single" w:sz="4" w:space="1" w:color="auto"/>
        </w:pBdr>
      </w:pPr>
      <w:r>
        <w:t>Australian P</w:t>
      </w:r>
      <w:r w:rsidR="00197EA1">
        <w:t xml:space="preserve">roduct </w:t>
      </w:r>
      <w:r>
        <w:t>I</w:t>
      </w:r>
      <w:r w:rsidR="00197EA1">
        <w:t>nformation</w:t>
      </w:r>
    </w:p>
    <w:p w14:paraId="29AFB28B" w14:textId="1103ECF2" w:rsidR="004A6F6E" w:rsidRPr="00075DCF" w:rsidRDefault="008450DE" w:rsidP="00075DCF">
      <w:pPr>
        <w:pStyle w:val="Heading1"/>
      </w:pPr>
      <w:r w:rsidRPr="00075DCF">
        <w:t xml:space="preserve">1. </w:t>
      </w:r>
      <w:r w:rsidR="00FC258A">
        <w:t>NAME OF THE MEDICINE</w:t>
      </w:r>
    </w:p>
    <w:p w14:paraId="5461405B" w14:textId="367E3979" w:rsidR="00242B21" w:rsidRPr="00624378" w:rsidRDefault="002763F4" w:rsidP="00242B21">
      <w:pPr>
        <w:pStyle w:val="BodyText1"/>
        <w:rPr>
          <w:b/>
          <w:caps/>
        </w:rPr>
      </w:pPr>
      <w:r>
        <w:t>Apalutamide</w:t>
      </w:r>
    </w:p>
    <w:p w14:paraId="31EED64D" w14:textId="1FEE5256" w:rsidR="004A6F6E" w:rsidRDefault="00075DCF" w:rsidP="00075DCF">
      <w:pPr>
        <w:pStyle w:val="Heading1"/>
      </w:pPr>
      <w:r>
        <w:t xml:space="preserve">2. </w:t>
      </w:r>
      <w:r w:rsidR="00EE798E">
        <w:t>QUALITATIVE AND QUANTITATIVE COMPOSITION</w:t>
      </w:r>
      <w:bookmarkStart w:id="0" w:name="_GoBack"/>
      <w:bookmarkEnd w:id="0"/>
    </w:p>
    <w:p w14:paraId="4094E465" w14:textId="65BFCDE0" w:rsidR="00242B21" w:rsidRDefault="0038517B" w:rsidP="00197EA1">
      <w:pPr>
        <w:pStyle w:val="BodyText1"/>
        <w:tabs>
          <w:tab w:val="right" w:pos="9026"/>
        </w:tabs>
      </w:pPr>
      <w:r>
        <w:t>ERLYAND</w:t>
      </w:r>
      <w:r w:rsidR="002763F4">
        <w:t xml:space="preserve"> 60 mg tablets contain 60 mg of apalutamide.</w:t>
      </w:r>
    </w:p>
    <w:p w14:paraId="6D96CF11" w14:textId="6234E9FA" w:rsidR="00242B21" w:rsidRPr="00F45885" w:rsidRDefault="00242B21" w:rsidP="00242B21">
      <w:pPr>
        <w:pStyle w:val="BodyText1"/>
      </w:pPr>
      <w:r>
        <w:t xml:space="preserve">For a full list of excipients, see </w:t>
      </w:r>
      <w:r w:rsidR="00A83889" w:rsidRPr="00EB6ECC">
        <w:rPr>
          <w:b/>
        </w:rPr>
        <w:t xml:space="preserve">section </w:t>
      </w:r>
      <w:r w:rsidR="00A83889" w:rsidRPr="00EB6ECC">
        <w:rPr>
          <w:b/>
          <w:color w:val="262626" w:themeColor="text1" w:themeTint="D9"/>
        </w:rPr>
        <w:t>6.1</w:t>
      </w:r>
      <w:r w:rsidR="00F73CBE">
        <w:rPr>
          <w:b/>
          <w:color w:val="262626" w:themeColor="text1" w:themeTint="D9"/>
        </w:rPr>
        <w:t xml:space="preserve"> </w:t>
      </w:r>
      <w:r w:rsidR="00F73CBE" w:rsidRPr="00F73CBE">
        <w:rPr>
          <w:color w:val="262626" w:themeColor="text1" w:themeTint="D9"/>
        </w:rPr>
        <w:t>List of excipients</w:t>
      </w:r>
      <w:r>
        <w:t>.</w:t>
      </w:r>
    </w:p>
    <w:p w14:paraId="4D92A334" w14:textId="2F254334" w:rsidR="004A6F6E" w:rsidRDefault="00075DCF" w:rsidP="00075DCF">
      <w:pPr>
        <w:pStyle w:val="Heading1"/>
      </w:pPr>
      <w:r>
        <w:t xml:space="preserve">3. </w:t>
      </w:r>
      <w:r w:rsidR="00EE798E">
        <w:t>PHARMACEUTICAL FORM</w:t>
      </w:r>
    </w:p>
    <w:p w14:paraId="38C8B7CD" w14:textId="56F58C39" w:rsidR="002763F4" w:rsidRPr="002763F4" w:rsidRDefault="0038517B" w:rsidP="00616E70">
      <w:pPr>
        <w:pStyle w:val="BodyText1"/>
      </w:pPr>
      <w:r>
        <w:t>ERLYAND</w:t>
      </w:r>
      <w:r w:rsidR="00BE6983">
        <w:t xml:space="preserve"> is supplied as s</w:t>
      </w:r>
      <w:r w:rsidR="002763F4" w:rsidRPr="002763F4">
        <w:t xml:space="preserve">lightly yellowish </w:t>
      </w:r>
      <w:r w:rsidR="00F0077F">
        <w:t xml:space="preserve">green </w:t>
      </w:r>
      <w:r w:rsidR="002763F4" w:rsidRPr="002763F4">
        <w:t>to greyish green, oblong-shaped, film-coated tablets, debossed with “AR 60” on one side.</w:t>
      </w:r>
    </w:p>
    <w:p w14:paraId="4C4DC604" w14:textId="4C30547D" w:rsidR="00242B21" w:rsidRDefault="00075DCF" w:rsidP="00075DCF">
      <w:pPr>
        <w:pStyle w:val="Heading1"/>
      </w:pPr>
      <w:r>
        <w:t xml:space="preserve">4. </w:t>
      </w:r>
      <w:r w:rsidR="00EE798E">
        <w:t>CLINICAL PARTICULARS</w:t>
      </w:r>
    </w:p>
    <w:p w14:paraId="5EB25E25" w14:textId="1A0DF702" w:rsidR="00242B21" w:rsidRPr="00F95E9C" w:rsidRDefault="008450DE" w:rsidP="00F95E9C">
      <w:pPr>
        <w:pStyle w:val="Heading2"/>
      </w:pPr>
      <w:r w:rsidRPr="00F95E9C">
        <w:t xml:space="preserve">4.1 </w:t>
      </w:r>
      <w:r w:rsidR="00242B21" w:rsidRPr="00F95E9C">
        <w:t>Therapeutic indications</w:t>
      </w:r>
    </w:p>
    <w:p w14:paraId="759A744C" w14:textId="12B41249" w:rsidR="00361478" w:rsidRPr="00711CE5" w:rsidRDefault="0038517B" w:rsidP="00616E70">
      <w:pPr>
        <w:pStyle w:val="BodyText1"/>
      </w:pPr>
      <w:r>
        <w:t>ERLYAND</w:t>
      </w:r>
      <w:r w:rsidR="00711CE5" w:rsidRPr="00711CE5">
        <w:t xml:space="preserve"> </w:t>
      </w:r>
      <w:r w:rsidR="00711CE5">
        <w:t xml:space="preserve">(apalutamide) </w:t>
      </w:r>
      <w:r w:rsidR="002763F4" w:rsidRPr="00711CE5">
        <w:t xml:space="preserve">is indicated for the treatment of patients with </w:t>
      </w:r>
      <w:r w:rsidR="004B0A19" w:rsidRPr="004B0A19">
        <w:t>non</w:t>
      </w:r>
      <w:r w:rsidR="004B0A19">
        <w:rPr>
          <w:rFonts w:ascii="Cambria Math" w:hAnsi="Cambria Math" w:cs="Cambria Math"/>
        </w:rPr>
        <w:noBreakHyphen/>
      </w:r>
      <w:r w:rsidR="004B0A19" w:rsidRPr="004B0A19">
        <w:t>metastatic</w:t>
      </w:r>
      <w:r w:rsidR="004B0A19">
        <w:t xml:space="preserve">, </w:t>
      </w:r>
      <w:r w:rsidR="002763F4" w:rsidRPr="00711CE5">
        <w:t>castration</w:t>
      </w:r>
      <w:r w:rsidR="00612508">
        <w:noBreakHyphen/>
      </w:r>
      <w:r w:rsidR="002763F4" w:rsidRPr="00711CE5">
        <w:t>resistant</w:t>
      </w:r>
      <w:r w:rsidR="00644A1D">
        <w:t xml:space="preserve"> </w:t>
      </w:r>
      <w:r w:rsidR="002763F4" w:rsidRPr="00711CE5">
        <w:t>prostate cancer</w:t>
      </w:r>
      <w:r w:rsidR="00101EA1">
        <w:t xml:space="preserve"> (</w:t>
      </w:r>
      <w:r w:rsidR="0082682B">
        <w:t>s</w:t>
      </w:r>
      <w:r w:rsidR="00101EA1">
        <w:t xml:space="preserve">ee </w:t>
      </w:r>
      <w:r w:rsidR="00101EA1" w:rsidRPr="00844E29">
        <w:rPr>
          <w:b/>
        </w:rPr>
        <w:t xml:space="preserve">section 5.1 Clinical </w:t>
      </w:r>
      <w:r w:rsidR="0002270B">
        <w:rPr>
          <w:b/>
        </w:rPr>
        <w:t>t</w:t>
      </w:r>
      <w:r w:rsidR="00101EA1" w:rsidRPr="00844E29">
        <w:rPr>
          <w:b/>
        </w:rPr>
        <w:t>rials</w:t>
      </w:r>
      <w:r w:rsidR="00101EA1">
        <w:t>)</w:t>
      </w:r>
      <w:r w:rsidR="00711CE5" w:rsidRPr="00711CE5">
        <w:t>.</w:t>
      </w:r>
    </w:p>
    <w:p w14:paraId="416C8B42" w14:textId="50A47E4B" w:rsidR="00242B21" w:rsidRDefault="008450DE" w:rsidP="00F95E9C">
      <w:pPr>
        <w:pStyle w:val="Heading2"/>
      </w:pPr>
      <w:r>
        <w:t xml:space="preserve">4.2 </w:t>
      </w:r>
      <w:r w:rsidR="009F0747">
        <w:t>Dose and method of administration</w:t>
      </w:r>
    </w:p>
    <w:p w14:paraId="7C27425B" w14:textId="223EC52A" w:rsidR="009F0747" w:rsidRPr="00F95E9C" w:rsidRDefault="009F0747" w:rsidP="00F95E9C">
      <w:pPr>
        <w:pStyle w:val="Heading3"/>
      </w:pPr>
      <w:bookmarkStart w:id="1" w:name="_Hlk496086260"/>
      <w:r w:rsidRPr="00F95E9C">
        <w:t>Dose</w:t>
      </w:r>
      <w:r w:rsidR="00FD2F6F">
        <w:t xml:space="preserve"> in adults</w:t>
      </w:r>
    </w:p>
    <w:p w14:paraId="0929A608" w14:textId="53AFB7D9" w:rsidR="009F0747" w:rsidRDefault="003651C6" w:rsidP="009F0747">
      <w:pPr>
        <w:pStyle w:val="BodyText1"/>
      </w:pPr>
      <w:r w:rsidRPr="003651C6">
        <w:t xml:space="preserve">The recommended dose of </w:t>
      </w:r>
      <w:r w:rsidR="0038517B">
        <w:t>ERLYAND</w:t>
      </w:r>
      <w:r w:rsidRPr="003651C6">
        <w:t xml:space="preserve"> is 240 mg (four 60 mg tablets) administered orally once </w:t>
      </w:r>
      <w:r w:rsidR="00644A1D">
        <w:t>daily</w:t>
      </w:r>
      <w:r>
        <w:t>.</w:t>
      </w:r>
    </w:p>
    <w:p w14:paraId="28B8F11C" w14:textId="3272BC30" w:rsidR="008D253F" w:rsidRDefault="008D253F" w:rsidP="008D253F">
      <w:pPr>
        <w:pStyle w:val="BodyText1"/>
      </w:pPr>
      <w:r>
        <w:t xml:space="preserve">Patients should </w:t>
      </w:r>
      <w:r w:rsidR="00730E73">
        <w:t>concurrently</w:t>
      </w:r>
      <w:r w:rsidR="0050768C">
        <w:t xml:space="preserve"> </w:t>
      </w:r>
      <w:r>
        <w:t>receive a gonadotropin-releasing hormone (GnRH) analog</w:t>
      </w:r>
      <w:r w:rsidR="0082682B">
        <w:t>ue</w:t>
      </w:r>
      <w:r w:rsidR="00730E73">
        <w:t>, unless they</w:t>
      </w:r>
      <w:r>
        <w:t xml:space="preserve"> have had a bilateral orchiectomy.  </w:t>
      </w:r>
    </w:p>
    <w:p w14:paraId="54DBE967" w14:textId="77777777" w:rsidR="008E17DD" w:rsidRPr="007973EA" w:rsidRDefault="008E17DD" w:rsidP="00F95E9C">
      <w:pPr>
        <w:pStyle w:val="Heading3"/>
      </w:pPr>
      <w:r w:rsidRPr="007973EA">
        <w:t>Method of administration</w:t>
      </w:r>
    </w:p>
    <w:p w14:paraId="7D26A603" w14:textId="49E1D454" w:rsidR="008E17DD" w:rsidRDefault="0038517B" w:rsidP="009F0747">
      <w:pPr>
        <w:pStyle w:val="BodyText1"/>
      </w:pPr>
      <w:r>
        <w:t>ERLYAND</w:t>
      </w:r>
      <w:r w:rsidR="00694E77">
        <w:t xml:space="preserve"> should be administered orally once daily, with or without food. </w:t>
      </w:r>
      <w:r w:rsidR="00C911E1">
        <w:t xml:space="preserve">The tablets should be swallowed </w:t>
      </w:r>
      <w:r w:rsidR="00644A1D" w:rsidRPr="003651C6">
        <w:t>whole</w:t>
      </w:r>
      <w:r w:rsidR="00644A1D">
        <w:t>.</w:t>
      </w:r>
    </w:p>
    <w:p w14:paraId="27EB5C16" w14:textId="7B6E56D4" w:rsidR="00C911E1" w:rsidRDefault="00C911E1" w:rsidP="009F0747">
      <w:pPr>
        <w:pStyle w:val="BodyText1"/>
      </w:pPr>
      <w:r w:rsidRPr="006D7C25">
        <w:lastRenderedPageBreak/>
        <w:t>If the patient misses a dose, it should be taken as soon as possible on the same day with a return to the normal schedule on the following day. The patient should not take extra tablets to make up the missed dose.</w:t>
      </w:r>
    </w:p>
    <w:p w14:paraId="0C4E8E90" w14:textId="7EFA4B5E" w:rsidR="00FC258A" w:rsidRDefault="00FC258A" w:rsidP="00FC258A">
      <w:pPr>
        <w:pStyle w:val="Heading3"/>
      </w:pPr>
      <w:r>
        <w:t>Dosage adjustment</w:t>
      </w:r>
    </w:p>
    <w:p w14:paraId="68C7A9BD" w14:textId="520E013B" w:rsidR="00BA23D6" w:rsidRDefault="00BA23D6" w:rsidP="00BA23D6">
      <w:pPr>
        <w:pStyle w:val="Heading4"/>
      </w:pPr>
      <w:r>
        <w:t>Adverse effects</w:t>
      </w:r>
    </w:p>
    <w:p w14:paraId="7F11A0A8" w14:textId="52379D3B" w:rsidR="00C911E1" w:rsidRPr="00C911E1" w:rsidRDefault="00BA23D6" w:rsidP="00C911E1">
      <w:pPr>
        <w:rPr>
          <w:rFonts w:ascii="Arial" w:hAnsi="Arial"/>
          <w:sz w:val="21"/>
        </w:rPr>
      </w:pPr>
      <w:r>
        <w:rPr>
          <w:rFonts w:ascii="Arial" w:hAnsi="Arial"/>
          <w:sz w:val="21"/>
        </w:rPr>
        <w:t>If</w:t>
      </w:r>
      <w:r w:rsidR="00C911E1" w:rsidRPr="00C911E1">
        <w:rPr>
          <w:rFonts w:ascii="Arial" w:hAnsi="Arial"/>
          <w:sz w:val="21"/>
        </w:rPr>
        <w:t xml:space="preserve"> a patient experiences a ≥ Grade 3 toxicity or an intolerable</w:t>
      </w:r>
      <w:r w:rsidR="00C911E1">
        <w:rPr>
          <w:rFonts w:ascii="Arial" w:hAnsi="Arial"/>
          <w:sz w:val="21"/>
        </w:rPr>
        <w:t xml:space="preserve"> </w:t>
      </w:r>
      <w:r>
        <w:rPr>
          <w:rFonts w:ascii="Arial" w:hAnsi="Arial"/>
          <w:sz w:val="21"/>
        </w:rPr>
        <w:t>adverse</w:t>
      </w:r>
      <w:r w:rsidR="00C911E1">
        <w:rPr>
          <w:rFonts w:ascii="Arial" w:hAnsi="Arial"/>
          <w:sz w:val="21"/>
        </w:rPr>
        <w:t xml:space="preserve"> effect, </w:t>
      </w:r>
      <w:r w:rsidR="00C911E1" w:rsidRPr="00BA23D6">
        <w:rPr>
          <w:rFonts w:ascii="Arial" w:hAnsi="Arial"/>
          <w:sz w:val="21"/>
        </w:rPr>
        <w:t>hold dosing</w:t>
      </w:r>
      <w:r w:rsidR="00C911E1">
        <w:rPr>
          <w:rFonts w:ascii="Arial" w:hAnsi="Arial"/>
          <w:sz w:val="21"/>
        </w:rPr>
        <w:t xml:space="preserve"> until </w:t>
      </w:r>
      <w:r w:rsidR="00C911E1" w:rsidRPr="00C911E1">
        <w:rPr>
          <w:rFonts w:ascii="Arial" w:hAnsi="Arial"/>
          <w:sz w:val="21"/>
        </w:rPr>
        <w:t>symptoms improve to ≤ Grade 1 or original grade, then resume at the same dose or a reduced dose (180 mg or 120 mg), if warranted.</w:t>
      </w:r>
    </w:p>
    <w:p w14:paraId="16A55338" w14:textId="77777777" w:rsidR="00FD2F6F" w:rsidRDefault="00FD2F6F" w:rsidP="00FD2F6F">
      <w:pPr>
        <w:pStyle w:val="Heading4"/>
      </w:pPr>
      <w:r>
        <w:t>Hepatic insufficiency</w:t>
      </w:r>
    </w:p>
    <w:p w14:paraId="5F764E2E" w14:textId="5FD32FAD" w:rsidR="00FD2F6F" w:rsidRDefault="00FD2F6F" w:rsidP="00FD2F6F">
      <w:pPr>
        <w:pStyle w:val="BodyText1"/>
      </w:pPr>
      <w:r w:rsidRPr="00644A1D">
        <w:t xml:space="preserve">No dosage adjustment is necessary for patients with baseline mild </w:t>
      </w:r>
      <w:r w:rsidR="009B4FDE">
        <w:t xml:space="preserve">(Child-Pugh class A) </w:t>
      </w:r>
      <w:r w:rsidRPr="00644A1D">
        <w:t xml:space="preserve">or moderate </w:t>
      </w:r>
      <w:r w:rsidR="009B4FDE">
        <w:t xml:space="preserve">(Child-Pugh class B) </w:t>
      </w:r>
      <w:r w:rsidRPr="00644A1D">
        <w:t xml:space="preserve">hepatic impairment. </w:t>
      </w:r>
    </w:p>
    <w:p w14:paraId="58A21573" w14:textId="17B3C5F2" w:rsidR="00FD2F6F" w:rsidRDefault="00FD2F6F" w:rsidP="00FD2F6F">
      <w:pPr>
        <w:pStyle w:val="BodyText1"/>
      </w:pPr>
      <w:r w:rsidRPr="00644A1D">
        <w:t xml:space="preserve">No data are available in patients with severe hepatic impairment (Child-Pugh </w:t>
      </w:r>
      <w:r w:rsidR="009B4FDE">
        <w:t>c</w:t>
      </w:r>
      <w:r w:rsidRPr="00644A1D">
        <w:t>lass C)</w:t>
      </w:r>
      <w:r>
        <w:t xml:space="preserve">, see </w:t>
      </w:r>
      <w:r w:rsidRPr="00C911E1">
        <w:rPr>
          <w:b/>
        </w:rPr>
        <w:t>section 5.2</w:t>
      </w:r>
      <w:r w:rsidR="00847951">
        <w:rPr>
          <w:b/>
        </w:rPr>
        <w:t xml:space="preserve"> Special populations</w:t>
      </w:r>
      <w:r>
        <w:t xml:space="preserve">. </w:t>
      </w:r>
    </w:p>
    <w:p w14:paraId="75174DC3" w14:textId="2349B32B" w:rsidR="00FC258A" w:rsidRDefault="00FC258A" w:rsidP="00FC258A">
      <w:pPr>
        <w:pStyle w:val="Heading4"/>
      </w:pPr>
      <w:r>
        <w:t>Renal insufficiency</w:t>
      </w:r>
    </w:p>
    <w:p w14:paraId="57A4DA78" w14:textId="1A9970CE" w:rsidR="00EC3AD7" w:rsidRDefault="00644A1D" w:rsidP="00616E70">
      <w:pPr>
        <w:pStyle w:val="BodyText1"/>
      </w:pPr>
      <w:r w:rsidRPr="00644A1D">
        <w:t xml:space="preserve">No dosage adjustment is necessary for patients with mild to moderate renal impairment. </w:t>
      </w:r>
    </w:p>
    <w:p w14:paraId="65BFBBBE" w14:textId="43ADE30F" w:rsidR="00FD2F6F" w:rsidRPr="00FD2F6F" w:rsidRDefault="00644A1D" w:rsidP="00FD2842">
      <w:pPr>
        <w:pStyle w:val="BodyText1"/>
      </w:pPr>
      <w:r w:rsidRPr="00644A1D">
        <w:t xml:space="preserve">No data are available in patients with severe renal impairment or end-stage renal disease (eGFR </w:t>
      </w:r>
      <w:r w:rsidRPr="00644A1D">
        <w:sym w:font="Symbol" w:char="F0A3"/>
      </w:r>
      <w:r w:rsidRPr="00644A1D">
        <w:t> 29 mL/min/1.73m</w:t>
      </w:r>
      <w:r w:rsidRPr="00644A1D">
        <w:rPr>
          <w:vertAlign w:val="superscript"/>
        </w:rPr>
        <w:t>2</w:t>
      </w:r>
      <w:r w:rsidRPr="00644A1D">
        <w:t>)</w:t>
      </w:r>
      <w:r>
        <w:t xml:space="preserve">, see </w:t>
      </w:r>
      <w:r w:rsidRPr="00644A1D">
        <w:rPr>
          <w:b/>
        </w:rPr>
        <w:t>section 5.2</w:t>
      </w:r>
      <w:r w:rsidR="005E178D">
        <w:rPr>
          <w:b/>
        </w:rPr>
        <w:t xml:space="preserve"> Special populations</w:t>
      </w:r>
      <w:r>
        <w:t>.</w:t>
      </w:r>
      <w:r w:rsidRPr="00561C47">
        <w:t xml:space="preserve"> </w:t>
      </w:r>
    </w:p>
    <w:p w14:paraId="1A8375F8" w14:textId="6A294943" w:rsidR="0023243C" w:rsidRDefault="0023243C" w:rsidP="0023243C">
      <w:pPr>
        <w:pStyle w:val="Heading4"/>
      </w:pPr>
      <w:r>
        <w:t xml:space="preserve">Use in </w:t>
      </w:r>
      <w:r w:rsidR="00D12E14">
        <w:t xml:space="preserve">the </w:t>
      </w:r>
      <w:r>
        <w:t xml:space="preserve">elderly </w:t>
      </w:r>
    </w:p>
    <w:bookmarkEnd w:id="1"/>
    <w:p w14:paraId="110F6BCC" w14:textId="3F4A6EA9" w:rsidR="00FD2F6F" w:rsidRDefault="00FD2F6F" w:rsidP="0023243C">
      <w:pPr>
        <w:pStyle w:val="BodyText1"/>
      </w:pPr>
      <w:r>
        <w:t xml:space="preserve">No dosage adjustment is </w:t>
      </w:r>
      <w:r w:rsidR="00BD135F">
        <w:t>necessary</w:t>
      </w:r>
      <w:r>
        <w:t xml:space="preserve"> based on patient age (see </w:t>
      </w:r>
      <w:r w:rsidR="00544106">
        <w:rPr>
          <w:b/>
        </w:rPr>
        <w:t>s</w:t>
      </w:r>
      <w:r w:rsidRPr="00BD135F">
        <w:rPr>
          <w:b/>
        </w:rPr>
        <w:t>ection</w:t>
      </w:r>
      <w:r w:rsidR="00523669" w:rsidRPr="00BD135F">
        <w:rPr>
          <w:b/>
        </w:rPr>
        <w:t>s</w:t>
      </w:r>
      <w:r w:rsidRPr="00BD135F">
        <w:rPr>
          <w:b/>
        </w:rPr>
        <w:t xml:space="preserve"> 4.4</w:t>
      </w:r>
      <w:r w:rsidR="00523669" w:rsidRPr="00BD135F">
        <w:rPr>
          <w:b/>
        </w:rPr>
        <w:t xml:space="preserve"> Special warnings and precautions for use</w:t>
      </w:r>
      <w:r w:rsidR="00523669">
        <w:t xml:space="preserve"> and </w:t>
      </w:r>
      <w:r w:rsidR="00523669" w:rsidRPr="00BD135F">
        <w:rPr>
          <w:b/>
        </w:rPr>
        <w:t>5.2</w:t>
      </w:r>
      <w:r w:rsidRPr="00BD135F">
        <w:rPr>
          <w:b/>
        </w:rPr>
        <w:t xml:space="preserve"> </w:t>
      </w:r>
      <w:r w:rsidR="00523669" w:rsidRPr="00BD135F">
        <w:rPr>
          <w:b/>
        </w:rPr>
        <w:t>Special populations</w:t>
      </w:r>
      <w:r>
        <w:t>).</w:t>
      </w:r>
    </w:p>
    <w:p w14:paraId="17A7256A" w14:textId="679DF137" w:rsidR="00FD2F6F" w:rsidRDefault="00FD2F6F" w:rsidP="00FD2F6F">
      <w:pPr>
        <w:pStyle w:val="Heading4"/>
      </w:pPr>
      <w:r>
        <w:t>Paediatric use</w:t>
      </w:r>
    </w:p>
    <w:p w14:paraId="15C25424" w14:textId="6315E482" w:rsidR="00FD2F6F" w:rsidRPr="00FD2F6F" w:rsidRDefault="00FD2F6F" w:rsidP="00FD2F6F">
      <w:pPr>
        <w:pStyle w:val="BodyText"/>
        <w:rPr>
          <w:rFonts w:eastAsiaTheme="minorHAnsi"/>
          <w:lang w:val="en-AU"/>
        </w:rPr>
      </w:pPr>
      <w:r w:rsidRPr="00FD2F6F">
        <w:rPr>
          <w:rFonts w:eastAsiaTheme="minorHAnsi"/>
          <w:lang w:val="en-AU"/>
        </w:rPr>
        <w:t xml:space="preserve">The safety and efficacy of </w:t>
      </w:r>
      <w:r>
        <w:rPr>
          <w:rFonts w:eastAsiaTheme="minorHAnsi"/>
          <w:lang w:val="en-AU"/>
        </w:rPr>
        <w:t>ELYAND</w:t>
      </w:r>
      <w:r w:rsidRPr="00FD2F6F">
        <w:rPr>
          <w:rFonts w:eastAsiaTheme="minorHAnsi"/>
          <w:lang w:val="en-AU"/>
        </w:rPr>
        <w:t xml:space="preserve"> in </w:t>
      </w:r>
      <w:r>
        <w:rPr>
          <w:rFonts w:eastAsiaTheme="minorHAnsi"/>
          <w:lang w:val="en-AU"/>
        </w:rPr>
        <w:t>patients</w:t>
      </w:r>
      <w:r w:rsidRPr="00FD2F6F">
        <w:rPr>
          <w:rFonts w:eastAsiaTheme="minorHAnsi"/>
          <w:lang w:val="en-AU"/>
        </w:rPr>
        <w:t xml:space="preserve"> aged less than 18 y</w:t>
      </w:r>
      <w:r w:rsidR="00046A8B">
        <w:rPr>
          <w:rFonts w:eastAsiaTheme="minorHAnsi"/>
          <w:lang w:val="en-AU"/>
        </w:rPr>
        <w:t xml:space="preserve">ears have not been established </w:t>
      </w:r>
      <w:r>
        <w:rPr>
          <w:rFonts w:eastAsiaTheme="minorHAnsi"/>
          <w:lang w:val="en-AU"/>
        </w:rPr>
        <w:t xml:space="preserve">(see </w:t>
      </w:r>
      <w:r w:rsidR="00544106">
        <w:rPr>
          <w:rFonts w:eastAsiaTheme="minorHAnsi"/>
          <w:b/>
          <w:lang w:val="en-AU"/>
        </w:rPr>
        <w:t>s</w:t>
      </w:r>
      <w:r w:rsidRPr="00BD135F">
        <w:rPr>
          <w:rFonts w:eastAsiaTheme="minorHAnsi"/>
          <w:b/>
          <w:lang w:val="en-AU"/>
        </w:rPr>
        <w:t>ection 4.4 Special warnings and precautions for use</w:t>
      </w:r>
      <w:r w:rsidRPr="00FD2F6F">
        <w:rPr>
          <w:rFonts w:eastAsiaTheme="minorHAnsi"/>
          <w:lang w:val="en-AU"/>
        </w:rPr>
        <w:t xml:space="preserve">). </w:t>
      </w:r>
    </w:p>
    <w:p w14:paraId="4EBBB6E0" w14:textId="0617E3FF" w:rsidR="009F0747" w:rsidRDefault="008450DE" w:rsidP="00F95E9C">
      <w:pPr>
        <w:pStyle w:val="Heading2"/>
      </w:pPr>
      <w:r>
        <w:t xml:space="preserve">4.3 </w:t>
      </w:r>
      <w:r w:rsidR="008E17DD">
        <w:t>Contraindications</w:t>
      </w:r>
    </w:p>
    <w:p w14:paraId="2FED59A4" w14:textId="27CDAB17" w:rsidR="008E17DD" w:rsidRPr="00CC6B5C" w:rsidRDefault="0038517B" w:rsidP="00CC6B5C">
      <w:pPr>
        <w:pStyle w:val="BodyText"/>
        <w:rPr>
          <w:rFonts w:eastAsiaTheme="minorHAnsi"/>
          <w:lang w:val="en-AU"/>
        </w:rPr>
      </w:pPr>
      <w:r>
        <w:rPr>
          <w:rFonts w:eastAsiaTheme="minorHAnsi"/>
          <w:lang w:val="en-AU"/>
        </w:rPr>
        <w:t>ERLYAND</w:t>
      </w:r>
      <w:r w:rsidR="00694E77" w:rsidRPr="00694E77">
        <w:rPr>
          <w:rFonts w:eastAsiaTheme="minorHAnsi"/>
          <w:lang w:val="en-AU"/>
        </w:rPr>
        <w:t xml:space="preserve"> is contraindicated </w:t>
      </w:r>
      <w:r w:rsidR="00694E77" w:rsidRPr="00487688">
        <w:rPr>
          <w:rFonts w:eastAsiaTheme="minorHAnsi"/>
          <w:lang w:val="en-AU"/>
        </w:rPr>
        <w:t>in women</w:t>
      </w:r>
      <w:r w:rsidR="00694E77" w:rsidRPr="00694E77">
        <w:rPr>
          <w:rFonts w:eastAsiaTheme="minorHAnsi"/>
          <w:lang w:val="en-AU"/>
        </w:rPr>
        <w:t xml:space="preserve"> who are or may become pregnant</w:t>
      </w:r>
      <w:r w:rsidR="00CC6B5C">
        <w:rPr>
          <w:rFonts w:eastAsiaTheme="minorHAnsi"/>
          <w:lang w:val="en-AU"/>
        </w:rPr>
        <w:t xml:space="preserve">, see </w:t>
      </w:r>
      <w:r w:rsidR="00CC6B5C" w:rsidRPr="00CC6B5C">
        <w:rPr>
          <w:rFonts w:eastAsiaTheme="minorHAnsi"/>
          <w:b/>
          <w:lang w:val="en-AU"/>
        </w:rPr>
        <w:t>section 4.6</w:t>
      </w:r>
      <w:r w:rsidR="00694E77" w:rsidRPr="00CC6B5C">
        <w:rPr>
          <w:rFonts w:eastAsiaTheme="minorHAnsi"/>
          <w:lang w:val="en-AU"/>
        </w:rPr>
        <w:t xml:space="preserve"> </w:t>
      </w:r>
      <w:r w:rsidR="00CC6B5C" w:rsidRPr="00CC6B5C">
        <w:rPr>
          <w:rFonts w:eastAsiaTheme="minorHAnsi"/>
          <w:b/>
          <w:lang w:val="en-AU"/>
        </w:rPr>
        <w:t>Use in p</w:t>
      </w:r>
      <w:r w:rsidR="00694E77" w:rsidRPr="00CC6B5C">
        <w:rPr>
          <w:rFonts w:eastAsiaTheme="minorHAnsi"/>
          <w:b/>
          <w:lang w:val="en-AU"/>
        </w:rPr>
        <w:t>regnancy</w:t>
      </w:r>
      <w:r w:rsidR="00694E77" w:rsidRPr="00CC6B5C">
        <w:rPr>
          <w:rFonts w:eastAsiaTheme="minorHAnsi"/>
          <w:lang w:val="en-AU"/>
        </w:rPr>
        <w:t>.</w:t>
      </w:r>
    </w:p>
    <w:p w14:paraId="3F94A771" w14:textId="5FF3F840" w:rsidR="008E17DD" w:rsidRDefault="008450DE" w:rsidP="00F95E9C">
      <w:pPr>
        <w:pStyle w:val="Heading2"/>
      </w:pPr>
      <w:bookmarkStart w:id="2" w:name="_Ref471291968"/>
      <w:r>
        <w:t xml:space="preserve">4.4 </w:t>
      </w:r>
      <w:r w:rsidR="008E17DD">
        <w:t>Special warnings and precautions for use</w:t>
      </w:r>
      <w:bookmarkEnd w:id="2"/>
    </w:p>
    <w:p w14:paraId="2C169D58" w14:textId="77777777" w:rsidR="00E43A87" w:rsidRDefault="00E43A87" w:rsidP="00E43A87">
      <w:pPr>
        <w:pStyle w:val="Heading3"/>
      </w:pPr>
      <w:r>
        <w:t>Falls and Fractures</w:t>
      </w:r>
    </w:p>
    <w:p w14:paraId="1A37DF4A" w14:textId="77777777" w:rsidR="00E11B4D" w:rsidRDefault="00433595" w:rsidP="00E43A87">
      <w:pPr>
        <w:pStyle w:val="BodyText1"/>
      </w:pPr>
      <w:r>
        <w:t>Evaluate patients for fracture and fall risk</w:t>
      </w:r>
      <w:r w:rsidR="00E11B4D">
        <w:t xml:space="preserve"> and manage</w:t>
      </w:r>
      <w:r>
        <w:t xml:space="preserve"> according to e</w:t>
      </w:r>
      <w:r w:rsidR="00E11B4D">
        <w:t>stablished treatment guidelines, including consideration of bone-</w:t>
      </w:r>
      <w:r>
        <w:t>targeted agents.</w:t>
      </w:r>
      <w:r w:rsidR="005D542E">
        <w:t xml:space="preserve"> </w:t>
      </w:r>
    </w:p>
    <w:p w14:paraId="73D66491" w14:textId="6E13EDDF" w:rsidR="00F4449C" w:rsidRDefault="005D542E" w:rsidP="00E43A87">
      <w:pPr>
        <w:pStyle w:val="BodyText1"/>
      </w:pPr>
      <w:r>
        <w:t>ERLYAND adds to the increased risk of osteopenia and osteoporosis associated with prolonged ADT therapy, which may contribute to the increased risk of fall and injury.</w:t>
      </w:r>
      <w:r w:rsidR="00E11B4D">
        <w:t xml:space="preserve"> </w:t>
      </w:r>
      <w:r w:rsidR="00E43A87">
        <w:t xml:space="preserve">Falls and </w:t>
      </w:r>
      <w:r w:rsidR="00E43A87" w:rsidRPr="009006EB">
        <w:t>fall-related injuries</w:t>
      </w:r>
      <w:r w:rsidR="00433595">
        <w:t xml:space="preserve"> (including non-pathological fractures)</w:t>
      </w:r>
      <w:r w:rsidR="00E43A87" w:rsidRPr="009006EB">
        <w:t xml:space="preserve"> </w:t>
      </w:r>
      <w:r w:rsidR="0040369C">
        <w:t>occurred</w:t>
      </w:r>
      <w:r w:rsidR="009767AB">
        <w:t xml:space="preserve"> </w:t>
      </w:r>
      <w:r w:rsidR="00433595">
        <w:t>in patients receiving ERLYAND</w:t>
      </w:r>
      <w:r w:rsidR="0040369C">
        <w:t xml:space="preserve"> in the registrational study</w:t>
      </w:r>
      <w:r w:rsidR="00433595">
        <w:t>, and on</w:t>
      </w:r>
      <w:r w:rsidR="00433595" w:rsidRPr="009006EB">
        <w:t>e patient died due to a skull fracture after a fall.</w:t>
      </w:r>
      <w:r w:rsidR="00433595">
        <w:t xml:space="preserve"> </w:t>
      </w:r>
      <w:r w:rsidR="00433595" w:rsidRPr="00C65501" w:rsidDel="003F4AD3">
        <w:t>Fall an</w:t>
      </w:r>
      <w:r w:rsidR="009767AB">
        <w:t>d fall-related injuries occur</w:t>
      </w:r>
      <w:r w:rsidR="0040369C">
        <w:t>red</w:t>
      </w:r>
      <w:r w:rsidR="00433595" w:rsidRPr="00C65501" w:rsidDel="003F4AD3">
        <w:t xml:space="preserve"> more commonly in patients over 75 years of age.</w:t>
      </w:r>
      <w:r w:rsidR="00E43A87">
        <w:t xml:space="preserve"> </w:t>
      </w:r>
      <w:r w:rsidR="00C21761">
        <w:t xml:space="preserve">See </w:t>
      </w:r>
      <w:r w:rsidR="00C21761" w:rsidRPr="005E178D">
        <w:rPr>
          <w:b/>
        </w:rPr>
        <w:t>section 4.8 Description of selected adverse events</w:t>
      </w:r>
      <w:r w:rsidR="00C21761">
        <w:t>.</w:t>
      </w:r>
    </w:p>
    <w:p w14:paraId="2385444E" w14:textId="77777777" w:rsidR="00B84B71" w:rsidRDefault="00B84B71" w:rsidP="00616E70">
      <w:pPr>
        <w:pStyle w:val="Heading3"/>
      </w:pPr>
      <w:r>
        <w:t>Seizure</w:t>
      </w:r>
    </w:p>
    <w:p w14:paraId="13C66DB1" w14:textId="4CBFA066" w:rsidR="005D542E" w:rsidRDefault="00B84B71" w:rsidP="005D542E">
      <w:pPr>
        <w:pStyle w:val="BodyText1"/>
      </w:pPr>
      <w:r w:rsidRPr="00B84B71" w:rsidDel="003F4AD3">
        <w:t xml:space="preserve">Permanently discontinue </w:t>
      </w:r>
      <w:r w:rsidR="0038517B" w:rsidDel="003F4AD3">
        <w:t>ERLYAND</w:t>
      </w:r>
      <w:r w:rsidRPr="00B84B71" w:rsidDel="003F4AD3">
        <w:t xml:space="preserve"> in patients who </w:t>
      </w:r>
      <w:r w:rsidRPr="00B84B71">
        <w:t xml:space="preserve">develop </w:t>
      </w:r>
      <w:r w:rsidRPr="00B84B71" w:rsidDel="003F4AD3">
        <w:t>a seizure during treatment.</w:t>
      </w:r>
      <w:r w:rsidR="008C275D">
        <w:t xml:space="preserve"> Advise patients of the risk of developing a seizure while receiving </w:t>
      </w:r>
      <w:r w:rsidR="00F4449C">
        <w:rPr>
          <w:rFonts w:cs="Arial"/>
          <w:sz w:val="22"/>
          <w:szCs w:val="22"/>
          <w:lang w:val="en-CA"/>
        </w:rPr>
        <w:t>ERLYAND</w:t>
      </w:r>
      <w:r w:rsidR="00F4449C" w:rsidRPr="00FF08D7">
        <w:rPr>
          <w:rFonts w:cs="Arial"/>
          <w:sz w:val="22"/>
          <w:szCs w:val="22"/>
          <w:lang w:val="en-CA"/>
        </w:rPr>
        <w:t xml:space="preserve"> </w:t>
      </w:r>
      <w:r w:rsidR="008C275D">
        <w:t>and of engaging in any activity where sudden loss of consciousness could cause harm to themselves or others.</w:t>
      </w:r>
      <w:r w:rsidR="00C21761">
        <w:t xml:space="preserve"> It is </w:t>
      </w:r>
      <w:r w:rsidR="00C21761">
        <w:lastRenderedPageBreak/>
        <w:t xml:space="preserve">unknown whether anti-epileptic medications will prevent seizures with </w:t>
      </w:r>
      <w:r w:rsidR="00C21761">
        <w:rPr>
          <w:rFonts w:cs="Arial"/>
          <w:sz w:val="22"/>
          <w:szCs w:val="22"/>
          <w:lang w:val="en-CA"/>
        </w:rPr>
        <w:t>ERLYAND</w:t>
      </w:r>
      <w:r w:rsidR="00C21761">
        <w:t>.</w:t>
      </w:r>
      <w:r w:rsidR="00D23B99">
        <w:t xml:space="preserve">  </w:t>
      </w:r>
      <w:r w:rsidRPr="00616E70">
        <w:t xml:space="preserve">There is no clinical experience in re-administering </w:t>
      </w:r>
      <w:r w:rsidR="0038517B">
        <w:t>ERLYAND</w:t>
      </w:r>
      <w:r w:rsidRPr="00616E70">
        <w:t xml:space="preserve"> to patients who experienced a seizure.</w:t>
      </w:r>
    </w:p>
    <w:p w14:paraId="68508BDF" w14:textId="7C25806E" w:rsidR="003F4AD3" w:rsidRDefault="005D542E" w:rsidP="00E43A87">
      <w:pPr>
        <w:pStyle w:val="BodyText1"/>
      </w:pPr>
      <w:r w:rsidRPr="00B84B71">
        <w:t xml:space="preserve">Seizure occurred in </w:t>
      </w:r>
      <w:r>
        <w:t>2 patients (</w:t>
      </w:r>
      <w:r w:rsidRPr="00B84B71">
        <w:t>0.2%</w:t>
      </w:r>
      <w:r>
        <w:t>)</w:t>
      </w:r>
      <w:r w:rsidRPr="00B84B71">
        <w:t xml:space="preserve"> receiving </w:t>
      </w:r>
      <w:r>
        <w:t>ERLYAND</w:t>
      </w:r>
      <w:r w:rsidRPr="00B84B71">
        <w:t xml:space="preserve"> in </w:t>
      </w:r>
      <w:r>
        <w:t>the registrational study,</w:t>
      </w:r>
      <w:r w:rsidRPr="00B84B71">
        <w:t xml:space="preserve"> </w:t>
      </w:r>
      <w:r w:rsidR="00FE6D5C">
        <w:t>in</w:t>
      </w:r>
      <w:r>
        <w:t xml:space="preserve"> which </w:t>
      </w:r>
      <w:r w:rsidRPr="00B84B71">
        <w:t xml:space="preserve">subjects with a history of seizure or predisposing factors for </w:t>
      </w:r>
      <w:r w:rsidR="00FE6D5C">
        <w:t xml:space="preserve">seizure </w:t>
      </w:r>
      <w:r w:rsidRPr="00B84B71">
        <w:t>were excluded</w:t>
      </w:r>
      <w:r w:rsidR="00FE6D5C">
        <w:t xml:space="preserve"> from participating</w:t>
      </w:r>
      <w:r w:rsidRPr="00B84B71">
        <w:t>.</w:t>
      </w:r>
      <w:r w:rsidR="008F33CC">
        <w:t xml:space="preserve"> See </w:t>
      </w:r>
      <w:r w:rsidR="008F33CC" w:rsidRPr="005E178D">
        <w:rPr>
          <w:b/>
        </w:rPr>
        <w:t>section</w:t>
      </w:r>
      <w:r w:rsidR="003B6D97">
        <w:rPr>
          <w:b/>
        </w:rPr>
        <w:t>s</w:t>
      </w:r>
      <w:r w:rsidR="008F33CC" w:rsidRPr="005E178D">
        <w:rPr>
          <w:b/>
        </w:rPr>
        <w:t xml:space="preserve"> 4.8 Description of selected adverse events</w:t>
      </w:r>
      <w:r w:rsidR="008F33CC" w:rsidRPr="00C21761">
        <w:t xml:space="preserve"> and </w:t>
      </w:r>
      <w:r w:rsidR="008F33CC">
        <w:rPr>
          <w:b/>
        </w:rPr>
        <w:t>4.7 Effects on ability to drive and use machines</w:t>
      </w:r>
      <w:r w:rsidR="008F33CC">
        <w:t>.</w:t>
      </w:r>
      <w:r w:rsidR="00D23B99">
        <w:t xml:space="preserve">  </w:t>
      </w:r>
    </w:p>
    <w:p w14:paraId="62008B99" w14:textId="24AF9B92" w:rsidR="005C428D" w:rsidRDefault="005C428D" w:rsidP="005C428D">
      <w:pPr>
        <w:pStyle w:val="Heading3"/>
      </w:pPr>
      <w:r>
        <w:t>Hypothyroidism</w:t>
      </w:r>
    </w:p>
    <w:p w14:paraId="44010543" w14:textId="2E3E16FB" w:rsidR="0040369C" w:rsidRDefault="00720694" w:rsidP="00770F44">
      <w:pPr>
        <w:pStyle w:val="BodyText1"/>
      </w:pPr>
      <w:r>
        <w:t xml:space="preserve">Initiation </w:t>
      </w:r>
      <w:r w:rsidR="00DF76BC">
        <w:t xml:space="preserve">or adjustment </w:t>
      </w:r>
      <w:r w:rsidR="005E3F0D">
        <w:t>of thyroid replacement therapy</w:t>
      </w:r>
      <w:r w:rsidR="00DF76BC">
        <w:t xml:space="preserve"> </w:t>
      </w:r>
      <w:r w:rsidR="005D542E">
        <w:t>may be required</w:t>
      </w:r>
      <w:r w:rsidR="00132B07">
        <w:t xml:space="preserve">. </w:t>
      </w:r>
      <w:r w:rsidR="00D23B99">
        <w:t xml:space="preserve"> </w:t>
      </w:r>
      <w:r w:rsidR="00A17B86">
        <w:t>As l</w:t>
      </w:r>
      <w:r w:rsidR="00AD0677">
        <w:t xml:space="preserve">evothyroxine </w:t>
      </w:r>
      <w:r w:rsidR="00A17B86">
        <w:t xml:space="preserve">exposure </w:t>
      </w:r>
      <w:r w:rsidR="00132B07">
        <w:t xml:space="preserve">may be reduced when it is </w:t>
      </w:r>
      <w:r w:rsidR="00AD0677">
        <w:t>co-administered</w:t>
      </w:r>
      <w:r w:rsidR="00132B07">
        <w:t xml:space="preserve"> with apaluta</w:t>
      </w:r>
      <w:r w:rsidR="00A17B86">
        <w:t>mide</w:t>
      </w:r>
      <w:r w:rsidR="00AD0677">
        <w:t>, evaluate for loss of levothyroxine efficacy and need for dose adjustment</w:t>
      </w:r>
      <w:r w:rsidR="00F4449C">
        <w:t xml:space="preserve"> </w:t>
      </w:r>
      <w:r w:rsidR="00F4449C" w:rsidRPr="0084535A">
        <w:rPr>
          <w:lang w:eastAsia="en-GB"/>
        </w:rPr>
        <w:t xml:space="preserve">(see </w:t>
      </w:r>
      <w:r w:rsidR="00544106">
        <w:rPr>
          <w:b/>
          <w:lang w:eastAsia="en-GB"/>
        </w:rPr>
        <w:t>s</w:t>
      </w:r>
      <w:r w:rsidR="00F4449C" w:rsidRPr="0084535A">
        <w:rPr>
          <w:b/>
          <w:lang w:eastAsia="en-GB"/>
        </w:rPr>
        <w:t xml:space="preserve">ection 4.5 </w:t>
      </w:r>
      <w:r w:rsidR="00764343">
        <w:rPr>
          <w:b/>
          <w:lang w:eastAsia="en-GB"/>
        </w:rPr>
        <w:t>Effects of ERLYAND on other medicines</w:t>
      </w:r>
      <w:r w:rsidR="00F4449C" w:rsidRPr="0084535A">
        <w:rPr>
          <w:lang w:eastAsia="en-GB"/>
        </w:rPr>
        <w:t>)</w:t>
      </w:r>
      <w:r w:rsidR="00AD0677">
        <w:t>.</w:t>
      </w:r>
      <w:r w:rsidR="0040369C">
        <w:t xml:space="preserve"> </w:t>
      </w:r>
      <w:r w:rsidR="00D23B99">
        <w:t xml:space="preserve"> </w:t>
      </w:r>
    </w:p>
    <w:p w14:paraId="2CC1D64C" w14:textId="3CE8EA1F" w:rsidR="005C428D" w:rsidRDefault="0040369C" w:rsidP="005C428D">
      <w:pPr>
        <w:pStyle w:val="BodyText1"/>
      </w:pPr>
      <w:r>
        <w:t>Hypothyroidism occurred</w:t>
      </w:r>
      <w:r w:rsidR="003B6D97">
        <w:t xml:space="preserve"> in patients receiving ERLYAND</w:t>
      </w:r>
      <w:r>
        <w:t xml:space="preserve"> in the registrational study,</w:t>
      </w:r>
      <w:r w:rsidRPr="0040369C">
        <w:t xml:space="preserve"> </w:t>
      </w:r>
      <w:r>
        <w:t xml:space="preserve">based on </w:t>
      </w:r>
      <w:r w:rsidR="005E3F0D">
        <w:t>elevation</w:t>
      </w:r>
      <w:r>
        <w:t xml:space="preserve"> of thyroid-stimulating hormone (TSH)</w:t>
      </w:r>
      <w:r w:rsidR="003B6D97">
        <w:t xml:space="preserve">. </w:t>
      </w:r>
      <w:r w:rsidR="00D23B99">
        <w:t xml:space="preserve"> </w:t>
      </w:r>
      <w:r w:rsidR="007346E7" w:rsidRPr="007346E7">
        <w:t xml:space="preserve">Hypothyroidism occurred more commonly in </w:t>
      </w:r>
      <w:r w:rsidR="005E3F0D">
        <w:t>patient</w:t>
      </w:r>
      <w:r w:rsidR="00132B07">
        <w:t>s</w:t>
      </w:r>
      <w:r w:rsidR="005E3F0D">
        <w:t xml:space="preserve"> who were already receiving thyroid replacement therapy, and in</w:t>
      </w:r>
      <w:r w:rsidR="005E3F0D" w:rsidRPr="007346E7">
        <w:t xml:space="preserve"> </w:t>
      </w:r>
      <w:r w:rsidR="007346E7" w:rsidRPr="007346E7">
        <w:t>patients &gt; 75 years of age</w:t>
      </w:r>
      <w:r w:rsidR="00D178FB">
        <w:t xml:space="preserve"> (s</w:t>
      </w:r>
      <w:r w:rsidR="00A17B86">
        <w:t xml:space="preserve">ee </w:t>
      </w:r>
      <w:r w:rsidR="00A17B86" w:rsidRPr="00A17B86">
        <w:rPr>
          <w:b/>
        </w:rPr>
        <w:t xml:space="preserve">section 4.8 </w:t>
      </w:r>
      <w:r w:rsidR="00A17B86" w:rsidRPr="005E178D">
        <w:rPr>
          <w:b/>
        </w:rPr>
        <w:t>Description of selected adverse events</w:t>
      </w:r>
      <w:r w:rsidR="00D178FB">
        <w:rPr>
          <w:b/>
        </w:rPr>
        <w:t>)</w:t>
      </w:r>
      <w:r w:rsidR="00A17B86">
        <w:rPr>
          <w:b/>
        </w:rPr>
        <w:t>.</w:t>
      </w:r>
      <w:r w:rsidR="00D23B99">
        <w:rPr>
          <w:b/>
        </w:rPr>
        <w:t xml:space="preserve">  </w:t>
      </w:r>
    </w:p>
    <w:p w14:paraId="47B96E7A" w14:textId="5AF428D1" w:rsidR="003B7327" w:rsidRDefault="003B7327" w:rsidP="00AB7CFE">
      <w:pPr>
        <w:pStyle w:val="Heading3"/>
      </w:pPr>
      <w:r>
        <w:t>Cardiac effects</w:t>
      </w:r>
    </w:p>
    <w:p w14:paraId="51C3891A" w14:textId="556F8F73" w:rsidR="006B4549" w:rsidRDefault="006B4549" w:rsidP="006B4549">
      <w:pPr>
        <w:pStyle w:val="Heading4"/>
      </w:pPr>
      <w:r>
        <w:t>Ischaemic heart disease (IHD)</w:t>
      </w:r>
    </w:p>
    <w:p w14:paraId="531B199D" w14:textId="10A2F2BB" w:rsidR="001476A6" w:rsidRDefault="009A412E" w:rsidP="006F371F">
      <w:pPr>
        <w:rPr>
          <w:rFonts w:ascii="Arial" w:hAnsi="Arial"/>
          <w:sz w:val="21"/>
        </w:rPr>
      </w:pPr>
      <w:r w:rsidRPr="009A412E">
        <w:rPr>
          <w:rFonts w:ascii="Arial" w:hAnsi="Arial"/>
          <w:sz w:val="21"/>
        </w:rPr>
        <w:t xml:space="preserve">Patients with a cardiac history should be assessed for active cardiac </w:t>
      </w:r>
      <w:r>
        <w:rPr>
          <w:rFonts w:ascii="Arial" w:hAnsi="Arial"/>
          <w:sz w:val="21"/>
        </w:rPr>
        <w:t xml:space="preserve">disease before starting treatment with ERLYAND. </w:t>
      </w:r>
      <w:r w:rsidR="006325AC">
        <w:rPr>
          <w:rFonts w:ascii="Arial" w:hAnsi="Arial"/>
          <w:sz w:val="21"/>
        </w:rPr>
        <w:t xml:space="preserve"> </w:t>
      </w:r>
      <w:r w:rsidR="009217AB">
        <w:rPr>
          <w:rFonts w:ascii="Arial" w:hAnsi="Arial"/>
          <w:sz w:val="21"/>
        </w:rPr>
        <w:t xml:space="preserve">The safety of </w:t>
      </w:r>
      <w:r w:rsidR="004F6B9D">
        <w:rPr>
          <w:rFonts w:ascii="Arial" w:hAnsi="Arial"/>
          <w:sz w:val="21"/>
        </w:rPr>
        <w:t xml:space="preserve">ERLYAND </w:t>
      </w:r>
      <w:r w:rsidR="009217AB">
        <w:rPr>
          <w:rFonts w:ascii="Arial" w:hAnsi="Arial"/>
          <w:sz w:val="21"/>
        </w:rPr>
        <w:t xml:space="preserve">has not been characterised in patients with recent </w:t>
      </w:r>
      <w:r w:rsidR="001476A6">
        <w:rPr>
          <w:rFonts w:ascii="Arial" w:hAnsi="Arial"/>
          <w:sz w:val="21"/>
        </w:rPr>
        <w:t xml:space="preserve">(within 6 months) </w:t>
      </w:r>
      <w:r w:rsidR="009217AB">
        <w:rPr>
          <w:rFonts w:ascii="Arial" w:hAnsi="Arial"/>
          <w:sz w:val="21"/>
        </w:rPr>
        <w:t xml:space="preserve">significant cardiovascular disease </w:t>
      </w:r>
      <w:r>
        <w:rPr>
          <w:rFonts w:ascii="Arial" w:hAnsi="Arial"/>
          <w:sz w:val="21"/>
        </w:rPr>
        <w:t>(</w:t>
      </w:r>
      <w:r w:rsidRPr="009A412E">
        <w:rPr>
          <w:rFonts w:ascii="Arial" w:hAnsi="Arial"/>
          <w:sz w:val="21"/>
        </w:rPr>
        <w:t>including severe/unstable angina, myocardial infarction, symptomatic con</w:t>
      </w:r>
      <w:r w:rsidR="002C0A4C">
        <w:rPr>
          <w:rFonts w:ascii="Arial" w:hAnsi="Arial"/>
          <w:sz w:val="21"/>
        </w:rPr>
        <w:t>gestive heart failure, arterial/</w:t>
      </w:r>
      <w:r w:rsidR="0064343E">
        <w:rPr>
          <w:rFonts w:ascii="Arial" w:hAnsi="Arial"/>
          <w:sz w:val="21"/>
        </w:rPr>
        <w:t xml:space="preserve">venous thromboembolic events, </w:t>
      </w:r>
      <w:r w:rsidRPr="009A412E">
        <w:rPr>
          <w:rFonts w:ascii="Arial" w:hAnsi="Arial"/>
          <w:sz w:val="21"/>
        </w:rPr>
        <w:t>clinically significant ventricular arrhythmias</w:t>
      </w:r>
      <w:r w:rsidR="0064343E">
        <w:rPr>
          <w:rFonts w:ascii="Arial" w:hAnsi="Arial"/>
          <w:sz w:val="21"/>
        </w:rPr>
        <w:t xml:space="preserve"> and uncontrolled hypertension</w:t>
      </w:r>
      <w:r>
        <w:rPr>
          <w:rFonts w:ascii="Arial" w:hAnsi="Arial"/>
          <w:sz w:val="21"/>
        </w:rPr>
        <w:t>)</w:t>
      </w:r>
      <w:r w:rsidR="003170D9">
        <w:rPr>
          <w:rFonts w:ascii="Arial" w:hAnsi="Arial"/>
          <w:sz w:val="21"/>
        </w:rPr>
        <w:t xml:space="preserve">, as these patients were </w:t>
      </w:r>
      <w:r>
        <w:rPr>
          <w:rFonts w:ascii="Arial" w:hAnsi="Arial"/>
          <w:sz w:val="21"/>
        </w:rPr>
        <w:t>excluded from</w:t>
      </w:r>
      <w:r w:rsidR="003170D9">
        <w:rPr>
          <w:rFonts w:ascii="Arial" w:hAnsi="Arial"/>
          <w:sz w:val="21"/>
        </w:rPr>
        <w:t xml:space="preserve"> the registrational trial</w:t>
      </w:r>
      <w:r w:rsidR="009217AB">
        <w:rPr>
          <w:rFonts w:ascii="Arial" w:hAnsi="Arial"/>
          <w:sz w:val="21"/>
        </w:rPr>
        <w:t>.</w:t>
      </w:r>
      <w:r w:rsidR="006B4549">
        <w:rPr>
          <w:rFonts w:ascii="Arial" w:hAnsi="Arial"/>
          <w:sz w:val="21"/>
        </w:rPr>
        <w:t xml:space="preserve"> </w:t>
      </w:r>
      <w:r w:rsidR="004E3756">
        <w:rPr>
          <w:rFonts w:ascii="Arial" w:hAnsi="Arial"/>
          <w:sz w:val="21"/>
        </w:rPr>
        <w:t xml:space="preserve"> </w:t>
      </w:r>
    </w:p>
    <w:p w14:paraId="52534151" w14:textId="114D62C3" w:rsidR="003B7327" w:rsidRPr="003527F3" w:rsidRDefault="00C96509" w:rsidP="004E3756">
      <w:pPr>
        <w:pStyle w:val="BodyText1"/>
      </w:pPr>
      <w:r>
        <w:t>A</w:t>
      </w:r>
      <w:r w:rsidR="00A55AD0">
        <w:t>dverse events</w:t>
      </w:r>
      <w:r w:rsidR="00C804A8">
        <w:t xml:space="preserve"> </w:t>
      </w:r>
      <w:r w:rsidR="00731739">
        <w:t>indicative of</w:t>
      </w:r>
      <w:r w:rsidR="00C804A8">
        <w:t xml:space="preserve"> ischaemic heart disease</w:t>
      </w:r>
      <w:r w:rsidR="003527F3">
        <w:t xml:space="preserve"> </w:t>
      </w:r>
      <w:r w:rsidR="009A412E">
        <w:t xml:space="preserve">and cardiac failure </w:t>
      </w:r>
      <w:r w:rsidR="004F6B9D">
        <w:t>were reported</w:t>
      </w:r>
      <w:r w:rsidR="00532CE9">
        <w:t xml:space="preserve"> more frequently </w:t>
      </w:r>
      <w:r w:rsidR="009A412E">
        <w:t xml:space="preserve">in patients treated </w:t>
      </w:r>
      <w:r w:rsidR="00532CE9">
        <w:t xml:space="preserve">with </w:t>
      </w:r>
      <w:r w:rsidR="004F6B9D">
        <w:t xml:space="preserve">ERLYAND </w:t>
      </w:r>
      <w:r>
        <w:t>in the</w:t>
      </w:r>
      <w:r w:rsidR="00C804A8">
        <w:t xml:space="preserve"> registrational study</w:t>
      </w:r>
      <w:r w:rsidR="004F7435">
        <w:t>, including 3 fatal myocardial infarctions</w:t>
      </w:r>
      <w:r w:rsidR="00FF17EC">
        <w:t xml:space="preserve"> (see section </w:t>
      </w:r>
      <w:r w:rsidR="00FF17EC" w:rsidRPr="00BD4E30">
        <w:rPr>
          <w:b/>
        </w:rPr>
        <w:t>4.8 Description of selected adverse events</w:t>
      </w:r>
      <w:r w:rsidR="00FF17EC">
        <w:rPr>
          <w:b/>
        </w:rPr>
        <w:t>)</w:t>
      </w:r>
      <w:r w:rsidR="00C804A8">
        <w:t>.</w:t>
      </w:r>
      <w:r w:rsidR="004E3756">
        <w:t xml:space="preserve">  </w:t>
      </w:r>
    </w:p>
    <w:p w14:paraId="251C7FB6" w14:textId="77777777" w:rsidR="002C0A4C" w:rsidRDefault="002C0A4C" w:rsidP="002C0A4C">
      <w:pPr>
        <w:pStyle w:val="Heading4"/>
      </w:pPr>
      <w:r>
        <w:t>QT interval prolongation</w:t>
      </w:r>
    </w:p>
    <w:p w14:paraId="515C1D31" w14:textId="65BCA86A" w:rsidR="002C0A4C" w:rsidRDefault="002C0A4C" w:rsidP="002C0A4C">
      <w:pPr>
        <w:rPr>
          <w:rFonts w:ascii="Arial" w:hAnsi="Arial"/>
          <w:sz w:val="21"/>
        </w:rPr>
      </w:pPr>
      <w:r w:rsidRPr="004F497C">
        <w:rPr>
          <w:rFonts w:ascii="Arial" w:hAnsi="Arial"/>
          <w:sz w:val="21"/>
        </w:rPr>
        <w:t xml:space="preserve">In patients with </w:t>
      </w:r>
      <w:r w:rsidR="0026736C">
        <w:rPr>
          <w:rFonts w:ascii="Arial" w:hAnsi="Arial"/>
          <w:sz w:val="21"/>
        </w:rPr>
        <w:t xml:space="preserve">a </w:t>
      </w:r>
      <w:r>
        <w:rPr>
          <w:rFonts w:ascii="Arial" w:hAnsi="Arial"/>
          <w:sz w:val="21"/>
        </w:rPr>
        <w:t xml:space="preserve">history of </w:t>
      </w:r>
      <w:r w:rsidRPr="004F497C">
        <w:rPr>
          <w:rFonts w:ascii="Arial" w:hAnsi="Arial"/>
          <w:sz w:val="21"/>
        </w:rPr>
        <w:t>QT prolongation</w:t>
      </w:r>
      <w:r>
        <w:rPr>
          <w:rFonts w:ascii="Arial" w:hAnsi="Arial"/>
          <w:sz w:val="21"/>
        </w:rPr>
        <w:t>,</w:t>
      </w:r>
      <w:r w:rsidR="0026736C">
        <w:rPr>
          <w:rFonts w:ascii="Arial" w:hAnsi="Arial"/>
          <w:sz w:val="21"/>
        </w:rPr>
        <w:t xml:space="preserve"> who are</w:t>
      </w:r>
      <w:r>
        <w:rPr>
          <w:rFonts w:ascii="Arial" w:hAnsi="Arial"/>
          <w:sz w:val="21"/>
        </w:rPr>
        <w:t xml:space="preserve"> taking </w:t>
      </w:r>
      <w:r w:rsidRPr="004F497C">
        <w:rPr>
          <w:rFonts w:ascii="Arial" w:hAnsi="Arial"/>
          <w:sz w:val="21"/>
        </w:rPr>
        <w:t xml:space="preserve">concomitant </w:t>
      </w:r>
      <w:r>
        <w:rPr>
          <w:rFonts w:ascii="Arial" w:hAnsi="Arial"/>
          <w:sz w:val="21"/>
        </w:rPr>
        <w:t>medications</w:t>
      </w:r>
      <w:r w:rsidRPr="004F497C">
        <w:rPr>
          <w:rFonts w:ascii="Arial" w:hAnsi="Arial"/>
          <w:sz w:val="21"/>
        </w:rPr>
        <w:t xml:space="preserve"> that </w:t>
      </w:r>
      <w:r>
        <w:rPr>
          <w:rFonts w:ascii="Arial" w:hAnsi="Arial"/>
          <w:sz w:val="21"/>
        </w:rPr>
        <w:t>may</w:t>
      </w:r>
      <w:r w:rsidRPr="004F497C">
        <w:rPr>
          <w:rFonts w:ascii="Arial" w:hAnsi="Arial"/>
          <w:sz w:val="21"/>
        </w:rPr>
        <w:t xml:space="preserve"> prolong the QT interval</w:t>
      </w:r>
      <w:r>
        <w:rPr>
          <w:rFonts w:ascii="Arial" w:hAnsi="Arial"/>
          <w:sz w:val="21"/>
        </w:rPr>
        <w:t xml:space="preserve">, or </w:t>
      </w:r>
      <w:r w:rsidR="0026736C">
        <w:rPr>
          <w:rFonts w:ascii="Arial" w:hAnsi="Arial"/>
          <w:sz w:val="21"/>
        </w:rPr>
        <w:t xml:space="preserve">who have </w:t>
      </w:r>
      <w:r>
        <w:rPr>
          <w:rFonts w:ascii="Arial" w:hAnsi="Arial"/>
          <w:sz w:val="21"/>
        </w:rPr>
        <w:t>other risk factors for torsades de pointes, c</w:t>
      </w:r>
      <w:r w:rsidRPr="006223AC">
        <w:rPr>
          <w:rFonts w:ascii="Arial" w:hAnsi="Arial"/>
          <w:sz w:val="21"/>
        </w:rPr>
        <w:t xml:space="preserve">onsider </w:t>
      </w:r>
      <w:r>
        <w:rPr>
          <w:rFonts w:ascii="Arial" w:hAnsi="Arial"/>
          <w:sz w:val="21"/>
        </w:rPr>
        <w:t xml:space="preserve">electrocardiogram (ECG) and electrolyte monitoring. </w:t>
      </w:r>
      <w:r w:rsidR="004E3756">
        <w:rPr>
          <w:rFonts w:ascii="Arial" w:hAnsi="Arial"/>
          <w:sz w:val="21"/>
        </w:rPr>
        <w:t xml:space="preserve"> </w:t>
      </w:r>
    </w:p>
    <w:p w14:paraId="55D8C3DB" w14:textId="77777777" w:rsidR="002C0A4C" w:rsidRDefault="002C0A4C" w:rsidP="002C0A4C">
      <w:pPr>
        <w:rPr>
          <w:rFonts w:ascii="Arial" w:hAnsi="Arial"/>
          <w:sz w:val="21"/>
        </w:rPr>
      </w:pPr>
    </w:p>
    <w:p w14:paraId="77DE8757" w14:textId="582A11FF" w:rsidR="002C0A4C" w:rsidRDefault="00737FF6" w:rsidP="002C0A4C">
      <w:pPr>
        <w:rPr>
          <w:rFonts w:ascii="Arial" w:hAnsi="Arial"/>
          <w:sz w:val="21"/>
        </w:rPr>
      </w:pPr>
      <w:r w:rsidRPr="00737FF6">
        <w:rPr>
          <w:rFonts w:ascii="Arial" w:hAnsi="Arial"/>
          <w:sz w:val="21"/>
        </w:rPr>
        <w:t xml:space="preserve">In a dedicated QT study in </w:t>
      </w:r>
      <w:r w:rsidR="00030711">
        <w:rPr>
          <w:rFonts w:ascii="Arial" w:hAnsi="Arial"/>
          <w:sz w:val="21"/>
        </w:rPr>
        <w:t>patients</w:t>
      </w:r>
      <w:r w:rsidRPr="00737FF6">
        <w:rPr>
          <w:rFonts w:ascii="Arial" w:hAnsi="Arial"/>
          <w:sz w:val="21"/>
        </w:rPr>
        <w:t xml:space="preserve"> with CRPC </w:t>
      </w:r>
      <w:r w:rsidR="00030711">
        <w:rPr>
          <w:rFonts w:ascii="Arial" w:hAnsi="Arial"/>
          <w:sz w:val="21"/>
        </w:rPr>
        <w:t>taking</w:t>
      </w:r>
      <w:r w:rsidRPr="00737FF6">
        <w:rPr>
          <w:rFonts w:ascii="Arial" w:hAnsi="Arial"/>
          <w:sz w:val="21"/>
        </w:rPr>
        <w:t xml:space="preserve"> </w:t>
      </w:r>
      <w:r>
        <w:rPr>
          <w:rFonts w:ascii="Arial" w:hAnsi="Arial"/>
          <w:sz w:val="21"/>
        </w:rPr>
        <w:t>ERLYAND</w:t>
      </w:r>
      <w:r w:rsidRPr="00737FF6">
        <w:rPr>
          <w:rFonts w:ascii="Arial" w:hAnsi="Arial"/>
          <w:sz w:val="21"/>
        </w:rPr>
        <w:t xml:space="preserve"> 240 mg once daily plus ADT, based on the longest QTcF change at any time for each patient at steady-state, the mean maximum QTcF change from baseline (</w:t>
      </w:r>
      <w:proofErr w:type="spellStart"/>
      <w:r w:rsidRPr="00737FF6">
        <w:rPr>
          <w:rFonts w:ascii="Arial" w:hAnsi="Arial"/>
          <w:sz w:val="21"/>
        </w:rPr>
        <w:t>ΔQTcF</w:t>
      </w:r>
      <w:proofErr w:type="spellEnd"/>
      <w:r w:rsidRPr="00737FF6">
        <w:rPr>
          <w:rFonts w:ascii="Arial" w:hAnsi="Arial"/>
          <w:sz w:val="21"/>
        </w:rPr>
        <w:t>) was 20.2</w:t>
      </w:r>
      <w:r w:rsidR="004E3756">
        <w:rPr>
          <w:rFonts w:ascii="Arial" w:hAnsi="Arial"/>
          <w:sz w:val="21"/>
        </w:rPr>
        <w:t> </w:t>
      </w:r>
      <w:proofErr w:type="spellStart"/>
      <w:r w:rsidRPr="00737FF6">
        <w:rPr>
          <w:rFonts w:ascii="Arial" w:hAnsi="Arial"/>
          <w:sz w:val="21"/>
        </w:rPr>
        <w:t>msec</w:t>
      </w:r>
      <w:proofErr w:type="spellEnd"/>
      <w:r w:rsidRPr="00737FF6">
        <w:rPr>
          <w:rFonts w:ascii="Arial" w:hAnsi="Arial"/>
          <w:sz w:val="21"/>
        </w:rPr>
        <w:t xml:space="preserve"> (upper 90% CI bound 23.7</w:t>
      </w:r>
      <w:r w:rsidR="004E3756">
        <w:rPr>
          <w:rFonts w:ascii="Arial" w:hAnsi="Arial"/>
          <w:sz w:val="21"/>
        </w:rPr>
        <w:t> </w:t>
      </w:r>
      <w:proofErr w:type="spellStart"/>
      <w:r w:rsidRPr="00737FF6">
        <w:rPr>
          <w:rFonts w:ascii="Arial" w:hAnsi="Arial"/>
          <w:sz w:val="21"/>
        </w:rPr>
        <w:t>msec</w:t>
      </w:r>
      <w:proofErr w:type="spellEnd"/>
      <w:r w:rsidRPr="00737FF6">
        <w:rPr>
          <w:rFonts w:ascii="Arial" w:hAnsi="Arial"/>
          <w:sz w:val="21"/>
        </w:rPr>
        <w:t xml:space="preserve">). </w:t>
      </w:r>
      <w:r w:rsidR="004E3756">
        <w:rPr>
          <w:rFonts w:ascii="Arial" w:hAnsi="Arial"/>
          <w:sz w:val="21"/>
        </w:rPr>
        <w:t xml:space="preserve"> </w:t>
      </w:r>
      <w:r w:rsidRPr="00737FF6">
        <w:rPr>
          <w:rFonts w:ascii="Arial" w:hAnsi="Arial"/>
          <w:sz w:val="21"/>
        </w:rPr>
        <w:t xml:space="preserve">Pharmacokinetic and pharmacodynamic analysis showed a concentration-dependent increase in QTcF with apalutamide and N-desmethyl apalutamide. </w:t>
      </w:r>
      <w:r w:rsidR="002C0A4C">
        <w:rPr>
          <w:rFonts w:ascii="Arial" w:hAnsi="Arial"/>
          <w:sz w:val="21"/>
        </w:rPr>
        <w:t xml:space="preserve">See </w:t>
      </w:r>
      <w:r w:rsidR="002C0A4C" w:rsidRPr="004E3756">
        <w:rPr>
          <w:rFonts w:ascii="Arial" w:hAnsi="Arial"/>
          <w:b/>
          <w:sz w:val="21"/>
        </w:rPr>
        <w:t>section</w:t>
      </w:r>
      <w:r w:rsidR="002C0A4C">
        <w:rPr>
          <w:rFonts w:ascii="Arial" w:hAnsi="Arial"/>
          <w:sz w:val="21"/>
        </w:rPr>
        <w:t xml:space="preserve"> </w:t>
      </w:r>
      <w:r w:rsidR="002C0A4C" w:rsidRPr="00BD4E30">
        <w:rPr>
          <w:rFonts w:ascii="Arial" w:hAnsi="Arial"/>
          <w:b/>
          <w:sz w:val="21"/>
        </w:rPr>
        <w:t>5.1 Pharmacodynamic effects</w:t>
      </w:r>
      <w:r w:rsidR="002C0A4C">
        <w:rPr>
          <w:rFonts w:ascii="Arial" w:hAnsi="Arial"/>
          <w:sz w:val="21"/>
        </w:rPr>
        <w:t>.</w:t>
      </w:r>
    </w:p>
    <w:p w14:paraId="44598BFA" w14:textId="0C1CE923" w:rsidR="00B74165" w:rsidRDefault="000245AD" w:rsidP="00AB7CFE">
      <w:pPr>
        <w:pStyle w:val="Heading3"/>
      </w:pPr>
      <w:r w:rsidRPr="000245AD">
        <w:t>Use in hepatic impairment</w:t>
      </w:r>
    </w:p>
    <w:p w14:paraId="4C289BFC" w14:textId="3121B1F3" w:rsidR="000245AD" w:rsidRDefault="00B97C23" w:rsidP="000245AD">
      <w:pPr>
        <w:pStyle w:val="BodyText"/>
        <w:rPr>
          <w:rFonts w:eastAsiaTheme="minorHAnsi"/>
          <w:lang w:val="en-AU"/>
        </w:rPr>
      </w:pPr>
      <w:r>
        <w:rPr>
          <w:rFonts w:eastAsiaTheme="minorHAnsi"/>
          <w:lang w:val="en-AU"/>
        </w:rPr>
        <w:t xml:space="preserve">See </w:t>
      </w:r>
      <w:r w:rsidR="00544106">
        <w:rPr>
          <w:rFonts w:eastAsiaTheme="minorHAnsi"/>
          <w:b/>
          <w:lang w:val="en-AU"/>
        </w:rPr>
        <w:t>s</w:t>
      </w:r>
      <w:r w:rsidRPr="00792CAA">
        <w:rPr>
          <w:rFonts w:eastAsiaTheme="minorHAnsi"/>
          <w:b/>
          <w:lang w:val="en-AU"/>
        </w:rPr>
        <w:t xml:space="preserve">ection 4.2 </w:t>
      </w:r>
      <w:r w:rsidRPr="00916C13">
        <w:rPr>
          <w:rFonts w:eastAsiaTheme="minorHAnsi"/>
          <w:b/>
          <w:lang w:val="en-AU"/>
        </w:rPr>
        <w:t xml:space="preserve">Dose and </w:t>
      </w:r>
      <w:r>
        <w:rPr>
          <w:rFonts w:eastAsiaTheme="minorHAnsi"/>
          <w:b/>
          <w:lang w:val="en-AU"/>
        </w:rPr>
        <w:t>Method of A</w:t>
      </w:r>
      <w:r w:rsidRPr="00916C13">
        <w:rPr>
          <w:rFonts w:eastAsiaTheme="minorHAnsi"/>
          <w:b/>
          <w:lang w:val="en-AU"/>
        </w:rPr>
        <w:t>dministration</w:t>
      </w:r>
      <w:r>
        <w:rPr>
          <w:rFonts w:eastAsiaTheme="minorHAnsi"/>
          <w:lang w:val="en-AU"/>
        </w:rPr>
        <w:t xml:space="preserve"> </w:t>
      </w:r>
      <w:r w:rsidR="00022314" w:rsidRPr="00022314">
        <w:rPr>
          <w:rFonts w:eastAsiaTheme="minorHAnsi"/>
          <w:b/>
          <w:i/>
          <w:lang w:val="en-AU"/>
        </w:rPr>
        <w:t>Dosage adjustment in</w:t>
      </w:r>
      <w:r>
        <w:rPr>
          <w:rFonts w:eastAsiaTheme="minorHAnsi"/>
          <w:b/>
          <w:i/>
          <w:lang w:val="en-AU"/>
        </w:rPr>
        <w:t xml:space="preserve"> </w:t>
      </w:r>
      <w:r w:rsidRPr="00B97C23">
        <w:rPr>
          <w:rFonts w:eastAsiaTheme="minorHAnsi"/>
          <w:b/>
          <w:i/>
          <w:lang w:val="en-AU"/>
        </w:rPr>
        <w:t>Hepatic insufficiency</w:t>
      </w:r>
    </w:p>
    <w:p w14:paraId="2042164C" w14:textId="514B33A2" w:rsidR="000245AD" w:rsidRPr="000245AD" w:rsidRDefault="000245AD" w:rsidP="000245AD">
      <w:pPr>
        <w:pStyle w:val="Heading3"/>
      </w:pPr>
      <w:r w:rsidRPr="000245AD">
        <w:t>Use in renal impairment</w:t>
      </w:r>
    </w:p>
    <w:p w14:paraId="048976CC" w14:textId="213F0C19" w:rsidR="000245AD" w:rsidRDefault="00B97C23" w:rsidP="000245AD">
      <w:pPr>
        <w:pStyle w:val="BodyText"/>
        <w:rPr>
          <w:rFonts w:eastAsiaTheme="minorHAnsi"/>
          <w:lang w:val="en-AU"/>
        </w:rPr>
      </w:pPr>
      <w:r>
        <w:rPr>
          <w:rFonts w:eastAsiaTheme="minorHAnsi"/>
          <w:lang w:val="en-AU"/>
        </w:rPr>
        <w:t xml:space="preserve">See </w:t>
      </w:r>
      <w:bookmarkStart w:id="3" w:name="_Hlk518036860"/>
      <w:r w:rsidR="00544106">
        <w:rPr>
          <w:rFonts w:eastAsiaTheme="minorHAnsi"/>
          <w:b/>
          <w:lang w:val="en-AU"/>
        </w:rPr>
        <w:t>s</w:t>
      </w:r>
      <w:r w:rsidRPr="00792CAA">
        <w:rPr>
          <w:rFonts w:eastAsiaTheme="minorHAnsi"/>
          <w:b/>
          <w:lang w:val="en-AU"/>
        </w:rPr>
        <w:t xml:space="preserve">ection 4.2 </w:t>
      </w:r>
      <w:r w:rsidRPr="00916C13">
        <w:rPr>
          <w:rFonts w:eastAsiaTheme="minorHAnsi"/>
          <w:b/>
          <w:lang w:val="en-AU"/>
        </w:rPr>
        <w:t xml:space="preserve">Dose and </w:t>
      </w:r>
      <w:r>
        <w:rPr>
          <w:rFonts w:eastAsiaTheme="minorHAnsi"/>
          <w:b/>
          <w:lang w:val="en-AU"/>
        </w:rPr>
        <w:t>Method of A</w:t>
      </w:r>
      <w:r w:rsidRPr="00916C13">
        <w:rPr>
          <w:rFonts w:eastAsiaTheme="minorHAnsi"/>
          <w:b/>
          <w:lang w:val="en-AU"/>
        </w:rPr>
        <w:t>dministration</w:t>
      </w:r>
      <w:bookmarkEnd w:id="3"/>
      <w:r>
        <w:rPr>
          <w:rFonts w:eastAsiaTheme="minorHAnsi"/>
          <w:lang w:val="en-AU"/>
        </w:rPr>
        <w:t xml:space="preserve"> </w:t>
      </w:r>
      <w:r w:rsidR="00022314" w:rsidRPr="00022314">
        <w:rPr>
          <w:rFonts w:eastAsiaTheme="minorHAnsi"/>
          <w:b/>
          <w:i/>
          <w:lang w:val="en-AU"/>
        </w:rPr>
        <w:t>Dosage adjustment in</w:t>
      </w:r>
      <w:r w:rsidR="00022314">
        <w:rPr>
          <w:rFonts w:eastAsiaTheme="minorHAnsi"/>
          <w:b/>
          <w:i/>
          <w:lang w:val="en-AU"/>
        </w:rPr>
        <w:t xml:space="preserve"> </w:t>
      </w:r>
      <w:r w:rsidRPr="00B97C23">
        <w:rPr>
          <w:rFonts w:eastAsiaTheme="minorHAnsi"/>
          <w:b/>
          <w:i/>
          <w:lang w:val="en-AU"/>
        </w:rPr>
        <w:t>Renal insufficiency</w:t>
      </w:r>
    </w:p>
    <w:p w14:paraId="7E211A3F" w14:textId="5BA7DD68" w:rsidR="000245AD" w:rsidRPr="000245AD" w:rsidRDefault="000245AD" w:rsidP="000245AD">
      <w:pPr>
        <w:pStyle w:val="Heading3"/>
      </w:pPr>
      <w:r w:rsidRPr="000245AD">
        <w:lastRenderedPageBreak/>
        <w:t>Use in the elderly</w:t>
      </w:r>
    </w:p>
    <w:p w14:paraId="4CEC8F18" w14:textId="51685C2B" w:rsidR="00D12E14" w:rsidRDefault="0000629D" w:rsidP="0000629D">
      <w:pPr>
        <w:pStyle w:val="BodyText"/>
        <w:rPr>
          <w:rFonts w:eastAsiaTheme="minorHAnsi"/>
          <w:lang w:val="en-AU"/>
        </w:rPr>
      </w:pPr>
      <w:r>
        <w:rPr>
          <w:rFonts w:eastAsiaTheme="minorHAnsi"/>
          <w:lang w:val="en-AU"/>
        </w:rPr>
        <w:t>Of the 803 patients who received ERLYAND in the SPARTAN study, 87</w:t>
      </w:r>
      <w:r w:rsidR="006C08FB">
        <w:rPr>
          <w:rFonts w:eastAsiaTheme="minorHAnsi"/>
          <w:lang w:val="en-AU"/>
        </w:rPr>
        <w:t xml:space="preserve">% </w:t>
      </w:r>
      <w:r>
        <w:rPr>
          <w:rFonts w:eastAsiaTheme="minorHAnsi"/>
          <w:lang w:val="en-AU"/>
        </w:rPr>
        <w:t xml:space="preserve">were </w:t>
      </w:r>
      <w:r w:rsidR="006C08FB">
        <w:rPr>
          <w:rFonts w:eastAsiaTheme="minorHAnsi" w:cs="Arial"/>
          <w:lang w:val="en-AU"/>
        </w:rPr>
        <w:t>≥</w:t>
      </w:r>
      <w:r w:rsidR="006C08FB">
        <w:rPr>
          <w:rFonts w:eastAsiaTheme="minorHAnsi"/>
          <w:lang w:val="en-AU"/>
        </w:rPr>
        <w:t>65 years,</w:t>
      </w:r>
      <w:r>
        <w:rPr>
          <w:rFonts w:eastAsiaTheme="minorHAnsi"/>
          <w:lang w:val="en-AU"/>
        </w:rPr>
        <w:t xml:space="preserve"> 49% were </w:t>
      </w:r>
      <w:r w:rsidR="006C08FB">
        <w:rPr>
          <w:rFonts w:eastAsiaTheme="minorHAnsi" w:cs="Arial"/>
          <w:lang w:val="en-AU"/>
        </w:rPr>
        <w:t>≥</w:t>
      </w:r>
      <w:r>
        <w:rPr>
          <w:rFonts w:eastAsiaTheme="minorHAnsi"/>
          <w:lang w:val="en-AU"/>
        </w:rPr>
        <w:t xml:space="preserve">75 years and </w:t>
      </w:r>
      <w:r w:rsidR="006C08FB">
        <w:rPr>
          <w:rFonts w:eastAsiaTheme="minorHAnsi"/>
          <w:lang w:val="en-AU"/>
        </w:rPr>
        <w:t xml:space="preserve">26% were </w:t>
      </w:r>
      <w:r w:rsidR="006C08FB">
        <w:rPr>
          <w:rFonts w:eastAsiaTheme="minorHAnsi" w:cs="Arial"/>
          <w:lang w:val="en-AU"/>
        </w:rPr>
        <w:t>≥80 years of age</w:t>
      </w:r>
      <w:r w:rsidR="0018690A">
        <w:rPr>
          <w:rFonts w:eastAsiaTheme="minorHAnsi"/>
          <w:lang w:val="en-AU"/>
        </w:rPr>
        <w:t xml:space="preserve">. </w:t>
      </w:r>
      <w:r w:rsidR="007A2DAA">
        <w:rPr>
          <w:rFonts w:eastAsiaTheme="minorHAnsi"/>
          <w:lang w:val="en-AU"/>
        </w:rPr>
        <w:t xml:space="preserve"> </w:t>
      </w:r>
      <w:r w:rsidR="002376EE">
        <w:rPr>
          <w:rFonts w:eastAsiaTheme="minorHAnsi"/>
          <w:lang w:val="en-AU"/>
        </w:rPr>
        <w:t xml:space="preserve">In patients aged </w:t>
      </w:r>
      <w:r w:rsidR="002376EE">
        <w:rPr>
          <w:rFonts w:eastAsiaTheme="minorHAnsi" w:cs="Arial"/>
          <w:lang w:val="en-AU"/>
        </w:rPr>
        <w:t>≥</w:t>
      </w:r>
      <w:r w:rsidR="002376EE">
        <w:rPr>
          <w:rFonts w:eastAsiaTheme="minorHAnsi"/>
          <w:lang w:val="en-AU"/>
        </w:rPr>
        <w:t>75 years, the incidence of s</w:t>
      </w:r>
      <w:r w:rsidR="00857865">
        <w:rPr>
          <w:rFonts w:eastAsiaTheme="minorHAnsi"/>
          <w:lang w:val="en-AU"/>
        </w:rPr>
        <w:t xml:space="preserve">evere (grade 3 or higher) </w:t>
      </w:r>
      <w:r>
        <w:rPr>
          <w:rFonts w:eastAsiaTheme="minorHAnsi"/>
          <w:lang w:val="en-AU"/>
        </w:rPr>
        <w:t xml:space="preserve">adverse </w:t>
      </w:r>
      <w:r w:rsidR="0018690A">
        <w:rPr>
          <w:rFonts w:eastAsiaTheme="minorHAnsi"/>
          <w:lang w:val="en-AU"/>
        </w:rPr>
        <w:t>events</w:t>
      </w:r>
      <w:r>
        <w:rPr>
          <w:rFonts w:eastAsiaTheme="minorHAnsi"/>
          <w:lang w:val="en-AU"/>
        </w:rPr>
        <w:t xml:space="preserve"> </w:t>
      </w:r>
      <w:r w:rsidR="002376EE">
        <w:rPr>
          <w:rFonts w:eastAsiaTheme="minorHAnsi"/>
          <w:lang w:val="en-AU"/>
        </w:rPr>
        <w:t>was</w:t>
      </w:r>
      <w:r w:rsidR="0018690A">
        <w:rPr>
          <w:rFonts w:eastAsiaTheme="minorHAnsi"/>
          <w:lang w:val="en-AU"/>
        </w:rPr>
        <w:t xml:space="preserve"> </w:t>
      </w:r>
      <w:r w:rsidR="001C15C1">
        <w:rPr>
          <w:rFonts w:eastAsiaTheme="minorHAnsi"/>
          <w:lang w:val="en-AU"/>
        </w:rPr>
        <w:t>52</w:t>
      </w:r>
      <w:r w:rsidR="002376EE">
        <w:rPr>
          <w:rFonts w:eastAsiaTheme="minorHAnsi"/>
          <w:lang w:val="en-AU"/>
        </w:rPr>
        <w:t xml:space="preserve">% </w:t>
      </w:r>
      <w:r w:rsidR="001C15C1">
        <w:rPr>
          <w:rFonts w:eastAsiaTheme="minorHAnsi"/>
          <w:lang w:val="en-AU"/>
        </w:rPr>
        <w:t>in the ERLYAND arm and 38</w:t>
      </w:r>
      <w:r w:rsidR="0018690A">
        <w:rPr>
          <w:rFonts w:eastAsiaTheme="minorHAnsi"/>
          <w:lang w:val="en-AU"/>
        </w:rPr>
        <w:t>%</w:t>
      </w:r>
      <w:r w:rsidR="002376EE">
        <w:rPr>
          <w:rFonts w:eastAsiaTheme="minorHAnsi"/>
          <w:lang w:val="en-AU"/>
        </w:rPr>
        <w:t xml:space="preserve"> </w:t>
      </w:r>
      <w:r w:rsidR="001C15C1">
        <w:rPr>
          <w:rFonts w:eastAsiaTheme="minorHAnsi"/>
          <w:lang w:val="en-AU"/>
        </w:rPr>
        <w:t>in the placebo arm</w:t>
      </w:r>
      <w:r w:rsidR="0018690A">
        <w:rPr>
          <w:rFonts w:eastAsiaTheme="minorHAnsi"/>
          <w:lang w:val="en-AU"/>
        </w:rPr>
        <w:t>.</w:t>
      </w:r>
      <w:r>
        <w:rPr>
          <w:rFonts w:eastAsiaTheme="minorHAnsi"/>
          <w:lang w:val="en-AU"/>
        </w:rPr>
        <w:t xml:space="preserve"> </w:t>
      </w:r>
      <w:r w:rsidR="007A2DAA">
        <w:rPr>
          <w:rFonts w:eastAsiaTheme="minorHAnsi"/>
          <w:lang w:val="en-AU"/>
        </w:rPr>
        <w:t xml:space="preserve"> </w:t>
      </w:r>
      <w:r w:rsidR="001C15C1">
        <w:rPr>
          <w:rFonts w:eastAsiaTheme="minorHAnsi"/>
          <w:lang w:val="en-AU"/>
        </w:rPr>
        <w:t xml:space="preserve">Falls, fall-related injuries and hypothyroidism occurred more frequently </w:t>
      </w:r>
      <w:r w:rsidR="00030711">
        <w:rPr>
          <w:rFonts w:eastAsiaTheme="minorHAnsi"/>
          <w:lang w:val="en-AU"/>
        </w:rPr>
        <w:t>in patients older than 75 years, and a</w:t>
      </w:r>
      <w:r w:rsidR="00774C8F">
        <w:rPr>
          <w:rFonts w:eastAsiaTheme="minorHAnsi"/>
          <w:lang w:val="en-AU"/>
        </w:rPr>
        <w:t xml:space="preserve">ll </w:t>
      </w:r>
      <w:r w:rsidR="00FD2F6F">
        <w:rPr>
          <w:rFonts w:eastAsiaTheme="minorHAnsi"/>
          <w:lang w:val="en-AU"/>
        </w:rPr>
        <w:t xml:space="preserve">patients </w:t>
      </w:r>
      <w:r w:rsidR="00774C8F">
        <w:rPr>
          <w:rFonts w:eastAsiaTheme="minorHAnsi"/>
          <w:lang w:val="en-AU"/>
        </w:rPr>
        <w:t>who died from adverse reactions</w:t>
      </w:r>
      <w:r>
        <w:rPr>
          <w:rFonts w:eastAsiaTheme="minorHAnsi"/>
          <w:lang w:val="en-AU"/>
        </w:rPr>
        <w:t xml:space="preserve"> </w:t>
      </w:r>
      <w:r w:rsidR="00774C8F">
        <w:rPr>
          <w:rFonts w:eastAsiaTheme="minorHAnsi"/>
          <w:lang w:val="en-AU"/>
        </w:rPr>
        <w:t xml:space="preserve">were </w:t>
      </w:r>
      <w:r>
        <w:rPr>
          <w:rFonts w:eastAsiaTheme="minorHAnsi"/>
          <w:lang w:val="en-AU"/>
        </w:rPr>
        <w:t>over 75 years of age.</w:t>
      </w:r>
      <w:r w:rsidR="007A2DAA">
        <w:rPr>
          <w:rFonts w:eastAsiaTheme="minorHAnsi"/>
          <w:lang w:val="en-AU"/>
        </w:rPr>
        <w:t xml:space="preserve">  </w:t>
      </w:r>
    </w:p>
    <w:p w14:paraId="5987FC4D" w14:textId="63B5B0CE" w:rsidR="0000629D" w:rsidRDefault="0000629D" w:rsidP="0000629D">
      <w:pPr>
        <w:pStyle w:val="BodyText"/>
        <w:rPr>
          <w:rFonts w:eastAsiaTheme="minorHAnsi"/>
          <w:lang w:val="en-AU"/>
        </w:rPr>
      </w:pPr>
      <w:r>
        <w:rPr>
          <w:rFonts w:eastAsiaTheme="minorHAnsi"/>
          <w:lang w:val="en-AU"/>
        </w:rPr>
        <w:t xml:space="preserve">No overall differences in effectiveness </w:t>
      </w:r>
      <w:r w:rsidRPr="0000629D">
        <w:rPr>
          <w:rFonts w:eastAsiaTheme="minorHAnsi"/>
          <w:lang w:val="en-AU"/>
        </w:rPr>
        <w:t xml:space="preserve">between </w:t>
      </w:r>
      <w:r w:rsidR="00D13B67">
        <w:rPr>
          <w:rFonts w:eastAsiaTheme="minorHAnsi"/>
          <w:lang w:val="en-AU"/>
        </w:rPr>
        <w:t>older</w:t>
      </w:r>
      <w:r w:rsidRPr="0000629D">
        <w:rPr>
          <w:rFonts w:eastAsiaTheme="minorHAnsi"/>
          <w:lang w:val="en-AU"/>
        </w:rPr>
        <w:t xml:space="preserve"> patients and younger patients</w:t>
      </w:r>
      <w:r w:rsidR="006955B4" w:rsidRPr="006955B4">
        <w:rPr>
          <w:rFonts w:eastAsiaTheme="minorHAnsi"/>
          <w:lang w:val="en-AU"/>
        </w:rPr>
        <w:t xml:space="preserve"> </w:t>
      </w:r>
      <w:r w:rsidR="006955B4">
        <w:rPr>
          <w:rFonts w:eastAsiaTheme="minorHAnsi"/>
          <w:lang w:val="en-AU"/>
        </w:rPr>
        <w:t>were obse</w:t>
      </w:r>
      <w:r w:rsidR="006955B4" w:rsidRPr="0000629D">
        <w:rPr>
          <w:rFonts w:eastAsiaTheme="minorHAnsi"/>
          <w:lang w:val="en-AU"/>
        </w:rPr>
        <w:t>rved</w:t>
      </w:r>
      <w:r w:rsidRPr="0000629D">
        <w:rPr>
          <w:rFonts w:eastAsiaTheme="minorHAnsi"/>
          <w:lang w:val="en-AU"/>
        </w:rPr>
        <w:t>.</w:t>
      </w:r>
    </w:p>
    <w:p w14:paraId="2F9D1D6B" w14:textId="09612AFB" w:rsidR="000245AD" w:rsidRPr="000245AD" w:rsidRDefault="00792CAA" w:rsidP="0000629D">
      <w:pPr>
        <w:pStyle w:val="BodyText"/>
        <w:rPr>
          <w:rFonts w:eastAsiaTheme="minorHAnsi"/>
          <w:lang w:val="en-AU"/>
        </w:rPr>
      </w:pPr>
      <w:r>
        <w:rPr>
          <w:rFonts w:eastAsiaTheme="minorHAnsi"/>
          <w:lang w:val="en-AU"/>
        </w:rPr>
        <w:t xml:space="preserve">See </w:t>
      </w:r>
      <w:r w:rsidR="004B4956">
        <w:rPr>
          <w:rFonts w:eastAsiaTheme="minorHAnsi"/>
          <w:b/>
          <w:lang w:val="en-AU"/>
        </w:rPr>
        <w:t>s</w:t>
      </w:r>
      <w:r w:rsidRPr="00792CAA">
        <w:rPr>
          <w:rFonts w:eastAsiaTheme="minorHAnsi"/>
          <w:b/>
          <w:lang w:val="en-AU"/>
        </w:rPr>
        <w:t xml:space="preserve">ection 4.2 </w:t>
      </w:r>
      <w:r w:rsidRPr="00916C13">
        <w:rPr>
          <w:rFonts w:eastAsiaTheme="minorHAnsi"/>
          <w:b/>
          <w:lang w:val="en-AU"/>
        </w:rPr>
        <w:t xml:space="preserve">Dose and </w:t>
      </w:r>
      <w:r w:rsidR="00916C13">
        <w:rPr>
          <w:rFonts w:eastAsiaTheme="minorHAnsi"/>
          <w:b/>
          <w:lang w:val="en-AU"/>
        </w:rPr>
        <w:t>Method of A</w:t>
      </w:r>
      <w:r w:rsidRPr="00916C13">
        <w:rPr>
          <w:rFonts w:eastAsiaTheme="minorHAnsi"/>
          <w:b/>
          <w:lang w:val="en-AU"/>
        </w:rPr>
        <w:t>dministration</w:t>
      </w:r>
      <w:r>
        <w:rPr>
          <w:rFonts w:eastAsiaTheme="minorHAnsi"/>
          <w:lang w:val="en-AU"/>
        </w:rPr>
        <w:t xml:space="preserve"> </w:t>
      </w:r>
      <w:r w:rsidR="00022314">
        <w:rPr>
          <w:rFonts w:eastAsiaTheme="minorHAnsi"/>
          <w:b/>
          <w:i/>
          <w:lang w:val="en-AU"/>
        </w:rPr>
        <w:t>Dosage adjustment</w:t>
      </w:r>
      <w:r w:rsidRPr="00916C13">
        <w:rPr>
          <w:rFonts w:eastAsiaTheme="minorHAnsi"/>
          <w:b/>
          <w:i/>
          <w:lang w:val="en-AU"/>
        </w:rPr>
        <w:t xml:space="preserve"> </w:t>
      </w:r>
      <w:r w:rsidR="00595816">
        <w:rPr>
          <w:rFonts w:eastAsiaTheme="minorHAnsi"/>
          <w:b/>
          <w:i/>
          <w:lang w:val="en-AU"/>
        </w:rPr>
        <w:t xml:space="preserve">Use </w:t>
      </w:r>
      <w:r w:rsidRPr="00916C13">
        <w:rPr>
          <w:rFonts w:eastAsiaTheme="minorHAnsi"/>
          <w:b/>
          <w:i/>
          <w:lang w:val="en-AU"/>
        </w:rPr>
        <w:t xml:space="preserve">in </w:t>
      </w:r>
      <w:r w:rsidR="00857865">
        <w:rPr>
          <w:rFonts w:eastAsiaTheme="minorHAnsi"/>
          <w:b/>
          <w:i/>
          <w:lang w:val="en-AU"/>
        </w:rPr>
        <w:t xml:space="preserve">the </w:t>
      </w:r>
      <w:r w:rsidRPr="00916C13">
        <w:rPr>
          <w:rFonts w:eastAsiaTheme="minorHAnsi"/>
          <w:b/>
          <w:i/>
          <w:lang w:val="en-AU"/>
        </w:rPr>
        <w:t>elderly</w:t>
      </w:r>
      <w:r w:rsidR="004B4956">
        <w:rPr>
          <w:rFonts w:eastAsiaTheme="minorHAnsi"/>
          <w:b/>
          <w:i/>
          <w:lang w:val="en-AU"/>
        </w:rPr>
        <w:t>.</w:t>
      </w:r>
      <w:r>
        <w:rPr>
          <w:rFonts w:eastAsiaTheme="minorHAnsi"/>
          <w:lang w:val="en-AU"/>
        </w:rPr>
        <w:t xml:space="preserve"> </w:t>
      </w:r>
    </w:p>
    <w:p w14:paraId="011BF3F8" w14:textId="4932FE7B" w:rsidR="00AB7CFE" w:rsidRDefault="00AB7CFE" w:rsidP="00AB7CFE">
      <w:pPr>
        <w:pStyle w:val="Heading3"/>
      </w:pPr>
      <w:r w:rsidRPr="000736C8">
        <w:t>Paediatric use</w:t>
      </w:r>
    </w:p>
    <w:p w14:paraId="1DEE14D0" w14:textId="458CE743" w:rsidR="008A128E" w:rsidRPr="008A128E" w:rsidRDefault="00FD2F6F" w:rsidP="008A128E">
      <w:pPr>
        <w:pStyle w:val="BodyText"/>
        <w:rPr>
          <w:rFonts w:eastAsiaTheme="minorHAnsi"/>
          <w:lang w:val="en-AU"/>
        </w:rPr>
      </w:pPr>
      <w:r w:rsidRPr="00FD2F6F">
        <w:rPr>
          <w:rFonts w:eastAsiaTheme="minorHAnsi"/>
          <w:lang w:val="en-AU"/>
        </w:rPr>
        <w:t xml:space="preserve">The safety and efficacy of </w:t>
      </w:r>
      <w:r>
        <w:rPr>
          <w:rFonts w:eastAsiaTheme="minorHAnsi"/>
          <w:lang w:val="en-AU"/>
        </w:rPr>
        <w:t>E</w:t>
      </w:r>
      <w:r w:rsidR="004F6B9D">
        <w:rPr>
          <w:rFonts w:eastAsiaTheme="minorHAnsi"/>
          <w:lang w:val="en-AU"/>
        </w:rPr>
        <w:t>R</w:t>
      </w:r>
      <w:r>
        <w:rPr>
          <w:rFonts w:eastAsiaTheme="minorHAnsi"/>
          <w:lang w:val="en-AU"/>
        </w:rPr>
        <w:t>LYAND</w:t>
      </w:r>
      <w:r w:rsidRPr="00FD2F6F">
        <w:rPr>
          <w:rFonts w:eastAsiaTheme="minorHAnsi"/>
          <w:lang w:val="en-AU"/>
        </w:rPr>
        <w:t xml:space="preserve"> in </w:t>
      </w:r>
      <w:r>
        <w:rPr>
          <w:rFonts w:eastAsiaTheme="minorHAnsi"/>
          <w:lang w:val="en-AU"/>
        </w:rPr>
        <w:t>patients</w:t>
      </w:r>
      <w:r w:rsidRPr="00FD2F6F">
        <w:rPr>
          <w:rFonts w:eastAsiaTheme="minorHAnsi"/>
          <w:lang w:val="en-AU"/>
        </w:rPr>
        <w:t xml:space="preserve"> aged less than 18 years have not been establish</w:t>
      </w:r>
      <w:r w:rsidR="00544106">
        <w:rPr>
          <w:rFonts w:eastAsiaTheme="minorHAnsi"/>
          <w:lang w:val="en-AU"/>
        </w:rPr>
        <w:t xml:space="preserve">ed. </w:t>
      </w:r>
      <w:r w:rsidR="007A2DAA">
        <w:rPr>
          <w:rFonts w:eastAsiaTheme="minorHAnsi"/>
          <w:lang w:val="en-AU"/>
        </w:rPr>
        <w:t xml:space="preserve"> </w:t>
      </w:r>
      <w:r w:rsidR="00544106">
        <w:rPr>
          <w:rFonts w:eastAsiaTheme="minorHAnsi"/>
          <w:lang w:val="en-AU"/>
        </w:rPr>
        <w:t xml:space="preserve">No data are available (see </w:t>
      </w:r>
      <w:r w:rsidR="007A2DAA">
        <w:rPr>
          <w:rFonts w:eastAsiaTheme="minorHAnsi"/>
          <w:b/>
          <w:lang w:val="en-AU"/>
        </w:rPr>
        <w:t>s</w:t>
      </w:r>
      <w:r w:rsidR="007A2DAA" w:rsidRPr="00792CAA">
        <w:rPr>
          <w:rFonts w:eastAsiaTheme="minorHAnsi"/>
          <w:b/>
          <w:lang w:val="en-AU"/>
        </w:rPr>
        <w:t xml:space="preserve">ection 4.2 </w:t>
      </w:r>
      <w:r w:rsidR="007A2DAA" w:rsidRPr="00916C13">
        <w:rPr>
          <w:rFonts w:eastAsiaTheme="minorHAnsi"/>
          <w:b/>
          <w:lang w:val="en-AU"/>
        </w:rPr>
        <w:t xml:space="preserve">Dose and </w:t>
      </w:r>
      <w:r w:rsidR="007A2DAA">
        <w:rPr>
          <w:rFonts w:eastAsiaTheme="minorHAnsi"/>
          <w:b/>
          <w:lang w:val="en-AU"/>
        </w:rPr>
        <w:t>Method of A</w:t>
      </w:r>
      <w:r w:rsidR="007A2DAA" w:rsidRPr="00916C13">
        <w:rPr>
          <w:rFonts w:eastAsiaTheme="minorHAnsi"/>
          <w:b/>
          <w:lang w:val="en-AU"/>
        </w:rPr>
        <w:t>dministration</w:t>
      </w:r>
      <w:r w:rsidRPr="00FD2F6F">
        <w:rPr>
          <w:rFonts w:eastAsiaTheme="minorHAnsi"/>
          <w:lang w:val="en-AU"/>
        </w:rPr>
        <w:t>)</w:t>
      </w:r>
      <w:r>
        <w:rPr>
          <w:rFonts w:eastAsiaTheme="minorHAnsi"/>
          <w:lang w:val="en-AU"/>
        </w:rPr>
        <w:t>.</w:t>
      </w:r>
    </w:p>
    <w:p w14:paraId="1DC3F95A" w14:textId="77777777" w:rsidR="008A128E" w:rsidRDefault="008A128E" w:rsidP="008A128E">
      <w:pPr>
        <w:pStyle w:val="Heading3"/>
      </w:pPr>
      <w:r w:rsidRPr="00990CF9">
        <w:t>Effects on laboratory tests</w:t>
      </w:r>
    </w:p>
    <w:p w14:paraId="758F01B5" w14:textId="1476B0A5" w:rsidR="00AB7CFE" w:rsidRPr="008A128E" w:rsidRDefault="003B6D97" w:rsidP="008A128E">
      <w:pPr>
        <w:pStyle w:val="BodyText"/>
        <w:rPr>
          <w:rFonts w:eastAsiaTheme="minorHAnsi"/>
          <w:lang w:val="en-AU"/>
        </w:rPr>
      </w:pPr>
      <w:r>
        <w:rPr>
          <w:rFonts w:eastAsiaTheme="minorHAnsi"/>
          <w:lang w:val="en-AU"/>
        </w:rPr>
        <w:t xml:space="preserve">See </w:t>
      </w:r>
      <w:r w:rsidRPr="003B6D97">
        <w:rPr>
          <w:rFonts w:eastAsiaTheme="minorHAnsi"/>
          <w:b/>
          <w:lang w:val="en-AU"/>
        </w:rPr>
        <w:t>section 4.8 Adverse effects</w:t>
      </w:r>
      <w:r w:rsidR="008A128E">
        <w:rPr>
          <w:rFonts w:eastAsiaTheme="minorHAnsi"/>
          <w:lang w:val="en-AU"/>
        </w:rPr>
        <w:t>.</w:t>
      </w:r>
    </w:p>
    <w:p w14:paraId="31DE62E8" w14:textId="5ACF88B9" w:rsidR="008E17DD" w:rsidRDefault="008450DE" w:rsidP="00F95E9C">
      <w:pPr>
        <w:pStyle w:val="Heading2"/>
      </w:pPr>
      <w:r>
        <w:t xml:space="preserve">4.5 </w:t>
      </w:r>
      <w:r w:rsidR="00746D0B">
        <w:t>Interactions with other medicines and other forms of interaction</w:t>
      </w:r>
      <w:r w:rsidR="00DF3D6B">
        <w:t>s</w:t>
      </w:r>
    </w:p>
    <w:p w14:paraId="4B339212" w14:textId="6D7A68EE" w:rsidR="00EF0E39" w:rsidRDefault="00EF0E39" w:rsidP="00EF0E39">
      <w:pPr>
        <w:pStyle w:val="Heading3"/>
      </w:pPr>
      <w:r w:rsidRPr="00344B0C">
        <w:t xml:space="preserve">Effects of other medicines on </w:t>
      </w:r>
      <w:r>
        <w:t>ERLYAND</w:t>
      </w:r>
    </w:p>
    <w:p w14:paraId="65C279D7" w14:textId="311AE9DB" w:rsidR="00D05054" w:rsidRPr="00EB220B" w:rsidRDefault="00D05054" w:rsidP="00BE686D">
      <w:pPr>
        <w:pStyle w:val="Heading4"/>
        <w:rPr>
          <w:rFonts w:eastAsia="Calibri"/>
        </w:rPr>
      </w:pPr>
      <w:r w:rsidRPr="00EB220B">
        <w:rPr>
          <w:rFonts w:eastAsia="Calibri"/>
        </w:rPr>
        <w:t>CYP2C8</w:t>
      </w:r>
      <w:r w:rsidR="008F2B9D">
        <w:rPr>
          <w:rFonts w:eastAsia="Calibri"/>
        </w:rPr>
        <w:t xml:space="preserve"> inhibitors</w:t>
      </w:r>
    </w:p>
    <w:p w14:paraId="100DDF14" w14:textId="6B7A2CBE" w:rsidR="00CE1A09" w:rsidRDefault="0050768C" w:rsidP="0050768C">
      <w:pPr>
        <w:pStyle w:val="BodyText"/>
        <w:rPr>
          <w:rFonts w:eastAsiaTheme="minorHAnsi"/>
          <w:lang w:val="en-AU"/>
        </w:rPr>
      </w:pPr>
      <w:r>
        <w:rPr>
          <w:rFonts w:eastAsiaTheme="minorHAnsi"/>
          <w:lang w:val="en-AU"/>
        </w:rPr>
        <w:t>A</w:t>
      </w:r>
      <w:r w:rsidR="00D05054" w:rsidRPr="00D05054">
        <w:rPr>
          <w:rFonts w:eastAsiaTheme="minorHAnsi"/>
          <w:lang w:val="en-AU"/>
        </w:rPr>
        <w:t xml:space="preserve">palutamide </w:t>
      </w:r>
      <w:r>
        <w:rPr>
          <w:rFonts w:eastAsiaTheme="minorHAnsi"/>
          <w:lang w:val="en-AU"/>
        </w:rPr>
        <w:t>C</w:t>
      </w:r>
      <w:r w:rsidRPr="003818D9">
        <w:rPr>
          <w:rFonts w:eastAsiaTheme="minorHAnsi"/>
          <w:vertAlign w:val="subscript"/>
          <w:lang w:val="en-AU"/>
        </w:rPr>
        <w:t>max</w:t>
      </w:r>
      <w:r>
        <w:rPr>
          <w:rFonts w:eastAsiaTheme="minorHAnsi"/>
          <w:lang w:val="en-AU"/>
        </w:rPr>
        <w:t xml:space="preserve"> </w:t>
      </w:r>
      <w:r w:rsidR="00D05054" w:rsidRPr="00D05054">
        <w:rPr>
          <w:rFonts w:eastAsiaTheme="minorHAnsi"/>
          <w:lang w:val="en-AU"/>
        </w:rPr>
        <w:t xml:space="preserve">decreased by 21% while AUC increased by 68% following co-administration of </w:t>
      </w:r>
      <w:r w:rsidR="0038517B">
        <w:rPr>
          <w:rFonts w:eastAsiaTheme="minorHAnsi"/>
          <w:lang w:val="en-AU"/>
        </w:rPr>
        <w:t>ERLYAND</w:t>
      </w:r>
      <w:r w:rsidR="00D05054">
        <w:rPr>
          <w:rFonts w:eastAsiaTheme="minorHAnsi"/>
          <w:lang w:val="en-AU"/>
        </w:rPr>
        <w:t xml:space="preserve"> as a 240</w:t>
      </w:r>
      <w:r w:rsidR="00C32EA0">
        <w:rPr>
          <w:rFonts w:eastAsiaTheme="minorHAnsi"/>
          <w:lang w:val="en-AU"/>
        </w:rPr>
        <w:t> </w:t>
      </w:r>
      <w:r w:rsidR="00D05054" w:rsidRPr="00D05054">
        <w:rPr>
          <w:rFonts w:eastAsiaTheme="minorHAnsi"/>
          <w:lang w:val="en-AU"/>
        </w:rPr>
        <w:t>mg single dose with gemfibrozil (</w:t>
      </w:r>
      <w:r w:rsidR="001027A1">
        <w:rPr>
          <w:rFonts w:eastAsiaTheme="minorHAnsi"/>
          <w:lang w:val="en-AU"/>
        </w:rPr>
        <w:t xml:space="preserve">a </w:t>
      </w:r>
      <w:r w:rsidR="00D05054" w:rsidRPr="00D05054">
        <w:rPr>
          <w:rFonts w:eastAsiaTheme="minorHAnsi"/>
          <w:lang w:val="en-AU"/>
        </w:rPr>
        <w:t xml:space="preserve">strong CYP2C8 inhibitor). </w:t>
      </w:r>
      <w:r w:rsidR="00E12D07">
        <w:rPr>
          <w:rFonts w:eastAsiaTheme="minorHAnsi"/>
          <w:lang w:val="en-AU"/>
        </w:rPr>
        <w:t xml:space="preserve"> </w:t>
      </w:r>
      <w:r>
        <w:rPr>
          <w:rFonts w:eastAsiaTheme="minorHAnsi"/>
          <w:lang w:val="en-AU"/>
        </w:rPr>
        <w:t>G</w:t>
      </w:r>
      <w:r w:rsidR="00D05054" w:rsidRPr="00D05054">
        <w:rPr>
          <w:rFonts w:eastAsiaTheme="minorHAnsi"/>
          <w:lang w:val="en-AU"/>
        </w:rPr>
        <w:t xml:space="preserve">emfibrozil </w:t>
      </w:r>
      <w:r>
        <w:rPr>
          <w:rFonts w:eastAsiaTheme="minorHAnsi"/>
          <w:lang w:val="en-AU"/>
        </w:rPr>
        <w:t>is predicted to</w:t>
      </w:r>
      <w:r w:rsidRPr="00D05054">
        <w:rPr>
          <w:rFonts w:eastAsiaTheme="minorHAnsi"/>
          <w:lang w:val="en-AU"/>
        </w:rPr>
        <w:t xml:space="preserve"> </w:t>
      </w:r>
      <w:r w:rsidR="00D05054" w:rsidRPr="00D05054">
        <w:rPr>
          <w:rFonts w:eastAsiaTheme="minorHAnsi"/>
          <w:lang w:val="en-AU"/>
        </w:rPr>
        <w:t>increase the steady-state</w:t>
      </w:r>
      <w:r>
        <w:rPr>
          <w:rFonts w:eastAsiaTheme="minorHAnsi"/>
          <w:lang w:val="en-AU"/>
        </w:rPr>
        <w:t xml:space="preserve"> apalutamide</w:t>
      </w:r>
      <w:r w:rsidR="00D05054" w:rsidRPr="00D05054">
        <w:rPr>
          <w:rFonts w:eastAsiaTheme="minorHAnsi"/>
          <w:lang w:val="en-AU"/>
        </w:rPr>
        <w:t xml:space="preserve"> C</w:t>
      </w:r>
      <w:r w:rsidR="00D05054" w:rsidRPr="00D05054">
        <w:rPr>
          <w:rFonts w:eastAsiaTheme="minorHAnsi"/>
          <w:vertAlign w:val="subscript"/>
          <w:lang w:val="en-AU"/>
        </w:rPr>
        <w:t>max</w:t>
      </w:r>
      <w:r w:rsidR="00D05054" w:rsidRPr="00D05054">
        <w:rPr>
          <w:rFonts w:eastAsiaTheme="minorHAnsi"/>
          <w:lang w:val="en-AU"/>
        </w:rPr>
        <w:t xml:space="preserve"> by 32% and </w:t>
      </w:r>
      <w:r>
        <w:rPr>
          <w:rFonts w:eastAsiaTheme="minorHAnsi"/>
          <w:lang w:val="en-AU"/>
        </w:rPr>
        <w:t xml:space="preserve">AUC by </w:t>
      </w:r>
      <w:r w:rsidR="00D05054" w:rsidRPr="00D05054">
        <w:rPr>
          <w:rFonts w:eastAsiaTheme="minorHAnsi"/>
          <w:lang w:val="en-AU"/>
        </w:rPr>
        <w:t xml:space="preserve">44%. </w:t>
      </w:r>
      <w:r w:rsidR="00E12D07">
        <w:rPr>
          <w:rFonts w:eastAsiaTheme="minorHAnsi"/>
          <w:lang w:val="en-AU"/>
        </w:rPr>
        <w:t xml:space="preserve"> </w:t>
      </w:r>
      <w:r w:rsidR="00D05054" w:rsidRPr="00D05054">
        <w:rPr>
          <w:rFonts w:eastAsiaTheme="minorHAnsi"/>
          <w:lang w:val="en-AU"/>
        </w:rPr>
        <w:t xml:space="preserve">For the active moieties (sum of unbound apalutamide plus the potency-adjusted unbound </w:t>
      </w:r>
      <w:r>
        <w:rPr>
          <w:rFonts w:eastAsiaTheme="minorHAnsi"/>
          <w:lang w:val="en-AU"/>
        </w:rPr>
        <w:t xml:space="preserve">N-desmethyl </w:t>
      </w:r>
      <w:r w:rsidRPr="0050768C">
        <w:rPr>
          <w:rFonts w:eastAsiaTheme="minorHAnsi"/>
          <w:lang w:val="en-AU"/>
        </w:rPr>
        <w:t>apalutamide</w:t>
      </w:r>
      <w:r w:rsidR="00D05054" w:rsidRPr="00D05054">
        <w:rPr>
          <w:rFonts w:eastAsiaTheme="minorHAnsi"/>
          <w:lang w:val="en-AU"/>
        </w:rPr>
        <w:t xml:space="preserve">), the </w:t>
      </w:r>
      <w:r>
        <w:rPr>
          <w:rFonts w:eastAsiaTheme="minorHAnsi"/>
          <w:lang w:val="en-AU"/>
        </w:rPr>
        <w:t xml:space="preserve">predicted </w:t>
      </w:r>
      <w:r w:rsidR="00D05054" w:rsidRPr="00D05054">
        <w:rPr>
          <w:rFonts w:eastAsiaTheme="minorHAnsi"/>
          <w:lang w:val="en-AU"/>
        </w:rPr>
        <w:t>steady-state C</w:t>
      </w:r>
      <w:r w:rsidR="00D05054" w:rsidRPr="009769EB">
        <w:rPr>
          <w:rFonts w:eastAsiaTheme="minorHAnsi"/>
          <w:vertAlign w:val="subscript"/>
          <w:lang w:val="en-AU"/>
        </w:rPr>
        <w:t>max</w:t>
      </w:r>
      <w:r w:rsidR="00D05054" w:rsidRPr="00D05054">
        <w:rPr>
          <w:rFonts w:eastAsiaTheme="minorHAnsi"/>
          <w:lang w:val="en-AU"/>
        </w:rPr>
        <w:t xml:space="preserve"> increase</w:t>
      </w:r>
      <w:r>
        <w:rPr>
          <w:rFonts w:eastAsiaTheme="minorHAnsi"/>
          <w:lang w:val="en-AU"/>
        </w:rPr>
        <w:t>d</w:t>
      </w:r>
      <w:r w:rsidR="00D05054" w:rsidRPr="00D05054">
        <w:rPr>
          <w:rFonts w:eastAsiaTheme="minorHAnsi"/>
          <w:lang w:val="en-AU"/>
        </w:rPr>
        <w:t xml:space="preserve"> by 19% and </w:t>
      </w:r>
      <w:r>
        <w:rPr>
          <w:rFonts w:eastAsiaTheme="minorHAnsi"/>
          <w:lang w:val="en-AU"/>
        </w:rPr>
        <w:t xml:space="preserve">AUC by </w:t>
      </w:r>
      <w:r w:rsidR="00D05054" w:rsidRPr="00D05054">
        <w:rPr>
          <w:rFonts w:eastAsiaTheme="minorHAnsi"/>
          <w:lang w:val="en-AU"/>
        </w:rPr>
        <w:t>23%</w:t>
      </w:r>
      <w:r w:rsidR="00E12D07">
        <w:rPr>
          <w:rFonts w:eastAsiaTheme="minorHAnsi"/>
          <w:lang w:val="en-AU"/>
        </w:rPr>
        <w:t xml:space="preserve">.  </w:t>
      </w:r>
    </w:p>
    <w:p w14:paraId="70C9285C" w14:textId="108DBA51" w:rsidR="00D05054" w:rsidRPr="00D05054" w:rsidRDefault="00D05054" w:rsidP="0050768C">
      <w:pPr>
        <w:pStyle w:val="BodyText"/>
        <w:rPr>
          <w:rFonts w:eastAsiaTheme="minorHAnsi"/>
          <w:lang w:val="en-AU"/>
        </w:rPr>
      </w:pPr>
      <w:r w:rsidRPr="00D05054">
        <w:rPr>
          <w:rFonts w:eastAsiaTheme="minorHAnsi"/>
          <w:lang w:val="en-AU"/>
        </w:rPr>
        <w:t>No initial dose adjustment is necessary however, reduc</w:t>
      </w:r>
      <w:r w:rsidR="00BD3A57">
        <w:rPr>
          <w:rFonts w:eastAsiaTheme="minorHAnsi"/>
          <w:lang w:val="en-AU"/>
        </w:rPr>
        <w:t>e</w:t>
      </w:r>
      <w:r w:rsidRPr="00D05054">
        <w:rPr>
          <w:rFonts w:eastAsiaTheme="minorHAnsi"/>
          <w:lang w:val="en-AU"/>
        </w:rPr>
        <w:t xml:space="preserve"> the </w:t>
      </w:r>
      <w:r w:rsidR="0038517B">
        <w:rPr>
          <w:rFonts w:eastAsiaTheme="minorHAnsi"/>
          <w:lang w:val="en-AU"/>
        </w:rPr>
        <w:t>ERLYAND</w:t>
      </w:r>
      <w:r w:rsidRPr="00D05054">
        <w:rPr>
          <w:rFonts w:eastAsiaTheme="minorHAnsi"/>
          <w:lang w:val="en-AU"/>
        </w:rPr>
        <w:t xml:space="preserve"> dose based on tolerability</w:t>
      </w:r>
      <w:r w:rsidRPr="00637B14">
        <w:rPr>
          <w:rFonts w:eastAsia="Calibri"/>
          <w:lang w:val="en-GB" w:eastAsia="en-GB"/>
        </w:rPr>
        <w:t xml:space="preserve"> </w:t>
      </w:r>
      <w:r w:rsidRPr="00D05054">
        <w:rPr>
          <w:rFonts w:eastAsiaTheme="minorHAnsi"/>
          <w:lang w:val="en-AU"/>
        </w:rPr>
        <w:t xml:space="preserve">[see </w:t>
      </w:r>
      <w:r w:rsidRPr="00D05054">
        <w:rPr>
          <w:rFonts w:eastAsiaTheme="minorHAnsi"/>
          <w:b/>
          <w:lang w:val="en-AU"/>
        </w:rPr>
        <w:t>section 4.2</w:t>
      </w:r>
      <w:r w:rsidRPr="00D05054">
        <w:rPr>
          <w:rFonts w:eastAsiaTheme="minorHAnsi"/>
          <w:lang w:val="en-AU"/>
        </w:rPr>
        <w:t xml:space="preserve"> </w:t>
      </w:r>
      <w:r w:rsidRPr="00D05054">
        <w:rPr>
          <w:rFonts w:eastAsiaTheme="minorHAnsi"/>
          <w:b/>
          <w:lang w:val="en-AU"/>
        </w:rPr>
        <w:t>Adverse effects</w:t>
      </w:r>
      <w:r w:rsidRPr="00D05054">
        <w:rPr>
          <w:rFonts w:eastAsiaTheme="minorHAnsi"/>
          <w:lang w:val="en-AU"/>
        </w:rPr>
        <w:t xml:space="preserve">]. </w:t>
      </w:r>
      <w:r w:rsidR="00E12D07">
        <w:rPr>
          <w:rFonts w:eastAsiaTheme="minorHAnsi"/>
          <w:lang w:val="en-AU"/>
        </w:rPr>
        <w:t xml:space="preserve"> </w:t>
      </w:r>
      <w:r w:rsidRPr="00D05054">
        <w:rPr>
          <w:rFonts w:eastAsiaTheme="minorHAnsi"/>
          <w:lang w:val="en-AU"/>
        </w:rPr>
        <w:t>Mild or moderate inhibitors of CYP2C8 are not expected to affect the exposure of apalutamide.</w:t>
      </w:r>
      <w:r w:rsidR="00E12D07">
        <w:rPr>
          <w:rFonts w:eastAsiaTheme="minorHAnsi"/>
          <w:lang w:val="en-AU"/>
        </w:rPr>
        <w:t xml:space="preserve">  </w:t>
      </w:r>
    </w:p>
    <w:p w14:paraId="701E49E7" w14:textId="65A958C2" w:rsidR="00D05054" w:rsidRPr="00EB220B" w:rsidRDefault="00D05054" w:rsidP="00E12D07">
      <w:pPr>
        <w:pStyle w:val="Heading4"/>
        <w:rPr>
          <w:rFonts w:eastAsia="Calibri"/>
        </w:rPr>
      </w:pPr>
      <w:r w:rsidRPr="00EB220B">
        <w:rPr>
          <w:rFonts w:eastAsia="Calibri"/>
        </w:rPr>
        <w:t>CYP3A4</w:t>
      </w:r>
      <w:r w:rsidR="008F2B9D">
        <w:rPr>
          <w:rFonts w:eastAsia="Calibri"/>
        </w:rPr>
        <w:t xml:space="preserve"> inhibitors</w:t>
      </w:r>
    </w:p>
    <w:p w14:paraId="7F6C2E30" w14:textId="5AFD66D1" w:rsidR="0008475A" w:rsidRDefault="008F2B9D" w:rsidP="00D05054">
      <w:pPr>
        <w:pStyle w:val="BodyText"/>
        <w:rPr>
          <w:rFonts w:eastAsiaTheme="minorHAnsi"/>
          <w:lang w:val="en-AU"/>
        </w:rPr>
      </w:pPr>
      <w:r>
        <w:rPr>
          <w:rFonts w:eastAsiaTheme="minorHAnsi"/>
          <w:lang w:val="en-AU"/>
        </w:rPr>
        <w:t>Apalutamide</w:t>
      </w:r>
      <w:r w:rsidR="00D05054" w:rsidRPr="00D05054">
        <w:rPr>
          <w:rFonts w:eastAsiaTheme="minorHAnsi"/>
          <w:lang w:val="en-AU"/>
        </w:rPr>
        <w:t xml:space="preserve"> C</w:t>
      </w:r>
      <w:r w:rsidR="00D05054" w:rsidRPr="00D05054">
        <w:rPr>
          <w:rFonts w:eastAsiaTheme="minorHAnsi"/>
          <w:vertAlign w:val="subscript"/>
          <w:lang w:val="en-AU"/>
        </w:rPr>
        <w:t>max</w:t>
      </w:r>
      <w:r w:rsidR="00D05054" w:rsidRPr="00D05054">
        <w:rPr>
          <w:rFonts w:eastAsiaTheme="minorHAnsi"/>
          <w:lang w:val="en-AU"/>
        </w:rPr>
        <w:t xml:space="preserve"> decreased by 22% while AUC was similar following co-admin</w:t>
      </w:r>
      <w:r w:rsidR="00D05054">
        <w:rPr>
          <w:rFonts w:eastAsiaTheme="minorHAnsi"/>
          <w:lang w:val="en-AU"/>
        </w:rPr>
        <w:t xml:space="preserve">istration of </w:t>
      </w:r>
      <w:r w:rsidR="0038517B">
        <w:rPr>
          <w:rFonts w:eastAsiaTheme="minorHAnsi"/>
          <w:lang w:val="en-AU"/>
        </w:rPr>
        <w:t>ERLYAND</w:t>
      </w:r>
      <w:r w:rsidR="00D05054">
        <w:rPr>
          <w:rFonts w:eastAsiaTheme="minorHAnsi"/>
          <w:lang w:val="en-AU"/>
        </w:rPr>
        <w:t xml:space="preserve"> as a 240</w:t>
      </w:r>
      <w:r w:rsidR="00E12D07">
        <w:rPr>
          <w:rFonts w:eastAsiaTheme="minorHAnsi"/>
          <w:lang w:val="en-AU"/>
        </w:rPr>
        <w:t> </w:t>
      </w:r>
      <w:r w:rsidR="00D05054" w:rsidRPr="00D05054">
        <w:rPr>
          <w:rFonts w:eastAsiaTheme="minorHAnsi"/>
          <w:lang w:val="en-AU"/>
        </w:rPr>
        <w:t>mg single dose with itraconazole (</w:t>
      </w:r>
      <w:r>
        <w:rPr>
          <w:rFonts w:eastAsiaTheme="minorHAnsi"/>
          <w:lang w:val="en-AU"/>
        </w:rPr>
        <w:t xml:space="preserve">a </w:t>
      </w:r>
      <w:r w:rsidR="00D05054" w:rsidRPr="00D05054">
        <w:rPr>
          <w:rFonts w:eastAsiaTheme="minorHAnsi"/>
          <w:lang w:val="en-AU"/>
        </w:rPr>
        <w:t>strong CYP3A4 inhibitor).</w:t>
      </w:r>
      <w:r w:rsidR="00E12D07">
        <w:rPr>
          <w:rFonts w:eastAsiaTheme="minorHAnsi"/>
          <w:lang w:val="en-AU"/>
        </w:rPr>
        <w:t xml:space="preserve"> </w:t>
      </w:r>
      <w:r w:rsidR="00D05054" w:rsidRPr="00D05054">
        <w:rPr>
          <w:rFonts w:eastAsiaTheme="minorHAnsi"/>
          <w:lang w:val="en-AU"/>
        </w:rPr>
        <w:t xml:space="preserve"> </w:t>
      </w:r>
      <w:r>
        <w:rPr>
          <w:rFonts w:eastAsiaTheme="minorHAnsi"/>
          <w:lang w:val="en-AU"/>
        </w:rPr>
        <w:t>K</w:t>
      </w:r>
      <w:r w:rsidR="00D05054" w:rsidRPr="00D05054">
        <w:rPr>
          <w:rFonts w:eastAsiaTheme="minorHAnsi"/>
          <w:lang w:val="en-AU"/>
        </w:rPr>
        <w:t>etoconazole (</w:t>
      </w:r>
      <w:r>
        <w:rPr>
          <w:rFonts w:eastAsiaTheme="minorHAnsi"/>
          <w:lang w:val="en-AU"/>
        </w:rPr>
        <w:t xml:space="preserve">a </w:t>
      </w:r>
      <w:r w:rsidR="00D05054" w:rsidRPr="00D05054">
        <w:rPr>
          <w:rFonts w:eastAsiaTheme="minorHAnsi"/>
          <w:lang w:val="en-AU"/>
        </w:rPr>
        <w:t xml:space="preserve">strong CYP3A4 inhibitor) </w:t>
      </w:r>
      <w:r>
        <w:rPr>
          <w:rFonts w:eastAsiaTheme="minorHAnsi"/>
          <w:lang w:val="en-AU"/>
        </w:rPr>
        <w:t>is predicted to</w:t>
      </w:r>
      <w:r w:rsidRPr="00D05054">
        <w:rPr>
          <w:rFonts w:eastAsiaTheme="minorHAnsi"/>
          <w:lang w:val="en-AU"/>
        </w:rPr>
        <w:t xml:space="preserve"> </w:t>
      </w:r>
      <w:r w:rsidR="00D05054" w:rsidRPr="00D05054">
        <w:rPr>
          <w:rFonts w:eastAsiaTheme="minorHAnsi"/>
          <w:lang w:val="en-AU"/>
        </w:rPr>
        <w:t xml:space="preserve">increase </w:t>
      </w:r>
      <w:r>
        <w:rPr>
          <w:rFonts w:eastAsiaTheme="minorHAnsi"/>
          <w:lang w:val="en-AU"/>
        </w:rPr>
        <w:t>the steady-state apalutamide C</w:t>
      </w:r>
      <w:r w:rsidRPr="003818D9">
        <w:rPr>
          <w:rFonts w:eastAsiaTheme="minorHAnsi"/>
          <w:vertAlign w:val="subscript"/>
          <w:lang w:val="en-AU"/>
        </w:rPr>
        <w:t>max</w:t>
      </w:r>
      <w:r>
        <w:rPr>
          <w:rFonts w:eastAsiaTheme="minorHAnsi"/>
          <w:lang w:val="en-AU"/>
        </w:rPr>
        <w:t xml:space="preserve"> by </w:t>
      </w:r>
      <w:r w:rsidR="00D05054" w:rsidRPr="00D05054">
        <w:rPr>
          <w:rFonts w:eastAsiaTheme="minorHAnsi"/>
          <w:lang w:val="en-AU"/>
        </w:rPr>
        <w:t xml:space="preserve">38% and </w:t>
      </w:r>
      <w:r>
        <w:rPr>
          <w:rFonts w:eastAsiaTheme="minorHAnsi"/>
          <w:lang w:val="en-AU"/>
        </w:rPr>
        <w:t xml:space="preserve">AUC by </w:t>
      </w:r>
      <w:r w:rsidR="00D05054" w:rsidRPr="00D05054">
        <w:rPr>
          <w:rFonts w:eastAsiaTheme="minorHAnsi"/>
          <w:lang w:val="en-AU"/>
        </w:rPr>
        <w:t>51%.</w:t>
      </w:r>
      <w:r w:rsidR="00E12D07">
        <w:rPr>
          <w:rFonts w:eastAsiaTheme="minorHAnsi"/>
          <w:lang w:val="en-AU"/>
        </w:rPr>
        <w:t xml:space="preserve"> </w:t>
      </w:r>
      <w:r w:rsidR="00D05054" w:rsidRPr="00D05054">
        <w:rPr>
          <w:rFonts w:eastAsiaTheme="minorHAnsi"/>
          <w:lang w:val="en-AU"/>
        </w:rPr>
        <w:t xml:space="preserve"> For the active moieties, the</w:t>
      </w:r>
      <w:r>
        <w:rPr>
          <w:rFonts w:eastAsiaTheme="minorHAnsi"/>
          <w:lang w:val="en-AU"/>
        </w:rPr>
        <w:t xml:space="preserve"> predicted </w:t>
      </w:r>
      <w:r w:rsidR="00D05054" w:rsidRPr="00D05054">
        <w:rPr>
          <w:rFonts w:eastAsiaTheme="minorHAnsi"/>
          <w:lang w:val="en-AU"/>
        </w:rPr>
        <w:t>steady-state C</w:t>
      </w:r>
      <w:r w:rsidR="00D05054" w:rsidRPr="00D05054">
        <w:rPr>
          <w:rFonts w:eastAsiaTheme="minorHAnsi"/>
          <w:vertAlign w:val="subscript"/>
          <w:lang w:val="en-AU"/>
        </w:rPr>
        <w:t>max</w:t>
      </w:r>
      <w:r w:rsidR="00D05054" w:rsidRPr="00D05054">
        <w:rPr>
          <w:rFonts w:eastAsiaTheme="minorHAnsi"/>
          <w:lang w:val="en-AU"/>
        </w:rPr>
        <w:t xml:space="preserve"> </w:t>
      </w:r>
      <w:r>
        <w:rPr>
          <w:rFonts w:eastAsiaTheme="minorHAnsi"/>
          <w:lang w:val="en-AU"/>
        </w:rPr>
        <w:t xml:space="preserve">increased by 23% </w:t>
      </w:r>
      <w:r w:rsidR="00D05054" w:rsidRPr="00D05054">
        <w:rPr>
          <w:rFonts w:eastAsiaTheme="minorHAnsi"/>
          <w:lang w:val="en-AU"/>
        </w:rPr>
        <w:t xml:space="preserve">and AUC </w:t>
      </w:r>
      <w:r>
        <w:rPr>
          <w:rFonts w:eastAsiaTheme="minorHAnsi"/>
          <w:lang w:val="en-AU"/>
        </w:rPr>
        <w:t xml:space="preserve">by </w:t>
      </w:r>
      <w:r w:rsidR="00D05054" w:rsidRPr="00D05054">
        <w:rPr>
          <w:rFonts w:eastAsiaTheme="minorHAnsi"/>
          <w:lang w:val="en-AU"/>
        </w:rPr>
        <w:t>28%.</w:t>
      </w:r>
      <w:r w:rsidR="00E12D07">
        <w:rPr>
          <w:rFonts w:eastAsiaTheme="minorHAnsi"/>
          <w:lang w:val="en-AU"/>
        </w:rPr>
        <w:t xml:space="preserve">  </w:t>
      </w:r>
    </w:p>
    <w:p w14:paraId="5506261E" w14:textId="0CB2C3A0" w:rsidR="00D05054" w:rsidRPr="00D05054" w:rsidRDefault="00D05054" w:rsidP="00D05054">
      <w:pPr>
        <w:pStyle w:val="BodyText"/>
        <w:rPr>
          <w:rFonts w:eastAsiaTheme="minorHAnsi"/>
          <w:lang w:val="en-AU"/>
        </w:rPr>
      </w:pPr>
      <w:r w:rsidRPr="00D05054">
        <w:rPr>
          <w:rFonts w:eastAsiaTheme="minorHAnsi"/>
          <w:lang w:val="en-AU"/>
        </w:rPr>
        <w:t>No initial dose adjustment is necessary however, reduc</w:t>
      </w:r>
      <w:r w:rsidR="00BD3A57">
        <w:rPr>
          <w:rFonts w:eastAsiaTheme="minorHAnsi"/>
          <w:lang w:val="en-AU"/>
        </w:rPr>
        <w:t>e</w:t>
      </w:r>
      <w:r w:rsidRPr="00D05054">
        <w:rPr>
          <w:rFonts w:eastAsiaTheme="minorHAnsi"/>
          <w:lang w:val="en-AU"/>
        </w:rPr>
        <w:t xml:space="preserve"> the </w:t>
      </w:r>
      <w:r w:rsidR="0038517B">
        <w:rPr>
          <w:rFonts w:eastAsiaTheme="minorHAnsi"/>
          <w:lang w:val="en-AU"/>
        </w:rPr>
        <w:t>ERLYAND</w:t>
      </w:r>
      <w:r w:rsidRPr="00D05054">
        <w:rPr>
          <w:rFonts w:eastAsiaTheme="minorHAnsi"/>
          <w:lang w:val="en-AU"/>
        </w:rPr>
        <w:t xml:space="preserve"> dose based on tolerability </w:t>
      </w:r>
      <w:r>
        <w:rPr>
          <w:rFonts w:eastAsiaTheme="minorHAnsi"/>
          <w:lang w:val="en-AU"/>
        </w:rPr>
        <w:t>(</w:t>
      </w:r>
      <w:r w:rsidRPr="00D05054">
        <w:rPr>
          <w:rFonts w:eastAsiaTheme="minorHAnsi"/>
          <w:lang w:val="en-AU"/>
        </w:rPr>
        <w:t xml:space="preserve">see </w:t>
      </w:r>
      <w:r w:rsidRPr="00D05054">
        <w:rPr>
          <w:rFonts w:eastAsiaTheme="minorHAnsi"/>
          <w:b/>
          <w:lang w:val="en-AU"/>
        </w:rPr>
        <w:t>section 4.2 Adverse effects</w:t>
      </w:r>
      <w:r w:rsidRPr="00D05054">
        <w:rPr>
          <w:rFonts w:eastAsiaTheme="minorHAnsi"/>
          <w:lang w:val="en-AU"/>
        </w:rPr>
        <w:t xml:space="preserve">). </w:t>
      </w:r>
      <w:r w:rsidR="00E12D07">
        <w:rPr>
          <w:rFonts w:eastAsiaTheme="minorHAnsi"/>
          <w:lang w:val="en-AU"/>
        </w:rPr>
        <w:t xml:space="preserve"> </w:t>
      </w:r>
      <w:r w:rsidRPr="00D05054">
        <w:rPr>
          <w:rFonts w:eastAsiaTheme="minorHAnsi"/>
          <w:lang w:val="en-AU"/>
        </w:rPr>
        <w:t>Mild or moderate inhibitors of CYP3A4 are not expected to affect the exposure of apalutamide.</w:t>
      </w:r>
      <w:r w:rsidR="00E12D07">
        <w:rPr>
          <w:rFonts w:eastAsiaTheme="minorHAnsi"/>
          <w:lang w:val="en-AU"/>
        </w:rPr>
        <w:t xml:space="preserve">  </w:t>
      </w:r>
    </w:p>
    <w:p w14:paraId="67F128D5" w14:textId="401F1732" w:rsidR="00D05054" w:rsidRPr="00EB220B" w:rsidRDefault="00D05054" w:rsidP="00E12D07">
      <w:pPr>
        <w:pStyle w:val="Heading4"/>
        <w:rPr>
          <w:rFonts w:eastAsia="Calibri"/>
        </w:rPr>
      </w:pPr>
      <w:r w:rsidRPr="00EB220B">
        <w:rPr>
          <w:rFonts w:eastAsia="Calibri"/>
        </w:rPr>
        <w:t>CYP3A4</w:t>
      </w:r>
      <w:r w:rsidR="00EB220B">
        <w:rPr>
          <w:rFonts w:eastAsia="Calibri"/>
        </w:rPr>
        <w:t>/</w:t>
      </w:r>
      <w:r w:rsidRPr="00EB220B">
        <w:rPr>
          <w:rFonts w:eastAsia="Calibri"/>
        </w:rPr>
        <w:t>CYP2C8</w:t>
      </w:r>
      <w:r w:rsidR="00EB220B">
        <w:rPr>
          <w:rFonts w:eastAsia="Calibri"/>
        </w:rPr>
        <w:t xml:space="preserve"> inducers</w:t>
      </w:r>
    </w:p>
    <w:p w14:paraId="29B86EB6" w14:textId="3EFF8F7C" w:rsidR="00D05054" w:rsidRPr="00D05054" w:rsidRDefault="00EF0E39" w:rsidP="00D05054">
      <w:pPr>
        <w:pStyle w:val="BodyText"/>
        <w:rPr>
          <w:rFonts w:eastAsiaTheme="minorHAnsi"/>
          <w:lang w:val="en-AU"/>
        </w:rPr>
      </w:pPr>
      <w:r>
        <w:rPr>
          <w:rFonts w:eastAsiaTheme="minorHAnsi"/>
          <w:lang w:val="en-AU"/>
        </w:rPr>
        <w:t>R</w:t>
      </w:r>
      <w:r w:rsidR="00D05054" w:rsidRPr="00D05054">
        <w:rPr>
          <w:rFonts w:eastAsiaTheme="minorHAnsi"/>
          <w:lang w:val="en-AU"/>
        </w:rPr>
        <w:t>ifampin (</w:t>
      </w:r>
      <w:r>
        <w:rPr>
          <w:rFonts w:eastAsiaTheme="minorHAnsi"/>
          <w:lang w:val="en-AU"/>
        </w:rPr>
        <w:t xml:space="preserve">a </w:t>
      </w:r>
      <w:r w:rsidR="00D05054" w:rsidRPr="00D05054">
        <w:rPr>
          <w:rFonts w:eastAsiaTheme="minorHAnsi"/>
          <w:lang w:val="en-AU"/>
        </w:rPr>
        <w:t xml:space="preserve">strong CYP3A4 and moderate CYP2C8 inducer) </w:t>
      </w:r>
      <w:r>
        <w:rPr>
          <w:rFonts w:eastAsiaTheme="minorHAnsi"/>
          <w:lang w:val="en-AU"/>
        </w:rPr>
        <w:t>is predicted to</w:t>
      </w:r>
      <w:r w:rsidRPr="00D05054">
        <w:rPr>
          <w:rFonts w:eastAsiaTheme="minorHAnsi"/>
          <w:lang w:val="en-AU"/>
        </w:rPr>
        <w:t xml:space="preserve"> </w:t>
      </w:r>
      <w:r w:rsidR="00D05054" w:rsidRPr="00D05054">
        <w:rPr>
          <w:rFonts w:eastAsiaTheme="minorHAnsi"/>
          <w:lang w:val="en-AU"/>
        </w:rPr>
        <w:t xml:space="preserve">decrease the steady-state </w:t>
      </w:r>
      <w:r>
        <w:rPr>
          <w:rFonts w:eastAsiaTheme="minorHAnsi"/>
          <w:lang w:val="en-AU"/>
        </w:rPr>
        <w:t xml:space="preserve">apalutamide </w:t>
      </w:r>
      <w:r w:rsidR="00D05054" w:rsidRPr="00D05054">
        <w:rPr>
          <w:rFonts w:eastAsiaTheme="minorHAnsi"/>
          <w:lang w:val="en-AU"/>
        </w:rPr>
        <w:t>C</w:t>
      </w:r>
      <w:r w:rsidR="00D05054" w:rsidRPr="00D05054">
        <w:rPr>
          <w:rFonts w:eastAsiaTheme="minorHAnsi"/>
          <w:vertAlign w:val="subscript"/>
          <w:lang w:val="en-AU"/>
        </w:rPr>
        <w:t>max</w:t>
      </w:r>
      <w:r w:rsidR="00D05054" w:rsidRPr="006C6B94">
        <w:rPr>
          <w:rFonts w:eastAsia="Calibri"/>
        </w:rPr>
        <w:t xml:space="preserve"> </w:t>
      </w:r>
      <w:r>
        <w:rPr>
          <w:rFonts w:eastAsia="Calibri"/>
        </w:rPr>
        <w:t xml:space="preserve">by 25% </w:t>
      </w:r>
      <w:r w:rsidR="00D05054" w:rsidRPr="00D05054">
        <w:rPr>
          <w:rFonts w:eastAsiaTheme="minorHAnsi"/>
          <w:lang w:val="en-AU"/>
        </w:rPr>
        <w:t xml:space="preserve">and AUC </w:t>
      </w:r>
      <w:r>
        <w:rPr>
          <w:rFonts w:eastAsiaTheme="minorHAnsi"/>
          <w:lang w:val="en-AU"/>
        </w:rPr>
        <w:t>by</w:t>
      </w:r>
      <w:r w:rsidR="00D05054" w:rsidRPr="00D05054">
        <w:rPr>
          <w:rFonts w:eastAsiaTheme="minorHAnsi"/>
          <w:lang w:val="en-AU"/>
        </w:rPr>
        <w:t xml:space="preserve"> 34%.</w:t>
      </w:r>
      <w:r w:rsidR="00E12D07">
        <w:rPr>
          <w:rFonts w:eastAsiaTheme="minorHAnsi"/>
          <w:lang w:val="en-AU"/>
        </w:rPr>
        <w:t xml:space="preserve"> </w:t>
      </w:r>
      <w:r w:rsidR="00D05054" w:rsidRPr="00D05054">
        <w:rPr>
          <w:rFonts w:eastAsiaTheme="minorHAnsi"/>
          <w:lang w:val="en-AU"/>
        </w:rPr>
        <w:t xml:space="preserve"> For the active moieties, the </w:t>
      </w:r>
      <w:r>
        <w:rPr>
          <w:rFonts w:eastAsiaTheme="minorHAnsi"/>
          <w:lang w:val="en-AU"/>
        </w:rPr>
        <w:t xml:space="preserve">predicted </w:t>
      </w:r>
      <w:r w:rsidR="00D05054" w:rsidRPr="00D05054">
        <w:rPr>
          <w:rFonts w:eastAsiaTheme="minorHAnsi"/>
          <w:lang w:val="en-AU"/>
        </w:rPr>
        <w:t>steady-state C</w:t>
      </w:r>
      <w:r w:rsidR="00D05054" w:rsidRPr="00D05054">
        <w:rPr>
          <w:rFonts w:eastAsiaTheme="minorHAnsi"/>
          <w:vertAlign w:val="subscript"/>
          <w:lang w:val="en-AU"/>
        </w:rPr>
        <w:t>max</w:t>
      </w:r>
      <w:r w:rsidR="00D05054" w:rsidRPr="00D05054">
        <w:rPr>
          <w:rFonts w:eastAsiaTheme="minorHAnsi"/>
          <w:lang w:val="en-AU"/>
        </w:rPr>
        <w:t xml:space="preserve"> </w:t>
      </w:r>
      <w:r>
        <w:rPr>
          <w:rFonts w:eastAsiaTheme="minorHAnsi"/>
          <w:lang w:val="en-AU"/>
        </w:rPr>
        <w:t xml:space="preserve">decreased by 15% </w:t>
      </w:r>
      <w:r w:rsidR="00D05054" w:rsidRPr="00D05054">
        <w:rPr>
          <w:rFonts w:eastAsiaTheme="minorHAnsi"/>
          <w:lang w:val="en-AU"/>
        </w:rPr>
        <w:t>and AUC by 19%.</w:t>
      </w:r>
      <w:r w:rsidR="00E12D07">
        <w:rPr>
          <w:rFonts w:eastAsiaTheme="minorHAnsi"/>
          <w:lang w:val="en-AU"/>
        </w:rPr>
        <w:t xml:space="preserve">  </w:t>
      </w:r>
    </w:p>
    <w:p w14:paraId="38CF8833" w14:textId="18685426" w:rsidR="00344B0C" w:rsidRPr="006C6B94" w:rsidRDefault="00344B0C" w:rsidP="00B86E59">
      <w:pPr>
        <w:pStyle w:val="Heading4"/>
        <w:rPr>
          <w:rFonts w:eastAsia="Calibri"/>
        </w:rPr>
      </w:pPr>
      <w:r>
        <w:rPr>
          <w:rFonts w:eastAsia="Calibri"/>
        </w:rPr>
        <w:lastRenderedPageBreak/>
        <w:t>Acid lowering a</w:t>
      </w:r>
      <w:r w:rsidRPr="006C6B94">
        <w:rPr>
          <w:rFonts w:eastAsia="Calibri"/>
        </w:rPr>
        <w:t>gents</w:t>
      </w:r>
    </w:p>
    <w:p w14:paraId="0CA8D3A3" w14:textId="558D4D97" w:rsidR="00344B0C" w:rsidRDefault="00344B0C" w:rsidP="00344B0C">
      <w:pPr>
        <w:pStyle w:val="BodyText1"/>
      </w:pPr>
      <w:r w:rsidRPr="006C6B94">
        <w:t xml:space="preserve">Apalutamide is not </w:t>
      </w:r>
      <w:r w:rsidR="00020BCD" w:rsidRPr="006C6B94">
        <w:t>ioni</w:t>
      </w:r>
      <w:r w:rsidR="00020BCD">
        <w:t>s</w:t>
      </w:r>
      <w:r w:rsidR="00020BCD" w:rsidRPr="006C6B94">
        <w:t xml:space="preserve">able </w:t>
      </w:r>
      <w:r w:rsidRPr="006C6B94">
        <w:t>under relevant physiological pH condition</w:t>
      </w:r>
      <w:r w:rsidR="00EF0E39">
        <w:t>s</w:t>
      </w:r>
      <w:r w:rsidRPr="006C6B94">
        <w:t>, therefore acid lowering agents (e.g. proton pump inhibitor</w:t>
      </w:r>
      <w:r w:rsidR="009E49C6">
        <w:t>s</w:t>
      </w:r>
      <w:r w:rsidRPr="006C6B94">
        <w:t>, H</w:t>
      </w:r>
      <w:r w:rsidRPr="006C6B94">
        <w:rPr>
          <w:vertAlign w:val="subscript"/>
        </w:rPr>
        <w:t>2</w:t>
      </w:r>
      <w:r w:rsidRPr="006C6B94">
        <w:t>-receptor antagonist</w:t>
      </w:r>
      <w:r w:rsidR="009E49C6">
        <w:t>s</w:t>
      </w:r>
      <w:r w:rsidRPr="006C6B94">
        <w:t>, antacid</w:t>
      </w:r>
      <w:r w:rsidR="009E49C6">
        <w:t>s</w:t>
      </w:r>
      <w:r w:rsidRPr="006C6B94">
        <w:t>) are not expected to affect the solubility and bioavailability of apalutamide.</w:t>
      </w:r>
      <w:r w:rsidR="00E12D07">
        <w:t xml:space="preserve">  </w:t>
      </w:r>
    </w:p>
    <w:p w14:paraId="41F5F5EC" w14:textId="7A09839A" w:rsidR="00344B0C" w:rsidRPr="006C6B94" w:rsidRDefault="00344B0C" w:rsidP="00B86E59">
      <w:pPr>
        <w:pStyle w:val="Heading4"/>
        <w:rPr>
          <w:rFonts w:eastAsia="Calibri"/>
        </w:rPr>
      </w:pPr>
      <w:r>
        <w:rPr>
          <w:rFonts w:eastAsia="Calibri"/>
        </w:rPr>
        <w:t>Medications that affect t</w:t>
      </w:r>
      <w:r w:rsidRPr="006C6B94">
        <w:rPr>
          <w:rFonts w:eastAsia="Calibri"/>
        </w:rPr>
        <w:t>ransporters</w:t>
      </w:r>
    </w:p>
    <w:p w14:paraId="5ACE9A8D" w14:textId="66CBA66B" w:rsidR="00344B0C" w:rsidRPr="006C6B94" w:rsidRDefault="00344B0C" w:rsidP="00344B0C">
      <w:pPr>
        <w:pStyle w:val="BodyText1"/>
      </w:pPr>
      <w:r w:rsidRPr="0031376D">
        <w:rPr>
          <w:i/>
        </w:rPr>
        <w:t>In vitro</w:t>
      </w:r>
      <w:r w:rsidRPr="006C6B94">
        <w:t>, apalutamide and its N-desmethyl metabolite are substrates for P-gp but not BCRP, OATP1B1, and OATP1B3. Because apalutamide is completely absorbed after oral administration, P-gp does not limit the absorption of apalutamide and therefore, inhibition or induction of P-gp is not expected to affect the bioavailability of apalutamide.</w:t>
      </w:r>
    </w:p>
    <w:p w14:paraId="2ECABCB7" w14:textId="36C38DFD" w:rsidR="00CA2640" w:rsidRDefault="00CA2640" w:rsidP="00B86E59">
      <w:pPr>
        <w:pStyle w:val="Heading3"/>
      </w:pPr>
      <w:r w:rsidRPr="009E49C6">
        <w:t xml:space="preserve">Effects of </w:t>
      </w:r>
      <w:r w:rsidR="0038517B">
        <w:t>ERLYAND</w:t>
      </w:r>
      <w:r w:rsidRPr="009E49C6">
        <w:t xml:space="preserve"> on other medicines</w:t>
      </w:r>
    </w:p>
    <w:p w14:paraId="06F555EF" w14:textId="54246F76" w:rsidR="00BD15E8" w:rsidRDefault="008E4BF2" w:rsidP="00B86E59">
      <w:pPr>
        <w:pStyle w:val="Heading4"/>
        <w:rPr>
          <w:rFonts w:eastAsia="Calibri"/>
        </w:rPr>
      </w:pPr>
      <w:r w:rsidRPr="00E867DF">
        <w:rPr>
          <w:rFonts w:eastAsia="Calibri"/>
        </w:rPr>
        <w:t xml:space="preserve">Effect of </w:t>
      </w:r>
      <w:r w:rsidR="0038517B">
        <w:rPr>
          <w:rFonts w:eastAsia="Calibri"/>
        </w:rPr>
        <w:t>ERLYAND</w:t>
      </w:r>
      <w:r w:rsidR="003B5415">
        <w:rPr>
          <w:rFonts w:eastAsia="Calibri"/>
        </w:rPr>
        <w:t xml:space="preserve"> on drug metabolis</w:t>
      </w:r>
      <w:r>
        <w:rPr>
          <w:rFonts w:eastAsia="Calibri"/>
        </w:rPr>
        <w:t>ing e</w:t>
      </w:r>
      <w:r w:rsidRPr="00E867DF">
        <w:rPr>
          <w:rFonts w:eastAsia="Calibri"/>
        </w:rPr>
        <w:t>nzymes</w:t>
      </w:r>
    </w:p>
    <w:p w14:paraId="6F08D79B" w14:textId="3FE0E70E" w:rsidR="008E4BF2" w:rsidRPr="008E4BF2" w:rsidRDefault="00EF0E39" w:rsidP="00E12D07">
      <w:pPr>
        <w:pStyle w:val="Heading5"/>
        <w:rPr>
          <w:rFonts w:eastAsia="Calibri"/>
        </w:rPr>
      </w:pPr>
      <w:r>
        <w:rPr>
          <w:rFonts w:eastAsia="Calibri"/>
        </w:rPr>
        <w:t xml:space="preserve">CYP </w:t>
      </w:r>
      <w:r w:rsidR="00742EFC">
        <w:rPr>
          <w:rFonts w:eastAsia="Calibri"/>
        </w:rPr>
        <w:t>enzymes</w:t>
      </w:r>
    </w:p>
    <w:p w14:paraId="41444A1F" w14:textId="0E9B4A1D" w:rsidR="008E4BF2" w:rsidRPr="008E4BF2" w:rsidRDefault="008E4BF2" w:rsidP="008C1FA6">
      <w:pPr>
        <w:pStyle w:val="BodyText1"/>
      </w:pPr>
      <w:r w:rsidRPr="0031376D">
        <w:rPr>
          <w:i/>
        </w:rPr>
        <w:t>In vitro</w:t>
      </w:r>
      <w:r w:rsidRPr="008E4BF2">
        <w:t xml:space="preserve"> studies showed that apalutamide and N-desmethyl apalutamide are moderate to strong CYP3A4 and CYP2B6 inducers, are moderate inhibitors of CYP2B6 and CYP2C8, and weak inhibitors of CYP2C9, CYP2C19, and CYP3A4. </w:t>
      </w:r>
      <w:r w:rsidR="008C1FA6">
        <w:t xml:space="preserve"> </w:t>
      </w:r>
      <w:r w:rsidRPr="008E4BF2">
        <w:t>Apalutamide and N-desmethyl apalutamide do not affect CYP1A2 and CYP2D6 at therapeutically relevant concentrations.</w:t>
      </w:r>
      <w:r w:rsidR="008C1FA6">
        <w:t xml:space="preserve">  </w:t>
      </w:r>
    </w:p>
    <w:p w14:paraId="3CE933DB" w14:textId="16C8E4FD" w:rsidR="000C71E6" w:rsidRPr="008E4BF2" w:rsidRDefault="00631D71" w:rsidP="008C1FA6">
      <w:pPr>
        <w:pStyle w:val="BodyText1"/>
      </w:pPr>
      <w:r w:rsidRPr="008E4BF2">
        <w:t xml:space="preserve">In humans, </w:t>
      </w:r>
      <w:r>
        <w:t>ERLYAND</w:t>
      </w:r>
      <w:r w:rsidRPr="008E4BF2">
        <w:t xml:space="preserve"> is a strong inducer of CYP3A4 and CYP2C19, and a weak inducer of CYP2C9. </w:t>
      </w:r>
      <w:r w:rsidR="008C1FA6">
        <w:t xml:space="preserve"> </w:t>
      </w:r>
      <w:r w:rsidR="000C71E6">
        <w:t>C</w:t>
      </w:r>
      <w:r w:rsidR="000C71E6" w:rsidRPr="008E4BF2">
        <w:t xml:space="preserve">o-administration of </w:t>
      </w:r>
      <w:r w:rsidR="000C71E6">
        <w:t>ERLYAND</w:t>
      </w:r>
      <w:r w:rsidR="000C71E6" w:rsidRPr="008E4BF2">
        <w:t xml:space="preserve"> with single oral doses of sensitive CYP substrates resulted in a 92% decrease in the AUC of midazolam (</w:t>
      </w:r>
      <w:r w:rsidR="000C71E6">
        <w:t xml:space="preserve">a </w:t>
      </w:r>
      <w:r w:rsidR="000C71E6" w:rsidRPr="008E4BF2">
        <w:t>CYP3A4 substrate), 85% decrease in the AUC of omeprazole (</w:t>
      </w:r>
      <w:r w:rsidR="000C71E6">
        <w:t xml:space="preserve">a </w:t>
      </w:r>
      <w:r w:rsidR="000C71E6" w:rsidRPr="008E4BF2">
        <w:t>CYP2C19 substrate), and 46% decrease in the AUC of S-warfarin (</w:t>
      </w:r>
      <w:r w:rsidR="000C71E6">
        <w:t xml:space="preserve">a </w:t>
      </w:r>
      <w:r w:rsidR="000C71E6" w:rsidRPr="008E4BF2">
        <w:t xml:space="preserve">CYP2C9 substrate). </w:t>
      </w:r>
      <w:r w:rsidR="008C1FA6">
        <w:t xml:space="preserve"> </w:t>
      </w:r>
      <w:r w:rsidR="000C71E6">
        <w:t>ERLYAND</w:t>
      </w:r>
      <w:r w:rsidR="000C71E6" w:rsidRPr="008E4BF2">
        <w:t xml:space="preserve"> did not cause clinically meaningful changes in exposure to </w:t>
      </w:r>
      <w:r w:rsidR="000C71E6">
        <w:t>pioglitazone (a</w:t>
      </w:r>
      <w:r w:rsidR="000C71E6" w:rsidRPr="008E4BF2">
        <w:t xml:space="preserve"> CYP2C8 substrate</w:t>
      </w:r>
      <w:r w:rsidR="000C71E6">
        <w:t>)</w:t>
      </w:r>
      <w:r w:rsidR="000C71E6" w:rsidRPr="008E4BF2">
        <w:t>.</w:t>
      </w:r>
      <w:r w:rsidR="008C1FA6">
        <w:t xml:space="preserve">  </w:t>
      </w:r>
    </w:p>
    <w:p w14:paraId="73DC67FE" w14:textId="02CA23C8" w:rsidR="008E4BF2" w:rsidRDefault="00631D71" w:rsidP="008C1FA6">
      <w:pPr>
        <w:pStyle w:val="BodyText1"/>
      </w:pPr>
      <w:r w:rsidRPr="008E4BF2">
        <w:t xml:space="preserve">Concomitant use of </w:t>
      </w:r>
      <w:r>
        <w:t>ERLYAND</w:t>
      </w:r>
      <w:r w:rsidRPr="008E4BF2">
        <w:t xml:space="preserve"> with medications that are primarily metaboli</w:t>
      </w:r>
      <w:r>
        <w:t>s</w:t>
      </w:r>
      <w:r w:rsidRPr="008E4BF2">
        <w:t xml:space="preserve">ed by CYP3A4, CYP2C19, or CYP2C9 can result in lower exposure to these medications. </w:t>
      </w:r>
      <w:r w:rsidR="008C1FA6">
        <w:t xml:space="preserve"> </w:t>
      </w:r>
      <w:r w:rsidRPr="008E4BF2">
        <w:t>Substitution for these medications is recommended when possible or evaluate for loss of efficacy if medication is continued. If given with warfarin, monitor International Normali</w:t>
      </w:r>
      <w:r>
        <w:t>s</w:t>
      </w:r>
      <w:r w:rsidRPr="008E4BF2">
        <w:t xml:space="preserve">ed Ratio (INR) during </w:t>
      </w:r>
      <w:r>
        <w:t xml:space="preserve">ERLYAND </w:t>
      </w:r>
      <w:r w:rsidRPr="008E4BF2">
        <w:t xml:space="preserve">treatment. </w:t>
      </w:r>
    </w:p>
    <w:p w14:paraId="6F60CE33" w14:textId="0050180B" w:rsidR="00102FD3" w:rsidRPr="00102FD3" w:rsidRDefault="008C1FA6" w:rsidP="008C1FA6">
      <w:pPr>
        <w:pStyle w:val="Heading5"/>
        <w:rPr>
          <w:rFonts w:eastAsiaTheme="minorHAnsi"/>
        </w:rPr>
      </w:pPr>
      <w:r>
        <w:rPr>
          <w:rFonts w:eastAsiaTheme="minorHAnsi"/>
        </w:rPr>
        <w:t>UGT</w:t>
      </w:r>
    </w:p>
    <w:p w14:paraId="107908A0" w14:textId="083EFEAC" w:rsidR="000C71E6" w:rsidRDefault="00BD15E8" w:rsidP="008C1FA6">
      <w:pPr>
        <w:pStyle w:val="BodyText1"/>
      </w:pPr>
      <w:r>
        <w:t>Apalutamide may induce</w:t>
      </w:r>
      <w:r w:rsidR="00D14C2C">
        <w:t xml:space="preserve"> </w:t>
      </w:r>
      <w:r w:rsidRPr="008E4BF2">
        <w:t>UDP</w:t>
      </w:r>
      <w:r>
        <w:t>-glucuronosyl transferase (UGT).</w:t>
      </w:r>
      <w:r w:rsidR="008C1FA6">
        <w:t xml:space="preserve"> </w:t>
      </w:r>
      <w:r>
        <w:t xml:space="preserve"> </w:t>
      </w:r>
    </w:p>
    <w:p w14:paraId="698E6838" w14:textId="34A112C9" w:rsidR="008E4BF2" w:rsidRPr="008E4BF2" w:rsidRDefault="008E4BF2" w:rsidP="008C1FA6">
      <w:pPr>
        <w:pStyle w:val="BodyText1"/>
      </w:pPr>
      <w:r w:rsidRPr="008E4BF2">
        <w:t xml:space="preserve">Concomitant administration of </w:t>
      </w:r>
      <w:r w:rsidR="0038517B">
        <w:t>ERLYAND</w:t>
      </w:r>
      <w:r>
        <w:t xml:space="preserve"> </w:t>
      </w:r>
      <w:r w:rsidRPr="008E4BF2">
        <w:t xml:space="preserve">with medications that are substrates of UGT can result in lower exposure to these medications. Use caution if substrates of UGT must be co-administered with </w:t>
      </w:r>
      <w:r w:rsidR="0038517B">
        <w:t>ERLYAND</w:t>
      </w:r>
      <w:r w:rsidRPr="008E4BF2">
        <w:t xml:space="preserve"> and evaluate for loss of efficacy</w:t>
      </w:r>
      <w:r w:rsidR="00E42395">
        <w:t xml:space="preserve"> </w:t>
      </w:r>
      <w:r w:rsidR="00E42395" w:rsidRPr="008A633A">
        <w:t>(see</w:t>
      </w:r>
      <w:r w:rsidR="00E42395" w:rsidRPr="008A633A">
        <w:rPr>
          <w:b/>
        </w:rPr>
        <w:t xml:space="preserve"> </w:t>
      </w:r>
      <w:r w:rsidR="008A633A">
        <w:rPr>
          <w:b/>
        </w:rPr>
        <w:t xml:space="preserve">Section </w:t>
      </w:r>
      <w:r w:rsidR="00E42395" w:rsidRPr="008A633A">
        <w:rPr>
          <w:b/>
        </w:rPr>
        <w:t>4.4 Hypothyroidism</w:t>
      </w:r>
      <w:r w:rsidR="00E42395" w:rsidRPr="008A633A">
        <w:t>)</w:t>
      </w:r>
      <w:r w:rsidRPr="008A633A">
        <w:t>.</w:t>
      </w:r>
      <w:r w:rsidR="008C1FA6">
        <w:t xml:space="preserve">  </w:t>
      </w:r>
    </w:p>
    <w:p w14:paraId="51A7803E" w14:textId="0498AF77" w:rsidR="00BD15E8" w:rsidRDefault="009E49C6" w:rsidP="00B86E59">
      <w:pPr>
        <w:pStyle w:val="Heading4"/>
        <w:rPr>
          <w:rFonts w:eastAsiaTheme="minorHAnsi"/>
        </w:rPr>
      </w:pPr>
      <w:r>
        <w:rPr>
          <w:rFonts w:eastAsia="Calibri"/>
        </w:rPr>
        <w:t>Effect of apalutamide on drug t</w:t>
      </w:r>
      <w:r w:rsidRPr="00E867DF">
        <w:rPr>
          <w:rFonts w:eastAsia="Calibri"/>
        </w:rPr>
        <w:t>ransporters</w:t>
      </w:r>
    </w:p>
    <w:p w14:paraId="41BFB78C" w14:textId="1DD07AD9" w:rsidR="009E49C6" w:rsidRPr="00E867DF" w:rsidRDefault="008C1FA6" w:rsidP="008C1FA6">
      <w:pPr>
        <w:pStyle w:val="Heading5"/>
        <w:rPr>
          <w:rFonts w:eastAsia="Calibri"/>
        </w:rPr>
      </w:pPr>
      <w:r>
        <w:rPr>
          <w:rFonts w:eastAsiaTheme="minorHAnsi"/>
        </w:rPr>
        <w:t>P-gp, BCRP and OATP1B1</w:t>
      </w:r>
    </w:p>
    <w:p w14:paraId="2246607A" w14:textId="332C881F" w:rsidR="000C71E6" w:rsidRDefault="008C1FA6" w:rsidP="009E49C6">
      <w:pPr>
        <w:pStyle w:val="BodyText1"/>
        <w:rPr>
          <w:lang w:eastAsia="en-GB"/>
        </w:rPr>
      </w:pPr>
      <w:r w:rsidRPr="00E867DF">
        <w:rPr>
          <w:lang w:eastAsia="en-GB"/>
        </w:rPr>
        <w:t>Apaluatmide</w:t>
      </w:r>
      <w:r w:rsidR="009E49C6" w:rsidRPr="00E867DF">
        <w:rPr>
          <w:lang w:eastAsia="en-GB"/>
        </w:rPr>
        <w:t xml:space="preserve"> was shown to be a weak inducer of P-glycoprotein (P-gp), breast cancer resistance protein (BCRP), and organic anion transporting polypeptide 1B1 (OATP1B1) clinically. </w:t>
      </w:r>
      <w:r>
        <w:rPr>
          <w:lang w:eastAsia="en-GB"/>
        </w:rPr>
        <w:t xml:space="preserve"> </w:t>
      </w:r>
      <w:r w:rsidR="00102FD3">
        <w:rPr>
          <w:lang w:eastAsia="en-GB"/>
        </w:rPr>
        <w:t>C</w:t>
      </w:r>
      <w:r w:rsidR="009E49C6" w:rsidRPr="009D0305">
        <w:rPr>
          <w:lang w:eastAsia="en-GB"/>
        </w:rPr>
        <w:t>o</w:t>
      </w:r>
      <w:r>
        <w:rPr>
          <w:lang w:eastAsia="en-GB"/>
        </w:rPr>
        <w:noBreakHyphen/>
      </w:r>
      <w:r w:rsidR="009E49C6" w:rsidRPr="009D0305">
        <w:rPr>
          <w:lang w:eastAsia="en-GB"/>
        </w:rPr>
        <w:t xml:space="preserve">administration of </w:t>
      </w:r>
      <w:r w:rsidR="0038517B">
        <w:rPr>
          <w:lang w:eastAsia="en-GB"/>
        </w:rPr>
        <w:t>ERLYAND</w:t>
      </w:r>
      <w:r w:rsidR="009E49C6" w:rsidRPr="009D0305">
        <w:rPr>
          <w:lang w:eastAsia="en-GB"/>
        </w:rPr>
        <w:t xml:space="preserve"> with single oral doses of transporter substrates resulted in a 30% decrease in the AUC of fexofenadine (</w:t>
      </w:r>
      <w:r w:rsidR="00102FD3">
        <w:rPr>
          <w:lang w:eastAsia="en-GB"/>
        </w:rPr>
        <w:t xml:space="preserve">a </w:t>
      </w:r>
      <w:r w:rsidR="009E49C6" w:rsidRPr="009D0305">
        <w:rPr>
          <w:lang w:eastAsia="en-GB"/>
        </w:rPr>
        <w:t>P-gp substrate) and 41% decrease in the AUC of rosuvastatin (</w:t>
      </w:r>
      <w:r w:rsidR="00102FD3">
        <w:rPr>
          <w:lang w:eastAsia="en-GB"/>
        </w:rPr>
        <w:t xml:space="preserve">a </w:t>
      </w:r>
      <w:r w:rsidR="009E49C6" w:rsidRPr="009D0305">
        <w:rPr>
          <w:lang w:eastAsia="en-GB"/>
        </w:rPr>
        <w:t>BCRP/OATP1B1 substrate) but had no impact on C</w:t>
      </w:r>
      <w:r w:rsidR="009E49C6" w:rsidRPr="009D0305">
        <w:rPr>
          <w:vertAlign w:val="subscript"/>
          <w:lang w:eastAsia="en-GB"/>
        </w:rPr>
        <w:t>max</w:t>
      </w:r>
      <w:r w:rsidR="009E49C6" w:rsidRPr="009D0305">
        <w:rPr>
          <w:lang w:eastAsia="en-GB"/>
        </w:rPr>
        <w:t>.</w:t>
      </w:r>
      <w:r w:rsidR="009E49C6" w:rsidRPr="00E867DF">
        <w:rPr>
          <w:lang w:eastAsia="en-GB"/>
        </w:rPr>
        <w:t xml:space="preserve"> </w:t>
      </w:r>
    </w:p>
    <w:p w14:paraId="72F1559D" w14:textId="60DE78A0" w:rsidR="009E49C6" w:rsidRPr="009E49C6" w:rsidRDefault="009E49C6" w:rsidP="009E49C6">
      <w:pPr>
        <w:pStyle w:val="BodyText1"/>
        <w:rPr>
          <w:lang w:eastAsia="en-GB"/>
        </w:rPr>
      </w:pPr>
      <w:r w:rsidRPr="009E49C6">
        <w:t xml:space="preserve">Concomitant use of </w:t>
      </w:r>
      <w:r w:rsidR="0038517B">
        <w:t>ERLYAND</w:t>
      </w:r>
      <w:r w:rsidRPr="009E49C6">
        <w:t xml:space="preserve"> with medications that are substrates of P-gp, BCRP, or OATP1B1 can result in lower exposure of these medications.</w:t>
      </w:r>
      <w:r w:rsidR="008C1FA6">
        <w:t xml:space="preserve"> </w:t>
      </w:r>
      <w:r w:rsidRPr="009E49C6">
        <w:t xml:space="preserve"> Use caution if substrates of P-gp, BCRP or OATP1B1 must be co-administered with </w:t>
      </w:r>
      <w:r w:rsidR="0038517B">
        <w:t>ERLYAND</w:t>
      </w:r>
      <w:r w:rsidRPr="009E49C6">
        <w:t xml:space="preserve"> and evaluate for loss of efficacy if medication is continued</w:t>
      </w:r>
      <w:r w:rsidR="008C1FA6">
        <w:t xml:space="preserve">.  </w:t>
      </w:r>
    </w:p>
    <w:p w14:paraId="54D5A3C7" w14:textId="4FF95025" w:rsidR="001D4B43" w:rsidRPr="00102FD3" w:rsidRDefault="001D4B43" w:rsidP="008C1FA6">
      <w:pPr>
        <w:pStyle w:val="Heading5"/>
        <w:rPr>
          <w:rFonts w:eastAsiaTheme="minorHAnsi"/>
        </w:rPr>
      </w:pPr>
      <w:r w:rsidRPr="00102FD3">
        <w:rPr>
          <w:rFonts w:eastAsiaTheme="minorHAnsi"/>
        </w:rPr>
        <w:lastRenderedPageBreak/>
        <w:t>OCT2, OAT1, OAT3 and MATEs</w:t>
      </w:r>
    </w:p>
    <w:p w14:paraId="608118B3" w14:textId="74C6FA75" w:rsidR="009E49C6" w:rsidRPr="008C1FA6" w:rsidRDefault="001D4B43" w:rsidP="009E49C6">
      <w:pPr>
        <w:pStyle w:val="BodyText"/>
      </w:pPr>
      <w:r w:rsidRPr="00ED55A0">
        <w:rPr>
          <w:rFonts w:eastAsiaTheme="minorHAnsi"/>
          <w:i/>
          <w:lang w:val="en-AU"/>
        </w:rPr>
        <w:t>In vitro,</w:t>
      </w:r>
      <w:r w:rsidRPr="00B0182A">
        <w:rPr>
          <w:rFonts w:eastAsiaTheme="minorHAnsi"/>
          <w:lang w:val="en-AU"/>
        </w:rPr>
        <w:t xml:space="preserve"> apalutamide and N-desmethyl apalutamide inhibit organic cation transporter 2 (OCT2), organic anion transporter 3 (OAT3) and multidrug and toxin extrusions (MATEs), and do not inhibit organic anion transporter 1. </w:t>
      </w:r>
      <w:r w:rsidR="008C1FA6">
        <w:rPr>
          <w:rFonts w:eastAsiaTheme="minorHAnsi"/>
          <w:lang w:val="en-AU"/>
        </w:rPr>
        <w:t xml:space="preserve"> </w:t>
      </w:r>
      <w:r w:rsidRPr="00B0182A">
        <w:rPr>
          <w:rFonts w:eastAsiaTheme="minorHAnsi"/>
          <w:lang w:val="en-AU"/>
        </w:rPr>
        <w:t>Apalutamide is not predicted to cause clinically significant changes in exposure to OAT3 substrate</w:t>
      </w:r>
      <w:r w:rsidR="00813D9A">
        <w:rPr>
          <w:rFonts w:eastAsiaTheme="minorHAnsi"/>
          <w:lang w:val="en-AU"/>
        </w:rPr>
        <w:t>s</w:t>
      </w:r>
      <w:r w:rsidRPr="00B0182A">
        <w:rPr>
          <w:rFonts w:eastAsiaTheme="minorHAnsi"/>
          <w:lang w:val="en-AU"/>
        </w:rPr>
        <w:t>.</w:t>
      </w:r>
      <w:r w:rsidR="008C1FA6">
        <w:rPr>
          <w:rFonts w:eastAsiaTheme="minorHAnsi"/>
          <w:lang w:val="en-AU"/>
        </w:rPr>
        <w:t xml:space="preserve">  </w:t>
      </w:r>
    </w:p>
    <w:p w14:paraId="0D038488" w14:textId="222CF468" w:rsidR="00746D0B" w:rsidRDefault="008450DE" w:rsidP="00F95E9C">
      <w:pPr>
        <w:pStyle w:val="Heading2"/>
      </w:pPr>
      <w:r>
        <w:t xml:space="preserve">4.6 </w:t>
      </w:r>
      <w:r w:rsidR="00287AFF">
        <w:t>Fertility, pregnancy and lactation</w:t>
      </w:r>
    </w:p>
    <w:p w14:paraId="2E2D4BDF" w14:textId="72F1E4C8" w:rsidR="001D17FF" w:rsidRDefault="001D17FF" w:rsidP="001D17FF">
      <w:pPr>
        <w:pStyle w:val="Heading3"/>
      </w:pPr>
      <w:r>
        <w:t>Effects on fertility</w:t>
      </w:r>
    </w:p>
    <w:p w14:paraId="2C846647" w14:textId="2F9D86A3" w:rsidR="00666140" w:rsidRDefault="00666140" w:rsidP="00666140">
      <w:pPr>
        <w:pStyle w:val="BodyText"/>
        <w:rPr>
          <w:rFonts w:eastAsiaTheme="minorHAnsi"/>
          <w:lang w:val="en-AU" w:eastAsia="en-GB"/>
        </w:rPr>
      </w:pPr>
      <w:r w:rsidRPr="00666140">
        <w:rPr>
          <w:rFonts w:eastAsiaTheme="minorHAnsi"/>
          <w:lang w:val="en-AU" w:eastAsia="en-GB"/>
        </w:rPr>
        <w:t xml:space="preserve">Based on animal studies, </w:t>
      </w:r>
      <w:r w:rsidR="00397EEF">
        <w:rPr>
          <w:rFonts w:eastAsiaTheme="minorHAnsi"/>
          <w:lang w:val="en-AU" w:eastAsia="en-GB"/>
        </w:rPr>
        <w:t xml:space="preserve">apalutamide </w:t>
      </w:r>
      <w:r w:rsidRPr="00666140">
        <w:rPr>
          <w:rFonts w:eastAsiaTheme="minorHAnsi"/>
          <w:lang w:val="en-AU" w:eastAsia="en-GB"/>
        </w:rPr>
        <w:t>may impair fertility in males of reproductive potential</w:t>
      </w:r>
      <w:r>
        <w:rPr>
          <w:rFonts w:eastAsiaTheme="minorHAnsi"/>
          <w:lang w:val="en-AU" w:eastAsia="en-GB"/>
        </w:rPr>
        <w:t>.</w:t>
      </w:r>
    </w:p>
    <w:p w14:paraId="6AFAB0A9" w14:textId="0AFF86A4" w:rsidR="008A0686" w:rsidRPr="008A0686" w:rsidRDefault="008A0686" w:rsidP="008A0686">
      <w:pPr>
        <w:pStyle w:val="BodyText"/>
        <w:rPr>
          <w:rFonts w:eastAsiaTheme="minorHAnsi"/>
          <w:lang w:val="en-AU" w:eastAsia="en-GB"/>
        </w:rPr>
      </w:pPr>
      <w:r w:rsidRPr="008A0686">
        <w:rPr>
          <w:rFonts w:eastAsiaTheme="minorHAnsi"/>
          <w:lang w:val="en-AU" w:eastAsia="en-GB"/>
        </w:rPr>
        <w:t xml:space="preserve">Male fertility is likely to be impaired by treatment with apalutamide based on findings in repeat-dose toxicology studies which were consistent with the pharmacological activity of apalutamide.  In repeat-dose toxicity studies in male rats (up to 26 weeks) and dogs (up to 39 weeks), atrophy, </w:t>
      </w:r>
      <w:proofErr w:type="spellStart"/>
      <w:r w:rsidRPr="008A0686">
        <w:rPr>
          <w:rFonts w:eastAsiaTheme="minorHAnsi"/>
          <w:lang w:val="en-AU" w:eastAsia="en-GB"/>
        </w:rPr>
        <w:t>aspermia</w:t>
      </w:r>
      <w:proofErr w:type="spellEnd"/>
      <w:r w:rsidRPr="008A0686">
        <w:rPr>
          <w:rFonts w:eastAsiaTheme="minorHAnsi"/>
          <w:lang w:val="en-AU" w:eastAsia="en-GB"/>
        </w:rPr>
        <w:t>/</w:t>
      </w:r>
      <w:proofErr w:type="spellStart"/>
      <w:r w:rsidRPr="008A0686">
        <w:rPr>
          <w:rFonts w:eastAsiaTheme="minorHAnsi"/>
          <w:lang w:val="en-AU" w:eastAsia="en-GB"/>
        </w:rPr>
        <w:t>hypospermia</w:t>
      </w:r>
      <w:proofErr w:type="spellEnd"/>
      <w:r w:rsidRPr="008A0686">
        <w:rPr>
          <w:rFonts w:eastAsiaTheme="minorHAnsi"/>
          <w:lang w:val="en-AU" w:eastAsia="en-GB"/>
        </w:rPr>
        <w:t>, degeneration and/or hyperplasia or hypertrophy in the reproductive system were observed at ≥ 25 mg/kg/day in rats (</w:t>
      </w:r>
      <w:r w:rsidR="00B5015C">
        <w:rPr>
          <w:rFonts w:eastAsiaTheme="minorHAnsi"/>
          <w:lang w:val="en-AU" w:eastAsia="en-GB"/>
        </w:rPr>
        <w:t xml:space="preserve">0.5 </w:t>
      </w:r>
      <w:r w:rsidRPr="008A0686">
        <w:rPr>
          <w:rFonts w:eastAsiaTheme="minorHAnsi"/>
          <w:lang w:val="en-AU" w:eastAsia="en-GB"/>
        </w:rPr>
        <w:t>times the human exposure based on AUC) and ≥ 2.5 mg/kg/day in dogs (</w:t>
      </w:r>
      <w:r w:rsidR="009472F2">
        <w:rPr>
          <w:rFonts w:eastAsiaTheme="minorHAnsi"/>
          <w:lang w:val="en-AU" w:eastAsia="en-GB"/>
        </w:rPr>
        <w:t>0.5</w:t>
      </w:r>
      <w:r w:rsidRPr="008A0686">
        <w:rPr>
          <w:rFonts w:eastAsiaTheme="minorHAnsi"/>
          <w:lang w:val="en-AU" w:eastAsia="en-GB"/>
        </w:rPr>
        <w:t xml:space="preserve"> times th</w:t>
      </w:r>
      <w:r>
        <w:rPr>
          <w:rFonts w:eastAsiaTheme="minorHAnsi"/>
          <w:lang w:val="en-AU" w:eastAsia="en-GB"/>
        </w:rPr>
        <w:t>e human exposure based on AUC).</w:t>
      </w:r>
    </w:p>
    <w:p w14:paraId="47ECBC07" w14:textId="50EA153C" w:rsidR="008A0686" w:rsidRPr="00666140" w:rsidRDefault="008A0686" w:rsidP="008A0686">
      <w:pPr>
        <w:pStyle w:val="BodyText"/>
        <w:rPr>
          <w:rFonts w:eastAsiaTheme="minorHAnsi"/>
          <w:lang w:val="en-AU" w:eastAsia="en-GB"/>
        </w:rPr>
      </w:pPr>
      <w:r w:rsidRPr="008A0686">
        <w:rPr>
          <w:rFonts w:eastAsiaTheme="minorHAnsi"/>
          <w:lang w:val="en-AU" w:eastAsia="en-GB"/>
        </w:rPr>
        <w:t>In a fertility study in male rats, a decrease in sperm concentration and motility, copulation and fertility rates (upon pairing with untreated females) along with reduced weights of the secondary sex glands and epididymis were observed following 4 weeks of dosing at ≥ 25 mg/kg/day (</w:t>
      </w:r>
      <w:r w:rsidR="003A4150">
        <w:rPr>
          <w:rFonts w:eastAsiaTheme="minorHAnsi"/>
          <w:lang w:val="en-AU" w:eastAsia="en-GB"/>
        </w:rPr>
        <w:t>0.5</w:t>
      </w:r>
      <w:r w:rsidR="005803AA">
        <w:rPr>
          <w:rFonts w:eastAsiaTheme="minorHAnsi"/>
          <w:lang w:val="en-AU" w:eastAsia="en-GB"/>
        </w:rPr>
        <w:t xml:space="preserve"> times </w:t>
      </w:r>
      <w:r w:rsidRPr="008A0686">
        <w:rPr>
          <w:rFonts w:eastAsiaTheme="minorHAnsi"/>
          <w:lang w:val="en-AU" w:eastAsia="en-GB"/>
        </w:rPr>
        <w:t>the human exposure based on AUC).  Effects on male rats were reversible after 8 weeks from the last apalutamide administration.</w:t>
      </w:r>
    </w:p>
    <w:p w14:paraId="70CBD4C5" w14:textId="77777777" w:rsidR="00B86E59" w:rsidRDefault="001D17FF" w:rsidP="00B86E59">
      <w:pPr>
        <w:pStyle w:val="Heading3"/>
      </w:pPr>
      <w:r>
        <w:t>Use in p</w:t>
      </w:r>
      <w:r w:rsidR="001E1110">
        <w:t>regnancy</w:t>
      </w:r>
      <w:r w:rsidR="00B86E59">
        <w:t xml:space="preserve"> </w:t>
      </w:r>
    </w:p>
    <w:p w14:paraId="32580788" w14:textId="47750EF6" w:rsidR="00287AFF" w:rsidRPr="00B86E59" w:rsidRDefault="00666140" w:rsidP="00B86E59">
      <w:pPr>
        <w:rPr>
          <w:rFonts w:ascii="Arial" w:hAnsi="Arial"/>
          <w:b/>
          <w:sz w:val="24"/>
          <w:szCs w:val="24"/>
          <w:lang w:eastAsia="en-GB"/>
        </w:rPr>
      </w:pPr>
      <w:r w:rsidRPr="00A523F3">
        <w:rPr>
          <w:rFonts w:ascii="Arial" w:hAnsi="Arial"/>
          <w:b/>
          <w:sz w:val="24"/>
          <w:szCs w:val="24"/>
          <w:lang w:eastAsia="en-GB"/>
        </w:rPr>
        <w:t>C</w:t>
      </w:r>
      <w:r w:rsidR="0062264B" w:rsidRPr="00A523F3">
        <w:rPr>
          <w:rFonts w:ascii="Arial" w:hAnsi="Arial"/>
          <w:b/>
          <w:sz w:val="24"/>
          <w:szCs w:val="24"/>
          <w:lang w:eastAsia="en-GB"/>
        </w:rPr>
        <w:t xml:space="preserve">ategory </w:t>
      </w:r>
      <w:r w:rsidRPr="00A523F3">
        <w:rPr>
          <w:rFonts w:ascii="Arial" w:hAnsi="Arial"/>
          <w:b/>
          <w:sz w:val="24"/>
          <w:szCs w:val="24"/>
          <w:lang w:eastAsia="en-GB"/>
        </w:rPr>
        <w:t>D</w:t>
      </w:r>
    </w:p>
    <w:p w14:paraId="64FB936A" w14:textId="2F5B3B0C" w:rsidR="0062264B" w:rsidRDefault="00B86E59" w:rsidP="0062264B">
      <w:pPr>
        <w:rPr>
          <w:rFonts w:ascii="Arial" w:hAnsi="Arial"/>
          <w:sz w:val="21"/>
          <w:lang w:eastAsia="en-GB"/>
        </w:rPr>
      </w:pPr>
      <w:r>
        <w:rPr>
          <w:rFonts w:ascii="Arial" w:hAnsi="Arial"/>
          <w:sz w:val="21"/>
          <w:lang w:eastAsia="en-GB"/>
        </w:rPr>
        <w:br/>
      </w:r>
      <w:bookmarkStart w:id="4" w:name="_Hlk503199635"/>
      <w:r w:rsidR="0038517B">
        <w:rPr>
          <w:rFonts w:ascii="Arial" w:hAnsi="Arial"/>
          <w:sz w:val="21"/>
          <w:lang w:eastAsia="en-GB"/>
        </w:rPr>
        <w:t>ERLYAND</w:t>
      </w:r>
      <w:r w:rsidR="0062264B" w:rsidRPr="0062264B">
        <w:rPr>
          <w:rFonts w:ascii="Arial" w:hAnsi="Arial"/>
          <w:sz w:val="21"/>
          <w:lang w:eastAsia="en-GB"/>
        </w:rPr>
        <w:t xml:space="preserve"> </w:t>
      </w:r>
      <w:bookmarkEnd w:id="4"/>
      <w:r w:rsidR="0062264B" w:rsidRPr="0062264B">
        <w:rPr>
          <w:rFonts w:ascii="Arial" w:hAnsi="Arial"/>
          <w:sz w:val="21"/>
          <w:lang w:eastAsia="en-GB"/>
        </w:rPr>
        <w:t xml:space="preserve">is contraindicated in women who are or may become pregnant. Based on its mechanism of action, </w:t>
      </w:r>
      <w:r w:rsidR="0038517B">
        <w:rPr>
          <w:rFonts w:ascii="Arial" w:hAnsi="Arial"/>
          <w:sz w:val="21"/>
          <w:lang w:eastAsia="en-GB"/>
        </w:rPr>
        <w:t>ERLYAND</w:t>
      </w:r>
      <w:r w:rsidR="0062264B" w:rsidRPr="0062264B">
        <w:rPr>
          <w:rFonts w:ascii="Arial" w:hAnsi="Arial"/>
          <w:sz w:val="21"/>
          <w:lang w:eastAsia="en-GB"/>
        </w:rPr>
        <w:t xml:space="preserve"> may</w:t>
      </w:r>
      <w:r w:rsidR="0062264B">
        <w:rPr>
          <w:rFonts w:ascii="Arial" w:hAnsi="Arial"/>
          <w:sz w:val="21"/>
          <w:lang w:eastAsia="en-GB"/>
        </w:rPr>
        <w:t xml:space="preserve"> cause fetal harm when administered during pregnancy. There are no data available with the use of </w:t>
      </w:r>
      <w:r w:rsidR="0038517B">
        <w:rPr>
          <w:rFonts w:ascii="Arial" w:hAnsi="Arial"/>
          <w:sz w:val="21"/>
          <w:lang w:eastAsia="en-GB"/>
        </w:rPr>
        <w:t>ERLYAND</w:t>
      </w:r>
      <w:r w:rsidR="0062264B">
        <w:rPr>
          <w:rFonts w:ascii="Arial" w:hAnsi="Arial"/>
          <w:sz w:val="21"/>
          <w:lang w:eastAsia="en-GB"/>
        </w:rPr>
        <w:t xml:space="preserve"> during pregnancy</w:t>
      </w:r>
      <w:r w:rsidR="00F74B7D">
        <w:rPr>
          <w:rFonts w:ascii="Arial" w:hAnsi="Arial"/>
          <w:sz w:val="21"/>
          <w:lang w:eastAsia="en-GB"/>
        </w:rPr>
        <w:t xml:space="preserve"> in humans</w:t>
      </w:r>
      <w:r w:rsidR="0062264B">
        <w:rPr>
          <w:rFonts w:ascii="Arial" w:hAnsi="Arial"/>
          <w:sz w:val="21"/>
          <w:lang w:eastAsia="en-GB"/>
        </w:rPr>
        <w:t>.</w:t>
      </w:r>
    </w:p>
    <w:p w14:paraId="74A49399" w14:textId="0D65192E" w:rsidR="005F501A" w:rsidRDefault="005F501A" w:rsidP="0062264B">
      <w:pPr>
        <w:rPr>
          <w:rFonts w:ascii="Arial" w:hAnsi="Arial"/>
          <w:sz w:val="21"/>
          <w:lang w:eastAsia="en-GB"/>
        </w:rPr>
      </w:pPr>
    </w:p>
    <w:p w14:paraId="7A83B400" w14:textId="0FD26E1D" w:rsidR="005F501A" w:rsidRDefault="0038517B" w:rsidP="0062264B">
      <w:pPr>
        <w:rPr>
          <w:rFonts w:ascii="Arial" w:hAnsi="Arial"/>
          <w:sz w:val="21"/>
          <w:lang w:eastAsia="en-GB"/>
        </w:rPr>
      </w:pPr>
      <w:r>
        <w:rPr>
          <w:rFonts w:ascii="Arial" w:hAnsi="Arial"/>
          <w:sz w:val="21"/>
          <w:lang w:eastAsia="en-GB"/>
        </w:rPr>
        <w:t>ERLYAND</w:t>
      </w:r>
      <w:r w:rsidR="005F501A" w:rsidRPr="005F501A">
        <w:rPr>
          <w:rFonts w:ascii="Arial" w:hAnsi="Arial"/>
          <w:sz w:val="21"/>
          <w:lang w:eastAsia="en-GB"/>
        </w:rPr>
        <w:t xml:space="preserve"> may be harmful to a developing fetus. Patients having sex with female partners of reproductive potential should use a condom along with another highly effective contraceptive method during treatment and for 3 months after the last dose of </w:t>
      </w:r>
      <w:r>
        <w:rPr>
          <w:rFonts w:ascii="Arial" w:hAnsi="Arial"/>
          <w:sz w:val="21"/>
          <w:lang w:eastAsia="en-GB"/>
        </w:rPr>
        <w:t>ERLYAND</w:t>
      </w:r>
      <w:r w:rsidR="005F501A">
        <w:rPr>
          <w:rFonts w:ascii="Arial" w:hAnsi="Arial"/>
          <w:sz w:val="21"/>
          <w:lang w:eastAsia="en-GB"/>
        </w:rPr>
        <w:t xml:space="preserve">.  </w:t>
      </w:r>
    </w:p>
    <w:p w14:paraId="38C32F82" w14:textId="77777777" w:rsidR="0062264B" w:rsidRDefault="0062264B" w:rsidP="0062264B">
      <w:pPr>
        <w:rPr>
          <w:rFonts w:ascii="Arial" w:hAnsi="Arial"/>
          <w:sz w:val="21"/>
          <w:lang w:eastAsia="en-GB"/>
        </w:rPr>
      </w:pPr>
    </w:p>
    <w:p w14:paraId="3CF20411" w14:textId="16E536C9" w:rsidR="0062264B" w:rsidRPr="0062264B" w:rsidRDefault="0062264B" w:rsidP="0062264B">
      <w:r>
        <w:rPr>
          <w:rFonts w:ascii="Arial" w:hAnsi="Arial"/>
          <w:sz w:val="21"/>
          <w:lang w:eastAsia="en-GB"/>
        </w:rPr>
        <w:t xml:space="preserve">Animal </w:t>
      </w:r>
      <w:r w:rsidR="00520B5F" w:rsidRPr="00520B5F">
        <w:rPr>
          <w:rFonts w:ascii="Arial" w:hAnsi="Arial"/>
          <w:sz w:val="21"/>
          <w:lang w:eastAsia="en-GB"/>
        </w:rPr>
        <w:t>embryofetal</w:t>
      </w:r>
      <w:r w:rsidR="004B13AF">
        <w:rPr>
          <w:rFonts w:ascii="Arial" w:hAnsi="Arial"/>
          <w:sz w:val="21"/>
          <w:lang w:eastAsia="en-GB"/>
        </w:rPr>
        <w:t xml:space="preserve"> </w:t>
      </w:r>
      <w:r>
        <w:rPr>
          <w:rFonts w:ascii="Arial" w:hAnsi="Arial"/>
          <w:sz w:val="21"/>
          <w:lang w:eastAsia="en-GB"/>
        </w:rPr>
        <w:t xml:space="preserve">development studies have not been conducted with </w:t>
      </w:r>
      <w:r w:rsidR="0038517B">
        <w:rPr>
          <w:rFonts w:ascii="Arial" w:hAnsi="Arial"/>
          <w:sz w:val="21"/>
          <w:lang w:eastAsia="en-GB"/>
        </w:rPr>
        <w:t>ERLYAND</w:t>
      </w:r>
      <w:r>
        <w:rPr>
          <w:rFonts w:ascii="Arial" w:hAnsi="Arial"/>
          <w:sz w:val="21"/>
          <w:lang w:eastAsia="en-GB"/>
        </w:rPr>
        <w:t>.</w:t>
      </w:r>
    </w:p>
    <w:p w14:paraId="0F286504" w14:textId="36B07339" w:rsidR="001E1110" w:rsidRDefault="001D17FF" w:rsidP="00F95E9C">
      <w:pPr>
        <w:pStyle w:val="Heading3"/>
      </w:pPr>
      <w:r>
        <w:t>Use in lactation</w:t>
      </w:r>
    </w:p>
    <w:p w14:paraId="58B26242" w14:textId="19D42227" w:rsidR="00666140" w:rsidRPr="00666140" w:rsidRDefault="00F74B7D" w:rsidP="00666140">
      <w:pPr>
        <w:rPr>
          <w:rFonts w:ascii="Arial" w:hAnsi="Arial"/>
          <w:sz w:val="21"/>
          <w:lang w:eastAsia="en-GB"/>
        </w:rPr>
      </w:pPr>
      <w:r>
        <w:rPr>
          <w:rFonts w:ascii="Arial" w:hAnsi="Arial"/>
          <w:sz w:val="21"/>
          <w:lang w:eastAsia="en-GB"/>
        </w:rPr>
        <w:t xml:space="preserve">ERLYAND is not indicated for use in females. </w:t>
      </w:r>
      <w:r w:rsidR="008C1FA6">
        <w:rPr>
          <w:rFonts w:ascii="Arial" w:hAnsi="Arial"/>
          <w:sz w:val="21"/>
          <w:lang w:eastAsia="en-GB"/>
        </w:rPr>
        <w:t xml:space="preserve"> </w:t>
      </w:r>
      <w:r w:rsidR="00666140" w:rsidRPr="00666140">
        <w:rPr>
          <w:rFonts w:ascii="Arial" w:hAnsi="Arial"/>
          <w:sz w:val="21"/>
          <w:lang w:eastAsia="en-GB"/>
        </w:rPr>
        <w:t>There are no data on the presence of apalutamide or its metabolites in human milk, the effect on the breastfed infant, or the effect on milk production.</w:t>
      </w:r>
    </w:p>
    <w:p w14:paraId="2F0C3147" w14:textId="421C749C" w:rsidR="00007085" w:rsidRDefault="008450DE" w:rsidP="00F95E9C">
      <w:pPr>
        <w:pStyle w:val="Heading2"/>
      </w:pPr>
      <w:r>
        <w:t xml:space="preserve">4.7 </w:t>
      </w:r>
      <w:r w:rsidR="00007085">
        <w:t>Effects on ability to drive and use machines</w:t>
      </w:r>
    </w:p>
    <w:p w14:paraId="3BE66A26" w14:textId="3D16D5DE" w:rsidR="00666140" w:rsidRPr="00666140" w:rsidRDefault="00666140" w:rsidP="00666140">
      <w:pPr>
        <w:pStyle w:val="BodyText"/>
        <w:rPr>
          <w:rFonts w:eastAsiaTheme="minorHAnsi"/>
          <w:lang w:val="en-AU" w:eastAsia="en-GB"/>
        </w:rPr>
      </w:pPr>
      <w:r w:rsidRPr="00666140">
        <w:rPr>
          <w:rFonts w:eastAsiaTheme="minorHAnsi"/>
          <w:lang w:val="en-AU" w:eastAsia="en-GB"/>
        </w:rPr>
        <w:t xml:space="preserve">No studies on the effects of </w:t>
      </w:r>
      <w:r w:rsidR="0038517B">
        <w:rPr>
          <w:rFonts w:eastAsiaTheme="minorHAnsi"/>
          <w:lang w:val="en-AU" w:eastAsia="en-GB"/>
        </w:rPr>
        <w:t>ERLYAND</w:t>
      </w:r>
      <w:r w:rsidRPr="00666140">
        <w:rPr>
          <w:rFonts w:eastAsiaTheme="minorHAnsi"/>
          <w:lang w:val="en-AU" w:eastAsia="en-GB"/>
        </w:rPr>
        <w:t xml:space="preserve"> on the ability to drive or use machines have been performed.</w:t>
      </w:r>
      <w:r w:rsidR="00746F27">
        <w:rPr>
          <w:rFonts w:eastAsiaTheme="minorHAnsi"/>
          <w:lang w:val="en-AU" w:eastAsia="en-GB"/>
        </w:rPr>
        <w:t xml:space="preserve"> </w:t>
      </w:r>
      <w:r w:rsidRPr="00666140">
        <w:rPr>
          <w:rFonts w:eastAsiaTheme="minorHAnsi"/>
          <w:lang w:val="en-AU" w:eastAsia="en-GB"/>
        </w:rPr>
        <w:t xml:space="preserve"> </w:t>
      </w:r>
      <w:r w:rsidR="00746F27" w:rsidRPr="009B2DDA">
        <w:rPr>
          <w:rFonts w:eastAsiaTheme="minorHAnsi"/>
          <w:lang w:val="en-AU" w:eastAsia="en-GB"/>
        </w:rPr>
        <w:t>Patients with a history of seizures or other predisposing factors should be advised of the risk of driving or operating machines</w:t>
      </w:r>
      <w:r w:rsidR="00746F27">
        <w:rPr>
          <w:rFonts w:eastAsiaTheme="minorHAnsi"/>
          <w:lang w:val="en-AU" w:eastAsia="en-GB"/>
        </w:rPr>
        <w:t xml:space="preserve"> (</w:t>
      </w:r>
      <w:r w:rsidR="00746F27">
        <w:rPr>
          <w:rFonts w:eastAsiaTheme="minorHAnsi"/>
          <w:lang w:val="en-AU"/>
        </w:rPr>
        <w:t xml:space="preserve">see </w:t>
      </w:r>
      <w:r w:rsidR="00746F27">
        <w:rPr>
          <w:rFonts w:eastAsiaTheme="minorHAnsi"/>
          <w:b/>
          <w:lang w:val="en-AU"/>
        </w:rPr>
        <w:t>s</w:t>
      </w:r>
      <w:r w:rsidR="00746F27" w:rsidRPr="00BD135F">
        <w:rPr>
          <w:rFonts w:eastAsiaTheme="minorHAnsi"/>
          <w:b/>
          <w:lang w:val="en-AU"/>
        </w:rPr>
        <w:t>ection 4.4 Special warnings and precautions for use</w:t>
      </w:r>
      <w:r w:rsidR="00746F27">
        <w:rPr>
          <w:rFonts w:eastAsiaTheme="minorHAnsi"/>
          <w:b/>
          <w:lang w:val="en-AU"/>
        </w:rPr>
        <w:t xml:space="preserve"> - Seizure).  </w:t>
      </w:r>
    </w:p>
    <w:p w14:paraId="7D4F8A00" w14:textId="0D4CFC4E" w:rsidR="00994C1D" w:rsidRDefault="008450DE" w:rsidP="00F95E9C">
      <w:pPr>
        <w:pStyle w:val="Heading2"/>
      </w:pPr>
      <w:r>
        <w:t xml:space="preserve">4.8 </w:t>
      </w:r>
      <w:r w:rsidR="001D17FF">
        <w:t>Adverse Effects (</w:t>
      </w:r>
      <w:r w:rsidR="00994C1D">
        <w:t>Undesirable effects</w:t>
      </w:r>
      <w:r w:rsidR="001D17FF">
        <w:t>)</w:t>
      </w:r>
    </w:p>
    <w:p w14:paraId="47B3E7A9" w14:textId="65350D63" w:rsidR="00C06D8F" w:rsidRDefault="00C06D8F" w:rsidP="00C06D8F">
      <w:pPr>
        <w:pStyle w:val="BodyText"/>
        <w:rPr>
          <w:rFonts w:eastAsiaTheme="minorHAnsi"/>
          <w:lang w:val="en-AU" w:eastAsia="en-GB"/>
        </w:rPr>
      </w:pPr>
      <w:r w:rsidRPr="00C06D8F">
        <w:rPr>
          <w:rFonts w:eastAsiaTheme="minorHAnsi"/>
          <w:lang w:val="en-AU" w:eastAsia="en-GB"/>
        </w:rPr>
        <w:t>B</w:t>
      </w:r>
      <w:r>
        <w:rPr>
          <w:rFonts w:eastAsiaTheme="minorHAnsi"/>
          <w:lang w:val="en-AU" w:eastAsia="en-GB"/>
        </w:rPr>
        <w:t xml:space="preserve">ecause clinical trials are conducted under widely varying conditions, adverse </w:t>
      </w:r>
      <w:r w:rsidR="00094F5C">
        <w:rPr>
          <w:rFonts w:eastAsiaTheme="minorHAnsi"/>
          <w:lang w:val="en-AU" w:eastAsia="en-GB"/>
        </w:rPr>
        <w:t>event</w:t>
      </w:r>
      <w:r>
        <w:rPr>
          <w:rFonts w:eastAsiaTheme="minorHAnsi"/>
          <w:lang w:val="en-AU" w:eastAsia="en-GB"/>
        </w:rPr>
        <w:t xml:space="preserve"> rates observed in the clinical trials of a drug cannot be directly compared to rates in the clinical trials of another drug and may not reflect the rates observed in practice. </w:t>
      </w:r>
      <w:r w:rsidR="00AC525E">
        <w:rPr>
          <w:rFonts w:eastAsiaTheme="minorHAnsi"/>
          <w:lang w:val="en-AU" w:eastAsia="en-GB"/>
        </w:rPr>
        <w:t xml:space="preserve"> </w:t>
      </w:r>
    </w:p>
    <w:p w14:paraId="102F642F" w14:textId="475E6F47" w:rsidR="00C06D8F" w:rsidRDefault="00004530" w:rsidP="00C06D8F">
      <w:pPr>
        <w:pStyle w:val="BodyText"/>
        <w:rPr>
          <w:rFonts w:eastAsiaTheme="minorHAnsi"/>
          <w:lang w:val="en-AU" w:eastAsia="en-GB"/>
        </w:rPr>
      </w:pPr>
      <w:r>
        <w:rPr>
          <w:rFonts w:eastAsiaTheme="minorHAnsi"/>
          <w:lang w:val="en-AU" w:eastAsia="en-GB"/>
        </w:rPr>
        <w:lastRenderedPageBreak/>
        <w:t>SPARTAN was</w:t>
      </w:r>
      <w:r w:rsidR="00C06D8F">
        <w:rPr>
          <w:rFonts w:eastAsiaTheme="minorHAnsi"/>
          <w:lang w:val="en-AU" w:eastAsia="en-GB"/>
        </w:rPr>
        <w:t xml:space="preserve"> a randomised (2:1), double-blind, </w:t>
      </w:r>
      <w:r w:rsidR="00E17139">
        <w:rPr>
          <w:rFonts w:eastAsiaTheme="minorHAnsi"/>
          <w:lang w:val="en-AU" w:eastAsia="en-GB"/>
        </w:rPr>
        <w:t>placebo-controlled, multi-centre</w:t>
      </w:r>
      <w:r w:rsidR="00C06D8F">
        <w:rPr>
          <w:rFonts w:eastAsiaTheme="minorHAnsi"/>
          <w:lang w:val="en-AU" w:eastAsia="en-GB"/>
        </w:rPr>
        <w:t xml:space="preserve"> clinical study, </w:t>
      </w:r>
      <w:r>
        <w:rPr>
          <w:rFonts w:eastAsiaTheme="minorHAnsi"/>
          <w:lang w:val="en-AU" w:eastAsia="en-GB"/>
        </w:rPr>
        <w:t xml:space="preserve">that </w:t>
      </w:r>
      <w:r w:rsidR="00C06D8F">
        <w:rPr>
          <w:rFonts w:eastAsiaTheme="minorHAnsi"/>
          <w:lang w:val="en-AU" w:eastAsia="en-GB"/>
        </w:rPr>
        <w:t xml:space="preserve">enrolled patients who had non-metastatic, castration-resistant prostate cancer (NM-CRPC). In this study, patients received either </w:t>
      </w:r>
      <w:r w:rsidR="00E17139">
        <w:rPr>
          <w:rFonts w:eastAsiaTheme="minorHAnsi"/>
          <w:lang w:val="en-AU" w:eastAsia="en-GB"/>
        </w:rPr>
        <w:t>ERLYAND</w:t>
      </w:r>
      <w:r w:rsidR="00C06D8F">
        <w:rPr>
          <w:rFonts w:eastAsiaTheme="minorHAnsi"/>
          <w:lang w:val="en-AU" w:eastAsia="en-GB"/>
        </w:rPr>
        <w:t xml:space="preserve"> at a dose of 240 mg daily or a placebo. </w:t>
      </w:r>
      <w:r w:rsidR="00AC525E">
        <w:rPr>
          <w:rFonts w:eastAsiaTheme="minorHAnsi"/>
          <w:lang w:val="en-AU" w:eastAsia="en-GB"/>
        </w:rPr>
        <w:t xml:space="preserve"> </w:t>
      </w:r>
      <w:r w:rsidR="00C06D8F">
        <w:rPr>
          <w:rFonts w:eastAsiaTheme="minorHAnsi"/>
          <w:lang w:val="en-AU" w:eastAsia="en-GB"/>
        </w:rPr>
        <w:t>All patients in the SPARTAN study received a concomitant gonadotropin-releasing hormone (GnRH) analog</w:t>
      </w:r>
      <w:r w:rsidR="00E17139">
        <w:rPr>
          <w:rFonts w:eastAsiaTheme="minorHAnsi"/>
          <w:lang w:val="en-AU" w:eastAsia="en-GB"/>
        </w:rPr>
        <w:t>ue</w:t>
      </w:r>
      <w:r w:rsidR="00C06D8F">
        <w:rPr>
          <w:rFonts w:eastAsiaTheme="minorHAnsi"/>
          <w:lang w:val="en-AU" w:eastAsia="en-GB"/>
        </w:rPr>
        <w:t xml:space="preserve"> or had a bilateral orchiectomy. </w:t>
      </w:r>
      <w:r w:rsidR="00AC525E">
        <w:rPr>
          <w:rFonts w:eastAsiaTheme="minorHAnsi"/>
          <w:lang w:val="en-AU" w:eastAsia="en-GB"/>
        </w:rPr>
        <w:t xml:space="preserve"> </w:t>
      </w:r>
      <w:r w:rsidR="00C06D8F">
        <w:rPr>
          <w:rFonts w:eastAsiaTheme="minorHAnsi"/>
          <w:lang w:val="en-AU" w:eastAsia="en-GB"/>
        </w:rPr>
        <w:t xml:space="preserve">The median duration of exposure was 16.9 months (range: 0.1 to 42 months) in patients who received </w:t>
      </w:r>
      <w:r w:rsidR="00E17139">
        <w:rPr>
          <w:rFonts w:eastAsiaTheme="minorHAnsi"/>
          <w:lang w:val="en-AU" w:eastAsia="en-GB"/>
        </w:rPr>
        <w:t xml:space="preserve">ERLYAND </w:t>
      </w:r>
      <w:r w:rsidR="00C06D8F">
        <w:rPr>
          <w:rFonts w:eastAsiaTheme="minorHAnsi"/>
          <w:lang w:val="en-AU" w:eastAsia="en-GB"/>
        </w:rPr>
        <w:t xml:space="preserve">and 11.2 months (range: 0.1 to 37 months) in patients who received placebo. </w:t>
      </w:r>
      <w:r w:rsidR="00AC525E">
        <w:rPr>
          <w:rFonts w:eastAsiaTheme="minorHAnsi"/>
          <w:lang w:val="en-AU" w:eastAsia="en-GB"/>
        </w:rPr>
        <w:t xml:space="preserve"> </w:t>
      </w:r>
    </w:p>
    <w:p w14:paraId="0FF831A0" w14:textId="6737515C" w:rsidR="00C06D8F" w:rsidRDefault="00C06D8F" w:rsidP="00C06D8F">
      <w:pPr>
        <w:pStyle w:val="BodyText"/>
        <w:rPr>
          <w:rFonts w:eastAsiaTheme="minorHAnsi"/>
          <w:lang w:val="en-AU" w:eastAsia="en-GB"/>
        </w:rPr>
      </w:pPr>
      <w:r>
        <w:rPr>
          <w:rFonts w:eastAsiaTheme="minorHAnsi"/>
          <w:lang w:val="en-AU" w:eastAsia="en-GB"/>
        </w:rPr>
        <w:t xml:space="preserve">Overall, 8 patients (1%) who were treated with </w:t>
      </w:r>
      <w:r w:rsidR="00E17139">
        <w:rPr>
          <w:rFonts w:eastAsiaTheme="minorHAnsi"/>
          <w:lang w:val="en-AU" w:eastAsia="en-GB"/>
        </w:rPr>
        <w:t xml:space="preserve">ERLYAND </w:t>
      </w:r>
      <w:r>
        <w:rPr>
          <w:rFonts w:eastAsiaTheme="minorHAnsi"/>
          <w:lang w:val="en-AU" w:eastAsia="en-GB"/>
        </w:rPr>
        <w:t xml:space="preserve">died from adverse </w:t>
      </w:r>
      <w:r w:rsidR="00094F5C">
        <w:rPr>
          <w:rFonts w:eastAsiaTheme="minorHAnsi"/>
          <w:lang w:val="en-AU" w:eastAsia="en-GB"/>
        </w:rPr>
        <w:t>events</w:t>
      </w:r>
      <w:r>
        <w:rPr>
          <w:rFonts w:eastAsiaTheme="minorHAnsi"/>
          <w:lang w:val="en-AU" w:eastAsia="en-GB"/>
        </w:rPr>
        <w:t xml:space="preserve">. </w:t>
      </w:r>
      <w:r w:rsidR="00AC525E">
        <w:rPr>
          <w:rFonts w:eastAsiaTheme="minorHAnsi"/>
          <w:lang w:val="en-AU" w:eastAsia="en-GB"/>
        </w:rPr>
        <w:t xml:space="preserve"> </w:t>
      </w:r>
      <w:r>
        <w:rPr>
          <w:rFonts w:eastAsiaTheme="minorHAnsi"/>
          <w:lang w:val="en-AU" w:eastAsia="en-GB"/>
        </w:rPr>
        <w:t>The reasons for death were infection (n=4), myocardial infarction (n=3), and cerebral h</w:t>
      </w:r>
      <w:r w:rsidR="00E17139">
        <w:rPr>
          <w:rFonts w:eastAsiaTheme="minorHAnsi"/>
          <w:lang w:val="en-AU" w:eastAsia="en-GB"/>
        </w:rPr>
        <w:t>a</w:t>
      </w:r>
      <w:r>
        <w:rPr>
          <w:rFonts w:eastAsiaTheme="minorHAnsi"/>
          <w:lang w:val="en-AU" w:eastAsia="en-GB"/>
        </w:rPr>
        <w:t xml:space="preserve">emorrhage (n=1). One patient (0.3%) treated with placebo died from an adverse </w:t>
      </w:r>
      <w:r w:rsidR="00094F5C">
        <w:rPr>
          <w:rFonts w:eastAsiaTheme="minorHAnsi"/>
          <w:lang w:val="en-AU" w:eastAsia="en-GB"/>
        </w:rPr>
        <w:t>event</w:t>
      </w:r>
      <w:r>
        <w:rPr>
          <w:rFonts w:eastAsiaTheme="minorHAnsi"/>
          <w:lang w:val="en-AU" w:eastAsia="en-GB"/>
        </w:rPr>
        <w:t xml:space="preserve"> of cardiopulmonary arrest (n=1). </w:t>
      </w:r>
      <w:r w:rsidR="00E17139">
        <w:rPr>
          <w:rFonts w:eastAsiaTheme="minorHAnsi"/>
          <w:lang w:val="en-AU" w:eastAsia="en-GB"/>
        </w:rPr>
        <w:t xml:space="preserve">ERLYAND </w:t>
      </w:r>
      <w:r>
        <w:rPr>
          <w:rFonts w:eastAsiaTheme="minorHAnsi"/>
          <w:lang w:val="en-AU" w:eastAsia="en-GB"/>
        </w:rPr>
        <w:t xml:space="preserve">was discontinued due to adverse </w:t>
      </w:r>
      <w:r w:rsidR="00094F5C">
        <w:rPr>
          <w:rFonts w:eastAsiaTheme="minorHAnsi"/>
          <w:lang w:val="en-AU" w:eastAsia="en-GB"/>
        </w:rPr>
        <w:t>events</w:t>
      </w:r>
      <w:r>
        <w:rPr>
          <w:rFonts w:eastAsiaTheme="minorHAnsi"/>
          <w:lang w:val="en-AU" w:eastAsia="en-GB"/>
        </w:rPr>
        <w:t xml:space="preserve"> in 11% of patients, most commonly from rash (3%). Adverse </w:t>
      </w:r>
      <w:r w:rsidR="00094F5C">
        <w:rPr>
          <w:rFonts w:eastAsiaTheme="minorHAnsi"/>
          <w:lang w:val="en-AU" w:eastAsia="en-GB"/>
        </w:rPr>
        <w:t>events</w:t>
      </w:r>
      <w:r>
        <w:rPr>
          <w:rFonts w:eastAsiaTheme="minorHAnsi"/>
          <w:lang w:val="en-AU" w:eastAsia="en-GB"/>
        </w:rPr>
        <w:t xml:space="preserve"> leading to dose interruption or reduction of </w:t>
      </w:r>
      <w:r w:rsidR="00094F5C">
        <w:rPr>
          <w:rFonts w:eastAsiaTheme="minorHAnsi"/>
          <w:lang w:val="en-AU" w:eastAsia="en-GB"/>
        </w:rPr>
        <w:t xml:space="preserve">ERLYAND </w:t>
      </w:r>
      <w:r>
        <w:rPr>
          <w:rFonts w:eastAsiaTheme="minorHAnsi"/>
          <w:lang w:val="en-AU" w:eastAsia="en-GB"/>
        </w:rPr>
        <w:t>occurred in 33% of patients; the most common (&gt;1%) were rash, diarrh</w:t>
      </w:r>
      <w:r w:rsidR="00094F5C">
        <w:rPr>
          <w:rFonts w:eastAsiaTheme="minorHAnsi"/>
          <w:lang w:val="en-AU" w:eastAsia="en-GB"/>
        </w:rPr>
        <w:t>o</w:t>
      </w:r>
      <w:r>
        <w:rPr>
          <w:rFonts w:eastAsiaTheme="minorHAnsi"/>
          <w:lang w:val="en-AU" w:eastAsia="en-GB"/>
        </w:rPr>
        <w:t>ea, fatigue, nausea, vomiting, hypertension, and h</w:t>
      </w:r>
      <w:r w:rsidR="00094F5C">
        <w:rPr>
          <w:rFonts w:eastAsiaTheme="minorHAnsi"/>
          <w:lang w:val="en-AU" w:eastAsia="en-GB"/>
        </w:rPr>
        <w:t>a</w:t>
      </w:r>
      <w:r>
        <w:rPr>
          <w:rFonts w:eastAsiaTheme="minorHAnsi"/>
          <w:lang w:val="en-AU" w:eastAsia="en-GB"/>
        </w:rPr>
        <w:t xml:space="preserve">ematuria. Serious adverse </w:t>
      </w:r>
      <w:r w:rsidR="00094F5C">
        <w:rPr>
          <w:rFonts w:eastAsiaTheme="minorHAnsi"/>
          <w:lang w:val="en-AU" w:eastAsia="en-GB"/>
        </w:rPr>
        <w:t>events</w:t>
      </w:r>
      <w:r>
        <w:rPr>
          <w:rFonts w:eastAsiaTheme="minorHAnsi"/>
          <w:lang w:val="en-AU" w:eastAsia="en-GB"/>
        </w:rPr>
        <w:t xml:space="preserve"> occurred in 25% of </w:t>
      </w:r>
      <w:r w:rsidR="000D71C7">
        <w:rPr>
          <w:rFonts w:eastAsiaTheme="minorHAnsi"/>
          <w:lang w:val="en-AU" w:eastAsia="en-GB"/>
        </w:rPr>
        <w:t xml:space="preserve">ERLYAND </w:t>
      </w:r>
      <w:r>
        <w:rPr>
          <w:rFonts w:eastAsiaTheme="minorHAnsi"/>
          <w:lang w:val="en-AU" w:eastAsia="en-GB"/>
        </w:rPr>
        <w:t xml:space="preserve">-treated patients and 23% in patients receiving placebo. The most common serious adverse </w:t>
      </w:r>
      <w:r w:rsidR="00F80BE1">
        <w:rPr>
          <w:rFonts w:eastAsiaTheme="minorHAnsi"/>
          <w:lang w:val="en-AU" w:eastAsia="en-GB"/>
        </w:rPr>
        <w:t>events</w:t>
      </w:r>
      <w:r>
        <w:rPr>
          <w:rFonts w:eastAsiaTheme="minorHAnsi"/>
          <w:lang w:val="en-AU" w:eastAsia="en-GB"/>
        </w:rPr>
        <w:t xml:space="preserve"> (&gt;2%) were fracture (3%) in the </w:t>
      </w:r>
      <w:r w:rsidR="00094F5C">
        <w:rPr>
          <w:rFonts w:eastAsiaTheme="minorHAnsi"/>
          <w:lang w:val="en-AU" w:eastAsia="en-GB"/>
        </w:rPr>
        <w:t xml:space="preserve">ERLYAND </w:t>
      </w:r>
      <w:r>
        <w:rPr>
          <w:rFonts w:eastAsiaTheme="minorHAnsi"/>
          <w:lang w:val="en-AU" w:eastAsia="en-GB"/>
        </w:rPr>
        <w:t xml:space="preserve">arm and urinary retention </w:t>
      </w:r>
      <w:r w:rsidRPr="00C06D8F">
        <w:rPr>
          <w:rFonts w:eastAsiaTheme="minorHAnsi"/>
          <w:lang w:val="en-AU" w:eastAsia="en-GB"/>
        </w:rPr>
        <w:t>(4%) in the placebo arm.</w:t>
      </w:r>
    </w:p>
    <w:p w14:paraId="7D7EA34A" w14:textId="400CA8FD" w:rsidR="00994C1D" w:rsidRDefault="00E17139" w:rsidP="00BB25A3">
      <w:pPr>
        <w:pStyle w:val="BodyText"/>
        <w:rPr>
          <w:rFonts w:eastAsiaTheme="minorHAnsi"/>
          <w:lang w:val="en-AU" w:eastAsia="en-GB"/>
        </w:rPr>
      </w:pPr>
      <w:r>
        <w:rPr>
          <w:rFonts w:eastAsiaTheme="minorHAnsi"/>
          <w:lang w:val="en-AU" w:eastAsia="en-GB"/>
        </w:rPr>
        <w:t xml:space="preserve">Table 1 shows adverse </w:t>
      </w:r>
      <w:r w:rsidR="00094F5C">
        <w:rPr>
          <w:rFonts w:eastAsiaTheme="minorHAnsi"/>
          <w:lang w:val="en-AU" w:eastAsia="en-GB"/>
        </w:rPr>
        <w:t>events</w:t>
      </w:r>
      <w:r>
        <w:rPr>
          <w:rFonts w:eastAsiaTheme="minorHAnsi"/>
          <w:lang w:val="en-AU" w:eastAsia="en-GB"/>
        </w:rPr>
        <w:t xml:space="preserve"> occurring in ≥10% on the </w:t>
      </w:r>
      <w:r w:rsidR="00094F5C">
        <w:rPr>
          <w:rFonts w:eastAsiaTheme="minorHAnsi"/>
          <w:lang w:val="en-AU" w:eastAsia="en-GB"/>
        </w:rPr>
        <w:t xml:space="preserve">ERLYAND </w:t>
      </w:r>
      <w:r>
        <w:rPr>
          <w:rFonts w:eastAsiaTheme="minorHAnsi"/>
          <w:lang w:val="en-AU" w:eastAsia="en-GB"/>
        </w:rPr>
        <w:t>arm in SPARTAN that occurred with a 2% absolute increase i</w:t>
      </w:r>
      <w:r w:rsidR="00575F81">
        <w:rPr>
          <w:rFonts w:eastAsiaTheme="minorHAnsi"/>
          <w:lang w:val="en-AU" w:eastAsia="en-GB"/>
        </w:rPr>
        <w:t>n frequency compared to placebo.</w:t>
      </w:r>
      <w:r>
        <w:rPr>
          <w:rFonts w:eastAsiaTheme="minorHAnsi"/>
          <w:lang w:val="en-AU" w:eastAsia="en-GB"/>
        </w:rPr>
        <w:t xml:space="preserve"> </w:t>
      </w:r>
      <w:r w:rsidR="00AC525E">
        <w:rPr>
          <w:rFonts w:eastAsiaTheme="minorHAnsi"/>
          <w:lang w:val="en-AU" w:eastAsia="en-GB"/>
        </w:rPr>
        <w:t xml:space="preserve"> </w:t>
      </w:r>
      <w:r>
        <w:rPr>
          <w:rFonts w:eastAsiaTheme="minorHAnsi"/>
          <w:lang w:val="en-AU" w:eastAsia="en-GB"/>
        </w:rPr>
        <w:t xml:space="preserve">Table 2 shows laboratory abnormalities that occurred in ≥15% of patients, and more frequently (&gt;5%) in the </w:t>
      </w:r>
      <w:r w:rsidR="00094F5C">
        <w:rPr>
          <w:rFonts w:eastAsiaTheme="minorHAnsi"/>
          <w:lang w:val="en-AU" w:eastAsia="en-GB"/>
        </w:rPr>
        <w:t xml:space="preserve">ERLYAND </w:t>
      </w:r>
      <w:r w:rsidRPr="00E17139">
        <w:rPr>
          <w:rFonts w:eastAsiaTheme="minorHAnsi"/>
          <w:lang w:val="en-AU" w:eastAsia="en-GB"/>
        </w:rPr>
        <w:t>arm compared to placebo.</w:t>
      </w:r>
      <w:r w:rsidR="00AC525E">
        <w:rPr>
          <w:rFonts w:eastAsiaTheme="minorHAnsi"/>
          <w:lang w:val="en-AU" w:eastAsia="en-GB"/>
        </w:rPr>
        <w:t xml:space="preserve"> </w:t>
      </w:r>
    </w:p>
    <w:tbl>
      <w:tblPr>
        <w:tblW w:w="5010" w:type="pct"/>
        <w:tblLayout w:type="fixed"/>
        <w:tblCellMar>
          <w:left w:w="115" w:type="dxa"/>
          <w:right w:w="115" w:type="dxa"/>
        </w:tblCellMar>
        <w:tblLook w:val="0000" w:firstRow="0" w:lastRow="0" w:firstColumn="0" w:lastColumn="0" w:noHBand="0" w:noVBand="0"/>
      </w:tblPr>
      <w:tblGrid>
        <w:gridCol w:w="4602"/>
        <w:gridCol w:w="1167"/>
        <w:gridCol w:w="1169"/>
        <w:gridCol w:w="1168"/>
        <w:gridCol w:w="1169"/>
      </w:tblGrid>
      <w:tr w:rsidR="00CF241B" w:rsidRPr="00142303" w14:paraId="1885BBBF" w14:textId="77777777" w:rsidTr="00CF241B">
        <w:trPr>
          <w:cantSplit/>
        </w:trPr>
        <w:tc>
          <w:tcPr>
            <w:tcW w:w="9275" w:type="dxa"/>
            <w:gridSpan w:val="5"/>
          </w:tcPr>
          <w:p w14:paraId="0DA89C6D" w14:textId="37E9F224" w:rsidR="00CF241B" w:rsidRPr="00142303" w:rsidRDefault="00CF241B" w:rsidP="00F97643">
            <w:pPr>
              <w:keepNext/>
              <w:tabs>
                <w:tab w:val="left" w:pos="1440"/>
              </w:tabs>
              <w:spacing w:before="60" w:after="60"/>
              <w:ind w:left="1440" w:hanging="1440"/>
              <w:rPr>
                <w:b/>
                <w:bCs/>
                <w:szCs w:val="18"/>
              </w:rPr>
            </w:pPr>
            <w:r w:rsidRPr="00142303">
              <w:rPr>
                <w:b/>
                <w:bCs/>
                <w:szCs w:val="18"/>
              </w:rPr>
              <w:t>Table </w:t>
            </w:r>
            <w:r w:rsidRPr="00142303">
              <w:rPr>
                <w:b/>
                <w:bCs/>
                <w:szCs w:val="18"/>
              </w:rPr>
              <w:fldChar w:fldCharType="begin"/>
            </w:r>
            <w:r w:rsidRPr="00142303">
              <w:rPr>
                <w:b/>
                <w:bCs/>
                <w:szCs w:val="18"/>
              </w:rPr>
              <w:instrText xml:space="preserve"> SEQ Table \* ARABIC </w:instrText>
            </w:r>
            <w:r w:rsidRPr="00142303">
              <w:rPr>
                <w:b/>
                <w:bCs/>
                <w:szCs w:val="18"/>
              </w:rPr>
              <w:fldChar w:fldCharType="separate"/>
            </w:r>
            <w:r w:rsidR="003D4989">
              <w:rPr>
                <w:b/>
                <w:bCs/>
                <w:noProof/>
                <w:szCs w:val="18"/>
              </w:rPr>
              <w:t>1</w:t>
            </w:r>
            <w:r w:rsidRPr="00142303">
              <w:rPr>
                <w:b/>
                <w:bCs/>
                <w:szCs w:val="18"/>
              </w:rPr>
              <w:fldChar w:fldCharType="end"/>
            </w:r>
            <w:r w:rsidRPr="00142303">
              <w:rPr>
                <w:b/>
                <w:bCs/>
                <w:szCs w:val="18"/>
              </w:rPr>
              <w:t>:</w:t>
            </w:r>
            <w:r w:rsidRPr="00142303">
              <w:rPr>
                <w:b/>
                <w:bCs/>
                <w:szCs w:val="18"/>
              </w:rPr>
              <w:tab/>
            </w:r>
            <w:r>
              <w:rPr>
                <w:b/>
                <w:bCs/>
                <w:szCs w:val="18"/>
              </w:rPr>
              <w:t xml:space="preserve">Adverse events in the SPARTAN study that occurred </w:t>
            </w:r>
            <w:r w:rsidR="00F97643">
              <w:rPr>
                <w:b/>
                <w:bCs/>
                <w:szCs w:val="18"/>
              </w:rPr>
              <w:t>in</w:t>
            </w:r>
            <w:r>
              <w:rPr>
                <w:b/>
                <w:bCs/>
                <w:szCs w:val="18"/>
              </w:rPr>
              <w:t xml:space="preserve"> </w:t>
            </w:r>
            <w:r w:rsidR="00F97643">
              <w:rPr>
                <w:b/>
                <w:bCs/>
                <w:szCs w:val="18"/>
              </w:rPr>
              <w:t>≥</w:t>
            </w:r>
            <w:r>
              <w:rPr>
                <w:b/>
                <w:bCs/>
                <w:szCs w:val="18"/>
              </w:rPr>
              <w:t>10%</w:t>
            </w:r>
            <w:r w:rsidR="00F97643">
              <w:rPr>
                <w:b/>
                <w:bCs/>
                <w:szCs w:val="18"/>
              </w:rPr>
              <w:t xml:space="preserve"> of</w:t>
            </w:r>
            <w:r w:rsidRPr="00C23F60">
              <w:rPr>
                <w:b/>
                <w:bCs/>
                <w:szCs w:val="18"/>
              </w:rPr>
              <w:t xml:space="preserve"> </w:t>
            </w:r>
            <w:r>
              <w:rPr>
                <w:b/>
                <w:bCs/>
                <w:szCs w:val="18"/>
              </w:rPr>
              <w:t xml:space="preserve">ERLYAND-treated patients, </w:t>
            </w:r>
            <w:r w:rsidR="00253A3E">
              <w:rPr>
                <w:b/>
                <w:bCs/>
                <w:szCs w:val="18"/>
              </w:rPr>
              <w:t xml:space="preserve">and </w:t>
            </w:r>
            <w:r w:rsidR="00F97643">
              <w:rPr>
                <w:b/>
                <w:bCs/>
                <w:szCs w:val="18"/>
              </w:rPr>
              <w:t xml:space="preserve">with at least a </w:t>
            </w:r>
            <w:r w:rsidR="003762E8" w:rsidRPr="003762E8">
              <w:rPr>
                <w:b/>
                <w:bCs/>
                <w:szCs w:val="18"/>
              </w:rPr>
              <w:t>2% absolute increase in frequency compared to placebo</w:t>
            </w:r>
            <w:r w:rsidR="00253A3E">
              <w:rPr>
                <w:b/>
                <w:bCs/>
                <w:szCs w:val="18"/>
              </w:rPr>
              <w:t>.</w:t>
            </w:r>
          </w:p>
        </w:tc>
      </w:tr>
      <w:tr w:rsidR="00CF241B" w:rsidRPr="00142303" w14:paraId="3516F4D9" w14:textId="77777777" w:rsidTr="0040369C">
        <w:trPr>
          <w:cantSplit/>
          <w:trHeight w:val="233"/>
        </w:trPr>
        <w:tc>
          <w:tcPr>
            <w:tcW w:w="4602" w:type="dxa"/>
            <w:vAlign w:val="bottom"/>
          </w:tcPr>
          <w:p w14:paraId="5D804010" w14:textId="77777777" w:rsidR="00CF241B" w:rsidRPr="00142303" w:rsidRDefault="00CF241B" w:rsidP="0040369C">
            <w:pPr>
              <w:keepNext/>
              <w:ind w:left="180"/>
            </w:pPr>
          </w:p>
        </w:tc>
        <w:tc>
          <w:tcPr>
            <w:tcW w:w="2336" w:type="dxa"/>
            <w:gridSpan w:val="2"/>
            <w:vAlign w:val="bottom"/>
          </w:tcPr>
          <w:p w14:paraId="1C269010" w14:textId="77777777" w:rsidR="00CF241B" w:rsidRPr="00142303" w:rsidRDefault="00CF241B" w:rsidP="0040369C">
            <w:pPr>
              <w:keepNext/>
              <w:tabs>
                <w:tab w:val="left" w:pos="288"/>
                <w:tab w:val="left" w:pos="576"/>
                <w:tab w:val="left" w:pos="864"/>
              </w:tabs>
              <w:jc w:val="center"/>
              <w:rPr>
                <w:b/>
              </w:rPr>
            </w:pPr>
            <w:r>
              <w:rPr>
                <w:b/>
              </w:rPr>
              <w:t>ERLYAND</w:t>
            </w:r>
          </w:p>
          <w:p w14:paraId="0E717F05" w14:textId="77777777" w:rsidR="00CF241B" w:rsidRPr="00142303" w:rsidRDefault="00CF241B" w:rsidP="0040369C">
            <w:pPr>
              <w:keepNext/>
              <w:tabs>
                <w:tab w:val="left" w:pos="288"/>
                <w:tab w:val="left" w:pos="576"/>
                <w:tab w:val="left" w:pos="864"/>
              </w:tabs>
              <w:jc w:val="center"/>
              <w:rPr>
                <w:b/>
              </w:rPr>
            </w:pPr>
            <w:r w:rsidRPr="00142303">
              <w:rPr>
                <w:b/>
              </w:rPr>
              <w:t>N=803</w:t>
            </w:r>
          </w:p>
        </w:tc>
        <w:tc>
          <w:tcPr>
            <w:tcW w:w="2337" w:type="dxa"/>
            <w:gridSpan w:val="2"/>
            <w:vAlign w:val="bottom"/>
          </w:tcPr>
          <w:p w14:paraId="3322A80D" w14:textId="77777777" w:rsidR="00CF241B" w:rsidRPr="00142303" w:rsidRDefault="00CF241B" w:rsidP="0040369C">
            <w:pPr>
              <w:keepNext/>
              <w:tabs>
                <w:tab w:val="left" w:pos="288"/>
                <w:tab w:val="left" w:pos="576"/>
                <w:tab w:val="left" w:pos="864"/>
              </w:tabs>
              <w:jc w:val="center"/>
              <w:rPr>
                <w:b/>
              </w:rPr>
            </w:pPr>
            <w:r w:rsidRPr="00142303">
              <w:rPr>
                <w:b/>
              </w:rPr>
              <w:t>Placebo</w:t>
            </w:r>
          </w:p>
          <w:p w14:paraId="5395CE44" w14:textId="77777777" w:rsidR="00CF241B" w:rsidRPr="00142303" w:rsidRDefault="00CF241B" w:rsidP="0040369C">
            <w:pPr>
              <w:keepNext/>
              <w:tabs>
                <w:tab w:val="left" w:pos="288"/>
                <w:tab w:val="left" w:pos="576"/>
                <w:tab w:val="left" w:pos="864"/>
              </w:tabs>
              <w:jc w:val="center"/>
              <w:rPr>
                <w:b/>
              </w:rPr>
            </w:pPr>
            <w:r w:rsidRPr="00142303">
              <w:rPr>
                <w:b/>
              </w:rPr>
              <w:t>N=398</w:t>
            </w:r>
          </w:p>
        </w:tc>
      </w:tr>
      <w:tr w:rsidR="00CF241B" w:rsidRPr="00142303" w14:paraId="0F7D8A2E" w14:textId="77777777" w:rsidTr="0040369C">
        <w:trPr>
          <w:cantSplit/>
          <w:trHeight w:val="233"/>
        </w:trPr>
        <w:tc>
          <w:tcPr>
            <w:tcW w:w="4602" w:type="dxa"/>
            <w:vAlign w:val="bottom"/>
          </w:tcPr>
          <w:p w14:paraId="4CBC031F" w14:textId="77777777" w:rsidR="00CF241B" w:rsidRPr="0067123B" w:rsidDel="00245F7C" w:rsidRDefault="00CF241B" w:rsidP="0040369C">
            <w:pPr>
              <w:keepNext/>
              <w:tabs>
                <w:tab w:val="left" w:pos="288"/>
                <w:tab w:val="left" w:pos="576"/>
                <w:tab w:val="left" w:pos="864"/>
              </w:tabs>
              <w:jc w:val="right"/>
              <w:rPr>
                <w:b/>
                <w:i/>
              </w:rPr>
            </w:pPr>
            <w:r w:rsidRPr="0067123B">
              <w:rPr>
                <w:b/>
                <w:i/>
              </w:rPr>
              <w:t>Median duration of follow up</w:t>
            </w:r>
          </w:p>
        </w:tc>
        <w:tc>
          <w:tcPr>
            <w:tcW w:w="2336" w:type="dxa"/>
            <w:gridSpan w:val="2"/>
            <w:vAlign w:val="bottom"/>
          </w:tcPr>
          <w:p w14:paraId="63D09161" w14:textId="77777777" w:rsidR="00CF241B" w:rsidRPr="0067123B" w:rsidRDefault="00CF241B" w:rsidP="0040369C">
            <w:pPr>
              <w:keepNext/>
              <w:tabs>
                <w:tab w:val="left" w:pos="288"/>
                <w:tab w:val="left" w:pos="576"/>
                <w:tab w:val="left" w:pos="864"/>
              </w:tabs>
              <w:jc w:val="center"/>
              <w:rPr>
                <w:b/>
                <w:i/>
              </w:rPr>
            </w:pPr>
            <w:r w:rsidRPr="0067123B">
              <w:rPr>
                <w:b/>
                <w:i/>
              </w:rPr>
              <w:t>19 months</w:t>
            </w:r>
          </w:p>
        </w:tc>
        <w:tc>
          <w:tcPr>
            <w:tcW w:w="2337" w:type="dxa"/>
            <w:gridSpan w:val="2"/>
            <w:vAlign w:val="bottom"/>
          </w:tcPr>
          <w:p w14:paraId="53661D44" w14:textId="77777777" w:rsidR="00CF241B" w:rsidRPr="0067123B" w:rsidRDefault="00CF241B" w:rsidP="0040369C">
            <w:pPr>
              <w:keepNext/>
              <w:tabs>
                <w:tab w:val="left" w:pos="288"/>
                <w:tab w:val="left" w:pos="576"/>
                <w:tab w:val="left" w:pos="864"/>
              </w:tabs>
              <w:jc w:val="center"/>
              <w:rPr>
                <w:b/>
                <w:i/>
              </w:rPr>
            </w:pPr>
            <w:r w:rsidRPr="0067123B">
              <w:rPr>
                <w:b/>
                <w:i/>
              </w:rPr>
              <w:t>13 months</w:t>
            </w:r>
          </w:p>
        </w:tc>
      </w:tr>
      <w:tr w:rsidR="00CF241B" w:rsidRPr="00142303" w14:paraId="55D1D2C8" w14:textId="77777777" w:rsidTr="0040369C">
        <w:trPr>
          <w:cantSplit/>
          <w:trHeight w:val="232"/>
        </w:trPr>
        <w:tc>
          <w:tcPr>
            <w:tcW w:w="4602" w:type="dxa"/>
            <w:tcBorders>
              <w:bottom w:val="single" w:sz="4" w:space="0" w:color="auto"/>
            </w:tcBorders>
            <w:vAlign w:val="bottom"/>
          </w:tcPr>
          <w:p w14:paraId="5E2ABD55" w14:textId="77777777" w:rsidR="00CF241B" w:rsidRPr="00142303" w:rsidRDefault="00CF241B" w:rsidP="0040369C">
            <w:pPr>
              <w:keepNext/>
              <w:tabs>
                <w:tab w:val="left" w:pos="288"/>
                <w:tab w:val="left" w:pos="576"/>
                <w:tab w:val="left" w:pos="864"/>
              </w:tabs>
              <w:rPr>
                <w:b/>
              </w:rPr>
            </w:pPr>
            <w:r w:rsidRPr="00142303">
              <w:rPr>
                <w:b/>
              </w:rPr>
              <w:t>System/Organ Class</w:t>
            </w:r>
          </w:p>
          <w:p w14:paraId="28AE4FAE" w14:textId="77777777" w:rsidR="00CF241B" w:rsidRPr="00142303" w:rsidRDefault="00CF241B" w:rsidP="0040369C">
            <w:pPr>
              <w:keepNext/>
              <w:tabs>
                <w:tab w:val="left" w:pos="288"/>
                <w:tab w:val="left" w:pos="576"/>
                <w:tab w:val="left" w:pos="864"/>
              </w:tabs>
              <w:rPr>
                <w:b/>
              </w:rPr>
            </w:pPr>
            <w:r w:rsidRPr="00142303">
              <w:t xml:space="preserve">Adverse </w:t>
            </w:r>
            <w:r>
              <w:t>event</w:t>
            </w:r>
          </w:p>
        </w:tc>
        <w:tc>
          <w:tcPr>
            <w:tcW w:w="1167" w:type="dxa"/>
            <w:tcBorders>
              <w:bottom w:val="single" w:sz="4" w:space="0" w:color="auto"/>
            </w:tcBorders>
            <w:vAlign w:val="bottom"/>
          </w:tcPr>
          <w:p w14:paraId="42338BF8" w14:textId="77777777" w:rsidR="00CF241B" w:rsidRPr="00142303" w:rsidRDefault="00CF241B" w:rsidP="0040369C">
            <w:pPr>
              <w:keepNext/>
              <w:tabs>
                <w:tab w:val="left" w:pos="288"/>
                <w:tab w:val="left" w:pos="576"/>
                <w:tab w:val="left" w:pos="864"/>
              </w:tabs>
              <w:jc w:val="center"/>
              <w:rPr>
                <w:b/>
              </w:rPr>
            </w:pPr>
            <w:r w:rsidRPr="00142303">
              <w:rPr>
                <w:b/>
              </w:rPr>
              <w:t>All Grades</w:t>
            </w:r>
          </w:p>
          <w:p w14:paraId="4E8D870E" w14:textId="77777777" w:rsidR="00CF241B" w:rsidRPr="00142303" w:rsidRDefault="00CF241B" w:rsidP="0040369C">
            <w:pPr>
              <w:keepNext/>
              <w:tabs>
                <w:tab w:val="left" w:pos="288"/>
                <w:tab w:val="left" w:pos="576"/>
                <w:tab w:val="left" w:pos="864"/>
              </w:tabs>
              <w:jc w:val="center"/>
              <w:rPr>
                <w:b/>
              </w:rPr>
            </w:pPr>
            <w:r w:rsidRPr="00142303">
              <w:rPr>
                <w:b/>
              </w:rPr>
              <w:t>%</w:t>
            </w:r>
          </w:p>
        </w:tc>
        <w:tc>
          <w:tcPr>
            <w:tcW w:w="1169" w:type="dxa"/>
            <w:tcBorders>
              <w:bottom w:val="single" w:sz="4" w:space="0" w:color="auto"/>
            </w:tcBorders>
            <w:vAlign w:val="bottom"/>
          </w:tcPr>
          <w:p w14:paraId="2682F563" w14:textId="77777777" w:rsidR="00CF241B" w:rsidRPr="00142303" w:rsidRDefault="00CF241B" w:rsidP="0040369C">
            <w:pPr>
              <w:keepNext/>
              <w:tabs>
                <w:tab w:val="left" w:pos="288"/>
                <w:tab w:val="left" w:pos="576"/>
                <w:tab w:val="left" w:pos="864"/>
              </w:tabs>
              <w:jc w:val="center"/>
              <w:rPr>
                <w:b/>
              </w:rPr>
            </w:pPr>
            <w:r w:rsidRPr="00142303">
              <w:rPr>
                <w:b/>
              </w:rPr>
              <w:t>Grade 3-4</w:t>
            </w:r>
          </w:p>
          <w:p w14:paraId="090C8D84" w14:textId="77777777" w:rsidR="00CF241B" w:rsidRPr="00142303" w:rsidRDefault="00CF241B" w:rsidP="0040369C">
            <w:pPr>
              <w:keepNext/>
              <w:tabs>
                <w:tab w:val="left" w:pos="288"/>
                <w:tab w:val="left" w:pos="576"/>
                <w:tab w:val="left" w:pos="864"/>
              </w:tabs>
              <w:jc w:val="center"/>
              <w:rPr>
                <w:b/>
              </w:rPr>
            </w:pPr>
            <w:r w:rsidRPr="00142303">
              <w:rPr>
                <w:b/>
              </w:rPr>
              <w:t>%</w:t>
            </w:r>
          </w:p>
        </w:tc>
        <w:tc>
          <w:tcPr>
            <w:tcW w:w="1168" w:type="dxa"/>
            <w:tcBorders>
              <w:bottom w:val="single" w:sz="4" w:space="0" w:color="auto"/>
            </w:tcBorders>
            <w:vAlign w:val="bottom"/>
          </w:tcPr>
          <w:p w14:paraId="419DBD6C" w14:textId="77777777" w:rsidR="00CF241B" w:rsidRPr="00142303" w:rsidRDefault="00CF241B" w:rsidP="0040369C">
            <w:pPr>
              <w:keepNext/>
              <w:tabs>
                <w:tab w:val="left" w:pos="288"/>
                <w:tab w:val="left" w:pos="576"/>
                <w:tab w:val="left" w:pos="864"/>
              </w:tabs>
              <w:jc w:val="center"/>
              <w:rPr>
                <w:b/>
              </w:rPr>
            </w:pPr>
            <w:r w:rsidRPr="00142303">
              <w:rPr>
                <w:b/>
              </w:rPr>
              <w:t>All Grades</w:t>
            </w:r>
          </w:p>
          <w:p w14:paraId="5B78A21D" w14:textId="77777777" w:rsidR="00CF241B" w:rsidRPr="00142303" w:rsidRDefault="00CF241B" w:rsidP="0040369C">
            <w:pPr>
              <w:keepNext/>
              <w:tabs>
                <w:tab w:val="left" w:pos="288"/>
                <w:tab w:val="left" w:pos="576"/>
                <w:tab w:val="left" w:pos="864"/>
              </w:tabs>
              <w:jc w:val="center"/>
              <w:rPr>
                <w:b/>
              </w:rPr>
            </w:pPr>
            <w:r w:rsidRPr="00142303">
              <w:rPr>
                <w:b/>
              </w:rPr>
              <w:t>%</w:t>
            </w:r>
          </w:p>
        </w:tc>
        <w:tc>
          <w:tcPr>
            <w:tcW w:w="1169" w:type="dxa"/>
            <w:tcBorders>
              <w:bottom w:val="single" w:sz="4" w:space="0" w:color="auto"/>
            </w:tcBorders>
          </w:tcPr>
          <w:p w14:paraId="3DF0101F" w14:textId="77777777" w:rsidR="00CF241B" w:rsidRPr="00142303" w:rsidRDefault="00CF241B" w:rsidP="0040369C">
            <w:pPr>
              <w:keepNext/>
              <w:tabs>
                <w:tab w:val="left" w:pos="288"/>
                <w:tab w:val="left" w:pos="576"/>
                <w:tab w:val="left" w:pos="864"/>
              </w:tabs>
              <w:jc w:val="center"/>
              <w:rPr>
                <w:b/>
              </w:rPr>
            </w:pPr>
            <w:r w:rsidRPr="00142303">
              <w:rPr>
                <w:b/>
              </w:rPr>
              <w:t>Grade 3-4</w:t>
            </w:r>
          </w:p>
          <w:p w14:paraId="3DA74A15" w14:textId="77777777" w:rsidR="00CF241B" w:rsidRPr="00142303" w:rsidRDefault="00CF241B" w:rsidP="0040369C">
            <w:pPr>
              <w:keepNext/>
              <w:tabs>
                <w:tab w:val="left" w:pos="288"/>
                <w:tab w:val="left" w:pos="576"/>
                <w:tab w:val="left" w:pos="864"/>
              </w:tabs>
              <w:jc w:val="center"/>
              <w:rPr>
                <w:b/>
              </w:rPr>
            </w:pPr>
            <w:r w:rsidRPr="00142303">
              <w:rPr>
                <w:b/>
              </w:rPr>
              <w:t>%</w:t>
            </w:r>
          </w:p>
        </w:tc>
      </w:tr>
      <w:tr w:rsidR="00CF241B" w:rsidRPr="00142303" w14:paraId="4DB31986" w14:textId="77777777" w:rsidTr="0040369C">
        <w:trPr>
          <w:cantSplit/>
        </w:trPr>
        <w:tc>
          <w:tcPr>
            <w:tcW w:w="9275" w:type="dxa"/>
            <w:gridSpan w:val="5"/>
            <w:tcBorders>
              <w:top w:val="single" w:sz="4" w:space="0" w:color="auto"/>
            </w:tcBorders>
            <w:shd w:val="clear" w:color="000000" w:fill="auto"/>
          </w:tcPr>
          <w:p w14:paraId="6D90239C" w14:textId="77777777" w:rsidR="00CF241B" w:rsidRPr="00142303" w:rsidRDefault="00CF241B" w:rsidP="0040369C">
            <w:pPr>
              <w:keepNext/>
              <w:tabs>
                <w:tab w:val="left" w:pos="288"/>
                <w:tab w:val="left" w:pos="576"/>
                <w:tab w:val="left" w:pos="864"/>
              </w:tabs>
            </w:pPr>
            <w:r w:rsidRPr="00142303">
              <w:rPr>
                <w:b/>
              </w:rPr>
              <w:t>General disorders and administration site conditions</w:t>
            </w:r>
          </w:p>
        </w:tc>
      </w:tr>
      <w:tr w:rsidR="00CF241B" w:rsidRPr="00142303" w14:paraId="0945236E" w14:textId="77777777" w:rsidTr="0040369C">
        <w:trPr>
          <w:cantSplit/>
        </w:trPr>
        <w:tc>
          <w:tcPr>
            <w:tcW w:w="4602" w:type="dxa"/>
            <w:shd w:val="clear" w:color="auto" w:fill="auto"/>
          </w:tcPr>
          <w:p w14:paraId="6AE6FB46" w14:textId="77777777" w:rsidR="00CF241B" w:rsidRPr="00142303" w:rsidRDefault="00CF241B" w:rsidP="0040369C">
            <w:pPr>
              <w:ind w:left="180"/>
              <w:rPr>
                <w:vertAlign w:val="superscript"/>
              </w:rPr>
            </w:pPr>
            <w:r w:rsidRPr="001405CA">
              <w:t>Fatigue</w:t>
            </w:r>
            <w:r w:rsidRPr="0067123B">
              <w:rPr>
                <w:vertAlign w:val="superscript"/>
              </w:rPr>
              <w:t>1,</w:t>
            </w:r>
            <w:r>
              <w:rPr>
                <w:vertAlign w:val="superscript"/>
              </w:rPr>
              <w:t>2</w:t>
            </w:r>
          </w:p>
        </w:tc>
        <w:tc>
          <w:tcPr>
            <w:tcW w:w="1167" w:type="dxa"/>
            <w:shd w:val="clear" w:color="000000" w:fill="auto"/>
          </w:tcPr>
          <w:p w14:paraId="3A42A537" w14:textId="743D4675" w:rsidR="00CF241B" w:rsidRPr="00142303" w:rsidRDefault="005630E0" w:rsidP="0040369C">
            <w:pPr>
              <w:tabs>
                <w:tab w:val="left" w:pos="288"/>
                <w:tab w:val="left" w:pos="576"/>
                <w:tab w:val="left" w:pos="864"/>
              </w:tabs>
              <w:jc w:val="center"/>
            </w:pPr>
            <w:r>
              <w:t>39</w:t>
            </w:r>
          </w:p>
        </w:tc>
        <w:tc>
          <w:tcPr>
            <w:tcW w:w="1169" w:type="dxa"/>
          </w:tcPr>
          <w:p w14:paraId="29C90154" w14:textId="77777777" w:rsidR="00CF241B" w:rsidRPr="00142303" w:rsidRDefault="00CF241B" w:rsidP="0040369C">
            <w:pPr>
              <w:tabs>
                <w:tab w:val="left" w:pos="288"/>
                <w:tab w:val="left" w:pos="576"/>
                <w:tab w:val="left" w:pos="864"/>
              </w:tabs>
              <w:jc w:val="center"/>
            </w:pPr>
            <w:r>
              <w:t>1</w:t>
            </w:r>
          </w:p>
        </w:tc>
        <w:tc>
          <w:tcPr>
            <w:tcW w:w="1168" w:type="dxa"/>
          </w:tcPr>
          <w:p w14:paraId="1F44BEE5" w14:textId="2BA39B49" w:rsidR="00CF241B" w:rsidRPr="00142303" w:rsidRDefault="009B69F9" w:rsidP="0040369C">
            <w:pPr>
              <w:tabs>
                <w:tab w:val="left" w:pos="288"/>
                <w:tab w:val="left" w:pos="576"/>
                <w:tab w:val="left" w:pos="864"/>
              </w:tabs>
              <w:jc w:val="center"/>
            </w:pPr>
            <w:r>
              <w:t>28</w:t>
            </w:r>
          </w:p>
        </w:tc>
        <w:tc>
          <w:tcPr>
            <w:tcW w:w="1169" w:type="dxa"/>
          </w:tcPr>
          <w:p w14:paraId="2B5C26B1" w14:textId="77777777" w:rsidR="00CF241B" w:rsidRPr="00142303" w:rsidRDefault="00CF241B" w:rsidP="0040369C">
            <w:pPr>
              <w:tabs>
                <w:tab w:val="left" w:pos="288"/>
                <w:tab w:val="left" w:pos="576"/>
                <w:tab w:val="left" w:pos="864"/>
              </w:tabs>
              <w:jc w:val="center"/>
            </w:pPr>
            <w:r w:rsidRPr="00142303">
              <w:t>0.3</w:t>
            </w:r>
          </w:p>
        </w:tc>
      </w:tr>
      <w:tr w:rsidR="005566F4" w:rsidRPr="00142303" w14:paraId="2A95EE61" w14:textId="77777777" w:rsidTr="0040369C">
        <w:trPr>
          <w:cantSplit/>
          <w:trHeight w:val="190"/>
        </w:trPr>
        <w:tc>
          <w:tcPr>
            <w:tcW w:w="9275" w:type="dxa"/>
            <w:gridSpan w:val="5"/>
          </w:tcPr>
          <w:p w14:paraId="2C253603" w14:textId="77777777" w:rsidR="005566F4" w:rsidRPr="00142303" w:rsidRDefault="005566F4" w:rsidP="0040369C">
            <w:pPr>
              <w:keepNext/>
              <w:tabs>
                <w:tab w:val="left" w:pos="288"/>
                <w:tab w:val="left" w:pos="576"/>
                <w:tab w:val="left" w:pos="864"/>
              </w:tabs>
            </w:pPr>
            <w:r w:rsidRPr="000F38F2">
              <w:rPr>
                <w:b/>
              </w:rPr>
              <w:t>Vascular disorders</w:t>
            </w:r>
          </w:p>
        </w:tc>
      </w:tr>
      <w:tr w:rsidR="005566F4" w:rsidRPr="00142303" w14:paraId="76B8E097" w14:textId="77777777" w:rsidTr="0040369C">
        <w:trPr>
          <w:cantSplit/>
          <w:trHeight w:val="258"/>
        </w:trPr>
        <w:tc>
          <w:tcPr>
            <w:tcW w:w="4602" w:type="dxa"/>
            <w:shd w:val="clear" w:color="auto" w:fill="auto"/>
          </w:tcPr>
          <w:p w14:paraId="54E6B82F" w14:textId="77777777" w:rsidR="005566F4" w:rsidRPr="00142303" w:rsidRDefault="005566F4" w:rsidP="0040369C">
            <w:pPr>
              <w:tabs>
                <w:tab w:val="left" w:pos="288"/>
                <w:tab w:val="left" w:pos="576"/>
                <w:tab w:val="left" w:pos="864"/>
              </w:tabs>
              <w:ind w:left="180"/>
              <w:rPr>
                <w:b/>
              </w:rPr>
            </w:pPr>
            <w:r>
              <w:t>Hypertension</w:t>
            </w:r>
          </w:p>
        </w:tc>
        <w:tc>
          <w:tcPr>
            <w:tcW w:w="1167" w:type="dxa"/>
          </w:tcPr>
          <w:p w14:paraId="3234BEB6" w14:textId="77777777" w:rsidR="005566F4" w:rsidRPr="00142303" w:rsidRDefault="005566F4" w:rsidP="0040369C">
            <w:pPr>
              <w:tabs>
                <w:tab w:val="left" w:pos="288"/>
                <w:tab w:val="left" w:pos="576"/>
                <w:tab w:val="left" w:pos="864"/>
              </w:tabs>
              <w:jc w:val="center"/>
            </w:pPr>
            <w:r>
              <w:t>25</w:t>
            </w:r>
          </w:p>
        </w:tc>
        <w:tc>
          <w:tcPr>
            <w:tcW w:w="1169" w:type="dxa"/>
          </w:tcPr>
          <w:p w14:paraId="2C852B94" w14:textId="77777777" w:rsidR="005566F4" w:rsidRPr="00142303" w:rsidRDefault="005566F4" w:rsidP="0040369C">
            <w:pPr>
              <w:tabs>
                <w:tab w:val="left" w:pos="288"/>
                <w:tab w:val="left" w:pos="576"/>
                <w:tab w:val="left" w:pos="864"/>
              </w:tabs>
              <w:jc w:val="center"/>
            </w:pPr>
            <w:r>
              <w:t>14</w:t>
            </w:r>
          </w:p>
        </w:tc>
        <w:tc>
          <w:tcPr>
            <w:tcW w:w="1168" w:type="dxa"/>
          </w:tcPr>
          <w:p w14:paraId="0BE58FFB" w14:textId="77777777" w:rsidR="005566F4" w:rsidRPr="00142303" w:rsidRDefault="005566F4" w:rsidP="0040369C">
            <w:pPr>
              <w:tabs>
                <w:tab w:val="left" w:pos="288"/>
                <w:tab w:val="left" w:pos="576"/>
                <w:tab w:val="left" w:pos="864"/>
              </w:tabs>
              <w:jc w:val="center"/>
            </w:pPr>
            <w:r>
              <w:t>20</w:t>
            </w:r>
          </w:p>
        </w:tc>
        <w:tc>
          <w:tcPr>
            <w:tcW w:w="1169" w:type="dxa"/>
          </w:tcPr>
          <w:p w14:paraId="00D1410B" w14:textId="77777777" w:rsidR="005566F4" w:rsidRPr="00142303" w:rsidRDefault="005566F4" w:rsidP="0040369C">
            <w:pPr>
              <w:tabs>
                <w:tab w:val="left" w:pos="288"/>
                <w:tab w:val="left" w:pos="576"/>
                <w:tab w:val="left" w:pos="864"/>
              </w:tabs>
              <w:jc w:val="center"/>
            </w:pPr>
            <w:r>
              <w:t>12</w:t>
            </w:r>
          </w:p>
        </w:tc>
      </w:tr>
      <w:tr w:rsidR="005566F4" w:rsidRPr="00142303" w:rsidDel="001849C6" w14:paraId="1E18CBCA" w14:textId="77777777" w:rsidTr="0040369C">
        <w:trPr>
          <w:cantSplit/>
          <w:trHeight w:val="258"/>
        </w:trPr>
        <w:tc>
          <w:tcPr>
            <w:tcW w:w="4602" w:type="dxa"/>
            <w:shd w:val="clear" w:color="auto" w:fill="auto"/>
          </w:tcPr>
          <w:p w14:paraId="2D8CF765" w14:textId="77777777" w:rsidR="005566F4" w:rsidRPr="00142303" w:rsidDel="001849C6" w:rsidRDefault="005566F4" w:rsidP="0040369C">
            <w:pPr>
              <w:tabs>
                <w:tab w:val="left" w:pos="288"/>
                <w:tab w:val="left" w:pos="576"/>
                <w:tab w:val="left" w:pos="864"/>
              </w:tabs>
              <w:ind w:left="180"/>
            </w:pPr>
            <w:r>
              <w:t>Hot flush</w:t>
            </w:r>
            <w:r>
              <w:rPr>
                <w:vertAlign w:val="superscript"/>
              </w:rPr>
              <w:t>2</w:t>
            </w:r>
          </w:p>
        </w:tc>
        <w:tc>
          <w:tcPr>
            <w:tcW w:w="1167" w:type="dxa"/>
          </w:tcPr>
          <w:p w14:paraId="13FBAA59" w14:textId="77777777" w:rsidR="005566F4" w:rsidRPr="00142303" w:rsidDel="001849C6" w:rsidRDefault="005566F4" w:rsidP="0040369C">
            <w:pPr>
              <w:tabs>
                <w:tab w:val="left" w:pos="288"/>
                <w:tab w:val="left" w:pos="576"/>
                <w:tab w:val="left" w:pos="864"/>
              </w:tabs>
              <w:jc w:val="center"/>
            </w:pPr>
            <w:r>
              <w:t>14</w:t>
            </w:r>
          </w:p>
        </w:tc>
        <w:tc>
          <w:tcPr>
            <w:tcW w:w="1169" w:type="dxa"/>
          </w:tcPr>
          <w:p w14:paraId="38C2C4D7" w14:textId="77777777" w:rsidR="005566F4" w:rsidRPr="00142303" w:rsidDel="001849C6" w:rsidRDefault="005566F4" w:rsidP="0040369C">
            <w:pPr>
              <w:tabs>
                <w:tab w:val="left" w:pos="288"/>
                <w:tab w:val="left" w:pos="576"/>
                <w:tab w:val="left" w:pos="864"/>
              </w:tabs>
              <w:jc w:val="center"/>
            </w:pPr>
            <w:r>
              <w:t>0</w:t>
            </w:r>
          </w:p>
        </w:tc>
        <w:tc>
          <w:tcPr>
            <w:tcW w:w="1168" w:type="dxa"/>
          </w:tcPr>
          <w:p w14:paraId="230641E7" w14:textId="77777777" w:rsidR="005566F4" w:rsidRPr="00142303" w:rsidDel="001849C6" w:rsidRDefault="005566F4" w:rsidP="0040369C">
            <w:pPr>
              <w:tabs>
                <w:tab w:val="left" w:pos="288"/>
                <w:tab w:val="left" w:pos="576"/>
                <w:tab w:val="left" w:pos="864"/>
              </w:tabs>
              <w:jc w:val="center"/>
            </w:pPr>
            <w:r>
              <w:t>9</w:t>
            </w:r>
          </w:p>
        </w:tc>
        <w:tc>
          <w:tcPr>
            <w:tcW w:w="1169" w:type="dxa"/>
          </w:tcPr>
          <w:p w14:paraId="421AED92" w14:textId="77777777" w:rsidR="005566F4" w:rsidRPr="00142303" w:rsidDel="001849C6" w:rsidRDefault="005566F4" w:rsidP="0040369C">
            <w:pPr>
              <w:tabs>
                <w:tab w:val="left" w:pos="288"/>
                <w:tab w:val="left" w:pos="576"/>
                <w:tab w:val="left" w:pos="864"/>
              </w:tabs>
              <w:jc w:val="center"/>
            </w:pPr>
            <w:r>
              <w:t>0</w:t>
            </w:r>
          </w:p>
        </w:tc>
      </w:tr>
      <w:tr w:rsidR="00CF241B" w:rsidRPr="00142303" w14:paraId="1080ABCD" w14:textId="77777777" w:rsidTr="0040369C">
        <w:trPr>
          <w:cantSplit/>
          <w:trHeight w:val="231"/>
        </w:trPr>
        <w:tc>
          <w:tcPr>
            <w:tcW w:w="9275" w:type="dxa"/>
            <w:gridSpan w:val="5"/>
          </w:tcPr>
          <w:p w14:paraId="5B100445" w14:textId="77777777" w:rsidR="00CF241B" w:rsidRPr="00142303" w:rsidRDefault="00CF241B" w:rsidP="0040369C">
            <w:pPr>
              <w:keepNext/>
              <w:tabs>
                <w:tab w:val="left" w:pos="288"/>
                <w:tab w:val="left" w:pos="576"/>
                <w:tab w:val="left" w:pos="864"/>
              </w:tabs>
            </w:pPr>
            <w:r w:rsidRPr="00142303">
              <w:rPr>
                <w:b/>
              </w:rPr>
              <w:t>Skin and subcutaneous tissue disorders</w:t>
            </w:r>
          </w:p>
        </w:tc>
      </w:tr>
      <w:tr w:rsidR="00CF241B" w:rsidRPr="00142303" w14:paraId="165CB11D" w14:textId="77777777" w:rsidTr="0040369C">
        <w:trPr>
          <w:cantSplit/>
          <w:trHeight w:val="217"/>
        </w:trPr>
        <w:tc>
          <w:tcPr>
            <w:tcW w:w="4602" w:type="dxa"/>
            <w:shd w:val="clear" w:color="auto" w:fill="auto"/>
          </w:tcPr>
          <w:p w14:paraId="334B9E0E" w14:textId="77777777" w:rsidR="00CF241B" w:rsidRPr="00142303" w:rsidRDefault="00CF241B" w:rsidP="0040369C">
            <w:pPr>
              <w:tabs>
                <w:tab w:val="left" w:pos="288"/>
                <w:tab w:val="left" w:pos="576"/>
                <w:tab w:val="left" w:pos="864"/>
              </w:tabs>
              <w:ind w:left="180"/>
              <w:rPr>
                <w:b/>
              </w:rPr>
            </w:pPr>
            <w:r w:rsidRPr="001405CA">
              <w:t>Skin rash</w:t>
            </w:r>
            <w:r w:rsidRPr="0067123B">
              <w:rPr>
                <w:vertAlign w:val="superscript"/>
              </w:rPr>
              <w:t>3</w:t>
            </w:r>
          </w:p>
        </w:tc>
        <w:tc>
          <w:tcPr>
            <w:tcW w:w="1167" w:type="dxa"/>
          </w:tcPr>
          <w:p w14:paraId="76FB5CF8" w14:textId="77777777" w:rsidR="00CF241B" w:rsidRPr="00142303" w:rsidRDefault="00CF241B" w:rsidP="0040369C">
            <w:pPr>
              <w:tabs>
                <w:tab w:val="left" w:pos="288"/>
                <w:tab w:val="left" w:pos="576"/>
                <w:tab w:val="left" w:pos="864"/>
              </w:tabs>
              <w:jc w:val="center"/>
            </w:pPr>
            <w:r>
              <w:t>24</w:t>
            </w:r>
          </w:p>
        </w:tc>
        <w:tc>
          <w:tcPr>
            <w:tcW w:w="1169" w:type="dxa"/>
          </w:tcPr>
          <w:p w14:paraId="242A86CA" w14:textId="77777777" w:rsidR="00CF241B" w:rsidRPr="00142303" w:rsidRDefault="00CF241B" w:rsidP="0040369C">
            <w:pPr>
              <w:tabs>
                <w:tab w:val="left" w:pos="288"/>
                <w:tab w:val="left" w:pos="576"/>
                <w:tab w:val="left" w:pos="864"/>
              </w:tabs>
              <w:jc w:val="center"/>
            </w:pPr>
            <w:r w:rsidRPr="00142303">
              <w:t>5</w:t>
            </w:r>
          </w:p>
        </w:tc>
        <w:tc>
          <w:tcPr>
            <w:tcW w:w="1168" w:type="dxa"/>
          </w:tcPr>
          <w:p w14:paraId="0E81AE0E" w14:textId="77777777" w:rsidR="00CF241B" w:rsidRPr="00142303" w:rsidRDefault="00CF241B" w:rsidP="0040369C">
            <w:pPr>
              <w:tabs>
                <w:tab w:val="left" w:pos="288"/>
                <w:tab w:val="left" w:pos="576"/>
                <w:tab w:val="left" w:pos="864"/>
              </w:tabs>
              <w:jc w:val="center"/>
            </w:pPr>
            <w:r>
              <w:t>6</w:t>
            </w:r>
          </w:p>
        </w:tc>
        <w:tc>
          <w:tcPr>
            <w:tcW w:w="1169" w:type="dxa"/>
          </w:tcPr>
          <w:p w14:paraId="1FFF0B2E" w14:textId="77777777" w:rsidR="00CF241B" w:rsidRPr="00142303" w:rsidRDefault="00CF241B" w:rsidP="0040369C">
            <w:pPr>
              <w:tabs>
                <w:tab w:val="left" w:pos="288"/>
                <w:tab w:val="left" w:pos="576"/>
                <w:tab w:val="left" w:pos="864"/>
              </w:tabs>
              <w:jc w:val="center"/>
            </w:pPr>
            <w:r w:rsidRPr="00142303">
              <w:t>0.3</w:t>
            </w:r>
          </w:p>
        </w:tc>
      </w:tr>
      <w:tr w:rsidR="004A5840" w:rsidRPr="00142303" w14:paraId="131C9135" w14:textId="77777777" w:rsidTr="004A5840">
        <w:trPr>
          <w:cantSplit/>
          <w:trHeight w:val="217"/>
        </w:trPr>
        <w:tc>
          <w:tcPr>
            <w:tcW w:w="9275" w:type="dxa"/>
            <w:gridSpan w:val="5"/>
            <w:shd w:val="clear" w:color="auto" w:fill="auto"/>
          </w:tcPr>
          <w:p w14:paraId="762C0DDB" w14:textId="36863801" w:rsidR="004A5840" w:rsidRPr="00142303" w:rsidRDefault="004A5840" w:rsidP="004A5840">
            <w:pPr>
              <w:tabs>
                <w:tab w:val="left" w:pos="288"/>
                <w:tab w:val="left" w:pos="576"/>
                <w:tab w:val="left" w:pos="864"/>
              </w:tabs>
            </w:pPr>
            <w:r w:rsidRPr="004A5840">
              <w:rPr>
                <w:b/>
              </w:rPr>
              <w:t>Gastrointestinal disorders</w:t>
            </w:r>
          </w:p>
        </w:tc>
      </w:tr>
      <w:tr w:rsidR="004A5840" w:rsidRPr="00142303" w14:paraId="67D997BB" w14:textId="77777777" w:rsidTr="0040369C">
        <w:trPr>
          <w:cantSplit/>
          <w:trHeight w:val="217"/>
        </w:trPr>
        <w:tc>
          <w:tcPr>
            <w:tcW w:w="4602" w:type="dxa"/>
            <w:shd w:val="clear" w:color="auto" w:fill="auto"/>
          </w:tcPr>
          <w:p w14:paraId="5708D58D" w14:textId="6EC7ADD6" w:rsidR="004A5840" w:rsidRPr="001405CA" w:rsidRDefault="004A5840" w:rsidP="0040369C">
            <w:pPr>
              <w:tabs>
                <w:tab w:val="left" w:pos="288"/>
                <w:tab w:val="left" w:pos="576"/>
                <w:tab w:val="left" w:pos="864"/>
              </w:tabs>
              <w:ind w:left="180"/>
            </w:pPr>
            <w:r>
              <w:t>Diarrhoea</w:t>
            </w:r>
          </w:p>
        </w:tc>
        <w:tc>
          <w:tcPr>
            <w:tcW w:w="1167" w:type="dxa"/>
          </w:tcPr>
          <w:p w14:paraId="08F573D1" w14:textId="7DC61669" w:rsidR="004A5840" w:rsidRDefault="00B07782" w:rsidP="0040369C">
            <w:pPr>
              <w:tabs>
                <w:tab w:val="left" w:pos="288"/>
                <w:tab w:val="left" w:pos="576"/>
                <w:tab w:val="left" w:pos="864"/>
              </w:tabs>
              <w:jc w:val="center"/>
            </w:pPr>
            <w:r>
              <w:t>20</w:t>
            </w:r>
          </w:p>
        </w:tc>
        <w:tc>
          <w:tcPr>
            <w:tcW w:w="1169" w:type="dxa"/>
          </w:tcPr>
          <w:p w14:paraId="4B68DA7D" w14:textId="22FDE5A6" w:rsidR="004A5840" w:rsidRPr="00142303" w:rsidRDefault="00B07782" w:rsidP="0040369C">
            <w:pPr>
              <w:tabs>
                <w:tab w:val="left" w:pos="288"/>
                <w:tab w:val="left" w:pos="576"/>
                <w:tab w:val="left" w:pos="864"/>
              </w:tabs>
              <w:jc w:val="center"/>
            </w:pPr>
            <w:r>
              <w:t>1</w:t>
            </w:r>
          </w:p>
        </w:tc>
        <w:tc>
          <w:tcPr>
            <w:tcW w:w="1168" w:type="dxa"/>
          </w:tcPr>
          <w:p w14:paraId="1092C4C8" w14:textId="532F5144" w:rsidR="004A5840" w:rsidRDefault="00B07782" w:rsidP="0040369C">
            <w:pPr>
              <w:tabs>
                <w:tab w:val="left" w:pos="288"/>
                <w:tab w:val="left" w:pos="576"/>
                <w:tab w:val="left" w:pos="864"/>
              </w:tabs>
              <w:jc w:val="center"/>
            </w:pPr>
            <w:r>
              <w:t>15</w:t>
            </w:r>
          </w:p>
        </w:tc>
        <w:tc>
          <w:tcPr>
            <w:tcW w:w="1169" w:type="dxa"/>
          </w:tcPr>
          <w:p w14:paraId="6993D830" w14:textId="0CBC0374" w:rsidR="004A5840" w:rsidRPr="00142303" w:rsidRDefault="00B07782" w:rsidP="0040369C">
            <w:pPr>
              <w:tabs>
                <w:tab w:val="left" w:pos="288"/>
                <w:tab w:val="left" w:pos="576"/>
                <w:tab w:val="left" w:pos="864"/>
              </w:tabs>
              <w:jc w:val="center"/>
            </w:pPr>
            <w:r>
              <w:t>0.5</w:t>
            </w:r>
          </w:p>
        </w:tc>
      </w:tr>
      <w:tr w:rsidR="004A5840" w:rsidRPr="00142303" w14:paraId="281D7919" w14:textId="77777777" w:rsidTr="0040369C">
        <w:trPr>
          <w:cantSplit/>
          <w:trHeight w:val="217"/>
        </w:trPr>
        <w:tc>
          <w:tcPr>
            <w:tcW w:w="4602" w:type="dxa"/>
            <w:shd w:val="clear" w:color="auto" w:fill="auto"/>
          </w:tcPr>
          <w:p w14:paraId="13BE7459" w14:textId="7D64D7C2" w:rsidR="004A5840" w:rsidRPr="001405CA" w:rsidRDefault="004A5840" w:rsidP="0040369C">
            <w:pPr>
              <w:tabs>
                <w:tab w:val="left" w:pos="288"/>
                <w:tab w:val="left" w:pos="576"/>
                <w:tab w:val="left" w:pos="864"/>
              </w:tabs>
              <w:ind w:left="180"/>
            </w:pPr>
            <w:r>
              <w:t>Nausea</w:t>
            </w:r>
          </w:p>
        </w:tc>
        <w:tc>
          <w:tcPr>
            <w:tcW w:w="1167" w:type="dxa"/>
          </w:tcPr>
          <w:p w14:paraId="0C82433E" w14:textId="3356C630" w:rsidR="004A5840" w:rsidRDefault="00B07782" w:rsidP="0040369C">
            <w:pPr>
              <w:tabs>
                <w:tab w:val="left" w:pos="288"/>
                <w:tab w:val="left" w:pos="576"/>
                <w:tab w:val="left" w:pos="864"/>
              </w:tabs>
              <w:jc w:val="center"/>
            </w:pPr>
            <w:r>
              <w:t>18</w:t>
            </w:r>
          </w:p>
        </w:tc>
        <w:tc>
          <w:tcPr>
            <w:tcW w:w="1169" w:type="dxa"/>
          </w:tcPr>
          <w:p w14:paraId="7C5A4AE1" w14:textId="015FCC5A" w:rsidR="004A5840" w:rsidRPr="00142303" w:rsidRDefault="00B07782" w:rsidP="0040369C">
            <w:pPr>
              <w:tabs>
                <w:tab w:val="left" w:pos="288"/>
                <w:tab w:val="left" w:pos="576"/>
                <w:tab w:val="left" w:pos="864"/>
              </w:tabs>
              <w:jc w:val="center"/>
            </w:pPr>
            <w:r>
              <w:t>0</w:t>
            </w:r>
          </w:p>
        </w:tc>
        <w:tc>
          <w:tcPr>
            <w:tcW w:w="1168" w:type="dxa"/>
          </w:tcPr>
          <w:p w14:paraId="2EF7A422" w14:textId="594D7CDD" w:rsidR="004A5840" w:rsidRDefault="00B07782" w:rsidP="0040369C">
            <w:pPr>
              <w:tabs>
                <w:tab w:val="left" w:pos="288"/>
                <w:tab w:val="left" w:pos="576"/>
                <w:tab w:val="left" w:pos="864"/>
              </w:tabs>
              <w:jc w:val="center"/>
            </w:pPr>
            <w:r>
              <w:t>16</w:t>
            </w:r>
          </w:p>
        </w:tc>
        <w:tc>
          <w:tcPr>
            <w:tcW w:w="1169" w:type="dxa"/>
          </w:tcPr>
          <w:p w14:paraId="6D6072B5" w14:textId="23DD3276" w:rsidR="004A5840" w:rsidRPr="00142303" w:rsidRDefault="00B07782" w:rsidP="0040369C">
            <w:pPr>
              <w:tabs>
                <w:tab w:val="left" w:pos="288"/>
                <w:tab w:val="left" w:pos="576"/>
                <w:tab w:val="left" w:pos="864"/>
              </w:tabs>
              <w:jc w:val="center"/>
            </w:pPr>
            <w:r>
              <w:t>0</w:t>
            </w:r>
          </w:p>
        </w:tc>
      </w:tr>
      <w:tr w:rsidR="005566F4" w:rsidRPr="00142303" w14:paraId="337B3291" w14:textId="77777777" w:rsidTr="0040369C">
        <w:trPr>
          <w:cantSplit/>
          <w:trHeight w:val="190"/>
        </w:trPr>
        <w:tc>
          <w:tcPr>
            <w:tcW w:w="9275" w:type="dxa"/>
            <w:gridSpan w:val="5"/>
          </w:tcPr>
          <w:p w14:paraId="0400F31C" w14:textId="749D20C3" w:rsidR="005566F4" w:rsidRPr="00142303" w:rsidRDefault="005566F4" w:rsidP="0040369C">
            <w:pPr>
              <w:keepNext/>
              <w:tabs>
                <w:tab w:val="left" w:pos="288"/>
                <w:tab w:val="left" w:pos="576"/>
                <w:tab w:val="left" w:pos="864"/>
              </w:tabs>
            </w:pPr>
            <w:r w:rsidRPr="00142303">
              <w:rPr>
                <w:b/>
              </w:rPr>
              <w:t>Injury, poisoning and procedural complications</w:t>
            </w:r>
          </w:p>
        </w:tc>
      </w:tr>
      <w:tr w:rsidR="005566F4" w:rsidRPr="00142303" w14:paraId="3CC690A9" w14:textId="77777777" w:rsidTr="0040369C">
        <w:trPr>
          <w:cantSplit/>
          <w:trHeight w:val="258"/>
        </w:trPr>
        <w:tc>
          <w:tcPr>
            <w:tcW w:w="4602" w:type="dxa"/>
            <w:shd w:val="clear" w:color="auto" w:fill="auto"/>
          </w:tcPr>
          <w:p w14:paraId="184FC3C3" w14:textId="4AFEBF0B" w:rsidR="005566F4" w:rsidRPr="00142303" w:rsidRDefault="005566F4" w:rsidP="0040369C">
            <w:pPr>
              <w:tabs>
                <w:tab w:val="left" w:pos="288"/>
                <w:tab w:val="left" w:pos="576"/>
                <w:tab w:val="left" w:pos="864"/>
              </w:tabs>
              <w:ind w:left="180"/>
              <w:rPr>
                <w:b/>
              </w:rPr>
            </w:pPr>
            <w:r w:rsidRPr="00142303">
              <w:t>Fall</w:t>
            </w:r>
            <w:r>
              <w:rPr>
                <w:vertAlign w:val="superscript"/>
              </w:rPr>
              <w:t>2</w:t>
            </w:r>
          </w:p>
        </w:tc>
        <w:tc>
          <w:tcPr>
            <w:tcW w:w="1167" w:type="dxa"/>
          </w:tcPr>
          <w:p w14:paraId="4715D692" w14:textId="29F3D98C" w:rsidR="005566F4" w:rsidRPr="00142303" w:rsidRDefault="005566F4" w:rsidP="0040369C">
            <w:pPr>
              <w:tabs>
                <w:tab w:val="left" w:pos="288"/>
                <w:tab w:val="left" w:pos="576"/>
                <w:tab w:val="left" w:pos="864"/>
              </w:tabs>
              <w:jc w:val="center"/>
            </w:pPr>
            <w:r>
              <w:t>16</w:t>
            </w:r>
          </w:p>
        </w:tc>
        <w:tc>
          <w:tcPr>
            <w:tcW w:w="1169" w:type="dxa"/>
          </w:tcPr>
          <w:p w14:paraId="2BD58ADD" w14:textId="0AED8D74" w:rsidR="005566F4" w:rsidRPr="00142303" w:rsidRDefault="005566F4" w:rsidP="0040369C">
            <w:pPr>
              <w:tabs>
                <w:tab w:val="left" w:pos="288"/>
                <w:tab w:val="left" w:pos="576"/>
                <w:tab w:val="left" w:pos="864"/>
              </w:tabs>
              <w:jc w:val="center"/>
            </w:pPr>
            <w:r>
              <w:t>2</w:t>
            </w:r>
          </w:p>
        </w:tc>
        <w:tc>
          <w:tcPr>
            <w:tcW w:w="1168" w:type="dxa"/>
          </w:tcPr>
          <w:p w14:paraId="3A3D025F" w14:textId="56585A74" w:rsidR="005566F4" w:rsidRPr="00142303" w:rsidRDefault="005566F4" w:rsidP="0040369C">
            <w:pPr>
              <w:tabs>
                <w:tab w:val="left" w:pos="288"/>
                <w:tab w:val="left" w:pos="576"/>
                <w:tab w:val="left" w:pos="864"/>
              </w:tabs>
              <w:jc w:val="center"/>
            </w:pPr>
            <w:r>
              <w:t>9</w:t>
            </w:r>
          </w:p>
        </w:tc>
        <w:tc>
          <w:tcPr>
            <w:tcW w:w="1169" w:type="dxa"/>
          </w:tcPr>
          <w:p w14:paraId="5190D84B" w14:textId="169300A4" w:rsidR="005566F4" w:rsidRPr="00142303" w:rsidRDefault="005566F4" w:rsidP="0040369C">
            <w:pPr>
              <w:tabs>
                <w:tab w:val="left" w:pos="288"/>
                <w:tab w:val="left" w:pos="576"/>
                <w:tab w:val="left" w:pos="864"/>
              </w:tabs>
              <w:jc w:val="center"/>
            </w:pPr>
            <w:r w:rsidRPr="00142303">
              <w:t>0.8</w:t>
            </w:r>
          </w:p>
        </w:tc>
      </w:tr>
      <w:tr w:rsidR="005566F4" w:rsidRPr="00142303" w14:paraId="669AA4A3" w14:textId="77777777" w:rsidTr="0040369C">
        <w:trPr>
          <w:cantSplit/>
          <w:trHeight w:val="258"/>
        </w:trPr>
        <w:tc>
          <w:tcPr>
            <w:tcW w:w="4602" w:type="dxa"/>
            <w:shd w:val="clear" w:color="auto" w:fill="auto"/>
          </w:tcPr>
          <w:p w14:paraId="28A86DF3" w14:textId="208C47A8" w:rsidR="005566F4" w:rsidRPr="00142303" w:rsidDel="001849C6" w:rsidRDefault="005566F4" w:rsidP="0040369C">
            <w:pPr>
              <w:tabs>
                <w:tab w:val="left" w:pos="288"/>
                <w:tab w:val="left" w:pos="576"/>
                <w:tab w:val="left" w:pos="864"/>
              </w:tabs>
              <w:ind w:left="180"/>
            </w:pPr>
            <w:r w:rsidRPr="00142303">
              <w:t xml:space="preserve"> Fracture</w:t>
            </w:r>
            <w:r>
              <w:rPr>
                <w:vertAlign w:val="superscript"/>
              </w:rPr>
              <w:t>4</w:t>
            </w:r>
          </w:p>
        </w:tc>
        <w:tc>
          <w:tcPr>
            <w:tcW w:w="1167" w:type="dxa"/>
          </w:tcPr>
          <w:p w14:paraId="608ED2D9" w14:textId="40A5B4B9" w:rsidR="005566F4" w:rsidRPr="00142303" w:rsidDel="001849C6" w:rsidRDefault="005566F4" w:rsidP="0040369C">
            <w:pPr>
              <w:tabs>
                <w:tab w:val="left" w:pos="288"/>
                <w:tab w:val="left" w:pos="576"/>
                <w:tab w:val="left" w:pos="864"/>
              </w:tabs>
              <w:jc w:val="center"/>
            </w:pPr>
            <w:r>
              <w:t>12</w:t>
            </w:r>
          </w:p>
        </w:tc>
        <w:tc>
          <w:tcPr>
            <w:tcW w:w="1169" w:type="dxa"/>
          </w:tcPr>
          <w:p w14:paraId="623BCB49" w14:textId="3012FBFE" w:rsidR="005566F4" w:rsidRPr="00142303" w:rsidDel="001849C6" w:rsidRDefault="005566F4" w:rsidP="0040369C">
            <w:pPr>
              <w:tabs>
                <w:tab w:val="left" w:pos="288"/>
                <w:tab w:val="left" w:pos="576"/>
                <w:tab w:val="left" w:pos="864"/>
              </w:tabs>
              <w:jc w:val="center"/>
            </w:pPr>
            <w:r>
              <w:t>3</w:t>
            </w:r>
          </w:p>
        </w:tc>
        <w:tc>
          <w:tcPr>
            <w:tcW w:w="1168" w:type="dxa"/>
          </w:tcPr>
          <w:p w14:paraId="2AF2A469" w14:textId="635A107E" w:rsidR="005566F4" w:rsidRPr="00142303" w:rsidDel="001849C6" w:rsidRDefault="005566F4" w:rsidP="0040369C">
            <w:pPr>
              <w:tabs>
                <w:tab w:val="left" w:pos="288"/>
                <w:tab w:val="left" w:pos="576"/>
                <w:tab w:val="left" w:pos="864"/>
              </w:tabs>
              <w:jc w:val="center"/>
            </w:pPr>
            <w:r>
              <w:t>7</w:t>
            </w:r>
          </w:p>
        </w:tc>
        <w:tc>
          <w:tcPr>
            <w:tcW w:w="1169" w:type="dxa"/>
          </w:tcPr>
          <w:p w14:paraId="399A1168" w14:textId="1137AE15" w:rsidR="005566F4" w:rsidRPr="00142303" w:rsidDel="001849C6" w:rsidRDefault="005566F4" w:rsidP="0040369C">
            <w:pPr>
              <w:tabs>
                <w:tab w:val="left" w:pos="288"/>
                <w:tab w:val="left" w:pos="576"/>
                <w:tab w:val="left" w:pos="864"/>
              </w:tabs>
              <w:jc w:val="center"/>
            </w:pPr>
            <w:r w:rsidRPr="00142303">
              <w:t>0.8</w:t>
            </w:r>
          </w:p>
        </w:tc>
      </w:tr>
      <w:tr w:rsidR="005566F4" w:rsidRPr="00142303" w14:paraId="17EA2B04" w14:textId="77777777" w:rsidTr="0040369C">
        <w:trPr>
          <w:cantSplit/>
          <w:trHeight w:val="215"/>
        </w:trPr>
        <w:tc>
          <w:tcPr>
            <w:tcW w:w="9275" w:type="dxa"/>
            <w:gridSpan w:val="5"/>
          </w:tcPr>
          <w:p w14:paraId="55AAE398" w14:textId="7F5F2C5B" w:rsidR="005566F4" w:rsidRPr="00142303" w:rsidRDefault="005566F4" w:rsidP="0040369C">
            <w:pPr>
              <w:keepNext/>
              <w:tabs>
                <w:tab w:val="left" w:pos="288"/>
                <w:tab w:val="left" w:pos="576"/>
                <w:tab w:val="left" w:pos="864"/>
              </w:tabs>
            </w:pPr>
            <w:r w:rsidRPr="00142303">
              <w:rPr>
                <w:b/>
              </w:rPr>
              <w:t>Musculoskeletal and connective tissue disorders</w:t>
            </w:r>
          </w:p>
        </w:tc>
      </w:tr>
      <w:tr w:rsidR="005566F4" w:rsidRPr="00142303" w14:paraId="4C8878CA" w14:textId="77777777" w:rsidTr="0040369C">
        <w:trPr>
          <w:cantSplit/>
          <w:trHeight w:val="231"/>
        </w:trPr>
        <w:tc>
          <w:tcPr>
            <w:tcW w:w="4602" w:type="dxa"/>
            <w:shd w:val="clear" w:color="auto" w:fill="auto"/>
          </w:tcPr>
          <w:p w14:paraId="0D810868" w14:textId="0135899D" w:rsidR="005566F4" w:rsidRPr="00142303" w:rsidRDefault="005566F4" w:rsidP="0040369C">
            <w:pPr>
              <w:tabs>
                <w:tab w:val="left" w:pos="288"/>
                <w:tab w:val="left" w:pos="576"/>
                <w:tab w:val="left" w:pos="864"/>
              </w:tabs>
              <w:ind w:left="180"/>
              <w:rPr>
                <w:b/>
              </w:rPr>
            </w:pPr>
            <w:r w:rsidRPr="001405CA">
              <w:t>Arthralgia</w:t>
            </w:r>
            <w:r>
              <w:rPr>
                <w:vertAlign w:val="superscript"/>
              </w:rPr>
              <w:t>2</w:t>
            </w:r>
          </w:p>
        </w:tc>
        <w:tc>
          <w:tcPr>
            <w:tcW w:w="1167" w:type="dxa"/>
          </w:tcPr>
          <w:p w14:paraId="2A2C29FE" w14:textId="7DECEFEC" w:rsidR="005566F4" w:rsidRPr="00142303" w:rsidRDefault="005566F4" w:rsidP="0040369C">
            <w:pPr>
              <w:tabs>
                <w:tab w:val="left" w:pos="288"/>
                <w:tab w:val="left" w:pos="576"/>
                <w:tab w:val="left" w:pos="864"/>
              </w:tabs>
              <w:jc w:val="center"/>
            </w:pPr>
            <w:r>
              <w:t>16</w:t>
            </w:r>
          </w:p>
        </w:tc>
        <w:tc>
          <w:tcPr>
            <w:tcW w:w="1169" w:type="dxa"/>
          </w:tcPr>
          <w:p w14:paraId="7B53AF31" w14:textId="05BD312B" w:rsidR="005566F4" w:rsidRPr="00142303" w:rsidRDefault="005566F4" w:rsidP="0040369C">
            <w:pPr>
              <w:tabs>
                <w:tab w:val="left" w:pos="288"/>
                <w:tab w:val="left" w:pos="576"/>
                <w:tab w:val="left" w:pos="864"/>
              </w:tabs>
              <w:jc w:val="center"/>
            </w:pPr>
            <w:r w:rsidRPr="00142303">
              <w:t>0</w:t>
            </w:r>
          </w:p>
        </w:tc>
        <w:tc>
          <w:tcPr>
            <w:tcW w:w="1168" w:type="dxa"/>
          </w:tcPr>
          <w:p w14:paraId="5474D44D" w14:textId="4613E403" w:rsidR="005566F4" w:rsidRPr="00142303" w:rsidRDefault="005566F4" w:rsidP="0040369C">
            <w:pPr>
              <w:tabs>
                <w:tab w:val="left" w:pos="288"/>
                <w:tab w:val="left" w:pos="576"/>
                <w:tab w:val="left" w:pos="864"/>
              </w:tabs>
              <w:jc w:val="center"/>
            </w:pPr>
            <w:r>
              <w:t>8</w:t>
            </w:r>
          </w:p>
        </w:tc>
        <w:tc>
          <w:tcPr>
            <w:tcW w:w="1169" w:type="dxa"/>
          </w:tcPr>
          <w:p w14:paraId="21015E39" w14:textId="041F1312" w:rsidR="005566F4" w:rsidRPr="00142303" w:rsidRDefault="005566F4" w:rsidP="0040369C">
            <w:pPr>
              <w:tabs>
                <w:tab w:val="left" w:pos="288"/>
                <w:tab w:val="left" w:pos="576"/>
                <w:tab w:val="left" w:pos="864"/>
              </w:tabs>
              <w:jc w:val="center"/>
            </w:pPr>
            <w:r w:rsidRPr="00142303">
              <w:t>0</w:t>
            </w:r>
          </w:p>
        </w:tc>
      </w:tr>
      <w:tr w:rsidR="005566F4" w:rsidRPr="00142303" w14:paraId="557B4863" w14:textId="77777777" w:rsidTr="0040369C">
        <w:trPr>
          <w:cantSplit/>
          <w:trHeight w:val="201"/>
        </w:trPr>
        <w:tc>
          <w:tcPr>
            <w:tcW w:w="9275" w:type="dxa"/>
            <w:gridSpan w:val="5"/>
          </w:tcPr>
          <w:p w14:paraId="7861A81D" w14:textId="4B025936" w:rsidR="005566F4" w:rsidRPr="00142303" w:rsidRDefault="005566F4" w:rsidP="0040369C">
            <w:pPr>
              <w:keepNext/>
              <w:tabs>
                <w:tab w:val="left" w:pos="288"/>
                <w:tab w:val="left" w:pos="576"/>
                <w:tab w:val="left" w:pos="864"/>
              </w:tabs>
            </w:pPr>
            <w:r w:rsidRPr="00142303">
              <w:rPr>
                <w:b/>
              </w:rPr>
              <w:t>Investigations</w:t>
            </w:r>
          </w:p>
        </w:tc>
      </w:tr>
      <w:tr w:rsidR="005566F4" w:rsidRPr="00142303" w14:paraId="60521881" w14:textId="77777777" w:rsidTr="0040369C">
        <w:trPr>
          <w:cantSplit/>
          <w:trHeight w:val="245"/>
        </w:trPr>
        <w:tc>
          <w:tcPr>
            <w:tcW w:w="4602" w:type="dxa"/>
            <w:shd w:val="clear" w:color="auto" w:fill="auto"/>
          </w:tcPr>
          <w:p w14:paraId="7594CE5C" w14:textId="3425585D" w:rsidR="005566F4" w:rsidRPr="00142303" w:rsidRDefault="005566F4" w:rsidP="0040369C">
            <w:pPr>
              <w:tabs>
                <w:tab w:val="left" w:pos="288"/>
                <w:tab w:val="left" w:pos="576"/>
                <w:tab w:val="left" w:pos="864"/>
              </w:tabs>
              <w:ind w:left="180"/>
              <w:rPr>
                <w:b/>
              </w:rPr>
            </w:pPr>
            <w:r w:rsidRPr="00142303">
              <w:t>Weight decreased</w:t>
            </w:r>
            <w:r>
              <w:rPr>
                <w:vertAlign w:val="superscript"/>
              </w:rPr>
              <w:t>2</w:t>
            </w:r>
          </w:p>
        </w:tc>
        <w:tc>
          <w:tcPr>
            <w:tcW w:w="1167" w:type="dxa"/>
          </w:tcPr>
          <w:p w14:paraId="68BD9BCD" w14:textId="17BBC945" w:rsidR="005566F4" w:rsidRPr="00142303" w:rsidRDefault="005566F4" w:rsidP="0040369C">
            <w:pPr>
              <w:tabs>
                <w:tab w:val="left" w:pos="288"/>
                <w:tab w:val="left" w:pos="576"/>
                <w:tab w:val="left" w:pos="864"/>
              </w:tabs>
              <w:jc w:val="center"/>
            </w:pPr>
            <w:r w:rsidRPr="00142303">
              <w:t>16</w:t>
            </w:r>
          </w:p>
        </w:tc>
        <w:tc>
          <w:tcPr>
            <w:tcW w:w="1169" w:type="dxa"/>
          </w:tcPr>
          <w:p w14:paraId="4D0EF564" w14:textId="1A251B9C" w:rsidR="005566F4" w:rsidRPr="00142303" w:rsidRDefault="005566F4" w:rsidP="0040369C">
            <w:pPr>
              <w:tabs>
                <w:tab w:val="left" w:pos="288"/>
                <w:tab w:val="left" w:pos="576"/>
                <w:tab w:val="left" w:pos="864"/>
              </w:tabs>
              <w:jc w:val="center"/>
            </w:pPr>
            <w:r w:rsidRPr="00142303">
              <w:t>1</w:t>
            </w:r>
          </w:p>
        </w:tc>
        <w:tc>
          <w:tcPr>
            <w:tcW w:w="1168" w:type="dxa"/>
          </w:tcPr>
          <w:p w14:paraId="51E8E913" w14:textId="1CA0E459" w:rsidR="005566F4" w:rsidRPr="00142303" w:rsidRDefault="005566F4" w:rsidP="0040369C">
            <w:pPr>
              <w:tabs>
                <w:tab w:val="left" w:pos="288"/>
                <w:tab w:val="left" w:pos="576"/>
                <w:tab w:val="left" w:pos="864"/>
              </w:tabs>
              <w:jc w:val="center"/>
            </w:pPr>
            <w:r w:rsidRPr="00142303">
              <w:t>6</w:t>
            </w:r>
          </w:p>
        </w:tc>
        <w:tc>
          <w:tcPr>
            <w:tcW w:w="1169" w:type="dxa"/>
          </w:tcPr>
          <w:p w14:paraId="6F425F62" w14:textId="6364F868" w:rsidR="005566F4" w:rsidRPr="00142303" w:rsidRDefault="005566F4" w:rsidP="0040369C">
            <w:pPr>
              <w:tabs>
                <w:tab w:val="left" w:pos="288"/>
                <w:tab w:val="left" w:pos="576"/>
                <w:tab w:val="left" w:pos="864"/>
              </w:tabs>
              <w:jc w:val="center"/>
            </w:pPr>
            <w:r w:rsidRPr="00142303">
              <w:t>0.3</w:t>
            </w:r>
          </w:p>
        </w:tc>
      </w:tr>
      <w:tr w:rsidR="005566F4" w:rsidRPr="00142303" w14:paraId="10D974F2" w14:textId="77777777" w:rsidTr="0040369C">
        <w:trPr>
          <w:cantSplit/>
          <w:trHeight w:val="285"/>
        </w:trPr>
        <w:tc>
          <w:tcPr>
            <w:tcW w:w="9275" w:type="dxa"/>
            <w:gridSpan w:val="5"/>
            <w:shd w:val="clear" w:color="auto" w:fill="auto"/>
          </w:tcPr>
          <w:p w14:paraId="18DDD24C" w14:textId="77777777" w:rsidR="005566F4" w:rsidRPr="00142303" w:rsidRDefault="005566F4" w:rsidP="0040369C">
            <w:pPr>
              <w:keepNext/>
              <w:tabs>
                <w:tab w:val="left" w:pos="288"/>
                <w:tab w:val="left" w:pos="576"/>
                <w:tab w:val="left" w:pos="864"/>
              </w:tabs>
            </w:pPr>
            <w:r w:rsidRPr="00142303">
              <w:rPr>
                <w:b/>
              </w:rPr>
              <w:t>Metabolism and nutrition disorders</w:t>
            </w:r>
          </w:p>
        </w:tc>
      </w:tr>
      <w:tr w:rsidR="005566F4" w:rsidRPr="00142303" w14:paraId="70123A8D" w14:textId="77777777" w:rsidTr="0040369C">
        <w:trPr>
          <w:cantSplit/>
          <w:trHeight w:val="285"/>
        </w:trPr>
        <w:tc>
          <w:tcPr>
            <w:tcW w:w="4602" w:type="dxa"/>
            <w:shd w:val="clear" w:color="auto" w:fill="auto"/>
          </w:tcPr>
          <w:p w14:paraId="01681866" w14:textId="77777777" w:rsidR="005566F4" w:rsidRDefault="005566F4" w:rsidP="0040369C">
            <w:pPr>
              <w:tabs>
                <w:tab w:val="left" w:pos="288"/>
                <w:tab w:val="left" w:pos="576"/>
                <w:tab w:val="left" w:pos="864"/>
              </w:tabs>
              <w:ind w:left="180"/>
            </w:pPr>
            <w:r>
              <w:t>Decreased appetite</w:t>
            </w:r>
            <w:r>
              <w:rPr>
                <w:vertAlign w:val="superscript"/>
              </w:rPr>
              <w:t>5</w:t>
            </w:r>
          </w:p>
        </w:tc>
        <w:tc>
          <w:tcPr>
            <w:tcW w:w="1167" w:type="dxa"/>
          </w:tcPr>
          <w:p w14:paraId="117CA22D" w14:textId="77777777" w:rsidR="005566F4" w:rsidRDefault="005566F4" w:rsidP="0040369C">
            <w:pPr>
              <w:tabs>
                <w:tab w:val="left" w:pos="288"/>
                <w:tab w:val="left" w:pos="576"/>
                <w:tab w:val="left" w:pos="864"/>
              </w:tabs>
              <w:jc w:val="center"/>
            </w:pPr>
            <w:r>
              <w:t>12</w:t>
            </w:r>
          </w:p>
        </w:tc>
        <w:tc>
          <w:tcPr>
            <w:tcW w:w="1169" w:type="dxa"/>
          </w:tcPr>
          <w:p w14:paraId="756656C3" w14:textId="77777777" w:rsidR="005566F4" w:rsidRDefault="005566F4" w:rsidP="0040369C">
            <w:pPr>
              <w:tabs>
                <w:tab w:val="left" w:pos="288"/>
                <w:tab w:val="left" w:pos="576"/>
                <w:tab w:val="left" w:pos="864"/>
              </w:tabs>
              <w:jc w:val="center"/>
            </w:pPr>
            <w:r>
              <w:t>0.1</w:t>
            </w:r>
          </w:p>
        </w:tc>
        <w:tc>
          <w:tcPr>
            <w:tcW w:w="1168" w:type="dxa"/>
          </w:tcPr>
          <w:p w14:paraId="721B67F1" w14:textId="77777777" w:rsidR="005566F4" w:rsidDel="00460E30" w:rsidRDefault="005566F4" w:rsidP="0040369C">
            <w:pPr>
              <w:tabs>
                <w:tab w:val="left" w:pos="288"/>
                <w:tab w:val="left" w:pos="576"/>
                <w:tab w:val="left" w:pos="864"/>
              </w:tabs>
              <w:jc w:val="center"/>
            </w:pPr>
            <w:r>
              <w:t>9</w:t>
            </w:r>
          </w:p>
        </w:tc>
        <w:tc>
          <w:tcPr>
            <w:tcW w:w="1169" w:type="dxa"/>
          </w:tcPr>
          <w:p w14:paraId="206F7CC4" w14:textId="77777777" w:rsidR="005566F4" w:rsidRDefault="005566F4" w:rsidP="0040369C">
            <w:pPr>
              <w:tabs>
                <w:tab w:val="left" w:pos="288"/>
                <w:tab w:val="left" w:pos="576"/>
                <w:tab w:val="left" w:pos="864"/>
              </w:tabs>
              <w:jc w:val="center"/>
            </w:pPr>
            <w:r>
              <w:t>0</w:t>
            </w:r>
          </w:p>
        </w:tc>
      </w:tr>
      <w:tr w:rsidR="005566F4" w:rsidRPr="00142303" w14:paraId="49158091" w14:textId="77777777" w:rsidTr="0040369C">
        <w:trPr>
          <w:cantSplit/>
          <w:trHeight w:val="285"/>
        </w:trPr>
        <w:tc>
          <w:tcPr>
            <w:tcW w:w="4602" w:type="dxa"/>
            <w:shd w:val="clear" w:color="auto" w:fill="auto"/>
          </w:tcPr>
          <w:p w14:paraId="065D1AC7" w14:textId="77777777" w:rsidR="005566F4" w:rsidRPr="00142303" w:rsidRDefault="005566F4" w:rsidP="0040369C">
            <w:pPr>
              <w:tabs>
                <w:tab w:val="left" w:pos="288"/>
                <w:tab w:val="left" w:pos="576"/>
                <w:tab w:val="left" w:pos="864"/>
              </w:tabs>
              <w:ind w:left="180"/>
            </w:pPr>
            <w:r>
              <w:t>Peripheral oedema</w:t>
            </w:r>
            <w:r>
              <w:rPr>
                <w:vertAlign w:val="superscript"/>
              </w:rPr>
              <w:t>6</w:t>
            </w:r>
          </w:p>
        </w:tc>
        <w:tc>
          <w:tcPr>
            <w:tcW w:w="1167" w:type="dxa"/>
          </w:tcPr>
          <w:p w14:paraId="3CD8F8D1" w14:textId="77777777" w:rsidR="005566F4" w:rsidRPr="00142303" w:rsidRDefault="005566F4" w:rsidP="0040369C">
            <w:pPr>
              <w:tabs>
                <w:tab w:val="left" w:pos="288"/>
                <w:tab w:val="left" w:pos="576"/>
                <w:tab w:val="left" w:pos="864"/>
              </w:tabs>
              <w:jc w:val="center"/>
            </w:pPr>
            <w:r>
              <w:t>11</w:t>
            </w:r>
          </w:p>
        </w:tc>
        <w:tc>
          <w:tcPr>
            <w:tcW w:w="1169" w:type="dxa"/>
          </w:tcPr>
          <w:p w14:paraId="6ACE506D" w14:textId="77777777" w:rsidR="005566F4" w:rsidRPr="00142303" w:rsidRDefault="005566F4" w:rsidP="0040369C">
            <w:pPr>
              <w:tabs>
                <w:tab w:val="left" w:pos="288"/>
                <w:tab w:val="left" w:pos="576"/>
                <w:tab w:val="left" w:pos="864"/>
              </w:tabs>
              <w:jc w:val="center"/>
            </w:pPr>
            <w:r>
              <w:t>0</w:t>
            </w:r>
          </w:p>
        </w:tc>
        <w:tc>
          <w:tcPr>
            <w:tcW w:w="1168" w:type="dxa"/>
          </w:tcPr>
          <w:p w14:paraId="07F05206" w14:textId="77777777" w:rsidR="005566F4" w:rsidRPr="00142303" w:rsidRDefault="005566F4" w:rsidP="0040369C">
            <w:pPr>
              <w:tabs>
                <w:tab w:val="left" w:pos="288"/>
                <w:tab w:val="left" w:pos="576"/>
                <w:tab w:val="left" w:pos="864"/>
              </w:tabs>
              <w:jc w:val="center"/>
            </w:pPr>
            <w:r>
              <w:t>9</w:t>
            </w:r>
          </w:p>
        </w:tc>
        <w:tc>
          <w:tcPr>
            <w:tcW w:w="1169" w:type="dxa"/>
          </w:tcPr>
          <w:p w14:paraId="29875D5D" w14:textId="77777777" w:rsidR="005566F4" w:rsidRPr="00142303" w:rsidRDefault="005566F4" w:rsidP="0040369C">
            <w:pPr>
              <w:tabs>
                <w:tab w:val="left" w:pos="288"/>
                <w:tab w:val="left" w:pos="576"/>
                <w:tab w:val="left" w:pos="864"/>
              </w:tabs>
              <w:jc w:val="center"/>
            </w:pPr>
            <w:r>
              <w:t>0</w:t>
            </w:r>
          </w:p>
        </w:tc>
      </w:tr>
      <w:tr w:rsidR="005566F4" w:rsidRPr="00142303" w14:paraId="6921F733" w14:textId="77777777" w:rsidTr="0040369C">
        <w:trPr>
          <w:cantSplit/>
          <w:trHeight w:val="299"/>
        </w:trPr>
        <w:tc>
          <w:tcPr>
            <w:tcW w:w="9275" w:type="dxa"/>
            <w:gridSpan w:val="5"/>
            <w:tcBorders>
              <w:top w:val="single" w:sz="4" w:space="0" w:color="auto"/>
            </w:tcBorders>
          </w:tcPr>
          <w:p w14:paraId="5FD88599" w14:textId="77777777" w:rsidR="005566F4" w:rsidRDefault="005566F4" w:rsidP="0040369C">
            <w:pPr>
              <w:tabs>
                <w:tab w:val="left" w:pos="288"/>
              </w:tabs>
              <w:ind w:left="288" w:hanging="288"/>
              <w:rPr>
                <w:sz w:val="16"/>
              </w:rPr>
            </w:pPr>
            <w:r w:rsidRPr="00142303">
              <w:rPr>
                <w:sz w:val="16"/>
                <w:szCs w:val="16"/>
                <w:vertAlign w:val="superscript"/>
              </w:rPr>
              <w:lastRenderedPageBreak/>
              <w:t>1</w:t>
            </w:r>
            <w:r w:rsidRPr="00142303">
              <w:tab/>
            </w:r>
            <w:r w:rsidRPr="00386B63">
              <w:rPr>
                <w:sz w:val="16"/>
              </w:rPr>
              <w:t>Includes fatigue and asthenia</w:t>
            </w:r>
          </w:p>
          <w:p w14:paraId="108A38A5" w14:textId="77777777" w:rsidR="005566F4" w:rsidRDefault="005566F4" w:rsidP="0040369C">
            <w:pPr>
              <w:tabs>
                <w:tab w:val="left" w:pos="288"/>
              </w:tabs>
              <w:ind w:left="288" w:hanging="288"/>
            </w:pPr>
            <w:r w:rsidRPr="00142303">
              <w:rPr>
                <w:sz w:val="16"/>
                <w:vertAlign w:val="superscript"/>
              </w:rPr>
              <w:t>2</w:t>
            </w:r>
            <w:r w:rsidRPr="00142303">
              <w:rPr>
                <w:sz w:val="16"/>
              </w:rPr>
              <w:tab/>
              <w:t>Grade 4 definitions do not exist for these reactions</w:t>
            </w:r>
          </w:p>
          <w:p w14:paraId="3B20DE02" w14:textId="77777777" w:rsidR="00171985" w:rsidRDefault="005566F4" w:rsidP="0040369C">
            <w:pPr>
              <w:tabs>
                <w:tab w:val="left" w:pos="288"/>
              </w:tabs>
              <w:ind w:left="288" w:hanging="288"/>
              <w:rPr>
                <w:sz w:val="16"/>
              </w:rPr>
            </w:pPr>
            <w:r>
              <w:rPr>
                <w:sz w:val="16"/>
                <w:vertAlign w:val="superscript"/>
              </w:rPr>
              <w:t>3</w:t>
            </w:r>
            <w:r w:rsidRPr="00142303">
              <w:rPr>
                <w:sz w:val="16"/>
              </w:rPr>
              <w:tab/>
              <w:t>Includes rash, ras</w:t>
            </w:r>
            <w:r>
              <w:rPr>
                <w:sz w:val="16"/>
              </w:rPr>
              <w:t>h maculo-papular, rash generalis</w:t>
            </w:r>
            <w:r w:rsidRPr="00142303">
              <w:rPr>
                <w:sz w:val="16"/>
              </w:rPr>
              <w:t xml:space="preserve">ed, urticaria, rash pruritic, rash macular, conjunctivitis, erythema </w:t>
            </w:r>
            <w:proofErr w:type="spellStart"/>
            <w:r w:rsidRPr="00142303">
              <w:rPr>
                <w:sz w:val="16"/>
              </w:rPr>
              <w:t>multiforme</w:t>
            </w:r>
            <w:proofErr w:type="spellEnd"/>
            <w:r w:rsidRPr="00142303">
              <w:rPr>
                <w:sz w:val="16"/>
              </w:rPr>
              <w:t xml:space="preserve">, rash </w:t>
            </w:r>
            <w:proofErr w:type="spellStart"/>
            <w:r w:rsidRPr="00142303">
              <w:rPr>
                <w:sz w:val="16"/>
              </w:rPr>
              <w:t>papular</w:t>
            </w:r>
            <w:proofErr w:type="spellEnd"/>
            <w:r w:rsidRPr="00142303">
              <w:rPr>
                <w:sz w:val="16"/>
              </w:rPr>
              <w:t>, skin exfoliation, genital rash, rash erythematous, stomatitis, drug eruption, mouth ulceration, rash pustular, blister, papule, pemphigoid, skin erosion, and rash vesicular</w:t>
            </w:r>
          </w:p>
          <w:p w14:paraId="21ABC14C" w14:textId="76F1D6AE" w:rsidR="005566F4" w:rsidRPr="00142303" w:rsidRDefault="005566F4" w:rsidP="0040369C">
            <w:pPr>
              <w:tabs>
                <w:tab w:val="left" w:pos="288"/>
              </w:tabs>
              <w:ind w:left="288" w:hanging="288"/>
              <w:rPr>
                <w:sz w:val="16"/>
              </w:rPr>
            </w:pPr>
            <w:r>
              <w:rPr>
                <w:sz w:val="16"/>
                <w:vertAlign w:val="superscript"/>
              </w:rPr>
              <w:t>4</w:t>
            </w:r>
            <w:r w:rsidRPr="00142303">
              <w:rPr>
                <w:sz w:val="16"/>
              </w:rPr>
              <w:tab/>
              <w:t xml:space="preserve">Includes rib fracture, lumbar vertebral fracture, spinal compression fracture, spinal fracture, foot fracture, hip fracture, </w:t>
            </w:r>
            <w:proofErr w:type="spellStart"/>
            <w:r w:rsidRPr="00142303">
              <w:rPr>
                <w:sz w:val="16"/>
              </w:rPr>
              <w:t>humerus</w:t>
            </w:r>
            <w:proofErr w:type="spellEnd"/>
            <w:r w:rsidRPr="00142303">
              <w:rPr>
                <w:sz w:val="16"/>
              </w:rPr>
              <w:t xml:space="preserve"> fracture, thoracic vertebral fracture, upper limb fracture, fractured sacrum, hand fracture, pubis fracture, acetabulum fracture, ankle fracture, compression fracture, costal cartilage fracture, facial bones fracture, lower limb fracture, osteoporotic fracture, wrist fracture, avulsion fracture, fibula fracture, fractured coccyx, pelvic fracture, radius fracture, sternal fracture, stress fracture, traumatic fracture, cervical vertebral fracture, femoral neck fracture, tibia fracture</w:t>
            </w:r>
          </w:p>
          <w:p w14:paraId="552352A8" w14:textId="77777777" w:rsidR="005566F4" w:rsidRDefault="005566F4" w:rsidP="0040369C">
            <w:pPr>
              <w:tabs>
                <w:tab w:val="left" w:pos="288"/>
              </w:tabs>
              <w:ind w:left="288" w:hanging="288"/>
              <w:rPr>
                <w:sz w:val="16"/>
              </w:rPr>
            </w:pPr>
            <w:r>
              <w:rPr>
                <w:sz w:val="16"/>
                <w:vertAlign w:val="superscript"/>
              </w:rPr>
              <w:t>5</w:t>
            </w:r>
            <w:r w:rsidRPr="00142303">
              <w:rPr>
                <w:sz w:val="16"/>
                <w:vertAlign w:val="superscript"/>
              </w:rPr>
              <w:tab/>
            </w:r>
            <w:r w:rsidRPr="00C91461">
              <w:rPr>
                <w:sz w:val="16"/>
              </w:rPr>
              <w:t xml:space="preserve">Includes appetite disorder, decreased appetite, early satiety, and </w:t>
            </w:r>
            <w:proofErr w:type="spellStart"/>
            <w:r w:rsidRPr="00C91461">
              <w:rPr>
                <w:sz w:val="16"/>
              </w:rPr>
              <w:t>hypophagia</w:t>
            </w:r>
            <w:proofErr w:type="spellEnd"/>
          </w:p>
          <w:p w14:paraId="7A1DED35" w14:textId="4BE3E696" w:rsidR="005566F4" w:rsidRPr="0040493F" w:rsidRDefault="005566F4" w:rsidP="0040493F">
            <w:pPr>
              <w:tabs>
                <w:tab w:val="left" w:pos="288"/>
              </w:tabs>
              <w:ind w:left="288" w:hanging="288"/>
              <w:rPr>
                <w:sz w:val="16"/>
              </w:rPr>
            </w:pPr>
            <w:r>
              <w:rPr>
                <w:sz w:val="16"/>
                <w:vertAlign w:val="superscript"/>
              </w:rPr>
              <w:t>6</w:t>
            </w:r>
            <w:r w:rsidRPr="00142303">
              <w:rPr>
                <w:sz w:val="16"/>
              </w:rPr>
              <w:tab/>
            </w:r>
            <w:r w:rsidRPr="001A5FB9">
              <w:rPr>
                <w:sz w:val="16"/>
              </w:rPr>
              <w:t xml:space="preserve">Includes peripheral </w:t>
            </w:r>
            <w:r>
              <w:rPr>
                <w:sz w:val="16"/>
              </w:rPr>
              <w:t>oedema, generalis</w:t>
            </w:r>
            <w:r w:rsidRPr="001A5FB9">
              <w:rPr>
                <w:sz w:val="16"/>
              </w:rPr>
              <w:t xml:space="preserve">ed </w:t>
            </w:r>
            <w:r>
              <w:rPr>
                <w:sz w:val="16"/>
              </w:rPr>
              <w:t>o</w:t>
            </w:r>
            <w:r w:rsidRPr="001A5FB9">
              <w:rPr>
                <w:sz w:val="16"/>
              </w:rPr>
              <w:t xml:space="preserve">edema, </w:t>
            </w:r>
            <w:r>
              <w:rPr>
                <w:sz w:val="16"/>
              </w:rPr>
              <w:t>o</w:t>
            </w:r>
            <w:r w:rsidRPr="001A5FB9">
              <w:rPr>
                <w:sz w:val="16"/>
              </w:rPr>
              <w:t xml:space="preserve">edema, </w:t>
            </w:r>
            <w:r>
              <w:rPr>
                <w:sz w:val="16"/>
              </w:rPr>
              <w:t>o</w:t>
            </w:r>
            <w:r w:rsidRPr="001A5FB9">
              <w:rPr>
                <w:sz w:val="16"/>
              </w:rPr>
              <w:t xml:space="preserve">edema genital, penile </w:t>
            </w:r>
            <w:r>
              <w:rPr>
                <w:sz w:val="16"/>
              </w:rPr>
              <w:t>o</w:t>
            </w:r>
            <w:r w:rsidRPr="001A5FB9">
              <w:rPr>
                <w:sz w:val="16"/>
              </w:rPr>
              <w:t xml:space="preserve">edema, peripheral swelling, scrotal </w:t>
            </w:r>
            <w:r>
              <w:rPr>
                <w:sz w:val="16"/>
              </w:rPr>
              <w:t>o</w:t>
            </w:r>
            <w:r w:rsidRPr="001A5FB9">
              <w:rPr>
                <w:sz w:val="16"/>
              </w:rPr>
              <w:t>edema, lymph</w:t>
            </w:r>
            <w:r>
              <w:rPr>
                <w:sz w:val="16"/>
              </w:rPr>
              <w:t>oedema,</w:t>
            </w:r>
            <w:r w:rsidR="003170D9">
              <w:rPr>
                <w:sz w:val="16"/>
              </w:rPr>
              <w:t xml:space="preserve"> </w:t>
            </w:r>
            <w:r>
              <w:rPr>
                <w:sz w:val="16"/>
              </w:rPr>
              <w:t>swelling, and localis</w:t>
            </w:r>
            <w:r w:rsidRPr="001A5FB9">
              <w:rPr>
                <w:sz w:val="16"/>
              </w:rPr>
              <w:t xml:space="preserve">ed </w:t>
            </w:r>
            <w:r>
              <w:rPr>
                <w:sz w:val="16"/>
              </w:rPr>
              <w:t>o</w:t>
            </w:r>
            <w:r w:rsidRPr="001A5FB9">
              <w:rPr>
                <w:sz w:val="16"/>
              </w:rPr>
              <w:t>edema</w:t>
            </w:r>
          </w:p>
        </w:tc>
      </w:tr>
    </w:tbl>
    <w:p w14:paraId="2BF59559" w14:textId="77777777" w:rsidR="00576EF4" w:rsidRDefault="00576EF4" w:rsidP="00576EF4">
      <w:pPr>
        <w:pStyle w:val="BodyText1"/>
        <w:rPr>
          <w:lang w:eastAsia="en-GB"/>
        </w:rPr>
      </w:pPr>
    </w:p>
    <w:p w14:paraId="62A43E05" w14:textId="4366AA49" w:rsidR="009E35B7" w:rsidRDefault="00576EF4" w:rsidP="00576EF4">
      <w:pPr>
        <w:pStyle w:val="BodyText1"/>
        <w:rPr>
          <w:lang w:eastAsia="en-GB"/>
        </w:rPr>
      </w:pPr>
      <w:r>
        <w:rPr>
          <w:lang w:eastAsia="en-GB"/>
        </w:rPr>
        <w:t xml:space="preserve">Additional clinically significant adverse events </w:t>
      </w:r>
      <w:r w:rsidR="00246993">
        <w:rPr>
          <w:lang w:eastAsia="en-GB"/>
        </w:rPr>
        <w:t>occurring in</w:t>
      </w:r>
      <w:r>
        <w:rPr>
          <w:lang w:eastAsia="en-GB"/>
        </w:rPr>
        <w:t xml:space="preserve"> </w:t>
      </w:r>
      <w:r w:rsidR="003170D9">
        <w:rPr>
          <w:lang w:eastAsia="en-GB"/>
        </w:rPr>
        <w:t xml:space="preserve">at least 2% of </w:t>
      </w:r>
      <w:r>
        <w:rPr>
          <w:lang w:eastAsia="en-GB"/>
        </w:rPr>
        <w:t>patients treated with ERLYAND include</w:t>
      </w:r>
      <w:r w:rsidR="009E35B7">
        <w:rPr>
          <w:lang w:eastAsia="en-GB"/>
        </w:rPr>
        <w:t>d:</w:t>
      </w:r>
    </w:p>
    <w:p w14:paraId="270857FE" w14:textId="4137F7F6" w:rsidR="00576EF4" w:rsidRDefault="009E35B7" w:rsidP="009E35B7">
      <w:pPr>
        <w:pStyle w:val="BodyText1"/>
        <w:numPr>
          <w:ilvl w:val="0"/>
          <w:numId w:val="30"/>
        </w:numPr>
        <w:rPr>
          <w:lang w:eastAsia="en-GB"/>
        </w:rPr>
      </w:pPr>
      <w:r>
        <w:rPr>
          <w:lang w:eastAsia="en-GB"/>
        </w:rPr>
        <w:t xml:space="preserve">Hypothyroidism </w:t>
      </w:r>
      <w:r w:rsidR="0040493F">
        <w:rPr>
          <w:lang w:eastAsia="en-GB"/>
        </w:rPr>
        <w:t>–</w:t>
      </w:r>
      <w:r>
        <w:rPr>
          <w:lang w:eastAsia="en-GB"/>
        </w:rPr>
        <w:t xml:space="preserve"> </w:t>
      </w:r>
      <w:r w:rsidR="00576EF4">
        <w:rPr>
          <w:lang w:eastAsia="en-GB"/>
        </w:rPr>
        <w:t>8</w:t>
      </w:r>
      <w:r w:rsidR="0040493F">
        <w:rPr>
          <w:lang w:eastAsia="en-GB"/>
        </w:rPr>
        <w:t>.1</w:t>
      </w:r>
      <w:r>
        <w:rPr>
          <w:lang w:eastAsia="en-GB"/>
        </w:rPr>
        <w:t>% versus 2</w:t>
      </w:r>
      <w:r w:rsidR="0040493F">
        <w:rPr>
          <w:lang w:eastAsia="en-GB"/>
        </w:rPr>
        <w:t>.0</w:t>
      </w:r>
      <w:r>
        <w:rPr>
          <w:lang w:eastAsia="en-GB"/>
        </w:rPr>
        <w:t xml:space="preserve">% on placebo (includes </w:t>
      </w:r>
      <w:r w:rsidRPr="009E35B7">
        <w:rPr>
          <w:lang w:eastAsia="en-GB"/>
        </w:rPr>
        <w:t>hypothyroidism, blood thyroid stimulating hormone increased, thyroxine decreased, autoimmune thyroiditis, thyroxine free decreased, tri-iodothyronine decreased</w:t>
      </w:r>
      <w:r>
        <w:rPr>
          <w:lang w:eastAsia="en-GB"/>
        </w:rPr>
        <w:t>)</w:t>
      </w:r>
      <w:r w:rsidR="00246993">
        <w:rPr>
          <w:lang w:eastAsia="en-GB"/>
        </w:rPr>
        <w:t>.</w:t>
      </w:r>
    </w:p>
    <w:p w14:paraId="330440C4" w14:textId="2F0FB111" w:rsidR="00CB5838" w:rsidRDefault="00CB5838" w:rsidP="00CB5838">
      <w:pPr>
        <w:pStyle w:val="BodyText1"/>
        <w:numPr>
          <w:ilvl w:val="0"/>
          <w:numId w:val="30"/>
        </w:numPr>
        <w:rPr>
          <w:lang w:eastAsia="en-GB"/>
        </w:rPr>
      </w:pPr>
      <w:r>
        <w:rPr>
          <w:lang w:eastAsia="en-GB"/>
        </w:rPr>
        <w:t xml:space="preserve">Dysgeusia – 7.1% versus 1.5% on placebo. </w:t>
      </w:r>
    </w:p>
    <w:p w14:paraId="36C5B6E4" w14:textId="4535767F" w:rsidR="00171985" w:rsidRDefault="00171985" w:rsidP="00CB5838">
      <w:pPr>
        <w:pStyle w:val="BodyText1"/>
        <w:numPr>
          <w:ilvl w:val="0"/>
          <w:numId w:val="30"/>
        </w:numPr>
        <w:rPr>
          <w:lang w:eastAsia="en-GB"/>
        </w:rPr>
      </w:pPr>
      <w:r>
        <w:rPr>
          <w:lang w:eastAsia="en-GB"/>
        </w:rPr>
        <w:t>Pruritus - 6.2% versus 2.0% on placebo.</w:t>
      </w:r>
    </w:p>
    <w:p w14:paraId="0A952198" w14:textId="58C4FFA8" w:rsidR="009E35B7" w:rsidRDefault="009E35B7" w:rsidP="0040493F">
      <w:pPr>
        <w:pStyle w:val="BodyText1"/>
        <w:numPr>
          <w:ilvl w:val="0"/>
          <w:numId w:val="30"/>
        </w:numPr>
        <w:rPr>
          <w:lang w:eastAsia="en-GB"/>
        </w:rPr>
      </w:pPr>
      <w:r>
        <w:rPr>
          <w:lang w:eastAsia="en-GB"/>
        </w:rPr>
        <w:t xml:space="preserve">Ischaemic heart disease </w:t>
      </w:r>
      <w:r w:rsidR="0040493F">
        <w:rPr>
          <w:lang w:eastAsia="en-GB"/>
        </w:rPr>
        <w:t>–</w:t>
      </w:r>
      <w:r>
        <w:rPr>
          <w:lang w:eastAsia="en-GB"/>
        </w:rPr>
        <w:t xml:space="preserve"> </w:t>
      </w:r>
      <w:r w:rsidR="00E748F4">
        <w:rPr>
          <w:lang w:eastAsia="en-GB"/>
        </w:rPr>
        <w:t>3.7</w:t>
      </w:r>
      <w:r w:rsidR="0040493F">
        <w:rPr>
          <w:lang w:eastAsia="en-GB"/>
        </w:rPr>
        <w:t xml:space="preserve">% versus </w:t>
      </w:r>
      <w:r w:rsidR="00E748F4">
        <w:rPr>
          <w:lang w:eastAsia="en-GB"/>
        </w:rPr>
        <w:t>2.0</w:t>
      </w:r>
      <w:r w:rsidR="0040493F">
        <w:rPr>
          <w:lang w:eastAsia="en-GB"/>
        </w:rPr>
        <w:t xml:space="preserve">% on placebo (includes </w:t>
      </w:r>
      <w:r w:rsidR="0040493F" w:rsidRPr="0040493F">
        <w:rPr>
          <w:lang w:eastAsia="en-GB"/>
        </w:rPr>
        <w:t xml:space="preserve">angina pectoris, coronary artery disease, myocardial infarction, myocardial ischaemia, </w:t>
      </w:r>
      <w:r w:rsidR="0040493F">
        <w:rPr>
          <w:lang w:eastAsia="en-GB"/>
        </w:rPr>
        <w:t xml:space="preserve">angina unstable, </w:t>
      </w:r>
      <w:r w:rsidR="0040493F" w:rsidRPr="0040493F">
        <w:rPr>
          <w:lang w:eastAsia="en-GB"/>
        </w:rPr>
        <w:t xml:space="preserve">arteriosclerosis coronary artery, </w:t>
      </w:r>
      <w:r w:rsidR="0040493F">
        <w:rPr>
          <w:lang w:eastAsia="en-GB"/>
        </w:rPr>
        <w:t xml:space="preserve">acute coronary syndrome, acute myocardial infarction, </w:t>
      </w:r>
      <w:r w:rsidR="00D7454D">
        <w:rPr>
          <w:lang w:eastAsia="en-GB"/>
        </w:rPr>
        <w:t>coronary artery occlusion, silent myocardial infarction)</w:t>
      </w:r>
      <w:r w:rsidR="00246993">
        <w:rPr>
          <w:lang w:eastAsia="en-GB"/>
        </w:rPr>
        <w:t>.</w:t>
      </w:r>
    </w:p>
    <w:p w14:paraId="4E517048" w14:textId="29875C13" w:rsidR="00171985" w:rsidRDefault="00171985" w:rsidP="00171985">
      <w:pPr>
        <w:pStyle w:val="BodyText1"/>
        <w:numPr>
          <w:ilvl w:val="0"/>
          <w:numId w:val="30"/>
        </w:numPr>
        <w:rPr>
          <w:lang w:eastAsia="en-GB"/>
        </w:rPr>
      </w:pPr>
      <w:r>
        <w:rPr>
          <w:lang w:eastAsia="en-GB"/>
        </w:rPr>
        <w:t xml:space="preserve">Depression – </w:t>
      </w:r>
      <w:r w:rsidR="00AC1A5C">
        <w:rPr>
          <w:lang w:eastAsia="en-GB"/>
        </w:rPr>
        <w:t>3.9</w:t>
      </w:r>
      <w:r>
        <w:rPr>
          <w:lang w:eastAsia="en-GB"/>
        </w:rPr>
        <w:t>% versus 2.</w:t>
      </w:r>
      <w:r w:rsidR="00AC1A5C">
        <w:rPr>
          <w:lang w:eastAsia="en-GB"/>
        </w:rPr>
        <w:t>0</w:t>
      </w:r>
      <w:r>
        <w:rPr>
          <w:lang w:eastAsia="en-GB"/>
        </w:rPr>
        <w:t>% on placebo (includes depression, major depression and suicidal ideation).</w:t>
      </w:r>
    </w:p>
    <w:p w14:paraId="15968E75" w14:textId="2553D412" w:rsidR="003170D9" w:rsidRDefault="003170D9" w:rsidP="007B5E54">
      <w:pPr>
        <w:pStyle w:val="BodyText1"/>
        <w:numPr>
          <w:ilvl w:val="0"/>
          <w:numId w:val="30"/>
        </w:numPr>
        <w:rPr>
          <w:lang w:eastAsia="en-GB"/>
        </w:rPr>
      </w:pPr>
      <w:r>
        <w:rPr>
          <w:lang w:eastAsia="en-GB"/>
        </w:rPr>
        <w:t>Heart failure – 2.2% versus 1.0% on placebo</w:t>
      </w:r>
      <w:r w:rsidR="00E26E08">
        <w:rPr>
          <w:lang w:eastAsia="en-GB"/>
        </w:rPr>
        <w:t>.</w:t>
      </w:r>
    </w:p>
    <w:p w14:paraId="05865B12" w14:textId="1114BD0B" w:rsidR="00EE4620" w:rsidRDefault="00EE4620" w:rsidP="00071865">
      <w:pPr>
        <w:pStyle w:val="BodyText"/>
        <w:rPr>
          <w:noProof/>
          <w:lang w:val="en-AU" w:eastAsia="en-AU"/>
        </w:rPr>
      </w:pPr>
    </w:p>
    <w:tbl>
      <w:tblPr>
        <w:tblStyle w:val="TableGrid"/>
        <w:tblW w:w="0" w:type="auto"/>
        <w:tblInd w:w="5" w:type="dxa"/>
        <w:tblLook w:val="04A0" w:firstRow="1" w:lastRow="0" w:firstColumn="1" w:lastColumn="0" w:noHBand="0" w:noVBand="1"/>
      </w:tblPr>
      <w:tblGrid>
        <w:gridCol w:w="3004"/>
        <w:gridCol w:w="1503"/>
        <w:gridCol w:w="1503"/>
        <w:gridCol w:w="1503"/>
        <w:gridCol w:w="1503"/>
      </w:tblGrid>
      <w:tr w:rsidR="00E508B9" w14:paraId="4DB7AAEF" w14:textId="77777777" w:rsidTr="002F08F1">
        <w:tc>
          <w:tcPr>
            <w:tcW w:w="9016" w:type="dxa"/>
            <w:gridSpan w:val="5"/>
            <w:tcBorders>
              <w:top w:val="nil"/>
              <w:left w:val="nil"/>
              <w:bottom w:val="nil"/>
              <w:right w:val="nil"/>
            </w:tcBorders>
          </w:tcPr>
          <w:p w14:paraId="1142E0D3" w14:textId="77777777" w:rsidR="00E508B9" w:rsidRPr="008A2BF2" w:rsidRDefault="00E508B9" w:rsidP="002F08F1">
            <w:pPr>
              <w:ind w:left="720" w:hanging="720"/>
              <w:rPr>
                <w:b/>
                <w:lang w:eastAsia="en-GB"/>
              </w:rPr>
            </w:pPr>
            <w:r w:rsidRPr="008A2BF2">
              <w:rPr>
                <w:b/>
              </w:rPr>
              <w:t>Table 2:</w:t>
            </w:r>
            <w:r w:rsidRPr="008A2BF2">
              <w:rPr>
                <w:b/>
              </w:rPr>
              <w:tab/>
              <w:t>Laboratory abnormalities occurring in ≥15% of ERLYAND-treated patients and at a higher incidence than placebo (between arm difference &gt;5% all grades) in SPARTAN,</w:t>
            </w:r>
          </w:p>
        </w:tc>
      </w:tr>
      <w:tr w:rsidR="00E508B9" w14:paraId="32DE0E96" w14:textId="77777777" w:rsidTr="002F08F1">
        <w:tc>
          <w:tcPr>
            <w:tcW w:w="3004" w:type="dxa"/>
            <w:tcBorders>
              <w:top w:val="nil"/>
              <w:left w:val="nil"/>
              <w:bottom w:val="nil"/>
              <w:right w:val="nil"/>
            </w:tcBorders>
          </w:tcPr>
          <w:p w14:paraId="1A257A14" w14:textId="77777777" w:rsidR="00E508B9" w:rsidRPr="0019087C" w:rsidRDefault="00E508B9" w:rsidP="002F08F1">
            <w:pPr>
              <w:pStyle w:val="BodyText"/>
              <w:rPr>
                <w:rFonts w:ascii="Times New Roman" w:eastAsiaTheme="minorHAnsi" w:hAnsi="Times New Roman"/>
                <w:sz w:val="20"/>
                <w:lang w:val="en-AU" w:eastAsia="en-GB"/>
              </w:rPr>
            </w:pPr>
          </w:p>
        </w:tc>
        <w:tc>
          <w:tcPr>
            <w:tcW w:w="3006" w:type="dxa"/>
            <w:gridSpan w:val="2"/>
            <w:tcBorders>
              <w:top w:val="nil"/>
              <w:left w:val="nil"/>
              <w:bottom w:val="single" w:sz="4" w:space="0" w:color="auto"/>
              <w:right w:val="nil"/>
            </w:tcBorders>
          </w:tcPr>
          <w:p w14:paraId="2AC91048"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ERLYAND</w:t>
            </w:r>
          </w:p>
          <w:p w14:paraId="7E826AC7"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N=803</w:t>
            </w:r>
          </w:p>
        </w:tc>
        <w:tc>
          <w:tcPr>
            <w:tcW w:w="3006" w:type="dxa"/>
            <w:gridSpan w:val="2"/>
            <w:tcBorders>
              <w:top w:val="nil"/>
              <w:left w:val="nil"/>
              <w:bottom w:val="single" w:sz="4" w:space="0" w:color="auto"/>
              <w:right w:val="nil"/>
            </w:tcBorders>
          </w:tcPr>
          <w:p w14:paraId="6C473F37"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Placebo</w:t>
            </w:r>
          </w:p>
          <w:p w14:paraId="0451029E"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N=398</w:t>
            </w:r>
          </w:p>
        </w:tc>
      </w:tr>
      <w:tr w:rsidR="00E508B9" w14:paraId="0559EBB5" w14:textId="77777777" w:rsidTr="002F08F1">
        <w:tc>
          <w:tcPr>
            <w:tcW w:w="3004" w:type="dxa"/>
            <w:tcBorders>
              <w:top w:val="nil"/>
              <w:left w:val="nil"/>
              <w:bottom w:val="single" w:sz="4" w:space="0" w:color="auto"/>
              <w:right w:val="nil"/>
            </w:tcBorders>
          </w:tcPr>
          <w:p w14:paraId="0BE26A43" w14:textId="77777777" w:rsidR="00E508B9" w:rsidRPr="0019087C" w:rsidRDefault="00E508B9" w:rsidP="002F08F1">
            <w:pPr>
              <w:pStyle w:val="BodyText"/>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Laboratory Abnormality</w:t>
            </w:r>
          </w:p>
        </w:tc>
        <w:tc>
          <w:tcPr>
            <w:tcW w:w="1503" w:type="dxa"/>
            <w:tcBorders>
              <w:top w:val="nil"/>
              <w:left w:val="nil"/>
              <w:bottom w:val="single" w:sz="4" w:space="0" w:color="auto"/>
              <w:right w:val="nil"/>
            </w:tcBorders>
          </w:tcPr>
          <w:p w14:paraId="081330AF"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All Grades</w:t>
            </w:r>
          </w:p>
          <w:p w14:paraId="633F60B8"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w:t>
            </w:r>
          </w:p>
        </w:tc>
        <w:tc>
          <w:tcPr>
            <w:tcW w:w="1503" w:type="dxa"/>
            <w:tcBorders>
              <w:top w:val="nil"/>
              <w:left w:val="nil"/>
              <w:bottom w:val="single" w:sz="4" w:space="0" w:color="auto"/>
              <w:right w:val="nil"/>
            </w:tcBorders>
          </w:tcPr>
          <w:p w14:paraId="116E6710"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Grades 3-4</w:t>
            </w:r>
          </w:p>
          <w:p w14:paraId="537479B9" w14:textId="77777777" w:rsidR="00E508B9" w:rsidRPr="0019087C" w:rsidRDefault="00E508B9" w:rsidP="002F08F1">
            <w:pPr>
              <w:pStyle w:val="BodyText"/>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w:t>
            </w:r>
          </w:p>
        </w:tc>
        <w:tc>
          <w:tcPr>
            <w:tcW w:w="1503" w:type="dxa"/>
            <w:tcBorders>
              <w:top w:val="nil"/>
              <w:left w:val="nil"/>
              <w:bottom w:val="single" w:sz="4" w:space="0" w:color="auto"/>
              <w:right w:val="nil"/>
            </w:tcBorders>
          </w:tcPr>
          <w:p w14:paraId="366E8ECA"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All Grades</w:t>
            </w:r>
          </w:p>
          <w:p w14:paraId="4A68BA64" w14:textId="77777777" w:rsidR="00E508B9" w:rsidRPr="0019087C" w:rsidRDefault="00E508B9" w:rsidP="002F08F1">
            <w:pPr>
              <w:pStyle w:val="BodyText"/>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w:t>
            </w:r>
          </w:p>
        </w:tc>
        <w:tc>
          <w:tcPr>
            <w:tcW w:w="1503" w:type="dxa"/>
            <w:tcBorders>
              <w:top w:val="nil"/>
              <w:left w:val="nil"/>
              <w:bottom w:val="single" w:sz="4" w:space="0" w:color="auto"/>
              <w:right w:val="nil"/>
            </w:tcBorders>
          </w:tcPr>
          <w:p w14:paraId="2EC37475" w14:textId="77777777" w:rsidR="00E508B9" w:rsidRPr="0019087C" w:rsidRDefault="00E508B9" w:rsidP="002F08F1">
            <w:pPr>
              <w:pStyle w:val="BodyText"/>
              <w:spacing w:after="0"/>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Grades 3-4</w:t>
            </w:r>
          </w:p>
          <w:p w14:paraId="1B577616" w14:textId="77777777" w:rsidR="00E508B9" w:rsidRPr="0019087C" w:rsidRDefault="00E508B9" w:rsidP="002F08F1">
            <w:pPr>
              <w:pStyle w:val="BodyText"/>
              <w:jc w:val="center"/>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w:t>
            </w:r>
          </w:p>
        </w:tc>
      </w:tr>
      <w:tr w:rsidR="00E508B9" w14:paraId="3E49C650" w14:textId="77777777" w:rsidTr="002F08F1">
        <w:tc>
          <w:tcPr>
            <w:tcW w:w="3004" w:type="dxa"/>
            <w:tcBorders>
              <w:top w:val="single" w:sz="4" w:space="0" w:color="auto"/>
              <w:left w:val="nil"/>
              <w:bottom w:val="single" w:sz="4" w:space="0" w:color="auto"/>
              <w:right w:val="nil"/>
            </w:tcBorders>
          </w:tcPr>
          <w:p w14:paraId="65B43DB1" w14:textId="77777777" w:rsidR="00E508B9" w:rsidRPr="0019087C" w:rsidRDefault="00E508B9" w:rsidP="002F08F1">
            <w:pPr>
              <w:pStyle w:val="BodyText"/>
              <w:rPr>
                <w:rFonts w:ascii="Times New Roman" w:eastAsiaTheme="minorHAnsi" w:hAnsi="Times New Roman"/>
                <w:b/>
                <w:sz w:val="20"/>
                <w:lang w:val="en-AU" w:eastAsia="en-GB"/>
              </w:rPr>
            </w:pPr>
            <w:r w:rsidRPr="0019087C">
              <w:rPr>
                <w:rFonts w:ascii="Times New Roman" w:eastAsiaTheme="minorHAnsi" w:hAnsi="Times New Roman"/>
                <w:b/>
                <w:sz w:val="20"/>
                <w:lang w:val="en-AU" w:eastAsia="en-GB"/>
              </w:rPr>
              <w:t>Haematology</w:t>
            </w:r>
          </w:p>
        </w:tc>
        <w:tc>
          <w:tcPr>
            <w:tcW w:w="1503" w:type="dxa"/>
            <w:tcBorders>
              <w:top w:val="single" w:sz="4" w:space="0" w:color="auto"/>
              <w:left w:val="nil"/>
              <w:bottom w:val="single" w:sz="4" w:space="0" w:color="auto"/>
              <w:right w:val="nil"/>
            </w:tcBorders>
          </w:tcPr>
          <w:p w14:paraId="4EAF9F51" w14:textId="77777777" w:rsidR="00E508B9" w:rsidRPr="0019087C" w:rsidRDefault="00E508B9" w:rsidP="002F08F1">
            <w:pPr>
              <w:pStyle w:val="BodyText"/>
              <w:jc w:val="center"/>
              <w:rPr>
                <w:rFonts w:ascii="Times New Roman" w:eastAsiaTheme="minorHAnsi" w:hAnsi="Times New Roman"/>
                <w:sz w:val="20"/>
                <w:lang w:val="en-AU" w:eastAsia="en-GB"/>
              </w:rPr>
            </w:pPr>
          </w:p>
        </w:tc>
        <w:tc>
          <w:tcPr>
            <w:tcW w:w="1503" w:type="dxa"/>
            <w:tcBorders>
              <w:top w:val="single" w:sz="4" w:space="0" w:color="auto"/>
              <w:left w:val="nil"/>
              <w:bottom w:val="single" w:sz="4" w:space="0" w:color="auto"/>
              <w:right w:val="nil"/>
            </w:tcBorders>
          </w:tcPr>
          <w:p w14:paraId="427FD578" w14:textId="77777777" w:rsidR="00E508B9" w:rsidRPr="0019087C" w:rsidRDefault="00E508B9" w:rsidP="002F08F1">
            <w:pPr>
              <w:pStyle w:val="BodyText"/>
              <w:jc w:val="center"/>
              <w:rPr>
                <w:rFonts w:ascii="Times New Roman" w:eastAsiaTheme="minorHAnsi" w:hAnsi="Times New Roman"/>
                <w:sz w:val="20"/>
                <w:lang w:val="en-AU" w:eastAsia="en-GB"/>
              </w:rPr>
            </w:pPr>
          </w:p>
        </w:tc>
        <w:tc>
          <w:tcPr>
            <w:tcW w:w="1503" w:type="dxa"/>
            <w:tcBorders>
              <w:top w:val="single" w:sz="4" w:space="0" w:color="auto"/>
              <w:left w:val="nil"/>
              <w:bottom w:val="single" w:sz="4" w:space="0" w:color="auto"/>
              <w:right w:val="nil"/>
            </w:tcBorders>
          </w:tcPr>
          <w:p w14:paraId="3D2D3DC7" w14:textId="77777777" w:rsidR="00E508B9" w:rsidRPr="0019087C" w:rsidRDefault="00E508B9" w:rsidP="002F08F1">
            <w:pPr>
              <w:pStyle w:val="BodyText"/>
              <w:jc w:val="center"/>
              <w:rPr>
                <w:rFonts w:ascii="Times New Roman" w:eastAsiaTheme="minorHAnsi" w:hAnsi="Times New Roman"/>
                <w:sz w:val="20"/>
                <w:lang w:val="en-AU" w:eastAsia="en-GB"/>
              </w:rPr>
            </w:pPr>
          </w:p>
        </w:tc>
        <w:tc>
          <w:tcPr>
            <w:tcW w:w="1503" w:type="dxa"/>
            <w:tcBorders>
              <w:top w:val="single" w:sz="4" w:space="0" w:color="auto"/>
              <w:left w:val="nil"/>
              <w:bottom w:val="single" w:sz="4" w:space="0" w:color="auto"/>
              <w:right w:val="nil"/>
            </w:tcBorders>
          </w:tcPr>
          <w:p w14:paraId="0BA7C553" w14:textId="77777777" w:rsidR="00E508B9" w:rsidRPr="0019087C" w:rsidRDefault="00E508B9" w:rsidP="002F08F1">
            <w:pPr>
              <w:pStyle w:val="BodyText"/>
              <w:jc w:val="center"/>
              <w:rPr>
                <w:rFonts w:ascii="Times New Roman" w:eastAsiaTheme="minorHAnsi" w:hAnsi="Times New Roman"/>
                <w:sz w:val="20"/>
                <w:lang w:val="en-AU" w:eastAsia="en-GB"/>
              </w:rPr>
            </w:pPr>
          </w:p>
        </w:tc>
      </w:tr>
      <w:tr w:rsidR="00E508B9" w14:paraId="3E8EA06C" w14:textId="77777777" w:rsidTr="002F08F1">
        <w:tc>
          <w:tcPr>
            <w:tcW w:w="3004" w:type="dxa"/>
            <w:tcBorders>
              <w:top w:val="single" w:sz="4" w:space="0" w:color="auto"/>
              <w:left w:val="nil"/>
              <w:bottom w:val="nil"/>
              <w:right w:val="nil"/>
            </w:tcBorders>
          </w:tcPr>
          <w:p w14:paraId="2F49B7A4" w14:textId="77777777" w:rsidR="00E508B9" w:rsidRPr="0019087C" w:rsidRDefault="00E508B9" w:rsidP="002F08F1">
            <w:pPr>
              <w:pStyle w:val="BodyText"/>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Anaemia</w:t>
            </w:r>
          </w:p>
        </w:tc>
        <w:tc>
          <w:tcPr>
            <w:tcW w:w="1503" w:type="dxa"/>
            <w:tcBorders>
              <w:top w:val="single" w:sz="4" w:space="0" w:color="auto"/>
              <w:left w:val="nil"/>
              <w:bottom w:val="nil"/>
              <w:right w:val="nil"/>
            </w:tcBorders>
          </w:tcPr>
          <w:p w14:paraId="3A16DA7B"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70</w:t>
            </w:r>
          </w:p>
        </w:tc>
        <w:tc>
          <w:tcPr>
            <w:tcW w:w="1503" w:type="dxa"/>
            <w:tcBorders>
              <w:top w:val="single" w:sz="4" w:space="0" w:color="auto"/>
              <w:left w:val="nil"/>
              <w:bottom w:val="nil"/>
              <w:right w:val="nil"/>
            </w:tcBorders>
          </w:tcPr>
          <w:p w14:paraId="19C87A9A"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0.4</w:t>
            </w:r>
          </w:p>
        </w:tc>
        <w:tc>
          <w:tcPr>
            <w:tcW w:w="1503" w:type="dxa"/>
            <w:tcBorders>
              <w:top w:val="single" w:sz="4" w:space="0" w:color="auto"/>
              <w:left w:val="nil"/>
              <w:bottom w:val="nil"/>
              <w:right w:val="nil"/>
            </w:tcBorders>
          </w:tcPr>
          <w:p w14:paraId="3B141839"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64</w:t>
            </w:r>
          </w:p>
        </w:tc>
        <w:tc>
          <w:tcPr>
            <w:tcW w:w="1503" w:type="dxa"/>
            <w:tcBorders>
              <w:top w:val="single" w:sz="4" w:space="0" w:color="auto"/>
              <w:left w:val="nil"/>
              <w:bottom w:val="nil"/>
              <w:right w:val="nil"/>
            </w:tcBorders>
          </w:tcPr>
          <w:p w14:paraId="0CF217FB"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0.5</w:t>
            </w:r>
          </w:p>
        </w:tc>
      </w:tr>
      <w:tr w:rsidR="00E508B9" w14:paraId="0F1C529B" w14:textId="77777777" w:rsidTr="002F08F1">
        <w:tc>
          <w:tcPr>
            <w:tcW w:w="3004" w:type="dxa"/>
            <w:tcBorders>
              <w:top w:val="nil"/>
              <w:left w:val="nil"/>
              <w:bottom w:val="nil"/>
              <w:right w:val="nil"/>
            </w:tcBorders>
          </w:tcPr>
          <w:p w14:paraId="00AD1778" w14:textId="77777777" w:rsidR="00E508B9" w:rsidRPr="0019087C" w:rsidRDefault="00E508B9" w:rsidP="002F08F1">
            <w:pPr>
              <w:pStyle w:val="BodyText"/>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Leukopenia</w:t>
            </w:r>
          </w:p>
        </w:tc>
        <w:tc>
          <w:tcPr>
            <w:tcW w:w="1503" w:type="dxa"/>
            <w:tcBorders>
              <w:top w:val="nil"/>
              <w:left w:val="nil"/>
              <w:bottom w:val="nil"/>
              <w:right w:val="nil"/>
            </w:tcBorders>
          </w:tcPr>
          <w:p w14:paraId="0B6A0DF8"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47</w:t>
            </w:r>
          </w:p>
        </w:tc>
        <w:tc>
          <w:tcPr>
            <w:tcW w:w="1503" w:type="dxa"/>
            <w:tcBorders>
              <w:top w:val="nil"/>
              <w:left w:val="nil"/>
              <w:bottom w:val="nil"/>
              <w:right w:val="nil"/>
            </w:tcBorders>
          </w:tcPr>
          <w:p w14:paraId="7EA69F7C"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0.3</w:t>
            </w:r>
          </w:p>
        </w:tc>
        <w:tc>
          <w:tcPr>
            <w:tcW w:w="1503" w:type="dxa"/>
            <w:tcBorders>
              <w:top w:val="nil"/>
              <w:left w:val="nil"/>
              <w:bottom w:val="nil"/>
              <w:right w:val="nil"/>
            </w:tcBorders>
          </w:tcPr>
          <w:p w14:paraId="59414CD2"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29</w:t>
            </w:r>
          </w:p>
        </w:tc>
        <w:tc>
          <w:tcPr>
            <w:tcW w:w="1503" w:type="dxa"/>
            <w:tcBorders>
              <w:top w:val="nil"/>
              <w:left w:val="nil"/>
              <w:bottom w:val="nil"/>
              <w:right w:val="nil"/>
            </w:tcBorders>
          </w:tcPr>
          <w:p w14:paraId="392D04C2"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0</w:t>
            </w:r>
          </w:p>
        </w:tc>
      </w:tr>
      <w:tr w:rsidR="00E508B9" w14:paraId="4E19E3F7" w14:textId="77777777" w:rsidTr="002F08F1">
        <w:tc>
          <w:tcPr>
            <w:tcW w:w="3004" w:type="dxa"/>
            <w:tcBorders>
              <w:top w:val="nil"/>
              <w:left w:val="nil"/>
              <w:bottom w:val="nil"/>
              <w:right w:val="nil"/>
            </w:tcBorders>
          </w:tcPr>
          <w:p w14:paraId="4C99CCC4" w14:textId="77777777" w:rsidR="00E508B9" w:rsidRPr="0019087C" w:rsidRDefault="00E508B9" w:rsidP="002F08F1">
            <w:pPr>
              <w:pStyle w:val="BodyText"/>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Lymphopenia</w:t>
            </w:r>
          </w:p>
        </w:tc>
        <w:tc>
          <w:tcPr>
            <w:tcW w:w="1503" w:type="dxa"/>
            <w:tcBorders>
              <w:top w:val="nil"/>
              <w:left w:val="nil"/>
              <w:bottom w:val="nil"/>
              <w:right w:val="nil"/>
            </w:tcBorders>
          </w:tcPr>
          <w:p w14:paraId="4351477B"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41</w:t>
            </w:r>
          </w:p>
        </w:tc>
        <w:tc>
          <w:tcPr>
            <w:tcW w:w="1503" w:type="dxa"/>
            <w:tcBorders>
              <w:top w:val="nil"/>
              <w:left w:val="nil"/>
              <w:bottom w:val="nil"/>
              <w:right w:val="nil"/>
            </w:tcBorders>
          </w:tcPr>
          <w:p w14:paraId="20301014"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2</w:t>
            </w:r>
          </w:p>
        </w:tc>
        <w:tc>
          <w:tcPr>
            <w:tcW w:w="1503" w:type="dxa"/>
            <w:tcBorders>
              <w:top w:val="nil"/>
              <w:left w:val="nil"/>
              <w:bottom w:val="nil"/>
              <w:right w:val="nil"/>
            </w:tcBorders>
          </w:tcPr>
          <w:p w14:paraId="6EE5934C"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21</w:t>
            </w:r>
          </w:p>
        </w:tc>
        <w:tc>
          <w:tcPr>
            <w:tcW w:w="1503" w:type="dxa"/>
            <w:tcBorders>
              <w:top w:val="nil"/>
              <w:left w:val="nil"/>
              <w:bottom w:val="nil"/>
              <w:right w:val="nil"/>
            </w:tcBorders>
          </w:tcPr>
          <w:p w14:paraId="7850C81C"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2</w:t>
            </w:r>
          </w:p>
        </w:tc>
      </w:tr>
      <w:tr w:rsidR="00E508B9" w14:paraId="146DB24D" w14:textId="77777777" w:rsidTr="002F08F1">
        <w:tc>
          <w:tcPr>
            <w:tcW w:w="3004" w:type="dxa"/>
            <w:tcBorders>
              <w:top w:val="nil"/>
              <w:left w:val="nil"/>
              <w:bottom w:val="nil"/>
              <w:right w:val="nil"/>
            </w:tcBorders>
          </w:tcPr>
          <w:p w14:paraId="524B5611" w14:textId="77777777" w:rsidR="00E508B9" w:rsidRPr="00DA0D29" w:rsidRDefault="00E508B9" w:rsidP="002F08F1">
            <w:pPr>
              <w:pStyle w:val="BodyText"/>
              <w:rPr>
                <w:rFonts w:ascii="Times New Roman" w:eastAsiaTheme="minorHAnsi" w:hAnsi="Times New Roman"/>
                <w:b/>
                <w:sz w:val="20"/>
                <w:u w:val="single"/>
                <w:lang w:val="en-AU" w:eastAsia="en-GB"/>
              </w:rPr>
            </w:pPr>
            <w:r w:rsidRPr="00DA0D29">
              <w:rPr>
                <w:rFonts w:ascii="Times New Roman" w:eastAsiaTheme="minorHAnsi" w:hAnsi="Times New Roman"/>
                <w:b/>
                <w:sz w:val="20"/>
                <w:u w:val="single"/>
                <w:lang w:val="en-AU" w:eastAsia="en-GB"/>
              </w:rPr>
              <w:t>Chemistry</w:t>
            </w:r>
          </w:p>
        </w:tc>
        <w:tc>
          <w:tcPr>
            <w:tcW w:w="1503" w:type="dxa"/>
            <w:tcBorders>
              <w:top w:val="nil"/>
              <w:left w:val="nil"/>
              <w:bottom w:val="nil"/>
              <w:right w:val="nil"/>
            </w:tcBorders>
          </w:tcPr>
          <w:p w14:paraId="2F31B420" w14:textId="77777777" w:rsidR="00E508B9" w:rsidRPr="0019087C" w:rsidRDefault="00E508B9" w:rsidP="002F08F1">
            <w:pPr>
              <w:pStyle w:val="BodyText"/>
              <w:jc w:val="center"/>
              <w:rPr>
                <w:rFonts w:ascii="Times New Roman" w:eastAsiaTheme="minorHAnsi" w:hAnsi="Times New Roman"/>
                <w:sz w:val="20"/>
                <w:lang w:val="en-AU" w:eastAsia="en-GB"/>
              </w:rPr>
            </w:pPr>
          </w:p>
        </w:tc>
        <w:tc>
          <w:tcPr>
            <w:tcW w:w="1503" w:type="dxa"/>
            <w:tcBorders>
              <w:top w:val="nil"/>
              <w:left w:val="nil"/>
              <w:bottom w:val="nil"/>
              <w:right w:val="nil"/>
            </w:tcBorders>
          </w:tcPr>
          <w:p w14:paraId="20D80352" w14:textId="77777777" w:rsidR="00E508B9" w:rsidRPr="0019087C" w:rsidRDefault="00E508B9" w:rsidP="002F08F1">
            <w:pPr>
              <w:pStyle w:val="BodyText"/>
              <w:jc w:val="center"/>
              <w:rPr>
                <w:rFonts w:ascii="Times New Roman" w:eastAsiaTheme="minorHAnsi" w:hAnsi="Times New Roman"/>
                <w:sz w:val="20"/>
                <w:lang w:val="en-AU" w:eastAsia="en-GB"/>
              </w:rPr>
            </w:pPr>
          </w:p>
        </w:tc>
        <w:tc>
          <w:tcPr>
            <w:tcW w:w="1503" w:type="dxa"/>
            <w:tcBorders>
              <w:top w:val="nil"/>
              <w:left w:val="nil"/>
              <w:bottom w:val="nil"/>
              <w:right w:val="nil"/>
            </w:tcBorders>
          </w:tcPr>
          <w:p w14:paraId="1A043682" w14:textId="77777777" w:rsidR="00E508B9" w:rsidRPr="0019087C" w:rsidRDefault="00E508B9" w:rsidP="002F08F1">
            <w:pPr>
              <w:pStyle w:val="BodyText"/>
              <w:jc w:val="center"/>
              <w:rPr>
                <w:rFonts w:ascii="Times New Roman" w:eastAsiaTheme="minorHAnsi" w:hAnsi="Times New Roman"/>
                <w:sz w:val="20"/>
                <w:lang w:val="en-AU" w:eastAsia="en-GB"/>
              </w:rPr>
            </w:pPr>
          </w:p>
        </w:tc>
        <w:tc>
          <w:tcPr>
            <w:tcW w:w="1503" w:type="dxa"/>
            <w:tcBorders>
              <w:top w:val="nil"/>
              <w:left w:val="nil"/>
              <w:bottom w:val="nil"/>
              <w:right w:val="nil"/>
            </w:tcBorders>
          </w:tcPr>
          <w:p w14:paraId="2EABEB46" w14:textId="77777777" w:rsidR="00E508B9" w:rsidRPr="0019087C" w:rsidRDefault="00E508B9" w:rsidP="002F08F1">
            <w:pPr>
              <w:pStyle w:val="BodyText"/>
              <w:jc w:val="center"/>
              <w:rPr>
                <w:rFonts w:ascii="Times New Roman" w:eastAsiaTheme="minorHAnsi" w:hAnsi="Times New Roman"/>
                <w:sz w:val="20"/>
                <w:lang w:val="en-AU" w:eastAsia="en-GB"/>
              </w:rPr>
            </w:pPr>
          </w:p>
        </w:tc>
      </w:tr>
      <w:tr w:rsidR="00E508B9" w14:paraId="012F1CE0" w14:textId="77777777" w:rsidTr="002F08F1">
        <w:tc>
          <w:tcPr>
            <w:tcW w:w="3004" w:type="dxa"/>
            <w:tcBorders>
              <w:top w:val="nil"/>
              <w:left w:val="nil"/>
              <w:bottom w:val="nil"/>
              <w:right w:val="nil"/>
            </w:tcBorders>
          </w:tcPr>
          <w:p w14:paraId="4F5DED98" w14:textId="77777777" w:rsidR="00E508B9" w:rsidRPr="0019087C" w:rsidRDefault="00E508B9" w:rsidP="002F08F1">
            <w:pPr>
              <w:pStyle w:val="BodyText"/>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Hypercholesterolaemia</w:t>
            </w:r>
            <w:r w:rsidRPr="00D06BF8">
              <w:rPr>
                <w:rFonts w:ascii="Times New Roman" w:eastAsiaTheme="minorHAnsi" w:hAnsi="Times New Roman"/>
                <w:sz w:val="16"/>
                <w:szCs w:val="16"/>
                <w:vertAlign w:val="superscript"/>
                <w:lang w:val="en-AU" w:eastAsia="en-GB"/>
              </w:rPr>
              <w:t>1</w:t>
            </w:r>
          </w:p>
        </w:tc>
        <w:tc>
          <w:tcPr>
            <w:tcW w:w="1503" w:type="dxa"/>
            <w:tcBorders>
              <w:top w:val="nil"/>
              <w:left w:val="nil"/>
              <w:bottom w:val="nil"/>
              <w:right w:val="nil"/>
            </w:tcBorders>
          </w:tcPr>
          <w:p w14:paraId="6170ADD8"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76</w:t>
            </w:r>
          </w:p>
        </w:tc>
        <w:tc>
          <w:tcPr>
            <w:tcW w:w="1503" w:type="dxa"/>
            <w:tcBorders>
              <w:top w:val="nil"/>
              <w:left w:val="nil"/>
              <w:bottom w:val="nil"/>
              <w:right w:val="nil"/>
            </w:tcBorders>
          </w:tcPr>
          <w:p w14:paraId="3ACA1834"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0.1</w:t>
            </w:r>
          </w:p>
        </w:tc>
        <w:tc>
          <w:tcPr>
            <w:tcW w:w="1503" w:type="dxa"/>
            <w:tcBorders>
              <w:top w:val="nil"/>
              <w:left w:val="nil"/>
              <w:bottom w:val="nil"/>
              <w:right w:val="nil"/>
            </w:tcBorders>
          </w:tcPr>
          <w:p w14:paraId="760F4978"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46</w:t>
            </w:r>
          </w:p>
        </w:tc>
        <w:tc>
          <w:tcPr>
            <w:tcW w:w="1503" w:type="dxa"/>
            <w:tcBorders>
              <w:top w:val="nil"/>
              <w:left w:val="nil"/>
              <w:bottom w:val="nil"/>
              <w:right w:val="nil"/>
            </w:tcBorders>
          </w:tcPr>
          <w:p w14:paraId="438284D8"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0</w:t>
            </w:r>
          </w:p>
        </w:tc>
      </w:tr>
      <w:tr w:rsidR="00E508B9" w14:paraId="7D2C3835" w14:textId="77777777" w:rsidTr="002F08F1">
        <w:tc>
          <w:tcPr>
            <w:tcW w:w="3004" w:type="dxa"/>
            <w:tcBorders>
              <w:top w:val="nil"/>
              <w:left w:val="nil"/>
              <w:bottom w:val="nil"/>
              <w:right w:val="nil"/>
            </w:tcBorders>
          </w:tcPr>
          <w:p w14:paraId="07737F04" w14:textId="77777777" w:rsidR="00E508B9" w:rsidRPr="0019087C" w:rsidRDefault="00E508B9" w:rsidP="002F08F1">
            <w:pPr>
              <w:pStyle w:val="BodyText"/>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Hyperglycaemia</w:t>
            </w:r>
            <w:r w:rsidRPr="00D06BF8">
              <w:rPr>
                <w:rFonts w:ascii="Times New Roman" w:eastAsiaTheme="minorHAnsi" w:hAnsi="Times New Roman"/>
                <w:sz w:val="16"/>
                <w:szCs w:val="16"/>
                <w:vertAlign w:val="superscript"/>
                <w:lang w:val="en-AU" w:eastAsia="en-GB"/>
              </w:rPr>
              <w:t>1</w:t>
            </w:r>
          </w:p>
        </w:tc>
        <w:tc>
          <w:tcPr>
            <w:tcW w:w="1503" w:type="dxa"/>
            <w:tcBorders>
              <w:top w:val="nil"/>
              <w:left w:val="nil"/>
              <w:bottom w:val="nil"/>
              <w:right w:val="nil"/>
            </w:tcBorders>
          </w:tcPr>
          <w:p w14:paraId="74DC746C"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70</w:t>
            </w:r>
          </w:p>
        </w:tc>
        <w:tc>
          <w:tcPr>
            <w:tcW w:w="1503" w:type="dxa"/>
            <w:tcBorders>
              <w:top w:val="nil"/>
              <w:left w:val="nil"/>
              <w:bottom w:val="nil"/>
              <w:right w:val="nil"/>
            </w:tcBorders>
          </w:tcPr>
          <w:p w14:paraId="486B52E0"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2</w:t>
            </w:r>
          </w:p>
        </w:tc>
        <w:tc>
          <w:tcPr>
            <w:tcW w:w="1503" w:type="dxa"/>
            <w:tcBorders>
              <w:top w:val="nil"/>
              <w:left w:val="nil"/>
              <w:bottom w:val="nil"/>
              <w:right w:val="nil"/>
            </w:tcBorders>
          </w:tcPr>
          <w:p w14:paraId="5857325E"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59</w:t>
            </w:r>
          </w:p>
        </w:tc>
        <w:tc>
          <w:tcPr>
            <w:tcW w:w="1503" w:type="dxa"/>
            <w:tcBorders>
              <w:top w:val="nil"/>
              <w:left w:val="nil"/>
              <w:bottom w:val="nil"/>
              <w:right w:val="nil"/>
            </w:tcBorders>
          </w:tcPr>
          <w:p w14:paraId="24341592"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1</w:t>
            </w:r>
          </w:p>
        </w:tc>
      </w:tr>
      <w:tr w:rsidR="00E508B9" w14:paraId="2A603670" w14:textId="77777777" w:rsidTr="002F08F1">
        <w:tc>
          <w:tcPr>
            <w:tcW w:w="3004" w:type="dxa"/>
            <w:tcBorders>
              <w:top w:val="nil"/>
              <w:left w:val="nil"/>
              <w:bottom w:val="nil"/>
              <w:right w:val="nil"/>
            </w:tcBorders>
          </w:tcPr>
          <w:p w14:paraId="247555F9" w14:textId="77777777" w:rsidR="00E508B9" w:rsidRPr="0019087C" w:rsidRDefault="00E508B9" w:rsidP="002F08F1">
            <w:pPr>
              <w:pStyle w:val="BodyText"/>
              <w:rPr>
                <w:rFonts w:ascii="Times New Roman" w:eastAsiaTheme="minorHAnsi" w:hAnsi="Times New Roman"/>
                <w:sz w:val="20"/>
                <w:lang w:val="en-AU" w:eastAsia="en-GB"/>
              </w:rPr>
            </w:pPr>
            <w:r>
              <w:rPr>
                <w:rFonts w:ascii="Times New Roman" w:eastAsiaTheme="minorHAnsi" w:hAnsi="Times New Roman"/>
                <w:sz w:val="20"/>
                <w:lang w:val="en-AU" w:eastAsia="en-GB"/>
              </w:rPr>
              <w:t>Hypertriglycerid</w:t>
            </w:r>
            <w:r w:rsidRPr="0019087C">
              <w:rPr>
                <w:rFonts w:ascii="Times New Roman" w:eastAsiaTheme="minorHAnsi" w:hAnsi="Times New Roman"/>
                <w:sz w:val="20"/>
                <w:lang w:val="en-AU" w:eastAsia="en-GB"/>
              </w:rPr>
              <w:t>emia</w:t>
            </w:r>
            <w:r w:rsidRPr="00D06BF8">
              <w:rPr>
                <w:rFonts w:ascii="Times New Roman" w:eastAsiaTheme="minorHAnsi" w:hAnsi="Times New Roman"/>
                <w:sz w:val="16"/>
                <w:szCs w:val="16"/>
                <w:vertAlign w:val="superscript"/>
                <w:lang w:val="en-AU" w:eastAsia="en-GB"/>
              </w:rPr>
              <w:t>1</w:t>
            </w:r>
          </w:p>
        </w:tc>
        <w:tc>
          <w:tcPr>
            <w:tcW w:w="1503" w:type="dxa"/>
            <w:tcBorders>
              <w:top w:val="nil"/>
              <w:left w:val="nil"/>
              <w:bottom w:val="nil"/>
              <w:right w:val="nil"/>
            </w:tcBorders>
          </w:tcPr>
          <w:p w14:paraId="446FE9BA" w14:textId="77777777" w:rsidR="00E508B9" w:rsidRPr="0019087C" w:rsidRDefault="00E508B9" w:rsidP="002F08F1">
            <w:pPr>
              <w:pStyle w:val="BodyText"/>
              <w:tabs>
                <w:tab w:val="left" w:pos="1110"/>
              </w:tabs>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67</w:t>
            </w:r>
          </w:p>
        </w:tc>
        <w:tc>
          <w:tcPr>
            <w:tcW w:w="1503" w:type="dxa"/>
            <w:tcBorders>
              <w:top w:val="nil"/>
              <w:left w:val="nil"/>
              <w:bottom w:val="nil"/>
              <w:right w:val="nil"/>
            </w:tcBorders>
          </w:tcPr>
          <w:p w14:paraId="14666E39"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2</w:t>
            </w:r>
          </w:p>
        </w:tc>
        <w:tc>
          <w:tcPr>
            <w:tcW w:w="1503" w:type="dxa"/>
            <w:tcBorders>
              <w:top w:val="nil"/>
              <w:left w:val="nil"/>
              <w:bottom w:val="nil"/>
              <w:right w:val="nil"/>
            </w:tcBorders>
          </w:tcPr>
          <w:p w14:paraId="389F3888"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49</w:t>
            </w:r>
          </w:p>
        </w:tc>
        <w:tc>
          <w:tcPr>
            <w:tcW w:w="1503" w:type="dxa"/>
            <w:tcBorders>
              <w:top w:val="nil"/>
              <w:left w:val="nil"/>
              <w:bottom w:val="nil"/>
              <w:right w:val="nil"/>
            </w:tcBorders>
          </w:tcPr>
          <w:p w14:paraId="4F48793F"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0.8</w:t>
            </w:r>
          </w:p>
        </w:tc>
      </w:tr>
      <w:tr w:rsidR="00E508B9" w14:paraId="389559C2" w14:textId="77777777" w:rsidTr="002F08F1">
        <w:tc>
          <w:tcPr>
            <w:tcW w:w="3004" w:type="dxa"/>
            <w:tcBorders>
              <w:top w:val="nil"/>
              <w:left w:val="nil"/>
              <w:bottom w:val="single" w:sz="4" w:space="0" w:color="auto"/>
              <w:right w:val="nil"/>
            </w:tcBorders>
          </w:tcPr>
          <w:p w14:paraId="48152447" w14:textId="77777777" w:rsidR="00E508B9" w:rsidRPr="0019087C" w:rsidRDefault="00E508B9" w:rsidP="002F08F1">
            <w:pPr>
              <w:pStyle w:val="BodyText"/>
              <w:rPr>
                <w:rFonts w:ascii="Times New Roman" w:eastAsiaTheme="minorHAnsi" w:hAnsi="Times New Roman"/>
                <w:sz w:val="20"/>
                <w:lang w:val="en-AU" w:eastAsia="en-GB"/>
              </w:rPr>
            </w:pPr>
            <w:r w:rsidRPr="0019087C">
              <w:rPr>
                <w:rFonts w:ascii="Times New Roman" w:eastAsiaTheme="minorHAnsi" w:hAnsi="Times New Roman"/>
                <w:sz w:val="20"/>
                <w:lang w:val="en-AU" w:eastAsia="en-GB"/>
              </w:rPr>
              <w:t>Hyperkalaemia</w:t>
            </w:r>
          </w:p>
        </w:tc>
        <w:tc>
          <w:tcPr>
            <w:tcW w:w="1503" w:type="dxa"/>
            <w:tcBorders>
              <w:top w:val="nil"/>
              <w:left w:val="nil"/>
              <w:bottom w:val="single" w:sz="4" w:space="0" w:color="auto"/>
              <w:right w:val="nil"/>
            </w:tcBorders>
          </w:tcPr>
          <w:p w14:paraId="6E1D9D78"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32</w:t>
            </w:r>
          </w:p>
        </w:tc>
        <w:tc>
          <w:tcPr>
            <w:tcW w:w="1503" w:type="dxa"/>
            <w:tcBorders>
              <w:top w:val="nil"/>
              <w:left w:val="nil"/>
              <w:bottom w:val="single" w:sz="4" w:space="0" w:color="auto"/>
              <w:right w:val="nil"/>
            </w:tcBorders>
          </w:tcPr>
          <w:p w14:paraId="012EF118"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2</w:t>
            </w:r>
          </w:p>
        </w:tc>
        <w:tc>
          <w:tcPr>
            <w:tcW w:w="1503" w:type="dxa"/>
            <w:tcBorders>
              <w:top w:val="nil"/>
              <w:left w:val="nil"/>
              <w:bottom w:val="single" w:sz="4" w:space="0" w:color="auto"/>
              <w:right w:val="nil"/>
            </w:tcBorders>
          </w:tcPr>
          <w:p w14:paraId="00E3D9CC"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22</w:t>
            </w:r>
          </w:p>
        </w:tc>
        <w:tc>
          <w:tcPr>
            <w:tcW w:w="1503" w:type="dxa"/>
            <w:tcBorders>
              <w:top w:val="nil"/>
              <w:left w:val="nil"/>
              <w:bottom w:val="single" w:sz="4" w:space="0" w:color="auto"/>
              <w:right w:val="nil"/>
            </w:tcBorders>
          </w:tcPr>
          <w:p w14:paraId="402723CE" w14:textId="77777777" w:rsidR="00E508B9" w:rsidRPr="0019087C" w:rsidRDefault="00E508B9" w:rsidP="002F08F1">
            <w:pPr>
              <w:pStyle w:val="BodyText"/>
              <w:jc w:val="center"/>
              <w:rPr>
                <w:rFonts w:ascii="Times New Roman" w:eastAsiaTheme="minorHAnsi" w:hAnsi="Times New Roman"/>
                <w:sz w:val="20"/>
                <w:lang w:val="en-AU" w:eastAsia="en-GB"/>
              </w:rPr>
            </w:pPr>
            <w:r>
              <w:rPr>
                <w:rFonts w:ascii="Times New Roman" w:eastAsiaTheme="minorHAnsi" w:hAnsi="Times New Roman"/>
                <w:sz w:val="20"/>
                <w:lang w:val="en-AU" w:eastAsia="en-GB"/>
              </w:rPr>
              <w:t>0.5</w:t>
            </w:r>
          </w:p>
        </w:tc>
      </w:tr>
      <w:tr w:rsidR="00E508B9" w14:paraId="46C9EF53" w14:textId="77777777" w:rsidTr="002F08F1">
        <w:tc>
          <w:tcPr>
            <w:tcW w:w="9016" w:type="dxa"/>
            <w:gridSpan w:val="5"/>
            <w:tcBorders>
              <w:top w:val="single" w:sz="4" w:space="0" w:color="auto"/>
              <w:left w:val="nil"/>
              <w:bottom w:val="nil"/>
              <w:right w:val="nil"/>
            </w:tcBorders>
          </w:tcPr>
          <w:p w14:paraId="54A13061" w14:textId="77777777" w:rsidR="00E508B9" w:rsidRPr="00D06BF8" w:rsidRDefault="00E508B9" w:rsidP="002F08F1">
            <w:pPr>
              <w:pStyle w:val="BodyText"/>
              <w:jc w:val="left"/>
              <w:rPr>
                <w:rFonts w:ascii="Times New Roman" w:eastAsiaTheme="minorHAnsi" w:hAnsi="Times New Roman"/>
                <w:sz w:val="16"/>
                <w:szCs w:val="16"/>
                <w:lang w:val="en-AU" w:eastAsia="en-GB"/>
              </w:rPr>
            </w:pPr>
            <w:r w:rsidRPr="00D06BF8">
              <w:rPr>
                <w:rFonts w:ascii="Times New Roman" w:eastAsiaTheme="minorHAnsi" w:hAnsi="Times New Roman"/>
                <w:sz w:val="16"/>
                <w:szCs w:val="16"/>
                <w:vertAlign w:val="superscript"/>
                <w:lang w:val="en-AU" w:eastAsia="en-GB"/>
              </w:rPr>
              <w:t>1</w:t>
            </w:r>
            <w:r w:rsidRPr="00D06BF8">
              <w:rPr>
                <w:rFonts w:ascii="Times New Roman" w:eastAsiaTheme="minorHAnsi" w:hAnsi="Times New Roman"/>
                <w:sz w:val="16"/>
                <w:szCs w:val="16"/>
                <w:lang w:val="en-AU" w:eastAsia="en-GB"/>
              </w:rPr>
              <w:t xml:space="preserve"> Does not reflect fasting values</w:t>
            </w:r>
          </w:p>
        </w:tc>
      </w:tr>
    </w:tbl>
    <w:p w14:paraId="1FE96E9D" w14:textId="70A03F6F" w:rsidR="00E508B9" w:rsidRDefault="00E508B9" w:rsidP="00071865">
      <w:pPr>
        <w:pStyle w:val="BodyText"/>
        <w:rPr>
          <w:rFonts w:eastAsiaTheme="minorHAnsi"/>
          <w:lang w:val="en-AU" w:eastAsia="en-GB"/>
        </w:rPr>
      </w:pPr>
    </w:p>
    <w:p w14:paraId="45F57199" w14:textId="72785DF7" w:rsidR="00F632A8" w:rsidRPr="00433595" w:rsidRDefault="00D81D24" w:rsidP="006E3E1D">
      <w:pPr>
        <w:pStyle w:val="Heading3"/>
        <w:ind w:left="0" w:firstLine="0"/>
        <w:rPr>
          <w:rFonts w:eastAsiaTheme="minorHAnsi"/>
          <w:lang w:eastAsia="en-GB"/>
        </w:rPr>
      </w:pPr>
      <w:r>
        <w:rPr>
          <w:rFonts w:eastAsiaTheme="minorHAnsi"/>
          <w:lang w:eastAsia="en-GB"/>
        </w:rPr>
        <w:t>Description of selected adverse events</w:t>
      </w:r>
    </w:p>
    <w:p w14:paraId="64B5757B" w14:textId="4DBD9543" w:rsidR="00D95AC0" w:rsidRDefault="00D95AC0" w:rsidP="00071865">
      <w:pPr>
        <w:pStyle w:val="Heading4"/>
      </w:pPr>
      <w:r>
        <w:t>Falls and Fractures</w:t>
      </w:r>
    </w:p>
    <w:p w14:paraId="0EB9AFDD" w14:textId="61F0FA00" w:rsidR="006E3E1D" w:rsidRPr="00C341BC" w:rsidRDefault="006E3E1D" w:rsidP="00C341BC">
      <w:pPr>
        <w:rPr>
          <w:rFonts w:ascii="Arial" w:hAnsi="Arial"/>
          <w:sz w:val="21"/>
          <w:lang w:eastAsia="en-GB"/>
        </w:rPr>
      </w:pPr>
      <w:r>
        <w:rPr>
          <w:rFonts w:ascii="Arial" w:hAnsi="Arial"/>
          <w:sz w:val="21"/>
          <w:lang w:eastAsia="en-GB"/>
        </w:rPr>
        <w:t>In the SPARTAN study, f</w:t>
      </w:r>
      <w:r w:rsidR="0084535A" w:rsidRPr="0084535A">
        <w:rPr>
          <w:rFonts w:ascii="Arial" w:hAnsi="Arial"/>
          <w:sz w:val="21"/>
          <w:lang w:eastAsia="en-GB"/>
        </w:rPr>
        <w:t xml:space="preserve">alls were reported for 16% of subjects treated with </w:t>
      </w:r>
      <w:r w:rsidR="0038517B">
        <w:rPr>
          <w:rFonts w:ascii="Arial" w:hAnsi="Arial"/>
          <w:sz w:val="21"/>
          <w:lang w:eastAsia="en-GB"/>
        </w:rPr>
        <w:t>ERLYAND</w:t>
      </w:r>
      <w:r w:rsidR="0084535A" w:rsidRPr="0084535A">
        <w:rPr>
          <w:rFonts w:ascii="Arial" w:hAnsi="Arial"/>
          <w:sz w:val="21"/>
          <w:lang w:eastAsia="en-GB"/>
        </w:rPr>
        <w:t xml:space="preserve"> versus 9% of subjects treated with placebo</w:t>
      </w:r>
      <w:r>
        <w:rPr>
          <w:rFonts w:ascii="Arial" w:hAnsi="Arial"/>
          <w:sz w:val="21"/>
          <w:lang w:eastAsia="en-GB"/>
        </w:rPr>
        <w:t xml:space="preserve">, and were not </w:t>
      </w:r>
      <w:r w:rsidRPr="006E3E1D">
        <w:rPr>
          <w:rFonts w:ascii="Arial" w:hAnsi="Arial"/>
          <w:sz w:val="21"/>
          <w:lang w:eastAsia="en-GB"/>
        </w:rPr>
        <w:t>associated with loss of consciousness or seizure</w:t>
      </w:r>
      <w:r w:rsidR="0084535A" w:rsidRPr="0084535A">
        <w:rPr>
          <w:rFonts w:ascii="Arial" w:hAnsi="Arial"/>
          <w:sz w:val="21"/>
          <w:lang w:eastAsia="en-GB"/>
        </w:rPr>
        <w:t>.</w:t>
      </w:r>
      <w:r>
        <w:rPr>
          <w:rFonts w:ascii="Arial" w:hAnsi="Arial"/>
          <w:sz w:val="21"/>
          <w:lang w:eastAsia="en-GB"/>
        </w:rPr>
        <w:t xml:space="preserve"> Non-pathological </w:t>
      </w:r>
      <w:r w:rsidRPr="0084535A">
        <w:rPr>
          <w:rFonts w:ascii="Arial" w:hAnsi="Arial"/>
          <w:sz w:val="21"/>
          <w:lang w:eastAsia="en-GB"/>
        </w:rPr>
        <w:t xml:space="preserve">fracture was reported for </w:t>
      </w:r>
      <w:r>
        <w:rPr>
          <w:rFonts w:ascii="Arial" w:hAnsi="Arial"/>
          <w:sz w:val="21"/>
          <w:lang w:eastAsia="en-GB"/>
        </w:rPr>
        <w:t>12</w:t>
      </w:r>
      <w:r w:rsidRPr="0084535A">
        <w:rPr>
          <w:rFonts w:ascii="Arial" w:hAnsi="Arial"/>
          <w:sz w:val="21"/>
          <w:lang w:eastAsia="en-GB"/>
        </w:rPr>
        <w:t xml:space="preserve">% of subjects treated with </w:t>
      </w:r>
      <w:r>
        <w:rPr>
          <w:rFonts w:ascii="Arial" w:hAnsi="Arial"/>
          <w:sz w:val="21"/>
          <w:lang w:eastAsia="en-GB"/>
        </w:rPr>
        <w:t>ERLYAND</w:t>
      </w:r>
      <w:r w:rsidRPr="0084535A">
        <w:rPr>
          <w:rFonts w:ascii="Arial" w:hAnsi="Arial"/>
          <w:sz w:val="21"/>
          <w:lang w:eastAsia="en-GB"/>
        </w:rPr>
        <w:t xml:space="preserve"> and </w:t>
      </w:r>
      <w:r>
        <w:rPr>
          <w:rFonts w:ascii="Arial" w:hAnsi="Arial"/>
          <w:sz w:val="21"/>
          <w:lang w:eastAsia="en-GB"/>
        </w:rPr>
        <w:t>7</w:t>
      </w:r>
      <w:r w:rsidRPr="0084535A">
        <w:rPr>
          <w:rFonts w:ascii="Arial" w:hAnsi="Arial"/>
          <w:sz w:val="21"/>
          <w:lang w:eastAsia="en-GB"/>
        </w:rPr>
        <w:t xml:space="preserve">% of subjects treated with placebo. </w:t>
      </w:r>
      <w:r>
        <w:rPr>
          <w:rFonts w:ascii="Arial" w:hAnsi="Arial"/>
          <w:sz w:val="21"/>
          <w:lang w:eastAsia="en-GB"/>
        </w:rPr>
        <w:t xml:space="preserve">In half of these cases in both arms, a fall had occurred in the </w:t>
      </w:r>
      <w:r w:rsidR="005F6FB9">
        <w:rPr>
          <w:rFonts w:ascii="Arial" w:hAnsi="Arial"/>
          <w:sz w:val="21"/>
          <w:lang w:eastAsia="en-GB"/>
        </w:rPr>
        <w:t>proceeding</w:t>
      </w:r>
      <w:r>
        <w:rPr>
          <w:rFonts w:ascii="Arial" w:hAnsi="Arial"/>
          <w:sz w:val="21"/>
          <w:lang w:eastAsia="en-GB"/>
        </w:rPr>
        <w:t xml:space="preserve"> 7 days</w:t>
      </w:r>
      <w:r w:rsidRPr="0084535A">
        <w:rPr>
          <w:rFonts w:ascii="Arial" w:hAnsi="Arial"/>
          <w:sz w:val="21"/>
          <w:lang w:eastAsia="en-GB"/>
        </w:rPr>
        <w:t xml:space="preserve">. </w:t>
      </w:r>
      <w:r>
        <w:rPr>
          <w:rFonts w:ascii="Arial" w:hAnsi="Arial"/>
          <w:sz w:val="21"/>
          <w:lang w:eastAsia="en-GB"/>
        </w:rPr>
        <w:t xml:space="preserve">Severity was grade 3-4 in </w:t>
      </w:r>
      <w:r w:rsidRPr="006E3E1D">
        <w:rPr>
          <w:rFonts w:ascii="Arial" w:hAnsi="Arial"/>
          <w:sz w:val="21"/>
          <w:lang w:eastAsia="en-GB"/>
        </w:rPr>
        <w:t>3% of patients treated with ERLYAND and in 1% of patients treated with placebo.</w:t>
      </w:r>
      <w:r w:rsidR="003B3ECB">
        <w:rPr>
          <w:rFonts w:ascii="Arial" w:hAnsi="Arial"/>
          <w:sz w:val="21"/>
          <w:lang w:eastAsia="en-GB"/>
        </w:rPr>
        <w:t xml:space="preserve"> </w:t>
      </w:r>
      <w:r w:rsidRPr="006E3E1D">
        <w:rPr>
          <w:rFonts w:ascii="Arial" w:hAnsi="Arial"/>
          <w:sz w:val="21"/>
          <w:lang w:eastAsia="en-GB"/>
        </w:rPr>
        <w:t xml:space="preserve">The median time to onset of fracture was 314 days (range: 20 to 953 days) for </w:t>
      </w:r>
      <w:r>
        <w:rPr>
          <w:rFonts w:ascii="Arial" w:hAnsi="Arial"/>
          <w:sz w:val="21"/>
          <w:lang w:eastAsia="en-GB"/>
        </w:rPr>
        <w:t xml:space="preserve">patients treated with ERLYAND. </w:t>
      </w:r>
      <w:r w:rsidRPr="006E3E1D">
        <w:rPr>
          <w:rFonts w:ascii="Arial" w:hAnsi="Arial"/>
          <w:sz w:val="21"/>
          <w:lang w:eastAsia="en-GB"/>
        </w:rPr>
        <w:t>Routine bone density assessment and treatment of osteoporosis with bone targeted agents were not performed in the SPARTAN study</w:t>
      </w:r>
      <w:r>
        <w:rPr>
          <w:rFonts w:ascii="Arial" w:hAnsi="Arial"/>
          <w:sz w:val="21"/>
          <w:lang w:eastAsia="en-GB"/>
        </w:rPr>
        <w:t>.</w:t>
      </w:r>
      <w:r w:rsidR="00B90632">
        <w:rPr>
          <w:rFonts w:ascii="Arial" w:hAnsi="Arial"/>
          <w:sz w:val="21"/>
          <w:lang w:eastAsia="en-GB"/>
        </w:rPr>
        <w:t xml:space="preserve"> </w:t>
      </w:r>
      <w:r w:rsidR="00E24809">
        <w:rPr>
          <w:rFonts w:ascii="Arial" w:hAnsi="Arial"/>
          <w:sz w:val="21"/>
          <w:lang w:eastAsia="en-GB"/>
        </w:rPr>
        <w:t xml:space="preserve">See </w:t>
      </w:r>
      <w:r w:rsidR="00E24809" w:rsidRPr="00D9780D">
        <w:rPr>
          <w:rFonts w:ascii="Arial" w:hAnsi="Arial"/>
          <w:b/>
          <w:sz w:val="21"/>
          <w:lang w:eastAsia="en-GB"/>
        </w:rPr>
        <w:t>section 4.4 Special warnings and precautions for use.</w:t>
      </w:r>
    </w:p>
    <w:p w14:paraId="09752B49" w14:textId="3C6F403F" w:rsidR="005E3F0D" w:rsidRDefault="006E3E1D" w:rsidP="005E3F0D">
      <w:pPr>
        <w:pStyle w:val="Heading4"/>
        <w:ind w:left="0" w:firstLine="0"/>
      </w:pPr>
      <w:r>
        <w:t>Seizure</w:t>
      </w:r>
    </w:p>
    <w:p w14:paraId="58CCA4AF" w14:textId="499912CD" w:rsidR="00D94E3E" w:rsidRDefault="00D94E3E" w:rsidP="00D94E3E">
      <w:pPr>
        <w:pStyle w:val="BodyText"/>
      </w:pPr>
      <w:r w:rsidRPr="005E3F0D">
        <w:t xml:space="preserve">In the SPARTAN study, two patients (0.2%) treated with ERLYAND experienced a seizure versus </w:t>
      </w:r>
      <w:r w:rsidRPr="005C217C">
        <w:t xml:space="preserve">none in the placebo arm. Seizure occurred from 354 to 475 days after initiation of </w:t>
      </w:r>
      <w:r w:rsidRPr="005E3F0D">
        <w:t xml:space="preserve">ERLYAND. Patients with a history of seizure, predisposing factors for seizure, or receiving drugs known to decrease the seizure threshold or to induce seizure were excluded from the study. </w:t>
      </w:r>
      <w:r w:rsidRPr="005E3F0D">
        <w:rPr>
          <w:rFonts w:eastAsiaTheme="minorHAnsi"/>
        </w:rPr>
        <w:t xml:space="preserve">See </w:t>
      </w:r>
      <w:r w:rsidRPr="003B3ECB">
        <w:rPr>
          <w:rFonts w:eastAsiaTheme="minorHAnsi"/>
          <w:b/>
        </w:rPr>
        <w:t>section 4.4 Special warnings and precautions for use</w:t>
      </w:r>
      <w:r w:rsidRPr="005E3F0D">
        <w:rPr>
          <w:rFonts w:eastAsiaTheme="minorHAnsi"/>
        </w:rPr>
        <w:t>.</w:t>
      </w:r>
    </w:p>
    <w:p w14:paraId="7382D7BF" w14:textId="732CF72E" w:rsidR="00D95AC0" w:rsidRDefault="00D95AC0" w:rsidP="00071865">
      <w:pPr>
        <w:pStyle w:val="Heading4"/>
      </w:pPr>
      <w:r>
        <w:t>Hypothyroidism</w:t>
      </w:r>
    </w:p>
    <w:p w14:paraId="16EBB56F" w14:textId="4A97956A" w:rsidR="007100B2" w:rsidRDefault="00D95AC0" w:rsidP="00A011B0">
      <w:pPr>
        <w:pStyle w:val="BodyText"/>
        <w:rPr>
          <w:rFonts w:eastAsiaTheme="minorHAnsi"/>
          <w:lang w:val="en-AU" w:eastAsia="en-GB"/>
        </w:rPr>
      </w:pPr>
      <w:r w:rsidRPr="0084535A">
        <w:rPr>
          <w:rFonts w:eastAsiaTheme="minorHAnsi"/>
          <w:lang w:val="en-AU" w:eastAsia="en-GB"/>
        </w:rPr>
        <w:t xml:space="preserve">Hypothyroidism was reported for 8% of subjects treated with </w:t>
      </w:r>
      <w:r w:rsidR="0038517B">
        <w:rPr>
          <w:rFonts w:eastAsiaTheme="minorHAnsi"/>
          <w:lang w:val="en-AU" w:eastAsia="en-GB"/>
        </w:rPr>
        <w:t>ERLYAND</w:t>
      </w:r>
      <w:r w:rsidRPr="0084535A">
        <w:rPr>
          <w:rFonts w:eastAsiaTheme="minorHAnsi"/>
          <w:lang w:val="en-AU" w:eastAsia="en-GB"/>
        </w:rPr>
        <w:t xml:space="preserve"> and 2% of subjects treated with placebo based on assessments of thyroid-stimulating hormone (TSH) every 4 months. </w:t>
      </w:r>
      <w:r w:rsidR="00603942">
        <w:t xml:space="preserve">The median onset was Day 113. </w:t>
      </w:r>
      <w:r w:rsidRPr="0084535A">
        <w:rPr>
          <w:rFonts w:eastAsiaTheme="minorHAnsi"/>
          <w:lang w:val="en-AU" w:eastAsia="en-GB"/>
        </w:rPr>
        <w:t>There were no grade 3 or 4 adverse events.</w:t>
      </w:r>
      <w:r w:rsidR="00603942">
        <w:rPr>
          <w:rFonts w:eastAsiaTheme="minorHAnsi"/>
          <w:lang w:val="en-AU" w:eastAsia="en-GB"/>
        </w:rPr>
        <w:t xml:space="preserve"> </w:t>
      </w:r>
      <w:r w:rsidRPr="0084535A">
        <w:rPr>
          <w:rFonts w:eastAsiaTheme="minorHAnsi"/>
          <w:lang w:val="en-AU" w:eastAsia="en-GB"/>
        </w:rPr>
        <w:t xml:space="preserve"> </w:t>
      </w:r>
    </w:p>
    <w:p w14:paraId="5B247784" w14:textId="6B9C0F4E" w:rsidR="007100B2" w:rsidRDefault="003B3ECB" w:rsidP="00A011B0">
      <w:pPr>
        <w:pStyle w:val="BodyText"/>
      </w:pPr>
      <w:r>
        <w:t xml:space="preserve">In patients who were already receiving thyroid replacement therapy, hypothyroidism occurred in 28% of subjects in the apalutamide arm and in 6% </w:t>
      </w:r>
      <w:r w:rsidR="007100B2">
        <w:t>of subjects in the placebo arm.</w:t>
      </w:r>
      <w:r>
        <w:t xml:space="preserve"> In subjects not previously receiving thyroid replacement therapy, hypothyroidism occurred in 6% of subjects treated with apalutamide and in 1% of subjects treated with placebo</w:t>
      </w:r>
      <w:r w:rsidR="00603942">
        <w:t>.</w:t>
      </w:r>
    </w:p>
    <w:p w14:paraId="521D0956" w14:textId="6EC85F30" w:rsidR="00210615" w:rsidRPr="00731739" w:rsidRDefault="007100B2" w:rsidP="00731739">
      <w:pPr>
        <w:pStyle w:val="BodyText"/>
        <w:rPr>
          <w:rFonts w:eastAsiaTheme="minorHAnsi"/>
          <w:lang w:val="en-AU" w:eastAsia="en-GB"/>
        </w:rPr>
      </w:pPr>
      <w:r>
        <w:t>Thyroid replacement therapy was initiated in 7% of patients treated with ERLYAND.</w:t>
      </w:r>
      <w:r w:rsidRPr="0084535A">
        <w:rPr>
          <w:rFonts w:eastAsiaTheme="minorHAnsi"/>
          <w:lang w:val="en-AU" w:eastAsia="en-GB"/>
        </w:rPr>
        <w:t xml:space="preserve"> </w:t>
      </w:r>
      <w:r>
        <w:t xml:space="preserve">In patients who discontinued ERLYAND and had a reported event of hypothyroidism (n=14), the event resolved in 5 patients (36%). In patients who discontinued ERLYAND and had increased laboratory values for TSH (&gt;5.5 </w:t>
      </w:r>
      <w:proofErr w:type="spellStart"/>
      <w:r>
        <w:t>mIU</w:t>
      </w:r>
      <w:proofErr w:type="spellEnd"/>
      <w:r>
        <w:t xml:space="preserve">/L) (n=45), TSH levels returned to normal in 27 patients (60%). </w:t>
      </w:r>
      <w:r>
        <w:rPr>
          <w:rFonts w:eastAsiaTheme="minorHAnsi"/>
          <w:lang w:val="en-AU" w:eastAsia="en-GB"/>
        </w:rPr>
        <w:t>S</w:t>
      </w:r>
      <w:r w:rsidRPr="0084535A">
        <w:rPr>
          <w:rFonts w:eastAsiaTheme="minorHAnsi"/>
          <w:lang w:val="en-AU" w:eastAsia="en-GB"/>
        </w:rPr>
        <w:t xml:space="preserve">ee </w:t>
      </w:r>
      <w:r w:rsidRPr="0084535A">
        <w:rPr>
          <w:rFonts w:eastAsiaTheme="minorHAnsi"/>
          <w:b/>
          <w:lang w:val="en-AU" w:eastAsia="en-GB"/>
        </w:rPr>
        <w:t>section</w:t>
      </w:r>
      <w:r>
        <w:rPr>
          <w:rFonts w:eastAsiaTheme="minorHAnsi"/>
          <w:b/>
          <w:lang w:val="en-AU" w:eastAsia="en-GB"/>
        </w:rPr>
        <w:t xml:space="preserve">s </w:t>
      </w:r>
      <w:r w:rsidRPr="003B3ECB">
        <w:rPr>
          <w:rFonts w:eastAsiaTheme="minorHAnsi"/>
          <w:b/>
        </w:rPr>
        <w:t>4.4 Special warnings and precautions for use</w:t>
      </w:r>
      <w:r>
        <w:rPr>
          <w:rFonts w:eastAsiaTheme="minorHAnsi"/>
          <w:b/>
        </w:rPr>
        <w:t xml:space="preserve"> and</w:t>
      </w:r>
      <w:r w:rsidR="00C341BC">
        <w:rPr>
          <w:rFonts w:eastAsiaTheme="minorHAnsi"/>
          <w:b/>
        </w:rPr>
        <w:t xml:space="preserve"> </w:t>
      </w:r>
      <w:r w:rsidR="0084535A" w:rsidRPr="0084535A">
        <w:rPr>
          <w:rFonts w:eastAsiaTheme="minorHAnsi"/>
          <w:b/>
          <w:lang w:val="en-AU" w:eastAsia="en-GB"/>
        </w:rPr>
        <w:t>4.5</w:t>
      </w:r>
      <w:r w:rsidR="00D95AC0" w:rsidRPr="0084535A">
        <w:rPr>
          <w:rFonts w:eastAsiaTheme="minorHAnsi"/>
          <w:b/>
          <w:lang w:val="en-AU" w:eastAsia="en-GB"/>
        </w:rPr>
        <w:t xml:space="preserve"> Effect of </w:t>
      </w:r>
      <w:r w:rsidR="0038517B">
        <w:rPr>
          <w:rFonts w:eastAsiaTheme="minorHAnsi"/>
          <w:b/>
          <w:lang w:val="en-AU" w:eastAsia="en-GB"/>
        </w:rPr>
        <w:t>ERLYAND</w:t>
      </w:r>
      <w:r w:rsidR="0084535A" w:rsidRPr="0084535A">
        <w:rPr>
          <w:rFonts w:eastAsiaTheme="minorHAnsi"/>
          <w:b/>
          <w:lang w:val="en-AU" w:eastAsia="en-GB"/>
        </w:rPr>
        <w:t xml:space="preserve"> on drug metaboli</w:t>
      </w:r>
      <w:r w:rsidR="00621E7B">
        <w:rPr>
          <w:rFonts w:eastAsiaTheme="minorHAnsi"/>
          <w:b/>
          <w:lang w:val="en-AU" w:eastAsia="en-GB"/>
        </w:rPr>
        <w:t>s</w:t>
      </w:r>
      <w:r w:rsidR="0084535A" w:rsidRPr="0084535A">
        <w:rPr>
          <w:rFonts w:eastAsiaTheme="minorHAnsi"/>
          <w:b/>
          <w:lang w:val="en-AU" w:eastAsia="en-GB"/>
        </w:rPr>
        <w:t>ing e</w:t>
      </w:r>
      <w:r w:rsidR="00D95AC0" w:rsidRPr="0084535A">
        <w:rPr>
          <w:rFonts w:eastAsiaTheme="minorHAnsi"/>
          <w:b/>
          <w:lang w:val="en-AU" w:eastAsia="en-GB"/>
        </w:rPr>
        <w:t>nzymes</w:t>
      </w:r>
      <w:r w:rsidR="0084535A" w:rsidRPr="0084535A">
        <w:rPr>
          <w:rFonts w:eastAsiaTheme="minorHAnsi"/>
          <w:lang w:val="en-AU" w:eastAsia="en-GB"/>
        </w:rPr>
        <w:t>)</w:t>
      </w:r>
      <w:r w:rsidR="00D95AC0" w:rsidRPr="0084535A">
        <w:rPr>
          <w:rFonts w:eastAsiaTheme="minorHAnsi"/>
          <w:lang w:val="en-AU" w:eastAsia="en-GB"/>
        </w:rPr>
        <w:t>.</w:t>
      </w:r>
      <w:r w:rsidR="00210615">
        <w:rPr>
          <w:lang w:eastAsia="en-GB"/>
        </w:rPr>
        <w:t xml:space="preserve">  </w:t>
      </w:r>
    </w:p>
    <w:p w14:paraId="3EFC18A3" w14:textId="77777777" w:rsidR="00210615" w:rsidRDefault="00210615" w:rsidP="00210615">
      <w:pPr>
        <w:pStyle w:val="Heading4"/>
      </w:pPr>
      <w:r>
        <w:t>Skin Rash</w:t>
      </w:r>
    </w:p>
    <w:p w14:paraId="6849EA5F" w14:textId="77777777" w:rsidR="00210615" w:rsidRPr="0084535A" w:rsidRDefault="00210615" w:rsidP="00210615">
      <w:pPr>
        <w:pStyle w:val="BodyText"/>
        <w:rPr>
          <w:rFonts w:eastAsiaTheme="minorHAnsi"/>
          <w:lang w:val="en-AU" w:eastAsia="en-GB"/>
        </w:rPr>
      </w:pPr>
      <w:r w:rsidRPr="0084535A">
        <w:rPr>
          <w:rFonts w:eastAsiaTheme="minorHAnsi"/>
          <w:lang w:val="en-AU" w:eastAsia="en-GB"/>
        </w:rPr>
        <w:t xml:space="preserve">In </w:t>
      </w:r>
      <w:r>
        <w:rPr>
          <w:rFonts w:eastAsiaTheme="minorHAnsi"/>
          <w:lang w:val="en-AU" w:eastAsia="en-GB"/>
        </w:rPr>
        <w:t>the SPARTAN study</w:t>
      </w:r>
      <w:r w:rsidRPr="0084535A">
        <w:rPr>
          <w:rFonts w:eastAsiaTheme="minorHAnsi"/>
          <w:lang w:val="en-AU" w:eastAsia="en-GB"/>
        </w:rPr>
        <w:t xml:space="preserve">, skin rash associated with </w:t>
      </w:r>
      <w:r>
        <w:rPr>
          <w:rFonts w:eastAsiaTheme="minorHAnsi"/>
          <w:lang w:val="en-AU" w:eastAsia="en-GB"/>
        </w:rPr>
        <w:t>ERLYAND</w:t>
      </w:r>
      <w:r w:rsidRPr="0084535A">
        <w:rPr>
          <w:rFonts w:eastAsiaTheme="minorHAnsi"/>
          <w:lang w:val="en-AU" w:eastAsia="en-GB"/>
        </w:rPr>
        <w:t xml:space="preserve"> was most commonly described as macular or maculo-papular. Adverse events of skin rash were reported for 24% of subjects treated with </w:t>
      </w:r>
      <w:r>
        <w:rPr>
          <w:rFonts w:eastAsiaTheme="minorHAnsi"/>
          <w:lang w:val="en-AU" w:eastAsia="en-GB"/>
        </w:rPr>
        <w:t>ERLYAND</w:t>
      </w:r>
      <w:r w:rsidRPr="0084535A">
        <w:rPr>
          <w:rFonts w:eastAsiaTheme="minorHAnsi"/>
          <w:lang w:val="en-AU" w:eastAsia="en-GB"/>
        </w:rPr>
        <w:t xml:space="preserve"> versus 5.5% of subjects treated with placebo. Grade 3 skin rashes (defined as covering &gt; 30% body surface area [BSA]) were reported with </w:t>
      </w:r>
      <w:r>
        <w:rPr>
          <w:rFonts w:eastAsiaTheme="minorHAnsi"/>
          <w:lang w:val="en-AU" w:eastAsia="en-GB"/>
        </w:rPr>
        <w:t>ERLYAND</w:t>
      </w:r>
      <w:r w:rsidRPr="0084535A">
        <w:rPr>
          <w:rFonts w:eastAsiaTheme="minorHAnsi"/>
          <w:lang w:val="en-AU" w:eastAsia="en-GB"/>
        </w:rPr>
        <w:t xml:space="preserve"> treatment (5.2%) versus placebo (0.3%). </w:t>
      </w:r>
    </w:p>
    <w:p w14:paraId="72D3B6D0" w14:textId="3BCF55A5" w:rsidR="00210615" w:rsidRDefault="00210615" w:rsidP="00D95AC0">
      <w:pPr>
        <w:pStyle w:val="BodyText"/>
        <w:rPr>
          <w:rFonts w:eastAsiaTheme="minorHAnsi"/>
          <w:lang w:val="en-AU" w:eastAsia="en-GB"/>
        </w:rPr>
      </w:pPr>
      <w:r w:rsidRPr="0084535A">
        <w:rPr>
          <w:rFonts w:eastAsiaTheme="minorHAnsi"/>
          <w:lang w:val="en-AU" w:eastAsia="en-GB"/>
        </w:rPr>
        <w:t xml:space="preserve">The onset of skin rash occurred at a median of 82 days of </w:t>
      </w:r>
      <w:r>
        <w:rPr>
          <w:rFonts w:eastAsiaTheme="minorHAnsi"/>
          <w:lang w:val="en-AU" w:eastAsia="en-GB"/>
        </w:rPr>
        <w:t>ERLYAND</w:t>
      </w:r>
      <w:r w:rsidRPr="0084535A">
        <w:rPr>
          <w:rFonts w:eastAsiaTheme="minorHAnsi"/>
          <w:lang w:val="en-AU" w:eastAsia="en-GB"/>
        </w:rPr>
        <w:t xml:space="preserve"> treatment and resolved </w:t>
      </w:r>
      <w:r>
        <w:rPr>
          <w:rFonts w:eastAsiaTheme="minorHAnsi"/>
          <w:lang w:val="en-AU" w:eastAsia="en-GB"/>
        </w:rPr>
        <w:t xml:space="preserve">in 81% of patients, </w:t>
      </w:r>
      <w:r w:rsidRPr="0084535A">
        <w:rPr>
          <w:rFonts w:eastAsiaTheme="minorHAnsi"/>
          <w:lang w:val="en-AU" w:eastAsia="en-GB"/>
        </w:rPr>
        <w:t xml:space="preserve">within a median of 60 days from onset </w:t>
      </w:r>
      <w:r>
        <w:rPr>
          <w:rFonts w:eastAsiaTheme="minorHAnsi"/>
          <w:lang w:val="en-AU" w:eastAsia="en-GB"/>
        </w:rPr>
        <w:t>(range: 2 to 709 days)</w:t>
      </w:r>
      <w:r w:rsidRPr="0084535A">
        <w:rPr>
          <w:rFonts w:eastAsiaTheme="minorHAnsi"/>
          <w:lang w:val="en-AU" w:eastAsia="en-GB"/>
        </w:rPr>
        <w:t>.</w:t>
      </w:r>
      <w:r>
        <w:rPr>
          <w:rFonts w:eastAsiaTheme="minorHAnsi"/>
          <w:lang w:val="en-AU" w:eastAsia="en-GB"/>
        </w:rPr>
        <w:t xml:space="preserve"> Four (4%) of patients treated with ERLYAND received systemic corticosteroids for treatment of skin rash. Rash recurred in approximately half of patients wh</w:t>
      </w:r>
      <w:r w:rsidRPr="00FF76D9">
        <w:rPr>
          <w:rFonts w:eastAsiaTheme="minorHAnsi"/>
          <w:lang w:val="en-AU" w:eastAsia="en-GB"/>
        </w:rPr>
        <w:t xml:space="preserve">o were re-challenged with </w:t>
      </w:r>
      <w:r>
        <w:rPr>
          <w:rFonts w:eastAsiaTheme="minorHAnsi"/>
          <w:lang w:val="en-AU" w:eastAsia="en-GB"/>
        </w:rPr>
        <w:t>ERLYAND</w:t>
      </w:r>
      <w:r w:rsidRPr="0084535A">
        <w:rPr>
          <w:rFonts w:eastAsiaTheme="minorHAnsi"/>
          <w:lang w:val="en-AU" w:eastAsia="en-GB"/>
        </w:rPr>
        <w:t xml:space="preserve">. </w:t>
      </w:r>
      <w:r>
        <w:rPr>
          <w:rFonts w:eastAsiaTheme="minorHAnsi"/>
          <w:lang w:val="en-AU" w:eastAsia="en-GB"/>
        </w:rPr>
        <w:t>R</w:t>
      </w:r>
      <w:r w:rsidRPr="0084535A">
        <w:rPr>
          <w:rFonts w:eastAsiaTheme="minorHAnsi"/>
          <w:lang w:val="en-AU" w:eastAsia="en-GB"/>
        </w:rPr>
        <w:t>ash</w:t>
      </w:r>
      <w:r w:rsidR="00C341BC">
        <w:rPr>
          <w:rFonts w:eastAsiaTheme="minorHAnsi"/>
          <w:lang w:val="en-AU" w:eastAsia="en-GB"/>
        </w:rPr>
        <w:t xml:space="preserve"> </w:t>
      </w:r>
      <w:r>
        <w:rPr>
          <w:rFonts w:eastAsiaTheme="minorHAnsi"/>
          <w:lang w:val="en-AU" w:eastAsia="en-GB"/>
        </w:rPr>
        <w:t>led to</w:t>
      </w:r>
      <w:r w:rsidRPr="0084535A">
        <w:rPr>
          <w:rFonts w:eastAsiaTheme="minorHAnsi"/>
          <w:lang w:val="en-AU" w:eastAsia="en-GB"/>
        </w:rPr>
        <w:t xml:space="preserve"> dose interruption in 28%</w:t>
      </w:r>
      <w:r>
        <w:rPr>
          <w:rFonts w:eastAsiaTheme="minorHAnsi"/>
          <w:lang w:val="en-AU" w:eastAsia="en-GB"/>
        </w:rPr>
        <w:t>,</w:t>
      </w:r>
      <w:r w:rsidR="00C341BC">
        <w:rPr>
          <w:rFonts w:eastAsiaTheme="minorHAnsi"/>
          <w:lang w:val="en-AU" w:eastAsia="en-GB"/>
        </w:rPr>
        <w:t xml:space="preserve"> </w:t>
      </w:r>
      <w:r w:rsidRPr="0084535A">
        <w:rPr>
          <w:rFonts w:eastAsiaTheme="minorHAnsi"/>
          <w:lang w:val="en-AU" w:eastAsia="en-GB"/>
        </w:rPr>
        <w:t xml:space="preserve">dose reduction in 12% </w:t>
      </w:r>
      <w:r>
        <w:rPr>
          <w:rFonts w:eastAsiaTheme="minorHAnsi"/>
          <w:lang w:val="en-AU" w:eastAsia="en-GB"/>
        </w:rPr>
        <w:t xml:space="preserve">and </w:t>
      </w:r>
      <w:r w:rsidRPr="0084535A">
        <w:rPr>
          <w:rFonts w:eastAsiaTheme="minorHAnsi"/>
          <w:lang w:val="en-AU" w:eastAsia="en-GB"/>
        </w:rPr>
        <w:t>treatment discontinuation in 9% of</w:t>
      </w:r>
      <w:r>
        <w:rPr>
          <w:rFonts w:eastAsiaTheme="minorHAnsi"/>
          <w:lang w:val="en-AU" w:eastAsia="en-GB"/>
        </w:rPr>
        <w:t xml:space="preserve"> cases.</w:t>
      </w:r>
      <w:r w:rsidR="00C341BC">
        <w:rPr>
          <w:rFonts w:eastAsiaTheme="minorHAnsi"/>
          <w:lang w:val="en-AU" w:eastAsia="en-GB"/>
        </w:rPr>
        <w:t xml:space="preserve">  </w:t>
      </w:r>
    </w:p>
    <w:p w14:paraId="541FA08E" w14:textId="5C5F5581" w:rsidR="00A011B0" w:rsidRPr="001D7637" w:rsidRDefault="00A011B0" w:rsidP="001D7637">
      <w:pPr>
        <w:pStyle w:val="Heading3"/>
      </w:pPr>
      <w:r w:rsidRPr="001D7637">
        <w:lastRenderedPageBreak/>
        <w:t>Reporting suspected adverse reactions</w:t>
      </w:r>
    </w:p>
    <w:p w14:paraId="3BAE2BBD" w14:textId="4F691C8D" w:rsidR="00A87DDB" w:rsidRDefault="00A87DDB" w:rsidP="00A87DDB">
      <w:pPr>
        <w:rPr>
          <w:rFonts w:ascii="Arial" w:hAnsi="Arial"/>
          <w:sz w:val="21"/>
          <w:lang w:eastAsia="en-GB"/>
        </w:rPr>
      </w:pPr>
      <w:r w:rsidRPr="00A87DDB">
        <w:rPr>
          <w:rFonts w:ascii="Arial" w:hAnsi="Arial"/>
          <w:sz w:val="21"/>
          <w:lang w:eastAsia="en-GB"/>
        </w:rPr>
        <w:t>Reporting suspected adverse reactions after registration of the med</w:t>
      </w:r>
      <w:r>
        <w:rPr>
          <w:rFonts w:ascii="Arial" w:hAnsi="Arial"/>
          <w:sz w:val="21"/>
          <w:lang w:eastAsia="en-GB"/>
        </w:rPr>
        <w:t xml:space="preserve">icinal product is important. It </w:t>
      </w:r>
      <w:r w:rsidRPr="00A87DDB">
        <w:rPr>
          <w:rFonts w:ascii="Arial" w:hAnsi="Arial"/>
          <w:sz w:val="21"/>
          <w:lang w:eastAsia="en-GB"/>
        </w:rPr>
        <w:t>allows continued monitoring of the benefit-risk balance of th</w:t>
      </w:r>
      <w:r>
        <w:rPr>
          <w:rFonts w:ascii="Arial" w:hAnsi="Arial"/>
          <w:sz w:val="21"/>
          <w:lang w:eastAsia="en-GB"/>
        </w:rPr>
        <w:t xml:space="preserve">e medicinal product. Healthcare </w:t>
      </w:r>
      <w:r w:rsidRPr="00A87DDB">
        <w:rPr>
          <w:rFonts w:ascii="Arial" w:hAnsi="Arial"/>
          <w:sz w:val="21"/>
          <w:lang w:eastAsia="en-GB"/>
        </w:rPr>
        <w:t>professionals are asked to report any</w:t>
      </w:r>
      <w:r>
        <w:rPr>
          <w:rFonts w:ascii="Arial" w:hAnsi="Arial"/>
          <w:sz w:val="21"/>
          <w:lang w:eastAsia="en-GB"/>
        </w:rPr>
        <w:t xml:space="preserve"> suspected adverse reactions at </w:t>
      </w:r>
      <w:hyperlink r:id="rId10" w:history="1">
        <w:r w:rsidRPr="00423F1B">
          <w:rPr>
            <w:rStyle w:val="Hyperlink"/>
            <w:rFonts w:ascii="Arial" w:hAnsi="Arial"/>
            <w:sz w:val="21"/>
            <w:lang w:eastAsia="en-GB"/>
          </w:rPr>
          <w:t>http://www.tga.gov.au/reporting-problems</w:t>
        </w:r>
      </w:hyperlink>
      <w:r>
        <w:rPr>
          <w:rFonts w:ascii="Arial" w:hAnsi="Arial"/>
          <w:sz w:val="21"/>
          <w:lang w:eastAsia="en-GB"/>
        </w:rPr>
        <w:t xml:space="preserve">.  </w:t>
      </w:r>
    </w:p>
    <w:p w14:paraId="194EF9E2" w14:textId="60044FE0" w:rsidR="00710964" w:rsidRDefault="008450DE" w:rsidP="00F95E9C">
      <w:pPr>
        <w:pStyle w:val="Heading2"/>
      </w:pPr>
      <w:r>
        <w:t xml:space="preserve">4.9 </w:t>
      </w:r>
      <w:r w:rsidR="00710964">
        <w:t>Overdose</w:t>
      </w:r>
    </w:p>
    <w:p w14:paraId="6C8B4907" w14:textId="7E63F44C" w:rsidR="00710964" w:rsidRDefault="00710964" w:rsidP="00F95E9C">
      <w:pPr>
        <w:pStyle w:val="Heading3"/>
      </w:pPr>
      <w:r>
        <w:t>Treatment</w:t>
      </w:r>
    </w:p>
    <w:p w14:paraId="327501EB" w14:textId="5602F1E8" w:rsidR="00710964" w:rsidRPr="00B81465" w:rsidRDefault="00764343" w:rsidP="00D64F74">
      <w:pPr>
        <w:pStyle w:val="BodyText1"/>
      </w:pPr>
      <w:r w:rsidRPr="00DD00B8">
        <w:t>There is no known specific antidote for apalutamide overdose.</w:t>
      </w:r>
      <w:r>
        <w:t xml:space="preserve"> </w:t>
      </w:r>
      <w:r w:rsidR="00C341BC">
        <w:t xml:space="preserve"> </w:t>
      </w:r>
      <w:r w:rsidR="00D64F74">
        <w:t xml:space="preserve">In the event of an overdose, stop ERLYAND, undertake general supportive measures until clinical toxicity has been diminished or resolved. </w:t>
      </w:r>
      <w:r w:rsidR="00D148DB">
        <w:t>For information on the management of overdose, contact the Poison Information Centre on 131126 (Australia).</w:t>
      </w:r>
      <w:r w:rsidR="00C341BC">
        <w:t xml:space="preserve"> </w:t>
      </w:r>
    </w:p>
    <w:p w14:paraId="5B00062F" w14:textId="2C27FD90" w:rsidR="00242B21" w:rsidRDefault="00075DCF" w:rsidP="00075DCF">
      <w:pPr>
        <w:pStyle w:val="Heading1"/>
      </w:pPr>
      <w:r>
        <w:t xml:space="preserve">5. </w:t>
      </w:r>
      <w:r w:rsidR="00EE798E">
        <w:t>PHARMACOLOGICAL PROPERTIES</w:t>
      </w:r>
    </w:p>
    <w:p w14:paraId="208B1E79" w14:textId="195D8172" w:rsidR="005C62FE" w:rsidRDefault="008450DE" w:rsidP="00F95E9C">
      <w:pPr>
        <w:pStyle w:val="Heading2"/>
      </w:pPr>
      <w:r>
        <w:t xml:space="preserve">5.1 </w:t>
      </w:r>
      <w:r w:rsidR="005C62FE">
        <w:t>Pharmacodynamic properties</w:t>
      </w:r>
    </w:p>
    <w:p w14:paraId="63A7F550" w14:textId="2B4F63EA" w:rsidR="005C62FE" w:rsidRDefault="005C62FE" w:rsidP="00F95E9C">
      <w:pPr>
        <w:pStyle w:val="Heading3"/>
      </w:pPr>
      <w:r>
        <w:t>Mechanism of action</w:t>
      </w:r>
    </w:p>
    <w:p w14:paraId="72914DA4" w14:textId="74A97DA9" w:rsidR="00DD00B8" w:rsidRDefault="00DD00B8" w:rsidP="00DD00B8">
      <w:pPr>
        <w:pStyle w:val="BodyText"/>
        <w:rPr>
          <w:rFonts w:eastAsiaTheme="minorHAnsi"/>
          <w:lang w:val="en-AU"/>
        </w:rPr>
      </w:pPr>
      <w:r w:rsidRPr="00DD00B8">
        <w:rPr>
          <w:rFonts w:eastAsiaTheme="minorHAnsi"/>
          <w:lang w:val="en-AU"/>
        </w:rPr>
        <w:t xml:space="preserve">Apalutamide is an orally administered, Androgen Receptor (AR) inhibitor that binds directly to the ligand-binding domain of the AR. Apalutamide prevents AR nuclear translocation, inhibits DNA binding, impedes AR-mediated transcription, and lacks androgen receptor agonist activity in preclinical studies. </w:t>
      </w:r>
      <w:r w:rsidR="004A6BFA" w:rsidRPr="00DD00B8">
        <w:rPr>
          <w:rFonts w:eastAsiaTheme="minorHAnsi"/>
          <w:lang w:val="en-AU"/>
        </w:rPr>
        <w:t xml:space="preserve">A major metabolite, N-desmethyl apalutamide, exhibited one-third the </w:t>
      </w:r>
      <w:r w:rsidR="004A6BFA" w:rsidRPr="00DB50A0">
        <w:rPr>
          <w:rFonts w:eastAsiaTheme="minorHAnsi"/>
          <w:i/>
          <w:lang w:val="en-AU"/>
        </w:rPr>
        <w:t>in vitro</w:t>
      </w:r>
      <w:r w:rsidR="004A6BFA" w:rsidRPr="00DD00B8">
        <w:rPr>
          <w:rFonts w:eastAsiaTheme="minorHAnsi"/>
          <w:lang w:val="en-AU"/>
        </w:rPr>
        <w:t xml:space="preserve"> activity of apalutamide</w:t>
      </w:r>
      <w:r w:rsidR="004A6BFA">
        <w:rPr>
          <w:rFonts w:eastAsiaTheme="minorHAnsi"/>
          <w:lang w:val="en-AU"/>
        </w:rPr>
        <w:t xml:space="preserve"> in an </w:t>
      </w:r>
      <w:r w:rsidR="004A6BFA" w:rsidRPr="00B82B11">
        <w:rPr>
          <w:rFonts w:eastAsiaTheme="minorHAnsi"/>
          <w:i/>
          <w:lang w:val="en-AU"/>
        </w:rPr>
        <w:t xml:space="preserve">in vitro </w:t>
      </w:r>
      <w:r w:rsidR="004A6BFA">
        <w:rPr>
          <w:rFonts w:eastAsiaTheme="minorHAnsi"/>
          <w:lang w:val="en-AU"/>
        </w:rPr>
        <w:t>transcriptional reporter assay</w:t>
      </w:r>
      <w:r w:rsidR="004A6BFA" w:rsidRPr="00DD00B8">
        <w:rPr>
          <w:rFonts w:eastAsiaTheme="minorHAnsi"/>
          <w:lang w:val="en-AU"/>
        </w:rPr>
        <w:t>.</w:t>
      </w:r>
      <w:r w:rsidR="004A6BFA">
        <w:rPr>
          <w:rFonts w:eastAsiaTheme="minorHAnsi"/>
          <w:lang w:val="en-AU"/>
        </w:rPr>
        <w:t xml:space="preserve"> </w:t>
      </w:r>
      <w:r w:rsidR="00C341BC">
        <w:rPr>
          <w:rFonts w:eastAsiaTheme="minorHAnsi"/>
          <w:lang w:val="en-AU"/>
        </w:rPr>
        <w:t xml:space="preserve"> </w:t>
      </w:r>
      <w:r w:rsidRPr="00DD00B8">
        <w:rPr>
          <w:rFonts w:eastAsiaTheme="minorHAnsi"/>
          <w:lang w:val="en-AU"/>
        </w:rPr>
        <w:t>In mouse models of prostate cancer, apalutamide administration causes decreased tumo</w:t>
      </w:r>
      <w:r w:rsidR="00C341BC">
        <w:rPr>
          <w:rFonts w:eastAsiaTheme="minorHAnsi"/>
          <w:lang w:val="en-AU"/>
        </w:rPr>
        <w:t>u</w:t>
      </w:r>
      <w:r w:rsidRPr="00DD00B8">
        <w:rPr>
          <w:rFonts w:eastAsiaTheme="minorHAnsi"/>
          <w:lang w:val="en-AU"/>
        </w:rPr>
        <w:t xml:space="preserve">r cell proliferation and increased apoptosis leading to </w:t>
      </w:r>
      <w:r w:rsidR="007E1834" w:rsidRPr="007E1834">
        <w:rPr>
          <w:rFonts w:eastAsiaTheme="minorHAnsi"/>
          <w:lang w:val="en-AU"/>
        </w:rPr>
        <w:t>tumour g</w:t>
      </w:r>
      <w:r w:rsidR="0024659E">
        <w:rPr>
          <w:rFonts w:eastAsiaTheme="minorHAnsi"/>
          <w:lang w:val="en-AU"/>
        </w:rPr>
        <w:t>rowth inhibition and regression</w:t>
      </w:r>
      <w:r w:rsidRPr="00DD00B8">
        <w:rPr>
          <w:rFonts w:eastAsiaTheme="minorHAnsi"/>
          <w:lang w:val="en-AU"/>
        </w:rPr>
        <w:t xml:space="preserve">. </w:t>
      </w:r>
    </w:p>
    <w:p w14:paraId="0116A793" w14:textId="77777777" w:rsidR="004D1DA6" w:rsidRPr="009E636C" w:rsidRDefault="004D1DA6" w:rsidP="004D1DA6">
      <w:pPr>
        <w:pStyle w:val="Heading3"/>
      </w:pPr>
      <w:r w:rsidRPr="00EE1114">
        <w:t xml:space="preserve">Pharmacodynamic </w:t>
      </w:r>
      <w:r>
        <w:t>e</w:t>
      </w:r>
      <w:r w:rsidRPr="00EE1114">
        <w:t>ffects</w:t>
      </w:r>
    </w:p>
    <w:p w14:paraId="27D4D642" w14:textId="432864E9" w:rsidR="00A06B57" w:rsidRDefault="00451CE1" w:rsidP="004D1DA6">
      <w:pPr>
        <w:pStyle w:val="Heading4"/>
      </w:pPr>
      <w:r>
        <w:t xml:space="preserve">Effect on </w:t>
      </w:r>
      <w:r w:rsidR="00FE6D5C">
        <w:t>GABA</w:t>
      </w:r>
      <w:r w:rsidR="00FE6D5C" w:rsidRPr="00FE6D5C">
        <w:rPr>
          <w:vertAlign w:val="subscript"/>
        </w:rPr>
        <w:t>A</w:t>
      </w:r>
      <w:r w:rsidR="00FE6D5C">
        <w:t>-gated chloride channel</w:t>
      </w:r>
    </w:p>
    <w:p w14:paraId="3CDB4665" w14:textId="5718D6C9" w:rsidR="00FE6D5C" w:rsidRPr="000B4928" w:rsidRDefault="000B4928" w:rsidP="000B4928">
      <w:pPr>
        <w:pStyle w:val="BodyText"/>
        <w:rPr>
          <w:rFonts w:eastAsiaTheme="minorHAnsi"/>
          <w:lang w:val="en-AU"/>
        </w:rPr>
      </w:pPr>
      <w:r w:rsidRPr="000B4928">
        <w:rPr>
          <w:rFonts w:eastAsiaTheme="minorHAnsi"/>
          <w:lang w:val="en-AU"/>
        </w:rPr>
        <w:t>GABA</w:t>
      </w:r>
      <w:r w:rsidRPr="00247BF7">
        <w:rPr>
          <w:rFonts w:eastAsiaTheme="minorHAnsi"/>
          <w:vertAlign w:val="subscript"/>
          <w:lang w:val="en-AU"/>
        </w:rPr>
        <w:t>A</w:t>
      </w:r>
      <w:r w:rsidRPr="000B4928">
        <w:rPr>
          <w:rFonts w:eastAsiaTheme="minorHAnsi"/>
          <w:lang w:val="en-AU"/>
        </w:rPr>
        <w:t xml:space="preserve"> inhibition is an off-target activity of both apalutamide an</w:t>
      </w:r>
      <w:r>
        <w:rPr>
          <w:rFonts w:eastAsiaTheme="minorHAnsi"/>
          <w:lang w:val="en-AU"/>
        </w:rPr>
        <w:t>d N-desmethyl apalutamide. This</w:t>
      </w:r>
      <w:r w:rsidRPr="000B4928">
        <w:rPr>
          <w:rFonts w:eastAsiaTheme="minorHAnsi"/>
          <w:lang w:val="en-AU"/>
        </w:rPr>
        <w:t xml:space="preserve"> is considered the mechanism for the seizures/convulsions observed at high doses in toxicology studies in animals</w:t>
      </w:r>
      <w:r>
        <w:rPr>
          <w:rFonts w:eastAsiaTheme="minorHAnsi"/>
          <w:lang w:val="en-AU"/>
        </w:rPr>
        <w:t>.</w:t>
      </w:r>
    </w:p>
    <w:p w14:paraId="5D276654" w14:textId="77777777" w:rsidR="004D1DA6" w:rsidRPr="0086101C" w:rsidRDefault="004D1DA6" w:rsidP="004D1DA6">
      <w:pPr>
        <w:pStyle w:val="Heading4"/>
      </w:pPr>
      <w:r w:rsidRPr="0086101C">
        <w:t>Effect on QT/QTc interval and cardiac electrophysiology</w:t>
      </w:r>
    </w:p>
    <w:p w14:paraId="7A6085BA" w14:textId="65023D29" w:rsidR="000265A9" w:rsidRDefault="00FE6D5C" w:rsidP="004D1DA6">
      <w:pPr>
        <w:pStyle w:val="BodyText"/>
        <w:rPr>
          <w:rFonts w:eastAsiaTheme="minorHAnsi"/>
          <w:lang w:val="en-AU"/>
        </w:rPr>
      </w:pPr>
      <w:r w:rsidRPr="00FE6D5C">
        <w:rPr>
          <w:rFonts w:eastAsiaTheme="minorHAnsi"/>
          <w:lang w:val="en-AU"/>
        </w:rPr>
        <w:t xml:space="preserve">Apalutamide and N-desmethyl apalutamide inhibit </w:t>
      </w:r>
      <w:r>
        <w:rPr>
          <w:rFonts w:eastAsiaTheme="minorHAnsi"/>
          <w:lang w:val="en-AU"/>
        </w:rPr>
        <w:t xml:space="preserve">the </w:t>
      </w:r>
      <w:r w:rsidRPr="00FE6D5C">
        <w:rPr>
          <w:rFonts w:eastAsiaTheme="minorHAnsi"/>
          <w:lang w:val="en-AU"/>
        </w:rPr>
        <w:t xml:space="preserve">hERG K+ channel with </w:t>
      </w:r>
      <w:r>
        <w:rPr>
          <w:rFonts w:eastAsiaTheme="minorHAnsi"/>
          <w:lang w:val="en-AU"/>
        </w:rPr>
        <w:t xml:space="preserve">an </w:t>
      </w:r>
      <w:r w:rsidRPr="00FE6D5C">
        <w:rPr>
          <w:rFonts w:eastAsiaTheme="minorHAnsi"/>
          <w:lang w:val="en-AU"/>
        </w:rPr>
        <w:t>IC</w:t>
      </w:r>
      <w:r w:rsidRPr="00FE6D5C">
        <w:rPr>
          <w:rFonts w:eastAsiaTheme="minorHAnsi"/>
          <w:vertAlign w:val="subscript"/>
          <w:lang w:val="en-AU"/>
        </w:rPr>
        <w:t>50</w:t>
      </w:r>
      <w:r w:rsidRPr="00FE6D5C">
        <w:rPr>
          <w:rFonts w:eastAsiaTheme="minorHAnsi"/>
          <w:lang w:val="en-AU"/>
        </w:rPr>
        <w:t xml:space="preserve"> below </w:t>
      </w:r>
      <w:r>
        <w:rPr>
          <w:rFonts w:eastAsiaTheme="minorHAnsi"/>
          <w:lang w:val="en-AU"/>
        </w:rPr>
        <w:t>steady-state</w:t>
      </w:r>
      <w:r w:rsidRPr="00FE6D5C">
        <w:rPr>
          <w:rFonts w:eastAsiaTheme="minorHAnsi"/>
          <w:lang w:val="en-AU"/>
        </w:rPr>
        <w:t xml:space="preserve"> C</w:t>
      </w:r>
      <w:r w:rsidRPr="00FE6D5C">
        <w:rPr>
          <w:rFonts w:eastAsiaTheme="minorHAnsi"/>
          <w:vertAlign w:val="subscript"/>
          <w:lang w:val="en-AU"/>
        </w:rPr>
        <w:t>max</w:t>
      </w:r>
      <w:r w:rsidRPr="00FE6D5C">
        <w:rPr>
          <w:rFonts w:eastAsiaTheme="minorHAnsi"/>
          <w:lang w:val="en-AU"/>
        </w:rPr>
        <w:t xml:space="preserve"> </w:t>
      </w:r>
      <w:r>
        <w:rPr>
          <w:rFonts w:eastAsiaTheme="minorHAnsi"/>
          <w:lang w:val="en-AU"/>
        </w:rPr>
        <w:t>at the recommended</w:t>
      </w:r>
      <w:r w:rsidRPr="00FE6D5C">
        <w:rPr>
          <w:rFonts w:eastAsiaTheme="minorHAnsi"/>
          <w:lang w:val="en-AU"/>
        </w:rPr>
        <w:t xml:space="preserve"> dose. In a dedicated QT study in men with CRPC administered apalutamide 240 mg once daily plus ADT, based on the longest QTcF change at any time for each patie</w:t>
      </w:r>
      <w:r>
        <w:rPr>
          <w:rFonts w:eastAsiaTheme="minorHAnsi"/>
          <w:lang w:val="en-AU"/>
        </w:rPr>
        <w:t xml:space="preserve">nt at steady-state, the mean </w:t>
      </w:r>
      <w:r w:rsidRPr="00FE6D5C">
        <w:rPr>
          <w:rFonts w:eastAsiaTheme="minorHAnsi"/>
          <w:lang w:val="en-AU"/>
        </w:rPr>
        <w:t>maximum QTcF change from baseline (</w:t>
      </w:r>
      <w:proofErr w:type="spellStart"/>
      <w:r w:rsidRPr="00FE6D5C">
        <w:rPr>
          <w:rFonts w:eastAsiaTheme="minorHAnsi"/>
          <w:lang w:val="en-AU"/>
        </w:rPr>
        <w:t>ΔQTcF</w:t>
      </w:r>
      <w:proofErr w:type="spellEnd"/>
      <w:r w:rsidRPr="00FE6D5C">
        <w:rPr>
          <w:rFonts w:eastAsiaTheme="minorHAnsi"/>
          <w:lang w:val="en-AU"/>
        </w:rPr>
        <w:t xml:space="preserve">) was 20.2 </w:t>
      </w:r>
      <w:proofErr w:type="spellStart"/>
      <w:r w:rsidRPr="00FE6D5C">
        <w:rPr>
          <w:rFonts w:eastAsiaTheme="minorHAnsi"/>
          <w:lang w:val="en-AU"/>
        </w:rPr>
        <w:t>msec</w:t>
      </w:r>
      <w:proofErr w:type="spellEnd"/>
      <w:r w:rsidRPr="00FE6D5C">
        <w:rPr>
          <w:rFonts w:eastAsiaTheme="minorHAnsi"/>
          <w:lang w:val="en-AU"/>
        </w:rPr>
        <w:t xml:space="preserve"> </w:t>
      </w:r>
      <w:r>
        <w:rPr>
          <w:rFonts w:eastAsiaTheme="minorHAnsi"/>
          <w:lang w:val="en-AU"/>
        </w:rPr>
        <w:t>(</w:t>
      </w:r>
      <w:r w:rsidRPr="00FE6D5C">
        <w:rPr>
          <w:rFonts w:eastAsiaTheme="minorHAnsi"/>
          <w:lang w:val="en-AU"/>
        </w:rPr>
        <w:t xml:space="preserve">upper 90% CI bound 23.7 </w:t>
      </w:r>
      <w:proofErr w:type="spellStart"/>
      <w:r w:rsidRPr="00FE6D5C">
        <w:rPr>
          <w:rFonts w:eastAsiaTheme="minorHAnsi"/>
          <w:lang w:val="en-AU"/>
        </w:rPr>
        <w:t>msec</w:t>
      </w:r>
      <w:proofErr w:type="spellEnd"/>
      <w:r>
        <w:rPr>
          <w:rFonts w:eastAsiaTheme="minorHAnsi"/>
          <w:lang w:val="en-AU"/>
        </w:rPr>
        <w:t>)</w:t>
      </w:r>
      <w:r w:rsidRPr="00FE6D5C">
        <w:rPr>
          <w:rFonts w:eastAsiaTheme="minorHAnsi"/>
          <w:lang w:val="en-AU"/>
        </w:rPr>
        <w:t>. Pharmacokinetic and pharmacodynamic analysis showed a concentration-dependent increase in QTcF with apalutamide and N-desmethyl apalutamide.</w:t>
      </w:r>
      <w:r>
        <w:rPr>
          <w:rFonts w:eastAsiaTheme="minorHAnsi"/>
          <w:lang w:val="en-AU"/>
        </w:rPr>
        <w:t xml:space="preserve"> </w:t>
      </w:r>
      <w:r w:rsidR="006A5954">
        <w:rPr>
          <w:rFonts w:eastAsiaTheme="minorHAnsi"/>
          <w:lang w:val="en-AU" w:eastAsia="en-GB"/>
        </w:rPr>
        <w:t xml:space="preserve">See </w:t>
      </w:r>
      <w:r w:rsidR="006A5954" w:rsidRPr="004F497C">
        <w:rPr>
          <w:rFonts w:eastAsiaTheme="minorHAnsi"/>
          <w:b/>
          <w:lang w:val="en-AU" w:eastAsia="en-GB"/>
        </w:rPr>
        <w:t>section 4.</w:t>
      </w:r>
      <w:r w:rsidR="004F497C" w:rsidRPr="004F497C">
        <w:rPr>
          <w:rFonts w:eastAsiaTheme="minorHAnsi"/>
          <w:b/>
          <w:lang w:val="en-AU" w:eastAsia="en-GB"/>
        </w:rPr>
        <w:t>4 Special warnings and precautions for use.</w:t>
      </w:r>
      <w:r w:rsidR="00C341BC">
        <w:rPr>
          <w:rFonts w:eastAsiaTheme="minorHAnsi"/>
          <w:b/>
          <w:lang w:val="en-AU" w:eastAsia="en-GB"/>
        </w:rPr>
        <w:t xml:space="preserve">  </w:t>
      </w:r>
    </w:p>
    <w:p w14:paraId="402A1787" w14:textId="6833FA2C" w:rsidR="005C62FE" w:rsidRDefault="005C62FE" w:rsidP="00F95E9C">
      <w:pPr>
        <w:pStyle w:val="Heading3"/>
      </w:pPr>
      <w:r>
        <w:t xml:space="preserve">Clinical </w:t>
      </w:r>
      <w:r w:rsidR="001D17FF">
        <w:t>trials</w:t>
      </w:r>
    </w:p>
    <w:p w14:paraId="69AB3BF5" w14:textId="5A5BA240" w:rsidR="004D1DA6" w:rsidRPr="004D1DA6" w:rsidRDefault="00FB5F7B" w:rsidP="00FB5F7B">
      <w:pPr>
        <w:spacing w:after="200"/>
        <w:rPr>
          <w:rFonts w:ascii="Arial" w:hAnsi="Arial"/>
          <w:sz w:val="21"/>
        </w:rPr>
      </w:pPr>
      <w:r>
        <w:rPr>
          <w:rFonts w:ascii="Arial" w:hAnsi="Arial"/>
          <w:sz w:val="21"/>
        </w:rPr>
        <w:t xml:space="preserve">SPARTAN (Study ARN 509-003) was a multicentre, double-blind, randomised, placebo-controlled clinical trial in which </w:t>
      </w:r>
      <w:r w:rsidR="004D1DA6" w:rsidRPr="004D1DA6">
        <w:rPr>
          <w:rFonts w:ascii="Arial" w:hAnsi="Arial"/>
          <w:sz w:val="21"/>
        </w:rPr>
        <w:t>1207 subjects with NM-CRPC were randomi</w:t>
      </w:r>
      <w:r w:rsidR="00660212">
        <w:rPr>
          <w:rFonts w:ascii="Arial" w:hAnsi="Arial"/>
          <w:sz w:val="21"/>
        </w:rPr>
        <w:t>s</w:t>
      </w:r>
      <w:r w:rsidR="004D1DA6" w:rsidRPr="004D1DA6">
        <w:rPr>
          <w:rFonts w:ascii="Arial" w:hAnsi="Arial"/>
          <w:sz w:val="21"/>
        </w:rPr>
        <w:t xml:space="preserve">ed 2:1 to receive either </w:t>
      </w:r>
      <w:r w:rsidR="0038517B">
        <w:rPr>
          <w:rFonts w:ascii="Arial" w:hAnsi="Arial"/>
          <w:sz w:val="21"/>
        </w:rPr>
        <w:t>ERLYAND</w:t>
      </w:r>
      <w:r w:rsidR="004D1DA6" w:rsidRPr="004D1DA6">
        <w:rPr>
          <w:rFonts w:ascii="Arial" w:hAnsi="Arial"/>
          <w:sz w:val="21"/>
        </w:rPr>
        <w:t xml:space="preserve"> orally at a dose of 240 mg once daily </w:t>
      </w:r>
      <w:r>
        <w:rPr>
          <w:rFonts w:ascii="Arial" w:hAnsi="Arial"/>
          <w:sz w:val="21"/>
        </w:rPr>
        <w:t>(n=806)</w:t>
      </w:r>
      <w:r w:rsidR="00C341BC">
        <w:rPr>
          <w:rFonts w:ascii="Arial" w:hAnsi="Arial"/>
          <w:sz w:val="21"/>
        </w:rPr>
        <w:t xml:space="preserve"> </w:t>
      </w:r>
      <w:r w:rsidR="004D1DA6" w:rsidRPr="004D1DA6">
        <w:rPr>
          <w:rFonts w:ascii="Arial" w:hAnsi="Arial"/>
          <w:sz w:val="21"/>
        </w:rPr>
        <w:t xml:space="preserve">or placebo </w:t>
      </w:r>
      <w:r>
        <w:rPr>
          <w:rFonts w:ascii="Arial" w:hAnsi="Arial"/>
          <w:sz w:val="21"/>
        </w:rPr>
        <w:t>once daily (n=401).</w:t>
      </w:r>
      <w:r w:rsidR="00C341BC">
        <w:rPr>
          <w:rFonts w:ascii="Arial" w:hAnsi="Arial"/>
          <w:sz w:val="21"/>
        </w:rPr>
        <w:t xml:space="preserve"> </w:t>
      </w:r>
      <w:r w:rsidR="004D1DA6" w:rsidRPr="004D1DA6">
        <w:rPr>
          <w:rFonts w:ascii="Arial" w:hAnsi="Arial"/>
          <w:sz w:val="21"/>
        </w:rPr>
        <w:t xml:space="preserve"> </w:t>
      </w:r>
      <w:r>
        <w:rPr>
          <w:rFonts w:ascii="Arial" w:hAnsi="Arial"/>
          <w:sz w:val="21"/>
        </w:rPr>
        <w:t xml:space="preserve">All patients received a concomitant gonadotropin-releasing hormone (GnRH) analogue, or had a bilateral orchiectomy. </w:t>
      </w:r>
      <w:r w:rsidR="00B23AC2" w:rsidRPr="00FB5F7B">
        <w:rPr>
          <w:rFonts w:ascii="Arial" w:hAnsi="Arial"/>
          <w:sz w:val="21"/>
        </w:rPr>
        <w:t>Patients were required to have a PSADT ≤ 10 months an</w:t>
      </w:r>
      <w:r w:rsidR="00B23AC2">
        <w:rPr>
          <w:rFonts w:ascii="Arial" w:hAnsi="Arial"/>
          <w:sz w:val="21"/>
        </w:rPr>
        <w:t>d confirmation of non</w:t>
      </w:r>
      <w:r w:rsidR="00C9092F">
        <w:rPr>
          <w:rFonts w:ascii="Arial" w:hAnsi="Arial"/>
          <w:sz w:val="21"/>
        </w:rPr>
        <w:t>-</w:t>
      </w:r>
      <w:r w:rsidR="00B23AC2">
        <w:rPr>
          <w:rFonts w:ascii="Arial" w:hAnsi="Arial"/>
          <w:sz w:val="21"/>
        </w:rPr>
        <w:t xml:space="preserve">metastatic </w:t>
      </w:r>
      <w:r w:rsidR="00B23AC2" w:rsidRPr="00FB5F7B">
        <w:rPr>
          <w:rFonts w:ascii="Arial" w:hAnsi="Arial"/>
          <w:sz w:val="21"/>
        </w:rPr>
        <w:t>disease by blinded independent central review (BICR)</w:t>
      </w:r>
      <w:r w:rsidR="00C9092F">
        <w:rPr>
          <w:rFonts w:ascii="Arial" w:hAnsi="Arial"/>
          <w:sz w:val="21"/>
        </w:rPr>
        <w:t xml:space="preserve">. </w:t>
      </w:r>
      <w:r>
        <w:rPr>
          <w:rFonts w:ascii="Arial" w:hAnsi="Arial"/>
          <w:sz w:val="21"/>
        </w:rPr>
        <w:t>Patients were stratified by</w:t>
      </w:r>
      <w:r w:rsidR="004D1DA6" w:rsidRPr="004D1DA6">
        <w:rPr>
          <w:rFonts w:ascii="Arial" w:hAnsi="Arial"/>
          <w:sz w:val="21"/>
        </w:rPr>
        <w:t xml:space="preserve"> </w:t>
      </w:r>
      <w:r w:rsidR="004D1DA6" w:rsidRPr="004D1DA6">
        <w:rPr>
          <w:rFonts w:ascii="Arial" w:hAnsi="Arial"/>
          <w:sz w:val="21"/>
        </w:rPr>
        <w:lastRenderedPageBreak/>
        <w:t>Prostate Specific Antigen (PSA) Doubling Time (PSADT</w:t>
      </w:r>
      <w:r w:rsidR="00B23AC2">
        <w:rPr>
          <w:rFonts w:ascii="Arial" w:hAnsi="Arial"/>
          <w:sz w:val="21"/>
        </w:rPr>
        <w:t>;</w:t>
      </w:r>
      <w:r w:rsidR="004D1DA6" w:rsidRPr="004D1DA6">
        <w:rPr>
          <w:rFonts w:ascii="Arial" w:hAnsi="Arial"/>
          <w:sz w:val="21"/>
        </w:rPr>
        <w:t xml:space="preserve"> </w:t>
      </w:r>
      <w:r w:rsidR="00B23AC2">
        <w:rPr>
          <w:rFonts w:ascii="Arial" w:hAnsi="Arial"/>
          <w:sz w:val="21"/>
        </w:rPr>
        <w:t xml:space="preserve">&gt;6 months vs </w:t>
      </w:r>
      <w:r w:rsidR="004D1DA6" w:rsidRPr="004D1DA6">
        <w:rPr>
          <w:rFonts w:ascii="Arial" w:hAnsi="Arial"/>
          <w:sz w:val="21"/>
        </w:rPr>
        <w:t>≤ </w:t>
      </w:r>
      <w:r w:rsidR="00B23AC2">
        <w:rPr>
          <w:rFonts w:ascii="Arial" w:hAnsi="Arial"/>
          <w:sz w:val="21"/>
        </w:rPr>
        <w:t>6</w:t>
      </w:r>
      <w:r w:rsidR="004D1DA6" w:rsidRPr="004D1DA6">
        <w:rPr>
          <w:rFonts w:ascii="Arial" w:hAnsi="Arial"/>
          <w:sz w:val="21"/>
        </w:rPr>
        <w:t> months</w:t>
      </w:r>
      <w:r w:rsidR="00B23AC2">
        <w:rPr>
          <w:rFonts w:ascii="Arial" w:hAnsi="Arial"/>
          <w:sz w:val="21"/>
        </w:rPr>
        <w:t>)</w:t>
      </w:r>
      <w:r w:rsidR="00780086">
        <w:rPr>
          <w:rFonts w:ascii="Arial" w:hAnsi="Arial"/>
          <w:sz w:val="21"/>
        </w:rPr>
        <w:t>,</w:t>
      </w:r>
      <w:r w:rsidRPr="00FB5F7B">
        <w:t xml:space="preserve"> </w:t>
      </w:r>
      <w:r w:rsidRPr="00FB5F7B">
        <w:rPr>
          <w:rFonts w:ascii="Arial" w:hAnsi="Arial"/>
          <w:sz w:val="21"/>
        </w:rPr>
        <w:t>the use of bone-sparing agent</w:t>
      </w:r>
      <w:r>
        <w:rPr>
          <w:rFonts w:ascii="Arial" w:hAnsi="Arial"/>
          <w:sz w:val="21"/>
        </w:rPr>
        <w:t xml:space="preserve">s, and </w:t>
      </w:r>
      <w:r w:rsidR="00B23AC2">
        <w:rPr>
          <w:rFonts w:ascii="Arial" w:hAnsi="Arial"/>
          <w:sz w:val="21"/>
        </w:rPr>
        <w:t xml:space="preserve">presence of </w:t>
      </w:r>
      <w:r>
        <w:rPr>
          <w:rFonts w:ascii="Arial" w:hAnsi="Arial"/>
          <w:sz w:val="21"/>
        </w:rPr>
        <w:t xml:space="preserve">locoregional </w:t>
      </w:r>
      <w:r w:rsidR="000D68C2">
        <w:rPr>
          <w:rFonts w:ascii="Arial" w:hAnsi="Arial"/>
          <w:sz w:val="21"/>
        </w:rPr>
        <w:t>disease.</w:t>
      </w:r>
      <w:r w:rsidR="004D1DA6" w:rsidRPr="004D1DA6">
        <w:rPr>
          <w:rFonts w:ascii="Arial" w:hAnsi="Arial"/>
          <w:sz w:val="21"/>
        </w:rPr>
        <w:t xml:space="preserve"> Systemic corticosteroids were not allowed at study entry. PSA results were blinded and were not used for treatment di</w:t>
      </w:r>
      <w:r w:rsidR="00F24753">
        <w:rPr>
          <w:rFonts w:ascii="Arial" w:hAnsi="Arial"/>
          <w:sz w:val="21"/>
        </w:rPr>
        <w:t>scontinuation. Subjects randomis</w:t>
      </w:r>
      <w:r w:rsidR="004D1DA6" w:rsidRPr="004D1DA6">
        <w:rPr>
          <w:rFonts w:ascii="Arial" w:hAnsi="Arial"/>
          <w:sz w:val="21"/>
        </w:rPr>
        <w:t xml:space="preserve">ed to either arm </w:t>
      </w:r>
      <w:r w:rsidR="000D68C2">
        <w:rPr>
          <w:rFonts w:ascii="Arial" w:hAnsi="Arial"/>
          <w:sz w:val="21"/>
        </w:rPr>
        <w:t>discontinued</w:t>
      </w:r>
      <w:r w:rsidR="004D1DA6" w:rsidRPr="004D1DA6">
        <w:rPr>
          <w:rFonts w:ascii="Arial" w:hAnsi="Arial"/>
          <w:sz w:val="21"/>
        </w:rPr>
        <w:t xml:space="preserve"> treatment </w:t>
      </w:r>
      <w:r w:rsidR="000D68C2">
        <w:rPr>
          <w:rFonts w:ascii="Arial" w:hAnsi="Arial"/>
          <w:sz w:val="21"/>
        </w:rPr>
        <w:t>for</w:t>
      </w:r>
      <w:r w:rsidR="000D68C2" w:rsidRPr="004D1DA6">
        <w:rPr>
          <w:rFonts w:ascii="Arial" w:hAnsi="Arial"/>
          <w:sz w:val="21"/>
        </w:rPr>
        <w:t xml:space="preserve"> </w:t>
      </w:r>
      <w:r w:rsidR="004D1DA6" w:rsidRPr="004D1DA6">
        <w:rPr>
          <w:rFonts w:ascii="Arial" w:hAnsi="Arial"/>
          <w:sz w:val="21"/>
        </w:rPr>
        <w:t xml:space="preserve">disease progression </w:t>
      </w:r>
      <w:r w:rsidR="000D68C2">
        <w:rPr>
          <w:rFonts w:ascii="Arial" w:hAnsi="Arial"/>
          <w:sz w:val="21"/>
        </w:rPr>
        <w:t>confirmed</w:t>
      </w:r>
      <w:r w:rsidR="000D68C2" w:rsidRPr="004D1DA6">
        <w:rPr>
          <w:rFonts w:ascii="Arial" w:hAnsi="Arial"/>
          <w:sz w:val="21"/>
        </w:rPr>
        <w:t xml:space="preserve"> </w:t>
      </w:r>
      <w:r w:rsidR="004D1DA6" w:rsidRPr="004D1DA6">
        <w:rPr>
          <w:rFonts w:ascii="Arial" w:hAnsi="Arial"/>
          <w:sz w:val="21"/>
        </w:rPr>
        <w:t xml:space="preserve">by </w:t>
      </w:r>
      <w:r w:rsidR="000D68C2">
        <w:rPr>
          <w:rFonts w:ascii="Arial" w:hAnsi="Arial"/>
          <w:sz w:val="21"/>
        </w:rPr>
        <w:t>BICR</w:t>
      </w:r>
      <w:r w:rsidR="004D1DA6" w:rsidRPr="004D1DA6">
        <w:rPr>
          <w:rFonts w:ascii="Arial" w:hAnsi="Arial"/>
          <w:sz w:val="21"/>
        </w:rPr>
        <w:t>, initiation of new treatment, unacceptable toxicity or withdrawal.</w:t>
      </w:r>
      <w:r w:rsidR="004F10E0">
        <w:rPr>
          <w:rFonts w:ascii="Arial" w:hAnsi="Arial"/>
          <w:sz w:val="21"/>
        </w:rPr>
        <w:t xml:space="preserve"> </w:t>
      </w:r>
      <w:r w:rsidR="004D1DA6" w:rsidRPr="004D1DA6">
        <w:rPr>
          <w:rFonts w:ascii="Arial" w:hAnsi="Arial"/>
          <w:sz w:val="21"/>
        </w:rPr>
        <w:t xml:space="preserve">Upon BICR-confirmed development of distant metastatic disease, subjects were offered </w:t>
      </w:r>
      <w:r w:rsidR="00FA6D1F">
        <w:rPr>
          <w:rFonts w:ascii="Arial" w:hAnsi="Arial"/>
          <w:sz w:val="21"/>
        </w:rPr>
        <w:t xml:space="preserve">abiraterone acetate </w:t>
      </w:r>
      <w:r w:rsidR="004D1DA6" w:rsidRPr="004D1DA6">
        <w:rPr>
          <w:rFonts w:ascii="Arial" w:hAnsi="Arial"/>
          <w:sz w:val="21"/>
        </w:rPr>
        <w:t>as an option for the first subsequent treatment after study treatment discontinuation.</w:t>
      </w:r>
    </w:p>
    <w:p w14:paraId="69281259" w14:textId="3531A5A5" w:rsidR="004D1DA6" w:rsidRPr="004D1DA6" w:rsidRDefault="004D1DA6" w:rsidP="000D68C2">
      <w:pPr>
        <w:spacing w:after="200"/>
        <w:rPr>
          <w:rFonts w:ascii="Arial" w:hAnsi="Arial"/>
          <w:sz w:val="21"/>
        </w:rPr>
      </w:pPr>
      <w:r w:rsidRPr="004D1DA6">
        <w:rPr>
          <w:rFonts w:ascii="Arial" w:hAnsi="Arial"/>
          <w:sz w:val="21"/>
        </w:rPr>
        <w:t xml:space="preserve">The following patient demographics and baseline disease characteristics were balanced between the treatment arms. The median age was 74 years (range 48-97) and 26% of subjects were 80 years of age or older. The racial distribution was 66% Caucasian, 5.6% Black, 12% Asian, and 0.2% Other. Seventy-seven percent (77%) of subjects in both treatment arms had prior surgery or radiotherapy of the prostate. A majority of subjects had a Gleason score of 7 or higher (81%). Fifteen percent (15%) of subjects had &lt;2 cm pelvic lymph nodes at study entry. </w:t>
      </w:r>
      <w:r w:rsidR="00F20194">
        <w:rPr>
          <w:rFonts w:ascii="Arial" w:hAnsi="Arial"/>
          <w:sz w:val="21"/>
        </w:rPr>
        <w:t xml:space="preserve"> </w:t>
      </w:r>
      <w:r w:rsidR="00F20194" w:rsidRPr="00F20194">
        <w:rPr>
          <w:rFonts w:ascii="Arial" w:hAnsi="Arial"/>
          <w:sz w:val="21"/>
        </w:rPr>
        <w:t>In the SPARTAN study, met</w:t>
      </w:r>
      <w:r w:rsidR="006678B8">
        <w:rPr>
          <w:rFonts w:ascii="Arial" w:hAnsi="Arial"/>
          <w:sz w:val="21"/>
        </w:rPr>
        <w:t>astase</w:t>
      </w:r>
      <w:r w:rsidR="00F20194" w:rsidRPr="00F20194">
        <w:rPr>
          <w:rFonts w:ascii="Arial" w:hAnsi="Arial"/>
          <w:sz w:val="21"/>
        </w:rPr>
        <w:t>s were detected by technetium-99m bone scan, CT or MRI of the chest, abdomen and pelvis</w:t>
      </w:r>
      <w:r w:rsidR="006678B8">
        <w:rPr>
          <w:rFonts w:ascii="Arial" w:hAnsi="Arial"/>
          <w:sz w:val="21"/>
        </w:rPr>
        <w:t xml:space="preserve">.  </w:t>
      </w:r>
      <w:r w:rsidR="00C9092F" w:rsidRPr="004D1DA6">
        <w:rPr>
          <w:rFonts w:ascii="Arial" w:hAnsi="Arial"/>
          <w:sz w:val="21"/>
        </w:rPr>
        <w:t xml:space="preserve">Seventy-three percent (73%) of subjects </w:t>
      </w:r>
      <w:r w:rsidR="00C9092F">
        <w:rPr>
          <w:rFonts w:ascii="Arial" w:hAnsi="Arial"/>
          <w:sz w:val="21"/>
        </w:rPr>
        <w:t xml:space="preserve">had </w:t>
      </w:r>
      <w:r w:rsidR="00C9092F" w:rsidRPr="004D1DA6">
        <w:rPr>
          <w:rFonts w:ascii="Arial" w:hAnsi="Arial"/>
          <w:sz w:val="21"/>
        </w:rPr>
        <w:t>receive</w:t>
      </w:r>
      <w:r w:rsidR="00C9092F">
        <w:rPr>
          <w:rFonts w:ascii="Arial" w:hAnsi="Arial"/>
          <w:sz w:val="21"/>
        </w:rPr>
        <w:t>d prior treatment with a first-generation</w:t>
      </w:r>
      <w:r w:rsidR="00C9092F" w:rsidRPr="004D1DA6">
        <w:rPr>
          <w:rFonts w:ascii="Arial" w:hAnsi="Arial"/>
          <w:sz w:val="21"/>
        </w:rPr>
        <w:t xml:space="preserve"> anti</w:t>
      </w:r>
      <w:r w:rsidR="00C9092F">
        <w:rPr>
          <w:rFonts w:ascii="Arial" w:hAnsi="Arial"/>
          <w:sz w:val="21"/>
        </w:rPr>
        <w:noBreakHyphen/>
      </w:r>
      <w:r w:rsidR="00C9092F" w:rsidRPr="004D1DA6">
        <w:rPr>
          <w:rFonts w:ascii="Arial" w:hAnsi="Arial"/>
          <w:sz w:val="21"/>
        </w:rPr>
        <w:t xml:space="preserve">androgen; 69% of subjects </w:t>
      </w:r>
      <w:r w:rsidR="00C9092F">
        <w:rPr>
          <w:rFonts w:ascii="Arial" w:hAnsi="Arial"/>
          <w:sz w:val="21"/>
        </w:rPr>
        <w:t xml:space="preserve">had </w:t>
      </w:r>
      <w:r w:rsidR="00C9092F" w:rsidRPr="004D1DA6">
        <w:rPr>
          <w:rFonts w:ascii="Arial" w:hAnsi="Arial"/>
          <w:sz w:val="21"/>
        </w:rPr>
        <w:t>received bicalutamide and 10% of subjects</w:t>
      </w:r>
      <w:r w:rsidR="00C9092F">
        <w:rPr>
          <w:rFonts w:ascii="Arial" w:hAnsi="Arial"/>
          <w:sz w:val="21"/>
        </w:rPr>
        <w:t xml:space="preserve"> had</w:t>
      </w:r>
      <w:r w:rsidR="00C9092F" w:rsidRPr="004D1DA6">
        <w:rPr>
          <w:rFonts w:ascii="Arial" w:hAnsi="Arial"/>
          <w:sz w:val="21"/>
        </w:rPr>
        <w:t xml:space="preserve"> received flutamide. </w:t>
      </w:r>
      <w:r w:rsidRPr="004D1DA6">
        <w:rPr>
          <w:rFonts w:ascii="Arial" w:hAnsi="Arial"/>
          <w:sz w:val="21"/>
        </w:rPr>
        <w:t>All subjects enrolled had an Eastern Cooperative Oncology Group Performance Status (ECOG PS) performance status score of 0 or 1 at study entry.</w:t>
      </w:r>
      <w:r w:rsidR="000D68C2">
        <w:rPr>
          <w:rFonts w:ascii="Arial" w:hAnsi="Arial"/>
          <w:sz w:val="21"/>
        </w:rPr>
        <w:t xml:space="preserve"> </w:t>
      </w:r>
      <w:r w:rsidR="00A1215A">
        <w:rPr>
          <w:rFonts w:ascii="Arial" w:hAnsi="Arial"/>
          <w:sz w:val="21"/>
        </w:rPr>
        <w:t xml:space="preserve"> </w:t>
      </w:r>
      <w:r w:rsidR="000D68C2" w:rsidRPr="000D68C2">
        <w:rPr>
          <w:rFonts w:ascii="Arial" w:hAnsi="Arial"/>
          <w:sz w:val="21"/>
        </w:rPr>
        <w:t xml:space="preserve">Among the patients who </w:t>
      </w:r>
      <w:r w:rsidR="000D68C2">
        <w:rPr>
          <w:rFonts w:ascii="Arial" w:hAnsi="Arial"/>
          <w:sz w:val="21"/>
        </w:rPr>
        <w:t>discontinued study treatment (N = 279 for placebo and N = 314 for ERL</w:t>
      </w:r>
      <w:r w:rsidR="00305624">
        <w:rPr>
          <w:rFonts w:ascii="Arial" w:hAnsi="Arial"/>
          <w:sz w:val="21"/>
        </w:rPr>
        <w:t>YAND</w:t>
      </w:r>
      <w:r w:rsidR="000D68C2">
        <w:rPr>
          <w:rFonts w:ascii="Arial" w:hAnsi="Arial"/>
          <w:sz w:val="21"/>
        </w:rPr>
        <w:t>), a greater proportion (80%) of patients treated with placebo received subsequent therapy compared to patients treated with ERL</w:t>
      </w:r>
      <w:r w:rsidR="00305624">
        <w:rPr>
          <w:rFonts w:ascii="Arial" w:hAnsi="Arial"/>
          <w:sz w:val="21"/>
        </w:rPr>
        <w:t>YAND</w:t>
      </w:r>
      <w:r w:rsidR="000D68C2">
        <w:rPr>
          <w:rFonts w:ascii="Arial" w:hAnsi="Arial"/>
          <w:sz w:val="21"/>
        </w:rPr>
        <w:t xml:space="preserve"> (56%). Locoregional-only progression occurred in 2% of</w:t>
      </w:r>
      <w:r w:rsidR="000D68C2" w:rsidRPr="000D68C2">
        <w:rPr>
          <w:rFonts w:ascii="Arial" w:hAnsi="Arial"/>
          <w:sz w:val="21"/>
        </w:rPr>
        <w:t xml:space="preserve"> patients overall.</w:t>
      </w:r>
    </w:p>
    <w:p w14:paraId="11068BBE" w14:textId="7579D647" w:rsidR="00861638" w:rsidRDefault="00873883" w:rsidP="00873883">
      <w:pPr>
        <w:spacing w:after="200"/>
        <w:rPr>
          <w:rFonts w:ascii="Arial" w:hAnsi="Arial"/>
          <w:sz w:val="21"/>
        </w:rPr>
      </w:pPr>
      <w:r>
        <w:rPr>
          <w:rFonts w:ascii="Arial" w:hAnsi="Arial"/>
          <w:sz w:val="21"/>
        </w:rPr>
        <w:t>The primary efficacy outcome was m</w:t>
      </w:r>
      <w:r w:rsidR="004D1DA6" w:rsidRPr="004D1DA6">
        <w:rPr>
          <w:rFonts w:ascii="Arial" w:hAnsi="Arial"/>
          <w:sz w:val="21"/>
        </w:rPr>
        <w:t>etastasis-free survival (MFS)</w:t>
      </w:r>
      <w:r>
        <w:rPr>
          <w:rFonts w:ascii="Arial" w:hAnsi="Arial"/>
          <w:sz w:val="21"/>
        </w:rPr>
        <w:t>,</w:t>
      </w:r>
      <w:r w:rsidR="004D1DA6" w:rsidRPr="004D1DA6">
        <w:rPr>
          <w:rFonts w:ascii="Arial" w:hAnsi="Arial"/>
          <w:sz w:val="21"/>
        </w:rPr>
        <w:t xml:space="preserve"> d</w:t>
      </w:r>
      <w:r w:rsidR="00243472">
        <w:rPr>
          <w:rFonts w:ascii="Arial" w:hAnsi="Arial"/>
          <w:sz w:val="21"/>
        </w:rPr>
        <w:t>efined as the time from randomis</w:t>
      </w:r>
      <w:r w:rsidR="004D1DA6" w:rsidRPr="004D1DA6">
        <w:rPr>
          <w:rFonts w:ascii="Arial" w:hAnsi="Arial"/>
          <w:sz w:val="21"/>
        </w:rPr>
        <w:t>ation to the time of first evidence of BICR-confirmed</w:t>
      </w:r>
      <w:r w:rsidR="00A1215A">
        <w:rPr>
          <w:rFonts w:ascii="Arial" w:hAnsi="Arial"/>
          <w:sz w:val="21"/>
        </w:rPr>
        <w:t xml:space="preserve"> </w:t>
      </w:r>
      <w:r w:rsidR="004D1DA6" w:rsidRPr="004D1DA6">
        <w:rPr>
          <w:rFonts w:ascii="Arial" w:hAnsi="Arial"/>
          <w:sz w:val="21"/>
        </w:rPr>
        <w:t>distant metastasis</w:t>
      </w:r>
      <w:r>
        <w:rPr>
          <w:rFonts w:ascii="Arial" w:hAnsi="Arial"/>
          <w:sz w:val="21"/>
        </w:rPr>
        <w:t xml:space="preserve"> (defined as new bone or soft tissue lesions or enlarged lymph nodes above the iliac bifurcation) or death due to any cause, whichever occurred first. </w:t>
      </w:r>
      <w:r w:rsidR="00A1215A">
        <w:rPr>
          <w:rFonts w:ascii="Arial" w:hAnsi="Arial"/>
          <w:sz w:val="21"/>
        </w:rPr>
        <w:t xml:space="preserve"> </w:t>
      </w:r>
      <w:r>
        <w:rPr>
          <w:rFonts w:ascii="Arial" w:hAnsi="Arial"/>
          <w:sz w:val="21"/>
        </w:rPr>
        <w:t>Additional efficacy endpoints were time to metastasis (TTM), progression-free survival (PFS) which also includes locoregional progression, time to sympt</w:t>
      </w:r>
      <w:r w:rsidRPr="00873883">
        <w:rPr>
          <w:rFonts w:ascii="Arial" w:hAnsi="Arial"/>
          <w:sz w:val="21"/>
        </w:rPr>
        <w:t>omatic progression, and overall survival (OS).</w:t>
      </w:r>
      <w:r w:rsidR="004D1DA6" w:rsidRPr="004D1DA6">
        <w:rPr>
          <w:rFonts w:ascii="Arial" w:hAnsi="Arial"/>
          <w:sz w:val="21"/>
        </w:rPr>
        <w:t xml:space="preserve"> </w:t>
      </w:r>
    </w:p>
    <w:p w14:paraId="75680D2E" w14:textId="10343CEB" w:rsidR="00861638" w:rsidRDefault="00861638" w:rsidP="00861638">
      <w:pPr>
        <w:spacing w:after="200"/>
        <w:rPr>
          <w:rFonts w:ascii="Arial" w:hAnsi="Arial"/>
          <w:sz w:val="21"/>
        </w:rPr>
      </w:pPr>
      <w:r>
        <w:rPr>
          <w:rFonts w:ascii="Arial" w:hAnsi="Arial"/>
          <w:sz w:val="21"/>
        </w:rPr>
        <w:t>A statistically significant improvement in MFS was demonstrated in patients randomised to receive ERLEADA compared with patients randomised to receive placebo. Consistent results were observed across patient subgroups including PSADT (≤ 6 months or &gt; 6 months), use of a prior bone-sparing agent (yes or no), and locoregional disease (N0 or N1). The major efficacy outcome was supported by statistically significant improvements in TTM, PFS, and time to symptomatic progression. Overall survival (OS) data were not mature at the time of final MFS analysis (24% of the r</w:t>
      </w:r>
      <w:r w:rsidR="0030688D">
        <w:rPr>
          <w:rFonts w:ascii="Arial" w:hAnsi="Arial"/>
          <w:sz w:val="21"/>
        </w:rPr>
        <w:t xml:space="preserve">equired number of events). The primary efficacy results and the above supporting results from </w:t>
      </w:r>
      <w:r>
        <w:rPr>
          <w:rFonts w:ascii="Arial" w:hAnsi="Arial"/>
          <w:sz w:val="21"/>
        </w:rPr>
        <w:t xml:space="preserve">SPARTAN </w:t>
      </w:r>
      <w:r w:rsidRPr="00861638">
        <w:rPr>
          <w:rFonts w:ascii="Arial" w:hAnsi="Arial"/>
          <w:sz w:val="21"/>
        </w:rPr>
        <w:t>are summari</w:t>
      </w:r>
      <w:r>
        <w:rPr>
          <w:rFonts w:ascii="Arial" w:hAnsi="Arial"/>
          <w:sz w:val="21"/>
        </w:rPr>
        <w:t>s</w:t>
      </w:r>
      <w:r w:rsidRPr="00861638">
        <w:rPr>
          <w:rFonts w:ascii="Arial" w:hAnsi="Arial"/>
          <w:sz w:val="21"/>
        </w:rPr>
        <w:t xml:space="preserve">ed in Figure </w:t>
      </w:r>
      <w:r>
        <w:rPr>
          <w:rFonts w:ascii="Arial" w:hAnsi="Arial"/>
          <w:sz w:val="21"/>
        </w:rPr>
        <w:t>2</w:t>
      </w:r>
      <w:r w:rsidRPr="00861638">
        <w:rPr>
          <w:rFonts w:ascii="Arial" w:hAnsi="Arial"/>
          <w:sz w:val="21"/>
        </w:rPr>
        <w:t xml:space="preserve"> and Table </w:t>
      </w:r>
      <w:r w:rsidR="00A1215A">
        <w:rPr>
          <w:rFonts w:ascii="Arial" w:hAnsi="Arial"/>
          <w:sz w:val="21"/>
        </w:rPr>
        <w:t>3</w:t>
      </w:r>
      <w:r w:rsidRPr="00861638">
        <w:rPr>
          <w:rFonts w:ascii="Arial" w:hAnsi="Arial"/>
          <w:sz w:val="21"/>
        </w:rPr>
        <w:t>.</w:t>
      </w:r>
    </w:p>
    <w:p w14:paraId="6E371075" w14:textId="43C8837A" w:rsidR="004D1DA6" w:rsidRPr="001D036A" w:rsidRDefault="004D1DA6" w:rsidP="00651BE9">
      <w:pPr>
        <w:keepNext/>
        <w:ind w:left="1440" w:hanging="1440"/>
        <w:rPr>
          <w:rFonts w:eastAsia="MS Mincho"/>
          <w:b/>
        </w:rPr>
      </w:pPr>
      <w:r w:rsidRPr="001D036A">
        <w:rPr>
          <w:rFonts w:eastAsia="MS Mincho"/>
          <w:b/>
        </w:rPr>
        <w:lastRenderedPageBreak/>
        <w:t xml:space="preserve">Figure </w:t>
      </w:r>
      <w:r>
        <w:rPr>
          <w:b/>
        </w:rPr>
        <w:t>2</w:t>
      </w:r>
      <w:r w:rsidRPr="001D036A">
        <w:rPr>
          <w:rFonts w:eastAsia="MS Mincho"/>
          <w:b/>
        </w:rPr>
        <w:t>:</w:t>
      </w:r>
      <w:r w:rsidRPr="001D036A">
        <w:rPr>
          <w:rFonts w:eastAsia="MS Mincho"/>
          <w:b/>
        </w:rPr>
        <w:tab/>
        <w:t xml:space="preserve">Kaplan-Meier Metastasis-Free Survival (MFS) Curve in </w:t>
      </w:r>
      <w:r w:rsidR="00FE5B29">
        <w:rPr>
          <w:rFonts w:eastAsia="MS Mincho"/>
          <w:b/>
        </w:rPr>
        <w:t>Study ARN 509-003</w:t>
      </w:r>
    </w:p>
    <w:p w14:paraId="67D7100E" w14:textId="40B9BC2D" w:rsidR="00856704" w:rsidRDefault="004D1DA6" w:rsidP="00A1215A">
      <w:pPr>
        <w:rPr>
          <w:sz w:val="21"/>
          <w:szCs w:val="21"/>
        </w:rPr>
      </w:pPr>
      <w:r>
        <w:rPr>
          <w:noProof/>
          <w:lang w:eastAsia="en-AU"/>
        </w:rPr>
        <w:drawing>
          <wp:inline distT="0" distB="0" distL="0" distR="0" wp14:anchorId="54F8D90A" wp14:editId="41DED63A">
            <wp:extent cx="5284800" cy="369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4800" cy="3697200"/>
                    </a:xfrm>
                    <a:prstGeom prst="rect">
                      <a:avLst/>
                    </a:prstGeom>
                    <a:noFill/>
                    <a:ln>
                      <a:noFill/>
                    </a:ln>
                  </pic:spPr>
                </pic:pic>
              </a:graphicData>
            </a:graphic>
          </wp:inline>
        </w:drawing>
      </w:r>
    </w:p>
    <w:p w14:paraId="3074D92C" w14:textId="77777777" w:rsidR="00BE1C1D" w:rsidRDefault="00BE1C1D" w:rsidP="00BE1C1D">
      <w:pPr>
        <w:pStyle w:val="BodyText1"/>
      </w:pPr>
    </w:p>
    <w:tbl>
      <w:tblPr>
        <w:tblW w:w="5000" w:type="pct"/>
        <w:tblLayout w:type="fixed"/>
        <w:tblCellMar>
          <w:left w:w="115" w:type="dxa"/>
          <w:right w:w="115" w:type="dxa"/>
        </w:tblCellMar>
        <w:tblLook w:val="0000" w:firstRow="0" w:lastRow="0" w:firstColumn="0" w:lastColumn="0" w:noHBand="0" w:noVBand="0"/>
      </w:tblPr>
      <w:tblGrid>
        <w:gridCol w:w="4261"/>
        <w:gridCol w:w="1742"/>
        <w:gridCol w:w="1657"/>
        <w:gridCol w:w="1596"/>
      </w:tblGrid>
      <w:tr w:rsidR="004D1DA6" w:rsidRPr="001D036A" w14:paraId="75056E72" w14:textId="77777777" w:rsidTr="005E2FFC">
        <w:trPr>
          <w:cantSplit/>
        </w:trPr>
        <w:tc>
          <w:tcPr>
            <w:tcW w:w="9026" w:type="dxa"/>
            <w:gridSpan w:val="4"/>
            <w:tcBorders>
              <w:bottom w:val="single" w:sz="4" w:space="0" w:color="auto"/>
            </w:tcBorders>
          </w:tcPr>
          <w:p w14:paraId="7BFB5C00" w14:textId="504F1882" w:rsidR="004D1DA6" w:rsidRPr="001D036A" w:rsidRDefault="00856704" w:rsidP="00AE29A6">
            <w:pPr>
              <w:keepNext/>
              <w:tabs>
                <w:tab w:val="left" w:pos="1440"/>
              </w:tabs>
              <w:rPr>
                <w:b/>
                <w:bCs/>
                <w:szCs w:val="18"/>
              </w:rPr>
            </w:pPr>
            <w:r>
              <w:rPr>
                <w:b/>
                <w:sz w:val="21"/>
                <w:szCs w:val="21"/>
              </w:rPr>
              <w:br w:type="page"/>
            </w:r>
            <w:bookmarkStart w:id="5" w:name="IDX"/>
            <w:bookmarkEnd w:id="5"/>
            <w:r w:rsidR="00CD0BFC">
              <w:rPr>
                <w:rFonts w:ascii="Arial" w:hAnsi="Arial"/>
                <w:sz w:val="21"/>
              </w:rPr>
              <w:br w:type="page"/>
            </w:r>
            <w:r w:rsidR="004D1DA6" w:rsidRPr="001D036A">
              <w:rPr>
                <w:b/>
                <w:bCs/>
                <w:szCs w:val="18"/>
              </w:rPr>
              <w:t>Table </w:t>
            </w:r>
            <w:r w:rsidR="00A1215A">
              <w:rPr>
                <w:b/>
                <w:bCs/>
                <w:szCs w:val="18"/>
              </w:rPr>
              <w:t>3</w:t>
            </w:r>
            <w:r w:rsidR="004D1DA6" w:rsidRPr="001D036A">
              <w:rPr>
                <w:b/>
                <w:bCs/>
                <w:szCs w:val="18"/>
              </w:rPr>
              <w:t>:</w:t>
            </w:r>
            <w:r w:rsidR="004D1DA6" w:rsidRPr="001D036A">
              <w:rPr>
                <w:b/>
                <w:bCs/>
                <w:szCs w:val="18"/>
              </w:rPr>
              <w:tab/>
              <w:t>Summary of Efficacy Analysis (Study ARN-509-003)</w:t>
            </w:r>
          </w:p>
        </w:tc>
      </w:tr>
      <w:tr w:rsidR="004D1DA6" w:rsidRPr="001D036A" w14:paraId="0BBED5A0" w14:textId="77777777" w:rsidTr="005E2FFC">
        <w:trPr>
          <w:cantSplit/>
        </w:trPr>
        <w:tc>
          <w:tcPr>
            <w:tcW w:w="4155" w:type="dxa"/>
            <w:tcBorders>
              <w:top w:val="single" w:sz="4" w:space="0" w:color="auto"/>
              <w:bottom w:val="single" w:sz="4" w:space="0" w:color="auto"/>
            </w:tcBorders>
            <w:vAlign w:val="bottom"/>
          </w:tcPr>
          <w:p w14:paraId="6C6B14C1" w14:textId="02C6343C" w:rsidR="004D1DA6" w:rsidRPr="001D036A" w:rsidRDefault="004D1DA6" w:rsidP="00AE29A6">
            <w:pPr>
              <w:keepNext/>
              <w:tabs>
                <w:tab w:val="left" w:pos="288"/>
                <w:tab w:val="left" w:pos="576"/>
                <w:tab w:val="left" w:pos="864"/>
              </w:tabs>
              <w:rPr>
                <w:b/>
              </w:rPr>
            </w:pPr>
            <w:r w:rsidRPr="001D036A">
              <w:rPr>
                <w:b/>
              </w:rPr>
              <w:t>Endpoint</w:t>
            </w:r>
          </w:p>
        </w:tc>
        <w:tc>
          <w:tcPr>
            <w:tcW w:w="1699" w:type="dxa"/>
            <w:tcBorders>
              <w:top w:val="single" w:sz="4" w:space="0" w:color="auto"/>
              <w:bottom w:val="single" w:sz="4" w:space="0" w:color="auto"/>
            </w:tcBorders>
            <w:vAlign w:val="bottom"/>
          </w:tcPr>
          <w:p w14:paraId="63082E5E" w14:textId="29DDF216" w:rsidR="004D1DA6" w:rsidRPr="001D036A" w:rsidRDefault="0038517B" w:rsidP="00AE29A6">
            <w:pPr>
              <w:keepNext/>
              <w:tabs>
                <w:tab w:val="left" w:pos="288"/>
                <w:tab w:val="left" w:pos="576"/>
                <w:tab w:val="left" w:pos="864"/>
              </w:tabs>
              <w:jc w:val="center"/>
              <w:rPr>
                <w:b/>
              </w:rPr>
            </w:pPr>
            <w:r>
              <w:rPr>
                <w:b/>
              </w:rPr>
              <w:t>ERLYAND</w:t>
            </w:r>
          </w:p>
          <w:p w14:paraId="4BE7A889" w14:textId="77777777" w:rsidR="004D1DA6" w:rsidRPr="001D036A" w:rsidRDefault="004D1DA6" w:rsidP="00AE29A6">
            <w:pPr>
              <w:keepNext/>
              <w:tabs>
                <w:tab w:val="left" w:pos="288"/>
                <w:tab w:val="left" w:pos="576"/>
                <w:tab w:val="left" w:pos="864"/>
              </w:tabs>
              <w:jc w:val="center"/>
              <w:rPr>
                <w:b/>
              </w:rPr>
            </w:pPr>
            <w:r w:rsidRPr="001D036A">
              <w:rPr>
                <w:b/>
              </w:rPr>
              <w:t>(n=806)</w:t>
            </w:r>
          </w:p>
          <w:p w14:paraId="11396830" w14:textId="77777777" w:rsidR="004D1DA6" w:rsidRPr="001D036A" w:rsidRDefault="004D1DA6" w:rsidP="00AE29A6">
            <w:pPr>
              <w:keepNext/>
              <w:tabs>
                <w:tab w:val="left" w:pos="288"/>
                <w:tab w:val="left" w:pos="576"/>
                <w:tab w:val="left" w:pos="864"/>
              </w:tabs>
              <w:jc w:val="center"/>
              <w:rPr>
                <w:b/>
              </w:rPr>
            </w:pPr>
            <w:r w:rsidRPr="001D036A">
              <w:rPr>
                <w:b/>
              </w:rPr>
              <w:t>Median (months)</w:t>
            </w:r>
          </w:p>
        </w:tc>
        <w:tc>
          <w:tcPr>
            <w:tcW w:w="1616" w:type="dxa"/>
            <w:tcBorders>
              <w:top w:val="single" w:sz="4" w:space="0" w:color="auto"/>
              <w:bottom w:val="single" w:sz="4" w:space="0" w:color="auto"/>
            </w:tcBorders>
            <w:vAlign w:val="bottom"/>
          </w:tcPr>
          <w:p w14:paraId="625EB9CD" w14:textId="77777777" w:rsidR="004D1DA6" w:rsidRPr="001D036A" w:rsidRDefault="004D1DA6" w:rsidP="00AE29A6">
            <w:pPr>
              <w:keepNext/>
              <w:tabs>
                <w:tab w:val="left" w:pos="288"/>
                <w:tab w:val="left" w:pos="576"/>
                <w:tab w:val="left" w:pos="864"/>
              </w:tabs>
              <w:jc w:val="center"/>
              <w:rPr>
                <w:b/>
              </w:rPr>
            </w:pPr>
            <w:r w:rsidRPr="001D036A">
              <w:rPr>
                <w:b/>
              </w:rPr>
              <w:t>Placebo</w:t>
            </w:r>
          </w:p>
          <w:p w14:paraId="670AC86F" w14:textId="77777777" w:rsidR="004D1DA6" w:rsidRPr="001D036A" w:rsidRDefault="004D1DA6" w:rsidP="00AE29A6">
            <w:pPr>
              <w:keepNext/>
              <w:tabs>
                <w:tab w:val="left" w:pos="288"/>
                <w:tab w:val="left" w:pos="576"/>
                <w:tab w:val="left" w:pos="864"/>
              </w:tabs>
              <w:jc w:val="center"/>
              <w:rPr>
                <w:b/>
              </w:rPr>
            </w:pPr>
            <w:r w:rsidRPr="001D036A">
              <w:rPr>
                <w:b/>
              </w:rPr>
              <w:t>(n=401)</w:t>
            </w:r>
          </w:p>
          <w:p w14:paraId="23B837CC" w14:textId="77777777" w:rsidR="004D1DA6" w:rsidRPr="001D036A" w:rsidRDefault="004D1DA6" w:rsidP="00AE29A6">
            <w:pPr>
              <w:keepNext/>
              <w:tabs>
                <w:tab w:val="left" w:pos="288"/>
                <w:tab w:val="left" w:pos="576"/>
                <w:tab w:val="left" w:pos="864"/>
              </w:tabs>
              <w:jc w:val="center"/>
              <w:rPr>
                <w:b/>
              </w:rPr>
            </w:pPr>
            <w:r w:rsidRPr="001D036A">
              <w:rPr>
                <w:b/>
              </w:rPr>
              <w:t>Median (months)</w:t>
            </w:r>
          </w:p>
        </w:tc>
        <w:tc>
          <w:tcPr>
            <w:tcW w:w="1556" w:type="dxa"/>
            <w:tcBorders>
              <w:top w:val="single" w:sz="4" w:space="0" w:color="auto"/>
              <w:bottom w:val="single" w:sz="4" w:space="0" w:color="auto"/>
            </w:tcBorders>
            <w:vAlign w:val="bottom"/>
          </w:tcPr>
          <w:p w14:paraId="6D414F0B" w14:textId="77777777" w:rsidR="004D1DA6" w:rsidRPr="001D036A" w:rsidRDefault="004D1DA6" w:rsidP="00AE29A6">
            <w:pPr>
              <w:keepNext/>
              <w:tabs>
                <w:tab w:val="left" w:pos="288"/>
                <w:tab w:val="left" w:pos="576"/>
                <w:tab w:val="left" w:pos="864"/>
              </w:tabs>
              <w:jc w:val="center"/>
              <w:rPr>
                <w:b/>
              </w:rPr>
            </w:pPr>
            <w:r w:rsidRPr="001D036A">
              <w:rPr>
                <w:b/>
              </w:rPr>
              <w:t>HR (95% CI)</w:t>
            </w:r>
          </w:p>
          <w:p w14:paraId="7D825333" w14:textId="77777777" w:rsidR="004D1DA6" w:rsidRPr="001D036A" w:rsidRDefault="004D1DA6" w:rsidP="00AE29A6">
            <w:pPr>
              <w:keepNext/>
              <w:tabs>
                <w:tab w:val="left" w:pos="288"/>
                <w:tab w:val="left" w:pos="576"/>
                <w:tab w:val="left" w:pos="864"/>
              </w:tabs>
              <w:jc w:val="center"/>
              <w:rPr>
                <w:b/>
              </w:rPr>
            </w:pPr>
            <w:r w:rsidRPr="001D036A">
              <w:rPr>
                <w:b/>
              </w:rPr>
              <w:t>p value</w:t>
            </w:r>
            <w:r w:rsidRPr="001D036A">
              <w:rPr>
                <w:vertAlign w:val="superscript"/>
              </w:rPr>
              <w:t>1</w:t>
            </w:r>
          </w:p>
        </w:tc>
      </w:tr>
      <w:tr w:rsidR="004D1DA6" w:rsidRPr="001D036A" w14:paraId="60867E90" w14:textId="77777777" w:rsidTr="005E2FFC">
        <w:trPr>
          <w:cantSplit/>
        </w:trPr>
        <w:tc>
          <w:tcPr>
            <w:tcW w:w="4155" w:type="dxa"/>
            <w:tcBorders>
              <w:top w:val="single" w:sz="4" w:space="0" w:color="auto"/>
            </w:tcBorders>
          </w:tcPr>
          <w:p w14:paraId="3316059C" w14:textId="77777777" w:rsidR="004D1DA6" w:rsidRPr="001D036A" w:rsidRDefault="004D1DA6" w:rsidP="00AE29A6">
            <w:pPr>
              <w:tabs>
                <w:tab w:val="left" w:pos="288"/>
                <w:tab w:val="left" w:pos="576"/>
                <w:tab w:val="left" w:pos="864"/>
              </w:tabs>
            </w:pPr>
            <w:r w:rsidRPr="001D036A">
              <w:t>Metastasis Free Survival (MFS)</w:t>
            </w:r>
          </w:p>
        </w:tc>
        <w:tc>
          <w:tcPr>
            <w:tcW w:w="1699" w:type="dxa"/>
            <w:tcBorders>
              <w:top w:val="single" w:sz="4" w:space="0" w:color="auto"/>
            </w:tcBorders>
          </w:tcPr>
          <w:p w14:paraId="6EE20B22" w14:textId="77777777" w:rsidR="004D1DA6" w:rsidRPr="001D036A" w:rsidRDefault="004D1DA6" w:rsidP="00AE29A6">
            <w:pPr>
              <w:tabs>
                <w:tab w:val="left" w:pos="288"/>
                <w:tab w:val="left" w:pos="576"/>
                <w:tab w:val="left" w:pos="864"/>
              </w:tabs>
              <w:jc w:val="center"/>
            </w:pPr>
            <w:r w:rsidRPr="001D036A">
              <w:t>40.5</w:t>
            </w:r>
          </w:p>
        </w:tc>
        <w:tc>
          <w:tcPr>
            <w:tcW w:w="1616" w:type="dxa"/>
            <w:tcBorders>
              <w:top w:val="single" w:sz="4" w:space="0" w:color="auto"/>
            </w:tcBorders>
          </w:tcPr>
          <w:p w14:paraId="70D212E8" w14:textId="77777777" w:rsidR="004D1DA6" w:rsidRPr="001D036A" w:rsidRDefault="004D1DA6" w:rsidP="00AE29A6">
            <w:pPr>
              <w:tabs>
                <w:tab w:val="left" w:pos="288"/>
                <w:tab w:val="left" w:pos="576"/>
                <w:tab w:val="left" w:pos="864"/>
              </w:tabs>
              <w:jc w:val="center"/>
            </w:pPr>
            <w:r w:rsidRPr="001D036A">
              <w:t>16.2</w:t>
            </w:r>
          </w:p>
        </w:tc>
        <w:tc>
          <w:tcPr>
            <w:tcW w:w="1556" w:type="dxa"/>
            <w:tcBorders>
              <w:top w:val="single" w:sz="4" w:space="0" w:color="auto"/>
            </w:tcBorders>
          </w:tcPr>
          <w:p w14:paraId="462C3C5A" w14:textId="77777777" w:rsidR="004D1DA6" w:rsidRPr="001D036A" w:rsidRDefault="004D1DA6" w:rsidP="00AE29A6">
            <w:pPr>
              <w:tabs>
                <w:tab w:val="left" w:pos="288"/>
                <w:tab w:val="left" w:pos="576"/>
                <w:tab w:val="left" w:pos="864"/>
              </w:tabs>
              <w:jc w:val="center"/>
            </w:pPr>
            <w:r w:rsidRPr="001D036A">
              <w:t>0.28 (0.23-0.35)</w:t>
            </w:r>
          </w:p>
          <w:p w14:paraId="2A141C18" w14:textId="77777777" w:rsidR="004D1DA6" w:rsidRPr="001D036A" w:rsidRDefault="004D1DA6" w:rsidP="00AE29A6">
            <w:pPr>
              <w:tabs>
                <w:tab w:val="left" w:pos="288"/>
                <w:tab w:val="left" w:pos="576"/>
                <w:tab w:val="left" w:pos="864"/>
              </w:tabs>
              <w:jc w:val="center"/>
            </w:pPr>
            <w:r w:rsidRPr="001D036A">
              <w:t>&lt; 0.0001</w:t>
            </w:r>
          </w:p>
        </w:tc>
      </w:tr>
      <w:tr w:rsidR="004D1DA6" w:rsidRPr="001D036A" w14:paraId="027B3243" w14:textId="77777777" w:rsidTr="005E2FFC">
        <w:trPr>
          <w:cantSplit/>
        </w:trPr>
        <w:tc>
          <w:tcPr>
            <w:tcW w:w="4155" w:type="dxa"/>
          </w:tcPr>
          <w:p w14:paraId="22B23CD8" w14:textId="77777777" w:rsidR="004D1DA6" w:rsidRPr="001D036A" w:rsidRDefault="004D1DA6" w:rsidP="00AE29A6">
            <w:pPr>
              <w:tabs>
                <w:tab w:val="left" w:pos="288"/>
                <w:tab w:val="left" w:pos="576"/>
                <w:tab w:val="left" w:pos="864"/>
              </w:tabs>
            </w:pPr>
            <w:r w:rsidRPr="001D036A">
              <w:t>Time to Metastasis (TTM)</w:t>
            </w:r>
          </w:p>
        </w:tc>
        <w:tc>
          <w:tcPr>
            <w:tcW w:w="1699" w:type="dxa"/>
          </w:tcPr>
          <w:p w14:paraId="2AD4FED7" w14:textId="77777777" w:rsidR="004D1DA6" w:rsidRPr="001D036A" w:rsidRDefault="004D1DA6" w:rsidP="00AE29A6">
            <w:pPr>
              <w:tabs>
                <w:tab w:val="left" w:pos="288"/>
                <w:tab w:val="left" w:pos="576"/>
                <w:tab w:val="left" w:pos="864"/>
              </w:tabs>
              <w:jc w:val="center"/>
            </w:pPr>
            <w:r w:rsidRPr="001D036A">
              <w:t>40.5</w:t>
            </w:r>
          </w:p>
        </w:tc>
        <w:tc>
          <w:tcPr>
            <w:tcW w:w="1616" w:type="dxa"/>
          </w:tcPr>
          <w:p w14:paraId="484145D0" w14:textId="77777777" w:rsidR="004D1DA6" w:rsidRPr="001D036A" w:rsidRDefault="004D1DA6" w:rsidP="00AE29A6">
            <w:pPr>
              <w:tabs>
                <w:tab w:val="left" w:pos="288"/>
                <w:tab w:val="left" w:pos="576"/>
                <w:tab w:val="left" w:pos="864"/>
              </w:tabs>
              <w:jc w:val="center"/>
            </w:pPr>
            <w:r w:rsidRPr="001D036A">
              <w:t>16.6</w:t>
            </w:r>
          </w:p>
        </w:tc>
        <w:tc>
          <w:tcPr>
            <w:tcW w:w="1556" w:type="dxa"/>
          </w:tcPr>
          <w:p w14:paraId="0B200FE3" w14:textId="77777777" w:rsidR="004D1DA6" w:rsidRPr="001D036A" w:rsidRDefault="004D1DA6" w:rsidP="00AE29A6">
            <w:pPr>
              <w:tabs>
                <w:tab w:val="left" w:pos="288"/>
                <w:tab w:val="left" w:pos="576"/>
                <w:tab w:val="left" w:pos="864"/>
              </w:tabs>
              <w:jc w:val="center"/>
            </w:pPr>
            <w:r w:rsidRPr="001D036A">
              <w:t>0.27 (0.22-0.34)</w:t>
            </w:r>
          </w:p>
          <w:p w14:paraId="680E2A57" w14:textId="77777777" w:rsidR="004D1DA6" w:rsidRPr="001D036A" w:rsidRDefault="004D1DA6" w:rsidP="00AE29A6">
            <w:pPr>
              <w:tabs>
                <w:tab w:val="left" w:pos="288"/>
                <w:tab w:val="left" w:pos="576"/>
                <w:tab w:val="left" w:pos="864"/>
              </w:tabs>
              <w:jc w:val="center"/>
            </w:pPr>
            <w:r w:rsidRPr="001D036A">
              <w:t>&lt; 0.0001</w:t>
            </w:r>
          </w:p>
        </w:tc>
      </w:tr>
      <w:tr w:rsidR="004D1DA6" w:rsidRPr="001D036A" w14:paraId="6FE0E480" w14:textId="77777777" w:rsidTr="005E2FFC">
        <w:trPr>
          <w:cantSplit/>
        </w:trPr>
        <w:tc>
          <w:tcPr>
            <w:tcW w:w="4155" w:type="dxa"/>
          </w:tcPr>
          <w:p w14:paraId="4B43E1F9" w14:textId="77777777" w:rsidR="004D1DA6" w:rsidRPr="001D036A" w:rsidRDefault="004D1DA6" w:rsidP="00AE29A6">
            <w:pPr>
              <w:tabs>
                <w:tab w:val="left" w:pos="288"/>
                <w:tab w:val="left" w:pos="576"/>
                <w:tab w:val="left" w:pos="864"/>
              </w:tabs>
            </w:pPr>
            <w:r w:rsidRPr="001D036A">
              <w:t>Progression-free Survival (PFS)</w:t>
            </w:r>
          </w:p>
        </w:tc>
        <w:tc>
          <w:tcPr>
            <w:tcW w:w="1699" w:type="dxa"/>
          </w:tcPr>
          <w:p w14:paraId="0640D8B1" w14:textId="77777777" w:rsidR="004D1DA6" w:rsidRPr="001D036A" w:rsidRDefault="004D1DA6" w:rsidP="00AE29A6">
            <w:pPr>
              <w:tabs>
                <w:tab w:val="left" w:pos="288"/>
                <w:tab w:val="left" w:pos="576"/>
                <w:tab w:val="left" w:pos="864"/>
              </w:tabs>
              <w:jc w:val="center"/>
            </w:pPr>
            <w:r w:rsidRPr="001D036A">
              <w:t>40.5</w:t>
            </w:r>
          </w:p>
        </w:tc>
        <w:tc>
          <w:tcPr>
            <w:tcW w:w="1616" w:type="dxa"/>
          </w:tcPr>
          <w:p w14:paraId="00C5B082" w14:textId="77777777" w:rsidR="004D1DA6" w:rsidRPr="001D036A" w:rsidRDefault="004D1DA6" w:rsidP="00AE29A6">
            <w:pPr>
              <w:tabs>
                <w:tab w:val="left" w:pos="288"/>
                <w:tab w:val="left" w:pos="576"/>
                <w:tab w:val="left" w:pos="864"/>
              </w:tabs>
              <w:jc w:val="center"/>
            </w:pPr>
            <w:r w:rsidRPr="001D036A">
              <w:t>14.7</w:t>
            </w:r>
          </w:p>
        </w:tc>
        <w:tc>
          <w:tcPr>
            <w:tcW w:w="1556" w:type="dxa"/>
          </w:tcPr>
          <w:p w14:paraId="3B11132A" w14:textId="77777777" w:rsidR="004D1DA6" w:rsidRPr="001D036A" w:rsidRDefault="004D1DA6" w:rsidP="00AE29A6">
            <w:pPr>
              <w:tabs>
                <w:tab w:val="left" w:pos="288"/>
                <w:tab w:val="left" w:pos="576"/>
                <w:tab w:val="left" w:pos="864"/>
              </w:tabs>
              <w:jc w:val="center"/>
            </w:pPr>
            <w:r w:rsidRPr="001D036A">
              <w:t>0.29 (0.24-0.36)</w:t>
            </w:r>
          </w:p>
          <w:p w14:paraId="191904FC" w14:textId="77777777" w:rsidR="004D1DA6" w:rsidRPr="001D036A" w:rsidRDefault="004D1DA6" w:rsidP="00AE29A6">
            <w:pPr>
              <w:tabs>
                <w:tab w:val="left" w:pos="288"/>
                <w:tab w:val="left" w:pos="576"/>
                <w:tab w:val="left" w:pos="864"/>
              </w:tabs>
              <w:jc w:val="center"/>
            </w:pPr>
            <w:r w:rsidRPr="001D036A">
              <w:t>&lt; 0.0001</w:t>
            </w:r>
          </w:p>
        </w:tc>
      </w:tr>
      <w:tr w:rsidR="004D1DA6" w:rsidRPr="001D036A" w14:paraId="7EE9727B" w14:textId="77777777" w:rsidTr="005E2FFC">
        <w:trPr>
          <w:cantSplit/>
        </w:trPr>
        <w:tc>
          <w:tcPr>
            <w:tcW w:w="9026" w:type="dxa"/>
            <w:gridSpan w:val="4"/>
            <w:tcBorders>
              <w:top w:val="single" w:sz="4" w:space="0" w:color="auto"/>
            </w:tcBorders>
          </w:tcPr>
          <w:p w14:paraId="17056798" w14:textId="77777777" w:rsidR="004D1DA6" w:rsidRPr="001D036A" w:rsidRDefault="004D1DA6" w:rsidP="00AE29A6">
            <w:pPr>
              <w:tabs>
                <w:tab w:val="left" w:pos="288"/>
              </w:tabs>
              <w:rPr>
                <w:sz w:val="16"/>
                <w:szCs w:val="16"/>
              </w:rPr>
            </w:pPr>
            <w:r w:rsidRPr="001D036A">
              <w:rPr>
                <w:sz w:val="16"/>
                <w:szCs w:val="16"/>
              </w:rPr>
              <w:t>NR = Not reached</w:t>
            </w:r>
          </w:p>
          <w:p w14:paraId="4563F6EE" w14:textId="77777777" w:rsidR="004D1DA6" w:rsidRPr="001D036A" w:rsidRDefault="004D1DA6" w:rsidP="00AE29A6">
            <w:pPr>
              <w:tabs>
                <w:tab w:val="left" w:pos="288"/>
              </w:tabs>
              <w:rPr>
                <w:sz w:val="16"/>
              </w:rPr>
            </w:pPr>
            <w:r w:rsidRPr="001D036A">
              <w:rPr>
                <w:vertAlign w:val="superscript"/>
              </w:rPr>
              <w:t>1</w:t>
            </w:r>
            <w:r w:rsidRPr="001D036A">
              <w:tab/>
            </w:r>
            <w:r w:rsidRPr="001D036A">
              <w:rPr>
                <w:sz w:val="16"/>
              </w:rPr>
              <w:t>p value from stratified log-rank test</w:t>
            </w:r>
          </w:p>
          <w:p w14:paraId="2704D198" w14:textId="0F1C20A0" w:rsidR="004D1DA6" w:rsidRPr="001D036A" w:rsidRDefault="004D1DA6" w:rsidP="00AE29A6">
            <w:pPr>
              <w:tabs>
                <w:tab w:val="left" w:pos="288"/>
              </w:tabs>
            </w:pPr>
          </w:p>
        </w:tc>
      </w:tr>
    </w:tbl>
    <w:p w14:paraId="5CD9D6B6" w14:textId="77777777" w:rsidR="004D1DA6" w:rsidRPr="001D036A" w:rsidRDefault="004D1DA6" w:rsidP="004D1DA6"/>
    <w:p w14:paraId="6215C061" w14:textId="094389F1" w:rsidR="00581150" w:rsidRDefault="008450DE" w:rsidP="004D1DA6">
      <w:pPr>
        <w:pStyle w:val="Heading2"/>
      </w:pPr>
      <w:r>
        <w:t xml:space="preserve">5.2 </w:t>
      </w:r>
      <w:r w:rsidR="00581150">
        <w:t>Pharmacokinetic properties</w:t>
      </w:r>
    </w:p>
    <w:p w14:paraId="5259853F" w14:textId="3A62AC3C" w:rsidR="000907B4" w:rsidRPr="000907B4" w:rsidRDefault="000F785C" w:rsidP="000F785C">
      <w:pPr>
        <w:pStyle w:val="BodyText"/>
        <w:rPr>
          <w:rFonts w:eastAsiaTheme="minorHAnsi"/>
          <w:lang w:val="en-AU"/>
        </w:rPr>
      </w:pPr>
      <w:r w:rsidRPr="000F785C">
        <w:rPr>
          <w:rFonts w:eastAsiaTheme="minorHAnsi"/>
          <w:lang w:val="en-AU"/>
        </w:rPr>
        <w:t>Apalutamide pharmacokinetic parameters are presented as the</w:t>
      </w:r>
      <w:r>
        <w:rPr>
          <w:rFonts w:eastAsiaTheme="minorHAnsi"/>
          <w:lang w:val="en-AU"/>
        </w:rPr>
        <w:t xml:space="preserve"> mean (coefficient of variation; CV%) </w:t>
      </w:r>
      <w:r w:rsidRPr="000F785C">
        <w:rPr>
          <w:rFonts w:eastAsiaTheme="minorHAnsi"/>
          <w:lang w:val="en-AU"/>
        </w:rPr>
        <w:t xml:space="preserve">unless otherwise specified. </w:t>
      </w:r>
      <w:r w:rsidR="000907B4" w:rsidRPr="000907B4">
        <w:rPr>
          <w:rFonts w:eastAsiaTheme="minorHAnsi"/>
          <w:lang w:val="en-AU"/>
        </w:rPr>
        <w:t>Following repeat once-daily dosing, apalutamide exposure (C</w:t>
      </w:r>
      <w:r w:rsidR="000907B4" w:rsidRPr="000907B4">
        <w:rPr>
          <w:rFonts w:eastAsiaTheme="minorHAnsi"/>
          <w:vertAlign w:val="subscript"/>
          <w:lang w:val="en-AU"/>
        </w:rPr>
        <w:t>max</w:t>
      </w:r>
      <w:r w:rsidR="000907B4" w:rsidRPr="003B7637">
        <w:t xml:space="preserve"> </w:t>
      </w:r>
      <w:r w:rsidR="000907B4" w:rsidRPr="000907B4">
        <w:rPr>
          <w:rFonts w:eastAsiaTheme="minorHAnsi"/>
          <w:lang w:val="en-AU"/>
        </w:rPr>
        <w:t xml:space="preserve">and </w:t>
      </w:r>
      <w:r w:rsidR="00AF1ABE">
        <w:rPr>
          <w:rFonts w:eastAsiaTheme="minorHAnsi"/>
          <w:lang w:val="en-AU"/>
        </w:rPr>
        <w:t>AUC</w:t>
      </w:r>
      <w:r w:rsidR="000907B4" w:rsidRPr="000907B4">
        <w:rPr>
          <w:rFonts w:eastAsiaTheme="minorHAnsi"/>
          <w:lang w:val="en-AU"/>
        </w:rPr>
        <w:t>) increased in a dose-proportional manner across the dose range of 30</w:t>
      </w:r>
      <w:r w:rsidR="0043727B">
        <w:rPr>
          <w:rFonts w:eastAsiaTheme="minorHAnsi"/>
          <w:lang w:val="en-AU"/>
        </w:rPr>
        <w:t xml:space="preserve"> mg</w:t>
      </w:r>
      <w:r w:rsidR="000907B4" w:rsidRPr="000907B4">
        <w:rPr>
          <w:rFonts w:eastAsiaTheme="minorHAnsi"/>
          <w:lang w:val="en-AU"/>
        </w:rPr>
        <w:t xml:space="preserve"> to 480 mg</w:t>
      </w:r>
      <w:r>
        <w:rPr>
          <w:rFonts w:eastAsiaTheme="minorHAnsi"/>
          <w:lang w:val="en-AU"/>
        </w:rPr>
        <w:t xml:space="preserve"> (0.125 to 2 times the recommended dosag</w:t>
      </w:r>
      <w:r w:rsidRPr="000F785C">
        <w:rPr>
          <w:rFonts w:eastAsiaTheme="minorHAnsi"/>
          <w:lang w:val="en-AU"/>
        </w:rPr>
        <w:t>e)</w:t>
      </w:r>
      <w:r w:rsidR="000907B4" w:rsidRPr="000907B4">
        <w:rPr>
          <w:rFonts w:eastAsiaTheme="minorHAnsi"/>
          <w:lang w:val="en-AU"/>
        </w:rPr>
        <w:t xml:space="preserve">. Following administration of </w:t>
      </w:r>
      <w:r>
        <w:rPr>
          <w:rFonts w:eastAsiaTheme="minorHAnsi"/>
          <w:lang w:val="en-AU"/>
        </w:rPr>
        <w:t>the recommended dosage</w:t>
      </w:r>
      <w:r w:rsidR="000907B4" w:rsidRPr="000907B4">
        <w:rPr>
          <w:rFonts w:eastAsiaTheme="minorHAnsi"/>
          <w:lang w:val="en-AU"/>
        </w:rPr>
        <w:t xml:space="preserve">, apalutamide steady state was achieved after 4 weeks and the mean accumulation ratio was approximately 5-fold. At steady-state, </w:t>
      </w:r>
      <w:r>
        <w:rPr>
          <w:rFonts w:eastAsiaTheme="minorHAnsi"/>
          <w:lang w:val="en-AU"/>
        </w:rPr>
        <w:t xml:space="preserve">apalutamide </w:t>
      </w:r>
      <w:r w:rsidR="000907B4" w:rsidRPr="000907B4">
        <w:rPr>
          <w:rFonts w:eastAsiaTheme="minorHAnsi"/>
          <w:lang w:val="en-AU"/>
        </w:rPr>
        <w:t>C</w:t>
      </w:r>
      <w:r w:rsidR="000907B4" w:rsidRPr="000907B4">
        <w:rPr>
          <w:rFonts w:eastAsiaTheme="minorHAnsi"/>
          <w:vertAlign w:val="subscript"/>
          <w:lang w:val="en-AU"/>
        </w:rPr>
        <w:t>max</w:t>
      </w:r>
      <w:r w:rsidR="000907B4" w:rsidRPr="000907B4">
        <w:rPr>
          <w:rFonts w:eastAsiaTheme="minorHAnsi"/>
          <w:lang w:val="en-AU"/>
        </w:rPr>
        <w:t xml:space="preserve"> </w:t>
      </w:r>
      <w:r>
        <w:rPr>
          <w:rFonts w:eastAsiaTheme="minorHAnsi"/>
          <w:lang w:val="en-AU"/>
        </w:rPr>
        <w:t xml:space="preserve">was </w:t>
      </w:r>
      <w:r w:rsidRPr="000907B4">
        <w:rPr>
          <w:rFonts w:eastAsiaTheme="minorHAnsi"/>
          <w:lang w:val="en-AU"/>
        </w:rPr>
        <w:t xml:space="preserve">6 µg/mL (28%) </w:t>
      </w:r>
      <w:r w:rsidR="000907B4" w:rsidRPr="000907B4">
        <w:rPr>
          <w:rFonts w:eastAsiaTheme="minorHAnsi"/>
          <w:lang w:val="en-AU"/>
        </w:rPr>
        <w:t xml:space="preserve">and AUC </w:t>
      </w:r>
      <w:r>
        <w:rPr>
          <w:rFonts w:eastAsiaTheme="minorHAnsi"/>
          <w:lang w:val="en-AU"/>
        </w:rPr>
        <w:t xml:space="preserve">was </w:t>
      </w:r>
      <w:r w:rsidR="000907B4" w:rsidRPr="000907B4">
        <w:rPr>
          <w:rFonts w:eastAsiaTheme="minorHAnsi"/>
          <w:lang w:val="en-AU"/>
        </w:rPr>
        <w:t xml:space="preserve">100 µg.h/mL (32%). Daily fluctuations in apalutamide plasma concentrations were low, with mean peak-to-trough ratio of 1.63. An increase in apparent clearance (CL/F) was observed with repeat dosing, likely due to induction of </w:t>
      </w:r>
      <w:proofErr w:type="spellStart"/>
      <w:r w:rsidR="000907B4" w:rsidRPr="000907B4">
        <w:rPr>
          <w:rFonts w:eastAsiaTheme="minorHAnsi"/>
          <w:lang w:val="en-AU"/>
        </w:rPr>
        <w:t>apalutamide’s</w:t>
      </w:r>
      <w:proofErr w:type="spellEnd"/>
      <w:r w:rsidR="000907B4" w:rsidRPr="000907B4">
        <w:rPr>
          <w:rFonts w:eastAsiaTheme="minorHAnsi"/>
          <w:lang w:val="en-AU"/>
        </w:rPr>
        <w:t xml:space="preserve"> own metabolism.</w:t>
      </w:r>
    </w:p>
    <w:p w14:paraId="4F59A6F7" w14:textId="63A82612" w:rsidR="000907B4" w:rsidRPr="000907B4" w:rsidRDefault="000907B4" w:rsidP="000907B4">
      <w:pPr>
        <w:pStyle w:val="BodyText"/>
        <w:rPr>
          <w:rFonts w:eastAsiaTheme="minorHAnsi"/>
          <w:lang w:val="en-AU"/>
        </w:rPr>
      </w:pPr>
      <w:r w:rsidRPr="000907B4">
        <w:rPr>
          <w:rFonts w:eastAsiaTheme="minorHAnsi"/>
          <w:lang w:val="en-AU"/>
        </w:rPr>
        <w:lastRenderedPageBreak/>
        <w:t xml:space="preserve">At steady-state, the </w:t>
      </w:r>
      <w:r w:rsidR="000F785C" w:rsidRPr="000907B4">
        <w:rPr>
          <w:rFonts w:eastAsiaTheme="minorHAnsi"/>
          <w:lang w:val="en-AU"/>
        </w:rPr>
        <w:t>majo</w:t>
      </w:r>
      <w:r w:rsidR="000F785C">
        <w:rPr>
          <w:rFonts w:eastAsiaTheme="minorHAnsi"/>
          <w:lang w:val="en-AU"/>
        </w:rPr>
        <w:t>r active metabolite (N</w:t>
      </w:r>
      <w:r w:rsidR="000F785C">
        <w:rPr>
          <w:rFonts w:eastAsiaTheme="minorHAnsi"/>
          <w:lang w:val="en-AU"/>
        </w:rPr>
        <w:noBreakHyphen/>
        <w:t>desmethyl apalutamide)</w:t>
      </w:r>
      <w:r w:rsidR="000F785C" w:rsidRPr="000907B4">
        <w:rPr>
          <w:rFonts w:eastAsiaTheme="minorHAnsi"/>
          <w:lang w:val="en-AU"/>
        </w:rPr>
        <w:t xml:space="preserve"> </w:t>
      </w:r>
      <w:r w:rsidRPr="000907B4">
        <w:rPr>
          <w:rFonts w:eastAsiaTheme="minorHAnsi"/>
          <w:lang w:val="en-AU"/>
        </w:rPr>
        <w:t>C</w:t>
      </w:r>
      <w:r w:rsidRPr="000907B4">
        <w:rPr>
          <w:rFonts w:eastAsiaTheme="minorHAnsi"/>
          <w:vertAlign w:val="subscript"/>
          <w:lang w:val="en-AU"/>
        </w:rPr>
        <w:t>max</w:t>
      </w:r>
      <w:r w:rsidRPr="003B7637">
        <w:t xml:space="preserve"> </w:t>
      </w:r>
      <w:r w:rsidRPr="000907B4">
        <w:rPr>
          <w:rFonts w:eastAsiaTheme="minorHAnsi"/>
          <w:lang w:val="en-AU"/>
        </w:rPr>
        <w:t xml:space="preserve">and </w:t>
      </w:r>
      <w:r w:rsidR="000F785C">
        <w:rPr>
          <w:rFonts w:eastAsiaTheme="minorHAnsi"/>
          <w:lang w:val="en-AU"/>
        </w:rPr>
        <w:t>was</w:t>
      </w:r>
      <w:r w:rsidR="000F785C" w:rsidRPr="000907B4">
        <w:rPr>
          <w:rFonts w:eastAsiaTheme="minorHAnsi"/>
          <w:lang w:val="en-AU"/>
        </w:rPr>
        <w:t xml:space="preserve"> </w:t>
      </w:r>
      <w:r w:rsidRPr="000907B4">
        <w:rPr>
          <w:rFonts w:eastAsiaTheme="minorHAnsi"/>
          <w:lang w:val="en-AU"/>
        </w:rPr>
        <w:t xml:space="preserve">5.9 µg/mL (18%) and </w:t>
      </w:r>
      <w:r w:rsidR="000F785C">
        <w:rPr>
          <w:rFonts w:eastAsiaTheme="minorHAnsi"/>
          <w:lang w:val="en-AU"/>
        </w:rPr>
        <w:t xml:space="preserve">AUC was </w:t>
      </w:r>
      <w:r w:rsidRPr="000907B4">
        <w:rPr>
          <w:rFonts w:eastAsiaTheme="minorHAnsi"/>
          <w:lang w:val="en-AU"/>
        </w:rPr>
        <w:t>124 </w:t>
      </w:r>
      <w:bookmarkStart w:id="6" w:name="_Hlk493511689"/>
      <w:r w:rsidRPr="000907B4">
        <w:rPr>
          <w:rFonts w:eastAsiaTheme="minorHAnsi"/>
          <w:lang w:val="en-AU"/>
        </w:rPr>
        <w:t>µ</w:t>
      </w:r>
      <w:bookmarkEnd w:id="6"/>
      <w:r w:rsidRPr="000907B4">
        <w:rPr>
          <w:rFonts w:eastAsiaTheme="minorHAnsi"/>
          <w:lang w:val="en-AU"/>
        </w:rPr>
        <w:t>g.h/mL (19%). N</w:t>
      </w:r>
      <w:r w:rsidRPr="000907B4">
        <w:rPr>
          <w:rFonts w:eastAsiaTheme="minorHAnsi"/>
          <w:lang w:val="en-AU"/>
        </w:rPr>
        <w:noBreakHyphen/>
        <w:t>desm</w:t>
      </w:r>
      <w:r w:rsidR="00DF650A">
        <w:rPr>
          <w:rFonts w:eastAsiaTheme="minorHAnsi"/>
          <w:lang w:val="en-AU"/>
        </w:rPr>
        <w:t>ethyl apalutamide is characteris</w:t>
      </w:r>
      <w:r w:rsidRPr="000907B4">
        <w:rPr>
          <w:rFonts w:eastAsiaTheme="minorHAnsi"/>
          <w:lang w:val="en-AU"/>
        </w:rPr>
        <w:t xml:space="preserve">ed by a flat concentration-time profile at steady-state with a mean peak-to-trough ratio of 1.27. </w:t>
      </w:r>
      <w:r w:rsidR="000F785C">
        <w:rPr>
          <w:rFonts w:eastAsiaTheme="minorHAnsi"/>
          <w:lang w:val="en-AU"/>
        </w:rPr>
        <w:t xml:space="preserve">The </w:t>
      </w:r>
      <w:r w:rsidRPr="000907B4">
        <w:rPr>
          <w:rFonts w:eastAsiaTheme="minorHAnsi"/>
          <w:lang w:val="en-AU"/>
        </w:rPr>
        <w:t>AUC metabolite/parent drug ratio for N</w:t>
      </w:r>
      <w:r w:rsidRPr="000907B4">
        <w:rPr>
          <w:rFonts w:eastAsiaTheme="minorHAnsi"/>
          <w:lang w:val="en-AU"/>
        </w:rPr>
        <w:noBreakHyphen/>
        <w:t>desmethyl apalutamide following repeat</w:t>
      </w:r>
      <w:r w:rsidRPr="000907B4">
        <w:rPr>
          <w:rFonts w:eastAsiaTheme="minorHAnsi"/>
          <w:lang w:val="en-AU"/>
        </w:rPr>
        <w:noBreakHyphen/>
        <w:t xml:space="preserve">dose administration was about 1.3 (21%). </w:t>
      </w:r>
      <w:r w:rsidR="00BE1C1D">
        <w:rPr>
          <w:rFonts w:eastAsiaTheme="minorHAnsi"/>
          <w:lang w:val="en-AU"/>
        </w:rPr>
        <w:t xml:space="preserve"> </w:t>
      </w:r>
      <w:r w:rsidRPr="000907B4">
        <w:rPr>
          <w:rFonts w:eastAsiaTheme="minorHAnsi"/>
          <w:lang w:val="en-AU"/>
        </w:rPr>
        <w:t>Based on systemic exposure, relative potency, and pharmacokinetic properties, N-desmethyl apalutamide likely contribute</w:t>
      </w:r>
      <w:r w:rsidR="0043727B">
        <w:rPr>
          <w:rFonts w:eastAsiaTheme="minorHAnsi"/>
          <w:lang w:val="en-AU"/>
        </w:rPr>
        <w:t>s</w:t>
      </w:r>
      <w:r w:rsidRPr="000907B4">
        <w:rPr>
          <w:rFonts w:eastAsiaTheme="minorHAnsi"/>
          <w:lang w:val="en-AU"/>
        </w:rPr>
        <w:t xml:space="preserve"> to the clinical activity of apalutamide.</w:t>
      </w:r>
      <w:r w:rsidR="00BE1C1D">
        <w:rPr>
          <w:rFonts w:eastAsiaTheme="minorHAnsi"/>
          <w:lang w:val="en-AU"/>
        </w:rPr>
        <w:t xml:space="preserve">  </w:t>
      </w:r>
    </w:p>
    <w:p w14:paraId="0954FCF2" w14:textId="36506A08" w:rsidR="00581150" w:rsidRDefault="00C908A8" w:rsidP="00F95E9C">
      <w:pPr>
        <w:pStyle w:val="Heading3"/>
      </w:pPr>
      <w:r>
        <w:t>Absorption</w:t>
      </w:r>
    </w:p>
    <w:p w14:paraId="1953A70F" w14:textId="01349552" w:rsidR="00AE29A6" w:rsidRPr="00AE29A6" w:rsidRDefault="00AE29A6" w:rsidP="00AE29A6">
      <w:pPr>
        <w:pStyle w:val="BodyText"/>
        <w:rPr>
          <w:rFonts w:eastAsiaTheme="minorHAnsi"/>
          <w:lang w:val="en-AU"/>
        </w:rPr>
      </w:pPr>
      <w:r w:rsidRPr="00AE29A6">
        <w:rPr>
          <w:rFonts w:eastAsiaTheme="minorHAnsi"/>
          <w:lang w:val="en-AU"/>
        </w:rPr>
        <w:t>Mean absolute oral bioavailability is approximately 100%.</w:t>
      </w:r>
      <w:r w:rsidR="00BE1C1D">
        <w:rPr>
          <w:rFonts w:eastAsiaTheme="minorHAnsi"/>
          <w:lang w:val="en-AU"/>
        </w:rPr>
        <w:t xml:space="preserve"> </w:t>
      </w:r>
      <w:r w:rsidR="000F785C" w:rsidRPr="000F785C">
        <w:rPr>
          <w:rFonts w:eastAsiaTheme="minorHAnsi"/>
          <w:lang w:val="en-AU"/>
        </w:rPr>
        <w:t xml:space="preserve"> </w:t>
      </w:r>
      <w:r w:rsidR="00356D98">
        <w:rPr>
          <w:rFonts w:eastAsiaTheme="minorHAnsi"/>
          <w:lang w:val="en-AU"/>
        </w:rPr>
        <w:t>M</w:t>
      </w:r>
      <w:r w:rsidR="000F785C" w:rsidRPr="00AE29A6">
        <w:rPr>
          <w:rFonts w:eastAsiaTheme="minorHAnsi"/>
          <w:lang w:val="en-AU"/>
        </w:rPr>
        <w:t>edian time to achieve peak plasma concentration (t</w:t>
      </w:r>
      <w:r w:rsidR="000F785C" w:rsidRPr="00AE29A6">
        <w:rPr>
          <w:rFonts w:eastAsiaTheme="minorHAnsi"/>
          <w:vertAlign w:val="subscript"/>
          <w:lang w:val="en-AU"/>
        </w:rPr>
        <w:t>max</w:t>
      </w:r>
      <w:r w:rsidR="000F785C" w:rsidRPr="00AE29A6">
        <w:rPr>
          <w:rFonts w:eastAsiaTheme="minorHAnsi"/>
          <w:lang w:val="en-AU"/>
        </w:rPr>
        <w:t>) was 2 hours (range: 1 to 5 hours).</w:t>
      </w:r>
    </w:p>
    <w:p w14:paraId="393CB4A1" w14:textId="4C5CE656" w:rsidR="00AE29A6" w:rsidRPr="00AE29A6" w:rsidRDefault="00AE29A6" w:rsidP="00AE29A6">
      <w:pPr>
        <w:pStyle w:val="BodyText"/>
        <w:rPr>
          <w:rFonts w:eastAsiaTheme="minorHAnsi"/>
          <w:lang w:val="en-AU"/>
        </w:rPr>
      </w:pPr>
      <w:r w:rsidRPr="00AE29A6">
        <w:rPr>
          <w:rFonts w:eastAsiaTheme="minorHAnsi"/>
          <w:lang w:val="en-AU"/>
        </w:rPr>
        <w:t>Administration of apalutamide to healthy subjects under fasting conditions and with a high-fat meal resulted in no clinically relevant changes in C</w:t>
      </w:r>
      <w:r w:rsidRPr="00AE29A6">
        <w:rPr>
          <w:rFonts w:eastAsiaTheme="minorHAnsi"/>
          <w:vertAlign w:val="subscript"/>
          <w:lang w:val="en-AU"/>
        </w:rPr>
        <w:t>max</w:t>
      </w:r>
      <w:r w:rsidRPr="00AE29A6">
        <w:rPr>
          <w:rFonts w:eastAsiaTheme="minorHAnsi"/>
          <w:lang w:val="en-AU"/>
        </w:rPr>
        <w:t xml:space="preserve"> and AUC. Median time to reach t</w:t>
      </w:r>
      <w:r w:rsidRPr="00AE29A6">
        <w:rPr>
          <w:rFonts w:eastAsiaTheme="minorHAnsi"/>
          <w:vertAlign w:val="subscript"/>
          <w:lang w:val="en-AU"/>
        </w:rPr>
        <w:t>max</w:t>
      </w:r>
      <w:r w:rsidRPr="00AE29A6">
        <w:rPr>
          <w:rFonts w:eastAsiaTheme="minorHAnsi"/>
          <w:lang w:val="en-AU"/>
        </w:rPr>
        <w:t xml:space="preserve"> was </w:t>
      </w:r>
      <w:r w:rsidR="00BE1C1D">
        <w:rPr>
          <w:rFonts w:eastAsiaTheme="minorHAnsi"/>
          <w:lang w:val="en-AU"/>
        </w:rPr>
        <w:t>delayed about 2 hours with food</w:t>
      </w:r>
      <w:r w:rsidRPr="00AE29A6">
        <w:rPr>
          <w:rFonts w:eastAsiaTheme="minorHAnsi"/>
          <w:lang w:val="en-AU"/>
        </w:rPr>
        <w:t>.</w:t>
      </w:r>
    </w:p>
    <w:p w14:paraId="55E26A2C" w14:textId="27628D69" w:rsidR="00581150" w:rsidRDefault="00C908A8" w:rsidP="00F95E9C">
      <w:pPr>
        <w:pStyle w:val="Heading3"/>
      </w:pPr>
      <w:r>
        <w:t>Distribution</w:t>
      </w:r>
    </w:p>
    <w:p w14:paraId="264E9C50" w14:textId="4EF3742D" w:rsidR="00AE29A6" w:rsidRPr="00AE29A6" w:rsidRDefault="00AE29A6" w:rsidP="00AE29A6">
      <w:pPr>
        <w:pStyle w:val="BodyText"/>
        <w:rPr>
          <w:rFonts w:eastAsiaTheme="minorHAnsi"/>
          <w:lang w:val="en-AU"/>
        </w:rPr>
      </w:pPr>
      <w:r w:rsidRPr="00AE29A6">
        <w:rPr>
          <w:rFonts w:eastAsiaTheme="minorHAnsi"/>
          <w:lang w:val="en-AU"/>
        </w:rPr>
        <w:t>The mean apparent volume of distribution at steady-state of apalutamide is about 276 L</w:t>
      </w:r>
      <w:r w:rsidR="002360A5">
        <w:rPr>
          <w:rFonts w:eastAsiaTheme="minorHAnsi"/>
          <w:lang w:val="en-AU"/>
        </w:rPr>
        <w:t xml:space="preserve"> (</w:t>
      </w:r>
      <w:r w:rsidRPr="00AE29A6">
        <w:rPr>
          <w:rFonts w:eastAsiaTheme="minorHAnsi"/>
          <w:lang w:val="en-AU"/>
        </w:rPr>
        <w:t>greater than the volume of total body water, indicative of extensive extravascular distribution</w:t>
      </w:r>
      <w:r w:rsidR="002360A5">
        <w:rPr>
          <w:rFonts w:eastAsiaTheme="minorHAnsi"/>
          <w:lang w:val="en-AU"/>
        </w:rPr>
        <w:t>)</w:t>
      </w:r>
      <w:r w:rsidRPr="00AE29A6">
        <w:rPr>
          <w:rFonts w:eastAsiaTheme="minorHAnsi"/>
          <w:lang w:val="en-AU"/>
        </w:rPr>
        <w:t>.</w:t>
      </w:r>
    </w:p>
    <w:p w14:paraId="30CF6A07" w14:textId="08F098EB" w:rsidR="00AE29A6" w:rsidRPr="00AE29A6" w:rsidRDefault="00AE29A6" w:rsidP="00AE29A6">
      <w:pPr>
        <w:pStyle w:val="BodyText"/>
        <w:rPr>
          <w:rFonts w:eastAsiaTheme="minorHAnsi"/>
          <w:lang w:val="en-AU"/>
        </w:rPr>
      </w:pPr>
      <w:r w:rsidRPr="00AE29A6">
        <w:rPr>
          <w:rFonts w:eastAsiaTheme="minorHAnsi"/>
          <w:lang w:val="en-AU"/>
        </w:rPr>
        <w:t>Apalutamide</w:t>
      </w:r>
      <w:r w:rsidR="002360A5">
        <w:rPr>
          <w:rFonts w:eastAsiaTheme="minorHAnsi"/>
          <w:lang w:val="en-AU"/>
        </w:rPr>
        <w:t xml:space="preserve"> is 96%</w:t>
      </w:r>
      <w:r w:rsidRPr="00AE29A6">
        <w:rPr>
          <w:rFonts w:eastAsiaTheme="minorHAnsi"/>
          <w:lang w:val="en-AU"/>
        </w:rPr>
        <w:t xml:space="preserve"> </w:t>
      </w:r>
      <w:r w:rsidR="002360A5">
        <w:rPr>
          <w:rFonts w:eastAsiaTheme="minorHAnsi"/>
          <w:lang w:val="en-AU"/>
        </w:rPr>
        <w:t>(</w:t>
      </w:r>
      <w:r w:rsidRPr="00AE29A6">
        <w:rPr>
          <w:rFonts w:eastAsiaTheme="minorHAnsi"/>
          <w:lang w:val="en-AU"/>
        </w:rPr>
        <w:t xml:space="preserve">and N-desmethyl apalutamide </w:t>
      </w:r>
      <w:r w:rsidR="002360A5">
        <w:rPr>
          <w:rFonts w:eastAsiaTheme="minorHAnsi"/>
          <w:lang w:val="en-AU"/>
        </w:rPr>
        <w:t>is</w:t>
      </w:r>
      <w:r w:rsidRPr="00AE29A6">
        <w:rPr>
          <w:rFonts w:eastAsiaTheme="minorHAnsi"/>
          <w:lang w:val="en-AU"/>
        </w:rPr>
        <w:t xml:space="preserve"> 95%</w:t>
      </w:r>
      <w:r w:rsidR="002360A5">
        <w:rPr>
          <w:rFonts w:eastAsiaTheme="minorHAnsi"/>
          <w:lang w:val="en-AU"/>
        </w:rPr>
        <w:t>)</w:t>
      </w:r>
      <w:r w:rsidRPr="00AE29A6">
        <w:rPr>
          <w:rFonts w:eastAsiaTheme="minorHAnsi"/>
          <w:lang w:val="en-AU"/>
        </w:rPr>
        <w:t xml:space="preserve"> bound to plasma proteins, with no concentration dependency.</w:t>
      </w:r>
      <w:r w:rsidR="00263135">
        <w:rPr>
          <w:rFonts w:eastAsiaTheme="minorHAnsi"/>
          <w:lang w:val="en-AU"/>
        </w:rPr>
        <w:t xml:space="preserve">  </w:t>
      </w:r>
      <w:r w:rsidR="00263135" w:rsidRPr="00263135">
        <w:rPr>
          <w:rFonts w:eastAsiaTheme="minorHAnsi"/>
          <w:lang w:val="en-AU"/>
        </w:rPr>
        <w:t>Studies in rodents and dogs indicate that apalutamide and N-desmethyl apalutamide can cross the blood brain barrier</w:t>
      </w:r>
      <w:r w:rsidR="00263135">
        <w:rPr>
          <w:rFonts w:eastAsiaTheme="minorHAnsi"/>
          <w:lang w:val="en-AU"/>
        </w:rPr>
        <w:t xml:space="preserve">.  </w:t>
      </w:r>
    </w:p>
    <w:p w14:paraId="02AD6472" w14:textId="4BEFFF1C" w:rsidR="00581150" w:rsidRDefault="001D17FF" w:rsidP="00F95E9C">
      <w:pPr>
        <w:pStyle w:val="Heading3"/>
      </w:pPr>
      <w:r>
        <w:t>Metabolism</w:t>
      </w:r>
    </w:p>
    <w:p w14:paraId="2DB86C25" w14:textId="70DDC4BB" w:rsidR="00607F04" w:rsidRDefault="00AE29A6" w:rsidP="00607F04">
      <w:pPr>
        <w:pStyle w:val="BodyText"/>
        <w:rPr>
          <w:rFonts w:eastAsiaTheme="minorHAnsi"/>
          <w:lang w:val="en-AU"/>
        </w:rPr>
      </w:pPr>
      <w:r w:rsidRPr="00AE29A6">
        <w:rPr>
          <w:rFonts w:eastAsiaTheme="minorHAnsi"/>
          <w:lang w:val="en-AU"/>
        </w:rPr>
        <w:t>Metabolism is the main route of elimination</w:t>
      </w:r>
      <w:r w:rsidR="00840822">
        <w:rPr>
          <w:rFonts w:eastAsiaTheme="minorHAnsi"/>
          <w:lang w:val="en-AU"/>
        </w:rPr>
        <w:t xml:space="preserve"> of apalutamide. It is metabolis</w:t>
      </w:r>
      <w:r w:rsidRPr="00AE29A6">
        <w:rPr>
          <w:rFonts w:eastAsiaTheme="minorHAnsi"/>
          <w:lang w:val="en-AU"/>
        </w:rPr>
        <w:t>ed primarily by CYP2C8 and CYP3A4 to form N</w:t>
      </w:r>
      <w:r w:rsidRPr="00AE29A6">
        <w:rPr>
          <w:rFonts w:eastAsiaTheme="minorHAnsi"/>
          <w:lang w:val="en-AU"/>
        </w:rPr>
        <w:noBreakHyphen/>
        <w:t>desmethyl apalutamide. Apalutamide and N</w:t>
      </w:r>
      <w:r w:rsidRPr="00AE29A6">
        <w:rPr>
          <w:rFonts w:eastAsiaTheme="minorHAnsi"/>
          <w:lang w:val="en-AU"/>
        </w:rPr>
        <w:noBreakHyphen/>
        <w:t>desmethyl apalutamide are f</w:t>
      </w:r>
      <w:r w:rsidR="00840822">
        <w:rPr>
          <w:rFonts w:eastAsiaTheme="minorHAnsi"/>
          <w:lang w:val="en-AU"/>
        </w:rPr>
        <w:t>urther metabolis</w:t>
      </w:r>
      <w:r w:rsidRPr="00AE29A6">
        <w:rPr>
          <w:rFonts w:eastAsiaTheme="minorHAnsi"/>
          <w:lang w:val="en-AU"/>
        </w:rPr>
        <w:t xml:space="preserve">ed </w:t>
      </w:r>
      <w:r w:rsidR="00100D7E" w:rsidRPr="00AE29A6">
        <w:rPr>
          <w:rFonts w:eastAsiaTheme="minorHAnsi"/>
          <w:lang w:val="en-AU"/>
        </w:rPr>
        <w:t xml:space="preserve">by carboxylesterase </w:t>
      </w:r>
      <w:r w:rsidRPr="00AE29A6">
        <w:rPr>
          <w:rFonts w:eastAsiaTheme="minorHAnsi"/>
          <w:lang w:val="en-AU"/>
        </w:rPr>
        <w:t xml:space="preserve">to form </w:t>
      </w:r>
      <w:r w:rsidR="00100D7E">
        <w:rPr>
          <w:rFonts w:eastAsiaTheme="minorHAnsi"/>
          <w:lang w:val="en-AU"/>
        </w:rPr>
        <w:t>an</w:t>
      </w:r>
      <w:r w:rsidR="00100D7E" w:rsidRPr="00AE29A6">
        <w:rPr>
          <w:rFonts w:eastAsiaTheme="minorHAnsi"/>
          <w:lang w:val="en-AU"/>
        </w:rPr>
        <w:t xml:space="preserve"> </w:t>
      </w:r>
      <w:r w:rsidRPr="00AE29A6">
        <w:rPr>
          <w:rFonts w:eastAsiaTheme="minorHAnsi"/>
          <w:lang w:val="en-AU"/>
        </w:rPr>
        <w:t>inactive carboxylic acid metabolite. The contribution of CYP2C8 and CYP3A4 in the metabolism of apalutamide is estimated to be 58% and 13% following single dose but changes to 40% and 37%, respectively at steady-state.</w:t>
      </w:r>
      <w:r w:rsidR="00607F04" w:rsidRPr="00607F04">
        <w:rPr>
          <w:rFonts w:eastAsiaTheme="minorHAnsi"/>
          <w:lang w:val="en-AU"/>
        </w:rPr>
        <w:t xml:space="preserve"> </w:t>
      </w:r>
    </w:p>
    <w:p w14:paraId="5E88270F" w14:textId="2A8DA86D" w:rsidR="00AE29A6" w:rsidRPr="00AE29A6" w:rsidRDefault="00607F04" w:rsidP="00AE29A6">
      <w:pPr>
        <w:pStyle w:val="BodyText"/>
        <w:rPr>
          <w:rFonts w:eastAsiaTheme="minorHAnsi"/>
          <w:lang w:val="en-AU"/>
        </w:rPr>
      </w:pPr>
      <w:r>
        <w:rPr>
          <w:rFonts w:eastAsiaTheme="minorHAnsi"/>
          <w:lang w:val="en-AU"/>
        </w:rPr>
        <w:t xml:space="preserve">Apalutamide (45%), N-desmethyl apalutamide (44%), and an inactive carboxylic acid metabolite (3%) represented most of the total </w:t>
      </w:r>
      <w:r w:rsidRPr="00AE29A6">
        <w:rPr>
          <w:rFonts w:eastAsiaTheme="minorHAnsi"/>
          <w:vertAlign w:val="superscript"/>
          <w:lang w:val="en-AU"/>
        </w:rPr>
        <w:t>14</w:t>
      </w:r>
      <w:r w:rsidRPr="00AE29A6">
        <w:rPr>
          <w:rFonts w:eastAsiaTheme="minorHAnsi"/>
          <w:lang w:val="en-AU"/>
        </w:rPr>
        <w:t>C-AUC</w:t>
      </w:r>
      <w:r>
        <w:rPr>
          <w:rFonts w:eastAsiaTheme="minorHAnsi"/>
          <w:lang w:val="en-AU"/>
        </w:rPr>
        <w:t xml:space="preserve"> f</w:t>
      </w:r>
      <w:r w:rsidRPr="00AE29A6">
        <w:rPr>
          <w:rFonts w:eastAsiaTheme="minorHAnsi"/>
          <w:lang w:val="en-AU"/>
        </w:rPr>
        <w:t xml:space="preserve">ollowing </w:t>
      </w:r>
      <w:r>
        <w:rPr>
          <w:rFonts w:eastAsiaTheme="minorHAnsi"/>
          <w:lang w:val="en-AU"/>
        </w:rPr>
        <w:t xml:space="preserve">a </w:t>
      </w:r>
      <w:r w:rsidRPr="00AE29A6">
        <w:rPr>
          <w:rFonts w:eastAsiaTheme="minorHAnsi"/>
          <w:lang w:val="en-AU"/>
        </w:rPr>
        <w:t xml:space="preserve">single oral administration of </w:t>
      </w:r>
      <w:r w:rsidRPr="00AE29A6">
        <w:rPr>
          <w:rFonts w:eastAsiaTheme="minorHAnsi"/>
          <w:vertAlign w:val="superscript"/>
          <w:lang w:val="en-AU"/>
        </w:rPr>
        <w:t>14</w:t>
      </w:r>
      <w:r w:rsidRPr="00AE29A6">
        <w:rPr>
          <w:rFonts w:eastAsiaTheme="minorHAnsi"/>
          <w:lang w:val="en-AU"/>
        </w:rPr>
        <w:t>C-labeled apalutamide</w:t>
      </w:r>
      <w:r w:rsidRPr="00AE29A6" w:rsidDel="001F4C79">
        <w:rPr>
          <w:rFonts w:eastAsiaTheme="minorHAnsi"/>
          <w:lang w:val="en-AU"/>
        </w:rPr>
        <w:t xml:space="preserve"> </w:t>
      </w:r>
      <w:r w:rsidRPr="00AE29A6">
        <w:rPr>
          <w:rFonts w:eastAsiaTheme="minorHAnsi"/>
          <w:lang w:val="en-AU"/>
        </w:rPr>
        <w:t>240 mg</w:t>
      </w:r>
      <w:r>
        <w:rPr>
          <w:rFonts w:eastAsiaTheme="minorHAnsi"/>
          <w:lang w:val="en-AU"/>
        </w:rPr>
        <w:t>.</w:t>
      </w:r>
    </w:p>
    <w:p w14:paraId="1B689454" w14:textId="1EFA7F72" w:rsidR="00581150" w:rsidRDefault="001D17FF" w:rsidP="00F95E9C">
      <w:pPr>
        <w:pStyle w:val="Heading3"/>
      </w:pPr>
      <w:r>
        <w:t>Excretion</w:t>
      </w:r>
    </w:p>
    <w:p w14:paraId="3CC1EA39" w14:textId="102371AD" w:rsidR="00AE29A6" w:rsidRPr="00AE29A6" w:rsidRDefault="00100D7E" w:rsidP="00AE29A6">
      <w:pPr>
        <w:pStyle w:val="BodyText"/>
        <w:rPr>
          <w:rFonts w:eastAsiaTheme="minorHAnsi"/>
          <w:lang w:val="en-AU"/>
        </w:rPr>
      </w:pPr>
      <w:r>
        <w:rPr>
          <w:rFonts w:eastAsiaTheme="minorHAnsi"/>
          <w:lang w:val="en-AU"/>
        </w:rPr>
        <w:t>Up to 70 days following</w:t>
      </w:r>
      <w:r w:rsidR="00AE29A6" w:rsidRPr="00AE29A6">
        <w:rPr>
          <w:rFonts w:eastAsiaTheme="minorHAnsi"/>
          <w:lang w:val="en-AU"/>
        </w:rPr>
        <w:t xml:space="preserve"> a single oral administration of </w:t>
      </w:r>
      <w:proofErr w:type="spellStart"/>
      <w:r w:rsidR="00AE29A6" w:rsidRPr="00AE29A6">
        <w:rPr>
          <w:rFonts w:eastAsiaTheme="minorHAnsi"/>
          <w:lang w:val="en-AU"/>
        </w:rPr>
        <w:t>radiolabeled</w:t>
      </w:r>
      <w:proofErr w:type="spellEnd"/>
      <w:r w:rsidR="00AE29A6" w:rsidRPr="00AE29A6">
        <w:rPr>
          <w:rFonts w:eastAsiaTheme="minorHAnsi"/>
          <w:lang w:val="en-AU"/>
        </w:rPr>
        <w:t xml:space="preserve"> </w:t>
      </w:r>
      <w:proofErr w:type="spellStart"/>
      <w:r w:rsidR="00AE29A6" w:rsidRPr="00AE29A6">
        <w:rPr>
          <w:rFonts w:eastAsiaTheme="minorHAnsi"/>
          <w:lang w:val="en-AU"/>
        </w:rPr>
        <w:t>apalutamide</w:t>
      </w:r>
      <w:proofErr w:type="spellEnd"/>
      <w:r w:rsidR="00AE29A6" w:rsidRPr="00AE29A6">
        <w:rPr>
          <w:rFonts w:eastAsiaTheme="minorHAnsi"/>
          <w:lang w:val="en-AU"/>
        </w:rPr>
        <w:t xml:space="preserve">, 65% </w:t>
      </w:r>
      <w:r>
        <w:rPr>
          <w:rFonts w:eastAsiaTheme="minorHAnsi"/>
          <w:lang w:val="en-AU"/>
        </w:rPr>
        <w:t xml:space="preserve">of the dose </w:t>
      </w:r>
      <w:r w:rsidR="00AE29A6" w:rsidRPr="00AE29A6">
        <w:rPr>
          <w:rFonts w:eastAsiaTheme="minorHAnsi"/>
          <w:lang w:val="en-AU"/>
        </w:rPr>
        <w:t>was recovered in urine (1.2% of dose as unchanged apalutamide and 2.7% as N-desmethyl apalutamide) and 24% was recovered in f</w:t>
      </w:r>
      <w:r w:rsidR="0079711B">
        <w:rPr>
          <w:rFonts w:eastAsiaTheme="minorHAnsi"/>
          <w:lang w:val="en-AU"/>
        </w:rPr>
        <w:t>a</w:t>
      </w:r>
      <w:r w:rsidR="00AE29A6" w:rsidRPr="00AE29A6">
        <w:rPr>
          <w:rFonts w:eastAsiaTheme="minorHAnsi"/>
          <w:lang w:val="en-AU"/>
        </w:rPr>
        <w:t>eces (1.5% of dose as unchanged apalutamide and 2% as N-desmethyl apalutamide).</w:t>
      </w:r>
    </w:p>
    <w:p w14:paraId="764364AB" w14:textId="05F5AE8B" w:rsidR="00AE29A6" w:rsidRDefault="00AE29A6" w:rsidP="00AE29A6">
      <w:pPr>
        <w:pStyle w:val="BodyText"/>
        <w:rPr>
          <w:rFonts w:eastAsiaTheme="minorHAnsi"/>
          <w:lang w:val="en-AU"/>
        </w:rPr>
      </w:pPr>
      <w:r w:rsidRPr="00AE29A6">
        <w:rPr>
          <w:rFonts w:eastAsiaTheme="minorHAnsi"/>
          <w:lang w:val="en-AU"/>
        </w:rPr>
        <w:t>The CL/F of apalutamide is 1.3 L/h after single dosing and increases to 2.0 L/h at steady-state after once-daily dosing. The mean effective half-life for apalutamide in subjects is about 3 days at steady-state.</w:t>
      </w:r>
    </w:p>
    <w:p w14:paraId="66102B0F" w14:textId="77777777" w:rsidR="00AE29A6" w:rsidRPr="009E636C" w:rsidRDefault="00AE29A6" w:rsidP="00AE29A6">
      <w:pPr>
        <w:pStyle w:val="Heading3"/>
      </w:pPr>
      <w:r w:rsidRPr="00EE1114">
        <w:t xml:space="preserve">Special </w:t>
      </w:r>
      <w:r>
        <w:t>p</w:t>
      </w:r>
      <w:r w:rsidRPr="00EE1114">
        <w:t>opulations</w:t>
      </w:r>
    </w:p>
    <w:p w14:paraId="7C44750D" w14:textId="1DAAA01A" w:rsidR="00AE29A6" w:rsidRPr="00AE29A6" w:rsidRDefault="00AE29A6" w:rsidP="00AE29A6">
      <w:pPr>
        <w:pStyle w:val="BodyText"/>
        <w:rPr>
          <w:rFonts w:eastAsiaTheme="minorHAnsi"/>
          <w:lang w:val="en-AU"/>
        </w:rPr>
      </w:pPr>
      <w:r w:rsidRPr="00AE29A6">
        <w:rPr>
          <w:rFonts w:eastAsiaTheme="minorHAnsi"/>
          <w:lang w:val="en-AU"/>
        </w:rPr>
        <w:t xml:space="preserve">No clinically significant differences in the pharmacokinetics of apalutamide </w:t>
      </w:r>
      <w:r w:rsidR="00B37E29">
        <w:rPr>
          <w:rFonts w:eastAsiaTheme="minorHAnsi"/>
          <w:lang w:val="en-AU"/>
        </w:rPr>
        <w:t>or</w:t>
      </w:r>
      <w:r w:rsidR="00B37E29" w:rsidRPr="00AE29A6">
        <w:rPr>
          <w:rFonts w:eastAsiaTheme="minorHAnsi"/>
          <w:lang w:val="en-AU"/>
        </w:rPr>
        <w:t xml:space="preserve"> </w:t>
      </w:r>
      <w:r w:rsidRPr="00AE29A6">
        <w:rPr>
          <w:rFonts w:eastAsiaTheme="minorHAnsi"/>
          <w:lang w:val="en-AU"/>
        </w:rPr>
        <w:t xml:space="preserve">N-desmethyl apalutamide were observed </w:t>
      </w:r>
      <w:r w:rsidR="00B37E29">
        <w:rPr>
          <w:rFonts w:eastAsiaTheme="minorHAnsi"/>
          <w:lang w:val="en-AU"/>
        </w:rPr>
        <w:t>based on age (18-94 years), race (Black, non-Japanese Asian, Japanese),</w:t>
      </w:r>
      <w:r w:rsidR="00BE1C1D">
        <w:rPr>
          <w:rFonts w:eastAsiaTheme="minorHAnsi"/>
          <w:lang w:val="en-AU"/>
        </w:rPr>
        <w:t xml:space="preserve"> </w:t>
      </w:r>
      <w:r w:rsidRPr="00AE29A6">
        <w:rPr>
          <w:rFonts w:eastAsiaTheme="minorHAnsi"/>
          <w:lang w:val="en-AU"/>
        </w:rPr>
        <w:t xml:space="preserve">mild </w:t>
      </w:r>
      <w:r w:rsidR="00B37E29">
        <w:rPr>
          <w:rFonts w:eastAsiaTheme="minorHAnsi"/>
          <w:lang w:val="en-AU"/>
        </w:rPr>
        <w:t xml:space="preserve">to moderate renal impairment </w:t>
      </w:r>
      <w:r w:rsidRPr="00AE29A6">
        <w:rPr>
          <w:rFonts w:eastAsiaTheme="minorHAnsi"/>
          <w:lang w:val="en-AU"/>
        </w:rPr>
        <w:t xml:space="preserve">(eGFR </w:t>
      </w:r>
      <w:r w:rsidR="00B37E29">
        <w:rPr>
          <w:rFonts w:eastAsiaTheme="minorHAnsi"/>
          <w:lang w:val="en-AU"/>
        </w:rPr>
        <w:t>3</w:t>
      </w:r>
      <w:r w:rsidR="00B37E29" w:rsidRPr="00AE29A6">
        <w:rPr>
          <w:rFonts w:eastAsiaTheme="minorHAnsi"/>
          <w:lang w:val="en-AU"/>
        </w:rPr>
        <w:t>0</w:t>
      </w:r>
      <w:r w:rsidRPr="00AE29A6">
        <w:rPr>
          <w:rFonts w:eastAsiaTheme="minorHAnsi"/>
          <w:lang w:val="en-AU"/>
        </w:rPr>
        <w:t>-89 mL/min/1.73m</w:t>
      </w:r>
      <w:r w:rsidRPr="00AE29A6">
        <w:rPr>
          <w:rFonts w:eastAsiaTheme="minorHAnsi"/>
          <w:vertAlign w:val="superscript"/>
          <w:lang w:val="en-AU"/>
        </w:rPr>
        <w:t>2</w:t>
      </w:r>
      <w:r w:rsidR="00B37E29">
        <w:rPr>
          <w:rFonts w:eastAsiaTheme="minorHAnsi"/>
          <w:lang w:val="en-AU"/>
        </w:rPr>
        <w:t>, estimated by the modification of diet in renal disease [MDRD] equation</w:t>
      </w:r>
      <w:r w:rsidRPr="00AE29A6">
        <w:rPr>
          <w:rFonts w:eastAsiaTheme="minorHAnsi"/>
          <w:lang w:val="en-AU"/>
        </w:rPr>
        <w:t xml:space="preserve">) or mild (Child-Pugh A) </w:t>
      </w:r>
      <w:r w:rsidR="00B37E29">
        <w:rPr>
          <w:rFonts w:eastAsiaTheme="minorHAnsi"/>
          <w:lang w:val="en-AU"/>
        </w:rPr>
        <w:t>to</w:t>
      </w:r>
      <w:r w:rsidR="00B37E29" w:rsidRPr="00AE29A6">
        <w:rPr>
          <w:rFonts w:eastAsiaTheme="minorHAnsi"/>
          <w:lang w:val="en-AU"/>
        </w:rPr>
        <w:t xml:space="preserve"> </w:t>
      </w:r>
      <w:r w:rsidRPr="00AE29A6">
        <w:rPr>
          <w:rFonts w:eastAsiaTheme="minorHAnsi"/>
          <w:lang w:val="en-AU"/>
        </w:rPr>
        <w:t>moderate (Child-Pugh B) hepatic impairment.</w:t>
      </w:r>
    </w:p>
    <w:p w14:paraId="694B6E27" w14:textId="6145741D" w:rsidR="00AE29A6" w:rsidRDefault="00AE29A6" w:rsidP="00AE29A6">
      <w:pPr>
        <w:pStyle w:val="BodyText"/>
        <w:rPr>
          <w:rFonts w:eastAsiaTheme="minorHAnsi"/>
          <w:lang w:val="en-AU"/>
        </w:rPr>
      </w:pPr>
      <w:r w:rsidRPr="00AE29A6">
        <w:rPr>
          <w:rFonts w:eastAsiaTheme="minorHAnsi"/>
          <w:lang w:val="en-AU"/>
        </w:rPr>
        <w:t>The effect of severe renal impairment or end stage renal disease (eGFR ≤29 mL/min/1.73m</w:t>
      </w:r>
      <w:r w:rsidRPr="00AE29A6">
        <w:rPr>
          <w:rFonts w:eastAsiaTheme="minorHAnsi"/>
          <w:vertAlign w:val="superscript"/>
          <w:lang w:val="en-AU"/>
        </w:rPr>
        <w:t>2</w:t>
      </w:r>
      <w:r w:rsidRPr="00AE29A6">
        <w:rPr>
          <w:rFonts w:eastAsiaTheme="minorHAnsi"/>
          <w:lang w:val="en-AU"/>
        </w:rPr>
        <w:t xml:space="preserve">) </w:t>
      </w:r>
      <w:r w:rsidR="00B37E29">
        <w:rPr>
          <w:rFonts w:eastAsiaTheme="minorHAnsi"/>
          <w:lang w:val="en-AU"/>
        </w:rPr>
        <w:t xml:space="preserve">or </w:t>
      </w:r>
      <w:r w:rsidRPr="00AE29A6">
        <w:rPr>
          <w:rFonts w:eastAsiaTheme="minorHAnsi"/>
          <w:lang w:val="en-AU"/>
        </w:rPr>
        <w:t>severe hepatic impairment (Child-Pugh Class C)</w:t>
      </w:r>
      <w:r w:rsidR="00B37E29">
        <w:rPr>
          <w:rFonts w:eastAsiaTheme="minorHAnsi"/>
          <w:lang w:val="en-AU"/>
        </w:rPr>
        <w:t xml:space="preserve"> on apalutamide pharmacokinetics is unknown.</w:t>
      </w:r>
    </w:p>
    <w:p w14:paraId="02816A53" w14:textId="1EE3A4C0" w:rsidR="00581150" w:rsidRDefault="008450DE" w:rsidP="00F95E9C">
      <w:pPr>
        <w:pStyle w:val="Heading2"/>
      </w:pPr>
      <w:r>
        <w:lastRenderedPageBreak/>
        <w:t xml:space="preserve">5.3 </w:t>
      </w:r>
      <w:r w:rsidR="00C908A8">
        <w:t>Preclinical safety data</w:t>
      </w:r>
    </w:p>
    <w:p w14:paraId="04221B29" w14:textId="69D67352" w:rsidR="009C51AB" w:rsidRDefault="001D17FF" w:rsidP="001D17FF">
      <w:pPr>
        <w:pStyle w:val="Heading3"/>
      </w:pPr>
      <w:r>
        <w:t>Genotoxicity</w:t>
      </w:r>
    </w:p>
    <w:p w14:paraId="78D66A4F" w14:textId="300BFB24" w:rsidR="009C51AB" w:rsidRDefault="009C51AB" w:rsidP="009C51AB">
      <w:pPr>
        <w:rPr>
          <w:rFonts w:ascii="Arial" w:hAnsi="Arial"/>
          <w:sz w:val="21"/>
        </w:rPr>
      </w:pPr>
      <w:r w:rsidRPr="00AE29A6">
        <w:rPr>
          <w:rFonts w:ascii="Arial" w:hAnsi="Arial"/>
          <w:sz w:val="21"/>
        </w:rPr>
        <w:t xml:space="preserve">Apalutamide did not induce mutations in the bacterial reverse mutation (Ames) assay and was not genotoxic in either </w:t>
      </w:r>
      <w:r w:rsidRPr="002C2E80">
        <w:rPr>
          <w:rFonts w:ascii="Arial" w:hAnsi="Arial"/>
          <w:i/>
          <w:sz w:val="21"/>
        </w:rPr>
        <w:t>in vitro</w:t>
      </w:r>
      <w:r w:rsidRPr="00AE29A6">
        <w:rPr>
          <w:rFonts w:ascii="Arial" w:hAnsi="Arial"/>
          <w:sz w:val="21"/>
        </w:rPr>
        <w:t xml:space="preserve"> chromosome aberration test</w:t>
      </w:r>
      <w:r>
        <w:rPr>
          <w:rFonts w:ascii="Arial" w:hAnsi="Arial"/>
          <w:sz w:val="21"/>
        </w:rPr>
        <w:t xml:space="preserve"> </w:t>
      </w:r>
      <w:r w:rsidRPr="00BC3847">
        <w:rPr>
          <w:rFonts w:ascii="Arial" w:hAnsi="Arial"/>
          <w:sz w:val="21"/>
        </w:rPr>
        <w:t>in human lymphocytes</w:t>
      </w:r>
      <w:r w:rsidRPr="00AE29A6">
        <w:rPr>
          <w:rFonts w:ascii="Arial" w:hAnsi="Arial"/>
          <w:sz w:val="21"/>
        </w:rPr>
        <w:t xml:space="preserve">, the </w:t>
      </w:r>
      <w:r w:rsidRPr="002C2E80">
        <w:rPr>
          <w:rFonts w:ascii="Arial" w:hAnsi="Arial"/>
          <w:i/>
          <w:sz w:val="21"/>
        </w:rPr>
        <w:t>in vivo</w:t>
      </w:r>
      <w:r w:rsidRPr="00AE29A6">
        <w:rPr>
          <w:rFonts w:ascii="Arial" w:hAnsi="Arial"/>
          <w:sz w:val="21"/>
        </w:rPr>
        <w:t xml:space="preserve"> rat micronucleus assay or the </w:t>
      </w:r>
      <w:r w:rsidRPr="00025768">
        <w:rPr>
          <w:rFonts w:ascii="Arial" w:hAnsi="Arial"/>
          <w:i/>
          <w:sz w:val="21"/>
        </w:rPr>
        <w:t>in vivo</w:t>
      </w:r>
      <w:r w:rsidRPr="00AE29A6">
        <w:rPr>
          <w:rFonts w:ascii="Arial" w:hAnsi="Arial"/>
          <w:sz w:val="21"/>
        </w:rPr>
        <w:t xml:space="preserve"> rat Comet assay.</w:t>
      </w:r>
    </w:p>
    <w:p w14:paraId="7635AD77" w14:textId="6954B5BD" w:rsidR="00C908A8" w:rsidRDefault="009C51AB" w:rsidP="001D17FF">
      <w:pPr>
        <w:pStyle w:val="Heading3"/>
      </w:pPr>
      <w:r>
        <w:t>C</w:t>
      </w:r>
      <w:r w:rsidR="00C908A8">
        <w:t>arcinogenicity</w:t>
      </w:r>
      <w:r w:rsidR="00AE29A6">
        <w:t xml:space="preserve"> </w:t>
      </w:r>
    </w:p>
    <w:p w14:paraId="41F19BC0" w14:textId="2FA1441A" w:rsidR="00AE29A6" w:rsidRDefault="00AE29A6" w:rsidP="00AE29A6">
      <w:pPr>
        <w:rPr>
          <w:rFonts w:ascii="Arial" w:hAnsi="Arial"/>
          <w:sz w:val="21"/>
        </w:rPr>
      </w:pPr>
      <w:r w:rsidRPr="00AE29A6">
        <w:rPr>
          <w:rFonts w:ascii="Arial" w:hAnsi="Arial"/>
          <w:sz w:val="21"/>
        </w:rPr>
        <w:t>Long-term animal studies have not been conducted to evaluate the carcinogenic potential of apalutamide.</w:t>
      </w:r>
    </w:p>
    <w:p w14:paraId="2AFA1C6E" w14:textId="504DD4C8" w:rsidR="00242B21" w:rsidRDefault="00075DCF" w:rsidP="00075DCF">
      <w:pPr>
        <w:pStyle w:val="Heading1"/>
      </w:pPr>
      <w:r>
        <w:t xml:space="preserve">6. </w:t>
      </w:r>
      <w:r w:rsidR="00EE798E">
        <w:t>PHARMACEUTICAL PARTICULARS</w:t>
      </w:r>
    </w:p>
    <w:p w14:paraId="79FC049E" w14:textId="36B2ADD9" w:rsidR="00B922A1" w:rsidRDefault="008450DE" w:rsidP="00F95E9C">
      <w:pPr>
        <w:pStyle w:val="Heading2"/>
      </w:pPr>
      <w:bookmarkStart w:id="7" w:name="_Ref471294890"/>
      <w:r>
        <w:t xml:space="preserve">6.1 </w:t>
      </w:r>
      <w:r w:rsidR="00B922A1">
        <w:t>List of excipients</w:t>
      </w:r>
      <w:bookmarkEnd w:id="7"/>
    </w:p>
    <w:p w14:paraId="78690169" w14:textId="77777777" w:rsidR="0024428E" w:rsidRPr="0024428E" w:rsidRDefault="0024428E" w:rsidP="0024428E">
      <w:pPr>
        <w:pStyle w:val="Heading3"/>
        <w:rPr>
          <w:rFonts w:eastAsiaTheme="minorHAnsi"/>
          <w:sz w:val="21"/>
        </w:rPr>
      </w:pPr>
      <w:r w:rsidRPr="0024428E">
        <w:rPr>
          <w:rFonts w:eastAsiaTheme="minorHAnsi"/>
          <w:sz w:val="21"/>
        </w:rPr>
        <w:t>Tablet core</w:t>
      </w:r>
    </w:p>
    <w:p w14:paraId="6A54A9FB" w14:textId="136DD8DF" w:rsidR="0024428E" w:rsidRPr="0024428E" w:rsidRDefault="0024428E" w:rsidP="0024428E">
      <w:pPr>
        <w:pStyle w:val="BodyText"/>
        <w:jc w:val="left"/>
        <w:rPr>
          <w:rFonts w:eastAsiaTheme="minorHAnsi"/>
          <w:lang w:val="en-AU"/>
        </w:rPr>
      </w:pPr>
      <w:r w:rsidRPr="0024428E">
        <w:rPr>
          <w:rFonts w:eastAsiaTheme="minorHAnsi"/>
          <w:lang w:val="en-AU"/>
        </w:rPr>
        <w:t>Colloidal anhydrous silica</w:t>
      </w:r>
      <w:r>
        <w:rPr>
          <w:rFonts w:eastAsiaTheme="minorHAnsi"/>
          <w:lang w:val="en-AU"/>
        </w:rPr>
        <w:br/>
      </w:r>
      <w:r w:rsidRPr="0024428E">
        <w:rPr>
          <w:rFonts w:eastAsiaTheme="minorHAnsi"/>
          <w:lang w:val="en-AU"/>
        </w:rPr>
        <w:t>Croscarmellose sodium</w:t>
      </w:r>
      <w:r>
        <w:rPr>
          <w:rFonts w:eastAsiaTheme="minorHAnsi"/>
          <w:lang w:val="en-AU"/>
        </w:rPr>
        <w:br/>
      </w:r>
      <w:r w:rsidR="00E72ACC">
        <w:rPr>
          <w:rFonts w:eastAsiaTheme="minorHAnsi"/>
          <w:lang w:val="en-AU"/>
        </w:rPr>
        <w:t>Hypromellose acetate succinate</w:t>
      </w:r>
      <w:r>
        <w:rPr>
          <w:rFonts w:eastAsiaTheme="minorHAnsi"/>
          <w:lang w:val="en-AU"/>
        </w:rPr>
        <w:br/>
      </w:r>
      <w:r w:rsidRPr="0024428E">
        <w:rPr>
          <w:rFonts w:eastAsiaTheme="minorHAnsi"/>
          <w:lang w:val="en-AU"/>
        </w:rPr>
        <w:t>Magnesium stearate</w:t>
      </w:r>
      <w:r>
        <w:rPr>
          <w:rFonts w:eastAsiaTheme="minorHAnsi"/>
          <w:lang w:val="en-AU"/>
        </w:rPr>
        <w:br/>
        <w:t>Microcrystalline cellulose</w:t>
      </w:r>
      <w:r>
        <w:rPr>
          <w:rFonts w:eastAsiaTheme="minorHAnsi"/>
          <w:lang w:val="en-AU"/>
        </w:rPr>
        <w:br/>
      </w:r>
      <w:r w:rsidR="00E72ACC">
        <w:rPr>
          <w:rFonts w:eastAsiaTheme="minorHAnsi"/>
          <w:lang w:val="en-AU"/>
        </w:rPr>
        <w:t>S</w:t>
      </w:r>
      <w:r w:rsidR="00E72ACC" w:rsidRPr="00E72ACC">
        <w:rPr>
          <w:rFonts w:eastAsiaTheme="minorHAnsi"/>
          <w:lang w:val="en-AU"/>
        </w:rPr>
        <w:t>ilicified microcrystalline cellulose</w:t>
      </w:r>
      <w:r w:rsidR="00E72ACC" w:rsidRPr="00E72ACC">
        <w:rPr>
          <w:rFonts w:eastAsiaTheme="minorHAnsi"/>
          <w:lang w:val="en-AU"/>
        </w:rPr>
        <w:cr/>
      </w:r>
    </w:p>
    <w:p w14:paraId="1232F6D9" w14:textId="77777777" w:rsidR="0024428E" w:rsidRPr="0024428E" w:rsidRDefault="0024428E" w:rsidP="0024428E">
      <w:pPr>
        <w:pStyle w:val="Heading3"/>
        <w:rPr>
          <w:rFonts w:eastAsiaTheme="minorHAnsi"/>
          <w:sz w:val="21"/>
        </w:rPr>
      </w:pPr>
      <w:r w:rsidRPr="0024428E">
        <w:rPr>
          <w:rFonts w:eastAsiaTheme="minorHAnsi"/>
          <w:sz w:val="21"/>
        </w:rPr>
        <w:t>Film</w:t>
      </w:r>
      <w:r w:rsidRPr="0024428E">
        <w:rPr>
          <w:rFonts w:eastAsiaTheme="minorHAnsi"/>
          <w:sz w:val="21"/>
        </w:rPr>
        <w:noBreakHyphen/>
        <w:t>coat</w:t>
      </w:r>
    </w:p>
    <w:p w14:paraId="01A9691E" w14:textId="77777777" w:rsidR="00196C9C" w:rsidRDefault="00B26410" w:rsidP="0024428E">
      <w:pPr>
        <w:pStyle w:val="BodyText"/>
        <w:jc w:val="left"/>
        <w:rPr>
          <w:rFonts w:eastAsiaTheme="minorHAnsi"/>
          <w:lang w:val="en-AU"/>
        </w:rPr>
      </w:pPr>
      <w:proofErr w:type="spellStart"/>
      <w:r w:rsidRPr="00B26410">
        <w:rPr>
          <w:rFonts w:eastAsiaTheme="minorHAnsi"/>
          <w:lang w:val="en-AU"/>
        </w:rPr>
        <w:t>Opadry</w:t>
      </w:r>
      <w:proofErr w:type="spellEnd"/>
      <w:r w:rsidRPr="00D47FF4">
        <w:rPr>
          <w:rFonts w:eastAsiaTheme="minorHAnsi"/>
          <w:vertAlign w:val="superscript"/>
          <w:lang w:val="en-AU"/>
        </w:rPr>
        <w:t>®</w:t>
      </w:r>
      <w:r w:rsidRPr="00B26410">
        <w:rPr>
          <w:rFonts w:eastAsiaTheme="minorHAnsi"/>
          <w:lang w:val="en-AU"/>
        </w:rPr>
        <w:t xml:space="preserve"> II 85F210036 Green</w:t>
      </w:r>
    </w:p>
    <w:p w14:paraId="5A8EC95B" w14:textId="683003DB" w:rsidR="00B922A1" w:rsidRDefault="008450DE" w:rsidP="00F95E9C">
      <w:pPr>
        <w:pStyle w:val="Heading2"/>
      </w:pPr>
      <w:r>
        <w:t xml:space="preserve">6.2 </w:t>
      </w:r>
      <w:r w:rsidR="00B922A1">
        <w:t>Incompatibilities</w:t>
      </w:r>
    </w:p>
    <w:p w14:paraId="120D0D95" w14:textId="05FB0AA9" w:rsidR="00932263" w:rsidRDefault="00AE29A6" w:rsidP="00932263">
      <w:pPr>
        <w:pStyle w:val="BodyText1"/>
      </w:pPr>
      <w:r>
        <w:t>Not applicable.</w:t>
      </w:r>
    </w:p>
    <w:p w14:paraId="6E3DF974" w14:textId="5DCDE474" w:rsidR="00B922A1" w:rsidRDefault="008450DE" w:rsidP="00F95E9C">
      <w:pPr>
        <w:pStyle w:val="Heading2"/>
      </w:pPr>
      <w:bookmarkStart w:id="8" w:name="_Ref471299094"/>
      <w:r>
        <w:t xml:space="preserve">6.3 </w:t>
      </w:r>
      <w:r w:rsidR="00D124B9">
        <w:t>Shelf Life</w:t>
      </w:r>
      <w:bookmarkEnd w:id="8"/>
    </w:p>
    <w:p w14:paraId="4C5A8CDD" w14:textId="6C636E85" w:rsidR="00D124B9" w:rsidRDefault="00721F58" w:rsidP="00721F58">
      <w:pPr>
        <w:pStyle w:val="BodyText1"/>
      </w:pPr>
      <w:r>
        <w:t>In Australia, information on the shelf life can be found on the public summary of the Australian Register of Therapeutic Goods (ARTG). The expiry date can be found on the packaging.</w:t>
      </w:r>
    </w:p>
    <w:p w14:paraId="0906DF4A" w14:textId="7AA1F101" w:rsidR="00D124B9" w:rsidRDefault="008450DE" w:rsidP="00F95E9C">
      <w:pPr>
        <w:pStyle w:val="Heading2"/>
      </w:pPr>
      <w:r>
        <w:t xml:space="preserve">6.4 </w:t>
      </w:r>
      <w:r w:rsidR="00D124B9">
        <w:t>Special precautions for storage</w:t>
      </w:r>
    </w:p>
    <w:p w14:paraId="7033C230" w14:textId="62AD693F" w:rsidR="00D124B9" w:rsidRPr="0024428E" w:rsidRDefault="00D124B9" w:rsidP="0024428E">
      <w:pPr>
        <w:pStyle w:val="BodyText"/>
        <w:rPr>
          <w:rFonts w:eastAsiaTheme="minorHAnsi"/>
          <w:lang w:val="en-AU"/>
        </w:rPr>
      </w:pPr>
      <w:r w:rsidRPr="0024428E">
        <w:rPr>
          <w:rFonts w:eastAsiaTheme="minorHAnsi"/>
          <w:lang w:val="en-AU"/>
        </w:rPr>
        <w:t xml:space="preserve">Store below </w:t>
      </w:r>
      <w:r w:rsidR="00580C09">
        <w:rPr>
          <w:rFonts w:eastAsiaTheme="minorHAnsi"/>
          <w:lang w:val="en-AU"/>
        </w:rPr>
        <w:t>30</w:t>
      </w:r>
      <w:r w:rsidRPr="0024428E">
        <w:rPr>
          <w:rFonts w:eastAsiaTheme="minorHAnsi"/>
          <w:lang w:val="en-AU"/>
        </w:rPr>
        <w:t xml:space="preserve">°C. </w:t>
      </w:r>
      <w:r w:rsidR="0024428E" w:rsidRPr="0024428E">
        <w:rPr>
          <w:rFonts w:eastAsiaTheme="minorHAnsi"/>
          <w:lang w:val="en-AU"/>
        </w:rPr>
        <w:t xml:space="preserve">Keep out of the sight and reach of children. </w:t>
      </w:r>
      <w:r w:rsidRPr="001620A0">
        <w:rPr>
          <w:rFonts w:eastAsiaTheme="minorHAnsi"/>
          <w:lang w:val="en-AU"/>
        </w:rPr>
        <w:t>Protect from light and moisture.</w:t>
      </w:r>
    </w:p>
    <w:p w14:paraId="02EA0A5F" w14:textId="7A4D11B8" w:rsidR="002C465B" w:rsidRDefault="008450DE" w:rsidP="00F95E9C">
      <w:pPr>
        <w:pStyle w:val="Heading2"/>
      </w:pPr>
      <w:r>
        <w:t xml:space="preserve">6.5 </w:t>
      </w:r>
      <w:r w:rsidR="002C465B">
        <w:t>Nature and contents of container</w:t>
      </w:r>
    </w:p>
    <w:p w14:paraId="0DC6E384" w14:textId="4574DDA0" w:rsidR="0024428E" w:rsidRPr="0024428E" w:rsidRDefault="0038517B" w:rsidP="0024428E">
      <w:pPr>
        <w:pStyle w:val="BodyText"/>
        <w:rPr>
          <w:rFonts w:eastAsiaTheme="minorHAnsi"/>
          <w:lang w:val="en-AU"/>
        </w:rPr>
      </w:pPr>
      <w:r>
        <w:rPr>
          <w:rFonts w:eastAsiaTheme="minorHAnsi"/>
          <w:lang w:val="en-AU"/>
        </w:rPr>
        <w:t>ERLYAND</w:t>
      </w:r>
      <w:r w:rsidR="0024428E" w:rsidRPr="0024428E">
        <w:rPr>
          <w:rFonts w:eastAsiaTheme="minorHAnsi"/>
          <w:lang w:val="en-AU"/>
        </w:rPr>
        <w:t xml:space="preserve"> is available in opaque, high-density polyethylene bottles with child-resistant polypropylene closure and induction seal liner. Each bottle contains 120 tablets and a desiccant. </w:t>
      </w:r>
    </w:p>
    <w:p w14:paraId="64F0E108" w14:textId="76004552" w:rsidR="00E74795" w:rsidRDefault="008450DE" w:rsidP="00F95E9C">
      <w:pPr>
        <w:pStyle w:val="Heading2"/>
      </w:pPr>
      <w:bookmarkStart w:id="9" w:name="_Ref471299056"/>
      <w:r>
        <w:t xml:space="preserve">6.6 </w:t>
      </w:r>
      <w:r w:rsidR="00E74795">
        <w:t xml:space="preserve">Special precautions for disposal </w:t>
      </w:r>
      <w:bookmarkEnd w:id="9"/>
    </w:p>
    <w:p w14:paraId="3BDDFE43" w14:textId="6CA5B1CF" w:rsidR="00E74795" w:rsidRDefault="00F46BC9" w:rsidP="00F46BC9">
      <w:pPr>
        <w:pStyle w:val="BodyText1"/>
        <w:rPr>
          <w:lang w:val="en-US"/>
        </w:rPr>
      </w:pPr>
      <w:r w:rsidRPr="00F46BC9">
        <w:rPr>
          <w:lang w:val="en-US"/>
        </w:rPr>
        <w:t>In Australia, any unused medicine or waste</w:t>
      </w:r>
      <w:r>
        <w:rPr>
          <w:lang w:val="en-US"/>
        </w:rPr>
        <w:t xml:space="preserve"> material should be disposed of </w:t>
      </w:r>
      <w:r w:rsidRPr="00F46BC9">
        <w:rPr>
          <w:lang w:val="en-US"/>
        </w:rPr>
        <w:t>by taking to your local pharmacy.</w:t>
      </w:r>
      <w:r w:rsidR="001D17FF" w:rsidRPr="001D17FF">
        <w:rPr>
          <w:lang w:val="en-US"/>
        </w:rPr>
        <w:t xml:space="preserve"> </w:t>
      </w:r>
    </w:p>
    <w:p w14:paraId="1A97E4E7" w14:textId="77777777" w:rsidR="001D17FF" w:rsidRDefault="001D17FF" w:rsidP="001D17FF">
      <w:pPr>
        <w:pStyle w:val="Heading2"/>
      </w:pPr>
      <w:r>
        <w:lastRenderedPageBreak/>
        <w:t>6.7 Physicochemical properties</w:t>
      </w:r>
    </w:p>
    <w:p w14:paraId="1C0C6D1F" w14:textId="41A36EAD" w:rsidR="0045727C" w:rsidRDefault="001D17FF" w:rsidP="001B5180">
      <w:pPr>
        <w:pStyle w:val="Heading3"/>
      </w:pPr>
      <w:r w:rsidRPr="001B5180">
        <w:t>Chemical structure</w:t>
      </w:r>
      <w:r w:rsidRPr="001A3390">
        <w:t xml:space="preserve"> </w:t>
      </w:r>
    </w:p>
    <w:p w14:paraId="503528EA" w14:textId="3996607D" w:rsidR="001D17FF" w:rsidRDefault="001D17FF" w:rsidP="001D17FF">
      <w:pPr>
        <w:pStyle w:val="BodyText1"/>
        <w:tabs>
          <w:tab w:val="left" w:pos="2268"/>
        </w:tabs>
      </w:pPr>
      <w:r>
        <w:tab/>
      </w:r>
      <w:r w:rsidR="00F9630D">
        <w:rPr>
          <w:noProof/>
          <w:lang w:eastAsia="en-AU"/>
        </w:rPr>
        <w:drawing>
          <wp:inline distT="0" distB="0" distL="0" distR="0" wp14:anchorId="629F1A08" wp14:editId="0C21B26C">
            <wp:extent cx="2541270" cy="1334168"/>
            <wp:effectExtent l="0" t="0" r="0" b="0"/>
            <wp:docPr id="6" name="Picture 6"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2797" cy="1355970"/>
                    </a:xfrm>
                    <a:prstGeom prst="rect">
                      <a:avLst/>
                    </a:prstGeom>
                    <a:noFill/>
                    <a:ln>
                      <a:noFill/>
                    </a:ln>
                  </pic:spPr>
                </pic:pic>
              </a:graphicData>
            </a:graphic>
          </wp:inline>
        </w:drawing>
      </w:r>
    </w:p>
    <w:p w14:paraId="59006BE2" w14:textId="77777777" w:rsidR="001B5180" w:rsidRPr="001A3390" w:rsidRDefault="001B5180" w:rsidP="001D17FF">
      <w:pPr>
        <w:pStyle w:val="BodyText1"/>
        <w:tabs>
          <w:tab w:val="left" w:pos="2268"/>
        </w:tabs>
      </w:pPr>
    </w:p>
    <w:p w14:paraId="199CE254" w14:textId="7FD1F746" w:rsidR="001B5180" w:rsidRDefault="001D17FF" w:rsidP="001B5180">
      <w:pPr>
        <w:pStyle w:val="Heading3"/>
      </w:pPr>
      <w:r w:rsidRPr="001B5180">
        <w:rPr>
          <w:rFonts w:eastAsiaTheme="minorHAnsi"/>
        </w:rPr>
        <w:t>CAS</w:t>
      </w:r>
      <w:r w:rsidR="00F73CBE" w:rsidRPr="001B5180">
        <w:rPr>
          <w:rFonts w:eastAsiaTheme="minorHAnsi"/>
        </w:rPr>
        <w:t xml:space="preserve"> </w:t>
      </w:r>
      <w:r w:rsidR="00F73CBE" w:rsidRPr="001B5180">
        <w:rPr>
          <w:rStyle w:val="Heading3Char"/>
          <w:rFonts w:eastAsiaTheme="minorHAnsi"/>
          <w:b/>
        </w:rPr>
        <w:t>number</w:t>
      </w:r>
      <w:r w:rsidRPr="001A3390">
        <w:t xml:space="preserve"> </w:t>
      </w:r>
    </w:p>
    <w:p w14:paraId="44D18C60" w14:textId="678FFAFE" w:rsidR="001D17FF" w:rsidRPr="000D735B" w:rsidRDefault="0045727C" w:rsidP="001D17FF">
      <w:pPr>
        <w:pStyle w:val="BodyText1"/>
        <w:tabs>
          <w:tab w:val="left" w:pos="2268"/>
        </w:tabs>
        <w:rPr>
          <w:rFonts w:cs="Arial"/>
          <w:shd w:val="clear" w:color="auto" w:fill="FFFFFF"/>
        </w:rPr>
      </w:pPr>
      <w:r w:rsidRPr="000D735B">
        <w:rPr>
          <w:rFonts w:cs="Arial"/>
          <w:shd w:val="clear" w:color="auto" w:fill="FFFFFF"/>
        </w:rPr>
        <w:t>956104-40-8</w:t>
      </w:r>
    </w:p>
    <w:p w14:paraId="10910472" w14:textId="03BC9463" w:rsidR="00CB118C" w:rsidRPr="001D17FF" w:rsidRDefault="00CB118C" w:rsidP="00D47FF4">
      <w:pPr>
        <w:pStyle w:val="BodyText1"/>
        <w:tabs>
          <w:tab w:val="left" w:pos="2268"/>
        </w:tabs>
      </w:pPr>
      <w:r w:rsidRPr="00CB118C">
        <w:t>The drug substance has a dissociation constant pKa of 9.7 (acidic carboxamide moiety</w:t>
      </w:r>
      <w:r w:rsidR="007F32A1">
        <w:t xml:space="preserve">) and </w:t>
      </w:r>
      <w:r w:rsidR="007F32A1" w:rsidRPr="007F32A1">
        <w:t>is practically insoluble in aqueous media over a wide range of pH values</w:t>
      </w:r>
      <w:r w:rsidR="00F971E7" w:rsidRPr="00F971E7">
        <w:t xml:space="preserve"> and practically insoluble to very soluble in organic solvents</w:t>
      </w:r>
      <w:r w:rsidR="007F32A1">
        <w:t xml:space="preserve">.  The </w:t>
      </w:r>
      <w:r w:rsidR="003C0F23">
        <w:t>L</w:t>
      </w:r>
      <w:r w:rsidR="007F32A1" w:rsidRPr="007F32A1">
        <w:t xml:space="preserve">og P </w:t>
      </w:r>
      <w:r w:rsidR="00F971E7" w:rsidRPr="00F971E7">
        <w:t xml:space="preserve">at 20°C </w:t>
      </w:r>
      <w:r w:rsidR="007F32A1" w:rsidRPr="007F32A1">
        <w:t>between 1</w:t>
      </w:r>
      <w:r w:rsidR="007F32A1">
        <w:noBreakHyphen/>
      </w:r>
      <w:r w:rsidR="007F32A1" w:rsidRPr="007F32A1">
        <w:t>octanol and a</w:t>
      </w:r>
      <w:r w:rsidR="00F971E7">
        <w:t>n</w:t>
      </w:r>
      <w:r w:rsidR="007F32A1" w:rsidRPr="007F32A1">
        <w:t xml:space="preserve"> </w:t>
      </w:r>
      <w:r w:rsidR="00F971E7" w:rsidRPr="00F971E7">
        <w:t>aqueous buffered</w:t>
      </w:r>
      <w:r w:rsidR="007F32A1" w:rsidRPr="007F32A1">
        <w:t xml:space="preserve"> solution (pH 7.0) is </w:t>
      </w:r>
      <w:r w:rsidR="007F32A1">
        <w:t xml:space="preserve">2.89.  </w:t>
      </w:r>
      <w:r w:rsidR="00F971E7" w:rsidRPr="00F971E7">
        <w:t>The Log D at 20°C between 1-octanol and aqueous buffered solutions (pH 1.0, 4.0 and 7.0) is 2.86, 2.80 and 2.89 respectively.</w:t>
      </w:r>
      <w:r w:rsidR="00F971E7">
        <w:t xml:space="preserve">  </w:t>
      </w:r>
      <w:r w:rsidR="00D47FF4">
        <w:t>Molecular formula: C</w:t>
      </w:r>
      <w:r w:rsidR="00D47FF4" w:rsidRPr="00D47FF4">
        <w:rPr>
          <w:vertAlign w:val="subscript"/>
        </w:rPr>
        <w:t>21</w:t>
      </w:r>
      <w:r w:rsidR="00D47FF4">
        <w:t>H</w:t>
      </w:r>
      <w:r w:rsidR="00D47FF4" w:rsidRPr="00D47FF4">
        <w:rPr>
          <w:vertAlign w:val="subscript"/>
        </w:rPr>
        <w:t>15</w:t>
      </w:r>
      <w:r w:rsidR="00D47FF4">
        <w:t>F</w:t>
      </w:r>
      <w:r w:rsidR="00D47FF4" w:rsidRPr="00D47FF4">
        <w:rPr>
          <w:vertAlign w:val="subscript"/>
        </w:rPr>
        <w:t>4</w:t>
      </w:r>
      <w:r w:rsidR="00D47FF4">
        <w:t>N</w:t>
      </w:r>
      <w:r w:rsidR="00D47FF4" w:rsidRPr="00D47FF4">
        <w:rPr>
          <w:vertAlign w:val="subscript"/>
        </w:rPr>
        <w:t>5</w:t>
      </w:r>
      <w:r w:rsidR="00D47FF4">
        <w:t>O</w:t>
      </w:r>
      <w:r w:rsidR="00D47FF4" w:rsidRPr="00D47FF4">
        <w:rPr>
          <w:vertAlign w:val="subscript"/>
        </w:rPr>
        <w:t>2</w:t>
      </w:r>
      <w:r w:rsidR="00D47FF4">
        <w:t xml:space="preserve">S.  Molecular weight: 477.43.  </w:t>
      </w:r>
    </w:p>
    <w:p w14:paraId="58217C41" w14:textId="762D9EC3" w:rsidR="00242B21" w:rsidRDefault="00075DCF" w:rsidP="00075DCF">
      <w:pPr>
        <w:pStyle w:val="Heading1"/>
      </w:pPr>
      <w:r>
        <w:t xml:space="preserve">7. </w:t>
      </w:r>
      <w:r w:rsidR="00EE798E">
        <w:t>MEDICINE SCHEDULE</w:t>
      </w:r>
      <w:r w:rsidR="001D17FF">
        <w:t xml:space="preserve"> (POISON</w:t>
      </w:r>
      <w:r w:rsidR="00D56828">
        <w:t>S</w:t>
      </w:r>
      <w:r w:rsidR="001D17FF">
        <w:t xml:space="preserve"> STANDARD)</w:t>
      </w:r>
    </w:p>
    <w:p w14:paraId="70D3293F" w14:textId="77777777" w:rsidR="0024428E" w:rsidRPr="0024428E" w:rsidRDefault="0024428E" w:rsidP="0024428E">
      <w:pPr>
        <w:pStyle w:val="BodyText1"/>
        <w:tabs>
          <w:tab w:val="left" w:pos="2268"/>
        </w:tabs>
      </w:pPr>
      <w:r w:rsidRPr="0024428E">
        <w:t>Prescription Only Medicine</w:t>
      </w:r>
    </w:p>
    <w:p w14:paraId="5AC5C7C0" w14:textId="12EF3CB7" w:rsidR="001D17FF" w:rsidRDefault="001D17FF" w:rsidP="001D17FF">
      <w:pPr>
        <w:pStyle w:val="Heading1"/>
      </w:pPr>
      <w:r>
        <w:t>8. Sponsor</w:t>
      </w:r>
    </w:p>
    <w:p w14:paraId="70008CAF" w14:textId="77777777" w:rsidR="0024428E" w:rsidRPr="0024428E" w:rsidRDefault="0024428E" w:rsidP="0024428E">
      <w:pPr>
        <w:autoSpaceDE w:val="0"/>
        <w:autoSpaceDN w:val="0"/>
        <w:adjustRightInd w:val="0"/>
        <w:rPr>
          <w:rFonts w:ascii="Arial" w:hAnsi="Arial"/>
          <w:sz w:val="21"/>
        </w:rPr>
      </w:pPr>
      <w:r w:rsidRPr="0024428E">
        <w:rPr>
          <w:rFonts w:ascii="Arial" w:hAnsi="Arial"/>
          <w:sz w:val="21"/>
        </w:rPr>
        <w:t>JANSSEN-CILAG Pty Ltd</w:t>
      </w:r>
    </w:p>
    <w:p w14:paraId="4DDC3FD7" w14:textId="5D4D30C1" w:rsidR="0024428E" w:rsidRDefault="0024428E" w:rsidP="0024428E">
      <w:pPr>
        <w:autoSpaceDE w:val="0"/>
        <w:autoSpaceDN w:val="0"/>
        <w:adjustRightInd w:val="0"/>
        <w:rPr>
          <w:rFonts w:ascii="Arial" w:hAnsi="Arial"/>
          <w:sz w:val="21"/>
        </w:rPr>
      </w:pPr>
      <w:r w:rsidRPr="0024428E">
        <w:rPr>
          <w:rFonts w:ascii="Arial" w:hAnsi="Arial"/>
          <w:sz w:val="21"/>
        </w:rPr>
        <w:t>1-5 Khartoum Rd Ma</w:t>
      </w:r>
      <w:r>
        <w:rPr>
          <w:rFonts w:ascii="Arial" w:hAnsi="Arial"/>
          <w:sz w:val="21"/>
        </w:rPr>
        <w:t>cquarie Park NSW 2113 Australia</w:t>
      </w:r>
    </w:p>
    <w:p w14:paraId="75544E9A" w14:textId="76B4C773" w:rsidR="001B5776" w:rsidRDefault="001B5776" w:rsidP="0024428E">
      <w:pPr>
        <w:autoSpaceDE w:val="0"/>
        <w:autoSpaceDN w:val="0"/>
        <w:adjustRightInd w:val="0"/>
        <w:rPr>
          <w:rFonts w:ascii="Arial" w:hAnsi="Arial"/>
          <w:sz w:val="21"/>
        </w:rPr>
      </w:pPr>
      <w:bookmarkStart w:id="10" w:name="_Hlk517108212"/>
      <w:r w:rsidRPr="001B5776">
        <w:rPr>
          <w:rFonts w:ascii="Arial" w:hAnsi="Arial"/>
          <w:sz w:val="21"/>
        </w:rPr>
        <w:t>Telephone: 1800 226 334</w:t>
      </w:r>
    </w:p>
    <w:bookmarkEnd w:id="10"/>
    <w:p w14:paraId="495C0CA7" w14:textId="77777777" w:rsidR="00E3491A" w:rsidRDefault="00E3491A" w:rsidP="0024428E">
      <w:pPr>
        <w:autoSpaceDE w:val="0"/>
        <w:autoSpaceDN w:val="0"/>
        <w:adjustRightInd w:val="0"/>
        <w:rPr>
          <w:rFonts w:ascii="Arial" w:hAnsi="Arial"/>
          <w:sz w:val="21"/>
        </w:rPr>
      </w:pPr>
    </w:p>
    <w:p w14:paraId="189B9E17" w14:textId="28AE9D7B" w:rsidR="0024428E" w:rsidRPr="0024428E" w:rsidRDefault="0024428E" w:rsidP="0024428E">
      <w:pPr>
        <w:autoSpaceDE w:val="0"/>
        <w:autoSpaceDN w:val="0"/>
        <w:adjustRightInd w:val="0"/>
        <w:rPr>
          <w:rFonts w:ascii="Arial" w:hAnsi="Arial"/>
          <w:sz w:val="21"/>
        </w:rPr>
      </w:pPr>
      <w:r w:rsidRPr="0024428E">
        <w:rPr>
          <w:rFonts w:ascii="Arial" w:hAnsi="Arial"/>
          <w:sz w:val="21"/>
        </w:rPr>
        <w:t>NZ Office: Auckland New Zealand</w:t>
      </w:r>
    </w:p>
    <w:p w14:paraId="689A99D4" w14:textId="6FE0A80B" w:rsidR="001D17FF" w:rsidRDefault="001D17FF" w:rsidP="0024428E">
      <w:pPr>
        <w:pStyle w:val="Heading1"/>
      </w:pPr>
      <w:r>
        <w:t>9. Date of First Approval (ARTG entry)</w:t>
      </w:r>
    </w:p>
    <w:p w14:paraId="0E0C42FE" w14:textId="2047DCEE" w:rsidR="001D17FF" w:rsidRDefault="00025B83" w:rsidP="001D17FF">
      <w:pPr>
        <w:pStyle w:val="BodyText1"/>
      </w:pPr>
      <w:r>
        <w:t>05 July 2018</w:t>
      </w:r>
    </w:p>
    <w:p w14:paraId="7BF67E70" w14:textId="77777777" w:rsidR="001D17FF" w:rsidRPr="004637A9" w:rsidRDefault="001D17FF" w:rsidP="001D17FF">
      <w:pPr>
        <w:pStyle w:val="BodyText1"/>
        <w:rPr>
          <w:sz w:val="2"/>
          <w:szCs w:val="2"/>
        </w:rPr>
      </w:pPr>
    </w:p>
    <w:p w14:paraId="28D88D74" w14:textId="77777777" w:rsidR="00162216" w:rsidRPr="00F45885" w:rsidRDefault="00162216" w:rsidP="00162216">
      <w:pPr>
        <w:pStyle w:val="BodyText1"/>
      </w:pPr>
    </w:p>
    <w:sectPr w:rsidR="00162216" w:rsidRPr="00F45885" w:rsidSect="00B4124F">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46406" w14:textId="77777777" w:rsidR="005F2A1A" w:rsidRDefault="005F2A1A" w:rsidP="004A6F6E">
      <w:r>
        <w:separator/>
      </w:r>
    </w:p>
    <w:p w14:paraId="405E1CA3" w14:textId="77777777" w:rsidR="005F2A1A" w:rsidRDefault="005F2A1A"/>
  </w:endnote>
  <w:endnote w:type="continuationSeparator" w:id="0">
    <w:p w14:paraId="66D68739" w14:textId="77777777" w:rsidR="005F2A1A" w:rsidRDefault="005F2A1A" w:rsidP="004A6F6E">
      <w:r>
        <w:continuationSeparator/>
      </w:r>
    </w:p>
    <w:p w14:paraId="4F0E8F04" w14:textId="77777777" w:rsidR="005F2A1A" w:rsidRDefault="005F2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CFCCC" w14:textId="26049BAB" w:rsidR="005F2A1A" w:rsidRPr="00C46E14" w:rsidRDefault="005F2A1A" w:rsidP="00B718AD">
    <w:pPr>
      <w:pStyle w:val="Footer"/>
    </w:pPr>
    <w:r w:rsidRPr="001806AE">
      <w:t>CCDS</w:t>
    </w:r>
    <w:r>
      <w:t>180511</w:t>
    </w:r>
    <w:r w:rsidRPr="00DB78A7">
      <w:tab/>
    </w:r>
    <w:r w:rsidRPr="00DB78A7">
      <w:fldChar w:fldCharType="begin"/>
    </w:r>
    <w:r w:rsidRPr="00DB78A7">
      <w:instrText xml:space="preserve"> PAGE </w:instrText>
    </w:r>
    <w:r w:rsidRPr="00DB78A7">
      <w:fldChar w:fldCharType="separate"/>
    </w:r>
    <w:r w:rsidR="004F366E">
      <w:rPr>
        <w:noProof/>
      </w:rPr>
      <w:t>2</w:t>
    </w:r>
    <w:r w:rsidRPr="00DB78A7">
      <w:fldChar w:fldCharType="end"/>
    </w:r>
    <w:r w:rsidRPr="00DB78A7">
      <w:tab/>
    </w:r>
    <w:r>
      <w:t xml:space="preserve">ERLYAND </w:t>
    </w:r>
    <w:r w:rsidRPr="00DB78A7">
      <w:t>(</w:t>
    </w:r>
    <w:r w:rsidRPr="001806AE">
      <w:t>18</w:t>
    </w:r>
    <w:r w:rsidR="00881B25">
      <w:t>0705) A</w:t>
    </w:r>
    <w:r>
      <w:t>PI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E94FC" w14:textId="3480E42C" w:rsidR="005F2A1A" w:rsidRPr="00B718AD" w:rsidRDefault="005F2A1A" w:rsidP="00B718AD">
    <w:pPr>
      <w:pStyle w:val="Footer"/>
    </w:pPr>
    <w:r w:rsidRPr="006D7C25">
      <w:t>CCDS</w:t>
    </w:r>
    <w:r>
      <w:t>180511</w:t>
    </w:r>
    <w:r w:rsidRPr="006D7C25">
      <w:tab/>
    </w:r>
    <w:r w:rsidRPr="006D7C25">
      <w:fldChar w:fldCharType="begin"/>
    </w:r>
    <w:r w:rsidRPr="006D7C25">
      <w:instrText xml:space="preserve"> PAGE </w:instrText>
    </w:r>
    <w:r w:rsidRPr="006D7C25">
      <w:fldChar w:fldCharType="separate"/>
    </w:r>
    <w:r w:rsidR="004F366E">
      <w:rPr>
        <w:noProof/>
      </w:rPr>
      <w:t>1</w:t>
    </w:r>
    <w:r w:rsidRPr="006D7C25">
      <w:fldChar w:fldCharType="end"/>
    </w:r>
    <w:r w:rsidRPr="006D7C25">
      <w:tab/>
    </w:r>
    <w:r>
      <w:t xml:space="preserve">ERLYAND </w:t>
    </w:r>
    <w:r w:rsidRPr="006D7C25">
      <w:t>(18</w:t>
    </w:r>
    <w:r>
      <w:t>0</w:t>
    </w:r>
    <w:r w:rsidR="00F03E1A">
      <w:t>705</w:t>
    </w:r>
    <w:r w:rsidRPr="006D7C25">
      <w:t>)</w:t>
    </w:r>
    <w:r>
      <w:t xml:space="preserve"> </w:t>
    </w:r>
    <w:r w:rsidR="00F03E1A">
      <w:t>A</w:t>
    </w:r>
    <w:r w:rsidRPr="006D7C25">
      <w:t>PI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C0DC9" w14:textId="77777777" w:rsidR="005F2A1A" w:rsidRDefault="005F2A1A" w:rsidP="004A6F6E">
      <w:r>
        <w:separator/>
      </w:r>
    </w:p>
    <w:p w14:paraId="4489CC02" w14:textId="77777777" w:rsidR="005F2A1A" w:rsidRDefault="005F2A1A"/>
  </w:footnote>
  <w:footnote w:type="continuationSeparator" w:id="0">
    <w:p w14:paraId="2362FA74" w14:textId="77777777" w:rsidR="005F2A1A" w:rsidRDefault="005F2A1A" w:rsidP="004A6F6E">
      <w:r>
        <w:continuationSeparator/>
      </w:r>
    </w:p>
    <w:p w14:paraId="272EEBAA" w14:textId="77777777" w:rsidR="005F2A1A" w:rsidRDefault="005F2A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F366E" w:rsidRPr="002E7F61" w14:paraId="602DE412" w14:textId="77777777" w:rsidTr="0060293D">
      <w:trPr>
        <w:trHeight w:val="590"/>
      </w:trPr>
      <w:tc>
        <w:tcPr>
          <w:tcW w:w="8720" w:type="dxa"/>
          <w:shd w:val="clear" w:color="auto" w:fill="E4F2E0"/>
        </w:tcPr>
        <w:p w14:paraId="3C388AB4" w14:textId="77777777" w:rsidR="004F366E" w:rsidRPr="002E7F61" w:rsidRDefault="004F366E" w:rsidP="0060293D">
          <w:pPr>
            <w:pStyle w:val="Footer"/>
            <w:rPr>
              <w:b/>
              <w:sz w:val="18"/>
              <w:szCs w:val="18"/>
            </w:rPr>
          </w:pPr>
          <w:r w:rsidRPr="002E7F61">
            <w:rPr>
              <w:b/>
              <w:sz w:val="18"/>
              <w:szCs w:val="18"/>
            </w:rPr>
            <w:t xml:space="preserve">Attachment 1: Product information </w:t>
          </w:r>
          <w:r w:rsidRPr="000A32C5">
            <w:rPr>
              <w:b/>
              <w:sz w:val="18"/>
              <w:szCs w:val="18"/>
            </w:rPr>
            <w:t xml:space="preserve">AusPAR </w:t>
          </w:r>
          <w:proofErr w:type="spellStart"/>
          <w:r w:rsidRPr="000A32C5">
            <w:rPr>
              <w:b/>
              <w:sz w:val="18"/>
              <w:szCs w:val="18"/>
            </w:rPr>
            <w:t>Erlyand</w:t>
          </w:r>
          <w:proofErr w:type="spellEnd"/>
          <w:r w:rsidRPr="000A32C5">
            <w:rPr>
              <w:b/>
              <w:sz w:val="18"/>
              <w:szCs w:val="18"/>
            </w:rPr>
            <w:t xml:space="preserve"> </w:t>
          </w:r>
          <w:proofErr w:type="spellStart"/>
          <w:r w:rsidRPr="000A32C5">
            <w:rPr>
              <w:b/>
              <w:sz w:val="18"/>
              <w:szCs w:val="18"/>
            </w:rPr>
            <w:t>Apalutamide</w:t>
          </w:r>
          <w:proofErr w:type="spellEnd"/>
          <w:r w:rsidRPr="000A32C5">
            <w:rPr>
              <w:b/>
              <w:sz w:val="18"/>
              <w:szCs w:val="18"/>
            </w:rPr>
            <w:t xml:space="preserve"> Janssen-</w:t>
          </w:r>
          <w:proofErr w:type="spellStart"/>
          <w:r w:rsidRPr="000A32C5">
            <w:rPr>
              <w:b/>
              <w:sz w:val="18"/>
              <w:szCs w:val="18"/>
            </w:rPr>
            <w:t>Cilag</w:t>
          </w:r>
          <w:proofErr w:type="spellEnd"/>
          <w:r w:rsidRPr="000A32C5">
            <w:rPr>
              <w:b/>
              <w:sz w:val="18"/>
              <w:szCs w:val="18"/>
            </w:rPr>
            <w:t xml:space="preserve"> Pty Ltd PM-2018-00489-1-4</w:t>
          </w:r>
          <w:r>
            <w:rPr>
              <w:b/>
              <w:sz w:val="18"/>
              <w:szCs w:val="18"/>
            </w:rPr>
            <w:t xml:space="preserve"> </w:t>
          </w:r>
          <w:r w:rsidRPr="000A32C5">
            <w:rPr>
              <w:b/>
              <w:sz w:val="18"/>
              <w:szCs w:val="18"/>
            </w:rPr>
            <w:t>Final 25 March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b/>
              <w:sz w:val="18"/>
              <w:szCs w:val="18"/>
              <w:u w:val="single"/>
            </w:rPr>
            <w:t>&gt;</w:t>
          </w:r>
        </w:p>
      </w:tc>
    </w:tr>
  </w:tbl>
  <w:p w14:paraId="513362D3" w14:textId="77777777" w:rsidR="005F2A1A" w:rsidRPr="004F366E" w:rsidRDefault="005F2A1A" w:rsidP="004F36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F366E" w:rsidRPr="002E7F61" w14:paraId="0CFA36BD" w14:textId="77777777" w:rsidTr="0060293D">
      <w:trPr>
        <w:trHeight w:val="590"/>
      </w:trPr>
      <w:tc>
        <w:tcPr>
          <w:tcW w:w="8720" w:type="dxa"/>
          <w:shd w:val="clear" w:color="auto" w:fill="E4F2E0"/>
        </w:tcPr>
        <w:p w14:paraId="60D6013C" w14:textId="77777777" w:rsidR="004F366E" w:rsidRPr="002E7F61" w:rsidRDefault="004F366E" w:rsidP="0060293D">
          <w:pPr>
            <w:pStyle w:val="Footer"/>
            <w:rPr>
              <w:b/>
              <w:sz w:val="18"/>
              <w:szCs w:val="18"/>
            </w:rPr>
          </w:pPr>
          <w:r w:rsidRPr="002E7F61">
            <w:rPr>
              <w:b/>
              <w:sz w:val="18"/>
              <w:szCs w:val="18"/>
            </w:rPr>
            <w:t xml:space="preserve">Attachment 1: Product information </w:t>
          </w:r>
          <w:r w:rsidRPr="000A32C5">
            <w:rPr>
              <w:b/>
              <w:sz w:val="18"/>
              <w:szCs w:val="18"/>
            </w:rPr>
            <w:t xml:space="preserve">AusPAR </w:t>
          </w:r>
          <w:proofErr w:type="spellStart"/>
          <w:r w:rsidRPr="000A32C5">
            <w:rPr>
              <w:b/>
              <w:sz w:val="18"/>
              <w:szCs w:val="18"/>
            </w:rPr>
            <w:t>Erlyand</w:t>
          </w:r>
          <w:proofErr w:type="spellEnd"/>
          <w:r w:rsidRPr="000A32C5">
            <w:rPr>
              <w:b/>
              <w:sz w:val="18"/>
              <w:szCs w:val="18"/>
            </w:rPr>
            <w:t xml:space="preserve"> </w:t>
          </w:r>
          <w:proofErr w:type="spellStart"/>
          <w:r w:rsidRPr="000A32C5">
            <w:rPr>
              <w:b/>
              <w:sz w:val="18"/>
              <w:szCs w:val="18"/>
            </w:rPr>
            <w:t>Apalutamide</w:t>
          </w:r>
          <w:proofErr w:type="spellEnd"/>
          <w:r w:rsidRPr="000A32C5">
            <w:rPr>
              <w:b/>
              <w:sz w:val="18"/>
              <w:szCs w:val="18"/>
            </w:rPr>
            <w:t xml:space="preserve"> Janssen-</w:t>
          </w:r>
          <w:proofErr w:type="spellStart"/>
          <w:r w:rsidRPr="000A32C5">
            <w:rPr>
              <w:b/>
              <w:sz w:val="18"/>
              <w:szCs w:val="18"/>
            </w:rPr>
            <w:t>Cilag</w:t>
          </w:r>
          <w:proofErr w:type="spellEnd"/>
          <w:r w:rsidRPr="000A32C5">
            <w:rPr>
              <w:b/>
              <w:sz w:val="18"/>
              <w:szCs w:val="18"/>
            </w:rPr>
            <w:t xml:space="preserve"> Pty Ltd PM-2018-00489-1-4</w:t>
          </w:r>
          <w:r>
            <w:rPr>
              <w:b/>
              <w:sz w:val="18"/>
              <w:szCs w:val="18"/>
            </w:rPr>
            <w:t xml:space="preserve"> </w:t>
          </w:r>
          <w:r w:rsidRPr="000A32C5">
            <w:rPr>
              <w:b/>
              <w:sz w:val="18"/>
              <w:szCs w:val="18"/>
            </w:rPr>
            <w:t>Final 25 March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b/>
              <w:sz w:val="18"/>
              <w:szCs w:val="18"/>
              <w:u w:val="single"/>
            </w:rPr>
            <w:t>&gt;</w:t>
          </w:r>
        </w:p>
      </w:tc>
    </w:tr>
  </w:tbl>
  <w:p w14:paraId="332A2D9F" w14:textId="0070DF00" w:rsidR="004F366E" w:rsidRPr="00B4124F" w:rsidRDefault="004F366E" w:rsidP="004F366E">
    <w:pPr>
      <w:pStyle w:val="Header"/>
    </w:pPr>
    <w:r w:rsidRPr="00D60E1D">
      <w:rPr>
        <w:noProof/>
        <w:lang w:eastAsia="en-AU"/>
      </w:rPr>
      <w:drawing>
        <wp:inline distT="0" distB="0" distL="0" distR="0" wp14:anchorId="0527C145" wp14:editId="612E255E">
          <wp:extent cx="1828800" cy="819150"/>
          <wp:effectExtent l="0" t="0" r="0" b="0"/>
          <wp:docPr id="9" name="Picture 2"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ssen_Cons_RGB"/>
                  <pic:cNvPicPr>
                    <a:picLocks noChangeAspect="1" noChangeArrowheads="1"/>
                  </pic:cNvPicPr>
                </pic:nvPicPr>
                <pic:blipFill>
                  <a:blip r:embed="rId2">
                    <a:extLst>
                      <a:ext uri="{28A0092B-C50C-407E-A947-70E740481C1C}">
                        <a14:useLocalDpi xmlns:a14="http://schemas.microsoft.com/office/drawing/2010/main" val="0"/>
                      </a:ext>
                    </a:extLst>
                  </a:blip>
                  <a:srcRect t="23622" b="31496"/>
                  <a:stretch>
                    <a:fillRect/>
                  </a:stretch>
                </pic:blipFill>
                <pic:spPr bwMode="auto">
                  <a:xfrm>
                    <a:off x="0" y="0"/>
                    <a:ext cx="1828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94D012"/>
    <w:lvl w:ilvl="0">
      <w:start w:val="1"/>
      <w:numFmt w:val="decimal"/>
      <w:lvlText w:val="%1."/>
      <w:lvlJc w:val="left"/>
      <w:pPr>
        <w:tabs>
          <w:tab w:val="num" w:pos="1492"/>
        </w:tabs>
        <w:ind w:left="1492" w:hanging="360"/>
      </w:pPr>
    </w:lvl>
  </w:abstractNum>
  <w:abstractNum w:abstractNumId="1">
    <w:nsid w:val="FFFFFF7D"/>
    <w:multiLevelType w:val="singleLevel"/>
    <w:tmpl w:val="50AA182E"/>
    <w:lvl w:ilvl="0">
      <w:start w:val="1"/>
      <w:numFmt w:val="decimal"/>
      <w:lvlText w:val="%1."/>
      <w:lvlJc w:val="left"/>
      <w:pPr>
        <w:tabs>
          <w:tab w:val="num" w:pos="1209"/>
        </w:tabs>
        <w:ind w:left="1209" w:hanging="360"/>
      </w:pPr>
    </w:lvl>
  </w:abstractNum>
  <w:abstractNum w:abstractNumId="2">
    <w:nsid w:val="FFFFFF7E"/>
    <w:multiLevelType w:val="singleLevel"/>
    <w:tmpl w:val="7878242E"/>
    <w:lvl w:ilvl="0">
      <w:start w:val="1"/>
      <w:numFmt w:val="decimal"/>
      <w:lvlText w:val="%1."/>
      <w:lvlJc w:val="left"/>
      <w:pPr>
        <w:tabs>
          <w:tab w:val="num" w:pos="926"/>
        </w:tabs>
        <w:ind w:left="926" w:hanging="360"/>
      </w:pPr>
    </w:lvl>
  </w:abstractNum>
  <w:abstractNum w:abstractNumId="3">
    <w:nsid w:val="FFFFFF7F"/>
    <w:multiLevelType w:val="singleLevel"/>
    <w:tmpl w:val="2640ADE6"/>
    <w:lvl w:ilvl="0">
      <w:start w:val="1"/>
      <w:numFmt w:val="decimal"/>
      <w:lvlText w:val="%1."/>
      <w:lvlJc w:val="left"/>
      <w:pPr>
        <w:tabs>
          <w:tab w:val="num" w:pos="643"/>
        </w:tabs>
        <w:ind w:left="643" w:hanging="360"/>
      </w:pPr>
    </w:lvl>
  </w:abstractNum>
  <w:abstractNum w:abstractNumId="4">
    <w:nsid w:val="FFFFFF80"/>
    <w:multiLevelType w:val="singleLevel"/>
    <w:tmpl w:val="EAA0B8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6DE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8A2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FC58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BA5B80"/>
    <w:lvl w:ilvl="0">
      <w:start w:val="1"/>
      <w:numFmt w:val="decimal"/>
      <w:lvlText w:val="%1."/>
      <w:lvlJc w:val="left"/>
      <w:pPr>
        <w:tabs>
          <w:tab w:val="num" w:pos="360"/>
        </w:tabs>
        <w:ind w:left="360" w:hanging="360"/>
      </w:pPr>
    </w:lvl>
  </w:abstractNum>
  <w:abstractNum w:abstractNumId="9">
    <w:nsid w:val="FFFFFF89"/>
    <w:multiLevelType w:val="singleLevel"/>
    <w:tmpl w:val="B5FABA62"/>
    <w:lvl w:ilvl="0">
      <w:start w:val="1"/>
      <w:numFmt w:val="bullet"/>
      <w:lvlText w:val=""/>
      <w:lvlJc w:val="left"/>
      <w:pPr>
        <w:tabs>
          <w:tab w:val="num" w:pos="360"/>
        </w:tabs>
        <w:ind w:left="360" w:hanging="360"/>
      </w:pPr>
      <w:rPr>
        <w:rFonts w:ascii="Symbol" w:hAnsi="Symbol" w:hint="default"/>
      </w:rPr>
    </w:lvl>
  </w:abstractNum>
  <w:abstractNum w:abstractNumId="10">
    <w:nsid w:val="053A3A23"/>
    <w:multiLevelType w:val="hybridMultilevel"/>
    <w:tmpl w:val="A3E87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EF7537C"/>
    <w:multiLevelType w:val="hybridMultilevel"/>
    <w:tmpl w:val="F462F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012133"/>
    <w:multiLevelType w:val="hybridMultilevel"/>
    <w:tmpl w:val="086EAE32"/>
    <w:lvl w:ilvl="0" w:tplc="4E24535A">
      <w:start w:val="1"/>
      <w:numFmt w:val="bullet"/>
      <w:pStyle w:val="GuideDash"/>
      <w:lvlText w:val=""/>
      <w:lvlJc w:val="left"/>
      <w:pPr>
        <w:tabs>
          <w:tab w:val="num" w:pos="1786"/>
        </w:tabs>
        <w:ind w:left="1714" w:hanging="288"/>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28DE1376"/>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D01C1B"/>
    <w:multiLevelType w:val="singleLevel"/>
    <w:tmpl w:val="B4BC1D54"/>
    <w:lvl w:ilvl="0">
      <w:start w:val="1"/>
      <w:numFmt w:val="bullet"/>
      <w:lvlText w:val=""/>
      <w:lvlJc w:val="left"/>
      <w:pPr>
        <w:tabs>
          <w:tab w:val="num" w:pos="360"/>
        </w:tabs>
        <w:ind w:left="360" w:hanging="360"/>
      </w:pPr>
      <w:rPr>
        <w:rFonts w:ascii="Symbol" w:hAnsi="Symbol" w:hint="default"/>
      </w:rPr>
    </w:lvl>
  </w:abstractNum>
  <w:abstractNum w:abstractNumId="15">
    <w:nsid w:val="31833466"/>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207318"/>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0A7A70"/>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107BF8"/>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2E3471"/>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D7934CB"/>
    <w:multiLevelType w:val="hybridMultilevel"/>
    <w:tmpl w:val="AAC870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219221C"/>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713A5C"/>
    <w:multiLevelType w:val="hybridMultilevel"/>
    <w:tmpl w:val="30D49C44"/>
    <w:lvl w:ilvl="0" w:tplc="79288F10">
      <w:start w:val="1"/>
      <w:numFmt w:val="decimal"/>
      <w:pStyle w:val="Numbered11-3"/>
      <w:lvlText w:val="%1)"/>
      <w:lvlJc w:val="left"/>
      <w:pPr>
        <w:tabs>
          <w:tab w:val="num" w:pos="1296"/>
        </w:tabs>
        <w:ind w:left="1296" w:hanging="432"/>
      </w:pPr>
      <w:rPr>
        <w:rFonts w:hint="default"/>
      </w:rPr>
    </w:lvl>
    <w:lvl w:ilvl="1" w:tplc="04090003" w:tentative="1">
      <w:start w:val="1"/>
      <w:numFmt w:val="lowerLetter"/>
      <w:lvlText w:val="%2."/>
      <w:lvlJc w:val="left"/>
      <w:pPr>
        <w:ind w:left="2304" w:hanging="360"/>
      </w:pPr>
    </w:lvl>
    <w:lvl w:ilvl="2" w:tplc="04090005" w:tentative="1">
      <w:start w:val="1"/>
      <w:numFmt w:val="lowerRoman"/>
      <w:lvlText w:val="%3."/>
      <w:lvlJc w:val="right"/>
      <w:pPr>
        <w:ind w:left="3024" w:hanging="180"/>
      </w:pPr>
    </w:lvl>
    <w:lvl w:ilvl="3" w:tplc="04090001" w:tentative="1">
      <w:start w:val="1"/>
      <w:numFmt w:val="decimal"/>
      <w:lvlText w:val="%4."/>
      <w:lvlJc w:val="left"/>
      <w:pPr>
        <w:ind w:left="3744" w:hanging="360"/>
      </w:pPr>
    </w:lvl>
    <w:lvl w:ilvl="4" w:tplc="04090003" w:tentative="1">
      <w:start w:val="1"/>
      <w:numFmt w:val="lowerLetter"/>
      <w:lvlText w:val="%5."/>
      <w:lvlJc w:val="left"/>
      <w:pPr>
        <w:ind w:left="4464" w:hanging="360"/>
      </w:pPr>
    </w:lvl>
    <w:lvl w:ilvl="5" w:tplc="04090005" w:tentative="1">
      <w:start w:val="1"/>
      <w:numFmt w:val="lowerRoman"/>
      <w:lvlText w:val="%6."/>
      <w:lvlJc w:val="right"/>
      <w:pPr>
        <w:ind w:left="5184" w:hanging="180"/>
      </w:pPr>
    </w:lvl>
    <w:lvl w:ilvl="6" w:tplc="04090001" w:tentative="1">
      <w:start w:val="1"/>
      <w:numFmt w:val="decimal"/>
      <w:lvlText w:val="%7."/>
      <w:lvlJc w:val="left"/>
      <w:pPr>
        <w:ind w:left="5904" w:hanging="360"/>
      </w:pPr>
    </w:lvl>
    <w:lvl w:ilvl="7" w:tplc="04090003" w:tentative="1">
      <w:start w:val="1"/>
      <w:numFmt w:val="lowerLetter"/>
      <w:lvlText w:val="%8."/>
      <w:lvlJc w:val="left"/>
      <w:pPr>
        <w:ind w:left="6624" w:hanging="360"/>
      </w:pPr>
    </w:lvl>
    <w:lvl w:ilvl="8" w:tplc="04090005" w:tentative="1">
      <w:start w:val="1"/>
      <w:numFmt w:val="lowerRoman"/>
      <w:lvlText w:val="%9."/>
      <w:lvlJc w:val="right"/>
      <w:pPr>
        <w:ind w:left="7344" w:hanging="180"/>
      </w:pPr>
    </w:lvl>
  </w:abstractNum>
  <w:abstractNum w:abstractNumId="23">
    <w:nsid w:val="663E232F"/>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C2920AE"/>
    <w:multiLevelType w:val="hybridMultilevel"/>
    <w:tmpl w:val="10EEFE9E"/>
    <w:lvl w:ilvl="0" w:tplc="9984F6C4">
      <w:start w:val="1"/>
      <w:numFmt w:val="bullet"/>
      <w:pStyle w:val="BodyText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0040670"/>
    <w:multiLevelType w:val="hybridMultilevel"/>
    <w:tmpl w:val="59826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1035216"/>
    <w:multiLevelType w:val="hybridMultilevel"/>
    <w:tmpl w:val="BAE47760"/>
    <w:lvl w:ilvl="0" w:tplc="9336FE86">
      <w:start w:val="1"/>
      <w:numFmt w:val="lowerLetter"/>
      <w:pStyle w:val="NumberList-SS-2singled-spaced"/>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6B11F5"/>
    <w:multiLevelType w:val="multilevel"/>
    <w:tmpl w:val="F85811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E611155"/>
    <w:multiLevelType w:val="hybridMultilevel"/>
    <w:tmpl w:val="41968852"/>
    <w:lvl w:ilvl="0" w:tplc="18D06C8E">
      <w:start w:val="1"/>
      <w:numFmt w:val="bullet"/>
      <w:pStyle w:val="PIBulletSecondInden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4"/>
  </w:num>
  <w:num w:numId="3">
    <w:abstractNumId w:val="17"/>
  </w:num>
  <w:num w:numId="4">
    <w:abstractNumId w:val="18"/>
  </w:num>
  <w:num w:numId="5">
    <w:abstractNumId w:val="15"/>
  </w:num>
  <w:num w:numId="6">
    <w:abstractNumId w:val="21"/>
  </w:num>
  <w:num w:numId="7">
    <w:abstractNumId w:val="13"/>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0"/>
  </w:num>
  <w:num w:numId="21">
    <w:abstractNumId w:val="16"/>
  </w:num>
  <w:num w:numId="22">
    <w:abstractNumId w:val="14"/>
  </w:num>
  <w:num w:numId="23">
    <w:abstractNumId w:val="20"/>
  </w:num>
  <w:num w:numId="24">
    <w:abstractNumId w:val="12"/>
  </w:num>
  <w:num w:numId="25">
    <w:abstractNumId w:val="24"/>
  </w:num>
  <w:num w:numId="26">
    <w:abstractNumId w:val="26"/>
  </w:num>
  <w:num w:numId="27">
    <w:abstractNumId w:val="28"/>
  </w:num>
  <w:num w:numId="28">
    <w:abstractNumId w:val="22"/>
  </w:num>
  <w:num w:numId="29">
    <w:abstractNumId w:val="1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9D"/>
    <w:rsid w:val="00001969"/>
    <w:rsid w:val="0000290E"/>
    <w:rsid w:val="00004530"/>
    <w:rsid w:val="0000629D"/>
    <w:rsid w:val="00007085"/>
    <w:rsid w:val="000130BA"/>
    <w:rsid w:val="000150F0"/>
    <w:rsid w:val="000157C2"/>
    <w:rsid w:val="000168E4"/>
    <w:rsid w:val="00017AB2"/>
    <w:rsid w:val="00017EB5"/>
    <w:rsid w:val="00020BCD"/>
    <w:rsid w:val="00020C9B"/>
    <w:rsid w:val="00022314"/>
    <w:rsid w:val="0002270B"/>
    <w:rsid w:val="000245AD"/>
    <w:rsid w:val="0002519C"/>
    <w:rsid w:val="00025768"/>
    <w:rsid w:val="00025B83"/>
    <w:rsid w:val="000265A9"/>
    <w:rsid w:val="00027E6E"/>
    <w:rsid w:val="00030711"/>
    <w:rsid w:val="00031D9B"/>
    <w:rsid w:val="00035B28"/>
    <w:rsid w:val="00041D10"/>
    <w:rsid w:val="00046A8B"/>
    <w:rsid w:val="00056092"/>
    <w:rsid w:val="000571F8"/>
    <w:rsid w:val="0006072F"/>
    <w:rsid w:val="00071865"/>
    <w:rsid w:val="000727FC"/>
    <w:rsid w:val="000746CC"/>
    <w:rsid w:val="000754EA"/>
    <w:rsid w:val="00075DCF"/>
    <w:rsid w:val="0008209F"/>
    <w:rsid w:val="000839AA"/>
    <w:rsid w:val="00084564"/>
    <w:rsid w:val="0008475A"/>
    <w:rsid w:val="000907B4"/>
    <w:rsid w:val="0009227C"/>
    <w:rsid w:val="0009268F"/>
    <w:rsid w:val="0009370D"/>
    <w:rsid w:val="00093F77"/>
    <w:rsid w:val="000945B8"/>
    <w:rsid w:val="00094F5C"/>
    <w:rsid w:val="000973D7"/>
    <w:rsid w:val="000A5082"/>
    <w:rsid w:val="000B4928"/>
    <w:rsid w:val="000C0EFC"/>
    <w:rsid w:val="000C71E6"/>
    <w:rsid w:val="000C7B00"/>
    <w:rsid w:val="000D2B24"/>
    <w:rsid w:val="000D2E4B"/>
    <w:rsid w:val="000D68C2"/>
    <w:rsid w:val="000D71C7"/>
    <w:rsid w:val="000D735B"/>
    <w:rsid w:val="000F38F2"/>
    <w:rsid w:val="000F4231"/>
    <w:rsid w:val="000F785C"/>
    <w:rsid w:val="00100D7E"/>
    <w:rsid w:val="00101EA1"/>
    <w:rsid w:val="001027A1"/>
    <w:rsid w:val="00102FD3"/>
    <w:rsid w:val="00105F3C"/>
    <w:rsid w:val="0011219A"/>
    <w:rsid w:val="00114138"/>
    <w:rsid w:val="001146E1"/>
    <w:rsid w:val="001316A0"/>
    <w:rsid w:val="00132B07"/>
    <w:rsid w:val="00133CC2"/>
    <w:rsid w:val="001405CA"/>
    <w:rsid w:val="00140CF7"/>
    <w:rsid w:val="001476A6"/>
    <w:rsid w:val="00154B96"/>
    <w:rsid w:val="00155653"/>
    <w:rsid w:val="00155A0E"/>
    <w:rsid w:val="00156922"/>
    <w:rsid w:val="001620A0"/>
    <w:rsid w:val="00162216"/>
    <w:rsid w:val="00164E8E"/>
    <w:rsid w:val="00165040"/>
    <w:rsid w:val="00166249"/>
    <w:rsid w:val="00167902"/>
    <w:rsid w:val="00171985"/>
    <w:rsid w:val="00171F92"/>
    <w:rsid w:val="00174D1F"/>
    <w:rsid w:val="00175CFE"/>
    <w:rsid w:val="001806AE"/>
    <w:rsid w:val="001849C6"/>
    <w:rsid w:val="0018690A"/>
    <w:rsid w:val="00190796"/>
    <w:rsid w:val="001917BF"/>
    <w:rsid w:val="00196C9C"/>
    <w:rsid w:val="0019700F"/>
    <w:rsid w:val="00197EA1"/>
    <w:rsid w:val="001A5FB9"/>
    <w:rsid w:val="001A6AEA"/>
    <w:rsid w:val="001B1738"/>
    <w:rsid w:val="001B5180"/>
    <w:rsid w:val="001B5776"/>
    <w:rsid w:val="001C15C1"/>
    <w:rsid w:val="001C3250"/>
    <w:rsid w:val="001C6E9B"/>
    <w:rsid w:val="001D17FF"/>
    <w:rsid w:val="001D272D"/>
    <w:rsid w:val="001D4B43"/>
    <w:rsid w:val="001D7637"/>
    <w:rsid w:val="001E0E56"/>
    <w:rsid w:val="001E1110"/>
    <w:rsid w:val="001E1CF3"/>
    <w:rsid w:val="001E2AF8"/>
    <w:rsid w:val="001E2C89"/>
    <w:rsid w:val="001E7149"/>
    <w:rsid w:val="001F5EC4"/>
    <w:rsid w:val="002039B6"/>
    <w:rsid w:val="00205156"/>
    <w:rsid w:val="00205E26"/>
    <w:rsid w:val="002104E3"/>
    <w:rsid w:val="00210615"/>
    <w:rsid w:val="00216BE5"/>
    <w:rsid w:val="00220DB3"/>
    <w:rsid w:val="00224572"/>
    <w:rsid w:val="0022768F"/>
    <w:rsid w:val="0023243C"/>
    <w:rsid w:val="0023364A"/>
    <w:rsid w:val="00235F7F"/>
    <w:rsid w:val="002360A5"/>
    <w:rsid w:val="002376EE"/>
    <w:rsid w:val="00242B21"/>
    <w:rsid w:val="00243472"/>
    <w:rsid w:val="0024428E"/>
    <w:rsid w:val="00245F7C"/>
    <w:rsid w:val="0024659E"/>
    <w:rsid w:val="00246993"/>
    <w:rsid w:val="00247BF7"/>
    <w:rsid w:val="0025015B"/>
    <w:rsid w:val="00253A3E"/>
    <w:rsid w:val="00260F70"/>
    <w:rsid w:val="00263135"/>
    <w:rsid w:val="0026736C"/>
    <w:rsid w:val="00271127"/>
    <w:rsid w:val="002721ED"/>
    <w:rsid w:val="0027356C"/>
    <w:rsid w:val="002763F4"/>
    <w:rsid w:val="00280469"/>
    <w:rsid w:val="002836AC"/>
    <w:rsid w:val="00283A89"/>
    <w:rsid w:val="00287AFF"/>
    <w:rsid w:val="002A0835"/>
    <w:rsid w:val="002B3B82"/>
    <w:rsid w:val="002B52A4"/>
    <w:rsid w:val="002C0A4C"/>
    <w:rsid w:val="002C2E80"/>
    <w:rsid w:val="002C3A61"/>
    <w:rsid w:val="002C465B"/>
    <w:rsid w:val="002D2A59"/>
    <w:rsid w:val="002D4CA3"/>
    <w:rsid w:val="002D5CDD"/>
    <w:rsid w:val="002F020A"/>
    <w:rsid w:val="002F0BD4"/>
    <w:rsid w:val="002F2D31"/>
    <w:rsid w:val="002F4DF1"/>
    <w:rsid w:val="002F50B8"/>
    <w:rsid w:val="00305624"/>
    <w:rsid w:val="00305920"/>
    <w:rsid w:val="00305C23"/>
    <w:rsid w:val="0030688D"/>
    <w:rsid w:val="003118CE"/>
    <w:rsid w:val="00311F3B"/>
    <w:rsid w:val="0031376D"/>
    <w:rsid w:val="003170D9"/>
    <w:rsid w:val="00332E2A"/>
    <w:rsid w:val="00336018"/>
    <w:rsid w:val="00336375"/>
    <w:rsid w:val="00337377"/>
    <w:rsid w:val="003375FA"/>
    <w:rsid w:val="0034000D"/>
    <w:rsid w:val="00344B0C"/>
    <w:rsid w:val="00344C6E"/>
    <w:rsid w:val="00347D65"/>
    <w:rsid w:val="0035177E"/>
    <w:rsid w:val="003527F3"/>
    <w:rsid w:val="003550DC"/>
    <w:rsid w:val="00355D14"/>
    <w:rsid w:val="00356D98"/>
    <w:rsid w:val="00357841"/>
    <w:rsid w:val="00361478"/>
    <w:rsid w:val="00361EF3"/>
    <w:rsid w:val="003622EE"/>
    <w:rsid w:val="003651C6"/>
    <w:rsid w:val="0036778D"/>
    <w:rsid w:val="00375249"/>
    <w:rsid w:val="003762E8"/>
    <w:rsid w:val="00380707"/>
    <w:rsid w:val="00380FE6"/>
    <w:rsid w:val="003818D9"/>
    <w:rsid w:val="00381CB1"/>
    <w:rsid w:val="003825BC"/>
    <w:rsid w:val="00385000"/>
    <w:rsid w:val="00385027"/>
    <w:rsid w:val="0038517B"/>
    <w:rsid w:val="00386B63"/>
    <w:rsid w:val="003900B2"/>
    <w:rsid w:val="0039259E"/>
    <w:rsid w:val="00392DDE"/>
    <w:rsid w:val="00397EEF"/>
    <w:rsid w:val="003A0EFA"/>
    <w:rsid w:val="003A4150"/>
    <w:rsid w:val="003A5132"/>
    <w:rsid w:val="003B0B03"/>
    <w:rsid w:val="003B195D"/>
    <w:rsid w:val="003B3ECB"/>
    <w:rsid w:val="003B4EC7"/>
    <w:rsid w:val="003B5415"/>
    <w:rsid w:val="003B5FF6"/>
    <w:rsid w:val="003B6D97"/>
    <w:rsid w:val="003B7327"/>
    <w:rsid w:val="003C0F23"/>
    <w:rsid w:val="003C57B6"/>
    <w:rsid w:val="003D3230"/>
    <w:rsid w:val="003D4989"/>
    <w:rsid w:val="003D5D89"/>
    <w:rsid w:val="003E1EFE"/>
    <w:rsid w:val="003E29B2"/>
    <w:rsid w:val="003E4F39"/>
    <w:rsid w:val="003F43C8"/>
    <w:rsid w:val="003F4AD3"/>
    <w:rsid w:val="0040166F"/>
    <w:rsid w:val="00401A9B"/>
    <w:rsid w:val="004022F0"/>
    <w:rsid w:val="0040257C"/>
    <w:rsid w:val="0040369C"/>
    <w:rsid w:val="0040493F"/>
    <w:rsid w:val="00407183"/>
    <w:rsid w:val="0041091B"/>
    <w:rsid w:val="00411317"/>
    <w:rsid w:val="0041246C"/>
    <w:rsid w:val="00412529"/>
    <w:rsid w:val="004134EB"/>
    <w:rsid w:val="00414DC5"/>
    <w:rsid w:val="00423418"/>
    <w:rsid w:val="00433595"/>
    <w:rsid w:val="0043368F"/>
    <w:rsid w:val="00434809"/>
    <w:rsid w:val="00434A44"/>
    <w:rsid w:val="0043727B"/>
    <w:rsid w:val="00441730"/>
    <w:rsid w:val="00442585"/>
    <w:rsid w:val="004435BD"/>
    <w:rsid w:val="00451CE1"/>
    <w:rsid w:val="004533E0"/>
    <w:rsid w:val="004542FF"/>
    <w:rsid w:val="00456316"/>
    <w:rsid w:val="0045727C"/>
    <w:rsid w:val="00460E30"/>
    <w:rsid w:val="00463C7A"/>
    <w:rsid w:val="00474EC8"/>
    <w:rsid w:val="004755FC"/>
    <w:rsid w:val="00477AA7"/>
    <w:rsid w:val="004804A9"/>
    <w:rsid w:val="00482AB0"/>
    <w:rsid w:val="00484E5D"/>
    <w:rsid w:val="004853BF"/>
    <w:rsid w:val="00487688"/>
    <w:rsid w:val="0049129C"/>
    <w:rsid w:val="00491974"/>
    <w:rsid w:val="00491D9D"/>
    <w:rsid w:val="004A0118"/>
    <w:rsid w:val="004A171B"/>
    <w:rsid w:val="004A28F3"/>
    <w:rsid w:val="004A2B1A"/>
    <w:rsid w:val="004A5840"/>
    <w:rsid w:val="004A6BFA"/>
    <w:rsid w:val="004A6F6E"/>
    <w:rsid w:val="004B0A19"/>
    <w:rsid w:val="004B13AF"/>
    <w:rsid w:val="004B41FC"/>
    <w:rsid w:val="004B4956"/>
    <w:rsid w:val="004B6DCF"/>
    <w:rsid w:val="004C7461"/>
    <w:rsid w:val="004C7F4F"/>
    <w:rsid w:val="004D126C"/>
    <w:rsid w:val="004D1DA6"/>
    <w:rsid w:val="004D4260"/>
    <w:rsid w:val="004D445B"/>
    <w:rsid w:val="004D5453"/>
    <w:rsid w:val="004E0230"/>
    <w:rsid w:val="004E0B69"/>
    <w:rsid w:val="004E285F"/>
    <w:rsid w:val="004E3756"/>
    <w:rsid w:val="004E546B"/>
    <w:rsid w:val="004E60D3"/>
    <w:rsid w:val="004F10E0"/>
    <w:rsid w:val="004F290B"/>
    <w:rsid w:val="004F366E"/>
    <w:rsid w:val="004F497C"/>
    <w:rsid w:val="004F6B9D"/>
    <w:rsid w:val="004F7435"/>
    <w:rsid w:val="00502E9B"/>
    <w:rsid w:val="00502F7A"/>
    <w:rsid w:val="005036C3"/>
    <w:rsid w:val="00504B5B"/>
    <w:rsid w:val="00505BE9"/>
    <w:rsid w:val="0050693F"/>
    <w:rsid w:val="0050768C"/>
    <w:rsid w:val="00520B5F"/>
    <w:rsid w:val="00520F30"/>
    <w:rsid w:val="00523669"/>
    <w:rsid w:val="00524C14"/>
    <w:rsid w:val="005301F1"/>
    <w:rsid w:val="005327A9"/>
    <w:rsid w:val="00532CE9"/>
    <w:rsid w:val="00533714"/>
    <w:rsid w:val="00533A16"/>
    <w:rsid w:val="00534A81"/>
    <w:rsid w:val="00535028"/>
    <w:rsid w:val="00544106"/>
    <w:rsid w:val="005566F4"/>
    <w:rsid w:val="00557DBE"/>
    <w:rsid w:val="005604E0"/>
    <w:rsid w:val="005618B3"/>
    <w:rsid w:val="005630E0"/>
    <w:rsid w:val="005639EE"/>
    <w:rsid w:val="00575F81"/>
    <w:rsid w:val="00575FA8"/>
    <w:rsid w:val="00576EF4"/>
    <w:rsid w:val="005803AA"/>
    <w:rsid w:val="00580C09"/>
    <w:rsid w:val="00581150"/>
    <w:rsid w:val="005842C1"/>
    <w:rsid w:val="005870CE"/>
    <w:rsid w:val="00587735"/>
    <w:rsid w:val="00595816"/>
    <w:rsid w:val="005B3243"/>
    <w:rsid w:val="005B62C0"/>
    <w:rsid w:val="005C2053"/>
    <w:rsid w:val="005C2C34"/>
    <w:rsid w:val="005C428D"/>
    <w:rsid w:val="005C62FE"/>
    <w:rsid w:val="005C6775"/>
    <w:rsid w:val="005D32BD"/>
    <w:rsid w:val="005D542E"/>
    <w:rsid w:val="005E178D"/>
    <w:rsid w:val="005E2FFC"/>
    <w:rsid w:val="005E3F0D"/>
    <w:rsid w:val="005E574D"/>
    <w:rsid w:val="005E6CE6"/>
    <w:rsid w:val="005F06F6"/>
    <w:rsid w:val="005F2A1A"/>
    <w:rsid w:val="005F501A"/>
    <w:rsid w:val="005F6FB9"/>
    <w:rsid w:val="005F7A6A"/>
    <w:rsid w:val="00600ABB"/>
    <w:rsid w:val="00603942"/>
    <w:rsid w:val="00606D5F"/>
    <w:rsid w:val="00607F04"/>
    <w:rsid w:val="00612508"/>
    <w:rsid w:val="00615850"/>
    <w:rsid w:val="00616E70"/>
    <w:rsid w:val="00621E7B"/>
    <w:rsid w:val="006223AC"/>
    <w:rsid w:val="0062264B"/>
    <w:rsid w:val="00624378"/>
    <w:rsid w:val="00631D71"/>
    <w:rsid w:val="006325AC"/>
    <w:rsid w:val="00633326"/>
    <w:rsid w:val="0063390A"/>
    <w:rsid w:val="006360D0"/>
    <w:rsid w:val="00640415"/>
    <w:rsid w:val="006413D1"/>
    <w:rsid w:val="006424E5"/>
    <w:rsid w:val="0064343E"/>
    <w:rsid w:val="00644A1D"/>
    <w:rsid w:val="00647EAF"/>
    <w:rsid w:val="00651BE9"/>
    <w:rsid w:val="006538FD"/>
    <w:rsid w:val="00660212"/>
    <w:rsid w:val="0066217D"/>
    <w:rsid w:val="00666140"/>
    <w:rsid w:val="006678B8"/>
    <w:rsid w:val="0067123B"/>
    <w:rsid w:val="00673509"/>
    <w:rsid w:val="006821D0"/>
    <w:rsid w:val="00684CC5"/>
    <w:rsid w:val="00687A61"/>
    <w:rsid w:val="006938B5"/>
    <w:rsid w:val="00694C94"/>
    <w:rsid w:val="00694E77"/>
    <w:rsid w:val="006955B4"/>
    <w:rsid w:val="00695E25"/>
    <w:rsid w:val="00696D9D"/>
    <w:rsid w:val="006A2829"/>
    <w:rsid w:val="006A5954"/>
    <w:rsid w:val="006A7D55"/>
    <w:rsid w:val="006B4549"/>
    <w:rsid w:val="006B53DD"/>
    <w:rsid w:val="006B6D09"/>
    <w:rsid w:val="006C08FB"/>
    <w:rsid w:val="006D01CE"/>
    <w:rsid w:val="006D060C"/>
    <w:rsid w:val="006D41A6"/>
    <w:rsid w:val="006D4C1B"/>
    <w:rsid w:val="006D7C25"/>
    <w:rsid w:val="006E0B16"/>
    <w:rsid w:val="006E3D38"/>
    <w:rsid w:val="006E3E1D"/>
    <w:rsid w:val="006F22FF"/>
    <w:rsid w:val="006F371F"/>
    <w:rsid w:val="006F6628"/>
    <w:rsid w:val="006F7467"/>
    <w:rsid w:val="0070700A"/>
    <w:rsid w:val="00707326"/>
    <w:rsid w:val="007100B2"/>
    <w:rsid w:val="00710964"/>
    <w:rsid w:val="00711CE5"/>
    <w:rsid w:val="00713351"/>
    <w:rsid w:val="007168F6"/>
    <w:rsid w:val="007178A8"/>
    <w:rsid w:val="00720694"/>
    <w:rsid w:val="007210DA"/>
    <w:rsid w:val="00721F58"/>
    <w:rsid w:val="00722CFC"/>
    <w:rsid w:val="00724FCE"/>
    <w:rsid w:val="00730E73"/>
    <w:rsid w:val="00731739"/>
    <w:rsid w:val="00731957"/>
    <w:rsid w:val="007323E2"/>
    <w:rsid w:val="00733C92"/>
    <w:rsid w:val="00733CDF"/>
    <w:rsid w:val="00733E5A"/>
    <w:rsid w:val="007346E3"/>
    <w:rsid w:val="007346E7"/>
    <w:rsid w:val="00737FF6"/>
    <w:rsid w:val="007407E7"/>
    <w:rsid w:val="0074190C"/>
    <w:rsid w:val="00742EFC"/>
    <w:rsid w:val="00745171"/>
    <w:rsid w:val="00746D0B"/>
    <w:rsid w:val="00746F27"/>
    <w:rsid w:val="00747E49"/>
    <w:rsid w:val="00750FA6"/>
    <w:rsid w:val="0075130B"/>
    <w:rsid w:val="00761D72"/>
    <w:rsid w:val="00764343"/>
    <w:rsid w:val="00770F44"/>
    <w:rsid w:val="00774C8F"/>
    <w:rsid w:val="00780086"/>
    <w:rsid w:val="00790C5D"/>
    <w:rsid w:val="00792CAA"/>
    <w:rsid w:val="0079711B"/>
    <w:rsid w:val="007973EA"/>
    <w:rsid w:val="007A2DAA"/>
    <w:rsid w:val="007A33CA"/>
    <w:rsid w:val="007A6345"/>
    <w:rsid w:val="007A69E2"/>
    <w:rsid w:val="007A7101"/>
    <w:rsid w:val="007B085C"/>
    <w:rsid w:val="007B28D1"/>
    <w:rsid w:val="007B367B"/>
    <w:rsid w:val="007B4E9B"/>
    <w:rsid w:val="007B5E54"/>
    <w:rsid w:val="007C35B7"/>
    <w:rsid w:val="007C3A62"/>
    <w:rsid w:val="007D0F82"/>
    <w:rsid w:val="007E1169"/>
    <w:rsid w:val="007E1834"/>
    <w:rsid w:val="007E2535"/>
    <w:rsid w:val="007E6F41"/>
    <w:rsid w:val="007E6FA9"/>
    <w:rsid w:val="007F29B6"/>
    <w:rsid w:val="007F32A1"/>
    <w:rsid w:val="007F6823"/>
    <w:rsid w:val="00810C44"/>
    <w:rsid w:val="00813D9A"/>
    <w:rsid w:val="008141F7"/>
    <w:rsid w:val="0082682B"/>
    <w:rsid w:val="008310FF"/>
    <w:rsid w:val="00836EBC"/>
    <w:rsid w:val="00840822"/>
    <w:rsid w:val="0084160A"/>
    <w:rsid w:val="00841863"/>
    <w:rsid w:val="00844E29"/>
    <w:rsid w:val="008450DE"/>
    <w:rsid w:val="0084535A"/>
    <w:rsid w:val="00847951"/>
    <w:rsid w:val="0085095E"/>
    <w:rsid w:val="00856704"/>
    <w:rsid w:val="00857865"/>
    <w:rsid w:val="00860B5B"/>
    <w:rsid w:val="00861638"/>
    <w:rsid w:val="00862054"/>
    <w:rsid w:val="00871ACD"/>
    <w:rsid w:val="00873883"/>
    <w:rsid w:val="00881B25"/>
    <w:rsid w:val="00882E74"/>
    <w:rsid w:val="00884BE6"/>
    <w:rsid w:val="00887F3B"/>
    <w:rsid w:val="00890128"/>
    <w:rsid w:val="00890841"/>
    <w:rsid w:val="008922E8"/>
    <w:rsid w:val="008941AB"/>
    <w:rsid w:val="008A0686"/>
    <w:rsid w:val="008A128E"/>
    <w:rsid w:val="008A24CF"/>
    <w:rsid w:val="008A633A"/>
    <w:rsid w:val="008A7DAF"/>
    <w:rsid w:val="008B495F"/>
    <w:rsid w:val="008C1C5F"/>
    <w:rsid w:val="008C1FA6"/>
    <w:rsid w:val="008C275D"/>
    <w:rsid w:val="008C4AEA"/>
    <w:rsid w:val="008D253F"/>
    <w:rsid w:val="008D457D"/>
    <w:rsid w:val="008D4C54"/>
    <w:rsid w:val="008E17DD"/>
    <w:rsid w:val="008E19C8"/>
    <w:rsid w:val="008E4BF2"/>
    <w:rsid w:val="008F2B9D"/>
    <w:rsid w:val="008F33CC"/>
    <w:rsid w:val="008F3B3D"/>
    <w:rsid w:val="009005D9"/>
    <w:rsid w:val="009006EB"/>
    <w:rsid w:val="009010AA"/>
    <w:rsid w:val="00910CC7"/>
    <w:rsid w:val="00910DB9"/>
    <w:rsid w:val="00911E62"/>
    <w:rsid w:val="0091661E"/>
    <w:rsid w:val="00916C13"/>
    <w:rsid w:val="009217AB"/>
    <w:rsid w:val="0092261C"/>
    <w:rsid w:val="00923CE2"/>
    <w:rsid w:val="00932263"/>
    <w:rsid w:val="00932E5A"/>
    <w:rsid w:val="00934D09"/>
    <w:rsid w:val="00935C0F"/>
    <w:rsid w:val="00937168"/>
    <w:rsid w:val="00945203"/>
    <w:rsid w:val="009472F2"/>
    <w:rsid w:val="00947347"/>
    <w:rsid w:val="00951990"/>
    <w:rsid w:val="009658BD"/>
    <w:rsid w:val="009721B0"/>
    <w:rsid w:val="00972547"/>
    <w:rsid w:val="00973C62"/>
    <w:rsid w:val="009767AB"/>
    <w:rsid w:val="009769EB"/>
    <w:rsid w:val="00980184"/>
    <w:rsid w:val="0098029B"/>
    <w:rsid w:val="00986244"/>
    <w:rsid w:val="009930CB"/>
    <w:rsid w:val="00994C1D"/>
    <w:rsid w:val="009956AD"/>
    <w:rsid w:val="00995975"/>
    <w:rsid w:val="009A06AD"/>
    <w:rsid w:val="009A0CD2"/>
    <w:rsid w:val="009A2B35"/>
    <w:rsid w:val="009A412E"/>
    <w:rsid w:val="009A5F02"/>
    <w:rsid w:val="009B4FDE"/>
    <w:rsid w:val="009B69F9"/>
    <w:rsid w:val="009C5078"/>
    <w:rsid w:val="009C51AB"/>
    <w:rsid w:val="009C7557"/>
    <w:rsid w:val="009D0C89"/>
    <w:rsid w:val="009D28FD"/>
    <w:rsid w:val="009D3EF5"/>
    <w:rsid w:val="009D5233"/>
    <w:rsid w:val="009E0BF2"/>
    <w:rsid w:val="009E1F80"/>
    <w:rsid w:val="009E35B7"/>
    <w:rsid w:val="009E49C6"/>
    <w:rsid w:val="009E589C"/>
    <w:rsid w:val="009F0747"/>
    <w:rsid w:val="00A011B0"/>
    <w:rsid w:val="00A01ED8"/>
    <w:rsid w:val="00A03CAD"/>
    <w:rsid w:val="00A04D4D"/>
    <w:rsid w:val="00A06B57"/>
    <w:rsid w:val="00A0734F"/>
    <w:rsid w:val="00A1215A"/>
    <w:rsid w:val="00A13CA2"/>
    <w:rsid w:val="00A17B86"/>
    <w:rsid w:val="00A21902"/>
    <w:rsid w:val="00A22BEC"/>
    <w:rsid w:val="00A23981"/>
    <w:rsid w:val="00A31FAB"/>
    <w:rsid w:val="00A33130"/>
    <w:rsid w:val="00A338A2"/>
    <w:rsid w:val="00A349E8"/>
    <w:rsid w:val="00A35D95"/>
    <w:rsid w:val="00A36B17"/>
    <w:rsid w:val="00A50E4D"/>
    <w:rsid w:val="00A523F3"/>
    <w:rsid w:val="00A55AD0"/>
    <w:rsid w:val="00A61A04"/>
    <w:rsid w:val="00A6608F"/>
    <w:rsid w:val="00A70947"/>
    <w:rsid w:val="00A76B4C"/>
    <w:rsid w:val="00A83889"/>
    <w:rsid w:val="00A83FB8"/>
    <w:rsid w:val="00A87AE5"/>
    <w:rsid w:val="00A87DDB"/>
    <w:rsid w:val="00A94613"/>
    <w:rsid w:val="00A96128"/>
    <w:rsid w:val="00AA442C"/>
    <w:rsid w:val="00AA6411"/>
    <w:rsid w:val="00AA6A56"/>
    <w:rsid w:val="00AB6D75"/>
    <w:rsid w:val="00AB7CFE"/>
    <w:rsid w:val="00AC1A5C"/>
    <w:rsid w:val="00AC525E"/>
    <w:rsid w:val="00AC5C8A"/>
    <w:rsid w:val="00AD0677"/>
    <w:rsid w:val="00AE1002"/>
    <w:rsid w:val="00AE265D"/>
    <w:rsid w:val="00AE29A6"/>
    <w:rsid w:val="00AE7462"/>
    <w:rsid w:val="00AF1ABE"/>
    <w:rsid w:val="00AF1FB7"/>
    <w:rsid w:val="00AF2B74"/>
    <w:rsid w:val="00AF40D2"/>
    <w:rsid w:val="00AF4DB7"/>
    <w:rsid w:val="00AF6D2E"/>
    <w:rsid w:val="00B01A85"/>
    <w:rsid w:val="00B044CE"/>
    <w:rsid w:val="00B0667B"/>
    <w:rsid w:val="00B07782"/>
    <w:rsid w:val="00B14CBA"/>
    <w:rsid w:val="00B15A75"/>
    <w:rsid w:val="00B21493"/>
    <w:rsid w:val="00B21684"/>
    <w:rsid w:val="00B23AC2"/>
    <w:rsid w:val="00B26410"/>
    <w:rsid w:val="00B30464"/>
    <w:rsid w:val="00B32716"/>
    <w:rsid w:val="00B33570"/>
    <w:rsid w:val="00B37E29"/>
    <w:rsid w:val="00B4124F"/>
    <w:rsid w:val="00B4541F"/>
    <w:rsid w:val="00B5015C"/>
    <w:rsid w:val="00B5126A"/>
    <w:rsid w:val="00B521D9"/>
    <w:rsid w:val="00B577AE"/>
    <w:rsid w:val="00B65383"/>
    <w:rsid w:val="00B65E1A"/>
    <w:rsid w:val="00B718AD"/>
    <w:rsid w:val="00B74165"/>
    <w:rsid w:val="00B81465"/>
    <w:rsid w:val="00B82B11"/>
    <w:rsid w:val="00B84B71"/>
    <w:rsid w:val="00B86E59"/>
    <w:rsid w:val="00B90632"/>
    <w:rsid w:val="00B922A1"/>
    <w:rsid w:val="00B93B34"/>
    <w:rsid w:val="00B974FE"/>
    <w:rsid w:val="00B97C23"/>
    <w:rsid w:val="00BA0B00"/>
    <w:rsid w:val="00BA1F35"/>
    <w:rsid w:val="00BA23D6"/>
    <w:rsid w:val="00BA4D32"/>
    <w:rsid w:val="00BA7743"/>
    <w:rsid w:val="00BB16F4"/>
    <w:rsid w:val="00BB25A3"/>
    <w:rsid w:val="00BB2CB1"/>
    <w:rsid w:val="00BB41AF"/>
    <w:rsid w:val="00BB6CA7"/>
    <w:rsid w:val="00BC2008"/>
    <w:rsid w:val="00BC2A61"/>
    <w:rsid w:val="00BC3847"/>
    <w:rsid w:val="00BC44B1"/>
    <w:rsid w:val="00BC6AAE"/>
    <w:rsid w:val="00BC6F20"/>
    <w:rsid w:val="00BC75D7"/>
    <w:rsid w:val="00BD135F"/>
    <w:rsid w:val="00BD15E8"/>
    <w:rsid w:val="00BD2C22"/>
    <w:rsid w:val="00BD3A57"/>
    <w:rsid w:val="00BD4E29"/>
    <w:rsid w:val="00BD4E30"/>
    <w:rsid w:val="00BD4F9C"/>
    <w:rsid w:val="00BD7CF9"/>
    <w:rsid w:val="00BE159E"/>
    <w:rsid w:val="00BE1C1D"/>
    <w:rsid w:val="00BE686D"/>
    <w:rsid w:val="00BE6983"/>
    <w:rsid w:val="00BF4C0D"/>
    <w:rsid w:val="00C007B6"/>
    <w:rsid w:val="00C06D8F"/>
    <w:rsid w:val="00C11B89"/>
    <w:rsid w:val="00C13913"/>
    <w:rsid w:val="00C21761"/>
    <w:rsid w:val="00C239FC"/>
    <w:rsid w:val="00C23F60"/>
    <w:rsid w:val="00C25CCD"/>
    <w:rsid w:val="00C30493"/>
    <w:rsid w:val="00C32EA0"/>
    <w:rsid w:val="00C341BC"/>
    <w:rsid w:val="00C34ED6"/>
    <w:rsid w:val="00C36418"/>
    <w:rsid w:val="00C46B45"/>
    <w:rsid w:val="00C46E14"/>
    <w:rsid w:val="00C47618"/>
    <w:rsid w:val="00C65501"/>
    <w:rsid w:val="00C677BF"/>
    <w:rsid w:val="00C804A8"/>
    <w:rsid w:val="00C8545C"/>
    <w:rsid w:val="00C9009D"/>
    <w:rsid w:val="00C908A8"/>
    <w:rsid w:val="00C9092F"/>
    <w:rsid w:val="00C911E1"/>
    <w:rsid w:val="00C91461"/>
    <w:rsid w:val="00C927EB"/>
    <w:rsid w:val="00C93987"/>
    <w:rsid w:val="00C96509"/>
    <w:rsid w:val="00CA2640"/>
    <w:rsid w:val="00CA266D"/>
    <w:rsid w:val="00CA7EC4"/>
    <w:rsid w:val="00CB118C"/>
    <w:rsid w:val="00CB42C5"/>
    <w:rsid w:val="00CB5838"/>
    <w:rsid w:val="00CB6E5C"/>
    <w:rsid w:val="00CB70AD"/>
    <w:rsid w:val="00CB79D3"/>
    <w:rsid w:val="00CB7A8B"/>
    <w:rsid w:val="00CC6B5C"/>
    <w:rsid w:val="00CD0BFC"/>
    <w:rsid w:val="00CD2BF0"/>
    <w:rsid w:val="00CD40A9"/>
    <w:rsid w:val="00CD4C38"/>
    <w:rsid w:val="00CE1A09"/>
    <w:rsid w:val="00CE3183"/>
    <w:rsid w:val="00CF241B"/>
    <w:rsid w:val="00CF2F2F"/>
    <w:rsid w:val="00CF5A9F"/>
    <w:rsid w:val="00D05054"/>
    <w:rsid w:val="00D10811"/>
    <w:rsid w:val="00D124B9"/>
    <w:rsid w:val="00D12E14"/>
    <w:rsid w:val="00D13B67"/>
    <w:rsid w:val="00D14120"/>
    <w:rsid w:val="00D148DB"/>
    <w:rsid w:val="00D14C2C"/>
    <w:rsid w:val="00D15685"/>
    <w:rsid w:val="00D178FB"/>
    <w:rsid w:val="00D23B99"/>
    <w:rsid w:val="00D2622B"/>
    <w:rsid w:val="00D338F1"/>
    <w:rsid w:val="00D3531B"/>
    <w:rsid w:val="00D47FF4"/>
    <w:rsid w:val="00D53F9C"/>
    <w:rsid w:val="00D56828"/>
    <w:rsid w:val="00D64F74"/>
    <w:rsid w:val="00D67ED4"/>
    <w:rsid w:val="00D7454D"/>
    <w:rsid w:val="00D81D24"/>
    <w:rsid w:val="00D86535"/>
    <w:rsid w:val="00D94E3E"/>
    <w:rsid w:val="00D95AC0"/>
    <w:rsid w:val="00D9780D"/>
    <w:rsid w:val="00DA314B"/>
    <w:rsid w:val="00DB125A"/>
    <w:rsid w:val="00DB219D"/>
    <w:rsid w:val="00DB42AE"/>
    <w:rsid w:val="00DB50A0"/>
    <w:rsid w:val="00DC0678"/>
    <w:rsid w:val="00DC0BFA"/>
    <w:rsid w:val="00DC39FD"/>
    <w:rsid w:val="00DD00B8"/>
    <w:rsid w:val="00DD0102"/>
    <w:rsid w:val="00DE1E0D"/>
    <w:rsid w:val="00DF37FD"/>
    <w:rsid w:val="00DF38FF"/>
    <w:rsid w:val="00DF39AB"/>
    <w:rsid w:val="00DF3D6B"/>
    <w:rsid w:val="00DF650A"/>
    <w:rsid w:val="00DF76BC"/>
    <w:rsid w:val="00E03B6E"/>
    <w:rsid w:val="00E11B4D"/>
    <w:rsid w:val="00E12D07"/>
    <w:rsid w:val="00E17139"/>
    <w:rsid w:val="00E22E97"/>
    <w:rsid w:val="00E24809"/>
    <w:rsid w:val="00E26E08"/>
    <w:rsid w:val="00E32A37"/>
    <w:rsid w:val="00E3491A"/>
    <w:rsid w:val="00E3736B"/>
    <w:rsid w:val="00E4110B"/>
    <w:rsid w:val="00E42395"/>
    <w:rsid w:val="00E43A87"/>
    <w:rsid w:val="00E45906"/>
    <w:rsid w:val="00E46B4B"/>
    <w:rsid w:val="00E508B9"/>
    <w:rsid w:val="00E56FBD"/>
    <w:rsid w:val="00E63B62"/>
    <w:rsid w:val="00E64598"/>
    <w:rsid w:val="00E6733F"/>
    <w:rsid w:val="00E72079"/>
    <w:rsid w:val="00E721C3"/>
    <w:rsid w:val="00E72ACC"/>
    <w:rsid w:val="00E74795"/>
    <w:rsid w:val="00E748F4"/>
    <w:rsid w:val="00E83AAE"/>
    <w:rsid w:val="00E84A51"/>
    <w:rsid w:val="00E92885"/>
    <w:rsid w:val="00EA10D4"/>
    <w:rsid w:val="00EA321D"/>
    <w:rsid w:val="00EB1F26"/>
    <w:rsid w:val="00EB220B"/>
    <w:rsid w:val="00EB6C81"/>
    <w:rsid w:val="00EB6ECC"/>
    <w:rsid w:val="00EC3AD7"/>
    <w:rsid w:val="00EC7276"/>
    <w:rsid w:val="00ED1908"/>
    <w:rsid w:val="00ED55A0"/>
    <w:rsid w:val="00ED643C"/>
    <w:rsid w:val="00ED6FE9"/>
    <w:rsid w:val="00EE2E06"/>
    <w:rsid w:val="00EE4620"/>
    <w:rsid w:val="00EE5503"/>
    <w:rsid w:val="00EE5D55"/>
    <w:rsid w:val="00EE798E"/>
    <w:rsid w:val="00EF0E39"/>
    <w:rsid w:val="00EF64C3"/>
    <w:rsid w:val="00EF65AD"/>
    <w:rsid w:val="00EF7641"/>
    <w:rsid w:val="00F001A5"/>
    <w:rsid w:val="00F0077F"/>
    <w:rsid w:val="00F03E1A"/>
    <w:rsid w:val="00F072F8"/>
    <w:rsid w:val="00F079E1"/>
    <w:rsid w:val="00F1180D"/>
    <w:rsid w:val="00F1396A"/>
    <w:rsid w:val="00F141E9"/>
    <w:rsid w:val="00F20194"/>
    <w:rsid w:val="00F2262E"/>
    <w:rsid w:val="00F24753"/>
    <w:rsid w:val="00F27A4A"/>
    <w:rsid w:val="00F300DC"/>
    <w:rsid w:val="00F35196"/>
    <w:rsid w:val="00F364BF"/>
    <w:rsid w:val="00F43D72"/>
    <w:rsid w:val="00F43ED4"/>
    <w:rsid w:val="00F4449C"/>
    <w:rsid w:val="00F45885"/>
    <w:rsid w:val="00F46BC9"/>
    <w:rsid w:val="00F47BEE"/>
    <w:rsid w:val="00F47D13"/>
    <w:rsid w:val="00F5337F"/>
    <w:rsid w:val="00F632A8"/>
    <w:rsid w:val="00F65077"/>
    <w:rsid w:val="00F676A4"/>
    <w:rsid w:val="00F73CBE"/>
    <w:rsid w:val="00F74044"/>
    <w:rsid w:val="00F74B7D"/>
    <w:rsid w:val="00F750BA"/>
    <w:rsid w:val="00F801CB"/>
    <w:rsid w:val="00F80BE1"/>
    <w:rsid w:val="00F81F9E"/>
    <w:rsid w:val="00F93327"/>
    <w:rsid w:val="00F95E9C"/>
    <w:rsid w:val="00F9630D"/>
    <w:rsid w:val="00F971E7"/>
    <w:rsid w:val="00F97643"/>
    <w:rsid w:val="00FA28A3"/>
    <w:rsid w:val="00FA33FE"/>
    <w:rsid w:val="00FA60D8"/>
    <w:rsid w:val="00FA6D1F"/>
    <w:rsid w:val="00FB1D49"/>
    <w:rsid w:val="00FB512E"/>
    <w:rsid w:val="00FB5F7B"/>
    <w:rsid w:val="00FC258A"/>
    <w:rsid w:val="00FD2842"/>
    <w:rsid w:val="00FD2F6F"/>
    <w:rsid w:val="00FE5B29"/>
    <w:rsid w:val="00FE5C11"/>
    <w:rsid w:val="00FE6D5C"/>
    <w:rsid w:val="00FE6DF5"/>
    <w:rsid w:val="00FF17EC"/>
    <w:rsid w:val="00FF2954"/>
    <w:rsid w:val="00FF7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33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E6"/>
  </w:style>
  <w:style w:type="paragraph" w:styleId="Heading1">
    <w:name w:val="heading 1"/>
    <w:basedOn w:val="Normal"/>
    <w:next w:val="Normal"/>
    <w:link w:val="Heading1Char"/>
    <w:qFormat/>
    <w:rsid w:val="00B86E59"/>
    <w:pPr>
      <w:keepNext/>
      <w:spacing w:before="360" w:after="120"/>
      <w:outlineLvl w:val="0"/>
    </w:pPr>
    <w:rPr>
      <w:rFonts w:ascii="Arial" w:eastAsia="Times New Roman" w:hAnsi="Arial"/>
      <w:b/>
      <w:caps/>
      <w:kern w:val="28"/>
      <w:sz w:val="28"/>
    </w:rPr>
  </w:style>
  <w:style w:type="paragraph" w:styleId="Heading2">
    <w:name w:val="heading 2"/>
    <w:basedOn w:val="Normal"/>
    <w:next w:val="Normal"/>
    <w:link w:val="Heading2Char"/>
    <w:unhideWhenUsed/>
    <w:qFormat/>
    <w:rsid w:val="00B86E59"/>
    <w:pPr>
      <w:keepNext/>
      <w:keepLines/>
      <w:spacing w:before="200" w:after="120"/>
      <w:ind w:left="426" w:hanging="426"/>
      <w:outlineLvl w:val="1"/>
    </w:pPr>
    <w:rPr>
      <w:rFonts w:ascii="Arial" w:eastAsia="Times New Roman" w:hAnsi="Arial"/>
      <w:b/>
      <w:caps/>
      <w:sz w:val="28"/>
    </w:rPr>
  </w:style>
  <w:style w:type="paragraph" w:styleId="Heading3">
    <w:name w:val="heading 3"/>
    <w:basedOn w:val="Heading2"/>
    <w:next w:val="Normal"/>
    <w:link w:val="Heading3Char"/>
    <w:qFormat/>
    <w:rsid w:val="00B86E59"/>
    <w:pPr>
      <w:outlineLvl w:val="2"/>
    </w:pPr>
    <w:rPr>
      <w:caps w:val="0"/>
      <w:sz w:val="24"/>
    </w:rPr>
  </w:style>
  <w:style w:type="paragraph" w:styleId="Heading4">
    <w:name w:val="heading 4"/>
    <w:basedOn w:val="Heading3"/>
    <w:next w:val="Normal"/>
    <w:link w:val="Heading4Char"/>
    <w:uiPriority w:val="9"/>
    <w:unhideWhenUsed/>
    <w:qFormat/>
    <w:rsid w:val="00B86E59"/>
    <w:pPr>
      <w:keepLines w:val="0"/>
      <w:outlineLvl w:val="3"/>
    </w:pPr>
    <w:rPr>
      <w:bCs/>
      <w:i/>
    </w:rPr>
  </w:style>
  <w:style w:type="paragraph" w:styleId="Heading5">
    <w:name w:val="heading 5"/>
    <w:basedOn w:val="Normal"/>
    <w:next w:val="Normal"/>
    <w:link w:val="Heading5Char"/>
    <w:qFormat/>
    <w:rsid w:val="00B86E59"/>
    <w:pPr>
      <w:keepNext/>
      <w:keepLines/>
      <w:outlineLvl w:val="4"/>
    </w:pPr>
    <w:rPr>
      <w:rFonts w:ascii="Arial" w:eastAsia="Times New Roman" w:hAnsi="Arial"/>
      <w:b/>
      <w:sz w:val="21"/>
      <w:lang w:val="en-US"/>
    </w:rPr>
  </w:style>
  <w:style w:type="paragraph" w:styleId="Heading6">
    <w:name w:val="heading 6"/>
    <w:basedOn w:val="Normal"/>
    <w:next w:val="Normal"/>
    <w:link w:val="Heading6Char"/>
    <w:qFormat/>
    <w:rsid w:val="00B86E59"/>
    <w:pPr>
      <w:keepNext/>
      <w:keepLines/>
      <w:jc w:val="center"/>
      <w:outlineLvl w:val="5"/>
    </w:pPr>
    <w:rPr>
      <w:rFonts w:ascii="Arial" w:eastAsia="Times New Roman" w:hAnsi="Arial"/>
      <w:b/>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5C8A"/>
    <w:pPr>
      <w:pBdr>
        <w:bottom w:val="single" w:sz="4" w:space="1" w:color="auto"/>
      </w:pBdr>
      <w:tabs>
        <w:tab w:val="center" w:pos="4513"/>
        <w:tab w:val="right" w:pos="9026"/>
      </w:tabs>
      <w:jc w:val="right"/>
    </w:pPr>
    <w:rPr>
      <w:rFonts w:ascii="Arial" w:hAnsi="Arial"/>
    </w:rPr>
  </w:style>
  <w:style w:type="character" w:customStyle="1" w:styleId="HeaderChar">
    <w:name w:val="Header Char"/>
    <w:basedOn w:val="DefaultParagraphFont"/>
    <w:link w:val="Header"/>
    <w:rsid w:val="00AC5C8A"/>
    <w:rPr>
      <w:rFonts w:ascii="Arial" w:hAnsi="Arial"/>
    </w:rPr>
  </w:style>
  <w:style w:type="paragraph" w:styleId="Footer">
    <w:name w:val="footer"/>
    <w:basedOn w:val="Normal"/>
    <w:link w:val="FooterChar"/>
    <w:unhideWhenUsed/>
    <w:rsid w:val="00B718AD"/>
    <w:pPr>
      <w:pBdr>
        <w:top w:val="single" w:sz="4" w:space="6" w:color="auto"/>
      </w:pBdr>
      <w:tabs>
        <w:tab w:val="left" w:pos="0"/>
        <w:tab w:val="center" w:pos="4536"/>
        <w:tab w:val="right" w:pos="9072"/>
      </w:tabs>
    </w:pPr>
    <w:rPr>
      <w:rFonts w:ascii="Arial" w:hAnsi="Arial"/>
    </w:rPr>
  </w:style>
  <w:style w:type="character" w:customStyle="1" w:styleId="FooterChar">
    <w:name w:val="Footer Char"/>
    <w:basedOn w:val="DefaultParagraphFont"/>
    <w:link w:val="Footer"/>
    <w:rsid w:val="00B718AD"/>
    <w:rPr>
      <w:rFonts w:ascii="Arial" w:hAnsi="Arial"/>
    </w:rPr>
  </w:style>
  <w:style w:type="paragraph" w:customStyle="1" w:styleId="BodyText1-bullet">
    <w:name w:val="Body Text1 - bullet"/>
    <w:basedOn w:val="BodyText1"/>
    <w:qFormat/>
    <w:rsid w:val="000C0EFC"/>
    <w:pPr>
      <w:numPr>
        <w:numId w:val="25"/>
      </w:numPr>
    </w:pPr>
  </w:style>
  <w:style w:type="paragraph" w:styleId="ListParagraph">
    <w:name w:val="List Paragraph"/>
    <w:basedOn w:val="Normal"/>
    <w:uiPriority w:val="34"/>
    <w:qFormat/>
    <w:rsid w:val="004A6F6E"/>
    <w:pPr>
      <w:ind w:left="720"/>
      <w:contextualSpacing/>
    </w:pPr>
  </w:style>
  <w:style w:type="character" w:customStyle="1" w:styleId="Heading5Char">
    <w:name w:val="Heading 5 Char"/>
    <w:basedOn w:val="DefaultParagraphFont"/>
    <w:link w:val="Heading5"/>
    <w:rsid w:val="00B86E59"/>
    <w:rPr>
      <w:rFonts w:ascii="Arial" w:eastAsia="Times New Roman" w:hAnsi="Arial"/>
      <w:b/>
      <w:sz w:val="21"/>
      <w:lang w:val="en-US"/>
    </w:rPr>
  </w:style>
  <w:style w:type="paragraph" w:customStyle="1" w:styleId="BodyText1">
    <w:name w:val="Body Text1"/>
    <w:basedOn w:val="Normal"/>
    <w:qFormat/>
    <w:rsid w:val="000C0EFC"/>
    <w:pPr>
      <w:spacing w:before="60" w:after="120"/>
      <w:jc w:val="both"/>
    </w:pPr>
    <w:rPr>
      <w:rFonts w:ascii="Arial" w:hAnsi="Arial"/>
      <w:sz w:val="21"/>
    </w:rPr>
  </w:style>
  <w:style w:type="character" w:customStyle="1" w:styleId="Heading6Char">
    <w:name w:val="Heading 6 Char"/>
    <w:basedOn w:val="DefaultParagraphFont"/>
    <w:link w:val="Heading6"/>
    <w:rsid w:val="00B86E59"/>
    <w:rPr>
      <w:rFonts w:ascii="Arial" w:eastAsia="Times New Roman" w:hAnsi="Arial"/>
      <w:b/>
      <w:sz w:val="21"/>
      <w:lang w:val="en-US"/>
    </w:rPr>
  </w:style>
  <w:style w:type="paragraph" w:customStyle="1" w:styleId="Table-space">
    <w:name w:val="Table - space"/>
    <w:basedOn w:val="Normal"/>
    <w:qFormat/>
    <w:rsid w:val="000C0EFC"/>
    <w:rPr>
      <w:rFonts w:ascii="Arial" w:eastAsia="Times New Roman" w:hAnsi="Arial"/>
      <w:sz w:val="2"/>
      <w:szCs w:val="2"/>
    </w:rPr>
  </w:style>
  <w:style w:type="character" w:styleId="CommentReference">
    <w:name w:val="annotation reference"/>
    <w:basedOn w:val="DefaultParagraphFont"/>
    <w:unhideWhenUsed/>
    <w:rsid w:val="006A7D55"/>
    <w:rPr>
      <w:sz w:val="16"/>
      <w:szCs w:val="16"/>
    </w:rPr>
  </w:style>
  <w:style w:type="paragraph" w:styleId="CommentText">
    <w:name w:val="annotation text"/>
    <w:basedOn w:val="Normal"/>
    <w:link w:val="CommentTextChar"/>
    <w:unhideWhenUsed/>
    <w:rsid w:val="00347D65"/>
    <w:rPr>
      <w:rFonts w:ascii="Arial" w:hAnsi="Arial" w:cs="Arial"/>
    </w:rPr>
  </w:style>
  <w:style w:type="character" w:customStyle="1" w:styleId="CommentTextChar">
    <w:name w:val="Comment Text Char"/>
    <w:basedOn w:val="DefaultParagraphFont"/>
    <w:link w:val="CommentText"/>
    <w:rsid w:val="00347D65"/>
    <w:rPr>
      <w:rFonts w:ascii="Arial" w:hAnsi="Arial" w:cs="Arial"/>
    </w:rPr>
  </w:style>
  <w:style w:type="paragraph" w:styleId="CommentSubject">
    <w:name w:val="annotation subject"/>
    <w:basedOn w:val="CommentText"/>
    <w:next w:val="CommentText"/>
    <w:link w:val="CommentSubjectChar"/>
    <w:uiPriority w:val="99"/>
    <w:semiHidden/>
    <w:unhideWhenUsed/>
    <w:rsid w:val="006A7D55"/>
    <w:rPr>
      <w:b/>
      <w:bCs/>
    </w:rPr>
  </w:style>
  <w:style w:type="character" w:customStyle="1" w:styleId="CommentSubjectChar">
    <w:name w:val="Comment Subject Char"/>
    <w:basedOn w:val="CommentTextChar"/>
    <w:link w:val="CommentSubject"/>
    <w:uiPriority w:val="99"/>
    <w:semiHidden/>
    <w:rsid w:val="006A7D55"/>
    <w:rPr>
      <w:rFonts w:ascii="Arial" w:hAnsi="Arial" w:cs="Arial"/>
      <w:b/>
      <w:bCs/>
    </w:rPr>
  </w:style>
  <w:style w:type="paragraph" w:styleId="BalloonText">
    <w:name w:val="Balloon Text"/>
    <w:basedOn w:val="Normal"/>
    <w:link w:val="BalloonTextChar"/>
    <w:uiPriority w:val="99"/>
    <w:semiHidden/>
    <w:unhideWhenUsed/>
    <w:rsid w:val="006A7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D55"/>
    <w:rPr>
      <w:rFonts w:ascii="Segoe UI" w:hAnsi="Segoe UI" w:cs="Segoe UI"/>
      <w:sz w:val="18"/>
      <w:szCs w:val="18"/>
    </w:rPr>
  </w:style>
  <w:style w:type="character" w:customStyle="1" w:styleId="Heading3Char">
    <w:name w:val="Heading 3 Char"/>
    <w:basedOn w:val="DefaultParagraphFont"/>
    <w:link w:val="Heading3"/>
    <w:rsid w:val="00B86E59"/>
    <w:rPr>
      <w:rFonts w:ascii="Arial" w:eastAsia="Times New Roman" w:hAnsi="Arial"/>
      <w:b/>
      <w:sz w:val="24"/>
    </w:rPr>
  </w:style>
  <w:style w:type="paragraph" w:customStyle="1" w:styleId="TableText">
    <w:name w:val="TableText"/>
    <w:rsid w:val="00994C1D"/>
    <w:pPr>
      <w:keepNext/>
    </w:pPr>
    <w:rPr>
      <w:rFonts w:eastAsia="Times New Roman"/>
      <w:lang w:val="en-US"/>
    </w:rPr>
  </w:style>
  <w:style w:type="paragraph" w:styleId="Caption">
    <w:name w:val="caption"/>
    <w:basedOn w:val="Normal"/>
    <w:next w:val="Normal"/>
    <w:uiPriority w:val="35"/>
    <w:unhideWhenUsed/>
    <w:qFormat/>
    <w:rsid w:val="00994C1D"/>
    <w:pPr>
      <w:spacing w:after="200"/>
    </w:pPr>
    <w:rPr>
      <w:i/>
      <w:iCs/>
      <w:color w:val="44546A" w:themeColor="text2"/>
      <w:sz w:val="18"/>
      <w:szCs w:val="18"/>
    </w:rPr>
  </w:style>
  <w:style w:type="paragraph" w:customStyle="1" w:styleId="Table-MainTitle">
    <w:name w:val="Table - Main Title"/>
    <w:basedOn w:val="Normal"/>
    <w:next w:val="TableofAuthorities"/>
    <w:autoRedefine/>
    <w:qFormat/>
    <w:rsid w:val="00F95E9C"/>
    <w:pPr>
      <w:tabs>
        <w:tab w:val="left" w:pos="885"/>
      </w:tabs>
      <w:spacing w:before="60" w:after="60"/>
      <w:ind w:left="885" w:hanging="885"/>
    </w:pPr>
    <w:rPr>
      <w:rFonts w:ascii="Arial" w:hAnsi="Arial"/>
      <w:b/>
    </w:rPr>
  </w:style>
  <w:style w:type="paragraph" w:customStyle="1" w:styleId="Table-Heading1">
    <w:name w:val="Table - Heading 1"/>
    <w:basedOn w:val="Normal"/>
    <w:qFormat/>
    <w:rsid w:val="00F95E9C"/>
    <w:pPr>
      <w:spacing w:before="60"/>
    </w:pPr>
    <w:rPr>
      <w:rFonts w:ascii="Arial" w:hAnsi="Arial" w:cs="Arial"/>
      <w:b/>
      <w:szCs w:val="22"/>
    </w:rPr>
  </w:style>
  <w:style w:type="paragraph" w:customStyle="1" w:styleId="Table-text">
    <w:name w:val="Table - text"/>
    <w:basedOn w:val="Normal"/>
    <w:qFormat/>
    <w:rsid w:val="007346E3"/>
    <w:pPr>
      <w:spacing w:before="20" w:after="20"/>
      <w:ind w:left="181"/>
      <w:jc w:val="both"/>
    </w:pPr>
    <w:rPr>
      <w:rFonts w:ascii="Arial" w:hAnsi="Arial" w:cs="Arial"/>
      <w:szCs w:val="22"/>
    </w:rPr>
  </w:style>
  <w:style w:type="paragraph" w:customStyle="1" w:styleId="Table-heading3">
    <w:name w:val="Table - heading 3"/>
    <w:basedOn w:val="Table-Heading1"/>
    <w:qFormat/>
    <w:rsid w:val="005E574D"/>
    <w:pPr>
      <w:spacing w:before="0"/>
    </w:pPr>
    <w:rPr>
      <w:b w:val="0"/>
      <w:i/>
    </w:rPr>
  </w:style>
  <w:style w:type="table" w:styleId="TableGrid">
    <w:name w:val="Table Grid"/>
    <w:basedOn w:val="TableNormal"/>
    <w:uiPriority w:val="59"/>
    <w:rsid w:val="00162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6E59"/>
    <w:rPr>
      <w:rFonts w:ascii="Arial" w:eastAsia="Times New Roman" w:hAnsi="Arial"/>
      <w:b/>
      <w:caps/>
      <w:kern w:val="28"/>
      <w:sz w:val="28"/>
    </w:rPr>
  </w:style>
  <w:style w:type="character" w:customStyle="1" w:styleId="Heading2Char">
    <w:name w:val="Heading 2 Char"/>
    <w:basedOn w:val="DefaultParagraphFont"/>
    <w:link w:val="Heading2"/>
    <w:rsid w:val="00B86E59"/>
    <w:rPr>
      <w:rFonts w:ascii="Arial" w:eastAsia="Times New Roman" w:hAnsi="Arial"/>
      <w:b/>
      <w:caps/>
      <w:sz w:val="28"/>
    </w:rPr>
  </w:style>
  <w:style w:type="character" w:customStyle="1" w:styleId="Heading4Char">
    <w:name w:val="Heading 4 Char"/>
    <w:basedOn w:val="DefaultParagraphFont"/>
    <w:link w:val="Heading4"/>
    <w:uiPriority w:val="9"/>
    <w:rsid w:val="00B86E59"/>
    <w:rPr>
      <w:rFonts w:ascii="Arial" w:eastAsia="Times New Roman" w:hAnsi="Arial"/>
      <w:b/>
      <w:bCs/>
      <w:i/>
      <w:sz w:val="24"/>
    </w:rPr>
  </w:style>
  <w:style w:type="paragraph" w:styleId="Title">
    <w:name w:val="Title"/>
    <w:basedOn w:val="Normal"/>
    <w:next w:val="Normal"/>
    <w:link w:val="TitleChar"/>
    <w:uiPriority w:val="10"/>
    <w:qFormat/>
    <w:rsid w:val="00707326"/>
    <w:pPr>
      <w:widowControl w:val="0"/>
      <w:pBdr>
        <w:bottom w:val="single" w:sz="8" w:space="1" w:color="auto"/>
      </w:pBdr>
      <w:tabs>
        <w:tab w:val="left" w:pos="-720"/>
      </w:tabs>
      <w:suppressAutoHyphens/>
      <w:spacing w:before="60" w:after="240"/>
      <w:jc w:val="center"/>
    </w:pPr>
    <w:rPr>
      <w:rFonts w:ascii="Arial Bold" w:eastAsia="Times New Roman" w:hAnsi="Arial Bold"/>
      <w:b/>
      <w:smallCaps/>
      <w:spacing w:val="-2"/>
      <w:sz w:val="32"/>
      <w:lang w:val="en-US"/>
    </w:rPr>
  </w:style>
  <w:style w:type="character" w:customStyle="1" w:styleId="TitleChar">
    <w:name w:val="Title Char"/>
    <w:basedOn w:val="DefaultParagraphFont"/>
    <w:link w:val="Title"/>
    <w:uiPriority w:val="10"/>
    <w:rsid w:val="00707326"/>
    <w:rPr>
      <w:rFonts w:ascii="Arial Bold" w:eastAsia="Times New Roman" w:hAnsi="Arial Bold"/>
      <w:b/>
      <w:smallCaps/>
      <w:spacing w:val="-2"/>
      <w:sz w:val="32"/>
      <w:lang w:val="en-US"/>
    </w:rPr>
  </w:style>
  <w:style w:type="paragraph" w:styleId="TableofFigures">
    <w:name w:val="table of figures"/>
    <w:basedOn w:val="Normal"/>
    <w:next w:val="Normal"/>
    <w:uiPriority w:val="99"/>
    <w:unhideWhenUsed/>
    <w:rsid w:val="00A36B17"/>
  </w:style>
  <w:style w:type="paragraph" w:styleId="TableofAuthorities">
    <w:name w:val="table of authorities"/>
    <w:basedOn w:val="Normal"/>
    <w:next w:val="Normal"/>
    <w:uiPriority w:val="99"/>
    <w:semiHidden/>
    <w:unhideWhenUsed/>
    <w:rsid w:val="006E3D38"/>
    <w:pPr>
      <w:ind w:left="200" w:hanging="200"/>
    </w:pPr>
  </w:style>
  <w:style w:type="character" w:styleId="Hyperlink">
    <w:name w:val="Hyperlink"/>
    <w:basedOn w:val="DefaultParagraphFont"/>
    <w:uiPriority w:val="99"/>
    <w:unhideWhenUsed/>
    <w:rsid w:val="00A36B17"/>
    <w:rPr>
      <w:color w:val="0563C1" w:themeColor="hyperlink"/>
      <w:u w:val="single"/>
    </w:rPr>
  </w:style>
  <w:style w:type="paragraph" w:customStyle="1" w:styleId="Table-Footertext">
    <w:name w:val="Table - Footer text"/>
    <w:basedOn w:val="BodyText1"/>
    <w:qFormat/>
    <w:rsid w:val="00EE798E"/>
    <w:pPr>
      <w:spacing w:before="40" w:after="40"/>
    </w:pPr>
    <w:rPr>
      <w:sz w:val="18"/>
    </w:rPr>
  </w:style>
  <w:style w:type="paragraph" w:customStyle="1" w:styleId="Default">
    <w:name w:val="Default"/>
    <w:rsid w:val="00BC6AAE"/>
    <w:pPr>
      <w:autoSpaceDE w:val="0"/>
      <w:autoSpaceDN w:val="0"/>
      <w:adjustRightInd w:val="0"/>
    </w:pPr>
    <w:rPr>
      <w:rFonts w:ascii="Arial" w:eastAsia="Times New Roman" w:hAnsi="Arial" w:cs="Arial"/>
      <w:color w:val="000000"/>
      <w:sz w:val="24"/>
      <w:szCs w:val="24"/>
      <w:lang w:eastAsia="en-AU"/>
    </w:rPr>
  </w:style>
  <w:style w:type="paragraph" w:styleId="Subtitle">
    <w:name w:val="Subtitle"/>
    <w:basedOn w:val="Normal"/>
    <w:link w:val="SubtitleChar"/>
    <w:uiPriority w:val="11"/>
    <w:qFormat/>
    <w:rsid w:val="00524C14"/>
    <w:pPr>
      <w:widowControl w:val="0"/>
      <w:pBdr>
        <w:top w:val="single" w:sz="8" w:space="1" w:color="auto"/>
      </w:pBdr>
      <w:ind w:left="567" w:hanging="567"/>
      <w:contextualSpacing/>
      <w:jc w:val="center"/>
    </w:pPr>
    <w:rPr>
      <w:rFonts w:ascii="Arial Black" w:eastAsia="Calibri" w:hAnsi="Arial Black"/>
      <w:b/>
      <w:caps/>
      <w:sz w:val="56"/>
    </w:rPr>
  </w:style>
  <w:style w:type="character" w:customStyle="1" w:styleId="SubtitleChar">
    <w:name w:val="Subtitle Char"/>
    <w:basedOn w:val="DefaultParagraphFont"/>
    <w:link w:val="Subtitle"/>
    <w:uiPriority w:val="11"/>
    <w:rsid w:val="00524C14"/>
    <w:rPr>
      <w:rFonts w:ascii="Arial Black" w:eastAsia="Calibri" w:hAnsi="Arial Black"/>
      <w:b/>
      <w:caps/>
      <w:sz w:val="56"/>
    </w:rPr>
  </w:style>
  <w:style w:type="paragraph" w:styleId="ListBullet">
    <w:name w:val="List Bullet"/>
    <w:basedOn w:val="Normal"/>
    <w:autoRedefine/>
    <w:semiHidden/>
    <w:rsid w:val="00423418"/>
    <w:pPr>
      <w:tabs>
        <w:tab w:val="num" w:pos="360"/>
      </w:tabs>
      <w:ind w:left="360" w:hanging="360"/>
    </w:pPr>
    <w:rPr>
      <w:rFonts w:ascii="Times" w:eastAsia="Times New Roman" w:hAnsi="Times"/>
      <w:noProof/>
    </w:rPr>
  </w:style>
  <w:style w:type="paragraph" w:customStyle="1" w:styleId="Table-AEfrequency">
    <w:name w:val="Table - AE frequency"/>
    <w:basedOn w:val="BodyText1"/>
    <w:qFormat/>
    <w:rsid w:val="00357841"/>
    <w:pPr>
      <w:spacing w:before="0" w:after="0"/>
      <w:ind w:left="720"/>
    </w:pPr>
  </w:style>
  <w:style w:type="paragraph" w:customStyle="1" w:styleId="GuideDash">
    <w:name w:val="GuideDash"/>
    <w:semiHidden/>
    <w:rsid w:val="00075DCF"/>
    <w:pPr>
      <w:numPr>
        <w:numId w:val="24"/>
      </w:numPr>
      <w:tabs>
        <w:tab w:val="clear" w:pos="1786"/>
        <w:tab w:val="left" w:pos="576"/>
      </w:tabs>
      <w:spacing w:after="40"/>
      <w:ind w:left="576"/>
    </w:pPr>
    <w:rPr>
      <w:rFonts w:eastAsia="Times New Roman"/>
      <w:sz w:val="22"/>
      <w:lang w:val="en-US"/>
    </w:rPr>
  </w:style>
  <w:style w:type="paragraph" w:customStyle="1" w:styleId="Subtitle-activeingredient">
    <w:name w:val="Subtitle- active ingredient"/>
    <w:basedOn w:val="Normal"/>
    <w:qFormat/>
    <w:rsid w:val="000C0EFC"/>
    <w:pPr>
      <w:keepLines/>
      <w:widowControl w:val="0"/>
      <w:tabs>
        <w:tab w:val="left" w:pos="-720"/>
      </w:tabs>
      <w:suppressAutoHyphens/>
      <w:spacing w:before="60" w:after="240"/>
      <w:jc w:val="center"/>
    </w:pPr>
    <w:rPr>
      <w:rFonts w:ascii="Arial Bold" w:eastAsia="Times New Roman" w:hAnsi="Arial Bold"/>
      <w:b/>
      <w:smallCaps/>
      <w:spacing w:val="-2"/>
      <w:sz w:val="36"/>
      <w:lang w:val="en-US"/>
    </w:rPr>
  </w:style>
  <w:style w:type="paragraph" w:customStyle="1" w:styleId="BodyText1-indentedAEs">
    <w:name w:val="Body Text1 - indented (AE's)"/>
    <w:basedOn w:val="BodyText1"/>
    <w:qFormat/>
    <w:rsid w:val="000C0EFC"/>
    <w:pPr>
      <w:tabs>
        <w:tab w:val="left" w:pos="2977"/>
      </w:tabs>
      <w:ind w:left="2977" w:hanging="2977"/>
    </w:pPr>
  </w:style>
  <w:style w:type="paragraph" w:styleId="BodyText">
    <w:name w:val="Body Text"/>
    <w:basedOn w:val="Normal"/>
    <w:link w:val="BodyTextChar"/>
    <w:unhideWhenUsed/>
    <w:rsid w:val="00CA266D"/>
    <w:pPr>
      <w:spacing w:after="200"/>
      <w:jc w:val="both"/>
    </w:pPr>
    <w:rPr>
      <w:rFonts w:ascii="Arial" w:eastAsia="Times New Roman" w:hAnsi="Arial"/>
      <w:sz w:val="21"/>
      <w:lang w:val="en-US"/>
    </w:rPr>
  </w:style>
  <w:style w:type="character" w:customStyle="1" w:styleId="BodyTextChar">
    <w:name w:val="Body Text Char"/>
    <w:basedOn w:val="DefaultParagraphFont"/>
    <w:link w:val="BodyText"/>
    <w:rsid w:val="00CA266D"/>
    <w:rPr>
      <w:rFonts w:ascii="Arial" w:eastAsia="Times New Roman" w:hAnsi="Arial"/>
      <w:sz w:val="21"/>
      <w:lang w:val="en-US"/>
    </w:rPr>
  </w:style>
  <w:style w:type="paragraph" w:customStyle="1" w:styleId="NumberList-SS-2singled-spaced">
    <w:name w:val="Number List-SS-2 (singled-spaced)"/>
    <w:basedOn w:val="Normal"/>
    <w:rsid w:val="002763F4"/>
    <w:pPr>
      <w:numPr>
        <w:numId w:val="26"/>
      </w:numPr>
      <w:jc w:val="both"/>
    </w:pPr>
    <w:rPr>
      <w:rFonts w:eastAsia="Times New Roman"/>
      <w:sz w:val="24"/>
      <w:lang w:val="en-US"/>
    </w:rPr>
  </w:style>
  <w:style w:type="paragraph" w:customStyle="1" w:styleId="BodyTextBold">
    <w:name w:val="Body Text (Bold)"/>
    <w:basedOn w:val="BodyText"/>
    <w:qFormat/>
    <w:rsid w:val="00C911E1"/>
    <w:pPr>
      <w:keepNext/>
    </w:pPr>
    <w:rPr>
      <w:rFonts w:ascii="Times New Roman Bold" w:hAnsi="Times New Roman Bold"/>
      <w:b/>
    </w:rPr>
  </w:style>
  <w:style w:type="paragraph" w:customStyle="1" w:styleId="PIBulletSecondIndent">
    <w:name w:val="PI Bullet Second Indent"/>
    <w:basedOn w:val="Normal"/>
    <w:next w:val="Normal"/>
    <w:qFormat/>
    <w:rsid w:val="009E49C6"/>
    <w:pPr>
      <w:numPr>
        <w:numId w:val="27"/>
      </w:numPr>
      <w:spacing w:after="200" w:line="300" w:lineRule="auto"/>
      <w:ind w:hanging="720"/>
    </w:pPr>
    <w:rPr>
      <w:rFonts w:ascii="Verdana" w:eastAsia="Times New Roman" w:hAnsi="Verdana"/>
      <w:sz w:val="24"/>
      <w:szCs w:val="24"/>
      <w:lang w:val="en-US"/>
    </w:rPr>
  </w:style>
  <w:style w:type="paragraph" w:customStyle="1" w:styleId="Numbered11-3">
    <w:name w:val="Numbered 11-3"/>
    <w:qFormat/>
    <w:rsid w:val="004D1DA6"/>
    <w:pPr>
      <w:numPr>
        <w:numId w:val="28"/>
      </w:numPr>
      <w:spacing w:after="120"/>
      <w:jc w:val="both"/>
    </w:pPr>
    <w:rPr>
      <w:rFonts w:eastAsia="Times New Roman"/>
      <w:sz w:val="22"/>
      <w:lang w:val="en-US"/>
    </w:rPr>
  </w:style>
  <w:style w:type="character" w:customStyle="1" w:styleId="UnresolvedMention1">
    <w:name w:val="Unresolved Mention1"/>
    <w:basedOn w:val="DefaultParagraphFont"/>
    <w:uiPriority w:val="99"/>
    <w:semiHidden/>
    <w:unhideWhenUsed/>
    <w:rsid w:val="00A87DDB"/>
    <w:rPr>
      <w:color w:val="808080"/>
      <w:shd w:val="clear" w:color="auto" w:fill="E6E6E6"/>
    </w:rPr>
  </w:style>
  <w:style w:type="paragraph" w:styleId="EndnoteText">
    <w:name w:val="endnote text"/>
    <w:basedOn w:val="Normal"/>
    <w:link w:val="EndnoteTextChar"/>
    <w:uiPriority w:val="99"/>
    <w:unhideWhenUsed/>
    <w:rsid w:val="00A338A2"/>
    <w:pPr>
      <w:tabs>
        <w:tab w:val="left" w:pos="360"/>
      </w:tabs>
      <w:ind w:left="360" w:hanging="360"/>
      <w:jc w:val="both"/>
    </w:pPr>
    <w:rPr>
      <w:rFonts w:eastAsia="Times New Roman"/>
      <w:sz w:val="16"/>
      <w:lang w:val="en-US"/>
    </w:rPr>
  </w:style>
  <w:style w:type="character" w:customStyle="1" w:styleId="EndnoteTextChar">
    <w:name w:val="Endnote Text Char"/>
    <w:basedOn w:val="DefaultParagraphFont"/>
    <w:link w:val="EndnoteText"/>
    <w:uiPriority w:val="99"/>
    <w:rsid w:val="00A338A2"/>
    <w:rPr>
      <w:rFonts w:eastAsia="Times New Roman"/>
      <w:sz w:val="16"/>
      <w:lang w:val="en-US"/>
    </w:rPr>
  </w:style>
  <w:style w:type="character" w:styleId="EndnoteReference">
    <w:name w:val="endnote reference"/>
    <w:semiHidden/>
    <w:unhideWhenUsed/>
    <w:rsid w:val="008D4C54"/>
    <w:rPr>
      <w:vertAlign w:val="superscript"/>
    </w:rPr>
  </w:style>
  <w:style w:type="paragraph" w:styleId="FootnoteText">
    <w:name w:val="footnote text"/>
    <w:basedOn w:val="Normal"/>
    <w:link w:val="FootnoteTextChar"/>
    <w:rsid w:val="00FD2F6F"/>
    <w:pPr>
      <w:keepLines/>
      <w:spacing w:before="180" w:after="180" w:line="276" w:lineRule="auto"/>
    </w:pPr>
    <w:rPr>
      <w:rFonts w:eastAsia="Calibri"/>
      <w:sz w:val="22"/>
      <w:szCs w:val="22"/>
    </w:rPr>
  </w:style>
  <w:style w:type="character" w:customStyle="1" w:styleId="FootnoteTextChar">
    <w:name w:val="Footnote Text Char"/>
    <w:basedOn w:val="DefaultParagraphFont"/>
    <w:link w:val="FootnoteText"/>
    <w:rsid w:val="00FD2F6F"/>
    <w:rPr>
      <w:rFonts w:eastAsia="Calibri"/>
      <w:sz w:val="22"/>
      <w:szCs w:val="22"/>
    </w:rPr>
  </w:style>
  <w:style w:type="character" w:styleId="FootnoteReference">
    <w:name w:val="footnote reference"/>
    <w:basedOn w:val="DefaultParagraphFont"/>
    <w:unhideWhenUsed/>
    <w:rsid w:val="00FD2F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E6"/>
  </w:style>
  <w:style w:type="paragraph" w:styleId="Heading1">
    <w:name w:val="heading 1"/>
    <w:basedOn w:val="Normal"/>
    <w:next w:val="Normal"/>
    <w:link w:val="Heading1Char"/>
    <w:qFormat/>
    <w:rsid w:val="00B86E59"/>
    <w:pPr>
      <w:keepNext/>
      <w:spacing w:before="360" w:after="120"/>
      <w:outlineLvl w:val="0"/>
    </w:pPr>
    <w:rPr>
      <w:rFonts w:ascii="Arial" w:eastAsia="Times New Roman" w:hAnsi="Arial"/>
      <w:b/>
      <w:caps/>
      <w:kern w:val="28"/>
      <w:sz w:val="28"/>
    </w:rPr>
  </w:style>
  <w:style w:type="paragraph" w:styleId="Heading2">
    <w:name w:val="heading 2"/>
    <w:basedOn w:val="Normal"/>
    <w:next w:val="Normal"/>
    <w:link w:val="Heading2Char"/>
    <w:unhideWhenUsed/>
    <w:qFormat/>
    <w:rsid w:val="00B86E59"/>
    <w:pPr>
      <w:keepNext/>
      <w:keepLines/>
      <w:spacing w:before="200" w:after="120"/>
      <w:ind w:left="426" w:hanging="426"/>
      <w:outlineLvl w:val="1"/>
    </w:pPr>
    <w:rPr>
      <w:rFonts w:ascii="Arial" w:eastAsia="Times New Roman" w:hAnsi="Arial"/>
      <w:b/>
      <w:caps/>
      <w:sz w:val="28"/>
    </w:rPr>
  </w:style>
  <w:style w:type="paragraph" w:styleId="Heading3">
    <w:name w:val="heading 3"/>
    <w:basedOn w:val="Heading2"/>
    <w:next w:val="Normal"/>
    <w:link w:val="Heading3Char"/>
    <w:qFormat/>
    <w:rsid w:val="00B86E59"/>
    <w:pPr>
      <w:outlineLvl w:val="2"/>
    </w:pPr>
    <w:rPr>
      <w:caps w:val="0"/>
      <w:sz w:val="24"/>
    </w:rPr>
  </w:style>
  <w:style w:type="paragraph" w:styleId="Heading4">
    <w:name w:val="heading 4"/>
    <w:basedOn w:val="Heading3"/>
    <w:next w:val="Normal"/>
    <w:link w:val="Heading4Char"/>
    <w:uiPriority w:val="9"/>
    <w:unhideWhenUsed/>
    <w:qFormat/>
    <w:rsid w:val="00B86E59"/>
    <w:pPr>
      <w:keepLines w:val="0"/>
      <w:outlineLvl w:val="3"/>
    </w:pPr>
    <w:rPr>
      <w:bCs/>
      <w:i/>
    </w:rPr>
  </w:style>
  <w:style w:type="paragraph" w:styleId="Heading5">
    <w:name w:val="heading 5"/>
    <w:basedOn w:val="Normal"/>
    <w:next w:val="Normal"/>
    <w:link w:val="Heading5Char"/>
    <w:qFormat/>
    <w:rsid w:val="00B86E59"/>
    <w:pPr>
      <w:keepNext/>
      <w:keepLines/>
      <w:outlineLvl w:val="4"/>
    </w:pPr>
    <w:rPr>
      <w:rFonts w:ascii="Arial" w:eastAsia="Times New Roman" w:hAnsi="Arial"/>
      <w:b/>
      <w:sz w:val="21"/>
      <w:lang w:val="en-US"/>
    </w:rPr>
  </w:style>
  <w:style w:type="paragraph" w:styleId="Heading6">
    <w:name w:val="heading 6"/>
    <w:basedOn w:val="Normal"/>
    <w:next w:val="Normal"/>
    <w:link w:val="Heading6Char"/>
    <w:qFormat/>
    <w:rsid w:val="00B86E59"/>
    <w:pPr>
      <w:keepNext/>
      <w:keepLines/>
      <w:jc w:val="center"/>
      <w:outlineLvl w:val="5"/>
    </w:pPr>
    <w:rPr>
      <w:rFonts w:ascii="Arial" w:eastAsia="Times New Roman" w:hAnsi="Arial"/>
      <w:b/>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5C8A"/>
    <w:pPr>
      <w:pBdr>
        <w:bottom w:val="single" w:sz="4" w:space="1" w:color="auto"/>
      </w:pBdr>
      <w:tabs>
        <w:tab w:val="center" w:pos="4513"/>
        <w:tab w:val="right" w:pos="9026"/>
      </w:tabs>
      <w:jc w:val="right"/>
    </w:pPr>
    <w:rPr>
      <w:rFonts w:ascii="Arial" w:hAnsi="Arial"/>
    </w:rPr>
  </w:style>
  <w:style w:type="character" w:customStyle="1" w:styleId="HeaderChar">
    <w:name w:val="Header Char"/>
    <w:basedOn w:val="DefaultParagraphFont"/>
    <w:link w:val="Header"/>
    <w:rsid w:val="00AC5C8A"/>
    <w:rPr>
      <w:rFonts w:ascii="Arial" w:hAnsi="Arial"/>
    </w:rPr>
  </w:style>
  <w:style w:type="paragraph" w:styleId="Footer">
    <w:name w:val="footer"/>
    <w:basedOn w:val="Normal"/>
    <w:link w:val="FooterChar"/>
    <w:unhideWhenUsed/>
    <w:rsid w:val="00B718AD"/>
    <w:pPr>
      <w:pBdr>
        <w:top w:val="single" w:sz="4" w:space="6" w:color="auto"/>
      </w:pBdr>
      <w:tabs>
        <w:tab w:val="left" w:pos="0"/>
        <w:tab w:val="center" w:pos="4536"/>
        <w:tab w:val="right" w:pos="9072"/>
      </w:tabs>
    </w:pPr>
    <w:rPr>
      <w:rFonts w:ascii="Arial" w:hAnsi="Arial"/>
    </w:rPr>
  </w:style>
  <w:style w:type="character" w:customStyle="1" w:styleId="FooterChar">
    <w:name w:val="Footer Char"/>
    <w:basedOn w:val="DefaultParagraphFont"/>
    <w:link w:val="Footer"/>
    <w:rsid w:val="00B718AD"/>
    <w:rPr>
      <w:rFonts w:ascii="Arial" w:hAnsi="Arial"/>
    </w:rPr>
  </w:style>
  <w:style w:type="paragraph" w:customStyle="1" w:styleId="BodyText1-bullet">
    <w:name w:val="Body Text1 - bullet"/>
    <w:basedOn w:val="BodyText1"/>
    <w:qFormat/>
    <w:rsid w:val="000C0EFC"/>
    <w:pPr>
      <w:numPr>
        <w:numId w:val="25"/>
      </w:numPr>
    </w:pPr>
  </w:style>
  <w:style w:type="paragraph" w:styleId="ListParagraph">
    <w:name w:val="List Paragraph"/>
    <w:basedOn w:val="Normal"/>
    <w:uiPriority w:val="34"/>
    <w:qFormat/>
    <w:rsid w:val="004A6F6E"/>
    <w:pPr>
      <w:ind w:left="720"/>
      <w:contextualSpacing/>
    </w:pPr>
  </w:style>
  <w:style w:type="character" w:customStyle="1" w:styleId="Heading5Char">
    <w:name w:val="Heading 5 Char"/>
    <w:basedOn w:val="DefaultParagraphFont"/>
    <w:link w:val="Heading5"/>
    <w:rsid w:val="00B86E59"/>
    <w:rPr>
      <w:rFonts w:ascii="Arial" w:eastAsia="Times New Roman" w:hAnsi="Arial"/>
      <w:b/>
      <w:sz w:val="21"/>
      <w:lang w:val="en-US"/>
    </w:rPr>
  </w:style>
  <w:style w:type="paragraph" w:customStyle="1" w:styleId="BodyText1">
    <w:name w:val="Body Text1"/>
    <w:basedOn w:val="Normal"/>
    <w:qFormat/>
    <w:rsid w:val="000C0EFC"/>
    <w:pPr>
      <w:spacing w:before="60" w:after="120"/>
      <w:jc w:val="both"/>
    </w:pPr>
    <w:rPr>
      <w:rFonts w:ascii="Arial" w:hAnsi="Arial"/>
      <w:sz w:val="21"/>
    </w:rPr>
  </w:style>
  <w:style w:type="character" w:customStyle="1" w:styleId="Heading6Char">
    <w:name w:val="Heading 6 Char"/>
    <w:basedOn w:val="DefaultParagraphFont"/>
    <w:link w:val="Heading6"/>
    <w:rsid w:val="00B86E59"/>
    <w:rPr>
      <w:rFonts w:ascii="Arial" w:eastAsia="Times New Roman" w:hAnsi="Arial"/>
      <w:b/>
      <w:sz w:val="21"/>
      <w:lang w:val="en-US"/>
    </w:rPr>
  </w:style>
  <w:style w:type="paragraph" w:customStyle="1" w:styleId="Table-space">
    <w:name w:val="Table - space"/>
    <w:basedOn w:val="Normal"/>
    <w:qFormat/>
    <w:rsid w:val="000C0EFC"/>
    <w:rPr>
      <w:rFonts w:ascii="Arial" w:eastAsia="Times New Roman" w:hAnsi="Arial"/>
      <w:sz w:val="2"/>
      <w:szCs w:val="2"/>
    </w:rPr>
  </w:style>
  <w:style w:type="character" w:styleId="CommentReference">
    <w:name w:val="annotation reference"/>
    <w:basedOn w:val="DefaultParagraphFont"/>
    <w:unhideWhenUsed/>
    <w:rsid w:val="006A7D55"/>
    <w:rPr>
      <w:sz w:val="16"/>
      <w:szCs w:val="16"/>
    </w:rPr>
  </w:style>
  <w:style w:type="paragraph" w:styleId="CommentText">
    <w:name w:val="annotation text"/>
    <w:basedOn w:val="Normal"/>
    <w:link w:val="CommentTextChar"/>
    <w:unhideWhenUsed/>
    <w:rsid w:val="00347D65"/>
    <w:rPr>
      <w:rFonts w:ascii="Arial" w:hAnsi="Arial" w:cs="Arial"/>
    </w:rPr>
  </w:style>
  <w:style w:type="character" w:customStyle="1" w:styleId="CommentTextChar">
    <w:name w:val="Comment Text Char"/>
    <w:basedOn w:val="DefaultParagraphFont"/>
    <w:link w:val="CommentText"/>
    <w:rsid w:val="00347D65"/>
    <w:rPr>
      <w:rFonts w:ascii="Arial" w:hAnsi="Arial" w:cs="Arial"/>
    </w:rPr>
  </w:style>
  <w:style w:type="paragraph" w:styleId="CommentSubject">
    <w:name w:val="annotation subject"/>
    <w:basedOn w:val="CommentText"/>
    <w:next w:val="CommentText"/>
    <w:link w:val="CommentSubjectChar"/>
    <w:uiPriority w:val="99"/>
    <w:semiHidden/>
    <w:unhideWhenUsed/>
    <w:rsid w:val="006A7D55"/>
    <w:rPr>
      <w:b/>
      <w:bCs/>
    </w:rPr>
  </w:style>
  <w:style w:type="character" w:customStyle="1" w:styleId="CommentSubjectChar">
    <w:name w:val="Comment Subject Char"/>
    <w:basedOn w:val="CommentTextChar"/>
    <w:link w:val="CommentSubject"/>
    <w:uiPriority w:val="99"/>
    <w:semiHidden/>
    <w:rsid w:val="006A7D55"/>
    <w:rPr>
      <w:rFonts w:ascii="Arial" w:hAnsi="Arial" w:cs="Arial"/>
      <w:b/>
      <w:bCs/>
    </w:rPr>
  </w:style>
  <w:style w:type="paragraph" w:styleId="BalloonText">
    <w:name w:val="Balloon Text"/>
    <w:basedOn w:val="Normal"/>
    <w:link w:val="BalloonTextChar"/>
    <w:uiPriority w:val="99"/>
    <w:semiHidden/>
    <w:unhideWhenUsed/>
    <w:rsid w:val="006A7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D55"/>
    <w:rPr>
      <w:rFonts w:ascii="Segoe UI" w:hAnsi="Segoe UI" w:cs="Segoe UI"/>
      <w:sz w:val="18"/>
      <w:szCs w:val="18"/>
    </w:rPr>
  </w:style>
  <w:style w:type="character" w:customStyle="1" w:styleId="Heading3Char">
    <w:name w:val="Heading 3 Char"/>
    <w:basedOn w:val="DefaultParagraphFont"/>
    <w:link w:val="Heading3"/>
    <w:rsid w:val="00B86E59"/>
    <w:rPr>
      <w:rFonts w:ascii="Arial" w:eastAsia="Times New Roman" w:hAnsi="Arial"/>
      <w:b/>
      <w:sz w:val="24"/>
    </w:rPr>
  </w:style>
  <w:style w:type="paragraph" w:customStyle="1" w:styleId="TableText">
    <w:name w:val="TableText"/>
    <w:rsid w:val="00994C1D"/>
    <w:pPr>
      <w:keepNext/>
    </w:pPr>
    <w:rPr>
      <w:rFonts w:eastAsia="Times New Roman"/>
      <w:lang w:val="en-US"/>
    </w:rPr>
  </w:style>
  <w:style w:type="paragraph" w:styleId="Caption">
    <w:name w:val="caption"/>
    <w:basedOn w:val="Normal"/>
    <w:next w:val="Normal"/>
    <w:uiPriority w:val="35"/>
    <w:unhideWhenUsed/>
    <w:qFormat/>
    <w:rsid w:val="00994C1D"/>
    <w:pPr>
      <w:spacing w:after="200"/>
    </w:pPr>
    <w:rPr>
      <w:i/>
      <w:iCs/>
      <w:color w:val="44546A" w:themeColor="text2"/>
      <w:sz w:val="18"/>
      <w:szCs w:val="18"/>
    </w:rPr>
  </w:style>
  <w:style w:type="paragraph" w:customStyle="1" w:styleId="Table-MainTitle">
    <w:name w:val="Table - Main Title"/>
    <w:basedOn w:val="Normal"/>
    <w:next w:val="TableofAuthorities"/>
    <w:autoRedefine/>
    <w:qFormat/>
    <w:rsid w:val="00F95E9C"/>
    <w:pPr>
      <w:tabs>
        <w:tab w:val="left" w:pos="885"/>
      </w:tabs>
      <w:spacing w:before="60" w:after="60"/>
      <w:ind w:left="885" w:hanging="885"/>
    </w:pPr>
    <w:rPr>
      <w:rFonts w:ascii="Arial" w:hAnsi="Arial"/>
      <w:b/>
    </w:rPr>
  </w:style>
  <w:style w:type="paragraph" w:customStyle="1" w:styleId="Table-Heading1">
    <w:name w:val="Table - Heading 1"/>
    <w:basedOn w:val="Normal"/>
    <w:qFormat/>
    <w:rsid w:val="00F95E9C"/>
    <w:pPr>
      <w:spacing w:before="60"/>
    </w:pPr>
    <w:rPr>
      <w:rFonts w:ascii="Arial" w:hAnsi="Arial" w:cs="Arial"/>
      <w:b/>
      <w:szCs w:val="22"/>
    </w:rPr>
  </w:style>
  <w:style w:type="paragraph" w:customStyle="1" w:styleId="Table-text">
    <w:name w:val="Table - text"/>
    <w:basedOn w:val="Normal"/>
    <w:qFormat/>
    <w:rsid w:val="007346E3"/>
    <w:pPr>
      <w:spacing w:before="20" w:after="20"/>
      <w:ind w:left="181"/>
      <w:jc w:val="both"/>
    </w:pPr>
    <w:rPr>
      <w:rFonts w:ascii="Arial" w:hAnsi="Arial" w:cs="Arial"/>
      <w:szCs w:val="22"/>
    </w:rPr>
  </w:style>
  <w:style w:type="paragraph" w:customStyle="1" w:styleId="Table-heading3">
    <w:name w:val="Table - heading 3"/>
    <w:basedOn w:val="Table-Heading1"/>
    <w:qFormat/>
    <w:rsid w:val="005E574D"/>
    <w:pPr>
      <w:spacing w:before="0"/>
    </w:pPr>
    <w:rPr>
      <w:b w:val="0"/>
      <w:i/>
    </w:rPr>
  </w:style>
  <w:style w:type="table" w:styleId="TableGrid">
    <w:name w:val="Table Grid"/>
    <w:basedOn w:val="TableNormal"/>
    <w:uiPriority w:val="59"/>
    <w:rsid w:val="00162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6E59"/>
    <w:rPr>
      <w:rFonts w:ascii="Arial" w:eastAsia="Times New Roman" w:hAnsi="Arial"/>
      <w:b/>
      <w:caps/>
      <w:kern w:val="28"/>
      <w:sz w:val="28"/>
    </w:rPr>
  </w:style>
  <w:style w:type="character" w:customStyle="1" w:styleId="Heading2Char">
    <w:name w:val="Heading 2 Char"/>
    <w:basedOn w:val="DefaultParagraphFont"/>
    <w:link w:val="Heading2"/>
    <w:rsid w:val="00B86E59"/>
    <w:rPr>
      <w:rFonts w:ascii="Arial" w:eastAsia="Times New Roman" w:hAnsi="Arial"/>
      <w:b/>
      <w:caps/>
      <w:sz w:val="28"/>
    </w:rPr>
  </w:style>
  <w:style w:type="character" w:customStyle="1" w:styleId="Heading4Char">
    <w:name w:val="Heading 4 Char"/>
    <w:basedOn w:val="DefaultParagraphFont"/>
    <w:link w:val="Heading4"/>
    <w:uiPriority w:val="9"/>
    <w:rsid w:val="00B86E59"/>
    <w:rPr>
      <w:rFonts w:ascii="Arial" w:eastAsia="Times New Roman" w:hAnsi="Arial"/>
      <w:b/>
      <w:bCs/>
      <w:i/>
      <w:sz w:val="24"/>
    </w:rPr>
  </w:style>
  <w:style w:type="paragraph" w:styleId="Title">
    <w:name w:val="Title"/>
    <w:basedOn w:val="Normal"/>
    <w:next w:val="Normal"/>
    <w:link w:val="TitleChar"/>
    <w:uiPriority w:val="10"/>
    <w:qFormat/>
    <w:rsid w:val="00707326"/>
    <w:pPr>
      <w:widowControl w:val="0"/>
      <w:pBdr>
        <w:bottom w:val="single" w:sz="8" w:space="1" w:color="auto"/>
      </w:pBdr>
      <w:tabs>
        <w:tab w:val="left" w:pos="-720"/>
      </w:tabs>
      <w:suppressAutoHyphens/>
      <w:spacing w:before="60" w:after="240"/>
      <w:jc w:val="center"/>
    </w:pPr>
    <w:rPr>
      <w:rFonts w:ascii="Arial Bold" w:eastAsia="Times New Roman" w:hAnsi="Arial Bold"/>
      <w:b/>
      <w:smallCaps/>
      <w:spacing w:val="-2"/>
      <w:sz w:val="32"/>
      <w:lang w:val="en-US"/>
    </w:rPr>
  </w:style>
  <w:style w:type="character" w:customStyle="1" w:styleId="TitleChar">
    <w:name w:val="Title Char"/>
    <w:basedOn w:val="DefaultParagraphFont"/>
    <w:link w:val="Title"/>
    <w:uiPriority w:val="10"/>
    <w:rsid w:val="00707326"/>
    <w:rPr>
      <w:rFonts w:ascii="Arial Bold" w:eastAsia="Times New Roman" w:hAnsi="Arial Bold"/>
      <w:b/>
      <w:smallCaps/>
      <w:spacing w:val="-2"/>
      <w:sz w:val="32"/>
      <w:lang w:val="en-US"/>
    </w:rPr>
  </w:style>
  <w:style w:type="paragraph" w:styleId="TableofFigures">
    <w:name w:val="table of figures"/>
    <w:basedOn w:val="Normal"/>
    <w:next w:val="Normal"/>
    <w:uiPriority w:val="99"/>
    <w:unhideWhenUsed/>
    <w:rsid w:val="00A36B17"/>
  </w:style>
  <w:style w:type="paragraph" w:styleId="TableofAuthorities">
    <w:name w:val="table of authorities"/>
    <w:basedOn w:val="Normal"/>
    <w:next w:val="Normal"/>
    <w:uiPriority w:val="99"/>
    <w:semiHidden/>
    <w:unhideWhenUsed/>
    <w:rsid w:val="006E3D38"/>
    <w:pPr>
      <w:ind w:left="200" w:hanging="200"/>
    </w:pPr>
  </w:style>
  <w:style w:type="character" w:styleId="Hyperlink">
    <w:name w:val="Hyperlink"/>
    <w:basedOn w:val="DefaultParagraphFont"/>
    <w:uiPriority w:val="99"/>
    <w:unhideWhenUsed/>
    <w:rsid w:val="00A36B17"/>
    <w:rPr>
      <w:color w:val="0563C1" w:themeColor="hyperlink"/>
      <w:u w:val="single"/>
    </w:rPr>
  </w:style>
  <w:style w:type="paragraph" w:customStyle="1" w:styleId="Table-Footertext">
    <w:name w:val="Table - Footer text"/>
    <w:basedOn w:val="BodyText1"/>
    <w:qFormat/>
    <w:rsid w:val="00EE798E"/>
    <w:pPr>
      <w:spacing w:before="40" w:after="40"/>
    </w:pPr>
    <w:rPr>
      <w:sz w:val="18"/>
    </w:rPr>
  </w:style>
  <w:style w:type="paragraph" w:customStyle="1" w:styleId="Default">
    <w:name w:val="Default"/>
    <w:rsid w:val="00BC6AAE"/>
    <w:pPr>
      <w:autoSpaceDE w:val="0"/>
      <w:autoSpaceDN w:val="0"/>
      <w:adjustRightInd w:val="0"/>
    </w:pPr>
    <w:rPr>
      <w:rFonts w:ascii="Arial" w:eastAsia="Times New Roman" w:hAnsi="Arial" w:cs="Arial"/>
      <w:color w:val="000000"/>
      <w:sz w:val="24"/>
      <w:szCs w:val="24"/>
      <w:lang w:eastAsia="en-AU"/>
    </w:rPr>
  </w:style>
  <w:style w:type="paragraph" w:styleId="Subtitle">
    <w:name w:val="Subtitle"/>
    <w:basedOn w:val="Normal"/>
    <w:link w:val="SubtitleChar"/>
    <w:uiPriority w:val="11"/>
    <w:qFormat/>
    <w:rsid w:val="00524C14"/>
    <w:pPr>
      <w:widowControl w:val="0"/>
      <w:pBdr>
        <w:top w:val="single" w:sz="8" w:space="1" w:color="auto"/>
      </w:pBdr>
      <w:ind w:left="567" w:hanging="567"/>
      <w:contextualSpacing/>
      <w:jc w:val="center"/>
    </w:pPr>
    <w:rPr>
      <w:rFonts w:ascii="Arial Black" w:eastAsia="Calibri" w:hAnsi="Arial Black"/>
      <w:b/>
      <w:caps/>
      <w:sz w:val="56"/>
    </w:rPr>
  </w:style>
  <w:style w:type="character" w:customStyle="1" w:styleId="SubtitleChar">
    <w:name w:val="Subtitle Char"/>
    <w:basedOn w:val="DefaultParagraphFont"/>
    <w:link w:val="Subtitle"/>
    <w:uiPriority w:val="11"/>
    <w:rsid w:val="00524C14"/>
    <w:rPr>
      <w:rFonts w:ascii="Arial Black" w:eastAsia="Calibri" w:hAnsi="Arial Black"/>
      <w:b/>
      <w:caps/>
      <w:sz w:val="56"/>
    </w:rPr>
  </w:style>
  <w:style w:type="paragraph" w:styleId="ListBullet">
    <w:name w:val="List Bullet"/>
    <w:basedOn w:val="Normal"/>
    <w:autoRedefine/>
    <w:semiHidden/>
    <w:rsid w:val="00423418"/>
    <w:pPr>
      <w:tabs>
        <w:tab w:val="num" w:pos="360"/>
      </w:tabs>
      <w:ind w:left="360" w:hanging="360"/>
    </w:pPr>
    <w:rPr>
      <w:rFonts w:ascii="Times" w:eastAsia="Times New Roman" w:hAnsi="Times"/>
      <w:noProof/>
    </w:rPr>
  </w:style>
  <w:style w:type="paragraph" w:customStyle="1" w:styleId="Table-AEfrequency">
    <w:name w:val="Table - AE frequency"/>
    <w:basedOn w:val="BodyText1"/>
    <w:qFormat/>
    <w:rsid w:val="00357841"/>
    <w:pPr>
      <w:spacing w:before="0" w:after="0"/>
      <w:ind w:left="720"/>
    </w:pPr>
  </w:style>
  <w:style w:type="paragraph" w:customStyle="1" w:styleId="GuideDash">
    <w:name w:val="GuideDash"/>
    <w:semiHidden/>
    <w:rsid w:val="00075DCF"/>
    <w:pPr>
      <w:numPr>
        <w:numId w:val="24"/>
      </w:numPr>
      <w:tabs>
        <w:tab w:val="clear" w:pos="1786"/>
        <w:tab w:val="left" w:pos="576"/>
      </w:tabs>
      <w:spacing w:after="40"/>
      <w:ind w:left="576"/>
    </w:pPr>
    <w:rPr>
      <w:rFonts w:eastAsia="Times New Roman"/>
      <w:sz w:val="22"/>
      <w:lang w:val="en-US"/>
    </w:rPr>
  </w:style>
  <w:style w:type="paragraph" w:customStyle="1" w:styleId="Subtitle-activeingredient">
    <w:name w:val="Subtitle- active ingredient"/>
    <w:basedOn w:val="Normal"/>
    <w:qFormat/>
    <w:rsid w:val="000C0EFC"/>
    <w:pPr>
      <w:keepLines/>
      <w:widowControl w:val="0"/>
      <w:tabs>
        <w:tab w:val="left" w:pos="-720"/>
      </w:tabs>
      <w:suppressAutoHyphens/>
      <w:spacing w:before="60" w:after="240"/>
      <w:jc w:val="center"/>
    </w:pPr>
    <w:rPr>
      <w:rFonts w:ascii="Arial Bold" w:eastAsia="Times New Roman" w:hAnsi="Arial Bold"/>
      <w:b/>
      <w:smallCaps/>
      <w:spacing w:val="-2"/>
      <w:sz w:val="36"/>
      <w:lang w:val="en-US"/>
    </w:rPr>
  </w:style>
  <w:style w:type="paragraph" w:customStyle="1" w:styleId="BodyText1-indentedAEs">
    <w:name w:val="Body Text1 - indented (AE's)"/>
    <w:basedOn w:val="BodyText1"/>
    <w:qFormat/>
    <w:rsid w:val="000C0EFC"/>
    <w:pPr>
      <w:tabs>
        <w:tab w:val="left" w:pos="2977"/>
      </w:tabs>
      <w:ind w:left="2977" w:hanging="2977"/>
    </w:pPr>
  </w:style>
  <w:style w:type="paragraph" w:styleId="BodyText">
    <w:name w:val="Body Text"/>
    <w:basedOn w:val="Normal"/>
    <w:link w:val="BodyTextChar"/>
    <w:unhideWhenUsed/>
    <w:rsid w:val="00CA266D"/>
    <w:pPr>
      <w:spacing w:after="200"/>
      <w:jc w:val="both"/>
    </w:pPr>
    <w:rPr>
      <w:rFonts w:ascii="Arial" w:eastAsia="Times New Roman" w:hAnsi="Arial"/>
      <w:sz w:val="21"/>
      <w:lang w:val="en-US"/>
    </w:rPr>
  </w:style>
  <w:style w:type="character" w:customStyle="1" w:styleId="BodyTextChar">
    <w:name w:val="Body Text Char"/>
    <w:basedOn w:val="DefaultParagraphFont"/>
    <w:link w:val="BodyText"/>
    <w:rsid w:val="00CA266D"/>
    <w:rPr>
      <w:rFonts w:ascii="Arial" w:eastAsia="Times New Roman" w:hAnsi="Arial"/>
      <w:sz w:val="21"/>
      <w:lang w:val="en-US"/>
    </w:rPr>
  </w:style>
  <w:style w:type="paragraph" w:customStyle="1" w:styleId="NumberList-SS-2singled-spaced">
    <w:name w:val="Number List-SS-2 (singled-spaced)"/>
    <w:basedOn w:val="Normal"/>
    <w:rsid w:val="002763F4"/>
    <w:pPr>
      <w:numPr>
        <w:numId w:val="26"/>
      </w:numPr>
      <w:jc w:val="both"/>
    </w:pPr>
    <w:rPr>
      <w:rFonts w:eastAsia="Times New Roman"/>
      <w:sz w:val="24"/>
      <w:lang w:val="en-US"/>
    </w:rPr>
  </w:style>
  <w:style w:type="paragraph" w:customStyle="1" w:styleId="BodyTextBold">
    <w:name w:val="Body Text (Bold)"/>
    <w:basedOn w:val="BodyText"/>
    <w:qFormat/>
    <w:rsid w:val="00C911E1"/>
    <w:pPr>
      <w:keepNext/>
    </w:pPr>
    <w:rPr>
      <w:rFonts w:ascii="Times New Roman Bold" w:hAnsi="Times New Roman Bold"/>
      <w:b/>
    </w:rPr>
  </w:style>
  <w:style w:type="paragraph" w:customStyle="1" w:styleId="PIBulletSecondIndent">
    <w:name w:val="PI Bullet Second Indent"/>
    <w:basedOn w:val="Normal"/>
    <w:next w:val="Normal"/>
    <w:qFormat/>
    <w:rsid w:val="009E49C6"/>
    <w:pPr>
      <w:numPr>
        <w:numId w:val="27"/>
      </w:numPr>
      <w:spacing w:after="200" w:line="300" w:lineRule="auto"/>
      <w:ind w:hanging="720"/>
    </w:pPr>
    <w:rPr>
      <w:rFonts w:ascii="Verdana" w:eastAsia="Times New Roman" w:hAnsi="Verdana"/>
      <w:sz w:val="24"/>
      <w:szCs w:val="24"/>
      <w:lang w:val="en-US"/>
    </w:rPr>
  </w:style>
  <w:style w:type="paragraph" w:customStyle="1" w:styleId="Numbered11-3">
    <w:name w:val="Numbered 11-3"/>
    <w:qFormat/>
    <w:rsid w:val="004D1DA6"/>
    <w:pPr>
      <w:numPr>
        <w:numId w:val="28"/>
      </w:numPr>
      <w:spacing w:after="120"/>
      <w:jc w:val="both"/>
    </w:pPr>
    <w:rPr>
      <w:rFonts w:eastAsia="Times New Roman"/>
      <w:sz w:val="22"/>
      <w:lang w:val="en-US"/>
    </w:rPr>
  </w:style>
  <w:style w:type="character" w:customStyle="1" w:styleId="UnresolvedMention1">
    <w:name w:val="Unresolved Mention1"/>
    <w:basedOn w:val="DefaultParagraphFont"/>
    <w:uiPriority w:val="99"/>
    <w:semiHidden/>
    <w:unhideWhenUsed/>
    <w:rsid w:val="00A87DDB"/>
    <w:rPr>
      <w:color w:val="808080"/>
      <w:shd w:val="clear" w:color="auto" w:fill="E6E6E6"/>
    </w:rPr>
  </w:style>
  <w:style w:type="paragraph" w:styleId="EndnoteText">
    <w:name w:val="endnote text"/>
    <w:basedOn w:val="Normal"/>
    <w:link w:val="EndnoteTextChar"/>
    <w:uiPriority w:val="99"/>
    <w:unhideWhenUsed/>
    <w:rsid w:val="00A338A2"/>
    <w:pPr>
      <w:tabs>
        <w:tab w:val="left" w:pos="360"/>
      </w:tabs>
      <w:ind w:left="360" w:hanging="360"/>
      <w:jc w:val="both"/>
    </w:pPr>
    <w:rPr>
      <w:rFonts w:eastAsia="Times New Roman"/>
      <w:sz w:val="16"/>
      <w:lang w:val="en-US"/>
    </w:rPr>
  </w:style>
  <w:style w:type="character" w:customStyle="1" w:styleId="EndnoteTextChar">
    <w:name w:val="Endnote Text Char"/>
    <w:basedOn w:val="DefaultParagraphFont"/>
    <w:link w:val="EndnoteText"/>
    <w:uiPriority w:val="99"/>
    <w:rsid w:val="00A338A2"/>
    <w:rPr>
      <w:rFonts w:eastAsia="Times New Roman"/>
      <w:sz w:val="16"/>
      <w:lang w:val="en-US"/>
    </w:rPr>
  </w:style>
  <w:style w:type="character" w:styleId="EndnoteReference">
    <w:name w:val="endnote reference"/>
    <w:semiHidden/>
    <w:unhideWhenUsed/>
    <w:rsid w:val="008D4C54"/>
    <w:rPr>
      <w:vertAlign w:val="superscript"/>
    </w:rPr>
  </w:style>
  <w:style w:type="paragraph" w:styleId="FootnoteText">
    <w:name w:val="footnote text"/>
    <w:basedOn w:val="Normal"/>
    <w:link w:val="FootnoteTextChar"/>
    <w:rsid w:val="00FD2F6F"/>
    <w:pPr>
      <w:keepLines/>
      <w:spacing w:before="180" w:after="180" w:line="276" w:lineRule="auto"/>
    </w:pPr>
    <w:rPr>
      <w:rFonts w:eastAsia="Calibri"/>
      <w:sz w:val="22"/>
      <w:szCs w:val="22"/>
    </w:rPr>
  </w:style>
  <w:style w:type="character" w:customStyle="1" w:styleId="FootnoteTextChar">
    <w:name w:val="Footnote Text Char"/>
    <w:basedOn w:val="DefaultParagraphFont"/>
    <w:link w:val="FootnoteText"/>
    <w:rsid w:val="00FD2F6F"/>
    <w:rPr>
      <w:rFonts w:eastAsia="Calibri"/>
      <w:sz w:val="22"/>
      <w:szCs w:val="22"/>
    </w:rPr>
  </w:style>
  <w:style w:type="character" w:styleId="FootnoteReference">
    <w:name w:val="footnote reference"/>
    <w:basedOn w:val="DefaultParagraphFont"/>
    <w:unhideWhenUsed/>
    <w:rsid w:val="00FD2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346031">
      <w:bodyDiv w:val="1"/>
      <w:marLeft w:val="0"/>
      <w:marRight w:val="0"/>
      <w:marTop w:val="0"/>
      <w:marBottom w:val="0"/>
      <w:divBdr>
        <w:top w:val="none" w:sz="0" w:space="0" w:color="auto"/>
        <w:left w:val="none" w:sz="0" w:space="0" w:color="auto"/>
        <w:bottom w:val="none" w:sz="0" w:space="0" w:color="auto"/>
        <w:right w:val="none" w:sz="0" w:space="0" w:color="auto"/>
      </w:divBdr>
    </w:div>
    <w:div w:id="20363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ga.gov.au/reporting-problems" TargetMode="External"/><Relationship Id="rId4" Type="http://schemas.microsoft.com/office/2007/relationships/stylesWithEffects" Target="stylesWithEffects.xml"/><Relationship Id="rId9" Type="http://schemas.openxmlformats.org/officeDocument/2006/relationships/hyperlink" Target="https://www.tga.gov.au/reporting-problem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590C-BA4B-4CC0-852A-AEF1D633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6068</Words>
  <Characters>30830</Characters>
  <Application>Microsoft Office Word</Application>
  <DocSecurity>0</DocSecurity>
  <Lines>616</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Apalutamide</dc:title>
  <dc:subject>prescription medicines</dc:subject>
  <dc:creator/>
  <cp:keywords>AusPARs</cp:keywords>
  <cp:lastPrinted>2018-07-05T04:54:00Z</cp:lastPrinted>
  <dcterms:created xsi:type="dcterms:W3CDTF">2019-04-01T00:59:00Z</dcterms:created>
  <dcterms:modified xsi:type="dcterms:W3CDTF">2019-04-01T01:05:00Z</dcterms:modified>
</cp:coreProperties>
</file>