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798" w:rsidRPr="00123798" w:rsidRDefault="00123798" w:rsidP="0096273A">
      <w:pPr>
        <w:pStyle w:val="Header"/>
        <w:jc w:val="center"/>
        <w:rPr>
          <w:rFonts w:ascii="Arial" w:hAnsi="Arial" w:cs="Arial"/>
          <w:szCs w:val="24"/>
        </w:rPr>
      </w:pPr>
      <w:r w:rsidRPr="00123798">
        <w:rPr>
          <w:rFonts w:ascii="Arial Bold" w:hAnsi="Arial Bold"/>
          <w:b/>
          <w:caps/>
          <w:sz w:val="28"/>
          <w:szCs w:val="28"/>
        </w:rPr>
        <w:t>Kineret</w:t>
      </w:r>
      <w:proofErr w:type="gramStart"/>
      <w:r w:rsidRPr="00123798">
        <w:rPr>
          <w:rFonts w:ascii="Arial Bold" w:hAnsi="Arial Bold"/>
          <w:b/>
          <w:caps/>
          <w:sz w:val="28"/>
          <w:szCs w:val="28"/>
          <w:vertAlign w:val="superscript"/>
        </w:rPr>
        <w:t>®</w:t>
      </w:r>
      <w:proofErr w:type="gramEnd"/>
      <w:r w:rsidRPr="00123798">
        <w:rPr>
          <w:rFonts w:ascii="Arial" w:hAnsi="Arial" w:cs="Arial"/>
          <w:b/>
          <w:sz w:val="20"/>
        </w:rPr>
        <w:br/>
      </w:r>
      <w:r w:rsidRPr="00123798">
        <w:rPr>
          <w:rFonts w:ascii="Arial" w:hAnsi="Arial" w:cs="Arial"/>
          <w:b/>
          <w:szCs w:val="24"/>
        </w:rPr>
        <w:t>(</w:t>
      </w:r>
      <w:proofErr w:type="spellStart"/>
      <w:r w:rsidRPr="00123798">
        <w:rPr>
          <w:rFonts w:ascii="Arial" w:hAnsi="Arial" w:cs="Arial"/>
          <w:b/>
          <w:szCs w:val="24"/>
        </w:rPr>
        <w:t>anakinra</w:t>
      </w:r>
      <w:proofErr w:type="spellEnd"/>
      <w:r w:rsidRPr="00123798">
        <w:rPr>
          <w:rFonts w:ascii="Arial" w:hAnsi="Arial" w:cs="Arial"/>
          <w:b/>
          <w:szCs w:val="24"/>
        </w:rPr>
        <w:t>)</w:t>
      </w:r>
    </w:p>
    <w:p w:rsidR="00123798" w:rsidRPr="00A66A8F" w:rsidRDefault="00123798" w:rsidP="0096273A">
      <w:pPr>
        <w:pStyle w:val="Header"/>
        <w:jc w:val="center"/>
      </w:pPr>
    </w:p>
    <w:p w:rsidR="00014579" w:rsidRPr="00123798" w:rsidRDefault="00014579" w:rsidP="001A7050">
      <w:pPr>
        <w:pStyle w:val="PIHeading1"/>
      </w:pPr>
      <w:r w:rsidRPr="00123798">
        <w:t xml:space="preserve">NAME OF THE </w:t>
      </w:r>
      <w:r w:rsidR="00515599" w:rsidRPr="00123798">
        <w:t>MEDICINE</w:t>
      </w:r>
    </w:p>
    <w:p w:rsidR="000F72C1" w:rsidRPr="00123798" w:rsidRDefault="004C1A83" w:rsidP="000F72C1">
      <w:pPr>
        <w:autoSpaceDE w:val="0"/>
        <w:autoSpaceDN w:val="0"/>
        <w:adjustRightInd w:val="0"/>
        <w:snapToGrid w:val="0"/>
        <w:rPr>
          <w:rFonts w:ascii="Helvetica" w:hAnsi="Helvetica" w:cs="Helvetica"/>
          <w:color w:val="000000"/>
          <w:sz w:val="22"/>
          <w:szCs w:val="22"/>
          <w:lang w:eastAsia="en-AU"/>
        </w:rPr>
      </w:pPr>
      <w:r>
        <w:rPr>
          <w:rFonts w:ascii="Helvetica" w:hAnsi="Helvetica" w:cs="Helvetica"/>
          <w:color w:val="000000"/>
          <w:sz w:val="22"/>
          <w:szCs w:val="22"/>
          <w:lang w:eastAsia="en-AU"/>
        </w:rPr>
        <w:t>KINERET</w:t>
      </w:r>
      <w:r w:rsidR="000F72C1" w:rsidRPr="00123798">
        <w:rPr>
          <w:rFonts w:ascii="Helvetica" w:hAnsi="Helvetica" w:cs="Helvetica"/>
          <w:color w:val="000000"/>
          <w:sz w:val="22"/>
          <w:szCs w:val="22"/>
          <w:lang w:eastAsia="en-AU"/>
        </w:rPr>
        <w:t xml:space="preserve"> is the Swedish Orphan </w:t>
      </w:r>
      <w:proofErr w:type="spellStart"/>
      <w:r w:rsidR="000F72C1" w:rsidRPr="00123798">
        <w:rPr>
          <w:rFonts w:ascii="Helvetica" w:hAnsi="Helvetica" w:cs="Helvetica"/>
          <w:color w:val="000000"/>
          <w:sz w:val="22"/>
          <w:szCs w:val="22"/>
          <w:lang w:eastAsia="en-AU"/>
        </w:rPr>
        <w:t>Biovitrum</w:t>
      </w:r>
      <w:proofErr w:type="spellEnd"/>
      <w:r w:rsidR="000F72C1" w:rsidRPr="00123798">
        <w:rPr>
          <w:rFonts w:ascii="Helvetica" w:hAnsi="Helvetica" w:cs="Helvetica"/>
          <w:color w:val="000000"/>
          <w:sz w:val="22"/>
          <w:szCs w:val="22"/>
          <w:lang w:eastAsia="en-AU"/>
        </w:rPr>
        <w:t xml:space="preserve"> AB (</w:t>
      </w:r>
      <w:proofErr w:type="spellStart"/>
      <w:r w:rsidR="000F72C1" w:rsidRPr="00123798">
        <w:rPr>
          <w:rFonts w:ascii="Helvetica" w:hAnsi="Helvetica" w:cs="Helvetica"/>
          <w:color w:val="000000"/>
          <w:sz w:val="22"/>
          <w:szCs w:val="22"/>
          <w:lang w:eastAsia="en-AU"/>
        </w:rPr>
        <w:t>publ</w:t>
      </w:r>
      <w:proofErr w:type="spellEnd"/>
      <w:r w:rsidR="000F72C1" w:rsidRPr="00123798">
        <w:rPr>
          <w:rFonts w:ascii="Helvetica" w:hAnsi="Helvetica" w:cs="Helvetica"/>
          <w:color w:val="000000"/>
          <w:sz w:val="22"/>
          <w:szCs w:val="22"/>
          <w:lang w:eastAsia="en-AU"/>
        </w:rPr>
        <w:t xml:space="preserve">) trademark for </w:t>
      </w:r>
      <w:proofErr w:type="spellStart"/>
      <w:r w:rsidR="000F72C1" w:rsidRPr="00123798">
        <w:rPr>
          <w:rFonts w:ascii="Helvetica" w:hAnsi="Helvetica" w:cs="Helvetica"/>
          <w:color w:val="000000"/>
          <w:sz w:val="22"/>
          <w:szCs w:val="22"/>
          <w:lang w:eastAsia="en-AU"/>
        </w:rPr>
        <w:t>anakinra</w:t>
      </w:r>
      <w:proofErr w:type="spellEnd"/>
      <w:r w:rsidR="000F72C1" w:rsidRPr="00123798">
        <w:rPr>
          <w:rFonts w:ascii="Helvetica" w:hAnsi="Helvetica" w:cs="Helvetica"/>
          <w:color w:val="000000"/>
          <w:sz w:val="22"/>
          <w:szCs w:val="22"/>
          <w:lang w:eastAsia="en-AU"/>
        </w:rPr>
        <w:t xml:space="preserve"> (</w:t>
      </w:r>
      <w:proofErr w:type="spellStart"/>
      <w:proofErr w:type="gramStart"/>
      <w:r w:rsidR="000F72C1" w:rsidRPr="00123798">
        <w:rPr>
          <w:rFonts w:ascii="Helvetica" w:hAnsi="Helvetica" w:cs="Helvetica"/>
          <w:color w:val="000000"/>
          <w:sz w:val="22"/>
          <w:szCs w:val="22"/>
          <w:lang w:eastAsia="en-AU"/>
        </w:rPr>
        <w:t>rbe</w:t>
      </w:r>
      <w:proofErr w:type="spellEnd"/>
      <w:proofErr w:type="gramEnd"/>
      <w:r w:rsidR="000F72C1" w:rsidRPr="00123798">
        <w:rPr>
          <w:rFonts w:ascii="Helvetica" w:hAnsi="Helvetica" w:cs="Helvetica"/>
          <w:color w:val="000000"/>
          <w:sz w:val="22"/>
          <w:szCs w:val="22"/>
          <w:lang w:eastAsia="en-AU"/>
        </w:rPr>
        <w:t>).</w:t>
      </w:r>
    </w:p>
    <w:p w:rsidR="00014579" w:rsidRPr="00123798" w:rsidRDefault="00014579" w:rsidP="001A7050">
      <w:pPr>
        <w:pStyle w:val="PIHeading1"/>
      </w:pPr>
      <w:r w:rsidRPr="00123798">
        <w:t>DESCRIPTION</w:t>
      </w:r>
    </w:p>
    <w:p w:rsidR="000F72C1" w:rsidRPr="00123798" w:rsidRDefault="004C1A83" w:rsidP="00186894">
      <w:pPr>
        <w:pStyle w:val="TextPI"/>
      </w:pPr>
      <w:r>
        <w:rPr>
          <w:rFonts w:ascii="Helvetica" w:hAnsi="Helvetica" w:cs="Helvetica"/>
          <w:color w:val="000000"/>
          <w:lang w:eastAsia="en-AU"/>
        </w:rPr>
        <w:t>KINERET</w:t>
      </w:r>
      <w:r w:rsidR="000F72C1" w:rsidRPr="00123798">
        <w:t xml:space="preserve"> (</w:t>
      </w:r>
      <w:proofErr w:type="spellStart"/>
      <w:r w:rsidR="000F72C1" w:rsidRPr="00123798">
        <w:t>anakinra</w:t>
      </w:r>
      <w:proofErr w:type="spellEnd"/>
      <w:r w:rsidR="000F72C1" w:rsidRPr="00123798">
        <w:t xml:space="preserve">) is a recombinant, </w:t>
      </w:r>
      <w:proofErr w:type="spellStart"/>
      <w:r w:rsidR="000F72C1" w:rsidRPr="00123798">
        <w:t>nonglycosylated</w:t>
      </w:r>
      <w:proofErr w:type="spellEnd"/>
      <w:r w:rsidR="000F72C1" w:rsidRPr="00123798">
        <w:t xml:space="preserve"> form of the human interleukin-1 receptor antagonist (IL-1Ra). </w:t>
      </w:r>
      <w:r>
        <w:rPr>
          <w:rFonts w:ascii="Helvetica" w:hAnsi="Helvetica" w:cs="Helvetica"/>
          <w:color w:val="000000"/>
          <w:lang w:eastAsia="en-AU"/>
        </w:rPr>
        <w:t>KINERET</w:t>
      </w:r>
      <w:r w:rsidR="0095115D" w:rsidRPr="00123798">
        <w:t xml:space="preserve"> differs from native human IL-1</w:t>
      </w:r>
      <w:r w:rsidR="000F72C1" w:rsidRPr="00123798">
        <w:t xml:space="preserve">Ra in that it has an additional single methionine residue at its amino terminus. </w:t>
      </w:r>
      <w:r>
        <w:rPr>
          <w:rFonts w:ascii="Helvetica" w:hAnsi="Helvetica" w:cs="Helvetica"/>
          <w:color w:val="000000"/>
          <w:lang w:eastAsia="en-AU"/>
        </w:rPr>
        <w:t>KINERET</w:t>
      </w:r>
      <w:r w:rsidR="000F72C1" w:rsidRPr="00123798">
        <w:t xml:space="preserve"> consists of 153 amino acids and has a molecular weight of 17.3 </w:t>
      </w:r>
      <w:proofErr w:type="spellStart"/>
      <w:r w:rsidR="000F72C1" w:rsidRPr="00123798">
        <w:t>kilodaltons</w:t>
      </w:r>
      <w:proofErr w:type="spellEnd"/>
      <w:r w:rsidR="000F72C1" w:rsidRPr="00123798">
        <w:t xml:space="preserve">. It is produced by recombinant DNA technology using an </w:t>
      </w:r>
      <w:r w:rsidR="000F72C1" w:rsidRPr="00123798">
        <w:rPr>
          <w:i/>
        </w:rPr>
        <w:t>E. coli</w:t>
      </w:r>
      <w:r w:rsidR="000F72C1" w:rsidRPr="00123798">
        <w:t xml:space="preserve"> bacterial expression system.</w:t>
      </w:r>
    </w:p>
    <w:p w:rsidR="00047718" w:rsidRPr="00123798" w:rsidRDefault="004C1A83" w:rsidP="00186894">
      <w:pPr>
        <w:pStyle w:val="TextPI"/>
      </w:pPr>
      <w:r>
        <w:rPr>
          <w:rFonts w:ascii="Helvetica" w:hAnsi="Helvetica" w:cs="Helvetica"/>
          <w:color w:val="000000"/>
          <w:lang w:eastAsia="en-AU"/>
        </w:rPr>
        <w:t>KINERET</w:t>
      </w:r>
      <w:r w:rsidR="00A576F4">
        <w:rPr>
          <w:rFonts w:ascii="Helvetica" w:hAnsi="Helvetica" w:cs="Helvetica"/>
          <w:color w:val="000000"/>
          <w:lang w:eastAsia="en-AU"/>
        </w:rPr>
        <w:t xml:space="preserve"> </w:t>
      </w:r>
      <w:r w:rsidR="000F72C1" w:rsidRPr="00123798">
        <w:t xml:space="preserve">is supplied in single use pre-filled syringes as a sterile, clear, </w:t>
      </w:r>
      <w:proofErr w:type="spellStart"/>
      <w:r w:rsidR="000F72C1" w:rsidRPr="00123798">
        <w:t>colourless</w:t>
      </w:r>
      <w:proofErr w:type="spellEnd"/>
      <w:r w:rsidR="000F72C1" w:rsidRPr="00123798">
        <w:t>-to-white, preservative-free solution for daily subcutaneous (SC) administration. The solution may contain some small translucent-to-white particles of protein.</w:t>
      </w:r>
    </w:p>
    <w:p w:rsidR="001D1C54" w:rsidRPr="00123798" w:rsidRDefault="00014579" w:rsidP="00F501B8">
      <w:pPr>
        <w:pStyle w:val="PIHeading1"/>
      </w:pPr>
      <w:r w:rsidRPr="00123798">
        <w:t>PHARMACOLOGY</w:t>
      </w:r>
    </w:p>
    <w:p w:rsidR="000F72C1" w:rsidRPr="00123798" w:rsidRDefault="004C1A83" w:rsidP="00186894">
      <w:pPr>
        <w:pStyle w:val="TextPI"/>
      </w:pPr>
      <w:r>
        <w:rPr>
          <w:rFonts w:ascii="Helvetica" w:hAnsi="Helvetica" w:cs="Helvetica"/>
          <w:color w:val="000000"/>
          <w:lang w:eastAsia="en-AU"/>
        </w:rPr>
        <w:t>KINERET</w:t>
      </w:r>
      <w:r w:rsidR="008A6D87" w:rsidRPr="00123798">
        <w:rPr>
          <w:rFonts w:ascii="Helvetica" w:hAnsi="Helvetica" w:cs="Helvetica"/>
          <w:color w:val="000000"/>
          <w:vertAlign w:val="superscript"/>
          <w:lang w:eastAsia="en-AU"/>
        </w:rPr>
        <w:t>®</w:t>
      </w:r>
      <w:r w:rsidR="000F72C1" w:rsidRPr="00123798">
        <w:t xml:space="preserve"> blocks the biological activity of interleukin-1 (IL-1) by competitively inhibiting IL-1 binding to the inte</w:t>
      </w:r>
      <w:r w:rsidR="0095115D" w:rsidRPr="00123798">
        <w:t>rleukin-1 type I receptor (IL-1</w:t>
      </w:r>
      <w:r w:rsidR="000F72C1" w:rsidRPr="00123798">
        <w:t>RI) which is expressed in a wide variety of tissues and organs.</w:t>
      </w:r>
    </w:p>
    <w:p w:rsidR="001A7050" w:rsidRDefault="000F72C1" w:rsidP="00186894">
      <w:pPr>
        <w:pStyle w:val="TextPI"/>
      </w:pPr>
      <w:r w:rsidRPr="00123798">
        <w:t xml:space="preserve">IL-1 production is induced in response to inflammatory stimuli and mediates various physiological responses including inflammatory and immunological responses. IL-1 has a broad range of activities including cartilage degradation by its induction of the rapid loss of proteoglycans as well as stimulation of bone resorption. The levels </w:t>
      </w:r>
      <w:r w:rsidR="008A53BE" w:rsidRPr="00123798">
        <w:t>of the naturally occurring IL-1</w:t>
      </w:r>
      <w:r w:rsidRPr="00123798">
        <w:t xml:space="preserve">Ra in </w:t>
      </w:r>
      <w:proofErr w:type="spellStart"/>
      <w:r w:rsidRPr="00123798">
        <w:t>synovium</w:t>
      </w:r>
      <w:proofErr w:type="spellEnd"/>
      <w:r w:rsidRPr="00123798">
        <w:t xml:space="preserve"> and synovial fluid from rheumatoid arthritis (RA) patients are not sufficient to compete with the elevated amount of locally produced IL-1</w:t>
      </w:r>
      <w:r w:rsidR="007972EB" w:rsidRPr="00123798">
        <w:t>.</w:t>
      </w:r>
    </w:p>
    <w:p w:rsidR="004C629C" w:rsidRDefault="004C629C" w:rsidP="004C629C">
      <w:pPr>
        <w:pStyle w:val="TextPI"/>
      </w:pPr>
      <w:r w:rsidRPr="00397754">
        <w:t xml:space="preserve">Spontaneous mutations in the CIAS1/NLRP3 gene have been identified in a majority of patients with CAPS. CIAS1/NLRP3 encodes for </w:t>
      </w:r>
      <w:proofErr w:type="spellStart"/>
      <w:r w:rsidRPr="00397754">
        <w:t>cryopyrin</w:t>
      </w:r>
      <w:proofErr w:type="spellEnd"/>
      <w:r w:rsidRPr="00397754">
        <w:t xml:space="preserve">, a component of the </w:t>
      </w:r>
      <w:proofErr w:type="spellStart"/>
      <w:r w:rsidRPr="00397754">
        <w:t>inflammasome</w:t>
      </w:r>
      <w:proofErr w:type="spellEnd"/>
      <w:r w:rsidRPr="00397754">
        <w:t xml:space="preserve">. The activated </w:t>
      </w:r>
      <w:proofErr w:type="spellStart"/>
      <w:r w:rsidRPr="00397754">
        <w:t>inflammasome</w:t>
      </w:r>
      <w:proofErr w:type="spellEnd"/>
      <w:r w:rsidRPr="00397754">
        <w:t xml:space="preserve"> results in proteolytic maturation and secretion of IL-1β, which has a broad range of effects including systemic inflammation. Untreated CAPS patients are characterized by increased CRP, SAA and IL-6 relative to normal serum levels. Administration of </w:t>
      </w:r>
      <w:r w:rsidR="004C1A83" w:rsidRPr="00397754">
        <w:t>KINERET</w:t>
      </w:r>
      <w:r w:rsidRPr="00397754">
        <w:t xml:space="preserve"> results in a decrease in the acute phase reactants and a decrease in IL-6 expression level has been observed. Decreased acute phase protein levels are noted within the first weeks of treatment.</w:t>
      </w:r>
    </w:p>
    <w:p w:rsidR="009E1189" w:rsidRDefault="009E1189" w:rsidP="009E1189">
      <w:pPr>
        <w:pStyle w:val="TextPI"/>
        <w:rPr>
          <w:rFonts w:cs="Arial"/>
        </w:rPr>
      </w:pPr>
      <w:r w:rsidRPr="006215A1">
        <w:rPr>
          <w:rFonts w:cs="Arial"/>
        </w:rPr>
        <w:t>In addition</w:t>
      </w:r>
      <w:r>
        <w:rPr>
          <w:rFonts w:cs="Arial"/>
        </w:rPr>
        <w:t xml:space="preserve"> to various degrees of </w:t>
      </w:r>
      <w:r w:rsidRPr="006215A1">
        <w:rPr>
          <w:rFonts w:cs="Arial"/>
        </w:rPr>
        <w:t xml:space="preserve">arthritis, </w:t>
      </w:r>
      <w:r>
        <w:rPr>
          <w:rFonts w:cs="Arial"/>
        </w:rPr>
        <w:t>SJIA</w:t>
      </w:r>
      <w:r w:rsidRPr="006215A1">
        <w:rPr>
          <w:rFonts w:cs="Arial"/>
        </w:rPr>
        <w:t xml:space="preserve"> is </w:t>
      </w:r>
      <w:proofErr w:type="spellStart"/>
      <w:r w:rsidRPr="006215A1">
        <w:rPr>
          <w:rFonts w:cs="Arial"/>
        </w:rPr>
        <w:t>characterised</w:t>
      </w:r>
      <w:proofErr w:type="spellEnd"/>
      <w:r w:rsidRPr="006215A1">
        <w:rPr>
          <w:rFonts w:cs="Arial"/>
        </w:rPr>
        <w:t xml:space="preserve"> by systemic</w:t>
      </w:r>
      <w:r>
        <w:rPr>
          <w:rFonts w:cs="Arial"/>
        </w:rPr>
        <w:t xml:space="preserve"> inflammatory</w:t>
      </w:r>
      <w:r w:rsidRPr="006215A1">
        <w:rPr>
          <w:rFonts w:cs="Arial"/>
        </w:rPr>
        <w:t xml:space="preserve"> features such as spiking fever</w:t>
      </w:r>
      <w:r>
        <w:rPr>
          <w:rFonts w:cs="Arial"/>
        </w:rPr>
        <w:t xml:space="preserve">, skin rash, hepatosplenomegaly, </w:t>
      </w:r>
      <w:proofErr w:type="spellStart"/>
      <w:r w:rsidRPr="006215A1">
        <w:rPr>
          <w:rFonts w:cs="Arial"/>
        </w:rPr>
        <w:t>serositis</w:t>
      </w:r>
      <w:proofErr w:type="spellEnd"/>
      <w:r>
        <w:rPr>
          <w:rFonts w:cs="Arial"/>
        </w:rPr>
        <w:t>, and increased acute phase reactants</w:t>
      </w:r>
      <w:r w:rsidRPr="006215A1">
        <w:rPr>
          <w:rFonts w:cs="Arial"/>
        </w:rPr>
        <w:t xml:space="preserve">. An important role of IL-1 in the pathogenesis of </w:t>
      </w:r>
      <w:r>
        <w:rPr>
          <w:rFonts w:cs="Arial"/>
        </w:rPr>
        <w:t>S</w:t>
      </w:r>
      <w:r w:rsidRPr="006215A1">
        <w:rPr>
          <w:rFonts w:cs="Arial"/>
        </w:rPr>
        <w:t xml:space="preserve">JIA </w:t>
      </w:r>
      <w:r>
        <w:rPr>
          <w:rFonts w:cs="Arial"/>
        </w:rPr>
        <w:t xml:space="preserve">has been </w:t>
      </w:r>
      <w:r w:rsidRPr="006215A1">
        <w:rPr>
          <w:rFonts w:cs="Arial"/>
        </w:rPr>
        <w:t>demonstrated by ex vivo and gene expression studies</w:t>
      </w:r>
      <w:r w:rsidR="00EB6BB5">
        <w:rPr>
          <w:rFonts w:cs="Arial"/>
        </w:rPr>
        <w:t>.</w:t>
      </w:r>
    </w:p>
    <w:p w:rsidR="00DD079D" w:rsidRPr="00F97177" w:rsidRDefault="00DD079D" w:rsidP="00DD079D">
      <w:pPr>
        <w:pStyle w:val="PIheading2"/>
      </w:pPr>
      <w:r w:rsidRPr="00F97177">
        <w:t>Immunogenicity</w:t>
      </w:r>
    </w:p>
    <w:p w:rsidR="00EB6BB5" w:rsidRDefault="00DD079D" w:rsidP="00BF4018">
      <w:pPr>
        <w:autoSpaceDE w:val="0"/>
        <w:autoSpaceDN w:val="0"/>
        <w:adjustRightInd w:val="0"/>
        <w:jc w:val="both"/>
        <w:rPr>
          <w:rFonts w:ascii="Arial" w:hAnsi="Arial"/>
          <w:sz w:val="22"/>
          <w:szCs w:val="22"/>
        </w:rPr>
      </w:pPr>
      <w:r w:rsidRPr="00EB6BB5">
        <w:rPr>
          <w:rFonts w:ascii="Arial" w:hAnsi="Arial"/>
          <w:sz w:val="22"/>
          <w:szCs w:val="22"/>
        </w:rPr>
        <w:t xml:space="preserve">In clinical trials, up to 3% of RA patients tested seropositive at least once during the study for antibodies capable of neutralizing the biologic effects of </w:t>
      </w:r>
      <w:proofErr w:type="spellStart"/>
      <w:r w:rsidRPr="00EB6BB5">
        <w:rPr>
          <w:rFonts w:ascii="Arial" w:hAnsi="Arial"/>
          <w:sz w:val="22"/>
          <w:szCs w:val="22"/>
        </w:rPr>
        <w:t>anakinra</w:t>
      </w:r>
      <w:proofErr w:type="spellEnd"/>
      <w:r w:rsidRPr="00EB6BB5">
        <w:rPr>
          <w:rFonts w:ascii="Arial" w:hAnsi="Arial"/>
          <w:sz w:val="22"/>
          <w:szCs w:val="22"/>
        </w:rPr>
        <w:t xml:space="preserve">. The occurrence of antibodies was typically transient and not associated with clinical adverse reactions or diminished efficacy. </w:t>
      </w:r>
    </w:p>
    <w:p w:rsidR="00EB6BB5" w:rsidRPr="00EB6BB5" w:rsidRDefault="00EB6BB5" w:rsidP="00BF4018">
      <w:pPr>
        <w:autoSpaceDE w:val="0"/>
        <w:autoSpaceDN w:val="0"/>
        <w:adjustRightInd w:val="0"/>
        <w:jc w:val="both"/>
        <w:rPr>
          <w:rFonts w:ascii="Arial" w:hAnsi="Arial"/>
          <w:sz w:val="22"/>
          <w:szCs w:val="22"/>
        </w:rPr>
      </w:pPr>
    </w:p>
    <w:p w:rsidR="003A2B8F" w:rsidRPr="00EB6BB5" w:rsidRDefault="00EB6BB5" w:rsidP="00BF4018">
      <w:pPr>
        <w:autoSpaceDE w:val="0"/>
        <w:autoSpaceDN w:val="0"/>
        <w:adjustRightInd w:val="0"/>
        <w:jc w:val="both"/>
        <w:rPr>
          <w:rFonts w:ascii="Arial" w:hAnsi="Arial" w:cs="Arial"/>
          <w:sz w:val="22"/>
          <w:szCs w:val="22"/>
          <w:lang w:val="en-AU" w:eastAsia="en-AU"/>
        </w:rPr>
      </w:pPr>
      <w:r>
        <w:rPr>
          <w:rFonts w:ascii="Arial" w:hAnsi="Arial" w:cs="Arial"/>
          <w:sz w:val="22"/>
          <w:szCs w:val="22"/>
          <w:lang w:val="en-AU" w:eastAsia="en-AU"/>
        </w:rPr>
        <w:t xml:space="preserve">In addition, in a clinical trial 6% of paediatric JIA patients tested seropositive at least once during the study for antibodies capable of neutralising the biologic effects of </w:t>
      </w:r>
      <w:proofErr w:type="spellStart"/>
      <w:r>
        <w:rPr>
          <w:rFonts w:ascii="Arial" w:hAnsi="Arial" w:cs="Arial"/>
          <w:sz w:val="22"/>
          <w:szCs w:val="22"/>
          <w:lang w:val="en-AU" w:eastAsia="en-AU"/>
        </w:rPr>
        <w:t>anakinra</w:t>
      </w:r>
      <w:proofErr w:type="spellEnd"/>
      <w:r>
        <w:rPr>
          <w:rFonts w:ascii="Arial" w:hAnsi="Arial" w:cs="Arial"/>
          <w:sz w:val="22"/>
          <w:szCs w:val="22"/>
          <w:lang w:val="en-AU" w:eastAsia="en-AU"/>
        </w:rPr>
        <w:t>.</w:t>
      </w:r>
    </w:p>
    <w:p w:rsidR="00014579" w:rsidRPr="00053073" w:rsidRDefault="00014579" w:rsidP="00053073">
      <w:pPr>
        <w:pStyle w:val="PIheading2"/>
      </w:pPr>
      <w:r w:rsidRPr="00053073">
        <w:lastRenderedPageBreak/>
        <w:t>Pharmacokinetics</w:t>
      </w:r>
    </w:p>
    <w:p w:rsidR="000F72C1" w:rsidRPr="00123798" w:rsidRDefault="000F72C1" w:rsidP="00053073">
      <w:pPr>
        <w:pStyle w:val="TextPI"/>
        <w:rPr>
          <w:rFonts w:cs="Arial"/>
        </w:rPr>
      </w:pPr>
      <w:r w:rsidRPr="00123798">
        <w:t xml:space="preserve">The absolute bioavailability of the commercial formulation has not been definitively established. However, the absolute bioavailability of development formulations was high (&gt; 80%) for a 70 mg SC bolus injection and the commercial formulation is likely to be comparable. In patients with RA, maximum plasma concentrations of </w:t>
      </w:r>
      <w:r w:rsidR="004C1A83">
        <w:rPr>
          <w:rFonts w:ascii="Helvetica" w:hAnsi="Helvetica" w:cs="Helvetica"/>
          <w:color w:val="000000"/>
          <w:lang w:eastAsia="en-AU"/>
        </w:rPr>
        <w:t>KINERET</w:t>
      </w:r>
      <w:r w:rsidRPr="00123798">
        <w:t xml:space="preserve"> occurred at 3 to 7 hours after SC administration of </w:t>
      </w:r>
      <w:r w:rsidR="004C1A83">
        <w:rPr>
          <w:rFonts w:ascii="Helvetica" w:hAnsi="Helvetica" w:cs="Helvetica"/>
          <w:color w:val="000000"/>
          <w:lang w:eastAsia="en-AU"/>
        </w:rPr>
        <w:t>KINERET</w:t>
      </w:r>
      <w:r w:rsidRPr="00123798">
        <w:t xml:space="preserve"> at clinically relevant doses (1 to 2 mg/kg; n = 18); the terminal half-life ranged from 4 to 6 hours. In RA patients, no unexpected accumulation of </w:t>
      </w:r>
      <w:r w:rsidR="004C1A83">
        <w:rPr>
          <w:rFonts w:ascii="Helvetica" w:hAnsi="Helvetica" w:cs="Helvetica"/>
          <w:color w:val="000000"/>
          <w:lang w:eastAsia="en-AU"/>
        </w:rPr>
        <w:t>KINERET</w:t>
      </w:r>
      <w:r w:rsidRPr="00123798">
        <w:t xml:space="preserve"> was observed after daily SC doses for up to 24 weeks. Evidence suggests that </w:t>
      </w:r>
      <w:r w:rsidR="004C1A83">
        <w:rPr>
          <w:rFonts w:ascii="Helvetica" w:hAnsi="Helvetica" w:cs="Helvetica"/>
          <w:color w:val="000000"/>
          <w:lang w:eastAsia="en-AU"/>
        </w:rPr>
        <w:t>KINERET</w:t>
      </w:r>
      <w:r w:rsidRPr="00123798">
        <w:t xml:space="preserve"> is predominantly</w:t>
      </w:r>
      <w:r w:rsidR="00CC4575">
        <w:t xml:space="preserve"> </w:t>
      </w:r>
      <w:proofErr w:type="spellStart"/>
      <w:r w:rsidRPr="00123798">
        <w:rPr>
          <w:rFonts w:cs="Arial"/>
          <w:spacing w:val="-4"/>
        </w:rPr>
        <w:t>metabolised</w:t>
      </w:r>
      <w:proofErr w:type="spellEnd"/>
      <w:r w:rsidRPr="00123798">
        <w:rPr>
          <w:rFonts w:cs="Arial"/>
          <w:spacing w:val="-4"/>
        </w:rPr>
        <w:t xml:space="preserve"> in proximal renal </w:t>
      </w:r>
      <w:r w:rsidRPr="00123798">
        <w:rPr>
          <w:rFonts w:cs="Arial"/>
        </w:rPr>
        <w:t>tubules.</w:t>
      </w:r>
    </w:p>
    <w:p w:rsidR="000F72C1" w:rsidRDefault="000F72C1" w:rsidP="00053073">
      <w:pPr>
        <w:pStyle w:val="TextPI"/>
      </w:pPr>
      <w:r w:rsidRPr="00123798">
        <w:t>The influence of demographic covariates on t</w:t>
      </w:r>
      <w:r w:rsidR="00CF45F5" w:rsidRPr="00123798">
        <w:t xml:space="preserve">he pharmacokinetics of </w:t>
      </w:r>
      <w:r w:rsidR="004C1A83">
        <w:rPr>
          <w:rFonts w:ascii="Helvetica" w:hAnsi="Helvetica" w:cs="Helvetica"/>
          <w:color w:val="000000"/>
          <w:lang w:eastAsia="en-AU"/>
        </w:rPr>
        <w:t>KINERET</w:t>
      </w:r>
      <w:r w:rsidR="00F06A6A">
        <w:rPr>
          <w:rFonts w:ascii="Helvetica" w:hAnsi="Helvetica" w:cs="Helvetica"/>
          <w:color w:val="000000"/>
          <w:lang w:eastAsia="en-AU"/>
        </w:rPr>
        <w:t xml:space="preserve"> </w:t>
      </w:r>
      <w:r w:rsidRPr="00123798">
        <w:t xml:space="preserve">was studied using population pharmacokinetic analysis encompassing 341 patients receiving daily SC injection of </w:t>
      </w:r>
      <w:r w:rsidR="004C1A83">
        <w:rPr>
          <w:rFonts w:ascii="Helvetica" w:hAnsi="Helvetica" w:cs="Helvetica"/>
          <w:color w:val="000000"/>
          <w:lang w:eastAsia="en-AU"/>
        </w:rPr>
        <w:t>KINERET</w:t>
      </w:r>
      <w:r w:rsidRPr="00123798">
        <w:t xml:space="preserve"> at doses of 30, 75 and 150 mg for up to 24 weeks. The estimated </w:t>
      </w:r>
      <w:r w:rsidR="004C1A83">
        <w:rPr>
          <w:rFonts w:ascii="Helvetica" w:hAnsi="Helvetica" w:cs="Helvetica"/>
          <w:color w:val="000000"/>
          <w:lang w:eastAsia="en-AU"/>
        </w:rPr>
        <w:t>KINERET</w:t>
      </w:r>
      <w:r w:rsidRPr="00123798">
        <w:t xml:space="preserve"> clearance increased with increasing creatinine clearance and body weight. After adjusting for creatinine clearance and body weight, gender and age were not significant factors for mean plasma clearance.</w:t>
      </w:r>
    </w:p>
    <w:p w:rsidR="009E1189" w:rsidRDefault="009E1189" w:rsidP="00053073">
      <w:pPr>
        <w:pStyle w:val="TextPI"/>
      </w:pPr>
      <w:r w:rsidRPr="009313A1">
        <w:t>When comparing the dose-</w:t>
      </w:r>
      <w:proofErr w:type="spellStart"/>
      <w:r w:rsidRPr="009313A1">
        <w:t>normalised</w:t>
      </w:r>
      <w:proofErr w:type="spellEnd"/>
      <w:r w:rsidRPr="009313A1">
        <w:t xml:space="preserve"> concentration data </w:t>
      </w:r>
      <w:r>
        <w:t>in JIA patients with</w:t>
      </w:r>
      <w:r w:rsidR="0032294B">
        <w:t xml:space="preserve"> </w:t>
      </w:r>
      <w:r>
        <w:t xml:space="preserve">data in </w:t>
      </w:r>
      <w:r w:rsidRPr="00EA4121">
        <w:t>adult RA patients</w:t>
      </w:r>
      <w:r>
        <w:t xml:space="preserve"> no </w:t>
      </w:r>
      <w:r w:rsidRPr="003C006B">
        <w:t xml:space="preserve">major difference between the age groups </w:t>
      </w:r>
      <w:r>
        <w:t xml:space="preserve">were seen </w:t>
      </w:r>
      <w:r w:rsidRPr="003C006B">
        <w:t>when comparing mean estimates</w:t>
      </w:r>
      <w:r>
        <w:t>, however, t</w:t>
      </w:r>
      <w:r w:rsidRPr="003C006B">
        <w:t>he variability was high in th</w:t>
      </w:r>
      <w:r>
        <w:t xml:space="preserve">e </w:t>
      </w:r>
      <w:r w:rsidRPr="003C006B">
        <w:t>data set (CV% 69-117).</w:t>
      </w:r>
    </w:p>
    <w:p w:rsidR="005C7C9F" w:rsidRPr="00123798" w:rsidRDefault="005C7C9F" w:rsidP="005C7C9F">
      <w:pPr>
        <w:pStyle w:val="TextPI"/>
        <w:spacing w:line="240" w:lineRule="auto"/>
      </w:pPr>
      <w:r w:rsidRPr="003A696E">
        <w:t xml:space="preserve">A </w:t>
      </w:r>
      <w:r w:rsidRPr="00525B8F">
        <w:t xml:space="preserve">population PK/PD analysis in patients with SJIA and </w:t>
      </w:r>
      <w:proofErr w:type="spellStart"/>
      <w:r w:rsidRPr="00525B8F">
        <w:t>autoinflammatory</w:t>
      </w:r>
      <w:proofErr w:type="spellEnd"/>
      <w:r w:rsidRPr="00525B8F">
        <w:t xml:space="preserve"> syndromes </w:t>
      </w:r>
      <w:r w:rsidRPr="00525B8F">
        <w:br/>
        <w:t>(87 patients aged 8 months to 21 years including 22 SJIA patients aged 2-16 years) based on</w:t>
      </w:r>
      <w:r w:rsidR="00D030C1" w:rsidRPr="00525B8F">
        <w:t xml:space="preserve"> mean </w:t>
      </w:r>
      <w:proofErr w:type="spellStart"/>
      <w:r w:rsidRPr="00525B8F">
        <w:t>anakinra</w:t>
      </w:r>
      <w:proofErr w:type="spellEnd"/>
      <w:r w:rsidRPr="00525B8F">
        <w:t xml:space="preserve"> </w:t>
      </w:r>
      <w:r w:rsidR="00D030C1" w:rsidRPr="00525B8F">
        <w:t xml:space="preserve">steady state plasma </w:t>
      </w:r>
      <w:r w:rsidRPr="00525B8F">
        <w:t xml:space="preserve">concentration </w:t>
      </w:r>
      <w:r w:rsidR="00D030C1" w:rsidRPr="00525B8F">
        <w:t xml:space="preserve">of 0.4mg/L required to attain plasma </w:t>
      </w:r>
      <w:r w:rsidR="00525B8F">
        <w:br/>
      </w:r>
      <w:r w:rsidR="00D030C1" w:rsidRPr="00525B8F">
        <w:t xml:space="preserve">C-reactive protein (CRP) level </w:t>
      </w:r>
      <w:r w:rsidR="00D030C1" w:rsidRPr="00525B8F">
        <w:rPr>
          <w:rFonts w:cs="Arial"/>
        </w:rPr>
        <w:t>≤</w:t>
      </w:r>
      <w:r w:rsidR="00D030C1" w:rsidRPr="00525B8F">
        <w:t xml:space="preserve"> 10mg/L indicated </w:t>
      </w:r>
      <w:r w:rsidRPr="00525B8F">
        <w:t xml:space="preserve">a mean effective </w:t>
      </w:r>
      <w:proofErr w:type="spellStart"/>
      <w:r w:rsidRPr="00525B8F">
        <w:t>anakinra</w:t>
      </w:r>
      <w:proofErr w:type="spellEnd"/>
      <w:r w:rsidRPr="00525B8F">
        <w:t xml:space="preserve"> dose of 2 mg/kg/day for body weight 10-50 kg and 1 mg/kg up to a maximum of 100 mg/day for body weight &gt;50 kg (see DOSAGE AND ADMINISTRATION).</w:t>
      </w:r>
    </w:p>
    <w:p w:rsidR="00B4477F" w:rsidRDefault="00DD079D" w:rsidP="00053073">
      <w:pPr>
        <w:pStyle w:val="TextPI"/>
      </w:pPr>
      <w:r w:rsidRPr="00397754">
        <w:t xml:space="preserve">The pharmacokinetics in CAPS patients is similar to that in RA patients. </w:t>
      </w:r>
      <w:proofErr w:type="spellStart"/>
      <w:r w:rsidRPr="00397754">
        <w:t>Anakinra</w:t>
      </w:r>
      <w:proofErr w:type="spellEnd"/>
      <w:r w:rsidRPr="00397754">
        <w:t xml:space="preserve"> exhibits approximate dose linearity with a slight tendency to higher than proportional increase.</w:t>
      </w:r>
      <w:r w:rsidR="008A0E9A" w:rsidRPr="001818F6" w:rsidDel="0024155C">
        <w:t xml:space="preserve"> </w:t>
      </w:r>
    </w:p>
    <w:p w:rsidR="00B4477F" w:rsidRDefault="000F72C1" w:rsidP="00053073">
      <w:pPr>
        <w:pStyle w:val="TextPI"/>
      </w:pPr>
      <w:r w:rsidRPr="00053073">
        <w:rPr>
          <w:b/>
        </w:rPr>
        <w:t xml:space="preserve">Patients </w:t>
      </w:r>
      <w:proofErr w:type="gramStart"/>
      <w:r w:rsidRPr="00053073">
        <w:rPr>
          <w:b/>
        </w:rPr>
        <w:t>With</w:t>
      </w:r>
      <w:proofErr w:type="gramEnd"/>
      <w:r w:rsidRPr="00053073">
        <w:rPr>
          <w:b/>
        </w:rPr>
        <w:t xml:space="preserve"> Renal Impairment</w:t>
      </w:r>
      <w:r w:rsidRPr="00F97177">
        <w:rPr>
          <w:b/>
          <w:szCs w:val="23"/>
        </w:rPr>
        <w:t>:</w:t>
      </w:r>
      <w:r w:rsidRPr="00F97177">
        <w:t xml:space="preserve"> </w:t>
      </w:r>
    </w:p>
    <w:p w:rsidR="000F72C1" w:rsidRPr="00053073" w:rsidRDefault="00AB7A34" w:rsidP="00053073">
      <w:pPr>
        <w:pStyle w:val="TextPI"/>
      </w:pPr>
      <w:r w:rsidRPr="00F97177">
        <w:t xml:space="preserve">The mean plasma clearance of </w:t>
      </w:r>
      <w:proofErr w:type="spellStart"/>
      <w:r w:rsidRPr="00F97177">
        <w:t>Kineret</w:t>
      </w:r>
      <w:proofErr w:type="spellEnd"/>
      <w:r w:rsidRPr="00F97177">
        <w:t xml:space="preserve"> in subjects with mild (creatinine clearance 50-80 mL/min) and moderate (creatinine clearance 30-49 mL/min) renal insufficiency was reduced by 16% and 50%, respectively. </w:t>
      </w:r>
      <w:r w:rsidR="000F72C1" w:rsidRPr="00053073">
        <w:t xml:space="preserve">The mean plasma clearance of </w:t>
      </w:r>
      <w:r w:rsidR="004C1A83">
        <w:t>KINERET</w:t>
      </w:r>
      <w:r w:rsidR="000F72C1" w:rsidRPr="00053073">
        <w:t xml:space="preserve"> decreased 70%</w:t>
      </w:r>
      <w:r w:rsidR="000549C1" w:rsidRPr="00053073">
        <w:noBreakHyphen/>
      </w:r>
      <w:r w:rsidR="000F72C1" w:rsidRPr="00053073">
        <w:t>75% in normal subjects with severe or end stage renal disease (creatinine clearance &lt;</w:t>
      </w:r>
      <w:r w:rsidR="000549C1" w:rsidRPr="00053073">
        <w:t> </w:t>
      </w:r>
      <w:r w:rsidR="000F72C1" w:rsidRPr="00053073">
        <w:t xml:space="preserve">30 mL/minute). No formal studies have been conducted examining the pharmacokinetics of </w:t>
      </w:r>
      <w:r w:rsidR="004C1A83">
        <w:t>KINERET</w:t>
      </w:r>
      <w:r w:rsidR="0032294B">
        <w:rPr>
          <w:vertAlign w:val="superscript"/>
        </w:rPr>
        <w:t xml:space="preserve"> </w:t>
      </w:r>
      <w:r w:rsidR="000F72C1" w:rsidRPr="00053073">
        <w:t>administered subcutaneously in rheumatoid arthritis patients with renal impairment. The efficacy of alternative dosing regimens has not been examined in patients with renal impairment.</w:t>
      </w:r>
    </w:p>
    <w:p w:rsidR="00B4477F" w:rsidRDefault="000F72C1" w:rsidP="00053073">
      <w:pPr>
        <w:pStyle w:val="TextPI"/>
      </w:pPr>
      <w:r w:rsidRPr="00053073">
        <w:rPr>
          <w:b/>
          <w:szCs w:val="23"/>
        </w:rPr>
        <w:t xml:space="preserve">Patients </w:t>
      </w:r>
      <w:proofErr w:type="gramStart"/>
      <w:r w:rsidRPr="00053073">
        <w:rPr>
          <w:b/>
          <w:szCs w:val="23"/>
        </w:rPr>
        <w:t>With</w:t>
      </w:r>
      <w:proofErr w:type="gramEnd"/>
      <w:r w:rsidRPr="00053073">
        <w:rPr>
          <w:b/>
          <w:szCs w:val="23"/>
        </w:rPr>
        <w:t xml:space="preserve"> Hepatic Dysfunction:</w:t>
      </w:r>
      <w:r w:rsidRPr="00053073">
        <w:t xml:space="preserve"> </w:t>
      </w:r>
    </w:p>
    <w:p w:rsidR="00014579" w:rsidRPr="00053073" w:rsidRDefault="000F72C1" w:rsidP="00053073">
      <w:pPr>
        <w:pStyle w:val="TextPI"/>
      </w:pPr>
      <w:r w:rsidRPr="00053073">
        <w:t xml:space="preserve">No formal studies have been conducted examining the pharmacokinetics of </w:t>
      </w:r>
      <w:r w:rsidR="004C1A83">
        <w:t>KINERET</w:t>
      </w:r>
      <w:r w:rsidR="0032294B">
        <w:rPr>
          <w:vertAlign w:val="superscript"/>
        </w:rPr>
        <w:t xml:space="preserve"> </w:t>
      </w:r>
      <w:r w:rsidRPr="00053073">
        <w:t>administered subcutaneously in RA patients with hepatic impairment.</w:t>
      </w:r>
      <w:r w:rsidR="002C2CC3" w:rsidRPr="002C2CC3">
        <w:t xml:space="preserve"> </w:t>
      </w:r>
      <w:r w:rsidR="002C2CC3" w:rsidRPr="0094192F">
        <w:t>However, a study including 12 patients with hepatic dysfunction (Child-Pugh</w:t>
      </w:r>
      <w:r w:rsidR="002C2CC3" w:rsidRPr="00931B9C">
        <w:t xml:space="preserve"> Class B) given a single 1</w:t>
      </w:r>
      <w:r w:rsidR="004D029F" w:rsidRPr="00931B9C">
        <w:t xml:space="preserve"> </w:t>
      </w:r>
      <w:r w:rsidR="002C2CC3" w:rsidRPr="00931B9C">
        <w:t>mg/kg intravenous dose has been performed. Pharmacokinetic parameters were not substantially different from healthy volunteers, other than a decrease in clearance of approximately 30% in comparison with data from a</w:t>
      </w:r>
      <w:r w:rsidR="00B4477F">
        <w:t xml:space="preserve"> study with healthy volunteers. </w:t>
      </w:r>
      <w:r w:rsidR="002C2CC3" w:rsidRPr="00931B9C">
        <w:t>A corresponding decrease in creatinine clearance was seen in the hepatic failure population. Accordingly, the decrease in clearance is most likely explained by a decrease in renal function in this population. These data support that no dose adjustment is required for patients with hepatic dysfunction of Child-Pugh Class B.</w:t>
      </w:r>
    </w:p>
    <w:p w:rsidR="00014579" w:rsidRPr="00FF79D7" w:rsidRDefault="00014579" w:rsidP="00FF79D7">
      <w:pPr>
        <w:pStyle w:val="PIHeading1"/>
        <w:rPr>
          <w:rStyle w:val="LineNumber"/>
        </w:rPr>
      </w:pPr>
      <w:r w:rsidRPr="00FF79D7">
        <w:rPr>
          <w:rStyle w:val="LineNumber"/>
        </w:rPr>
        <w:lastRenderedPageBreak/>
        <w:t>CLINICAL TRIALS</w:t>
      </w:r>
    </w:p>
    <w:p w:rsidR="004C629C" w:rsidRPr="004C629C" w:rsidRDefault="004C629C" w:rsidP="00FF79D7">
      <w:pPr>
        <w:pStyle w:val="PIheading2"/>
      </w:pPr>
      <w:r w:rsidRPr="0094192F">
        <w:t>RA</w:t>
      </w:r>
    </w:p>
    <w:p w:rsidR="000549C1" w:rsidRPr="00123798" w:rsidRDefault="000549C1" w:rsidP="00186894">
      <w:pPr>
        <w:pStyle w:val="TextPI"/>
        <w:rPr>
          <w:spacing w:val="1"/>
        </w:rPr>
      </w:pPr>
      <w:r w:rsidRPr="00123798">
        <w:t xml:space="preserve">The efficacy of </w:t>
      </w:r>
      <w:r w:rsidR="004C1A83">
        <w:rPr>
          <w:rFonts w:ascii="Helvetica" w:hAnsi="Helvetica" w:cs="Helvetica"/>
          <w:color w:val="000000"/>
          <w:lang w:eastAsia="en-AU"/>
        </w:rPr>
        <w:t>KINERET</w:t>
      </w:r>
      <w:r w:rsidRPr="00123798">
        <w:t xml:space="preserve"> versus placebo was studied in a phase 3 trial in 501 patients with active rheumatoid arthritis who had been on stable doses of methotrexate (10 to 25 mg/week) for at least 8 weeks. In addition, patients had at least 6 swollen/painful joints and 9 tender joints and either a C-reactive protein of ≥ 1.5 mg/</w:t>
      </w:r>
      <w:proofErr w:type="spellStart"/>
      <w:r w:rsidRPr="00123798">
        <w:t>dL</w:t>
      </w:r>
      <w:proofErr w:type="spellEnd"/>
      <w:r w:rsidRPr="00123798">
        <w:t xml:space="preserve"> or an ESR of ≥ 28 mm/hour. The patients were also required to have radiographic evidence </w:t>
      </w:r>
      <w:proofErr w:type="gramStart"/>
      <w:r w:rsidRPr="00123798">
        <w:t>of at least one bone erosion</w:t>
      </w:r>
      <w:proofErr w:type="gramEnd"/>
      <w:r w:rsidRPr="00123798">
        <w:t>. Patients were maintained on methotrexate therapy during the study</w:t>
      </w:r>
      <w:r w:rsidRPr="00123798">
        <w:rPr>
          <w:spacing w:val="1"/>
        </w:rPr>
        <w:t>.</w:t>
      </w:r>
    </w:p>
    <w:p w:rsidR="000549C1" w:rsidRPr="00123798" w:rsidRDefault="000549C1" w:rsidP="00186894">
      <w:pPr>
        <w:pStyle w:val="TextPI"/>
      </w:pPr>
      <w:r w:rsidRPr="00123798">
        <w:t xml:space="preserve">The primary efficacy variable was a 20% improvement in the American College of Rheumatology response criteria (ACR20) (composite score) at 24 weeks. </w:t>
      </w:r>
      <w:r w:rsidR="004C1A83">
        <w:rPr>
          <w:rFonts w:ascii="Helvetica" w:hAnsi="Helvetica" w:cs="Helvetica"/>
          <w:color w:val="000000"/>
          <w:lang w:eastAsia="en-AU"/>
        </w:rPr>
        <w:t>KINERET</w:t>
      </w:r>
      <w:r w:rsidRPr="00123798">
        <w:t>, administered subcutaneously at a dose of 100 mg daily with background methotrexate, was shown to be more effective in achieving ACR20 (odds ratio = 2.36, 95% CI 1.55, 3.62) compared with placebo plus methotrexate. The results for sustained ACR20 (defined as achieving an ACR20 in at least 4 out of 6 study months with at least one of these ACR20 responses occurring at 12 or 24 weeks) were consistent with the primary analysis. The time course of ACR20response is shown in Figure 1.</w:t>
      </w:r>
    </w:p>
    <w:p w:rsidR="00357EF9" w:rsidRDefault="00720B50">
      <w:pPr>
        <w:pStyle w:val="TextPI"/>
        <w:keepNext/>
        <w:spacing w:before="240" w:after="240" w:line="240" w:lineRule="auto"/>
        <w:ind w:left="1123" w:hanging="1123"/>
        <w:rPr>
          <w:b/>
        </w:rPr>
      </w:pPr>
      <w:proofErr w:type="gramStart"/>
      <w:r w:rsidRPr="00123798">
        <w:rPr>
          <w:b/>
        </w:rPr>
        <w:t>Figure 1.</w:t>
      </w:r>
      <w:proofErr w:type="gramEnd"/>
      <w:r w:rsidRPr="00123798">
        <w:rPr>
          <w:b/>
        </w:rPr>
        <w:tab/>
      </w:r>
      <w:r w:rsidR="000549C1" w:rsidRPr="00123798">
        <w:rPr>
          <w:b/>
        </w:rPr>
        <w:t xml:space="preserve">Percent of </w:t>
      </w:r>
      <w:proofErr w:type="spellStart"/>
      <w:r w:rsidR="000549C1" w:rsidRPr="00123798">
        <w:rPr>
          <w:b/>
        </w:rPr>
        <w:t>Patients</w:t>
      </w:r>
      <w:r w:rsidR="000549C1" w:rsidRPr="00123798">
        <w:rPr>
          <w:rFonts w:ascii="Arial Bold" w:hAnsi="Arial Bold"/>
          <w:b/>
          <w:vertAlign w:val="superscript"/>
        </w:rPr>
        <w:t>a</w:t>
      </w:r>
      <w:proofErr w:type="spellEnd"/>
      <w:r w:rsidR="000549C1" w:rsidRPr="00123798">
        <w:rPr>
          <w:b/>
        </w:rPr>
        <w:t xml:space="preserve"> Achieving an ACR20 Response by Study Week (Methotrexate Co-administration)</w:t>
      </w:r>
    </w:p>
    <w:p w:rsidR="008E22C4" w:rsidRPr="00123798" w:rsidRDefault="008E22C4" w:rsidP="00186894">
      <w:pPr>
        <w:pStyle w:val="TextPI"/>
      </w:pPr>
      <w:r w:rsidRPr="00123798">
        <w:rPr>
          <w:noProof/>
          <w:lang w:val="en-AU" w:eastAsia="en-AU"/>
        </w:rPr>
        <w:drawing>
          <wp:inline distT="0" distB="0" distL="0" distR="0">
            <wp:extent cx="5136540" cy="3482671"/>
            <wp:effectExtent l="19050" t="0" r="69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133552" cy="3480645"/>
                    </a:xfrm>
                    <a:prstGeom prst="rect">
                      <a:avLst/>
                    </a:prstGeom>
                    <a:noFill/>
                    <a:ln w="9525">
                      <a:noFill/>
                      <a:miter lim="800000"/>
                      <a:headEnd/>
                      <a:tailEnd/>
                    </a:ln>
                  </pic:spPr>
                </pic:pic>
              </a:graphicData>
            </a:graphic>
          </wp:inline>
        </w:drawing>
      </w:r>
    </w:p>
    <w:p w:rsidR="008E22C4" w:rsidRPr="00123798" w:rsidRDefault="008E22C4" w:rsidP="007972EB">
      <w:pPr>
        <w:pStyle w:val="TextPI"/>
        <w:spacing w:line="240" w:lineRule="auto"/>
        <w:rPr>
          <w:b/>
          <w:bCs/>
          <w:sz w:val="20"/>
          <w:szCs w:val="20"/>
        </w:rPr>
      </w:pPr>
      <w:proofErr w:type="spellStart"/>
      <w:proofErr w:type="gramStart"/>
      <w:r w:rsidRPr="00123798">
        <w:rPr>
          <w:rFonts w:ascii="Arial Bold" w:hAnsi="Arial Bold"/>
          <w:b/>
          <w:bCs/>
          <w:sz w:val="20"/>
          <w:szCs w:val="20"/>
          <w:vertAlign w:val="superscript"/>
        </w:rPr>
        <w:t>a</w:t>
      </w:r>
      <w:r w:rsidRPr="00123798">
        <w:rPr>
          <w:sz w:val="20"/>
          <w:szCs w:val="20"/>
        </w:rPr>
        <w:t>ITT</w:t>
      </w:r>
      <w:proofErr w:type="spellEnd"/>
      <w:proofErr w:type="gramEnd"/>
      <w:r w:rsidRPr="00123798">
        <w:rPr>
          <w:sz w:val="20"/>
          <w:szCs w:val="20"/>
        </w:rPr>
        <w:t xml:space="preserve"> population with non-responder imputation</w:t>
      </w:r>
    </w:p>
    <w:p w:rsidR="008E22C4" w:rsidRPr="00053073" w:rsidRDefault="008E22C4" w:rsidP="00053073">
      <w:pPr>
        <w:pStyle w:val="TextPI"/>
      </w:pPr>
      <w:r w:rsidRPr="00053073">
        <w:t xml:space="preserve">Patients treated with </w:t>
      </w:r>
      <w:r w:rsidR="004C1A83">
        <w:t>KINERET</w:t>
      </w:r>
      <w:r w:rsidRPr="00053073">
        <w:t xml:space="preserve"> were more likely to achieve an ACR20 or higher magnitude of response (ACR50 and ACR70) than patients treated with placebo (Table 1). The treatment response rates did not differ based on gender or ethnic group. Clinical responses to </w:t>
      </w:r>
      <w:r w:rsidR="004C1A83">
        <w:t>KINERET</w:t>
      </w:r>
      <w:r w:rsidRPr="00053073">
        <w:t xml:space="preserve"> were seen by week 4 of enrolment. </w:t>
      </w:r>
    </w:p>
    <w:p w:rsidR="00525B8F" w:rsidRDefault="00525B8F">
      <w:pPr>
        <w:rPr>
          <w:rFonts w:ascii="Arial" w:hAnsi="Arial"/>
          <w:b/>
          <w:sz w:val="22"/>
          <w:szCs w:val="22"/>
        </w:rPr>
      </w:pPr>
      <w:r>
        <w:rPr>
          <w:b/>
        </w:rPr>
        <w:br w:type="page"/>
      </w:r>
    </w:p>
    <w:p w:rsidR="008E22C4" w:rsidRPr="00123798" w:rsidRDefault="008E22C4" w:rsidP="001B3136">
      <w:pPr>
        <w:pStyle w:val="TextPItable"/>
        <w:spacing w:before="120" w:after="120"/>
        <w:jc w:val="left"/>
        <w:rPr>
          <w:b/>
        </w:rPr>
      </w:pPr>
      <w:proofErr w:type="gramStart"/>
      <w:r w:rsidRPr="00123798">
        <w:rPr>
          <w:b/>
        </w:rPr>
        <w:lastRenderedPageBreak/>
        <w:t>Table 1.</w:t>
      </w:r>
      <w:proofErr w:type="gramEnd"/>
      <w:r w:rsidRPr="00123798">
        <w:rPr>
          <w:b/>
        </w:rPr>
        <w:t xml:space="preserve"> </w:t>
      </w:r>
      <w:r w:rsidR="00C520E8" w:rsidRPr="00123798">
        <w:rPr>
          <w:b/>
        </w:rPr>
        <w:tab/>
      </w:r>
      <w:r w:rsidRPr="00123798">
        <w:rPr>
          <w:b/>
        </w:rPr>
        <w:t xml:space="preserve">Percent of Patients </w:t>
      </w:r>
      <w:proofErr w:type="gramStart"/>
      <w:r w:rsidRPr="00123798">
        <w:rPr>
          <w:b/>
        </w:rPr>
        <w:t>With</w:t>
      </w:r>
      <w:proofErr w:type="gramEnd"/>
      <w:r w:rsidRPr="00123798">
        <w:rPr>
          <w:b/>
        </w:rPr>
        <w:t xml:space="preserve"> ACR Responses </w:t>
      </w:r>
      <w:r w:rsidR="00C520E8" w:rsidRPr="00123798">
        <w:rPr>
          <w:b/>
        </w:rPr>
        <w:br/>
      </w:r>
      <w:r w:rsidR="00C520E8" w:rsidRPr="00123798">
        <w:rPr>
          <w:b/>
        </w:rPr>
        <w:tab/>
      </w:r>
      <w:r w:rsidRPr="00123798">
        <w:rPr>
          <w:b/>
        </w:rPr>
        <w:t>(Methotrexate Co-administration)</w:t>
      </w:r>
    </w:p>
    <w:tbl>
      <w:tblPr>
        <w:tblpPr w:leftFromText="180" w:rightFromText="180" w:vertAnchor="text" w:tblpY="1"/>
        <w:tblOverlap w:val="never"/>
        <w:tblW w:w="0" w:type="auto"/>
        <w:tblLayout w:type="fixed"/>
        <w:tblCellMar>
          <w:top w:w="28" w:type="dxa"/>
          <w:left w:w="28" w:type="dxa"/>
          <w:bottom w:w="28" w:type="dxa"/>
          <w:right w:w="28" w:type="dxa"/>
        </w:tblCellMar>
        <w:tblLook w:val="0000" w:firstRow="0" w:lastRow="0" w:firstColumn="0" w:lastColumn="0" w:noHBand="0" w:noVBand="0"/>
      </w:tblPr>
      <w:tblGrid>
        <w:gridCol w:w="1460"/>
        <w:gridCol w:w="2076"/>
        <w:gridCol w:w="2126"/>
      </w:tblGrid>
      <w:tr w:rsidR="008E22C4" w:rsidRPr="00123798" w:rsidTr="00924336">
        <w:trPr>
          <w:cantSplit/>
        </w:trPr>
        <w:tc>
          <w:tcPr>
            <w:tcW w:w="1460" w:type="dxa"/>
            <w:tcBorders>
              <w:top w:val="single" w:sz="6" w:space="0" w:color="auto"/>
              <w:left w:val="single" w:sz="6" w:space="0" w:color="auto"/>
              <w:right w:val="single" w:sz="6" w:space="0" w:color="auto"/>
            </w:tcBorders>
          </w:tcPr>
          <w:p w:rsidR="008E22C4" w:rsidRPr="00123798" w:rsidRDefault="008E22C4" w:rsidP="00053073">
            <w:pPr>
              <w:pStyle w:val="TextPItable"/>
              <w:tabs>
                <w:tab w:val="clear" w:pos="1418"/>
              </w:tabs>
              <w:jc w:val="left"/>
              <w:rPr>
                <w:b/>
                <w:bCs/>
                <w:sz w:val="20"/>
                <w:szCs w:val="20"/>
              </w:rPr>
            </w:pPr>
            <w:r w:rsidRPr="00123798">
              <w:rPr>
                <w:b/>
                <w:bCs/>
                <w:sz w:val="20"/>
                <w:szCs w:val="20"/>
              </w:rPr>
              <w:t>Response</w:t>
            </w:r>
          </w:p>
        </w:tc>
        <w:tc>
          <w:tcPr>
            <w:tcW w:w="2076" w:type="dxa"/>
            <w:tcBorders>
              <w:top w:val="single" w:sz="6" w:space="0" w:color="auto"/>
              <w:left w:val="single" w:sz="6" w:space="0" w:color="auto"/>
              <w:right w:val="single" w:sz="6" w:space="0" w:color="auto"/>
            </w:tcBorders>
          </w:tcPr>
          <w:p w:rsidR="008E22C4" w:rsidRPr="00123798" w:rsidRDefault="008E22C4" w:rsidP="00053073">
            <w:pPr>
              <w:pStyle w:val="TextPItable"/>
              <w:jc w:val="center"/>
              <w:rPr>
                <w:b/>
                <w:bCs/>
                <w:sz w:val="20"/>
                <w:szCs w:val="20"/>
              </w:rPr>
            </w:pPr>
            <w:r w:rsidRPr="00123798">
              <w:rPr>
                <w:b/>
                <w:bCs/>
                <w:sz w:val="20"/>
                <w:szCs w:val="20"/>
              </w:rPr>
              <w:t>Placebo</w:t>
            </w:r>
            <w:r w:rsidR="00806A01" w:rsidRPr="00123798">
              <w:rPr>
                <w:b/>
                <w:bCs/>
                <w:sz w:val="20"/>
                <w:szCs w:val="20"/>
              </w:rPr>
              <w:br/>
            </w:r>
          </w:p>
        </w:tc>
        <w:tc>
          <w:tcPr>
            <w:tcW w:w="2126" w:type="dxa"/>
            <w:tcBorders>
              <w:top w:val="single" w:sz="6" w:space="0" w:color="auto"/>
              <w:left w:val="single" w:sz="6" w:space="0" w:color="auto"/>
              <w:right w:val="single" w:sz="6" w:space="0" w:color="auto"/>
            </w:tcBorders>
          </w:tcPr>
          <w:p w:rsidR="008E22C4" w:rsidRPr="00123798" w:rsidRDefault="004C1A83" w:rsidP="0098238A">
            <w:pPr>
              <w:pStyle w:val="TextPItable"/>
              <w:jc w:val="center"/>
              <w:rPr>
                <w:b/>
                <w:bCs/>
                <w:sz w:val="20"/>
                <w:szCs w:val="20"/>
              </w:rPr>
            </w:pPr>
            <w:r>
              <w:rPr>
                <w:b/>
                <w:bCs/>
                <w:sz w:val="20"/>
                <w:szCs w:val="20"/>
              </w:rPr>
              <w:t>KINERET</w:t>
            </w:r>
            <w:r w:rsidR="00267026" w:rsidRPr="00123798">
              <w:rPr>
                <w:b/>
                <w:bCs/>
                <w:sz w:val="20"/>
                <w:szCs w:val="20"/>
              </w:rPr>
              <w:br/>
            </w:r>
            <w:r w:rsidR="008E22C4" w:rsidRPr="00123798">
              <w:rPr>
                <w:b/>
                <w:bCs/>
                <w:sz w:val="20"/>
                <w:szCs w:val="20"/>
              </w:rPr>
              <w:t>100 mg/day</w:t>
            </w:r>
          </w:p>
        </w:tc>
      </w:tr>
      <w:tr w:rsidR="00AB5019" w:rsidRPr="00123798" w:rsidTr="00924336">
        <w:trPr>
          <w:cantSplit/>
        </w:trPr>
        <w:tc>
          <w:tcPr>
            <w:tcW w:w="1460" w:type="dxa"/>
            <w:tcBorders>
              <w:left w:val="single" w:sz="6" w:space="0" w:color="auto"/>
              <w:bottom w:val="double" w:sz="4" w:space="0" w:color="auto"/>
              <w:right w:val="single" w:sz="6" w:space="0" w:color="auto"/>
            </w:tcBorders>
          </w:tcPr>
          <w:p w:rsidR="00AB5019" w:rsidRPr="00123798" w:rsidRDefault="00AB5019" w:rsidP="00053073">
            <w:pPr>
              <w:pStyle w:val="TextPItable"/>
              <w:tabs>
                <w:tab w:val="clear" w:pos="1418"/>
              </w:tabs>
              <w:jc w:val="left"/>
              <w:rPr>
                <w:b/>
                <w:bCs/>
                <w:sz w:val="20"/>
                <w:szCs w:val="20"/>
              </w:rPr>
            </w:pPr>
          </w:p>
        </w:tc>
        <w:tc>
          <w:tcPr>
            <w:tcW w:w="2076" w:type="dxa"/>
            <w:tcBorders>
              <w:left w:val="single" w:sz="6" w:space="0" w:color="auto"/>
              <w:bottom w:val="double" w:sz="4" w:space="0" w:color="auto"/>
              <w:right w:val="single" w:sz="6" w:space="0" w:color="auto"/>
            </w:tcBorders>
          </w:tcPr>
          <w:p w:rsidR="00AB5019" w:rsidRPr="00123798" w:rsidRDefault="00AB5019" w:rsidP="00053073">
            <w:pPr>
              <w:pStyle w:val="TextPItable"/>
              <w:jc w:val="center"/>
              <w:rPr>
                <w:b/>
                <w:bCs/>
                <w:sz w:val="20"/>
                <w:szCs w:val="20"/>
              </w:rPr>
            </w:pPr>
            <w:r w:rsidRPr="00123798">
              <w:rPr>
                <w:bCs/>
                <w:sz w:val="20"/>
                <w:szCs w:val="20"/>
              </w:rPr>
              <w:t>n = 251</w:t>
            </w:r>
          </w:p>
        </w:tc>
        <w:tc>
          <w:tcPr>
            <w:tcW w:w="2126" w:type="dxa"/>
            <w:tcBorders>
              <w:left w:val="single" w:sz="6" w:space="0" w:color="auto"/>
              <w:bottom w:val="double" w:sz="4" w:space="0" w:color="auto"/>
              <w:right w:val="single" w:sz="6" w:space="0" w:color="auto"/>
            </w:tcBorders>
          </w:tcPr>
          <w:p w:rsidR="00AB5019" w:rsidRPr="00123798" w:rsidRDefault="00AB5019" w:rsidP="00053073">
            <w:pPr>
              <w:pStyle w:val="TextPItable"/>
              <w:jc w:val="center"/>
              <w:rPr>
                <w:b/>
                <w:bCs/>
                <w:sz w:val="20"/>
                <w:szCs w:val="20"/>
              </w:rPr>
            </w:pPr>
            <w:r w:rsidRPr="00123798">
              <w:rPr>
                <w:bCs/>
                <w:sz w:val="20"/>
                <w:szCs w:val="20"/>
              </w:rPr>
              <w:t>n = 250</w:t>
            </w:r>
          </w:p>
        </w:tc>
      </w:tr>
      <w:tr w:rsidR="008E22C4" w:rsidRPr="00123798" w:rsidTr="00924336">
        <w:trPr>
          <w:cantSplit/>
        </w:trPr>
        <w:tc>
          <w:tcPr>
            <w:tcW w:w="1460" w:type="dxa"/>
            <w:tcBorders>
              <w:top w:val="double" w:sz="4" w:space="0" w:color="auto"/>
              <w:left w:val="single" w:sz="6" w:space="0" w:color="auto"/>
              <w:right w:val="single" w:sz="6" w:space="0" w:color="auto"/>
            </w:tcBorders>
          </w:tcPr>
          <w:p w:rsidR="008E22C4" w:rsidRPr="00123798" w:rsidRDefault="008E22C4" w:rsidP="00053073">
            <w:pPr>
              <w:pStyle w:val="TextPItable"/>
              <w:tabs>
                <w:tab w:val="clear" w:pos="1418"/>
              </w:tabs>
              <w:jc w:val="left"/>
              <w:rPr>
                <w:sz w:val="20"/>
                <w:szCs w:val="20"/>
              </w:rPr>
            </w:pPr>
            <w:r w:rsidRPr="00123798">
              <w:rPr>
                <w:sz w:val="20"/>
                <w:szCs w:val="20"/>
              </w:rPr>
              <w:t>ACR</w:t>
            </w:r>
            <w:r w:rsidR="00AB5019" w:rsidRPr="00123798">
              <w:rPr>
                <w:sz w:val="20"/>
                <w:szCs w:val="20"/>
              </w:rPr>
              <w:t xml:space="preserve"> 20</w:t>
            </w:r>
          </w:p>
        </w:tc>
        <w:tc>
          <w:tcPr>
            <w:tcW w:w="2076" w:type="dxa"/>
            <w:tcBorders>
              <w:top w:val="double" w:sz="4" w:space="0" w:color="auto"/>
              <w:left w:val="single" w:sz="6" w:space="0" w:color="auto"/>
              <w:right w:val="single" w:sz="6" w:space="0" w:color="auto"/>
            </w:tcBorders>
            <w:vAlign w:val="bottom"/>
          </w:tcPr>
          <w:p w:rsidR="008E22C4" w:rsidRPr="00123798" w:rsidRDefault="008E22C4" w:rsidP="00053073">
            <w:pPr>
              <w:pStyle w:val="TextPItable"/>
              <w:tabs>
                <w:tab w:val="clear" w:pos="1418"/>
              </w:tabs>
              <w:jc w:val="center"/>
              <w:rPr>
                <w:sz w:val="20"/>
                <w:szCs w:val="20"/>
              </w:rPr>
            </w:pPr>
          </w:p>
        </w:tc>
        <w:tc>
          <w:tcPr>
            <w:tcW w:w="2126" w:type="dxa"/>
            <w:tcBorders>
              <w:top w:val="double" w:sz="4" w:space="0" w:color="auto"/>
              <w:left w:val="single" w:sz="6" w:space="0" w:color="auto"/>
              <w:right w:val="single" w:sz="6" w:space="0" w:color="auto"/>
            </w:tcBorders>
            <w:vAlign w:val="bottom"/>
          </w:tcPr>
          <w:p w:rsidR="008E22C4" w:rsidRPr="00123798" w:rsidRDefault="008E22C4" w:rsidP="00053073">
            <w:pPr>
              <w:pStyle w:val="TextPItable"/>
              <w:tabs>
                <w:tab w:val="clear" w:pos="1418"/>
              </w:tabs>
              <w:jc w:val="center"/>
              <w:rPr>
                <w:sz w:val="20"/>
                <w:szCs w:val="20"/>
              </w:rPr>
            </w:pPr>
          </w:p>
        </w:tc>
      </w:tr>
      <w:tr w:rsidR="00806A01" w:rsidRPr="00123798" w:rsidTr="00924336">
        <w:trPr>
          <w:cantSplit/>
        </w:trPr>
        <w:tc>
          <w:tcPr>
            <w:tcW w:w="1460" w:type="dxa"/>
            <w:tcBorders>
              <w:left w:val="single" w:sz="6" w:space="0" w:color="auto"/>
              <w:right w:val="single" w:sz="6" w:space="0" w:color="auto"/>
            </w:tcBorders>
          </w:tcPr>
          <w:p w:rsidR="00806A01" w:rsidRPr="00123798" w:rsidRDefault="00806A01" w:rsidP="00053073">
            <w:pPr>
              <w:pStyle w:val="TextPItable"/>
              <w:tabs>
                <w:tab w:val="clear" w:pos="1418"/>
              </w:tabs>
              <w:jc w:val="left"/>
              <w:rPr>
                <w:sz w:val="20"/>
                <w:szCs w:val="20"/>
              </w:rPr>
            </w:pPr>
            <w:r w:rsidRPr="00123798">
              <w:rPr>
                <w:sz w:val="20"/>
                <w:szCs w:val="20"/>
              </w:rPr>
              <w:t>month 3</w:t>
            </w:r>
          </w:p>
        </w:tc>
        <w:tc>
          <w:tcPr>
            <w:tcW w:w="2076" w:type="dxa"/>
            <w:tcBorders>
              <w:left w:val="single" w:sz="6" w:space="0" w:color="auto"/>
              <w:right w:val="single" w:sz="6" w:space="0" w:color="auto"/>
            </w:tcBorders>
            <w:vAlign w:val="bottom"/>
          </w:tcPr>
          <w:p w:rsidR="00806A01" w:rsidRPr="00123798" w:rsidRDefault="00806A01" w:rsidP="00053073">
            <w:pPr>
              <w:pStyle w:val="TextPItable"/>
              <w:tabs>
                <w:tab w:val="clear" w:pos="1418"/>
              </w:tabs>
              <w:jc w:val="center"/>
              <w:rPr>
                <w:sz w:val="20"/>
                <w:szCs w:val="20"/>
              </w:rPr>
            </w:pPr>
            <w:r w:rsidRPr="00123798">
              <w:rPr>
                <w:sz w:val="20"/>
                <w:szCs w:val="20"/>
              </w:rPr>
              <w:t>24%</w:t>
            </w:r>
          </w:p>
        </w:tc>
        <w:tc>
          <w:tcPr>
            <w:tcW w:w="2126" w:type="dxa"/>
            <w:tcBorders>
              <w:left w:val="single" w:sz="6" w:space="0" w:color="auto"/>
              <w:right w:val="single" w:sz="6" w:space="0" w:color="auto"/>
            </w:tcBorders>
            <w:vAlign w:val="bottom"/>
          </w:tcPr>
          <w:p w:rsidR="00806A01" w:rsidRPr="00123798" w:rsidRDefault="00806A01" w:rsidP="00053073">
            <w:pPr>
              <w:pStyle w:val="TextPItable"/>
              <w:tabs>
                <w:tab w:val="clear" w:pos="1418"/>
              </w:tabs>
              <w:jc w:val="center"/>
              <w:rPr>
                <w:sz w:val="20"/>
                <w:szCs w:val="20"/>
              </w:rPr>
            </w:pPr>
            <w:r w:rsidRPr="00123798">
              <w:rPr>
                <w:sz w:val="20"/>
                <w:szCs w:val="20"/>
              </w:rPr>
              <w:t>34%*</w:t>
            </w:r>
          </w:p>
        </w:tc>
      </w:tr>
      <w:tr w:rsidR="00806A01" w:rsidRPr="00123798" w:rsidTr="00924336">
        <w:trPr>
          <w:cantSplit/>
        </w:trPr>
        <w:tc>
          <w:tcPr>
            <w:tcW w:w="1460" w:type="dxa"/>
            <w:tcBorders>
              <w:left w:val="single" w:sz="6" w:space="0" w:color="auto"/>
              <w:bottom w:val="single" w:sz="2" w:space="0" w:color="auto"/>
              <w:right w:val="single" w:sz="6" w:space="0" w:color="auto"/>
            </w:tcBorders>
            <w:vAlign w:val="center"/>
          </w:tcPr>
          <w:p w:rsidR="00806A01" w:rsidRPr="00123798" w:rsidRDefault="00806A01" w:rsidP="00053073">
            <w:pPr>
              <w:pStyle w:val="TextPItable"/>
              <w:tabs>
                <w:tab w:val="clear" w:pos="1418"/>
              </w:tabs>
              <w:jc w:val="left"/>
              <w:rPr>
                <w:sz w:val="20"/>
                <w:szCs w:val="20"/>
              </w:rPr>
            </w:pPr>
            <w:r w:rsidRPr="00123798">
              <w:rPr>
                <w:sz w:val="20"/>
                <w:szCs w:val="20"/>
              </w:rPr>
              <w:t>month 6</w:t>
            </w:r>
          </w:p>
        </w:tc>
        <w:tc>
          <w:tcPr>
            <w:tcW w:w="2076" w:type="dxa"/>
            <w:tcBorders>
              <w:left w:val="single" w:sz="6" w:space="0" w:color="auto"/>
              <w:bottom w:val="single" w:sz="2" w:space="0" w:color="auto"/>
              <w:right w:val="single" w:sz="6" w:space="0" w:color="auto"/>
            </w:tcBorders>
            <w:vAlign w:val="center"/>
          </w:tcPr>
          <w:p w:rsidR="00806A01" w:rsidRPr="00123798" w:rsidRDefault="00806A01" w:rsidP="00053073">
            <w:pPr>
              <w:pStyle w:val="TextPItable"/>
              <w:tabs>
                <w:tab w:val="clear" w:pos="1418"/>
              </w:tabs>
              <w:jc w:val="center"/>
              <w:rPr>
                <w:sz w:val="20"/>
                <w:szCs w:val="20"/>
              </w:rPr>
            </w:pPr>
            <w:r w:rsidRPr="00123798">
              <w:rPr>
                <w:sz w:val="20"/>
                <w:szCs w:val="20"/>
              </w:rPr>
              <w:t>22%</w:t>
            </w:r>
          </w:p>
        </w:tc>
        <w:tc>
          <w:tcPr>
            <w:tcW w:w="2126" w:type="dxa"/>
            <w:tcBorders>
              <w:left w:val="single" w:sz="6" w:space="0" w:color="auto"/>
              <w:bottom w:val="single" w:sz="2" w:space="0" w:color="auto"/>
              <w:right w:val="single" w:sz="6" w:space="0" w:color="auto"/>
            </w:tcBorders>
            <w:vAlign w:val="center"/>
          </w:tcPr>
          <w:p w:rsidR="00806A01" w:rsidRPr="00123798" w:rsidRDefault="00806A01" w:rsidP="00053073">
            <w:pPr>
              <w:pStyle w:val="TextPItable"/>
              <w:tabs>
                <w:tab w:val="clear" w:pos="1418"/>
              </w:tabs>
              <w:jc w:val="center"/>
              <w:rPr>
                <w:sz w:val="20"/>
                <w:szCs w:val="20"/>
              </w:rPr>
            </w:pPr>
            <w:r w:rsidRPr="00123798">
              <w:rPr>
                <w:sz w:val="20"/>
                <w:szCs w:val="20"/>
              </w:rPr>
              <w:t>38%***</w:t>
            </w:r>
          </w:p>
        </w:tc>
      </w:tr>
      <w:tr w:rsidR="00806A01" w:rsidRPr="00123798" w:rsidTr="00924336">
        <w:trPr>
          <w:cantSplit/>
        </w:trPr>
        <w:tc>
          <w:tcPr>
            <w:tcW w:w="1460" w:type="dxa"/>
            <w:tcBorders>
              <w:top w:val="single" w:sz="2" w:space="0" w:color="auto"/>
              <w:left w:val="single" w:sz="6" w:space="0" w:color="auto"/>
              <w:bottom w:val="nil"/>
              <w:right w:val="single" w:sz="6" w:space="0" w:color="auto"/>
            </w:tcBorders>
            <w:vAlign w:val="center"/>
          </w:tcPr>
          <w:p w:rsidR="00806A01" w:rsidRPr="00123798" w:rsidRDefault="00806A01" w:rsidP="00053073">
            <w:pPr>
              <w:pStyle w:val="TextPItable"/>
              <w:tabs>
                <w:tab w:val="clear" w:pos="1418"/>
              </w:tabs>
              <w:jc w:val="left"/>
              <w:rPr>
                <w:sz w:val="20"/>
                <w:szCs w:val="20"/>
              </w:rPr>
            </w:pPr>
            <w:r w:rsidRPr="00123798">
              <w:rPr>
                <w:sz w:val="20"/>
                <w:szCs w:val="20"/>
              </w:rPr>
              <w:t>ACR</w:t>
            </w:r>
            <w:r w:rsidR="00AB5019" w:rsidRPr="00123798">
              <w:rPr>
                <w:sz w:val="20"/>
                <w:szCs w:val="20"/>
              </w:rPr>
              <w:t xml:space="preserve"> 50</w:t>
            </w:r>
          </w:p>
        </w:tc>
        <w:tc>
          <w:tcPr>
            <w:tcW w:w="2076" w:type="dxa"/>
            <w:tcBorders>
              <w:top w:val="single" w:sz="2" w:space="0" w:color="auto"/>
              <w:left w:val="single" w:sz="6" w:space="0" w:color="auto"/>
              <w:bottom w:val="nil"/>
              <w:right w:val="single" w:sz="6" w:space="0" w:color="auto"/>
            </w:tcBorders>
            <w:vAlign w:val="center"/>
          </w:tcPr>
          <w:p w:rsidR="00806A01" w:rsidRPr="00123798" w:rsidRDefault="00806A01" w:rsidP="00053073">
            <w:pPr>
              <w:pStyle w:val="TextPItable"/>
              <w:tabs>
                <w:tab w:val="clear" w:pos="1418"/>
              </w:tabs>
              <w:jc w:val="center"/>
              <w:rPr>
                <w:sz w:val="20"/>
                <w:szCs w:val="20"/>
              </w:rPr>
            </w:pPr>
          </w:p>
        </w:tc>
        <w:tc>
          <w:tcPr>
            <w:tcW w:w="2126" w:type="dxa"/>
            <w:tcBorders>
              <w:top w:val="single" w:sz="2" w:space="0" w:color="auto"/>
              <w:left w:val="single" w:sz="6" w:space="0" w:color="auto"/>
              <w:bottom w:val="nil"/>
              <w:right w:val="single" w:sz="6" w:space="0" w:color="auto"/>
            </w:tcBorders>
            <w:vAlign w:val="center"/>
          </w:tcPr>
          <w:p w:rsidR="00806A01" w:rsidRPr="00123798" w:rsidRDefault="00806A01" w:rsidP="00053073">
            <w:pPr>
              <w:pStyle w:val="TextPItable"/>
              <w:tabs>
                <w:tab w:val="clear" w:pos="1418"/>
              </w:tabs>
              <w:jc w:val="center"/>
              <w:rPr>
                <w:sz w:val="20"/>
                <w:szCs w:val="20"/>
              </w:rPr>
            </w:pPr>
          </w:p>
        </w:tc>
      </w:tr>
      <w:tr w:rsidR="00806A01" w:rsidRPr="00123798" w:rsidTr="00525B8F">
        <w:trPr>
          <w:cantSplit/>
        </w:trPr>
        <w:tc>
          <w:tcPr>
            <w:tcW w:w="1460" w:type="dxa"/>
            <w:tcBorders>
              <w:left w:val="single" w:sz="6" w:space="0" w:color="auto"/>
              <w:right w:val="single" w:sz="6" w:space="0" w:color="auto"/>
            </w:tcBorders>
            <w:vAlign w:val="center"/>
          </w:tcPr>
          <w:p w:rsidR="00806A01" w:rsidRPr="00123798" w:rsidRDefault="00806A01" w:rsidP="00053073">
            <w:pPr>
              <w:pStyle w:val="TextPItable"/>
              <w:tabs>
                <w:tab w:val="clear" w:pos="1418"/>
              </w:tabs>
              <w:jc w:val="left"/>
              <w:rPr>
                <w:sz w:val="20"/>
                <w:szCs w:val="20"/>
              </w:rPr>
            </w:pPr>
            <w:r w:rsidRPr="00123798">
              <w:rPr>
                <w:sz w:val="20"/>
                <w:szCs w:val="20"/>
              </w:rPr>
              <w:t>month 3</w:t>
            </w:r>
          </w:p>
        </w:tc>
        <w:tc>
          <w:tcPr>
            <w:tcW w:w="2076" w:type="dxa"/>
            <w:tcBorders>
              <w:left w:val="single" w:sz="6" w:space="0" w:color="auto"/>
              <w:right w:val="single" w:sz="6" w:space="0" w:color="auto"/>
            </w:tcBorders>
            <w:vAlign w:val="bottom"/>
          </w:tcPr>
          <w:p w:rsidR="00806A01" w:rsidRPr="00123798" w:rsidRDefault="00806A01" w:rsidP="00053073">
            <w:pPr>
              <w:pStyle w:val="TextPItable"/>
              <w:tabs>
                <w:tab w:val="clear" w:pos="1418"/>
              </w:tabs>
              <w:jc w:val="center"/>
              <w:rPr>
                <w:sz w:val="20"/>
                <w:szCs w:val="20"/>
              </w:rPr>
            </w:pPr>
            <w:r w:rsidRPr="00123798">
              <w:rPr>
                <w:sz w:val="20"/>
                <w:szCs w:val="20"/>
              </w:rPr>
              <w:t>6%</w:t>
            </w:r>
          </w:p>
        </w:tc>
        <w:tc>
          <w:tcPr>
            <w:tcW w:w="2126" w:type="dxa"/>
            <w:tcBorders>
              <w:left w:val="single" w:sz="6" w:space="0" w:color="auto"/>
              <w:right w:val="single" w:sz="6" w:space="0" w:color="auto"/>
            </w:tcBorders>
            <w:vAlign w:val="bottom"/>
          </w:tcPr>
          <w:p w:rsidR="00806A01" w:rsidRPr="00123798" w:rsidRDefault="00053073" w:rsidP="00053073">
            <w:pPr>
              <w:pStyle w:val="TextPItable"/>
              <w:tabs>
                <w:tab w:val="clear" w:pos="1418"/>
              </w:tabs>
              <w:jc w:val="center"/>
              <w:rPr>
                <w:sz w:val="20"/>
                <w:szCs w:val="20"/>
              </w:rPr>
            </w:pPr>
            <w:r>
              <w:rPr>
                <w:sz w:val="20"/>
                <w:szCs w:val="20"/>
              </w:rPr>
              <w:t>1</w:t>
            </w:r>
            <w:r w:rsidR="00806A01" w:rsidRPr="00123798">
              <w:rPr>
                <w:sz w:val="20"/>
                <w:szCs w:val="20"/>
              </w:rPr>
              <w:t>3%**</w:t>
            </w:r>
          </w:p>
        </w:tc>
      </w:tr>
      <w:tr w:rsidR="00806A01" w:rsidRPr="00123798" w:rsidTr="00525B8F">
        <w:trPr>
          <w:cantSplit/>
        </w:trPr>
        <w:tc>
          <w:tcPr>
            <w:tcW w:w="1460" w:type="dxa"/>
            <w:tcBorders>
              <w:left w:val="single" w:sz="6" w:space="0" w:color="auto"/>
              <w:bottom w:val="single" w:sz="4" w:space="0" w:color="auto"/>
              <w:right w:val="single" w:sz="6" w:space="0" w:color="auto"/>
            </w:tcBorders>
            <w:vAlign w:val="center"/>
          </w:tcPr>
          <w:p w:rsidR="00806A01" w:rsidRPr="00123798" w:rsidRDefault="00806A01" w:rsidP="00053073">
            <w:pPr>
              <w:pStyle w:val="TextPItable"/>
              <w:tabs>
                <w:tab w:val="clear" w:pos="1418"/>
              </w:tabs>
              <w:jc w:val="left"/>
              <w:rPr>
                <w:sz w:val="20"/>
                <w:szCs w:val="20"/>
              </w:rPr>
            </w:pPr>
            <w:r w:rsidRPr="00123798">
              <w:rPr>
                <w:sz w:val="20"/>
                <w:szCs w:val="20"/>
              </w:rPr>
              <w:t>month 6</w:t>
            </w:r>
          </w:p>
        </w:tc>
        <w:tc>
          <w:tcPr>
            <w:tcW w:w="2076" w:type="dxa"/>
            <w:tcBorders>
              <w:left w:val="single" w:sz="6" w:space="0" w:color="auto"/>
              <w:bottom w:val="single" w:sz="4" w:space="0" w:color="auto"/>
              <w:right w:val="single" w:sz="6" w:space="0" w:color="auto"/>
            </w:tcBorders>
            <w:vAlign w:val="center"/>
          </w:tcPr>
          <w:p w:rsidR="00806A01" w:rsidRPr="00123798" w:rsidRDefault="00806A01" w:rsidP="00053073">
            <w:pPr>
              <w:pStyle w:val="TextPItable"/>
              <w:tabs>
                <w:tab w:val="clear" w:pos="1418"/>
              </w:tabs>
              <w:jc w:val="center"/>
              <w:rPr>
                <w:sz w:val="20"/>
                <w:szCs w:val="20"/>
              </w:rPr>
            </w:pPr>
            <w:r w:rsidRPr="00123798">
              <w:rPr>
                <w:sz w:val="20"/>
                <w:szCs w:val="20"/>
              </w:rPr>
              <w:t>8%</w:t>
            </w:r>
          </w:p>
        </w:tc>
        <w:tc>
          <w:tcPr>
            <w:tcW w:w="2126" w:type="dxa"/>
            <w:tcBorders>
              <w:left w:val="single" w:sz="6" w:space="0" w:color="auto"/>
              <w:bottom w:val="single" w:sz="4" w:space="0" w:color="auto"/>
              <w:right w:val="single" w:sz="6" w:space="0" w:color="auto"/>
            </w:tcBorders>
            <w:vAlign w:val="center"/>
          </w:tcPr>
          <w:p w:rsidR="00806A01" w:rsidRPr="00123798" w:rsidRDefault="00053073" w:rsidP="00053073">
            <w:pPr>
              <w:pStyle w:val="TextPItable"/>
              <w:tabs>
                <w:tab w:val="clear" w:pos="1418"/>
              </w:tabs>
              <w:jc w:val="center"/>
              <w:rPr>
                <w:sz w:val="20"/>
                <w:szCs w:val="20"/>
              </w:rPr>
            </w:pPr>
            <w:r>
              <w:rPr>
                <w:sz w:val="20"/>
                <w:szCs w:val="20"/>
              </w:rPr>
              <w:t>1</w:t>
            </w:r>
            <w:r w:rsidR="00806A01" w:rsidRPr="00123798">
              <w:rPr>
                <w:sz w:val="20"/>
                <w:szCs w:val="20"/>
              </w:rPr>
              <w:t>7%**</w:t>
            </w:r>
          </w:p>
        </w:tc>
      </w:tr>
      <w:tr w:rsidR="00525B8F" w:rsidRPr="00123798" w:rsidTr="00525B8F">
        <w:trPr>
          <w:cantSplit/>
        </w:trPr>
        <w:tc>
          <w:tcPr>
            <w:tcW w:w="1460" w:type="dxa"/>
            <w:tcBorders>
              <w:top w:val="single" w:sz="4" w:space="0" w:color="auto"/>
              <w:left w:val="single" w:sz="6" w:space="0" w:color="auto"/>
              <w:right w:val="single" w:sz="6" w:space="0" w:color="auto"/>
            </w:tcBorders>
            <w:vAlign w:val="center"/>
          </w:tcPr>
          <w:p w:rsidR="00525B8F" w:rsidRPr="00123798" w:rsidRDefault="00525B8F" w:rsidP="00525B8F">
            <w:pPr>
              <w:pStyle w:val="TextPItable"/>
              <w:tabs>
                <w:tab w:val="clear" w:pos="1418"/>
              </w:tabs>
              <w:jc w:val="left"/>
              <w:rPr>
                <w:sz w:val="20"/>
                <w:szCs w:val="20"/>
              </w:rPr>
            </w:pPr>
            <w:r w:rsidRPr="00123798">
              <w:rPr>
                <w:sz w:val="20"/>
                <w:szCs w:val="20"/>
              </w:rPr>
              <w:t>ACR 70</w:t>
            </w:r>
          </w:p>
        </w:tc>
        <w:tc>
          <w:tcPr>
            <w:tcW w:w="2076" w:type="dxa"/>
            <w:tcBorders>
              <w:top w:val="single" w:sz="4" w:space="0" w:color="auto"/>
              <w:left w:val="single" w:sz="6" w:space="0" w:color="auto"/>
              <w:right w:val="single" w:sz="6" w:space="0" w:color="auto"/>
            </w:tcBorders>
            <w:vAlign w:val="center"/>
          </w:tcPr>
          <w:p w:rsidR="00525B8F" w:rsidRPr="00123798" w:rsidRDefault="00525B8F" w:rsidP="00525B8F">
            <w:pPr>
              <w:pStyle w:val="TextPItable"/>
              <w:tabs>
                <w:tab w:val="clear" w:pos="1418"/>
              </w:tabs>
              <w:jc w:val="center"/>
              <w:rPr>
                <w:sz w:val="20"/>
                <w:szCs w:val="20"/>
              </w:rPr>
            </w:pPr>
          </w:p>
        </w:tc>
        <w:tc>
          <w:tcPr>
            <w:tcW w:w="2126" w:type="dxa"/>
            <w:tcBorders>
              <w:top w:val="single" w:sz="4" w:space="0" w:color="auto"/>
              <w:left w:val="single" w:sz="6" w:space="0" w:color="auto"/>
              <w:right w:val="single" w:sz="6" w:space="0" w:color="auto"/>
            </w:tcBorders>
            <w:vAlign w:val="center"/>
          </w:tcPr>
          <w:p w:rsidR="00525B8F" w:rsidRDefault="00525B8F" w:rsidP="00525B8F">
            <w:pPr>
              <w:pStyle w:val="TextPItable"/>
              <w:tabs>
                <w:tab w:val="clear" w:pos="1418"/>
              </w:tabs>
              <w:jc w:val="center"/>
              <w:rPr>
                <w:sz w:val="20"/>
                <w:szCs w:val="20"/>
              </w:rPr>
            </w:pPr>
          </w:p>
        </w:tc>
      </w:tr>
      <w:tr w:rsidR="00525B8F" w:rsidRPr="00123798" w:rsidTr="001F1A3D">
        <w:trPr>
          <w:cantSplit/>
        </w:trPr>
        <w:tc>
          <w:tcPr>
            <w:tcW w:w="1460" w:type="dxa"/>
            <w:tcBorders>
              <w:left w:val="single" w:sz="6" w:space="0" w:color="auto"/>
              <w:right w:val="single" w:sz="6" w:space="0" w:color="auto"/>
            </w:tcBorders>
            <w:vAlign w:val="center"/>
          </w:tcPr>
          <w:p w:rsidR="00525B8F" w:rsidRPr="00123798" w:rsidRDefault="00525B8F" w:rsidP="00525B8F">
            <w:pPr>
              <w:pStyle w:val="TextPItable"/>
              <w:tabs>
                <w:tab w:val="clear" w:pos="1418"/>
              </w:tabs>
              <w:jc w:val="left"/>
              <w:rPr>
                <w:sz w:val="20"/>
                <w:szCs w:val="20"/>
              </w:rPr>
            </w:pPr>
            <w:r w:rsidRPr="00123798">
              <w:rPr>
                <w:sz w:val="20"/>
                <w:szCs w:val="20"/>
              </w:rPr>
              <w:t>month 3</w:t>
            </w:r>
          </w:p>
        </w:tc>
        <w:tc>
          <w:tcPr>
            <w:tcW w:w="2076" w:type="dxa"/>
            <w:tcBorders>
              <w:left w:val="single" w:sz="6" w:space="0" w:color="auto"/>
              <w:right w:val="single" w:sz="6" w:space="0" w:color="auto"/>
            </w:tcBorders>
            <w:vAlign w:val="bottom"/>
          </w:tcPr>
          <w:p w:rsidR="00525B8F" w:rsidRPr="00123798" w:rsidRDefault="00525B8F" w:rsidP="00525B8F">
            <w:pPr>
              <w:pStyle w:val="TextPItable"/>
              <w:tabs>
                <w:tab w:val="clear" w:pos="1418"/>
              </w:tabs>
              <w:jc w:val="center"/>
              <w:rPr>
                <w:sz w:val="20"/>
                <w:szCs w:val="20"/>
              </w:rPr>
            </w:pPr>
            <w:r w:rsidRPr="00123798">
              <w:rPr>
                <w:sz w:val="20"/>
                <w:szCs w:val="20"/>
              </w:rPr>
              <w:t>0%</w:t>
            </w:r>
          </w:p>
        </w:tc>
        <w:tc>
          <w:tcPr>
            <w:tcW w:w="2126" w:type="dxa"/>
            <w:tcBorders>
              <w:left w:val="single" w:sz="6" w:space="0" w:color="auto"/>
              <w:right w:val="single" w:sz="6" w:space="0" w:color="auto"/>
            </w:tcBorders>
            <w:vAlign w:val="bottom"/>
          </w:tcPr>
          <w:p w:rsidR="00525B8F" w:rsidRDefault="00525B8F" w:rsidP="00525B8F">
            <w:pPr>
              <w:pStyle w:val="TextPItable"/>
              <w:tabs>
                <w:tab w:val="clear" w:pos="1418"/>
              </w:tabs>
              <w:jc w:val="center"/>
              <w:rPr>
                <w:sz w:val="20"/>
                <w:szCs w:val="20"/>
              </w:rPr>
            </w:pPr>
            <w:r w:rsidRPr="00123798">
              <w:rPr>
                <w:sz w:val="20"/>
                <w:szCs w:val="20"/>
              </w:rPr>
              <w:t>3%*</w:t>
            </w:r>
          </w:p>
        </w:tc>
      </w:tr>
      <w:tr w:rsidR="00525B8F" w:rsidRPr="00123798" w:rsidTr="00924336">
        <w:trPr>
          <w:cantSplit/>
        </w:trPr>
        <w:tc>
          <w:tcPr>
            <w:tcW w:w="1460" w:type="dxa"/>
            <w:tcBorders>
              <w:left w:val="single" w:sz="6" w:space="0" w:color="auto"/>
              <w:bottom w:val="single" w:sz="2" w:space="0" w:color="auto"/>
              <w:right w:val="single" w:sz="6" w:space="0" w:color="auto"/>
            </w:tcBorders>
            <w:vAlign w:val="center"/>
          </w:tcPr>
          <w:p w:rsidR="00525B8F" w:rsidRPr="00123798" w:rsidRDefault="00525B8F" w:rsidP="00525B8F">
            <w:pPr>
              <w:pStyle w:val="TextPItable"/>
              <w:tabs>
                <w:tab w:val="clear" w:pos="1418"/>
              </w:tabs>
              <w:jc w:val="left"/>
              <w:rPr>
                <w:sz w:val="20"/>
                <w:szCs w:val="20"/>
              </w:rPr>
            </w:pPr>
            <w:r w:rsidRPr="00123798">
              <w:rPr>
                <w:sz w:val="20"/>
                <w:szCs w:val="20"/>
              </w:rPr>
              <w:t>month 6</w:t>
            </w:r>
          </w:p>
        </w:tc>
        <w:tc>
          <w:tcPr>
            <w:tcW w:w="2076" w:type="dxa"/>
            <w:tcBorders>
              <w:left w:val="single" w:sz="6" w:space="0" w:color="auto"/>
              <w:bottom w:val="single" w:sz="2" w:space="0" w:color="auto"/>
              <w:right w:val="single" w:sz="6" w:space="0" w:color="auto"/>
            </w:tcBorders>
            <w:vAlign w:val="center"/>
          </w:tcPr>
          <w:p w:rsidR="00525B8F" w:rsidRPr="00123798" w:rsidRDefault="00525B8F" w:rsidP="00525B8F">
            <w:pPr>
              <w:pStyle w:val="TextPItable"/>
              <w:tabs>
                <w:tab w:val="clear" w:pos="1418"/>
              </w:tabs>
              <w:jc w:val="center"/>
              <w:rPr>
                <w:sz w:val="20"/>
                <w:szCs w:val="20"/>
              </w:rPr>
            </w:pPr>
            <w:r w:rsidRPr="00123798">
              <w:rPr>
                <w:sz w:val="20"/>
                <w:szCs w:val="20"/>
              </w:rPr>
              <w:t>2%</w:t>
            </w:r>
          </w:p>
        </w:tc>
        <w:tc>
          <w:tcPr>
            <w:tcW w:w="2126" w:type="dxa"/>
            <w:tcBorders>
              <w:left w:val="single" w:sz="6" w:space="0" w:color="auto"/>
              <w:bottom w:val="single" w:sz="2" w:space="0" w:color="auto"/>
              <w:right w:val="single" w:sz="6" w:space="0" w:color="auto"/>
            </w:tcBorders>
            <w:vAlign w:val="center"/>
          </w:tcPr>
          <w:p w:rsidR="00525B8F" w:rsidRDefault="00525B8F" w:rsidP="00525B8F">
            <w:pPr>
              <w:pStyle w:val="TextPItable"/>
              <w:tabs>
                <w:tab w:val="clear" w:pos="1418"/>
              </w:tabs>
              <w:jc w:val="center"/>
              <w:rPr>
                <w:sz w:val="20"/>
                <w:szCs w:val="20"/>
              </w:rPr>
            </w:pPr>
            <w:r w:rsidRPr="00123798">
              <w:rPr>
                <w:sz w:val="20"/>
                <w:szCs w:val="20"/>
              </w:rPr>
              <w:t>6%*</w:t>
            </w:r>
          </w:p>
        </w:tc>
      </w:tr>
    </w:tbl>
    <w:p w:rsidR="00E86C39" w:rsidRDefault="00E86C39"/>
    <w:p w:rsidR="00525B8F" w:rsidRDefault="00525B8F" w:rsidP="00186894">
      <w:pPr>
        <w:pStyle w:val="TextPI"/>
        <w:spacing w:before="0" w:after="0"/>
        <w:rPr>
          <w:sz w:val="18"/>
          <w:szCs w:val="18"/>
          <w:lang w:val="sv-SE"/>
        </w:rPr>
      </w:pPr>
    </w:p>
    <w:p w:rsidR="00525B8F" w:rsidRDefault="00525B8F" w:rsidP="00186894">
      <w:pPr>
        <w:pStyle w:val="TextPI"/>
        <w:spacing w:before="0" w:after="0"/>
        <w:rPr>
          <w:sz w:val="18"/>
          <w:szCs w:val="18"/>
          <w:lang w:val="sv-SE"/>
        </w:rPr>
      </w:pPr>
    </w:p>
    <w:p w:rsidR="00525B8F" w:rsidRDefault="00525B8F" w:rsidP="00186894">
      <w:pPr>
        <w:pStyle w:val="TextPI"/>
        <w:spacing w:before="0" w:after="0"/>
        <w:rPr>
          <w:sz w:val="18"/>
          <w:szCs w:val="18"/>
          <w:lang w:val="sv-SE"/>
        </w:rPr>
      </w:pPr>
    </w:p>
    <w:p w:rsidR="00525B8F" w:rsidRDefault="00525B8F" w:rsidP="00186894">
      <w:pPr>
        <w:pStyle w:val="TextPI"/>
        <w:spacing w:before="0" w:after="0"/>
        <w:rPr>
          <w:sz w:val="18"/>
          <w:szCs w:val="18"/>
          <w:lang w:val="sv-SE"/>
        </w:rPr>
      </w:pPr>
    </w:p>
    <w:p w:rsidR="00525B8F" w:rsidRDefault="00525B8F" w:rsidP="00186894">
      <w:pPr>
        <w:pStyle w:val="TextPI"/>
        <w:spacing w:before="0" w:after="0"/>
        <w:rPr>
          <w:sz w:val="18"/>
          <w:szCs w:val="18"/>
          <w:lang w:val="sv-SE"/>
        </w:rPr>
      </w:pPr>
    </w:p>
    <w:p w:rsidR="00525B8F" w:rsidRDefault="00525B8F" w:rsidP="00186894">
      <w:pPr>
        <w:pStyle w:val="TextPI"/>
        <w:spacing w:before="0" w:after="0"/>
        <w:rPr>
          <w:sz w:val="18"/>
          <w:szCs w:val="18"/>
          <w:lang w:val="sv-SE"/>
        </w:rPr>
      </w:pPr>
    </w:p>
    <w:p w:rsidR="00525B8F" w:rsidRDefault="00525B8F" w:rsidP="00186894">
      <w:pPr>
        <w:pStyle w:val="TextPI"/>
        <w:spacing w:before="0" w:after="0"/>
        <w:rPr>
          <w:sz w:val="18"/>
          <w:szCs w:val="18"/>
          <w:lang w:val="sv-SE"/>
        </w:rPr>
      </w:pPr>
    </w:p>
    <w:p w:rsidR="00525B8F" w:rsidRDefault="00525B8F" w:rsidP="00186894">
      <w:pPr>
        <w:pStyle w:val="TextPI"/>
        <w:spacing w:before="0" w:after="0"/>
        <w:rPr>
          <w:sz w:val="18"/>
          <w:szCs w:val="18"/>
          <w:lang w:val="sv-SE"/>
        </w:rPr>
      </w:pPr>
    </w:p>
    <w:p w:rsidR="00525B8F" w:rsidRDefault="00525B8F" w:rsidP="00186894">
      <w:pPr>
        <w:pStyle w:val="TextPI"/>
        <w:spacing w:before="0" w:after="0"/>
        <w:rPr>
          <w:sz w:val="18"/>
          <w:szCs w:val="18"/>
          <w:lang w:val="sv-SE"/>
        </w:rPr>
      </w:pPr>
    </w:p>
    <w:p w:rsidR="00525B8F" w:rsidRDefault="00525B8F" w:rsidP="00186894">
      <w:pPr>
        <w:pStyle w:val="TextPI"/>
        <w:spacing w:before="0" w:after="0"/>
        <w:rPr>
          <w:sz w:val="18"/>
          <w:szCs w:val="18"/>
          <w:lang w:val="sv-SE"/>
        </w:rPr>
      </w:pPr>
    </w:p>
    <w:p w:rsidR="00525B8F" w:rsidRDefault="00525B8F" w:rsidP="00186894">
      <w:pPr>
        <w:pStyle w:val="TextPI"/>
        <w:spacing w:before="0" w:after="0"/>
        <w:rPr>
          <w:sz w:val="18"/>
          <w:szCs w:val="18"/>
          <w:lang w:val="sv-SE"/>
        </w:rPr>
      </w:pPr>
    </w:p>
    <w:p w:rsidR="00525B8F" w:rsidRDefault="00525B8F" w:rsidP="00186894">
      <w:pPr>
        <w:pStyle w:val="TextPI"/>
        <w:spacing w:before="0" w:after="0"/>
        <w:rPr>
          <w:sz w:val="18"/>
          <w:szCs w:val="18"/>
          <w:lang w:val="sv-SE"/>
        </w:rPr>
      </w:pPr>
    </w:p>
    <w:p w:rsidR="00525B8F" w:rsidRDefault="00525B8F" w:rsidP="00186894">
      <w:pPr>
        <w:pStyle w:val="TextPI"/>
        <w:spacing w:before="0" w:after="0"/>
        <w:rPr>
          <w:sz w:val="18"/>
          <w:szCs w:val="18"/>
          <w:lang w:val="sv-SE"/>
        </w:rPr>
      </w:pPr>
    </w:p>
    <w:p w:rsidR="00B4477F" w:rsidRDefault="00B4477F" w:rsidP="00186894">
      <w:pPr>
        <w:pStyle w:val="TextPI"/>
        <w:spacing w:before="0" w:after="0"/>
        <w:rPr>
          <w:sz w:val="18"/>
          <w:szCs w:val="18"/>
          <w:lang w:val="sv-SE"/>
        </w:rPr>
      </w:pPr>
    </w:p>
    <w:p w:rsidR="008E22C4" w:rsidRPr="00866044" w:rsidRDefault="008E22C4" w:rsidP="00186894">
      <w:pPr>
        <w:pStyle w:val="TextPI"/>
        <w:spacing w:before="0" w:after="0"/>
        <w:rPr>
          <w:sz w:val="18"/>
          <w:szCs w:val="18"/>
          <w:lang w:val="sv-SE"/>
        </w:rPr>
      </w:pPr>
      <w:r w:rsidRPr="00866044">
        <w:rPr>
          <w:sz w:val="18"/>
          <w:szCs w:val="18"/>
          <w:lang w:val="sv-SE"/>
        </w:rPr>
        <w:t xml:space="preserve">* p &lt; 0.05, </w:t>
      </w:r>
      <w:r w:rsidR="004C1A83">
        <w:rPr>
          <w:sz w:val="18"/>
          <w:szCs w:val="18"/>
          <w:lang w:val="sv-SE"/>
        </w:rPr>
        <w:t>KINERET</w:t>
      </w:r>
      <w:r w:rsidR="00772CFB">
        <w:rPr>
          <w:sz w:val="18"/>
          <w:szCs w:val="18"/>
          <w:lang w:val="sv-SE"/>
        </w:rPr>
        <w:t xml:space="preserve"> </w:t>
      </w:r>
      <w:r w:rsidRPr="00866044">
        <w:rPr>
          <w:sz w:val="18"/>
          <w:szCs w:val="18"/>
          <w:lang w:val="sv-SE"/>
        </w:rPr>
        <w:t>versus placebo</w:t>
      </w:r>
    </w:p>
    <w:p w:rsidR="008E22C4" w:rsidRPr="00866044" w:rsidRDefault="008E22C4" w:rsidP="00186894">
      <w:pPr>
        <w:pStyle w:val="TextPI"/>
        <w:spacing w:before="0" w:after="0"/>
        <w:rPr>
          <w:sz w:val="18"/>
          <w:szCs w:val="18"/>
          <w:lang w:val="sv-SE"/>
        </w:rPr>
      </w:pPr>
      <w:r w:rsidRPr="00866044">
        <w:rPr>
          <w:sz w:val="18"/>
          <w:szCs w:val="18"/>
          <w:lang w:val="sv-SE"/>
        </w:rPr>
        <w:t xml:space="preserve"> ** p&lt; 0.01, </w:t>
      </w:r>
      <w:r w:rsidR="004C1A83">
        <w:rPr>
          <w:sz w:val="18"/>
          <w:szCs w:val="18"/>
          <w:lang w:val="sv-SE"/>
        </w:rPr>
        <w:t>KINERET</w:t>
      </w:r>
      <w:r w:rsidR="00772CFB">
        <w:rPr>
          <w:sz w:val="18"/>
          <w:szCs w:val="18"/>
          <w:lang w:val="sv-SE"/>
        </w:rPr>
        <w:t xml:space="preserve"> </w:t>
      </w:r>
      <w:r w:rsidRPr="00866044">
        <w:rPr>
          <w:sz w:val="18"/>
          <w:szCs w:val="18"/>
          <w:lang w:val="sv-SE"/>
        </w:rPr>
        <w:t>versus placebo</w:t>
      </w:r>
    </w:p>
    <w:p w:rsidR="008E22C4" w:rsidRDefault="008E22C4" w:rsidP="00186894">
      <w:pPr>
        <w:pStyle w:val="TextPI"/>
        <w:spacing w:before="0" w:after="0"/>
        <w:rPr>
          <w:sz w:val="18"/>
          <w:szCs w:val="18"/>
        </w:rPr>
      </w:pPr>
      <w:r w:rsidRPr="00123798">
        <w:rPr>
          <w:sz w:val="18"/>
          <w:szCs w:val="18"/>
        </w:rPr>
        <w:t xml:space="preserve">*** </w:t>
      </w:r>
      <w:proofErr w:type="gramStart"/>
      <w:r w:rsidRPr="00123798">
        <w:rPr>
          <w:sz w:val="18"/>
          <w:szCs w:val="18"/>
        </w:rPr>
        <w:t>p</w:t>
      </w:r>
      <w:proofErr w:type="gramEnd"/>
      <w:r w:rsidRPr="00123798">
        <w:rPr>
          <w:sz w:val="18"/>
          <w:szCs w:val="18"/>
        </w:rPr>
        <w:t xml:space="preserve"> &lt; 0.001, </w:t>
      </w:r>
      <w:r w:rsidR="004C1A83">
        <w:rPr>
          <w:sz w:val="18"/>
          <w:szCs w:val="18"/>
        </w:rPr>
        <w:t>KINERET</w:t>
      </w:r>
      <w:r w:rsidR="00772CFB">
        <w:rPr>
          <w:sz w:val="18"/>
          <w:szCs w:val="18"/>
        </w:rPr>
        <w:t xml:space="preserve"> </w:t>
      </w:r>
      <w:r w:rsidRPr="00123798">
        <w:rPr>
          <w:sz w:val="18"/>
          <w:szCs w:val="18"/>
        </w:rPr>
        <w:t>versus placebo</w:t>
      </w:r>
    </w:p>
    <w:p w:rsidR="004C629C" w:rsidRPr="000575DA" w:rsidRDefault="004C629C" w:rsidP="000575DA">
      <w:pPr>
        <w:pStyle w:val="PIheading2"/>
      </w:pPr>
      <w:r w:rsidRPr="000575DA">
        <w:t>CAPS</w:t>
      </w:r>
    </w:p>
    <w:p w:rsidR="004C629C" w:rsidRPr="00924336" w:rsidRDefault="004C629C" w:rsidP="00892ECC">
      <w:pPr>
        <w:pStyle w:val="TextPI"/>
      </w:pPr>
      <w:r w:rsidRPr="00924336">
        <w:t xml:space="preserve">The safety and efficacy of </w:t>
      </w:r>
      <w:r w:rsidR="004C1A83" w:rsidRPr="00924336">
        <w:t>KINERET</w:t>
      </w:r>
      <w:r w:rsidRPr="00924336">
        <w:t xml:space="preserve"> have been demonstrated in 43 patients with severe CAPS aged 0.7 to 46 years (36 patients &lt;18 years) in a prospective, long-term, open-label outcome study with a treatment duration of up to 5 years. Efficacy was demonstrated by decrease in disease-specific Diary Symptom Sum Score (DSSS), including the prominent disease symptoms fever, rash, joint pain, vomiting, and headache from baseline to 3-6 months and every 6 months thereafter while on treatment. </w:t>
      </w:r>
    </w:p>
    <w:p w:rsidR="004C629C" w:rsidRPr="00924336" w:rsidRDefault="004C629C" w:rsidP="00892ECC">
      <w:pPr>
        <w:pStyle w:val="TextPI"/>
      </w:pPr>
      <w:r w:rsidRPr="00924336">
        <w:t xml:space="preserve">A significant improvement in all individual disease symptoms comprising the DSSS was seen, sustained up to Month 60. Results were consistent across age, gender, presence of CIAS1 mutation, and disease phenotype. There was also a rapid and sustained decrease in diary symptom score from baseline to Month 60 for secondary symptoms (fatigue, eye redness, sleep problems, seizures, and difficulties ambulating). </w:t>
      </w:r>
    </w:p>
    <w:p w:rsidR="004C629C" w:rsidRPr="006A2FD3" w:rsidRDefault="004C629C" w:rsidP="00892ECC">
      <w:pPr>
        <w:pStyle w:val="TextPI"/>
      </w:pPr>
      <w:r w:rsidRPr="006A2FD3">
        <w:t xml:space="preserve">Levels of the biomarkers of inflammation serum amyloid A (SAA), C-reactive protein (CRP), and erythrocyte sedimentation rate (ESR) decreased significantly from before to after 3 months of </w:t>
      </w:r>
      <w:r w:rsidR="004C1A83" w:rsidRPr="006A2FD3">
        <w:t>KINERET</w:t>
      </w:r>
      <w:r w:rsidRPr="006A2FD3">
        <w:t xml:space="preserve"> treatment and were sustained throughout the study.  </w:t>
      </w:r>
    </w:p>
    <w:p w:rsidR="004C629C" w:rsidRPr="006A2FD3" w:rsidRDefault="004C629C" w:rsidP="00892ECC">
      <w:pPr>
        <w:pStyle w:val="TextPI"/>
      </w:pPr>
      <w:r w:rsidRPr="006A2FD3">
        <w:t xml:space="preserve">Disease symptoms worsened and inflammatory serum markers increased during a treatment withdrawal phase and promptly improved again at reinstitution of </w:t>
      </w:r>
      <w:r w:rsidR="004C1A83" w:rsidRPr="006A2FD3">
        <w:t>KINERET</w:t>
      </w:r>
      <w:r w:rsidRPr="006A2FD3">
        <w:t xml:space="preserve"> therapy. </w:t>
      </w:r>
    </w:p>
    <w:p w:rsidR="004C629C" w:rsidRPr="006A2FD3" w:rsidRDefault="004C629C" w:rsidP="00892ECC">
      <w:pPr>
        <w:pStyle w:val="TextPI"/>
      </w:pPr>
      <w:r w:rsidRPr="006A2FD3">
        <w:t xml:space="preserve">Indicators of active CNS involvement (including headache, lumbar puncture opening pressure, </w:t>
      </w:r>
      <w:proofErr w:type="spellStart"/>
      <w:r w:rsidRPr="006A2FD3">
        <w:t>papill</w:t>
      </w:r>
      <w:r w:rsidR="00255219" w:rsidRPr="006A2FD3">
        <w:t>o</w:t>
      </w:r>
      <w:r w:rsidRPr="006A2FD3">
        <w:t>edema</w:t>
      </w:r>
      <w:proofErr w:type="spellEnd"/>
      <w:r w:rsidRPr="006A2FD3">
        <w:t xml:space="preserve">, and CSF </w:t>
      </w:r>
      <w:proofErr w:type="spellStart"/>
      <w:r w:rsidRPr="006A2FD3">
        <w:t>pleocytosis</w:t>
      </w:r>
      <w:proofErr w:type="spellEnd"/>
      <w:r w:rsidRPr="006A2FD3">
        <w:t xml:space="preserve">) and signs of inflammatory meningeal enhancement on brain MRI decreased during </w:t>
      </w:r>
      <w:r w:rsidR="004C1A83" w:rsidRPr="006A2FD3">
        <w:t>KINERET</w:t>
      </w:r>
      <w:r w:rsidRPr="006A2FD3">
        <w:t xml:space="preserve"> treatment.  Manifestations of eye inflammation decreased, and visual acuity remained stable during the study. Estimated pure tone average (</w:t>
      </w:r>
      <w:proofErr w:type="spellStart"/>
      <w:r w:rsidRPr="006A2FD3">
        <w:t>ePTA</w:t>
      </w:r>
      <w:proofErr w:type="spellEnd"/>
      <w:r w:rsidRPr="006A2FD3">
        <w:t xml:space="preserve">) data showed stable hearing during long-term treatment, and signs of cochlear inflammation on brain MRI showed significant reductions. </w:t>
      </w:r>
    </w:p>
    <w:p w:rsidR="004C629C" w:rsidRPr="006A2FD3" w:rsidRDefault="004C629C" w:rsidP="00892ECC">
      <w:pPr>
        <w:pStyle w:val="TextPI"/>
      </w:pPr>
      <w:r w:rsidRPr="006A2FD3">
        <w:t xml:space="preserve">The number of patients on concomitant glucocorticoid treatment decreased during the study, and doses were considerably reduced for patients with continued steroid use. </w:t>
      </w:r>
    </w:p>
    <w:p w:rsidR="004C629C" w:rsidRDefault="004C629C" w:rsidP="00892ECC">
      <w:pPr>
        <w:pStyle w:val="TextPI"/>
      </w:pPr>
      <w:proofErr w:type="spellStart"/>
      <w:r w:rsidRPr="006A2FD3">
        <w:t>H</w:t>
      </w:r>
      <w:r w:rsidR="00255219" w:rsidRPr="006A2FD3">
        <w:t>a</w:t>
      </w:r>
      <w:r w:rsidRPr="006A2FD3">
        <w:t>ematological</w:t>
      </w:r>
      <w:proofErr w:type="spellEnd"/>
      <w:r w:rsidRPr="006A2FD3">
        <w:t xml:space="preserve"> lab tests at baseline showed signs of inflammation.  </w:t>
      </w:r>
      <w:proofErr w:type="spellStart"/>
      <w:r w:rsidRPr="006A2FD3">
        <w:t>H</w:t>
      </w:r>
      <w:r w:rsidR="00255219" w:rsidRPr="006A2FD3">
        <w:t>a</w:t>
      </w:r>
      <w:r w:rsidRPr="006A2FD3">
        <w:t>emoglobin</w:t>
      </w:r>
      <w:proofErr w:type="spellEnd"/>
      <w:r w:rsidRPr="006A2FD3">
        <w:t xml:space="preserve"> and </w:t>
      </w:r>
      <w:proofErr w:type="spellStart"/>
      <w:r w:rsidRPr="006A2FD3">
        <w:t>h</w:t>
      </w:r>
      <w:r w:rsidR="00255219" w:rsidRPr="006A2FD3">
        <w:t>a</w:t>
      </w:r>
      <w:r w:rsidRPr="006A2FD3">
        <w:t>ematocrit</w:t>
      </w:r>
      <w:proofErr w:type="spellEnd"/>
      <w:r w:rsidRPr="006A2FD3">
        <w:t xml:space="preserve"> values were low and WBC counts, including neutrophils, were increased, reflecting active disease in the study population.  All laboratory values improved after initiation of </w:t>
      </w:r>
      <w:r w:rsidR="004C1A83" w:rsidRPr="006A2FD3">
        <w:t>KINERET</w:t>
      </w:r>
      <w:r w:rsidRPr="006A2FD3">
        <w:t xml:space="preserve"> treatment.</w:t>
      </w:r>
    </w:p>
    <w:p w:rsidR="00373277" w:rsidRPr="000575DA" w:rsidRDefault="00373277" w:rsidP="000575DA">
      <w:pPr>
        <w:pStyle w:val="PIheading2"/>
      </w:pPr>
      <w:r w:rsidRPr="000575DA">
        <w:lastRenderedPageBreak/>
        <w:t>SJIA</w:t>
      </w:r>
    </w:p>
    <w:p w:rsidR="00D030C1" w:rsidRPr="00D030C1" w:rsidRDefault="00D030C1" w:rsidP="00D030C1">
      <w:pPr>
        <w:autoSpaceDE w:val="0"/>
        <w:autoSpaceDN w:val="0"/>
        <w:adjustRightInd w:val="0"/>
        <w:jc w:val="both"/>
        <w:rPr>
          <w:rFonts w:ascii="Arial" w:hAnsi="Arial"/>
          <w:sz w:val="22"/>
          <w:szCs w:val="22"/>
        </w:rPr>
      </w:pPr>
      <w:r w:rsidRPr="00D030C1">
        <w:rPr>
          <w:rFonts w:ascii="Arial" w:hAnsi="Arial"/>
          <w:sz w:val="22"/>
          <w:szCs w:val="22"/>
        </w:rPr>
        <w:t>Limited evidence of efficacy was available from a study in which 24 SJIA patients were</w:t>
      </w:r>
      <w:r>
        <w:rPr>
          <w:rFonts w:ascii="Arial" w:hAnsi="Arial"/>
          <w:sz w:val="22"/>
          <w:szCs w:val="22"/>
        </w:rPr>
        <w:t xml:space="preserve"> </w:t>
      </w:r>
      <w:proofErr w:type="spellStart"/>
      <w:r w:rsidRPr="00D030C1">
        <w:rPr>
          <w:rFonts w:ascii="Arial" w:hAnsi="Arial"/>
          <w:sz w:val="22"/>
          <w:szCs w:val="22"/>
        </w:rPr>
        <w:t>randomised</w:t>
      </w:r>
      <w:proofErr w:type="spellEnd"/>
      <w:r w:rsidRPr="00D030C1">
        <w:rPr>
          <w:rFonts w:ascii="Arial" w:hAnsi="Arial"/>
          <w:sz w:val="22"/>
          <w:szCs w:val="22"/>
        </w:rPr>
        <w:t xml:space="preserve"> to </w:t>
      </w:r>
      <w:proofErr w:type="spellStart"/>
      <w:r w:rsidRPr="00D030C1">
        <w:rPr>
          <w:rFonts w:ascii="Arial" w:hAnsi="Arial"/>
          <w:sz w:val="22"/>
          <w:szCs w:val="22"/>
        </w:rPr>
        <w:t>anakinra</w:t>
      </w:r>
      <w:proofErr w:type="spellEnd"/>
      <w:r w:rsidRPr="00D030C1">
        <w:rPr>
          <w:rFonts w:ascii="Arial" w:hAnsi="Arial"/>
          <w:sz w:val="22"/>
          <w:szCs w:val="22"/>
        </w:rPr>
        <w:t xml:space="preserve"> (2mg/kg/day SC to a maximum of 100mg/day) and placebo</w:t>
      </w:r>
      <w:r>
        <w:rPr>
          <w:rFonts w:ascii="Arial" w:hAnsi="Arial"/>
          <w:sz w:val="22"/>
          <w:szCs w:val="22"/>
        </w:rPr>
        <w:t xml:space="preserve"> </w:t>
      </w:r>
      <w:r w:rsidRPr="00D030C1">
        <w:rPr>
          <w:rFonts w:ascii="Arial" w:hAnsi="Arial"/>
          <w:sz w:val="22"/>
          <w:szCs w:val="22"/>
        </w:rPr>
        <w:t>groups (12 patients in each group) for a double blind treatment for one month, followed</w:t>
      </w:r>
      <w:r>
        <w:rPr>
          <w:rFonts w:ascii="Arial" w:hAnsi="Arial"/>
          <w:sz w:val="22"/>
          <w:szCs w:val="22"/>
        </w:rPr>
        <w:t xml:space="preserve"> </w:t>
      </w:r>
      <w:r w:rsidRPr="00D030C1">
        <w:rPr>
          <w:rFonts w:ascii="Arial" w:hAnsi="Arial"/>
          <w:sz w:val="22"/>
          <w:szCs w:val="22"/>
        </w:rPr>
        <w:t>by open</w:t>
      </w:r>
      <w:r w:rsidRPr="00D030C1">
        <w:rPr>
          <w:rFonts w:ascii="Cambria Math" w:hAnsi="Cambria Math" w:cs="Cambria Math"/>
          <w:sz w:val="22"/>
          <w:szCs w:val="22"/>
        </w:rPr>
        <w:t>‐</w:t>
      </w:r>
      <w:r w:rsidRPr="00D030C1">
        <w:rPr>
          <w:rFonts w:ascii="Arial" w:hAnsi="Arial"/>
          <w:sz w:val="22"/>
          <w:szCs w:val="22"/>
        </w:rPr>
        <w:t>label single</w:t>
      </w:r>
      <w:r w:rsidRPr="00D030C1">
        <w:rPr>
          <w:rFonts w:ascii="Cambria Math" w:hAnsi="Cambria Math" w:cs="Cambria Math"/>
          <w:sz w:val="22"/>
          <w:szCs w:val="22"/>
        </w:rPr>
        <w:t>‐</w:t>
      </w:r>
      <w:r w:rsidRPr="00D030C1">
        <w:rPr>
          <w:rFonts w:ascii="Arial" w:hAnsi="Arial"/>
          <w:sz w:val="22"/>
          <w:szCs w:val="22"/>
        </w:rPr>
        <w:t xml:space="preserve">arm </w:t>
      </w:r>
      <w:proofErr w:type="spellStart"/>
      <w:r w:rsidRPr="00D030C1">
        <w:rPr>
          <w:rFonts w:ascii="Arial" w:hAnsi="Arial"/>
          <w:sz w:val="22"/>
          <w:szCs w:val="22"/>
        </w:rPr>
        <w:t>anakinra</w:t>
      </w:r>
      <w:proofErr w:type="spellEnd"/>
      <w:r w:rsidRPr="00D030C1">
        <w:rPr>
          <w:rFonts w:ascii="Arial" w:hAnsi="Arial"/>
          <w:sz w:val="22"/>
          <w:szCs w:val="22"/>
        </w:rPr>
        <w:t xml:space="preserve"> treatment (N = 24) for 11 months. </w:t>
      </w:r>
    </w:p>
    <w:p w:rsidR="003A696E" w:rsidRPr="000A7F2C" w:rsidRDefault="003A696E" w:rsidP="00373277">
      <w:pPr>
        <w:pStyle w:val="TextPI"/>
      </w:pPr>
      <w:r w:rsidRPr="003A696E">
        <w:t xml:space="preserve">Patients eligible for enrollment were aged 2-20 years with a diagnosis of SJIA according to Edmonton’s criteria, more than 6 months’ disease duration, active systemic disease (disease-related fever and/or C-reactive protein (CRP) &gt; 20 mg/l and/or first hour erythrocyte sedimentation rate (ESR) &gt;20) and significant overall disease activity at day 1 (D1) defined by at least three of the following </w:t>
      </w:r>
      <w:proofErr w:type="spellStart"/>
      <w:r w:rsidRPr="003A696E">
        <w:t>Giannini’s</w:t>
      </w:r>
      <w:proofErr w:type="spellEnd"/>
      <w:r w:rsidRPr="003A696E">
        <w:t xml:space="preserve"> core-set items: (1) physician global assessment of disease activity ≥20/100; (2) parent/patient assessment of disease effect on overall wellbeing ≥20/100; (3) Childhood Health Assessment Questionnaire score ≥0.375/3; (4) ≥2 joints with active arthritis; (5) ≥2 joints with non-irreversible limited range of motion and (6) ESR ≥30 despite oral prednisone or prednisolone ≥0.3 mg/kg or 10 mg/day (whichever was lower). Intravenous or intra-articular steroids, immunosuppressive drugs and disease-modifying </w:t>
      </w:r>
      <w:proofErr w:type="spellStart"/>
      <w:r w:rsidRPr="003A696E">
        <w:t>antirheumatic</w:t>
      </w:r>
      <w:proofErr w:type="spellEnd"/>
      <w:r w:rsidRPr="003A696E">
        <w:t xml:space="preserve"> drugs (DMARDs) had to be stopped at least 1 month before study onset or for longer periods of time depending on their half-life.</w:t>
      </w:r>
      <w:r w:rsidRPr="000A7F2C">
        <w:t xml:space="preserve"> </w:t>
      </w:r>
    </w:p>
    <w:p w:rsidR="000A7F2C" w:rsidRDefault="000A7F2C" w:rsidP="00373277">
      <w:pPr>
        <w:pStyle w:val="TextPI"/>
      </w:pPr>
      <w:r w:rsidRPr="000A7F2C">
        <w:t xml:space="preserve">The mean age of patients who participated was 9.5 years (SD 5.19) in </w:t>
      </w:r>
      <w:proofErr w:type="spellStart"/>
      <w:r w:rsidRPr="000A7F2C">
        <w:t>anakinra</w:t>
      </w:r>
      <w:proofErr w:type="spellEnd"/>
      <w:r w:rsidRPr="000A7F2C">
        <w:t xml:space="preserve"> group vs 7.5 years (SD 3.73) in placebo group. The mean duration of disease was 4.2 years (SD 3.3) in </w:t>
      </w:r>
      <w:proofErr w:type="spellStart"/>
      <w:r w:rsidRPr="000A7F2C">
        <w:t>anakinra</w:t>
      </w:r>
      <w:proofErr w:type="spellEnd"/>
      <w:r w:rsidRPr="000A7F2C">
        <w:t xml:space="preserve"> vs. 3.2 years (SD 1.95) in placebo group. The mean daily steroid dose was 0.52mg/kg (SD 0.237) in </w:t>
      </w:r>
      <w:proofErr w:type="spellStart"/>
      <w:r w:rsidRPr="000A7F2C">
        <w:t>anakinra</w:t>
      </w:r>
      <w:proofErr w:type="spellEnd"/>
      <w:r w:rsidRPr="000A7F2C">
        <w:t xml:space="preserve"> group vs. 0.66mg/kg (SD 0.373) in placebo group. A total of 8/12 patients in </w:t>
      </w:r>
      <w:proofErr w:type="spellStart"/>
      <w:r w:rsidRPr="000A7F2C">
        <w:t>anakinra</w:t>
      </w:r>
      <w:proofErr w:type="spellEnd"/>
      <w:r w:rsidRPr="000A7F2C">
        <w:t xml:space="preserve"> group and 11/12 patients in placebo group were on methotrexate (MTX) at baseline.</w:t>
      </w:r>
    </w:p>
    <w:p w:rsidR="00373277" w:rsidRDefault="00373277" w:rsidP="00373277">
      <w:pPr>
        <w:pStyle w:val="TextPI"/>
      </w:pPr>
      <w:r>
        <w:t xml:space="preserve">After a one month blinded phase, 8/12 patients in the </w:t>
      </w:r>
      <w:r w:rsidR="004C1A83">
        <w:t>KINERET</w:t>
      </w:r>
      <w:r>
        <w:t xml:space="preserve"> treated group were identified as modified ACRpedi30 responders compared to 1/12 in the placebo group. At the same time point, 7/12 </w:t>
      </w:r>
      <w:proofErr w:type="gramStart"/>
      <w:r>
        <w:t>were</w:t>
      </w:r>
      <w:proofErr w:type="gramEnd"/>
      <w:r>
        <w:t xml:space="preserve"> classified as ACRpedi50 and 5/12 as ACRpedi70 responders compared to none in the placebo group. Twenty two patients entered the subsequent open-label phase in the study. </w:t>
      </w:r>
      <w:r w:rsidR="00672232" w:rsidRPr="00672232">
        <w:t>Out of the patients randomized to receive KINERET throughout the study, the proportions of responders at Months 1, 2, 6 and 12 were 8/12 (67%), 5/12 (42%), 3/8 (38%) and 3/7 (43%), respectively. Out of the patients who initiated the KINERET treatment after Month 1, the proportions of responders at Months 1, 2, 6 and 12 were 1/11 (9%), 9/10 (90%), 3/9 (33%) and 4/9 (44%), respectively.</w:t>
      </w:r>
    </w:p>
    <w:p w:rsidR="000A7F2C" w:rsidRDefault="000A7F2C" w:rsidP="00373277">
      <w:pPr>
        <w:pStyle w:val="TextPI"/>
      </w:pPr>
      <w:r w:rsidRPr="000A7F2C">
        <w:t xml:space="preserve">Immunogenicity </w:t>
      </w:r>
      <w:r w:rsidR="005D1C9D">
        <w:t>results</w:t>
      </w:r>
      <w:r w:rsidRPr="000A7F2C">
        <w:t xml:space="preserve"> were not reported </w:t>
      </w:r>
      <w:r w:rsidR="005D1C9D">
        <w:t>in this</w:t>
      </w:r>
      <w:r w:rsidRPr="000A7F2C">
        <w:t xml:space="preserve"> study.</w:t>
      </w:r>
    </w:p>
    <w:p w:rsidR="00014579" w:rsidRPr="0098238A" w:rsidRDefault="00014579" w:rsidP="0098238A">
      <w:pPr>
        <w:pStyle w:val="PIHeading1"/>
      </w:pPr>
      <w:r w:rsidRPr="0098238A">
        <w:t>INDICATIONS</w:t>
      </w:r>
    </w:p>
    <w:p w:rsidR="0096273A" w:rsidRDefault="004C1A83" w:rsidP="00186894">
      <w:pPr>
        <w:pStyle w:val="TextPI"/>
      </w:pPr>
      <w:r>
        <w:rPr>
          <w:rFonts w:ascii="Helvetica" w:hAnsi="Helvetica" w:cs="Helvetica"/>
          <w:color w:val="000000"/>
          <w:lang w:eastAsia="en-AU"/>
        </w:rPr>
        <w:t>KINERET</w:t>
      </w:r>
      <w:r w:rsidR="00186894" w:rsidRPr="00123798">
        <w:t xml:space="preserve"> (</w:t>
      </w:r>
      <w:proofErr w:type="spellStart"/>
      <w:r w:rsidR="00186894" w:rsidRPr="00123798">
        <w:t>anakinra</w:t>
      </w:r>
      <w:proofErr w:type="spellEnd"/>
      <w:r w:rsidR="00186894" w:rsidRPr="00123798">
        <w:t>) is indicated</w:t>
      </w:r>
    </w:p>
    <w:p w:rsidR="00100447" w:rsidRDefault="00FF79D7" w:rsidP="00100447">
      <w:pPr>
        <w:pStyle w:val="TextPI"/>
        <w:numPr>
          <w:ilvl w:val="0"/>
          <w:numId w:val="37"/>
        </w:numPr>
      </w:pPr>
      <w:r w:rsidRPr="00123798">
        <w:t xml:space="preserve">for the treatment of </w:t>
      </w:r>
      <w:r w:rsidR="00186894" w:rsidRPr="00123798">
        <w:t xml:space="preserve">active adult rheumatoid arthritis (RA) in patients who have had inadequate response to one or more other Disease Modifying Anti Rheumatic Drugs (DMARDs). </w:t>
      </w:r>
      <w:r w:rsidR="004C1A83">
        <w:rPr>
          <w:rFonts w:ascii="Helvetica" w:hAnsi="Helvetica" w:cs="Helvetica"/>
          <w:color w:val="000000"/>
          <w:lang w:eastAsia="en-AU"/>
        </w:rPr>
        <w:t>KINERET</w:t>
      </w:r>
      <w:r w:rsidR="00186894" w:rsidRPr="00123798">
        <w:t xml:space="preserve"> should be given in combination with methotrexate.</w:t>
      </w:r>
    </w:p>
    <w:p w:rsidR="00357EF9" w:rsidRPr="00B561F7" w:rsidRDefault="00FF79D7" w:rsidP="00100447">
      <w:pPr>
        <w:pStyle w:val="TextPI"/>
        <w:numPr>
          <w:ilvl w:val="0"/>
          <w:numId w:val="37"/>
        </w:numPr>
      </w:pPr>
      <w:r w:rsidRPr="00B561F7">
        <w:t xml:space="preserve">in </w:t>
      </w:r>
      <w:r w:rsidR="00B47A27" w:rsidRPr="00B561F7">
        <w:t xml:space="preserve">adult and </w:t>
      </w:r>
      <w:proofErr w:type="spellStart"/>
      <w:r w:rsidR="00B47A27" w:rsidRPr="00B561F7">
        <w:t>paediatric</w:t>
      </w:r>
      <w:proofErr w:type="spellEnd"/>
      <w:r w:rsidR="00B47A27" w:rsidRPr="00B561F7">
        <w:t xml:space="preserve"> patients </w:t>
      </w:r>
      <w:r w:rsidR="00100447" w:rsidRPr="00100447">
        <w:rPr>
          <w:rFonts w:cs="Arial"/>
          <w:color w:val="000000"/>
          <w:lang w:eastAsia="en-AU"/>
        </w:rPr>
        <w:t xml:space="preserve">aged 8 months and older with a body weight of 10 kg or above </w:t>
      </w:r>
      <w:r w:rsidR="00B47A27" w:rsidRPr="00B561F7">
        <w:t xml:space="preserve">for the treatment of </w:t>
      </w:r>
      <w:proofErr w:type="spellStart"/>
      <w:r w:rsidR="00B47A27" w:rsidRPr="00B561F7">
        <w:t>Cryopyrin</w:t>
      </w:r>
      <w:proofErr w:type="spellEnd"/>
      <w:r w:rsidR="00B47A27" w:rsidRPr="00B561F7">
        <w:t xml:space="preserve">-Associated Periodic Syndromes (CAPS) including Neonatal-Onset Multisystem Inflammatory Disease (NOMID) / Chronic Infantile Neurological, Cutaneous, Articular Syndrome (CINCA), </w:t>
      </w:r>
      <w:proofErr w:type="spellStart"/>
      <w:r w:rsidR="00B47A27" w:rsidRPr="00B561F7">
        <w:t>Muckle</w:t>
      </w:r>
      <w:proofErr w:type="spellEnd"/>
      <w:r w:rsidR="00B47A27" w:rsidRPr="00B561F7">
        <w:t xml:space="preserve">-Wells Syndrome (MWS), and Familial Cold </w:t>
      </w:r>
      <w:proofErr w:type="spellStart"/>
      <w:r w:rsidR="00B47A27" w:rsidRPr="00B561F7">
        <w:t>Autoinflammatory</w:t>
      </w:r>
      <w:proofErr w:type="spellEnd"/>
      <w:r w:rsidR="00B47A27" w:rsidRPr="00B561F7">
        <w:t xml:space="preserve"> Syndrome (FCAS).</w:t>
      </w:r>
    </w:p>
    <w:p w:rsidR="00255219" w:rsidRPr="00255219" w:rsidRDefault="00255219" w:rsidP="00255219">
      <w:pPr>
        <w:pStyle w:val="TextPI"/>
        <w:numPr>
          <w:ilvl w:val="0"/>
          <w:numId w:val="37"/>
        </w:numPr>
      </w:pPr>
      <w:proofErr w:type="gramStart"/>
      <w:r w:rsidRPr="005B5123">
        <w:rPr>
          <w:rFonts w:cs="Arial"/>
        </w:rPr>
        <w:t>for</w:t>
      </w:r>
      <w:proofErr w:type="gramEnd"/>
      <w:r w:rsidRPr="005B5123">
        <w:rPr>
          <w:rFonts w:cs="Arial"/>
        </w:rPr>
        <w:t xml:space="preserve"> the treatment of </w:t>
      </w:r>
      <w:r w:rsidR="0069712B">
        <w:rPr>
          <w:rFonts w:cs="Arial"/>
        </w:rPr>
        <w:t xml:space="preserve">active </w:t>
      </w:r>
      <w:r w:rsidRPr="005B5123">
        <w:rPr>
          <w:rFonts w:cs="Arial"/>
        </w:rPr>
        <w:t>Systemic Juvenile Idiopathic Arthritis (SJIA)</w:t>
      </w:r>
      <w:r w:rsidR="00B561F7">
        <w:rPr>
          <w:rFonts w:cs="Arial"/>
        </w:rPr>
        <w:t xml:space="preserve"> in patients 2 years and above</w:t>
      </w:r>
      <w:r w:rsidR="005D1C9D">
        <w:rPr>
          <w:rFonts w:cs="Arial"/>
        </w:rPr>
        <w:t xml:space="preserve"> who have failed to respond adequately to non-biological DMARDs</w:t>
      </w:r>
      <w:r w:rsidRPr="005B5123">
        <w:rPr>
          <w:rFonts w:cs="Arial"/>
        </w:rPr>
        <w:t>.</w:t>
      </w:r>
      <w:r w:rsidR="00B77D1A">
        <w:rPr>
          <w:rFonts w:cs="Arial"/>
        </w:rPr>
        <w:t xml:space="preserve"> </w:t>
      </w:r>
    </w:p>
    <w:p w:rsidR="00B4477F" w:rsidRDefault="00B4477F">
      <w:pPr>
        <w:rPr>
          <w:rFonts w:ascii="Arial Bold" w:hAnsi="Arial Bold"/>
          <w:b/>
          <w:caps/>
          <w:sz w:val="22"/>
          <w:szCs w:val="22"/>
        </w:rPr>
      </w:pPr>
      <w:r>
        <w:br w:type="page"/>
      </w:r>
    </w:p>
    <w:p w:rsidR="00014579" w:rsidRPr="0098238A" w:rsidRDefault="00014579" w:rsidP="0098238A">
      <w:pPr>
        <w:pStyle w:val="PIHeading1"/>
      </w:pPr>
      <w:r w:rsidRPr="0098238A">
        <w:lastRenderedPageBreak/>
        <w:t>CONTRAINDICATIONS</w:t>
      </w:r>
    </w:p>
    <w:p w:rsidR="00186894" w:rsidRPr="00123798" w:rsidRDefault="00186894" w:rsidP="00186894">
      <w:pPr>
        <w:pStyle w:val="TextPI"/>
      </w:pPr>
      <w:r w:rsidRPr="00123798">
        <w:t xml:space="preserve">Combination therapy with </w:t>
      </w:r>
      <w:r w:rsidR="004C1A83">
        <w:rPr>
          <w:rFonts w:ascii="Helvetica" w:hAnsi="Helvetica" w:cs="Helvetica"/>
          <w:color w:val="000000"/>
          <w:lang w:eastAsia="en-AU"/>
        </w:rPr>
        <w:t>KINERET</w:t>
      </w:r>
      <w:r w:rsidR="005421C5">
        <w:rPr>
          <w:rFonts w:ascii="Helvetica" w:hAnsi="Helvetica" w:cs="Helvetica"/>
          <w:color w:val="000000"/>
          <w:lang w:eastAsia="en-AU"/>
        </w:rPr>
        <w:t xml:space="preserve"> </w:t>
      </w:r>
      <w:r w:rsidRPr="00123798">
        <w:t>(</w:t>
      </w:r>
      <w:proofErr w:type="spellStart"/>
      <w:r w:rsidRPr="00123798">
        <w:t>anakinra</w:t>
      </w:r>
      <w:proofErr w:type="spellEnd"/>
      <w:r w:rsidRPr="00123798">
        <w:t>) and TNF-alpha antagonist drugs is contraindicated.</w:t>
      </w:r>
    </w:p>
    <w:p w:rsidR="00186894" w:rsidRDefault="004C1A83" w:rsidP="00186894">
      <w:pPr>
        <w:pStyle w:val="TextPI"/>
      </w:pPr>
      <w:r>
        <w:rPr>
          <w:rFonts w:ascii="Helvetica" w:hAnsi="Helvetica" w:cs="Helvetica"/>
          <w:color w:val="000000"/>
          <w:lang w:eastAsia="en-AU"/>
        </w:rPr>
        <w:t>KINERET</w:t>
      </w:r>
      <w:r w:rsidR="00186894" w:rsidRPr="00123798">
        <w:t xml:space="preserve"> (</w:t>
      </w:r>
      <w:proofErr w:type="spellStart"/>
      <w:r w:rsidR="00186894" w:rsidRPr="00123798">
        <w:t>anakinra</w:t>
      </w:r>
      <w:proofErr w:type="spellEnd"/>
      <w:r w:rsidR="00186894" w:rsidRPr="00123798">
        <w:t xml:space="preserve">) is contraindicated in patients with known hypersensitivity to </w:t>
      </w:r>
      <w:r w:rsidR="00186894" w:rsidRPr="00123798">
        <w:rPr>
          <w:i/>
        </w:rPr>
        <w:t>E. coli-</w:t>
      </w:r>
      <w:r w:rsidR="00186894" w:rsidRPr="00123798">
        <w:t xml:space="preserve">derived proteins, </w:t>
      </w:r>
      <w:r>
        <w:rPr>
          <w:rFonts w:ascii="Helvetica" w:hAnsi="Helvetica" w:cs="Helvetica"/>
          <w:color w:val="000000"/>
          <w:lang w:eastAsia="en-AU"/>
        </w:rPr>
        <w:t>KINERET</w:t>
      </w:r>
      <w:r w:rsidR="00186894" w:rsidRPr="00123798">
        <w:t xml:space="preserve"> or any components of the product.</w:t>
      </w:r>
    </w:p>
    <w:p w:rsidR="009D6D43" w:rsidRPr="00B561F7" w:rsidRDefault="007C6112" w:rsidP="00186894">
      <w:pPr>
        <w:pStyle w:val="TextPI"/>
      </w:pPr>
      <w:r w:rsidRPr="00B561F7">
        <w:t xml:space="preserve">KINERET </w:t>
      </w:r>
      <w:r w:rsidR="009D6D43" w:rsidRPr="00B561F7">
        <w:t>treatment must not be initiated in patients with neutropenia (ANC &lt;1.5 x 10</w:t>
      </w:r>
      <w:r w:rsidR="009D6D43" w:rsidRPr="00B561F7">
        <w:rPr>
          <w:vertAlign w:val="superscript"/>
        </w:rPr>
        <w:t>9</w:t>
      </w:r>
      <w:r w:rsidR="009D6D43" w:rsidRPr="00B561F7">
        <w:t>/l) (see PRECAUTIONS).</w:t>
      </w:r>
    </w:p>
    <w:p w:rsidR="00014579" w:rsidRPr="00911C7A" w:rsidRDefault="00014579" w:rsidP="00911C7A">
      <w:pPr>
        <w:pStyle w:val="PIHeading1"/>
      </w:pPr>
      <w:r w:rsidRPr="00911C7A">
        <w:t>PRECAUTIONS</w:t>
      </w:r>
    </w:p>
    <w:p w:rsidR="00186894" w:rsidRPr="00123798" w:rsidRDefault="00186894" w:rsidP="00186894">
      <w:pPr>
        <w:pStyle w:val="PIheading2"/>
      </w:pPr>
      <w:r w:rsidRPr="00123798">
        <w:t>General</w:t>
      </w:r>
    </w:p>
    <w:p w:rsidR="00186894" w:rsidRPr="00911C7A" w:rsidRDefault="00E54348" w:rsidP="00911C7A">
      <w:pPr>
        <w:pStyle w:val="TextPI"/>
      </w:pPr>
      <w:r w:rsidRPr="00B561F7">
        <w:t>Allergic reactions, including anaphylactic reactions and angioedema, have been reported uncommonly.</w:t>
      </w:r>
      <w:r w:rsidR="00D9257B" w:rsidRPr="00B561F7">
        <w:t xml:space="preserve"> I</w:t>
      </w:r>
      <w:r w:rsidR="00186894" w:rsidRPr="00B561F7">
        <w:t xml:space="preserve">f a severe hypersensitivity reaction occurs, administration of </w:t>
      </w:r>
      <w:r w:rsidR="004C1A83" w:rsidRPr="00B561F7">
        <w:t>KINERET</w:t>
      </w:r>
      <w:r w:rsidR="00186894" w:rsidRPr="00B561F7">
        <w:t xml:space="preserve"> should be discontinued and appropriate therapy initiated.</w:t>
      </w:r>
    </w:p>
    <w:p w:rsidR="00186894" w:rsidRDefault="004C1A83" w:rsidP="00911C7A">
      <w:pPr>
        <w:pStyle w:val="TextPI"/>
      </w:pPr>
      <w:r>
        <w:t>KINERET</w:t>
      </w:r>
      <w:r w:rsidR="00186894" w:rsidRPr="00911C7A">
        <w:t xml:space="preserve"> is not recommended for use in patients with severe renal impairment. </w:t>
      </w:r>
    </w:p>
    <w:p w:rsidR="00B561F7" w:rsidRPr="00B561F7" w:rsidRDefault="00B561F7" w:rsidP="00B561F7">
      <w:pPr>
        <w:pStyle w:val="TextPI"/>
      </w:pPr>
      <w:r w:rsidRPr="00B561F7">
        <w:t xml:space="preserve">The safety and efficacy of </w:t>
      </w:r>
      <w:proofErr w:type="spellStart"/>
      <w:r w:rsidRPr="00B561F7">
        <w:t>Kineret</w:t>
      </w:r>
      <w:proofErr w:type="spellEnd"/>
      <w:r w:rsidRPr="00B561F7">
        <w:t xml:space="preserve"> in patients with cardiac impairment has not specifically been evaluated.</w:t>
      </w:r>
    </w:p>
    <w:p w:rsidR="00B561F7" w:rsidRPr="00B561F7" w:rsidRDefault="00B561F7" w:rsidP="00B561F7">
      <w:pPr>
        <w:pStyle w:val="PIheading2"/>
      </w:pPr>
      <w:r w:rsidRPr="00B561F7">
        <w:t>Hepatic Events</w:t>
      </w:r>
    </w:p>
    <w:p w:rsidR="00B561F7" w:rsidRDefault="00B561F7" w:rsidP="000745B8">
      <w:pPr>
        <w:autoSpaceDE w:val="0"/>
        <w:autoSpaceDN w:val="0"/>
        <w:adjustRightInd w:val="0"/>
        <w:jc w:val="both"/>
        <w:rPr>
          <w:rFonts w:ascii="Arial" w:hAnsi="Arial"/>
          <w:sz w:val="22"/>
          <w:szCs w:val="22"/>
        </w:rPr>
      </w:pPr>
      <w:r w:rsidRPr="00B561F7">
        <w:rPr>
          <w:rFonts w:ascii="Arial" w:hAnsi="Arial"/>
          <w:sz w:val="22"/>
          <w:szCs w:val="22"/>
        </w:rPr>
        <w:t>In clinical studies in RA and CAPS patients, transient elevations of liver enzymes have been</w:t>
      </w:r>
      <w:r w:rsidR="000745B8">
        <w:rPr>
          <w:rFonts w:ascii="Arial" w:hAnsi="Arial"/>
          <w:sz w:val="22"/>
          <w:szCs w:val="22"/>
        </w:rPr>
        <w:t xml:space="preserve"> </w:t>
      </w:r>
      <w:r w:rsidRPr="00B561F7">
        <w:rPr>
          <w:rFonts w:ascii="Arial" w:hAnsi="Arial"/>
          <w:sz w:val="22"/>
          <w:szCs w:val="22"/>
        </w:rPr>
        <w:t>seen uncommonly. These elevations have not been associated with signs or symptoms of</w:t>
      </w:r>
      <w:r w:rsidR="000745B8">
        <w:rPr>
          <w:rFonts w:ascii="Arial" w:hAnsi="Arial"/>
          <w:sz w:val="22"/>
          <w:szCs w:val="22"/>
        </w:rPr>
        <w:t xml:space="preserve"> </w:t>
      </w:r>
      <w:r w:rsidRPr="00B561F7">
        <w:rPr>
          <w:rFonts w:ascii="Arial" w:hAnsi="Arial"/>
          <w:sz w:val="22"/>
          <w:szCs w:val="22"/>
        </w:rPr>
        <w:t>damage. During post-marketing use isolated case reports indicating noninfectious</w:t>
      </w:r>
      <w:r>
        <w:rPr>
          <w:rFonts w:ascii="Arial" w:hAnsi="Arial"/>
          <w:sz w:val="22"/>
          <w:szCs w:val="22"/>
        </w:rPr>
        <w:t xml:space="preserve"> </w:t>
      </w:r>
      <w:r w:rsidRPr="00B561F7">
        <w:rPr>
          <w:rFonts w:ascii="Arial" w:hAnsi="Arial"/>
          <w:sz w:val="22"/>
          <w:szCs w:val="22"/>
        </w:rPr>
        <w:t>h</w:t>
      </w:r>
      <w:r>
        <w:rPr>
          <w:rFonts w:ascii="Arial" w:hAnsi="Arial"/>
          <w:sz w:val="22"/>
          <w:szCs w:val="22"/>
        </w:rPr>
        <w:t>epatitis have been received. He</w:t>
      </w:r>
      <w:r w:rsidRPr="00B561F7">
        <w:rPr>
          <w:rFonts w:ascii="Arial" w:hAnsi="Arial"/>
          <w:sz w:val="22"/>
          <w:szCs w:val="22"/>
        </w:rPr>
        <w:t>patic events during post marketing use have mainly</w:t>
      </w:r>
      <w:r>
        <w:rPr>
          <w:rFonts w:ascii="Arial" w:hAnsi="Arial"/>
          <w:sz w:val="22"/>
          <w:szCs w:val="22"/>
        </w:rPr>
        <w:t xml:space="preserve"> </w:t>
      </w:r>
      <w:r w:rsidRPr="00B561F7">
        <w:rPr>
          <w:rFonts w:ascii="Arial" w:hAnsi="Arial"/>
          <w:sz w:val="22"/>
          <w:szCs w:val="22"/>
        </w:rPr>
        <w:t>been reported in patients with predisposing factors, e. g history of transaminase elevations</w:t>
      </w:r>
      <w:r>
        <w:rPr>
          <w:rFonts w:ascii="Arial" w:hAnsi="Arial"/>
          <w:sz w:val="22"/>
          <w:szCs w:val="22"/>
        </w:rPr>
        <w:t xml:space="preserve"> </w:t>
      </w:r>
      <w:r w:rsidRPr="00B561F7">
        <w:rPr>
          <w:rFonts w:ascii="Arial" w:hAnsi="Arial"/>
          <w:sz w:val="22"/>
          <w:szCs w:val="22"/>
        </w:rPr>
        <w:t xml:space="preserve">before start of </w:t>
      </w:r>
      <w:proofErr w:type="spellStart"/>
      <w:r w:rsidRPr="00B561F7">
        <w:rPr>
          <w:rFonts w:ascii="Arial" w:hAnsi="Arial"/>
          <w:sz w:val="22"/>
          <w:szCs w:val="22"/>
        </w:rPr>
        <w:t>Kineret</w:t>
      </w:r>
      <w:proofErr w:type="spellEnd"/>
      <w:r w:rsidRPr="00B561F7">
        <w:rPr>
          <w:rFonts w:ascii="Arial" w:hAnsi="Arial"/>
          <w:sz w:val="22"/>
          <w:szCs w:val="22"/>
        </w:rPr>
        <w:t xml:space="preserve"> treatment.</w:t>
      </w:r>
    </w:p>
    <w:p w:rsidR="000745B8" w:rsidRPr="00B561F7" w:rsidRDefault="000745B8" w:rsidP="000745B8">
      <w:pPr>
        <w:autoSpaceDE w:val="0"/>
        <w:autoSpaceDN w:val="0"/>
        <w:adjustRightInd w:val="0"/>
        <w:jc w:val="both"/>
        <w:rPr>
          <w:rFonts w:ascii="Arial" w:hAnsi="Arial"/>
          <w:sz w:val="22"/>
          <w:szCs w:val="22"/>
        </w:rPr>
      </w:pPr>
    </w:p>
    <w:p w:rsidR="00B561F7" w:rsidRPr="000745B8" w:rsidRDefault="00B561F7" w:rsidP="000745B8">
      <w:pPr>
        <w:autoSpaceDE w:val="0"/>
        <w:autoSpaceDN w:val="0"/>
        <w:adjustRightInd w:val="0"/>
        <w:jc w:val="both"/>
        <w:rPr>
          <w:rFonts w:ascii="Arial" w:hAnsi="Arial"/>
          <w:sz w:val="22"/>
          <w:szCs w:val="22"/>
        </w:rPr>
      </w:pPr>
      <w:r>
        <w:rPr>
          <w:rFonts w:ascii="Arial" w:hAnsi="Arial"/>
          <w:sz w:val="22"/>
          <w:szCs w:val="22"/>
        </w:rPr>
        <w:t xml:space="preserve">The efficacy and safety of </w:t>
      </w:r>
      <w:proofErr w:type="spellStart"/>
      <w:r>
        <w:rPr>
          <w:rFonts w:ascii="Arial" w:hAnsi="Arial"/>
          <w:sz w:val="22"/>
          <w:szCs w:val="22"/>
        </w:rPr>
        <w:t>Kineret</w:t>
      </w:r>
      <w:proofErr w:type="spellEnd"/>
      <w:r>
        <w:rPr>
          <w:rFonts w:ascii="Arial" w:hAnsi="Arial"/>
          <w:sz w:val="22"/>
          <w:szCs w:val="22"/>
        </w:rPr>
        <w:t xml:space="preserve"> in patients with AS</w:t>
      </w:r>
      <w:r w:rsidRPr="00B561F7">
        <w:rPr>
          <w:rFonts w:ascii="Arial" w:hAnsi="Arial"/>
          <w:sz w:val="22"/>
          <w:szCs w:val="22"/>
        </w:rPr>
        <w:t xml:space="preserve">T/ALT </w:t>
      </w:r>
      <w:r w:rsidR="000745B8" w:rsidRPr="000745B8">
        <w:rPr>
          <w:rFonts w:ascii="Arial" w:hAnsi="Arial"/>
          <w:sz w:val="22"/>
          <w:szCs w:val="22"/>
        </w:rPr>
        <w:t>≥</w:t>
      </w:r>
      <w:r w:rsidRPr="00B561F7">
        <w:rPr>
          <w:rFonts w:ascii="Arial" w:hAnsi="Arial"/>
          <w:sz w:val="22"/>
          <w:szCs w:val="22"/>
        </w:rPr>
        <w:t>1.5 x upper level of normal have</w:t>
      </w:r>
      <w:r w:rsidR="000745B8">
        <w:rPr>
          <w:rFonts w:ascii="Arial" w:hAnsi="Arial"/>
          <w:sz w:val="22"/>
          <w:szCs w:val="22"/>
        </w:rPr>
        <w:t xml:space="preserve"> </w:t>
      </w:r>
      <w:r w:rsidRPr="000745B8">
        <w:rPr>
          <w:rFonts w:ascii="Arial" w:hAnsi="Arial"/>
          <w:sz w:val="22"/>
          <w:szCs w:val="22"/>
        </w:rPr>
        <w:t>not been evaluated.</w:t>
      </w:r>
    </w:p>
    <w:p w:rsidR="00186894" w:rsidRPr="00123798" w:rsidRDefault="00186894" w:rsidP="00AB5019">
      <w:pPr>
        <w:pStyle w:val="PIheading2"/>
      </w:pPr>
      <w:r w:rsidRPr="00123798">
        <w:t>Serious Infections</w:t>
      </w:r>
    </w:p>
    <w:p w:rsidR="00186894" w:rsidRPr="00123798" w:rsidRDefault="00186894" w:rsidP="00186894">
      <w:pPr>
        <w:pStyle w:val="TextPI"/>
      </w:pPr>
      <w:r w:rsidRPr="00123798">
        <w:t xml:space="preserve">Physicians should exercise caution when administering </w:t>
      </w:r>
      <w:r w:rsidR="004C1A83">
        <w:rPr>
          <w:rFonts w:ascii="Helvetica" w:hAnsi="Helvetica" w:cs="Helvetica"/>
          <w:color w:val="000000"/>
          <w:lang w:eastAsia="en-AU"/>
        </w:rPr>
        <w:t>KINERET</w:t>
      </w:r>
      <w:r w:rsidRPr="00123798">
        <w:t xml:space="preserve"> to patients with a history of recurring infections or with underlying conditions which may predispose them to infections.</w:t>
      </w:r>
    </w:p>
    <w:p w:rsidR="00186894" w:rsidRPr="00123798" w:rsidRDefault="004C1A83" w:rsidP="00186894">
      <w:pPr>
        <w:pStyle w:val="TextPI"/>
      </w:pPr>
      <w:r>
        <w:rPr>
          <w:rFonts w:ascii="Helvetica" w:hAnsi="Helvetica" w:cs="Helvetica"/>
          <w:color w:val="000000"/>
          <w:lang w:eastAsia="en-AU"/>
        </w:rPr>
        <w:t>KINERET</w:t>
      </w:r>
      <w:r w:rsidR="00186894" w:rsidRPr="00123798">
        <w:t xml:space="preserve"> has been associated with an increased inc</w:t>
      </w:r>
      <w:r w:rsidR="00267026" w:rsidRPr="00123798">
        <w:t>idence of serious infections (1</w:t>
      </w:r>
      <w:r w:rsidR="00186894" w:rsidRPr="00123798">
        <w:t>.8%) compared with placebo (0.7%). In clinical studies, the risk for serious infection was higher in patients with a history of asthma compared to patients without a history of asthma.</w:t>
      </w:r>
    </w:p>
    <w:p w:rsidR="00186894" w:rsidRDefault="00186894" w:rsidP="00CB1F1B">
      <w:pPr>
        <w:pStyle w:val="TextPI"/>
      </w:pPr>
      <w:r w:rsidRPr="00123798">
        <w:t xml:space="preserve">The safety and efficacy of </w:t>
      </w:r>
      <w:r w:rsidR="004C1A83">
        <w:rPr>
          <w:rFonts w:ascii="Helvetica" w:hAnsi="Helvetica" w:cs="Helvetica"/>
          <w:color w:val="000000"/>
          <w:lang w:eastAsia="en-AU"/>
        </w:rPr>
        <w:t>KINERET</w:t>
      </w:r>
      <w:r w:rsidR="00B24663">
        <w:rPr>
          <w:rFonts w:ascii="Helvetica" w:hAnsi="Helvetica" w:cs="Helvetica"/>
          <w:color w:val="000000"/>
          <w:lang w:eastAsia="en-AU"/>
        </w:rPr>
        <w:t xml:space="preserve"> </w:t>
      </w:r>
      <w:r w:rsidRPr="00123798">
        <w:t xml:space="preserve">in patients with chronic infections have not specifically been evaluated. Patients who develop a </w:t>
      </w:r>
      <w:r w:rsidRPr="00787127">
        <w:t xml:space="preserve">new infection while being treated with </w:t>
      </w:r>
      <w:r w:rsidR="004C1A83" w:rsidRPr="00787127">
        <w:rPr>
          <w:rFonts w:ascii="Helvetica" w:hAnsi="Helvetica" w:cs="Helvetica"/>
          <w:color w:val="000000"/>
          <w:lang w:eastAsia="en-AU"/>
        </w:rPr>
        <w:t>KINERET</w:t>
      </w:r>
      <w:r w:rsidR="008E3C52" w:rsidRPr="00787127">
        <w:rPr>
          <w:rFonts w:ascii="Helvetica" w:hAnsi="Helvetica" w:cs="Helvetica"/>
          <w:color w:val="000000"/>
          <w:vertAlign w:val="superscript"/>
          <w:lang w:eastAsia="en-AU"/>
        </w:rPr>
        <w:t xml:space="preserve"> </w:t>
      </w:r>
      <w:r w:rsidRPr="00787127">
        <w:t xml:space="preserve">should be monitored closely. Administration of </w:t>
      </w:r>
      <w:r w:rsidR="004C1A83" w:rsidRPr="00787127">
        <w:rPr>
          <w:rFonts w:ascii="Helvetica" w:hAnsi="Helvetica" w:cs="Helvetica"/>
          <w:color w:val="000000"/>
          <w:lang w:eastAsia="en-AU"/>
        </w:rPr>
        <w:t>KINERET</w:t>
      </w:r>
      <w:r w:rsidR="008E3C52" w:rsidRPr="00787127">
        <w:rPr>
          <w:rFonts w:ascii="Helvetica" w:hAnsi="Helvetica" w:cs="Helvetica"/>
          <w:color w:val="000000"/>
          <w:vertAlign w:val="superscript"/>
          <w:lang w:eastAsia="en-AU"/>
        </w:rPr>
        <w:t xml:space="preserve"> </w:t>
      </w:r>
      <w:r w:rsidR="003A2B8F" w:rsidRPr="00787127">
        <w:t xml:space="preserve">in RA </w:t>
      </w:r>
      <w:r w:rsidR="00255219" w:rsidRPr="00787127">
        <w:t xml:space="preserve">and SJIA </w:t>
      </w:r>
      <w:r w:rsidR="00671EDB" w:rsidRPr="00787127">
        <w:t>patients</w:t>
      </w:r>
      <w:r w:rsidR="002C2CC3" w:rsidRPr="00787127">
        <w:t xml:space="preserve"> </w:t>
      </w:r>
      <w:r w:rsidRPr="00787127">
        <w:t xml:space="preserve">should be discontinued if a patient develops a serious infection or sepsis. Treatment with </w:t>
      </w:r>
      <w:r w:rsidR="004C1A83" w:rsidRPr="00787127">
        <w:rPr>
          <w:rFonts w:ascii="Helvetica" w:hAnsi="Helvetica" w:cs="Helvetica"/>
          <w:color w:val="000000"/>
          <w:lang w:eastAsia="en-AU"/>
        </w:rPr>
        <w:t>KINERET</w:t>
      </w:r>
      <w:r w:rsidR="008E3C52">
        <w:rPr>
          <w:rFonts w:ascii="Helvetica" w:hAnsi="Helvetica" w:cs="Helvetica"/>
          <w:color w:val="000000"/>
          <w:vertAlign w:val="superscript"/>
          <w:lang w:eastAsia="en-AU"/>
        </w:rPr>
        <w:t xml:space="preserve"> </w:t>
      </w:r>
      <w:r w:rsidRPr="00123798">
        <w:t xml:space="preserve">should not be initiated in patients with active infections including chronic or </w:t>
      </w:r>
      <w:proofErr w:type="spellStart"/>
      <w:r w:rsidRPr="00123798">
        <w:t>localised</w:t>
      </w:r>
      <w:proofErr w:type="spellEnd"/>
      <w:r w:rsidRPr="00123798">
        <w:t xml:space="preserve"> infections. Doctors should exercise caution when considering the use of </w:t>
      </w:r>
      <w:r w:rsidR="004C1A83">
        <w:rPr>
          <w:rFonts w:ascii="Helvetica" w:hAnsi="Helvetica" w:cs="Helvetica"/>
          <w:color w:val="000000"/>
          <w:lang w:eastAsia="en-AU"/>
        </w:rPr>
        <w:t>KINERET</w:t>
      </w:r>
      <w:r w:rsidR="008E3C52">
        <w:rPr>
          <w:rFonts w:ascii="Helvetica" w:hAnsi="Helvetica" w:cs="Helvetica"/>
          <w:color w:val="000000"/>
          <w:vertAlign w:val="superscript"/>
          <w:lang w:eastAsia="en-AU"/>
        </w:rPr>
        <w:t xml:space="preserve"> </w:t>
      </w:r>
      <w:r w:rsidRPr="00123798">
        <w:t>in patients with a history of recurring infections or with underlying conditions that may predispose the patient to infections such as advanced or poorly controlled diabetes.</w:t>
      </w:r>
    </w:p>
    <w:p w:rsidR="00E54348" w:rsidRDefault="00E54348" w:rsidP="00CB1F1B">
      <w:pPr>
        <w:pStyle w:val="TextPI"/>
      </w:pPr>
      <w:r w:rsidRPr="00787127">
        <w:t xml:space="preserve">In </w:t>
      </w:r>
      <w:r w:rsidR="004C1A83" w:rsidRPr="00787127">
        <w:t>KINERET</w:t>
      </w:r>
      <w:r w:rsidRPr="00787127">
        <w:t xml:space="preserve"> treated CAPS patients the risk of a disease flare when discontinuing treatment should be considered.</w:t>
      </w:r>
    </w:p>
    <w:p w:rsidR="002C2CC3" w:rsidRPr="00787127" w:rsidRDefault="002C2CC3" w:rsidP="002C2CC3">
      <w:pPr>
        <w:pStyle w:val="lbltxt"/>
        <w:jc w:val="both"/>
        <w:rPr>
          <w:rFonts w:ascii="Arial" w:hAnsi="Arial"/>
          <w:noProof w:val="0"/>
          <w:szCs w:val="22"/>
          <w:lang w:val="en-US"/>
        </w:rPr>
      </w:pPr>
      <w:r w:rsidRPr="00787127">
        <w:rPr>
          <w:rFonts w:ascii="Arial" w:hAnsi="Arial"/>
          <w:noProof w:val="0"/>
          <w:szCs w:val="22"/>
          <w:lang w:val="en-US"/>
        </w:rPr>
        <w:lastRenderedPageBreak/>
        <w:t xml:space="preserve">The safety of </w:t>
      </w:r>
      <w:r w:rsidR="004C1A83" w:rsidRPr="00787127">
        <w:rPr>
          <w:rFonts w:ascii="Arial" w:hAnsi="Arial"/>
          <w:noProof w:val="0"/>
          <w:szCs w:val="22"/>
          <w:lang w:val="en-US"/>
        </w:rPr>
        <w:t>KINERET</w:t>
      </w:r>
      <w:r w:rsidRPr="00787127">
        <w:rPr>
          <w:rFonts w:ascii="Arial" w:hAnsi="Arial"/>
          <w:noProof w:val="0"/>
          <w:szCs w:val="22"/>
          <w:lang w:val="en-US"/>
        </w:rPr>
        <w:t xml:space="preserve"> in individuals with latent tuberculosis is unknown. There have been reports of tuberculosis in patients receiving several biological anti-inflammatory treatment regimens. Patients should be screened for latent tuberculosis prior to initiating </w:t>
      </w:r>
      <w:r w:rsidR="004C1A83" w:rsidRPr="00787127">
        <w:rPr>
          <w:rFonts w:ascii="Arial" w:hAnsi="Arial"/>
          <w:noProof w:val="0"/>
          <w:szCs w:val="22"/>
          <w:lang w:val="en-US"/>
        </w:rPr>
        <w:t>KINERET</w:t>
      </w:r>
      <w:r w:rsidRPr="00787127">
        <w:rPr>
          <w:rFonts w:ascii="Arial" w:hAnsi="Arial"/>
          <w:noProof w:val="0"/>
          <w:szCs w:val="22"/>
          <w:lang w:val="en-US"/>
        </w:rPr>
        <w:t>.</w:t>
      </w:r>
    </w:p>
    <w:p w:rsidR="002C2CC3" w:rsidRPr="00787127" w:rsidRDefault="002C2CC3" w:rsidP="002C2CC3">
      <w:pPr>
        <w:pStyle w:val="lbltxt"/>
        <w:jc w:val="both"/>
        <w:rPr>
          <w:rFonts w:ascii="Arial" w:hAnsi="Arial"/>
          <w:noProof w:val="0"/>
          <w:szCs w:val="22"/>
          <w:lang w:val="en-US"/>
        </w:rPr>
      </w:pPr>
    </w:p>
    <w:p w:rsidR="002C2CC3" w:rsidRPr="002C2CC3" w:rsidRDefault="002C2CC3" w:rsidP="002C2CC3">
      <w:pPr>
        <w:pStyle w:val="lbltxt"/>
        <w:jc w:val="both"/>
        <w:rPr>
          <w:rFonts w:ascii="Arial" w:hAnsi="Arial"/>
          <w:noProof w:val="0"/>
          <w:szCs w:val="22"/>
          <w:lang w:val="en-US"/>
        </w:rPr>
      </w:pPr>
      <w:r w:rsidRPr="00787127">
        <w:rPr>
          <w:rFonts w:ascii="Arial" w:hAnsi="Arial"/>
          <w:noProof w:val="0"/>
          <w:szCs w:val="22"/>
          <w:lang w:val="en-US"/>
        </w:rPr>
        <w:t xml:space="preserve">Other anti-rheumatic therapies have been associated with hepatitis B reactivation. Therefore, screening for viral hepatitis should be performed also before starting therapy with </w:t>
      </w:r>
      <w:r w:rsidR="004C1A83" w:rsidRPr="00787127">
        <w:rPr>
          <w:rFonts w:ascii="Arial" w:hAnsi="Arial"/>
          <w:noProof w:val="0"/>
          <w:szCs w:val="22"/>
          <w:lang w:val="en-US"/>
        </w:rPr>
        <w:t>KINERET</w:t>
      </w:r>
      <w:r w:rsidRPr="00787127">
        <w:rPr>
          <w:rFonts w:ascii="Arial" w:hAnsi="Arial"/>
          <w:noProof w:val="0"/>
          <w:szCs w:val="22"/>
          <w:lang w:val="en-US"/>
        </w:rPr>
        <w:t>.</w:t>
      </w:r>
    </w:p>
    <w:p w:rsidR="00340AED" w:rsidRPr="00787127" w:rsidRDefault="00340AED" w:rsidP="00340AED">
      <w:pPr>
        <w:pStyle w:val="PIheading2"/>
      </w:pPr>
      <w:r w:rsidRPr="00787127">
        <w:t>Neutropenia</w:t>
      </w:r>
    </w:p>
    <w:p w:rsidR="002C2CC3" w:rsidRDefault="004C1A83" w:rsidP="002C2CC3">
      <w:pPr>
        <w:pStyle w:val="TextPI"/>
      </w:pPr>
      <w:r w:rsidRPr="00787127">
        <w:t>KINERET</w:t>
      </w:r>
      <w:r w:rsidR="002C2CC3" w:rsidRPr="00787127">
        <w:t xml:space="preserve"> was commonly associated with neutropenia (ANC &lt;1.5 x 10</w:t>
      </w:r>
      <w:r w:rsidR="002C2CC3" w:rsidRPr="00787127">
        <w:rPr>
          <w:vertAlign w:val="superscript"/>
        </w:rPr>
        <w:t>9</w:t>
      </w:r>
      <w:r w:rsidR="002C2CC3" w:rsidRPr="00787127">
        <w:t>/L) in placebo-controlled studies in RA and has been observed in CAPS and SJIA patients.</w:t>
      </w:r>
      <w:r w:rsidR="002C2CC3" w:rsidRPr="006E31FD">
        <w:t xml:space="preserve"> </w:t>
      </w:r>
    </w:p>
    <w:p w:rsidR="00340AED" w:rsidRPr="00787127" w:rsidRDefault="004C1A83" w:rsidP="002C2CC3">
      <w:pPr>
        <w:pStyle w:val="TextPI"/>
      </w:pPr>
      <w:r w:rsidRPr="00787127">
        <w:t>KINERET</w:t>
      </w:r>
      <w:r w:rsidR="002C2CC3" w:rsidRPr="00787127">
        <w:t xml:space="preserve"> treatment should not be initiated in patients with neutropenia (ANC &lt;1.5 x 10</w:t>
      </w:r>
      <w:r w:rsidR="002C2CC3" w:rsidRPr="00787127">
        <w:rPr>
          <w:vertAlign w:val="superscript"/>
        </w:rPr>
        <w:t>9</w:t>
      </w:r>
      <w:r w:rsidR="002C2CC3" w:rsidRPr="00787127">
        <w:t xml:space="preserve">/l). It is recommended that neutrophil counts be assessed prior to initiating </w:t>
      </w:r>
      <w:r w:rsidRPr="00787127">
        <w:t>KINERET</w:t>
      </w:r>
      <w:r w:rsidR="002C2CC3" w:rsidRPr="00787127">
        <w:t xml:space="preserve"> treatment, and while receiving </w:t>
      </w:r>
      <w:r w:rsidRPr="00787127">
        <w:t>KINERET</w:t>
      </w:r>
      <w:r w:rsidR="002C2CC3" w:rsidRPr="00787127">
        <w:t xml:space="preserve">, monthly during the first 6 months of treatment and quarterly hereafter. In patients who become </w:t>
      </w:r>
      <w:proofErr w:type="spellStart"/>
      <w:r w:rsidR="002C2CC3" w:rsidRPr="00787127">
        <w:t>neutropenic</w:t>
      </w:r>
      <w:proofErr w:type="spellEnd"/>
      <w:r w:rsidR="002C2CC3" w:rsidRPr="00787127">
        <w:t xml:space="preserve"> (ANC &lt;1.5 x 10</w:t>
      </w:r>
      <w:r w:rsidR="002C2CC3" w:rsidRPr="00787127">
        <w:rPr>
          <w:vertAlign w:val="superscript"/>
        </w:rPr>
        <w:t>9</w:t>
      </w:r>
      <w:r w:rsidR="002C2CC3" w:rsidRPr="00787127">
        <w:t xml:space="preserve">/l) the ANC should be monitored closely and </w:t>
      </w:r>
      <w:r w:rsidRPr="00787127">
        <w:t>KINERET</w:t>
      </w:r>
      <w:r w:rsidR="002C2CC3" w:rsidRPr="00787127">
        <w:t xml:space="preserve"> treatment should be discontinued. The safety and efficacy of </w:t>
      </w:r>
      <w:r w:rsidRPr="00787127">
        <w:t>KINERET</w:t>
      </w:r>
      <w:r w:rsidR="002C2CC3" w:rsidRPr="00787127">
        <w:t xml:space="preserve"> in patients with neutropenia have not been evaluated. </w:t>
      </w:r>
    </w:p>
    <w:p w:rsidR="00186894" w:rsidRPr="00671EDB" w:rsidRDefault="00EB01D6" w:rsidP="00CB1F1B">
      <w:pPr>
        <w:pStyle w:val="PIheading2"/>
      </w:pPr>
      <w:r w:rsidRPr="00671EDB">
        <w:t xml:space="preserve">Concurrent Treatment </w:t>
      </w:r>
      <w:proofErr w:type="gramStart"/>
      <w:r w:rsidRPr="00671EDB">
        <w:t>With</w:t>
      </w:r>
      <w:proofErr w:type="gramEnd"/>
      <w:r w:rsidRPr="00671EDB">
        <w:t xml:space="preserve"> </w:t>
      </w:r>
      <w:r w:rsidR="004C1A83">
        <w:rPr>
          <w:rFonts w:ascii="Helvetica" w:hAnsi="Helvetica" w:cs="Helvetica"/>
          <w:color w:val="000000"/>
          <w:lang w:eastAsia="en-AU"/>
        </w:rPr>
        <w:t>KINERET</w:t>
      </w:r>
      <w:r w:rsidR="002C2CC3">
        <w:rPr>
          <w:rFonts w:ascii="Helvetica" w:hAnsi="Helvetica" w:cs="Helvetica"/>
          <w:color w:val="000000"/>
          <w:vertAlign w:val="superscript"/>
          <w:lang w:eastAsia="en-AU"/>
        </w:rPr>
        <w:t xml:space="preserve"> </w:t>
      </w:r>
      <w:r w:rsidRPr="00671EDB">
        <w:t>and TNF-alpha Antagonists</w:t>
      </w:r>
    </w:p>
    <w:p w:rsidR="00186894" w:rsidRPr="00123798" w:rsidRDefault="00EB01D6" w:rsidP="00186894">
      <w:pPr>
        <w:pStyle w:val="TextPI"/>
      </w:pPr>
      <w:r w:rsidRPr="00671EDB">
        <w:t xml:space="preserve">Combination therapy with </w:t>
      </w:r>
      <w:r w:rsidR="004C1A83">
        <w:rPr>
          <w:rFonts w:ascii="Helvetica" w:hAnsi="Helvetica" w:cs="Helvetica"/>
          <w:color w:val="000000"/>
          <w:lang w:eastAsia="en-AU"/>
        </w:rPr>
        <w:t>KINERET</w:t>
      </w:r>
      <w:r w:rsidRPr="00671EDB">
        <w:t xml:space="preserve"> and TNF-alpha antagonist drugs is contraindicated. Concurrent administration of </w:t>
      </w:r>
      <w:r w:rsidR="004C1A83">
        <w:rPr>
          <w:rFonts w:ascii="Helvetica" w:hAnsi="Helvetica" w:cs="Helvetica"/>
          <w:color w:val="000000"/>
          <w:lang w:eastAsia="en-AU"/>
        </w:rPr>
        <w:t>KINERET</w:t>
      </w:r>
      <w:r w:rsidRPr="00671EDB">
        <w:t xml:space="preserve"> with TNF-alpha antagonists has been associated with an increased risk of serious infection and </w:t>
      </w:r>
      <w:proofErr w:type="spellStart"/>
      <w:r w:rsidRPr="00671EDB">
        <w:t>neutropoenia</w:t>
      </w:r>
      <w:proofErr w:type="spellEnd"/>
      <w:r w:rsidRPr="00671EDB">
        <w:t xml:space="preserve"> compared to </w:t>
      </w:r>
      <w:r w:rsidR="004C1A83">
        <w:rPr>
          <w:rFonts w:ascii="Helvetica" w:hAnsi="Helvetica" w:cs="Helvetica"/>
          <w:color w:val="000000"/>
          <w:lang w:eastAsia="en-AU"/>
        </w:rPr>
        <w:t>KINERET</w:t>
      </w:r>
      <w:r w:rsidRPr="00671EDB">
        <w:t xml:space="preserve"> alone. The combination has not been demonstrated to produce increased clinical benefit.</w:t>
      </w:r>
    </w:p>
    <w:p w:rsidR="00186894" w:rsidRPr="00123798" w:rsidRDefault="00186894" w:rsidP="00CB1F1B">
      <w:pPr>
        <w:pStyle w:val="PIheading2"/>
      </w:pPr>
      <w:r w:rsidRPr="00123798">
        <w:t>Immunosuppression</w:t>
      </w:r>
    </w:p>
    <w:p w:rsidR="00B4477F" w:rsidRPr="00B4477F" w:rsidRDefault="00186894" w:rsidP="00B4477F">
      <w:pPr>
        <w:pStyle w:val="TextPI"/>
      </w:pPr>
      <w:r w:rsidRPr="00B4477F">
        <w:t xml:space="preserve">It is unknown if chronic exposure to </w:t>
      </w:r>
      <w:r w:rsidR="004C1A83" w:rsidRPr="00B4477F">
        <w:t>KINERET</w:t>
      </w:r>
      <w:r w:rsidR="00DA6263" w:rsidRPr="00B4477F">
        <w:t xml:space="preserve"> </w:t>
      </w:r>
      <w:r w:rsidRPr="00B4477F">
        <w:t>can increase the incidence of malignancies.</w:t>
      </w:r>
      <w:r w:rsidR="00B4477F" w:rsidRPr="00B4477F">
        <w:t xml:space="preserve"> </w:t>
      </w:r>
      <w:r w:rsidR="00CB1F1B" w:rsidRPr="00B4477F">
        <w:t xml:space="preserve">The use of </w:t>
      </w:r>
      <w:r w:rsidR="004C1A83" w:rsidRPr="00B4477F">
        <w:t>KINERET</w:t>
      </w:r>
      <w:r w:rsidR="00CB1F1B" w:rsidRPr="00B4477F">
        <w:t xml:space="preserve"> in patients with pre-existing malignancy is not recommended. </w:t>
      </w:r>
    </w:p>
    <w:p w:rsidR="00CB1F1B" w:rsidRPr="00B4477F" w:rsidRDefault="00CB1F1B" w:rsidP="002B5F9F">
      <w:pPr>
        <w:pStyle w:val="PIheading2"/>
        <w:keepNext w:val="0"/>
        <w:widowControl w:val="0"/>
      </w:pPr>
      <w:proofErr w:type="spellStart"/>
      <w:r w:rsidRPr="00B4477F">
        <w:t>Immunisations</w:t>
      </w:r>
      <w:proofErr w:type="spellEnd"/>
    </w:p>
    <w:p w:rsidR="00B4477F" w:rsidRDefault="002C2CC3" w:rsidP="002B5F9F">
      <w:pPr>
        <w:pStyle w:val="PIheading2"/>
        <w:keepNext w:val="0"/>
        <w:widowControl w:val="0"/>
        <w:jc w:val="both"/>
        <w:rPr>
          <w:b w:val="0"/>
        </w:rPr>
      </w:pPr>
      <w:r w:rsidRPr="00787127">
        <w:rPr>
          <w:b w:val="0"/>
        </w:rPr>
        <w:t xml:space="preserve">It is recommended that, if possible, </w:t>
      </w:r>
      <w:proofErr w:type="spellStart"/>
      <w:r w:rsidRPr="00787127">
        <w:rPr>
          <w:b w:val="0"/>
        </w:rPr>
        <w:t>paediatric</w:t>
      </w:r>
      <w:proofErr w:type="spellEnd"/>
      <w:r w:rsidRPr="00787127">
        <w:rPr>
          <w:b w:val="0"/>
        </w:rPr>
        <w:t xml:space="preserve"> and adult patients should complete all </w:t>
      </w:r>
      <w:proofErr w:type="spellStart"/>
      <w:r w:rsidRPr="00787127">
        <w:rPr>
          <w:b w:val="0"/>
        </w:rPr>
        <w:t>immunisations</w:t>
      </w:r>
      <w:proofErr w:type="spellEnd"/>
      <w:r w:rsidRPr="00787127">
        <w:rPr>
          <w:b w:val="0"/>
        </w:rPr>
        <w:t xml:space="preserve"> in accordance with current </w:t>
      </w:r>
      <w:proofErr w:type="spellStart"/>
      <w:r w:rsidRPr="00787127">
        <w:rPr>
          <w:b w:val="0"/>
        </w:rPr>
        <w:t>immunisation</w:t>
      </w:r>
      <w:proofErr w:type="spellEnd"/>
      <w:r w:rsidRPr="00787127">
        <w:rPr>
          <w:b w:val="0"/>
        </w:rPr>
        <w:t xml:space="preserve"> guidelines prior to initiating </w:t>
      </w:r>
      <w:r w:rsidR="004C1A83" w:rsidRPr="00787127">
        <w:rPr>
          <w:b w:val="0"/>
        </w:rPr>
        <w:t>KINERET</w:t>
      </w:r>
      <w:r w:rsidRPr="00787127">
        <w:rPr>
          <w:b w:val="0"/>
        </w:rPr>
        <w:t xml:space="preserve"> treatment. It is also recommended that hepatitis B status is confirmed and vaccination completed prior to therapy with </w:t>
      </w:r>
      <w:r w:rsidR="004C1A83" w:rsidRPr="00787127">
        <w:rPr>
          <w:b w:val="0"/>
        </w:rPr>
        <w:t>KINERET</w:t>
      </w:r>
      <w:r w:rsidRPr="00787127">
        <w:rPr>
          <w:b w:val="0"/>
        </w:rPr>
        <w:t xml:space="preserve">. However, in patients with severe CAPS the risk of not completing all </w:t>
      </w:r>
      <w:proofErr w:type="spellStart"/>
      <w:r w:rsidRPr="00787127">
        <w:rPr>
          <w:b w:val="0"/>
        </w:rPr>
        <w:t>immunisations</w:t>
      </w:r>
      <w:proofErr w:type="spellEnd"/>
      <w:r w:rsidRPr="00787127">
        <w:rPr>
          <w:b w:val="0"/>
        </w:rPr>
        <w:t xml:space="preserve"> should be weighed against the risk of not starting </w:t>
      </w:r>
      <w:r w:rsidR="004C1A83" w:rsidRPr="00787127">
        <w:rPr>
          <w:b w:val="0"/>
        </w:rPr>
        <w:t>KINERET</w:t>
      </w:r>
      <w:r w:rsidRPr="00787127">
        <w:rPr>
          <w:b w:val="0"/>
        </w:rPr>
        <w:t xml:space="preserve"> treatment.</w:t>
      </w:r>
      <w:r w:rsidRPr="00787127" w:rsidDel="002C2CC3">
        <w:rPr>
          <w:b w:val="0"/>
        </w:rPr>
        <w:t xml:space="preserve"> </w:t>
      </w:r>
    </w:p>
    <w:p w:rsidR="002C2CC3" w:rsidRPr="00787127" w:rsidRDefault="00A16C63" w:rsidP="002B5F9F">
      <w:pPr>
        <w:pStyle w:val="PIheading2"/>
        <w:keepNext w:val="0"/>
        <w:widowControl w:val="0"/>
        <w:jc w:val="both"/>
        <w:rPr>
          <w:b w:val="0"/>
        </w:rPr>
      </w:pPr>
      <w:r w:rsidRPr="00787127">
        <w:rPr>
          <w:b w:val="0"/>
        </w:rPr>
        <w:t xml:space="preserve">In a placebo-controlled clinical trial in RA patients (n = 126), no difference was detected in anti-tetanus antibody response between the </w:t>
      </w:r>
      <w:r w:rsidR="004C1A83" w:rsidRPr="00787127">
        <w:rPr>
          <w:b w:val="0"/>
        </w:rPr>
        <w:t>KINERET</w:t>
      </w:r>
      <w:r w:rsidRPr="00787127">
        <w:rPr>
          <w:b w:val="0"/>
        </w:rPr>
        <w:t xml:space="preserve"> and placebo treatment groups when the tetanus/diphtheria toxoids vaccine was administered concurrently with </w:t>
      </w:r>
      <w:r w:rsidR="004C1A83" w:rsidRPr="00787127">
        <w:rPr>
          <w:b w:val="0"/>
        </w:rPr>
        <w:t>KINERET</w:t>
      </w:r>
      <w:r w:rsidRPr="00787127">
        <w:rPr>
          <w:b w:val="0"/>
        </w:rPr>
        <w:t xml:space="preserve">. No data are available on the effects of vaccination with other inactivated antigens in patients receiving </w:t>
      </w:r>
      <w:r w:rsidR="004C1A83" w:rsidRPr="00787127">
        <w:rPr>
          <w:b w:val="0"/>
        </w:rPr>
        <w:t>KINERET</w:t>
      </w:r>
      <w:r w:rsidRPr="00787127">
        <w:rPr>
          <w:b w:val="0"/>
        </w:rPr>
        <w:t xml:space="preserve">. </w:t>
      </w:r>
    </w:p>
    <w:p w:rsidR="00A16C63" w:rsidRPr="002C2CC3" w:rsidRDefault="00A16C63" w:rsidP="002B5F9F">
      <w:pPr>
        <w:pStyle w:val="TextPI"/>
        <w:widowControl w:val="0"/>
      </w:pPr>
      <w:r w:rsidRPr="00787127">
        <w:t xml:space="preserve">No data are available on either the effects of live vaccination or the secondary transmission of infection by live vaccines in patients receiving </w:t>
      </w:r>
      <w:r w:rsidR="004C1A83" w:rsidRPr="00787127">
        <w:t>KINERET</w:t>
      </w:r>
      <w:r w:rsidRPr="00787127">
        <w:t xml:space="preserve">. Therefore, live vaccines should not be given concurrently with </w:t>
      </w:r>
      <w:r w:rsidR="004C1A83" w:rsidRPr="00787127">
        <w:t>KINERET</w:t>
      </w:r>
      <w:r w:rsidRPr="00787127">
        <w:t>.</w:t>
      </w:r>
    </w:p>
    <w:p w:rsidR="00CB1F1B" w:rsidRPr="00123798" w:rsidRDefault="00CB1F1B" w:rsidP="00CB1F1B">
      <w:pPr>
        <w:pStyle w:val="PIheading2"/>
      </w:pPr>
      <w:proofErr w:type="spellStart"/>
      <w:r w:rsidRPr="00123798">
        <w:t>Paediatric</w:t>
      </w:r>
      <w:proofErr w:type="spellEnd"/>
      <w:r w:rsidRPr="00123798">
        <w:t xml:space="preserve"> Use</w:t>
      </w:r>
    </w:p>
    <w:p w:rsidR="002C2CC3" w:rsidRPr="00787127" w:rsidRDefault="002C2CC3" w:rsidP="002C2CC3">
      <w:pPr>
        <w:pStyle w:val="TextPI"/>
      </w:pPr>
      <w:r w:rsidRPr="00787127">
        <w:t xml:space="preserve">The safety and efficacy of </w:t>
      </w:r>
      <w:r w:rsidR="004C1A83" w:rsidRPr="00787127">
        <w:t>KINERET</w:t>
      </w:r>
      <w:r w:rsidRPr="00787127">
        <w:t xml:space="preserve"> have been demonstrated in 36 </w:t>
      </w:r>
      <w:proofErr w:type="spellStart"/>
      <w:r w:rsidRPr="00787127">
        <w:t>paediatric</w:t>
      </w:r>
      <w:proofErr w:type="spellEnd"/>
      <w:r w:rsidRPr="00787127">
        <w:t xml:space="preserve"> CAPS patients. Overall, the efficacy and safety profile of </w:t>
      </w:r>
      <w:r w:rsidR="004C1A83" w:rsidRPr="00787127">
        <w:t>KINERET</w:t>
      </w:r>
      <w:r w:rsidRPr="00787127">
        <w:t xml:space="preserve"> is comparable in adult and </w:t>
      </w:r>
      <w:proofErr w:type="spellStart"/>
      <w:r w:rsidRPr="00787127">
        <w:t>paediatric</w:t>
      </w:r>
      <w:proofErr w:type="spellEnd"/>
      <w:r w:rsidRPr="00787127">
        <w:t xml:space="preserve"> CAPS patients.  </w:t>
      </w:r>
    </w:p>
    <w:p w:rsidR="002C2CC3" w:rsidRPr="00123798" w:rsidRDefault="004C1A83" w:rsidP="002C2CC3">
      <w:pPr>
        <w:pStyle w:val="TextPI"/>
      </w:pPr>
      <w:r w:rsidRPr="00787127">
        <w:lastRenderedPageBreak/>
        <w:t>KINERET</w:t>
      </w:r>
      <w:r w:rsidR="002C2CC3" w:rsidRPr="00787127">
        <w:t xml:space="preserve"> was studied in a single randomized, blinded multi-center trial in 86 patients with </w:t>
      </w:r>
      <w:proofErr w:type="spellStart"/>
      <w:r w:rsidR="002C2CC3" w:rsidRPr="00787127">
        <w:t>polyarticular</w:t>
      </w:r>
      <w:proofErr w:type="spellEnd"/>
      <w:r w:rsidR="002C2CC3" w:rsidRPr="00787127">
        <w:t xml:space="preserve"> course Juvenile Rheumatoid Arthritis (JRA; ages 2-17 years) receiving a dose of 1 mg/kg subcutaneously daily, up to a maximum dose of 100 mg. The 50 patients who achieved a clinical response after a 12-week open-label run-in were randomized to </w:t>
      </w:r>
      <w:r w:rsidRPr="00787127">
        <w:t>KINERET</w:t>
      </w:r>
      <w:r w:rsidR="002C2CC3" w:rsidRPr="00787127">
        <w:t xml:space="preserve"> (25 patients) or placebo (25 patients), administered daily for an additional 16 weeks. A subset of these patients continued open-label treatment with </w:t>
      </w:r>
      <w:r w:rsidRPr="00787127">
        <w:t>KINERET</w:t>
      </w:r>
      <w:r w:rsidR="002C2CC3" w:rsidRPr="00787127">
        <w:t xml:space="preserve"> for up to 1 year in a companion extension study. An adverse event profile similar to that seen in adult RA patients was observed in these studies. These study data are insufficient to demonstrate efficacy and, therefore, </w:t>
      </w:r>
      <w:r w:rsidRPr="00787127">
        <w:t>KINERET</w:t>
      </w:r>
      <w:r w:rsidR="002C2CC3" w:rsidRPr="00787127">
        <w:t xml:space="preserve"> is not recommended for pediatric use in Juvenile Rheumatoid Arthritis.</w:t>
      </w:r>
    </w:p>
    <w:p w:rsidR="00CB1F1B" w:rsidRPr="00787127" w:rsidRDefault="00CB1F1B" w:rsidP="00CB1F1B">
      <w:pPr>
        <w:pStyle w:val="PIheading2"/>
      </w:pPr>
      <w:r w:rsidRPr="00787127">
        <w:t>Use</w:t>
      </w:r>
      <w:r w:rsidR="00A16C63" w:rsidRPr="00787127">
        <w:t xml:space="preserve"> in the Elderly</w:t>
      </w:r>
    </w:p>
    <w:p w:rsidR="00CB1F1B" w:rsidRPr="00123798" w:rsidRDefault="00CB1F1B" w:rsidP="00CB1F1B">
      <w:pPr>
        <w:pStyle w:val="TextPI"/>
      </w:pPr>
      <w:r w:rsidRPr="00787127">
        <w:t xml:space="preserve">A total of 653 </w:t>
      </w:r>
      <w:proofErr w:type="gramStart"/>
      <w:r w:rsidRPr="00787127">
        <w:t>patients</w:t>
      </w:r>
      <w:proofErr w:type="gramEnd"/>
      <w:r w:rsidRPr="00787127">
        <w:t xml:space="preserve"> </w:t>
      </w:r>
      <w:r w:rsidRPr="00787127">
        <w:rPr>
          <w:szCs w:val="6"/>
        </w:rPr>
        <w:t>≥</w:t>
      </w:r>
      <w:r w:rsidRPr="00787127">
        <w:t xml:space="preserve"> 65 years of age, including 135 patients </w:t>
      </w:r>
      <w:r w:rsidRPr="00787127">
        <w:rPr>
          <w:szCs w:val="6"/>
        </w:rPr>
        <w:t>≥</w:t>
      </w:r>
      <w:r w:rsidRPr="00787127">
        <w:t xml:space="preserve"> 75 years of age, were studied in clinical trials</w:t>
      </w:r>
      <w:r w:rsidR="002C2CC3" w:rsidRPr="00787127">
        <w:t xml:space="preserve"> </w:t>
      </w:r>
      <w:r w:rsidR="00117963" w:rsidRPr="00787127">
        <w:t>in RA</w:t>
      </w:r>
      <w:r w:rsidRPr="00787127">
        <w:t>. No overall differences in safety or effectiveness were observed between these patients and younger patients. As there is a higher incidence of infections in the elderly population in general, caution should be used when treating the elderly.</w:t>
      </w:r>
    </w:p>
    <w:p w:rsidR="00CB1F1B" w:rsidRPr="00787127" w:rsidRDefault="00B83981" w:rsidP="00CB1F1B">
      <w:pPr>
        <w:pStyle w:val="PIheading2"/>
      </w:pPr>
      <w:r w:rsidRPr="00787127">
        <w:t xml:space="preserve">Carcinogenicity, </w:t>
      </w:r>
      <w:proofErr w:type="spellStart"/>
      <w:r w:rsidRPr="00787127">
        <w:t>Genotoxicity</w:t>
      </w:r>
      <w:proofErr w:type="spellEnd"/>
      <w:r w:rsidRPr="00787127">
        <w:t xml:space="preserve"> and Effects on Fertility</w:t>
      </w:r>
    </w:p>
    <w:p w:rsidR="00CB1F1B" w:rsidRPr="008B493E" w:rsidRDefault="004C1A83" w:rsidP="008B493E">
      <w:pPr>
        <w:pStyle w:val="TextPI"/>
      </w:pPr>
      <w:r w:rsidRPr="00787127">
        <w:t>KINERET</w:t>
      </w:r>
      <w:r w:rsidR="00CB1F1B" w:rsidRPr="00787127">
        <w:t xml:space="preserve"> has not been evaluated for its carcinogenic potential in animals. It is known that many different types, but not all cancer cells, express the interleukin-1 receptor. Depending on the cancer cell type, activation of the receptor by interleukin-1 can cause a variety of anti-proliferative or proliferative responses. Insufficient data are available on the effect of </w:t>
      </w:r>
      <w:r w:rsidRPr="00787127">
        <w:t>KINERET</w:t>
      </w:r>
      <w:r w:rsidR="00CB1F1B" w:rsidRPr="00787127">
        <w:t xml:space="preserve"> on sub-detectable cancer cells in animals or patients. Therefore, </w:t>
      </w:r>
      <w:r w:rsidRPr="00787127">
        <w:t>KINERET</w:t>
      </w:r>
      <w:r w:rsidR="00CB1F1B" w:rsidRPr="00787127">
        <w:t xml:space="preserve"> is not recommended for use in patients with pre-existing cancer unless clearly needed.</w:t>
      </w:r>
    </w:p>
    <w:p w:rsidR="00CB1F1B" w:rsidRPr="008B493E" w:rsidRDefault="00CB1F1B" w:rsidP="008B493E">
      <w:pPr>
        <w:pStyle w:val="TextPI"/>
      </w:pPr>
      <w:r w:rsidRPr="008B493E">
        <w:t xml:space="preserve">In rats and rabbits, </w:t>
      </w:r>
      <w:r w:rsidR="004C1A83">
        <w:t>KINERET</w:t>
      </w:r>
      <w:r w:rsidRPr="008B493E">
        <w:t xml:space="preserve"> at doses of up to 15-30 fold greater than the human dose (based on body surface area adjusted dose) had no adverse effects on male or female fertility.</w:t>
      </w:r>
    </w:p>
    <w:p w:rsidR="00CF45F5" w:rsidRPr="00123798" w:rsidRDefault="00CB1F1B" w:rsidP="00CB1F1B">
      <w:pPr>
        <w:pStyle w:val="PIheading2"/>
      </w:pPr>
      <w:r w:rsidRPr="00123798">
        <w:t xml:space="preserve">Use in Pregnancy </w:t>
      </w:r>
    </w:p>
    <w:p w:rsidR="00CB1F1B" w:rsidRPr="00123798" w:rsidRDefault="00CB1F1B" w:rsidP="00CB1F1B">
      <w:pPr>
        <w:pStyle w:val="PIheading2"/>
      </w:pPr>
      <w:r w:rsidRPr="00123798">
        <w:t>Category B1</w:t>
      </w:r>
    </w:p>
    <w:p w:rsidR="00CB1F1B" w:rsidRPr="00123798" w:rsidRDefault="00CB1F1B" w:rsidP="002B5F9F">
      <w:pPr>
        <w:pStyle w:val="TextPI"/>
        <w:widowControl w:val="0"/>
      </w:pPr>
      <w:r w:rsidRPr="00123798">
        <w:t xml:space="preserve">Reproductive studies have been conducted with </w:t>
      </w:r>
      <w:r w:rsidR="004C1A83">
        <w:rPr>
          <w:rFonts w:ascii="Helvetica" w:hAnsi="Helvetica" w:cs="Helvetica"/>
          <w:color w:val="000000"/>
          <w:lang w:eastAsia="en-AU"/>
        </w:rPr>
        <w:t>KINERET</w:t>
      </w:r>
      <w:r w:rsidRPr="00123798">
        <w:t xml:space="preserve"> on rats and rabbits at doses up to 15-30 fold greater (based on body surface area adjusted dose) than the human dose and have revealed no evidence of impaired fertility or harm to the </w:t>
      </w:r>
      <w:proofErr w:type="spellStart"/>
      <w:r w:rsidRPr="00123798">
        <w:t>foetus</w:t>
      </w:r>
      <w:proofErr w:type="spellEnd"/>
      <w:r w:rsidRPr="00123798">
        <w:t xml:space="preserve">. There are, however, no adequate and well-controlled studies in pregnant women. As animal reproduction studies are not always predictive of human response, </w:t>
      </w:r>
      <w:r w:rsidR="004C1A83">
        <w:rPr>
          <w:rFonts w:ascii="Helvetica" w:hAnsi="Helvetica" w:cs="Helvetica"/>
          <w:color w:val="000000"/>
          <w:lang w:eastAsia="en-AU"/>
        </w:rPr>
        <w:t>KINERET</w:t>
      </w:r>
      <w:r w:rsidRPr="00123798">
        <w:t xml:space="preserve"> should be used during pregnancy only if clearly needed.</w:t>
      </w:r>
    </w:p>
    <w:p w:rsidR="00CB1F1B" w:rsidRPr="00123798" w:rsidRDefault="00CB1F1B" w:rsidP="002B5F9F">
      <w:pPr>
        <w:pStyle w:val="PIheading2"/>
        <w:keepNext w:val="0"/>
        <w:widowControl w:val="0"/>
      </w:pPr>
      <w:r w:rsidRPr="00123798">
        <w:t>Use in Lactation</w:t>
      </w:r>
    </w:p>
    <w:p w:rsidR="00E456E3" w:rsidRPr="00123798" w:rsidRDefault="00CB1F1B" w:rsidP="002B5F9F">
      <w:pPr>
        <w:pStyle w:val="TextPI"/>
        <w:widowControl w:val="0"/>
      </w:pPr>
      <w:r w:rsidRPr="00123798">
        <w:t xml:space="preserve">It is not known whether </w:t>
      </w:r>
      <w:r w:rsidR="004C1A83">
        <w:rPr>
          <w:rFonts w:ascii="Helvetica" w:hAnsi="Helvetica" w:cs="Helvetica"/>
          <w:color w:val="000000"/>
          <w:lang w:eastAsia="en-AU"/>
        </w:rPr>
        <w:t>KINERET</w:t>
      </w:r>
      <w:r w:rsidRPr="00123798">
        <w:t xml:space="preserve"> is secreted in human breast milk. The protein that </w:t>
      </w:r>
      <w:r w:rsidR="004C1A83">
        <w:rPr>
          <w:rFonts w:ascii="Helvetica" w:hAnsi="Helvetica" w:cs="Helvetica"/>
          <w:color w:val="000000"/>
          <w:lang w:eastAsia="en-AU"/>
        </w:rPr>
        <w:t>KINERET</w:t>
      </w:r>
      <w:r w:rsidRPr="00123798">
        <w:t xml:space="preserve"> mimics (interleukin-1 receptor antagonist) occurs naturally in human breast milk. Should </w:t>
      </w:r>
      <w:r w:rsidR="004C1A83">
        <w:rPr>
          <w:rFonts w:ascii="Helvetica" w:hAnsi="Helvetica" w:cs="Helvetica"/>
          <w:color w:val="000000"/>
          <w:lang w:eastAsia="en-AU"/>
        </w:rPr>
        <w:t>KINERET</w:t>
      </w:r>
      <w:r w:rsidRPr="00123798">
        <w:t xml:space="preserve"> or antibodies to </w:t>
      </w:r>
      <w:r w:rsidR="004C1A83">
        <w:rPr>
          <w:rFonts w:ascii="Helvetica" w:hAnsi="Helvetica" w:cs="Helvetica"/>
          <w:color w:val="000000"/>
          <w:lang w:eastAsia="en-AU"/>
        </w:rPr>
        <w:t>KINERET</w:t>
      </w:r>
      <w:r w:rsidRPr="00123798">
        <w:t xml:space="preserve"> be secreted in breast milk, the effect on the immune competence of the neonate is unknown. </w:t>
      </w:r>
      <w:proofErr w:type="gramStart"/>
      <w:r w:rsidRPr="00123798">
        <w:t xml:space="preserve">Exposure of lactating rats to doses of </w:t>
      </w:r>
      <w:r w:rsidR="004C1A83">
        <w:rPr>
          <w:rFonts w:ascii="Helvetica" w:hAnsi="Helvetica" w:cs="Helvetica"/>
          <w:color w:val="000000"/>
          <w:lang w:eastAsia="en-AU"/>
        </w:rPr>
        <w:t>KINERET</w:t>
      </w:r>
      <w:r w:rsidRPr="00123798">
        <w:t xml:space="preserve"> up to 15-30 fold greater (based on body surface area adjusted dose) than the human dose did not have any apparent effect on the offspring.</w:t>
      </w:r>
      <w:proofErr w:type="gramEnd"/>
      <w:r w:rsidRPr="00123798">
        <w:t xml:space="preserve"> Caution should be exercised if </w:t>
      </w:r>
      <w:r w:rsidR="004C1A83">
        <w:rPr>
          <w:rFonts w:ascii="Helvetica" w:hAnsi="Helvetica" w:cs="Helvetica"/>
          <w:color w:val="000000"/>
          <w:lang w:eastAsia="en-AU"/>
        </w:rPr>
        <w:t>KINERET</w:t>
      </w:r>
      <w:r w:rsidRPr="00123798">
        <w:t xml:space="preserve"> is administered to women who are breastfeeding.</w:t>
      </w:r>
    </w:p>
    <w:p w:rsidR="008B493E" w:rsidRPr="00787127" w:rsidRDefault="008B493E" w:rsidP="008B493E">
      <w:pPr>
        <w:pStyle w:val="PIheading2"/>
      </w:pPr>
      <w:r w:rsidRPr="00787127">
        <w:lastRenderedPageBreak/>
        <w:t>Effects on Laboratory Tests</w:t>
      </w:r>
    </w:p>
    <w:p w:rsidR="008B493E" w:rsidRPr="00787127" w:rsidRDefault="008B493E" w:rsidP="008B493E">
      <w:pPr>
        <w:pStyle w:val="TextPI"/>
      </w:pPr>
      <w:r w:rsidRPr="00787127">
        <w:t xml:space="preserve">In placebo-controlled studies with </w:t>
      </w:r>
      <w:r w:rsidR="004C1A83" w:rsidRPr="00787127">
        <w:rPr>
          <w:rFonts w:ascii="Helvetica" w:hAnsi="Helvetica" w:cs="Helvetica"/>
          <w:color w:val="000000"/>
          <w:lang w:eastAsia="en-AU"/>
        </w:rPr>
        <w:t>KINERET</w:t>
      </w:r>
      <w:r w:rsidRPr="00787127">
        <w:t>, treatment was associated with small reductions in the mean values for total white blood count, platelets and absolute neutrophil blood count and a small increase in the mean eosinophil differential percentage.</w:t>
      </w:r>
    </w:p>
    <w:p w:rsidR="008B493E" w:rsidRPr="00787127" w:rsidRDefault="008B493E" w:rsidP="008B493E">
      <w:pPr>
        <w:pStyle w:val="TextPI"/>
        <w:keepNext/>
        <w:keepLines/>
      </w:pPr>
      <w:r w:rsidRPr="00787127">
        <w:t xml:space="preserve">In the placebo-controlled studies, 8% of patients receiving </w:t>
      </w:r>
      <w:r w:rsidR="004C1A83" w:rsidRPr="00787127">
        <w:rPr>
          <w:rFonts w:ascii="Helvetica" w:hAnsi="Helvetica" w:cs="Helvetica"/>
          <w:color w:val="000000"/>
          <w:lang w:eastAsia="en-AU"/>
        </w:rPr>
        <w:t>KINERET</w:t>
      </w:r>
      <w:r w:rsidRPr="00787127">
        <w:t xml:space="preserve"> had decreases in neutrophil counts of at least 1 World Health </w:t>
      </w:r>
      <w:proofErr w:type="spellStart"/>
      <w:r w:rsidRPr="00787127">
        <w:t>Organisation</w:t>
      </w:r>
      <w:proofErr w:type="spellEnd"/>
      <w:r w:rsidRPr="00787127">
        <w:t xml:space="preserve"> (WHO) toxicity grade, compared with 2% in the placebo control group. Six </w:t>
      </w:r>
      <w:r w:rsidR="004C1A83" w:rsidRPr="00787127">
        <w:rPr>
          <w:rFonts w:ascii="Helvetica" w:hAnsi="Helvetica" w:cs="Helvetica"/>
          <w:color w:val="000000"/>
          <w:lang w:eastAsia="en-AU"/>
        </w:rPr>
        <w:t>KINERET</w:t>
      </w:r>
      <w:r w:rsidRPr="00787127">
        <w:t xml:space="preserve">-treated patients (0.3%) experienced </w:t>
      </w:r>
      <w:proofErr w:type="spellStart"/>
      <w:r w:rsidRPr="00787127">
        <w:t>neutrop</w:t>
      </w:r>
      <w:r w:rsidR="006536BB" w:rsidRPr="00787127">
        <w:t>a</w:t>
      </w:r>
      <w:r w:rsidRPr="00787127">
        <w:t>enia</w:t>
      </w:r>
      <w:proofErr w:type="spellEnd"/>
      <w:r w:rsidRPr="00787127">
        <w:t xml:space="preserve"> (ANC &lt; 1 x 10</w:t>
      </w:r>
      <w:r w:rsidRPr="00787127">
        <w:rPr>
          <w:vertAlign w:val="superscript"/>
        </w:rPr>
        <w:t>9</w:t>
      </w:r>
      <w:r w:rsidRPr="00787127">
        <w:t>/L).</w:t>
      </w:r>
    </w:p>
    <w:p w:rsidR="00B4477F" w:rsidRDefault="00B4477F">
      <w:pPr>
        <w:rPr>
          <w:rFonts w:ascii="Arial" w:hAnsi="Arial" w:cs="Arial"/>
          <w:spacing w:val="-1"/>
          <w:sz w:val="22"/>
          <w:szCs w:val="22"/>
        </w:rPr>
      </w:pPr>
      <w:r>
        <w:rPr>
          <w:rFonts w:cs="Arial"/>
          <w:spacing w:val="-1"/>
        </w:rPr>
        <w:br w:type="page"/>
      </w:r>
    </w:p>
    <w:p w:rsidR="008B493E" w:rsidRPr="00787127" w:rsidRDefault="008B493E" w:rsidP="008B493E">
      <w:pPr>
        <w:pStyle w:val="TextPI"/>
        <w:rPr>
          <w:rFonts w:cs="Arial"/>
        </w:rPr>
      </w:pPr>
      <w:r w:rsidRPr="00787127">
        <w:rPr>
          <w:rFonts w:cs="Arial"/>
          <w:spacing w:val="-1"/>
        </w:rPr>
        <w:lastRenderedPageBreak/>
        <w:t xml:space="preserve">Additional patients treated with </w:t>
      </w:r>
      <w:r w:rsidR="004C1A83" w:rsidRPr="00787127">
        <w:rPr>
          <w:rFonts w:ascii="Helvetica" w:hAnsi="Helvetica" w:cs="Helvetica"/>
          <w:color w:val="000000"/>
          <w:lang w:eastAsia="en-AU"/>
        </w:rPr>
        <w:t>KINERET</w:t>
      </w:r>
      <w:r w:rsidRPr="00787127">
        <w:rPr>
          <w:rFonts w:cs="Arial"/>
          <w:spacing w:val="-1"/>
        </w:rPr>
        <w:t xml:space="preserve"> plus </w:t>
      </w:r>
      <w:proofErr w:type="spellStart"/>
      <w:r w:rsidRPr="00787127">
        <w:rPr>
          <w:rFonts w:cs="Arial"/>
          <w:spacing w:val="-1"/>
        </w:rPr>
        <w:t>etanercept</w:t>
      </w:r>
      <w:proofErr w:type="spellEnd"/>
      <w:r w:rsidRPr="00787127">
        <w:rPr>
          <w:rFonts w:cs="Arial"/>
          <w:spacing w:val="-1"/>
        </w:rPr>
        <w:t xml:space="preserve"> (3/139, 2%) developed </w:t>
      </w:r>
      <w:r w:rsidRPr="00787127">
        <w:rPr>
          <w:rFonts w:cs="Arial"/>
        </w:rPr>
        <w:t>ANC</w:t>
      </w:r>
      <w:r w:rsidRPr="00787127">
        <w:t> &lt;</w:t>
      </w:r>
      <w:r w:rsidRPr="00787127">
        <w:rPr>
          <w:rFonts w:cs="Arial"/>
        </w:rPr>
        <w:t> 1 x 10</w:t>
      </w:r>
      <w:r w:rsidRPr="00787127">
        <w:rPr>
          <w:rFonts w:cs="Arial"/>
          <w:w w:val="105"/>
          <w:vertAlign w:val="superscript"/>
        </w:rPr>
        <w:t>9</w:t>
      </w:r>
      <w:r w:rsidRPr="00787127">
        <w:rPr>
          <w:rFonts w:cs="Arial"/>
        </w:rPr>
        <w:t xml:space="preserve">/L. </w:t>
      </w:r>
      <w:proofErr w:type="gramStart"/>
      <w:r w:rsidRPr="00787127">
        <w:rPr>
          <w:rFonts w:cs="Arial"/>
        </w:rPr>
        <w:t xml:space="preserve">While </w:t>
      </w:r>
      <w:proofErr w:type="spellStart"/>
      <w:r w:rsidR="007D2EA6" w:rsidRPr="00787127">
        <w:rPr>
          <w:rFonts w:cs="Arial"/>
        </w:rPr>
        <w:t>neutropoenic</w:t>
      </w:r>
      <w:proofErr w:type="spellEnd"/>
      <w:r w:rsidRPr="00787127">
        <w:rPr>
          <w:rFonts w:cs="Arial"/>
        </w:rPr>
        <w:t>, one patient developed cellulitis which recovered with antibiotic therapy.</w:t>
      </w:r>
      <w:proofErr w:type="gramEnd"/>
    </w:p>
    <w:p w:rsidR="008B493E" w:rsidRPr="00123798" w:rsidRDefault="008B493E" w:rsidP="008B493E">
      <w:pPr>
        <w:pStyle w:val="TextPI"/>
      </w:pPr>
      <w:r w:rsidRPr="00787127">
        <w:rPr>
          <w:rFonts w:cs="Arial"/>
          <w:spacing w:val="-1"/>
        </w:rPr>
        <w:t xml:space="preserve">Blood counts should be assessed prior to initiating </w:t>
      </w:r>
      <w:r w:rsidR="004C1A83" w:rsidRPr="00787127">
        <w:rPr>
          <w:rFonts w:ascii="Helvetica" w:hAnsi="Helvetica" w:cs="Helvetica"/>
          <w:color w:val="000000"/>
          <w:lang w:eastAsia="en-AU"/>
        </w:rPr>
        <w:t>KINERET</w:t>
      </w:r>
      <w:r w:rsidRPr="00787127">
        <w:rPr>
          <w:rFonts w:cs="Arial"/>
          <w:spacing w:val="-1"/>
        </w:rPr>
        <w:t xml:space="preserve"> treatment and be monitored on a regular basis while receiving </w:t>
      </w:r>
      <w:r w:rsidR="004C1A83" w:rsidRPr="00787127">
        <w:rPr>
          <w:rFonts w:ascii="Helvetica" w:hAnsi="Helvetica" w:cs="Helvetica"/>
          <w:color w:val="000000"/>
          <w:lang w:eastAsia="en-AU"/>
        </w:rPr>
        <w:t>KINERET</w:t>
      </w:r>
      <w:r w:rsidRPr="00787127">
        <w:rPr>
          <w:rFonts w:cs="Arial"/>
          <w:spacing w:val="-1"/>
        </w:rPr>
        <w:t>.</w:t>
      </w:r>
    </w:p>
    <w:p w:rsidR="00123798" w:rsidRPr="00123798" w:rsidRDefault="00CF45F5">
      <w:pPr>
        <w:pStyle w:val="PIHeading1"/>
        <w:ind w:left="0" w:firstLine="0"/>
      </w:pPr>
      <w:r w:rsidRPr="00123798">
        <w:t>Interactions</w:t>
      </w:r>
      <w:r w:rsidR="00666ECF" w:rsidRPr="00123798">
        <w:t xml:space="preserve"> WITH OTHER MEDICINES</w:t>
      </w:r>
    </w:p>
    <w:p w:rsidR="00CB1F1B" w:rsidRPr="00123798" w:rsidRDefault="00CB1F1B" w:rsidP="00DB45CE">
      <w:pPr>
        <w:pStyle w:val="TextPI"/>
      </w:pPr>
      <w:r w:rsidRPr="00123798">
        <w:rPr>
          <w:spacing w:val="-4"/>
        </w:rPr>
        <w:t xml:space="preserve">Interactions between </w:t>
      </w:r>
      <w:r w:rsidR="004C1A83">
        <w:rPr>
          <w:rFonts w:ascii="Helvetica" w:hAnsi="Helvetica" w:cs="Helvetica"/>
          <w:color w:val="000000"/>
          <w:lang w:eastAsia="en-AU"/>
        </w:rPr>
        <w:t>KINERET</w:t>
      </w:r>
      <w:r w:rsidR="005E525C">
        <w:rPr>
          <w:rFonts w:ascii="Helvetica" w:hAnsi="Helvetica" w:cs="Helvetica"/>
          <w:color w:val="000000"/>
          <w:lang w:eastAsia="en-AU"/>
        </w:rPr>
        <w:t xml:space="preserve"> </w:t>
      </w:r>
      <w:r w:rsidRPr="00123798">
        <w:rPr>
          <w:spacing w:val="-4"/>
        </w:rPr>
        <w:t xml:space="preserve">and other medicines have not been investigated in formal </w:t>
      </w:r>
      <w:r w:rsidRPr="00123798">
        <w:t xml:space="preserve">studies. In clinical trials, interactions between </w:t>
      </w:r>
      <w:r w:rsidR="004C1A83">
        <w:rPr>
          <w:rFonts w:ascii="Helvetica" w:hAnsi="Helvetica" w:cs="Helvetica"/>
          <w:color w:val="000000"/>
          <w:lang w:eastAsia="en-AU"/>
        </w:rPr>
        <w:t>KINERET</w:t>
      </w:r>
      <w:r w:rsidR="002D3151">
        <w:rPr>
          <w:rFonts w:ascii="Helvetica" w:hAnsi="Helvetica" w:cs="Helvetica"/>
          <w:color w:val="000000"/>
          <w:lang w:eastAsia="en-AU"/>
        </w:rPr>
        <w:t xml:space="preserve"> </w:t>
      </w:r>
      <w:r w:rsidRPr="00123798">
        <w:t>and other medicines (including nonsteroidal anti-inflammatory drugs, corticosteroids and DMARDs) have not been observed.</w:t>
      </w:r>
    </w:p>
    <w:p w:rsidR="00340AED" w:rsidRPr="00B4477F" w:rsidRDefault="00340AED" w:rsidP="00B4477F">
      <w:pPr>
        <w:pStyle w:val="PIheading2"/>
      </w:pPr>
      <w:r w:rsidRPr="00B4477F">
        <w:t>TNF Blocking Agent</w:t>
      </w:r>
    </w:p>
    <w:p w:rsidR="0032121C" w:rsidRDefault="00CB1F1B" w:rsidP="00DB45CE">
      <w:pPr>
        <w:pStyle w:val="TextPI"/>
        <w:rPr>
          <w:spacing w:val="-2"/>
        </w:rPr>
      </w:pPr>
      <w:r w:rsidRPr="00787127">
        <w:rPr>
          <w:spacing w:val="-1"/>
        </w:rPr>
        <w:t>In two studies</w:t>
      </w:r>
      <w:r w:rsidR="002C2CC3" w:rsidRPr="00787127">
        <w:rPr>
          <w:spacing w:val="-1"/>
        </w:rPr>
        <w:t xml:space="preserve"> </w:t>
      </w:r>
      <w:r w:rsidR="00A16C63" w:rsidRPr="00787127">
        <w:rPr>
          <w:spacing w:val="-1"/>
        </w:rPr>
        <w:t>in RA</w:t>
      </w:r>
      <w:r w:rsidRPr="00787127">
        <w:rPr>
          <w:spacing w:val="-1"/>
        </w:rPr>
        <w:t>, where patients</w:t>
      </w:r>
      <w:r w:rsidRPr="00123798">
        <w:rPr>
          <w:spacing w:val="-1"/>
        </w:rPr>
        <w:t xml:space="preserve"> received concurrent </w:t>
      </w:r>
      <w:proofErr w:type="spellStart"/>
      <w:r w:rsidRPr="00123798">
        <w:rPr>
          <w:spacing w:val="-1"/>
        </w:rPr>
        <w:t>etanercept</w:t>
      </w:r>
      <w:proofErr w:type="spellEnd"/>
      <w:r w:rsidRPr="00123798">
        <w:rPr>
          <w:spacing w:val="-1"/>
        </w:rPr>
        <w:t xml:space="preserve"> and </w:t>
      </w:r>
      <w:r w:rsidR="004C1A83">
        <w:rPr>
          <w:rFonts w:ascii="Helvetica" w:hAnsi="Helvetica" w:cs="Helvetica"/>
          <w:color w:val="000000"/>
          <w:lang w:eastAsia="en-AU"/>
        </w:rPr>
        <w:t>KINERET</w:t>
      </w:r>
      <w:r w:rsidR="00C979BF">
        <w:rPr>
          <w:rFonts w:ascii="Helvetica" w:hAnsi="Helvetica" w:cs="Helvetica"/>
          <w:color w:val="000000"/>
          <w:lang w:eastAsia="en-AU"/>
        </w:rPr>
        <w:t xml:space="preserve"> </w:t>
      </w:r>
      <w:r w:rsidRPr="00123798">
        <w:rPr>
          <w:spacing w:val="-1"/>
        </w:rPr>
        <w:t xml:space="preserve">therapy and </w:t>
      </w:r>
      <w:r w:rsidRPr="00123798">
        <w:t xml:space="preserve">were treated for up to 24 weeks, a 7% rate of serious infections was observed which was </w:t>
      </w:r>
      <w:r w:rsidRPr="00123798">
        <w:rPr>
          <w:spacing w:val="1"/>
        </w:rPr>
        <w:t xml:space="preserve">higher than when either agent was used alone (see also </w:t>
      </w:r>
      <w:r w:rsidRPr="00A86541">
        <w:rPr>
          <w:b/>
          <w:spacing w:val="1"/>
        </w:rPr>
        <w:t>PRECAUTIONS</w:t>
      </w:r>
      <w:r w:rsidRPr="00123798">
        <w:rPr>
          <w:spacing w:val="1"/>
        </w:rPr>
        <w:t xml:space="preserve">). Two percent of patients (3/139) treated concurrently with </w:t>
      </w:r>
      <w:r w:rsidR="004C1A83">
        <w:rPr>
          <w:rFonts w:ascii="Helvetica" w:hAnsi="Helvetica" w:cs="Helvetica"/>
          <w:color w:val="000000"/>
          <w:lang w:eastAsia="en-AU"/>
        </w:rPr>
        <w:t>KINERET</w:t>
      </w:r>
      <w:r w:rsidR="00560DB3">
        <w:rPr>
          <w:rFonts w:ascii="Helvetica" w:hAnsi="Helvetica" w:cs="Helvetica"/>
          <w:color w:val="000000"/>
          <w:lang w:eastAsia="en-AU"/>
        </w:rPr>
        <w:t xml:space="preserve"> </w:t>
      </w:r>
      <w:r w:rsidRPr="00123798">
        <w:rPr>
          <w:spacing w:val="1"/>
        </w:rPr>
        <w:t xml:space="preserve">and </w:t>
      </w:r>
      <w:proofErr w:type="spellStart"/>
      <w:r w:rsidRPr="00123798">
        <w:rPr>
          <w:spacing w:val="1"/>
        </w:rPr>
        <w:t>etanercept</w:t>
      </w:r>
      <w:proofErr w:type="spellEnd"/>
      <w:r w:rsidRPr="00123798">
        <w:rPr>
          <w:spacing w:val="1"/>
        </w:rPr>
        <w:t xml:space="preserve"> developed </w:t>
      </w:r>
      <w:proofErr w:type="spellStart"/>
      <w:r w:rsidRPr="00123798">
        <w:rPr>
          <w:spacing w:val="-2"/>
        </w:rPr>
        <w:t>neutropoenia</w:t>
      </w:r>
      <w:proofErr w:type="spellEnd"/>
      <w:r w:rsidRPr="00123798">
        <w:rPr>
          <w:spacing w:val="-2"/>
        </w:rPr>
        <w:t xml:space="preserve"> (ANC &lt; 1 x 10</w:t>
      </w:r>
      <w:r w:rsidRPr="00123798">
        <w:rPr>
          <w:spacing w:val="-2"/>
          <w:w w:val="105"/>
          <w:vertAlign w:val="superscript"/>
        </w:rPr>
        <w:t>9</w:t>
      </w:r>
      <w:r w:rsidRPr="00123798">
        <w:rPr>
          <w:spacing w:val="-2"/>
        </w:rPr>
        <w:t>/L).</w:t>
      </w:r>
    </w:p>
    <w:p w:rsidR="00340AED" w:rsidRPr="00B4477F" w:rsidRDefault="00340AED" w:rsidP="00B4477F">
      <w:pPr>
        <w:pStyle w:val="PIheading2"/>
      </w:pPr>
      <w:r w:rsidRPr="00B4477F">
        <w:t>Cytochrome P450 Substrates</w:t>
      </w:r>
    </w:p>
    <w:p w:rsidR="008405D6" w:rsidRPr="00123798" w:rsidRDefault="008405D6" w:rsidP="00DB45CE">
      <w:pPr>
        <w:pStyle w:val="TextPI"/>
      </w:pPr>
      <w:r w:rsidRPr="00787127">
        <w:t xml:space="preserve">The formation of CYP450 enzymes is suppressed by increased levels of cytokines (e.g., </w:t>
      </w:r>
      <w:r w:rsidRPr="00787127">
        <w:br/>
        <w:t>IL-1) during chronic inflammation. Thus, it may be expected</w:t>
      </w:r>
      <w:r w:rsidRPr="00123798">
        <w:t xml:space="preserve"> that for an IL-1 receptor antagonist, such as </w:t>
      </w:r>
      <w:proofErr w:type="spellStart"/>
      <w:r w:rsidRPr="00123798">
        <w:t>anakinra</w:t>
      </w:r>
      <w:proofErr w:type="spellEnd"/>
      <w:r w:rsidRPr="00123798">
        <w:t xml:space="preserve">, the formation of CYP450 enzymes could be normalized during treatment. This would be clinically relevant for CYP450 substrates with a narrow therapeutic index (e.g. warfarin). Upon start or end of </w:t>
      </w:r>
      <w:r w:rsidR="004C1A83">
        <w:t>KINERET</w:t>
      </w:r>
      <w:r w:rsidRPr="00123798">
        <w:t xml:space="preserve"> treatment in patients on these types of medicinal products, it may be relevant to consider therapeutic monitoring of the effect or drug concentration of these products and the individual dose of the medicinal product may need to be adjusted.</w:t>
      </w:r>
    </w:p>
    <w:p w:rsidR="00014579" w:rsidRPr="00787127" w:rsidRDefault="00014579" w:rsidP="00525B8F">
      <w:pPr>
        <w:pStyle w:val="PIHeading1"/>
        <w:ind w:left="0" w:firstLine="0"/>
      </w:pPr>
      <w:r w:rsidRPr="00787127">
        <w:t xml:space="preserve">ADVERSE </w:t>
      </w:r>
      <w:r w:rsidR="00B83981" w:rsidRPr="00787127">
        <w:t>EFFECTs</w:t>
      </w:r>
    </w:p>
    <w:p w:rsidR="00A16C63" w:rsidRPr="00787127" w:rsidRDefault="00A16C63" w:rsidP="00E61FC0">
      <w:pPr>
        <w:pStyle w:val="TextPI"/>
      </w:pPr>
      <w:bookmarkStart w:id="0" w:name="_Toc425574037"/>
      <w:r w:rsidRPr="00787127">
        <w:t>In placebo-controlled RA studies, comprising 3330 patients (</w:t>
      </w:r>
      <w:r w:rsidR="004C1A83" w:rsidRPr="00787127">
        <w:t>KINERET</w:t>
      </w:r>
      <w:r w:rsidRPr="00787127">
        <w:t xml:space="preserve">: 2372, Placebo: 958), the subject incidence of serious adverse reactions at the recommended dose of </w:t>
      </w:r>
      <w:proofErr w:type="gramStart"/>
      <w:r w:rsidR="004C1A83" w:rsidRPr="00787127">
        <w:t>KINERET</w:t>
      </w:r>
      <w:proofErr w:type="gramEnd"/>
      <w:r w:rsidR="00340AED" w:rsidRPr="00787127">
        <w:br/>
      </w:r>
      <w:r w:rsidRPr="00787127">
        <w:t>(100 mg/day) was comparable with placebo (7.1% compared with 6.5% in the placebo group).</w:t>
      </w:r>
    </w:p>
    <w:p w:rsidR="00A16C63" w:rsidRPr="00787127" w:rsidRDefault="00A16C63" w:rsidP="00E61FC0">
      <w:pPr>
        <w:pStyle w:val="TextPI"/>
      </w:pPr>
      <w:r w:rsidRPr="00787127">
        <w:t xml:space="preserve">Adverse events data in CAPS patients are based on an open-label study of 43 patients with NOMID/CINCA treated with </w:t>
      </w:r>
      <w:r w:rsidR="004C1A83" w:rsidRPr="00787127">
        <w:t>KINERET</w:t>
      </w:r>
      <w:r w:rsidRPr="00787127">
        <w:t xml:space="preserve"> for up to 5 years, with a total </w:t>
      </w:r>
      <w:r w:rsidR="004C1A83" w:rsidRPr="00787127">
        <w:t>KINERET</w:t>
      </w:r>
      <w:r w:rsidRPr="00787127">
        <w:t xml:space="preserve"> exposure of 159.8 patient years. During the 5-year study 14 patients (32.6%) reported 24 serious events. Eleven serious events in 4 (9.3%) patients were considered related to </w:t>
      </w:r>
      <w:r w:rsidR="004C1A83" w:rsidRPr="00787127">
        <w:t>KINERET</w:t>
      </w:r>
      <w:r w:rsidRPr="00787127">
        <w:t xml:space="preserve">. No patient withdrew from </w:t>
      </w:r>
      <w:r w:rsidR="004C1A83" w:rsidRPr="00787127">
        <w:t>KINERET</w:t>
      </w:r>
      <w:r w:rsidRPr="00787127">
        <w:t xml:space="preserve"> treatment due to adverse events.</w:t>
      </w:r>
    </w:p>
    <w:p w:rsidR="001A4F1B" w:rsidRPr="001A4F1B" w:rsidRDefault="001A4F1B" w:rsidP="007979C6">
      <w:pPr>
        <w:keepNext/>
        <w:tabs>
          <w:tab w:val="left" w:pos="485"/>
        </w:tabs>
        <w:spacing w:before="40" w:afterLines="40" w:after="96"/>
        <w:jc w:val="both"/>
        <w:rPr>
          <w:rFonts w:ascii="Arial" w:hAnsi="Arial"/>
          <w:sz w:val="22"/>
          <w:szCs w:val="22"/>
        </w:rPr>
      </w:pPr>
      <w:r w:rsidRPr="00E74053">
        <w:rPr>
          <w:rFonts w:ascii="Arial" w:hAnsi="Arial"/>
          <w:sz w:val="22"/>
          <w:szCs w:val="22"/>
        </w:rPr>
        <w:t>Adverse events data in SJIA patients is based on a partially open-label and partially blinded, placebo-controlled study of 15 SJIA patients, treated for up to 1.5 years. In addition, post marketing adverse event reports and published studies constitute supporting data.</w:t>
      </w:r>
    </w:p>
    <w:p w:rsidR="00A16C63" w:rsidRPr="002B77BD" w:rsidRDefault="00A16C63" w:rsidP="002B77BD">
      <w:pPr>
        <w:pStyle w:val="TextPI"/>
      </w:pPr>
      <w:r w:rsidRPr="00787127">
        <w:t xml:space="preserve">There are no indications </w:t>
      </w:r>
      <w:r w:rsidR="00901639">
        <w:t>from clinical studies,</w:t>
      </w:r>
      <w:r w:rsidRPr="00787127">
        <w:t xml:space="preserve"> or from post marketing adverse event reports</w:t>
      </w:r>
      <w:r w:rsidR="00901639">
        <w:t xml:space="preserve"> and published studies</w:t>
      </w:r>
      <w:r w:rsidRPr="00787127">
        <w:t>, that the overall safety profile in CAPS</w:t>
      </w:r>
      <w:r w:rsidR="003C2C91" w:rsidRPr="00787127">
        <w:t xml:space="preserve"> </w:t>
      </w:r>
      <w:r w:rsidR="002B77BD" w:rsidRPr="00787127">
        <w:t xml:space="preserve">or SJIA </w:t>
      </w:r>
      <w:r w:rsidRPr="00787127">
        <w:t>patients is different from that in RA patients</w:t>
      </w:r>
      <w:r w:rsidR="003C2C91" w:rsidRPr="00787127">
        <w:t xml:space="preserve"> </w:t>
      </w:r>
      <w:r w:rsidR="002B77BD" w:rsidRPr="00787127">
        <w:t>with the exception of MAS in SJIA patients</w:t>
      </w:r>
      <w:r w:rsidRPr="00787127">
        <w:t xml:space="preserve">. The adverse reactions table below therefore applies to </w:t>
      </w:r>
      <w:r w:rsidR="004C1A83" w:rsidRPr="00787127">
        <w:t>KINERET</w:t>
      </w:r>
      <w:r w:rsidRPr="00787127">
        <w:t xml:space="preserve"> treatment in RA</w:t>
      </w:r>
      <w:r w:rsidR="002B77BD" w:rsidRPr="00787127">
        <w:t>,</w:t>
      </w:r>
      <w:r w:rsidR="003C2C91" w:rsidRPr="00787127">
        <w:t xml:space="preserve"> </w:t>
      </w:r>
      <w:r w:rsidR="002B77BD" w:rsidRPr="00787127">
        <w:t xml:space="preserve">CAPS </w:t>
      </w:r>
      <w:r w:rsidRPr="00787127">
        <w:t xml:space="preserve">and </w:t>
      </w:r>
      <w:r w:rsidR="002B77BD" w:rsidRPr="00787127">
        <w:t>SJIA</w:t>
      </w:r>
      <w:r w:rsidR="003C2C91" w:rsidRPr="00787127">
        <w:t xml:space="preserve"> </w:t>
      </w:r>
      <w:r w:rsidRPr="00787127">
        <w:t>patients.</w:t>
      </w:r>
      <w:r w:rsidR="003C2C91" w:rsidRPr="00787127">
        <w:t xml:space="preserve"> </w:t>
      </w:r>
      <w:r w:rsidR="002B77BD" w:rsidRPr="00787127">
        <w:t>Additional information on MAS is provided below.</w:t>
      </w:r>
    </w:p>
    <w:p w:rsidR="00A16C63" w:rsidRPr="002C2CC3" w:rsidRDefault="00A16C63" w:rsidP="002B77BD">
      <w:pPr>
        <w:pStyle w:val="TextPI"/>
      </w:pPr>
      <w:r w:rsidRPr="002C2CC3">
        <w:t xml:space="preserve">Adverse reactions are listed according to </w:t>
      </w:r>
      <w:proofErr w:type="spellStart"/>
      <w:r w:rsidRPr="002C2CC3">
        <w:t>MedDRA</w:t>
      </w:r>
      <w:proofErr w:type="spellEnd"/>
      <w:r w:rsidRPr="002C2CC3">
        <w:t xml:space="preserve"> system organ class and frequency </w:t>
      </w:r>
      <w:r w:rsidR="00CA2B09" w:rsidRPr="002C2CC3">
        <w:t xml:space="preserve">category. Frequency categories are defined using the following convention: very common </w:t>
      </w:r>
      <w:r w:rsidR="00CA2B09" w:rsidRPr="002C2CC3">
        <w:br/>
      </w:r>
      <w:r w:rsidR="00CA2B09" w:rsidRPr="002C2CC3">
        <w:lastRenderedPageBreak/>
        <w:t>(≥ 1/10); common (≥ 1/100 to &lt; 1/10); uncommon (≥ 1/1,000 to &lt; 1/100); rare (≥ 1/10,000 to &lt; 1/1,000); very rare (&lt; 1/10,000); not known (cannot be estimated from the available data).</w:t>
      </w:r>
      <w:r w:rsidR="00B4477F">
        <w:t xml:space="preserve"> </w:t>
      </w:r>
      <w:r w:rsidR="00CA2B09" w:rsidRPr="002C2CC3">
        <w:t>Within each frequency grouping, adverse reactions are presented in order of decreasing seriousness.</w:t>
      </w:r>
    </w:p>
    <w:p w:rsidR="003C2C91" w:rsidRPr="00787127" w:rsidRDefault="003C2C91" w:rsidP="003C2C91">
      <w:pPr>
        <w:pStyle w:val="TextPItable"/>
        <w:keepNext/>
        <w:keepLines/>
        <w:spacing w:before="120" w:after="120"/>
        <w:ind w:left="1418" w:hanging="1418"/>
        <w:rPr>
          <w:b/>
          <w:bCs/>
          <w:szCs w:val="6"/>
        </w:rPr>
      </w:pPr>
      <w:proofErr w:type="gramStart"/>
      <w:r w:rsidRPr="00787127">
        <w:rPr>
          <w:b/>
          <w:bCs/>
        </w:rPr>
        <w:t>Table 2.</w:t>
      </w:r>
      <w:proofErr w:type="gramEnd"/>
      <w:r w:rsidRPr="00787127">
        <w:rPr>
          <w:b/>
          <w:bCs/>
        </w:rPr>
        <w:tab/>
        <w:t>Adverse Reactions identified from RA and CAPS clinical trials by Body System and Preferred Term</w:t>
      </w:r>
    </w:p>
    <w:tbl>
      <w:tblPr>
        <w:tblW w:w="9214"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7"/>
        <w:gridCol w:w="3405"/>
        <w:gridCol w:w="3002"/>
      </w:tblGrid>
      <w:tr w:rsidR="003C2C91" w:rsidRPr="00787127" w:rsidTr="0032294B">
        <w:trPr>
          <w:trHeight w:val="240"/>
        </w:trPr>
        <w:tc>
          <w:tcPr>
            <w:tcW w:w="2807" w:type="dxa"/>
            <w:tcBorders>
              <w:top w:val="single" w:sz="4" w:space="0" w:color="auto"/>
              <w:bottom w:val="single" w:sz="4" w:space="0" w:color="auto"/>
              <w:right w:val="single" w:sz="4" w:space="0" w:color="auto"/>
            </w:tcBorders>
          </w:tcPr>
          <w:p w:rsidR="003C2C91" w:rsidRPr="00787127" w:rsidRDefault="003C2C91" w:rsidP="0032294B">
            <w:pPr>
              <w:pStyle w:val="lbltxt"/>
              <w:keepNext/>
              <w:spacing w:before="20" w:after="20"/>
              <w:jc w:val="center"/>
              <w:rPr>
                <w:rFonts w:ascii="Arial" w:hAnsi="Arial"/>
                <w:b/>
                <w:noProof w:val="0"/>
                <w:sz w:val="20"/>
                <w:lang w:val="en-US"/>
              </w:rPr>
            </w:pPr>
            <w:proofErr w:type="spellStart"/>
            <w:r w:rsidRPr="00787127">
              <w:rPr>
                <w:rFonts w:ascii="Arial" w:hAnsi="Arial"/>
                <w:b/>
                <w:noProof w:val="0"/>
                <w:sz w:val="20"/>
                <w:lang w:val="en-US"/>
              </w:rPr>
              <w:t>MedDRA</w:t>
            </w:r>
            <w:proofErr w:type="spellEnd"/>
            <w:r w:rsidRPr="00787127">
              <w:rPr>
                <w:rFonts w:ascii="Arial" w:hAnsi="Arial"/>
                <w:b/>
                <w:noProof w:val="0"/>
                <w:sz w:val="20"/>
                <w:lang w:val="en-US"/>
              </w:rPr>
              <w:t xml:space="preserve"> Organ System</w:t>
            </w:r>
          </w:p>
        </w:tc>
        <w:tc>
          <w:tcPr>
            <w:tcW w:w="3405" w:type="dxa"/>
            <w:tcBorders>
              <w:top w:val="single" w:sz="4" w:space="0" w:color="auto"/>
              <w:left w:val="single" w:sz="4" w:space="0" w:color="auto"/>
              <w:bottom w:val="single" w:sz="4" w:space="0" w:color="auto"/>
              <w:right w:val="single" w:sz="4" w:space="0" w:color="auto"/>
            </w:tcBorders>
          </w:tcPr>
          <w:p w:rsidR="003C2C91" w:rsidRPr="00787127" w:rsidRDefault="003C2C91" w:rsidP="0032294B">
            <w:pPr>
              <w:pStyle w:val="lbltxt"/>
              <w:spacing w:before="20" w:after="20"/>
              <w:jc w:val="center"/>
              <w:rPr>
                <w:rFonts w:ascii="Arial" w:hAnsi="Arial"/>
                <w:b/>
                <w:noProof w:val="0"/>
                <w:sz w:val="20"/>
                <w:lang w:val="en-US"/>
              </w:rPr>
            </w:pPr>
            <w:r w:rsidRPr="00787127">
              <w:rPr>
                <w:rFonts w:ascii="Arial" w:hAnsi="Arial"/>
                <w:b/>
                <w:noProof w:val="0"/>
                <w:sz w:val="20"/>
                <w:lang w:val="en-US"/>
              </w:rPr>
              <w:t>Frequency</w:t>
            </w:r>
          </w:p>
        </w:tc>
        <w:tc>
          <w:tcPr>
            <w:tcW w:w="3002" w:type="dxa"/>
            <w:tcBorders>
              <w:top w:val="single" w:sz="4" w:space="0" w:color="auto"/>
              <w:left w:val="single" w:sz="4" w:space="0" w:color="auto"/>
              <w:bottom w:val="single" w:sz="4" w:space="0" w:color="auto"/>
            </w:tcBorders>
          </w:tcPr>
          <w:p w:rsidR="003C2C91" w:rsidRPr="00787127" w:rsidRDefault="003C2C91" w:rsidP="0032294B">
            <w:pPr>
              <w:pStyle w:val="lbltxt"/>
              <w:spacing w:before="20" w:after="20"/>
              <w:jc w:val="center"/>
              <w:rPr>
                <w:rFonts w:ascii="Arial" w:hAnsi="Arial"/>
                <w:b/>
                <w:noProof w:val="0"/>
                <w:sz w:val="20"/>
                <w:lang w:val="en-US"/>
              </w:rPr>
            </w:pPr>
            <w:r w:rsidRPr="00787127">
              <w:rPr>
                <w:rFonts w:ascii="Arial" w:hAnsi="Arial"/>
                <w:b/>
                <w:noProof w:val="0"/>
                <w:sz w:val="20"/>
                <w:lang w:val="en-US"/>
              </w:rPr>
              <w:t>Undesirable Effect</w:t>
            </w:r>
          </w:p>
        </w:tc>
      </w:tr>
      <w:tr w:rsidR="003C2C91" w:rsidRPr="00787127" w:rsidTr="0032294B">
        <w:trPr>
          <w:trHeight w:val="524"/>
        </w:trPr>
        <w:tc>
          <w:tcPr>
            <w:tcW w:w="2807" w:type="dxa"/>
            <w:tcBorders>
              <w:top w:val="single" w:sz="4" w:space="0" w:color="auto"/>
              <w:bottom w:val="single" w:sz="4" w:space="0" w:color="auto"/>
              <w:right w:val="single" w:sz="4" w:space="0" w:color="auto"/>
            </w:tcBorders>
          </w:tcPr>
          <w:p w:rsidR="003C2C91" w:rsidRPr="00787127" w:rsidRDefault="003C2C91" w:rsidP="0032294B">
            <w:pPr>
              <w:pStyle w:val="lbltxt"/>
              <w:keepNext/>
              <w:spacing w:before="20" w:after="20"/>
              <w:rPr>
                <w:rFonts w:ascii="Arial" w:hAnsi="Arial"/>
                <w:noProof w:val="0"/>
                <w:sz w:val="20"/>
                <w:lang w:val="en-US"/>
              </w:rPr>
            </w:pPr>
            <w:r w:rsidRPr="00787127">
              <w:rPr>
                <w:rFonts w:ascii="Arial" w:hAnsi="Arial"/>
                <w:noProof w:val="0"/>
                <w:sz w:val="20"/>
                <w:lang w:val="en-US"/>
              </w:rPr>
              <w:t>Infections and infestations</w:t>
            </w:r>
          </w:p>
        </w:tc>
        <w:tc>
          <w:tcPr>
            <w:tcW w:w="3405" w:type="dxa"/>
            <w:tcBorders>
              <w:top w:val="single" w:sz="4" w:space="0" w:color="auto"/>
              <w:left w:val="single" w:sz="4" w:space="0" w:color="auto"/>
              <w:bottom w:val="single" w:sz="4" w:space="0" w:color="auto"/>
              <w:right w:val="single" w:sz="4" w:space="0" w:color="auto"/>
            </w:tcBorders>
          </w:tcPr>
          <w:p w:rsidR="003C2C91" w:rsidRPr="00787127" w:rsidRDefault="003C2C91" w:rsidP="0032294B">
            <w:pPr>
              <w:pStyle w:val="lbltxt"/>
              <w:spacing w:before="20" w:after="20"/>
              <w:rPr>
                <w:rFonts w:ascii="Arial" w:hAnsi="Arial"/>
                <w:noProof w:val="0"/>
                <w:sz w:val="20"/>
                <w:lang w:val="en-US"/>
              </w:rPr>
            </w:pPr>
            <w:r w:rsidRPr="00787127">
              <w:rPr>
                <w:rFonts w:ascii="Arial" w:hAnsi="Arial"/>
                <w:noProof w:val="0"/>
                <w:sz w:val="20"/>
                <w:lang w:val="en-US"/>
              </w:rPr>
              <w:t>Common (</w:t>
            </w:r>
            <w:r w:rsidRPr="00787127">
              <w:rPr>
                <w:rFonts w:ascii="Arial" w:hAnsi="Arial"/>
                <w:noProof w:val="0"/>
                <w:sz w:val="20"/>
                <w:lang w:val="en-US"/>
              </w:rPr>
              <w:sym w:font="Symbol" w:char="F0B3"/>
            </w:r>
            <w:r w:rsidRPr="00787127">
              <w:rPr>
                <w:rFonts w:ascii="Arial" w:hAnsi="Arial"/>
                <w:noProof w:val="0"/>
                <w:sz w:val="20"/>
                <w:lang w:val="en-US"/>
              </w:rPr>
              <w:t> 1/100 to &lt; 1/10)</w:t>
            </w:r>
          </w:p>
        </w:tc>
        <w:tc>
          <w:tcPr>
            <w:tcW w:w="3002" w:type="dxa"/>
            <w:tcBorders>
              <w:top w:val="single" w:sz="4" w:space="0" w:color="auto"/>
              <w:left w:val="single" w:sz="4" w:space="0" w:color="auto"/>
              <w:bottom w:val="single" w:sz="4" w:space="0" w:color="auto"/>
            </w:tcBorders>
          </w:tcPr>
          <w:p w:rsidR="003C2C91" w:rsidRPr="00787127" w:rsidRDefault="003C2C91" w:rsidP="0032294B">
            <w:pPr>
              <w:pStyle w:val="lbltxt"/>
              <w:spacing w:before="20" w:after="20"/>
              <w:rPr>
                <w:rFonts w:ascii="Arial" w:hAnsi="Arial"/>
                <w:noProof w:val="0"/>
                <w:sz w:val="20"/>
                <w:lang w:val="en-US"/>
              </w:rPr>
            </w:pPr>
            <w:r w:rsidRPr="00787127">
              <w:rPr>
                <w:rFonts w:ascii="Arial" w:hAnsi="Arial"/>
                <w:noProof w:val="0"/>
                <w:sz w:val="20"/>
                <w:lang w:val="en-US"/>
              </w:rPr>
              <w:t>Serious infections</w:t>
            </w:r>
          </w:p>
        </w:tc>
      </w:tr>
      <w:tr w:rsidR="003C2C91" w:rsidRPr="00787127" w:rsidTr="0032294B">
        <w:trPr>
          <w:trHeight w:val="509"/>
        </w:trPr>
        <w:tc>
          <w:tcPr>
            <w:tcW w:w="2807" w:type="dxa"/>
            <w:tcBorders>
              <w:top w:val="single" w:sz="4" w:space="0" w:color="auto"/>
              <w:bottom w:val="single" w:sz="4" w:space="0" w:color="auto"/>
              <w:right w:val="single" w:sz="4" w:space="0" w:color="auto"/>
            </w:tcBorders>
          </w:tcPr>
          <w:p w:rsidR="003C2C91" w:rsidRPr="00787127" w:rsidRDefault="003C2C91" w:rsidP="0032294B">
            <w:pPr>
              <w:pStyle w:val="lbltxt"/>
              <w:keepNext/>
              <w:spacing w:before="20" w:after="20"/>
              <w:rPr>
                <w:rFonts w:ascii="Arial" w:hAnsi="Arial"/>
                <w:noProof w:val="0"/>
                <w:sz w:val="20"/>
                <w:lang w:val="en-US"/>
              </w:rPr>
            </w:pPr>
            <w:r w:rsidRPr="00787127">
              <w:rPr>
                <w:rFonts w:ascii="Arial" w:hAnsi="Arial"/>
                <w:noProof w:val="0"/>
                <w:sz w:val="20"/>
                <w:lang w:val="en-US"/>
              </w:rPr>
              <w:t>Blood and lymphatic system disorders</w:t>
            </w:r>
          </w:p>
        </w:tc>
        <w:tc>
          <w:tcPr>
            <w:tcW w:w="3405" w:type="dxa"/>
            <w:tcBorders>
              <w:top w:val="single" w:sz="4" w:space="0" w:color="auto"/>
              <w:left w:val="single" w:sz="4" w:space="0" w:color="auto"/>
              <w:bottom w:val="single" w:sz="4" w:space="0" w:color="auto"/>
              <w:right w:val="single" w:sz="4" w:space="0" w:color="auto"/>
            </w:tcBorders>
          </w:tcPr>
          <w:p w:rsidR="003C2C91" w:rsidRPr="00787127" w:rsidRDefault="003C2C91" w:rsidP="0032294B">
            <w:pPr>
              <w:pStyle w:val="lbltxt"/>
              <w:spacing w:before="20" w:after="20"/>
              <w:rPr>
                <w:rFonts w:ascii="Arial" w:hAnsi="Arial"/>
                <w:noProof w:val="0"/>
                <w:sz w:val="20"/>
                <w:lang w:val="en-US"/>
              </w:rPr>
            </w:pPr>
            <w:r w:rsidRPr="00787127">
              <w:rPr>
                <w:rFonts w:ascii="Arial" w:hAnsi="Arial"/>
                <w:noProof w:val="0"/>
                <w:sz w:val="20"/>
                <w:lang w:val="en-US"/>
              </w:rPr>
              <w:t>Common (</w:t>
            </w:r>
            <w:r w:rsidRPr="00787127">
              <w:rPr>
                <w:rFonts w:ascii="Arial" w:hAnsi="Arial"/>
                <w:noProof w:val="0"/>
                <w:sz w:val="20"/>
                <w:lang w:val="en-US"/>
              </w:rPr>
              <w:sym w:font="Symbol" w:char="F0B3"/>
            </w:r>
            <w:r w:rsidRPr="00787127">
              <w:rPr>
                <w:rFonts w:ascii="Arial" w:hAnsi="Arial"/>
                <w:noProof w:val="0"/>
                <w:sz w:val="20"/>
                <w:lang w:val="en-US"/>
              </w:rPr>
              <w:t> 1/100 to &lt; 1/10)</w:t>
            </w:r>
          </w:p>
        </w:tc>
        <w:tc>
          <w:tcPr>
            <w:tcW w:w="3002" w:type="dxa"/>
            <w:tcBorders>
              <w:top w:val="single" w:sz="4" w:space="0" w:color="auto"/>
              <w:left w:val="single" w:sz="4" w:space="0" w:color="auto"/>
              <w:bottom w:val="single" w:sz="4" w:space="0" w:color="auto"/>
            </w:tcBorders>
          </w:tcPr>
          <w:p w:rsidR="003C2C91" w:rsidRPr="00787127" w:rsidRDefault="003C2C91" w:rsidP="0032294B">
            <w:pPr>
              <w:pStyle w:val="lbltxt"/>
              <w:spacing w:before="20" w:after="20"/>
              <w:rPr>
                <w:rFonts w:ascii="Arial" w:hAnsi="Arial"/>
                <w:noProof w:val="0"/>
                <w:sz w:val="20"/>
                <w:lang w:val="en-US"/>
              </w:rPr>
            </w:pPr>
            <w:r w:rsidRPr="00787127">
              <w:rPr>
                <w:rFonts w:ascii="Arial" w:hAnsi="Arial"/>
                <w:noProof w:val="0"/>
                <w:sz w:val="20"/>
                <w:lang w:val="en-US"/>
              </w:rPr>
              <w:t>Neutropenia</w:t>
            </w:r>
          </w:p>
        </w:tc>
      </w:tr>
      <w:tr w:rsidR="003C2C91" w:rsidRPr="00787127" w:rsidTr="0032294B">
        <w:trPr>
          <w:trHeight w:val="1048"/>
        </w:trPr>
        <w:tc>
          <w:tcPr>
            <w:tcW w:w="2807" w:type="dxa"/>
            <w:tcBorders>
              <w:top w:val="single" w:sz="4" w:space="0" w:color="auto"/>
              <w:bottom w:val="single" w:sz="4" w:space="0" w:color="auto"/>
              <w:right w:val="single" w:sz="4" w:space="0" w:color="auto"/>
            </w:tcBorders>
          </w:tcPr>
          <w:p w:rsidR="003C2C91" w:rsidRPr="00787127" w:rsidRDefault="003C2C91" w:rsidP="0032294B">
            <w:pPr>
              <w:pStyle w:val="lbltxt"/>
              <w:keepNext/>
              <w:spacing w:before="20" w:after="20"/>
              <w:rPr>
                <w:rFonts w:ascii="Arial" w:hAnsi="Arial"/>
                <w:noProof w:val="0"/>
                <w:sz w:val="20"/>
                <w:lang w:val="en-US"/>
              </w:rPr>
            </w:pPr>
            <w:r w:rsidRPr="00787127">
              <w:rPr>
                <w:rFonts w:ascii="Arial" w:hAnsi="Arial"/>
                <w:noProof w:val="0"/>
                <w:sz w:val="20"/>
                <w:lang w:val="en-US"/>
              </w:rPr>
              <w:t>Immune system disorders</w:t>
            </w:r>
          </w:p>
        </w:tc>
        <w:tc>
          <w:tcPr>
            <w:tcW w:w="3405" w:type="dxa"/>
            <w:tcBorders>
              <w:top w:val="single" w:sz="4" w:space="0" w:color="auto"/>
              <w:left w:val="single" w:sz="4" w:space="0" w:color="auto"/>
              <w:bottom w:val="single" w:sz="4" w:space="0" w:color="auto"/>
              <w:right w:val="single" w:sz="4" w:space="0" w:color="auto"/>
            </w:tcBorders>
          </w:tcPr>
          <w:p w:rsidR="003C2C91" w:rsidRPr="00787127" w:rsidRDefault="003C2C91" w:rsidP="0032294B">
            <w:pPr>
              <w:pStyle w:val="lbltxt"/>
              <w:spacing w:before="20" w:after="20"/>
              <w:rPr>
                <w:rFonts w:ascii="Arial" w:hAnsi="Arial"/>
                <w:noProof w:val="0"/>
                <w:sz w:val="20"/>
                <w:lang w:val="en-US"/>
              </w:rPr>
            </w:pPr>
            <w:r w:rsidRPr="00787127">
              <w:rPr>
                <w:rFonts w:ascii="Arial" w:hAnsi="Arial"/>
                <w:noProof w:val="0"/>
                <w:sz w:val="20"/>
                <w:lang w:val="en-US"/>
              </w:rPr>
              <w:t>Uncommon (</w:t>
            </w:r>
            <w:r w:rsidRPr="00787127">
              <w:rPr>
                <w:rFonts w:ascii="Arial" w:hAnsi="Arial"/>
                <w:noProof w:val="0"/>
                <w:sz w:val="20"/>
                <w:lang w:val="en-US"/>
              </w:rPr>
              <w:sym w:font="Symbol" w:char="F0B3"/>
            </w:r>
            <w:r w:rsidRPr="00787127">
              <w:rPr>
                <w:rFonts w:ascii="Arial" w:hAnsi="Arial"/>
                <w:noProof w:val="0"/>
                <w:sz w:val="20"/>
                <w:lang w:val="en-US"/>
              </w:rPr>
              <w:t> 1/1,000 to &lt; 1/100)</w:t>
            </w:r>
          </w:p>
        </w:tc>
        <w:tc>
          <w:tcPr>
            <w:tcW w:w="3002" w:type="dxa"/>
            <w:tcBorders>
              <w:top w:val="single" w:sz="4" w:space="0" w:color="auto"/>
              <w:left w:val="single" w:sz="4" w:space="0" w:color="auto"/>
              <w:bottom w:val="single" w:sz="4" w:space="0" w:color="auto"/>
            </w:tcBorders>
          </w:tcPr>
          <w:p w:rsidR="003C2C91" w:rsidRPr="00787127" w:rsidRDefault="003C2C91" w:rsidP="0032294B">
            <w:pPr>
              <w:pStyle w:val="lbltxt"/>
              <w:spacing w:before="20" w:after="20"/>
              <w:rPr>
                <w:rFonts w:ascii="Arial" w:hAnsi="Arial"/>
                <w:noProof w:val="0"/>
                <w:sz w:val="20"/>
                <w:lang w:val="en-US"/>
              </w:rPr>
            </w:pPr>
            <w:r w:rsidRPr="00787127">
              <w:rPr>
                <w:rFonts w:ascii="Arial" w:hAnsi="Arial"/>
                <w:noProof w:val="0"/>
                <w:sz w:val="20"/>
                <w:lang w:val="en-US"/>
              </w:rPr>
              <w:t xml:space="preserve">Allergic reactions including anaphylactic reactions, angioedema, </w:t>
            </w:r>
            <w:proofErr w:type="spellStart"/>
            <w:r w:rsidRPr="00787127">
              <w:rPr>
                <w:rFonts w:ascii="Arial" w:hAnsi="Arial"/>
                <w:noProof w:val="0"/>
                <w:sz w:val="20"/>
                <w:lang w:val="en-US"/>
              </w:rPr>
              <w:t>urticaria</w:t>
            </w:r>
            <w:proofErr w:type="spellEnd"/>
            <w:r w:rsidRPr="00787127">
              <w:rPr>
                <w:rFonts w:ascii="Arial" w:hAnsi="Arial"/>
                <w:noProof w:val="0"/>
                <w:sz w:val="20"/>
                <w:lang w:val="en-US"/>
              </w:rPr>
              <w:t xml:space="preserve"> and pruritus</w:t>
            </w:r>
          </w:p>
        </w:tc>
      </w:tr>
      <w:tr w:rsidR="003C2C91" w:rsidRPr="00787127" w:rsidTr="0032294B">
        <w:trPr>
          <w:trHeight w:val="441"/>
        </w:trPr>
        <w:tc>
          <w:tcPr>
            <w:tcW w:w="2807" w:type="dxa"/>
            <w:tcBorders>
              <w:top w:val="single" w:sz="4" w:space="0" w:color="auto"/>
              <w:bottom w:val="single" w:sz="4" w:space="0" w:color="auto"/>
              <w:right w:val="single" w:sz="4" w:space="0" w:color="auto"/>
            </w:tcBorders>
          </w:tcPr>
          <w:p w:rsidR="003C2C91" w:rsidRPr="00787127" w:rsidRDefault="003C2C91" w:rsidP="0032294B">
            <w:pPr>
              <w:pStyle w:val="lbltxt"/>
              <w:keepNext/>
              <w:spacing w:before="20" w:after="20"/>
              <w:rPr>
                <w:rFonts w:ascii="Arial" w:hAnsi="Arial"/>
                <w:noProof w:val="0"/>
                <w:sz w:val="20"/>
                <w:lang w:val="en-US"/>
              </w:rPr>
            </w:pPr>
            <w:r w:rsidRPr="00787127">
              <w:rPr>
                <w:rFonts w:ascii="Arial" w:hAnsi="Arial"/>
                <w:noProof w:val="0"/>
                <w:sz w:val="20"/>
                <w:lang w:val="en-US"/>
              </w:rPr>
              <w:t>Nervous system disorders</w:t>
            </w:r>
          </w:p>
        </w:tc>
        <w:tc>
          <w:tcPr>
            <w:tcW w:w="3405" w:type="dxa"/>
            <w:tcBorders>
              <w:top w:val="single" w:sz="4" w:space="0" w:color="auto"/>
              <w:left w:val="single" w:sz="4" w:space="0" w:color="auto"/>
              <w:bottom w:val="single" w:sz="4" w:space="0" w:color="auto"/>
              <w:right w:val="single" w:sz="4" w:space="0" w:color="auto"/>
            </w:tcBorders>
          </w:tcPr>
          <w:p w:rsidR="003C2C91" w:rsidRPr="00787127" w:rsidRDefault="003C2C91" w:rsidP="0032294B">
            <w:pPr>
              <w:pStyle w:val="lbltxt"/>
              <w:spacing w:before="20" w:after="20"/>
              <w:rPr>
                <w:rFonts w:ascii="Arial" w:hAnsi="Arial"/>
                <w:noProof w:val="0"/>
                <w:sz w:val="20"/>
                <w:lang w:val="en-US"/>
              </w:rPr>
            </w:pPr>
            <w:r w:rsidRPr="00787127">
              <w:rPr>
                <w:rFonts w:ascii="Arial" w:hAnsi="Arial"/>
                <w:noProof w:val="0"/>
                <w:sz w:val="20"/>
                <w:lang w:val="en-US"/>
              </w:rPr>
              <w:t>Very common (</w:t>
            </w:r>
            <w:r w:rsidRPr="00787127">
              <w:rPr>
                <w:rFonts w:ascii="Arial" w:hAnsi="Arial"/>
                <w:noProof w:val="0"/>
                <w:sz w:val="20"/>
                <w:lang w:val="en-US"/>
              </w:rPr>
              <w:sym w:font="Symbol" w:char="F0B3"/>
            </w:r>
            <w:r w:rsidRPr="00787127">
              <w:rPr>
                <w:rFonts w:ascii="Arial" w:hAnsi="Arial"/>
                <w:noProof w:val="0"/>
                <w:sz w:val="20"/>
                <w:lang w:val="en-US"/>
              </w:rPr>
              <w:t> 1/10)</w:t>
            </w:r>
          </w:p>
        </w:tc>
        <w:tc>
          <w:tcPr>
            <w:tcW w:w="3002" w:type="dxa"/>
            <w:tcBorders>
              <w:top w:val="single" w:sz="4" w:space="0" w:color="auto"/>
              <w:left w:val="single" w:sz="4" w:space="0" w:color="auto"/>
              <w:bottom w:val="single" w:sz="4" w:space="0" w:color="auto"/>
            </w:tcBorders>
          </w:tcPr>
          <w:p w:rsidR="003C2C91" w:rsidRPr="00787127" w:rsidRDefault="003C2C91" w:rsidP="0032294B">
            <w:pPr>
              <w:pStyle w:val="lbltxt"/>
              <w:spacing w:before="20" w:after="20"/>
              <w:rPr>
                <w:rFonts w:ascii="Arial" w:hAnsi="Arial"/>
                <w:noProof w:val="0"/>
                <w:sz w:val="20"/>
                <w:lang w:val="en-US"/>
              </w:rPr>
            </w:pPr>
            <w:r w:rsidRPr="00787127">
              <w:rPr>
                <w:rFonts w:ascii="Arial" w:hAnsi="Arial"/>
                <w:noProof w:val="0"/>
                <w:sz w:val="20"/>
                <w:lang w:val="en-US"/>
              </w:rPr>
              <w:t xml:space="preserve">Headache </w:t>
            </w:r>
          </w:p>
        </w:tc>
      </w:tr>
      <w:tr w:rsidR="003C2C91" w:rsidRPr="00787127" w:rsidTr="0032294B">
        <w:trPr>
          <w:trHeight w:val="255"/>
        </w:trPr>
        <w:tc>
          <w:tcPr>
            <w:tcW w:w="2807" w:type="dxa"/>
            <w:vMerge w:val="restart"/>
            <w:tcBorders>
              <w:top w:val="single" w:sz="4" w:space="0" w:color="auto"/>
              <w:left w:val="single" w:sz="4" w:space="0" w:color="auto"/>
              <w:right w:val="single" w:sz="4" w:space="0" w:color="auto"/>
            </w:tcBorders>
          </w:tcPr>
          <w:p w:rsidR="003C2C91" w:rsidRPr="00787127" w:rsidRDefault="003C2C91" w:rsidP="0032294B">
            <w:pPr>
              <w:pStyle w:val="lbltxt"/>
              <w:keepNext/>
              <w:spacing w:before="20" w:after="20"/>
              <w:rPr>
                <w:rFonts w:ascii="Arial" w:hAnsi="Arial"/>
                <w:noProof w:val="0"/>
                <w:sz w:val="20"/>
                <w:lang w:val="en-US"/>
              </w:rPr>
            </w:pPr>
            <w:r w:rsidRPr="00787127">
              <w:rPr>
                <w:rFonts w:ascii="Arial" w:hAnsi="Arial"/>
                <w:noProof w:val="0"/>
                <w:sz w:val="20"/>
                <w:lang w:val="en-US"/>
              </w:rPr>
              <w:t>Hepatobiliary system</w:t>
            </w:r>
          </w:p>
        </w:tc>
        <w:tc>
          <w:tcPr>
            <w:tcW w:w="3405" w:type="dxa"/>
            <w:tcBorders>
              <w:top w:val="single" w:sz="4" w:space="0" w:color="auto"/>
              <w:left w:val="single" w:sz="4" w:space="0" w:color="auto"/>
              <w:bottom w:val="single" w:sz="4" w:space="0" w:color="auto"/>
              <w:right w:val="single" w:sz="4" w:space="0" w:color="auto"/>
            </w:tcBorders>
          </w:tcPr>
          <w:p w:rsidR="003C2C91" w:rsidRPr="00787127" w:rsidRDefault="003C2C91" w:rsidP="0032294B">
            <w:pPr>
              <w:pStyle w:val="lbltxt"/>
              <w:spacing w:before="20" w:after="20"/>
              <w:rPr>
                <w:rFonts w:ascii="Arial" w:hAnsi="Arial"/>
                <w:noProof w:val="0"/>
                <w:sz w:val="20"/>
                <w:lang w:val="en-US"/>
              </w:rPr>
            </w:pPr>
            <w:r w:rsidRPr="00787127">
              <w:rPr>
                <w:rFonts w:ascii="Arial" w:hAnsi="Arial"/>
                <w:noProof w:val="0"/>
                <w:sz w:val="20"/>
                <w:lang w:val="en-US"/>
              </w:rPr>
              <w:t>Uncommon (</w:t>
            </w:r>
            <w:r w:rsidRPr="00787127">
              <w:rPr>
                <w:rFonts w:ascii="Arial" w:hAnsi="Arial"/>
                <w:noProof w:val="0"/>
                <w:sz w:val="20"/>
                <w:lang w:val="en-US"/>
              </w:rPr>
              <w:sym w:font="Symbol" w:char="F0B3"/>
            </w:r>
            <w:r w:rsidRPr="00787127">
              <w:rPr>
                <w:rFonts w:ascii="Arial" w:hAnsi="Arial"/>
                <w:noProof w:val="0"/>
                <w:sz w:val="20"/>
                <w:lang w:val="en-US"/>
              </w:rPr>
              <w:t> 1/1,000 to &lt; 1/100)</w:t>
            </w:r>
          </w:p>
        </w:tc>
        <w:tc>
          <w:tcPr>
            <w:tcW w:w="3002" w:type="dxa"/>
            <w:tcBorders>
              <w:top w:val="single" w:sz="4" w:space="0" w:color="auto"/>
              <w:left w:val="single" w:sz="4" w:space="0" w:color="auto"/>
              <w:bottom w:val="single" w:sz="4" w:space="0" w:color="auto"/>
              <w:right w:val="single" w:sz="4" w:space="0" w:color="auto"/>
            </w:tcBorders>
          </w:tcPr>
          <w:p w:rsidR="003C2C91" w:rsidRPr="00787127" w:rsidRDefault="003C2C91" w:rsidP="0032294B">
            <w:pPr>
              <w:pStyle w:val="lbltxt"/>
              <w:spacing w:before="20" w:after="20"/>
              <w:rPr>
                <w:rFonts w:ascii="Arial" w:hAnsi="Arial"/>
                <w:noProof w:val="0"/>
                <w:sz w:val="20"/>
                <w:lang w:val="en-US"/>
              </w:rPr>
            </w:pPr>
            <w:r w:rsidRPr="00787127">
              <w:rPr>
                <w:rFonts w:ascii="Arial" w:hAnsi="Arial"/>
                <w:noProof w:val="0"/>
                <w:sz w:val="20"/>
                <w:lang w:val="en-US"/>
              </w:rPr>
              <w:t>Hepatic enzyme increased</w:t>
            </w:r>
          </w:p>
        </w:tc>
      </w:tr>
      <w:tr w:rsidR="003C2C91" w:rsidRPr="00787127" w:rsidTr="0032294B">
        <w:trPr>
          <w:trHeight w:val="255"/>
        </w:trPr>
        <w:tc>
          <w:tcPr>
            <w:tcW w:w="2807" w:type="dxa"/>
            <w:vMerge/>
            <w:tcBorders>
              <w:left w:val="single" w:sz="4" w:space="0" w:color="auto"/>
              <w:right w:val="single" w:sz="4" w:space="0" w:color="auto"/>
            </w:tcBorders>
          </w:tcPr>
          <w:p w:rsidR="003C2C91" w:rsidRPr="00787127" w:rsidRDefault="003C2C91" w:rsidP="0032294B">
            <w:pPr>
              <w:pStyle w:val="lbltxt"/>
              <w:spacing w:before="20" w:after="20"/>
              <w:rPr>
                <w:rFonts w:ascii="Arial" w:hAnsi="Arial"/>
                <w:noProof w:val="0"/>
                <w:sz w:val="20"/>
                <w:lang w:val="en-US"/>
              </w:rPr>
            </w:pPr>
          </w:p>
        </w:tc>
        <w:tc>
          <w:tcPr>
            <w:tcW w:w="3405" w:type="dxa"/>
            <w:tcBorders>
              <w:top w:val="single" w:sz="4" w:space="0" w:color="auto"/>
              <w:left w:val="single" w:sz="4" w:space="0" w:color="auto"/>
              <w:bottom w:val="single" w:sz="4" w:space="0" w:color="auto"/>
              <w:right w:val="single" w:sz="4" w:space="0" w:color="auto"/>
            </w:tcBorders>
          </w:tcPr>
          <w:p w:rsidR="003C2C91" w:rsidRPr="00787127" w:rsidRDefault="003C2C91" w:rsidP="0032294B">
            <w:pPr>
              <w:spacing w:before="20" w:after="20"/>
              <w:ind w:left="34" w:right="-62"/>
              <w:rPr>
                <w:rFonts w:ascii="Arial" w:hAnsi="Arial"/>
                <w:sz w:val="20"/>
              </w:rPr>
            </w:pPr>
            <w:r w:rsidRPr="00787127">
              <w:rPr>
                <w:rFonts w:ascii="Arial" w:hAnsi="Arial"/>
                <w:sz w:val="20"/>
              </w:rPr>
              <w:t>Not known</w:t>
            </w:r>
          </w:p>
          <w:p w:rsidR="003C2C91" w:rsidRPr="00787127" w:rsidRDefault="003C2C91" w:rsidP="0032294B">
            <w:pPr>
              <w:pStyle w:val="lbltxt"/>
              <w:spacing w:before="20" w:after="20"/>
              <w:rPr>
                <w:rFonts w:ascii="Arial" w:hAnsi="Arial"/>
                <w:noProof w:val="0"/>
                <w:sz w:val="20"/>
                <w:lang w:val="en-US"/>
              </w:rPr>
            </w:pPr>
            <w:r w:rsidRPr="00787127">
              <w:rPr>
                <w:rFonts w:ascii="Arial" w:hAnsi="Arial"/>
                <w:noProof w:val="0"/>
                <w:sz w:val="20"/>
                <w:lang w:val="en-US"/>
              </w:rPr>
              <w:t>(cannot be estimated from the available data)</w:t>
            </w:r>
          </w:p>
        </w:tc>
        <w:tc>
          <w:tcPr>
            <w:tcW w:w="3002" w:type="dxa"/>
            <w:tcBorders>
              <w:top w:val="single" w:sz="4" w:space="0" w:color="auto"/>
              <w:left w:val="single" w:sz="4" w:space="0" w:color="auto"/>
              <w:bottom w:val="single" w:sz="4" w:space="0" w:color="auto"/>
              <w:right w:val="single" w:sz="4" w:space="0" w:color="auto"/>
            </w:tcBorders>
          </w:tcPr>
          <w:p w:rsidR="003C2C91" w:rsidRPr="00787127" w:rsidRDefault="003C2C91" w:rsidP="0032294B">
            <w:pPr>
              <w:pStyle w:val="lbltxt"/>
              <w:spacing w:before="20" w:after="20"/>
              <w:rPr>
                <w:rFonts w:ascii="Arial" w:hAnsi="Arial"/>
                <w:noProof w:val="0"/>
                <w:sz w:val="20"/>
                <w:lang w:val="en-US"/>
              </w:rPr>
            </w:pPr>
            <w:r w:rsidRPr="00787127">
              <w:rPr>
                <w:rFonts w:ascii="Arial" w:hAnsi="Arial"/>
                <w:noProof w:val="0"/>
                <w:sz w:val="20"/>
                <w:lang w:val="en-US"/>
              </w:rPr>
              <w:t>Non-infectious hepatitis</w:t>
            </w:r>
          </w:p>
        </w:tc>
      </w:tr>
      <w:tr w:rsidR="003C2C91" w:rsidRPr="00787127" w:rsidTr="0032294B">
        <w:trPr>
          <w:trHeight w:val="255"/>
        </w:trPr>
        <w:tc>
          <w:tcPr>
            <w:tcW w:w="2807" w:type="dxa"/>
            <w:vMerge w:val="restart"/>
            <w:tcBorders>
              <w:top w:val="single" w:sz="4" w:space="0" w:color="auto"/>
              <w:left w:val="single" w:sz="4" w:space="0" w:color="auto"/>
              <w:right w:val="single" w:sz="4" w:space="0" w:color="auto"/>
            </w:tcBorders>
          </w:tcPr>
          <w:p w:rsidR="003C2C91" w:rsidRPr="00787127" w:rsidRDefault="003C2C91" w:rsidP="0032294B">
            <w:pPr>
              <w:pStyle w:val="lbltxt"/>
              <w:spacing w:before="20" w:after="20"/>
              <w:rPr>
                <w:rFonts w:ascii="Arial" w:hAnsi="Arial"/>
                <w:noProof w:val="0"/>
                <w:sz w:val="20"/>
                <w:lang w:val="en-US"/>
              </w:rPr>
            </w:pPr>
            <w:r w:rsidRPr="00787127">
              <w:rPr>
                <w:rFonts w:ascii="Arial" w:hAnsi="Arial"/>
                <w:noProof w:val="0"/>
                <w:sz w:val="20"/>
                <w:lang w:val="en-US"/>
              </w:rPr>
              <w:t>Skin and subcutaneous tissue disorders</w:t>
            </w:r>
          </w:p>
        </w:tc>
        <w:tc>
          <w:tcPr>
            <w:tcW w:w="3405" w:type="dxa"/>
            <w:tcBorders>
              <w:top w:val="single" w:sz="4" w:space="0" w:color="auto"/>
              <w:left w:val="single" w:sz="4" w:space="0" w:color="auto"/>
              <w:bottom w:val="single" w:sz="4" w:space="0" w:color="auto"/>
              <w:right w:val="single" w:sz="4" w:space="0" w:color="auto"/>
            </w:tcBorders>
          </w:tcPr>
          <w:p w:rsidR="003C2C91" w:rsidRPr="00787127" w:rsidRDefault="003C2C91" w:rsidP="0032294B">
            <w:pPr>
              <w:pStyle w:val="lbltxt"/>
              <w:spacing w:before="20" w:after="20"/>
              <w:rPr>
                <w:rFonts w:ascii="Arial" w:hAnsi="Arial"/>
                <w:noProof w:val="0"/>
                <w:sz w:val="20"/>
                <w:lang w:val="en-US"/>
              </w:rPr>
            </w:pPr>
            <w:r w:rsidRPr="00787127">
              <w:rPr>
                <w:rFonts w:ascii="Arial" w:hAnsi="Arial"/>
                <w:noProof w:val="0"/>
                <w:sz w:val="20"/>
                <w:lang w:val="en-US"/>
              </w:rPr>
              <w:t>Very common (</w:t>
            </w:r>
            <w:r w:rsidRPr="00787127">
              <w:rPr>
                <w:rFonts w:ascii="Arial" w:hAnsi="Arial"/>
                <w:noProof w:val="0"/>
                <w:sz w:val="20"/>
                <w:lang w:val="en-US"/>
              </w:rPr>
              <w:sym w:font="Symbol" w:char="F0B3"/>
            </w:r>
            <w:r w:rsidRPr="00787127">
              <w:rPr>
                <w:rFonts w:ascii="Arial" w:hAnsi="Arial"/>
                <w:noProof w:val="0"/>
                <w:sz w:val="20"/>
                <w:lang w:val="en-US"/>
              </w:rPr>
              <w:t> 1/10)</w:t>
            </w:r>
          </w:p>
        </w:tc>
        <w:tc>
          <w:tcPr>
            <w:tcW w:w="3002" w:type="dxa"/>
            <w:tcBorders>
              <w:top w:val="single" w:sz="4" w:space="0" w:color="auto"/>
              <w:left w:val="single" w:sz="4" w:space="0" w:color="auto"/>
              <w:bottom w:val="single" w:sz="4" w:space="0" w:color="auto"/>
              <w:right w:val="single" w:sz="4" w:space="0" w:color="auto"/>
            </w:tcBorders>
          </w:tcPr>
          <w:p w:rsidR="003C2C91" w:rsidRPr="00787127" w:rsidRDefault="003C2C91" w:rsidP="0032294B">
            <w:pPr>
              <w:pStyle w:val="lbltxt"/>
              <w:spacing w:before="20" w:after="20"/>
              <w:rPr>
                <w:rFonts w:ascii="Arial" w:hAnsi="Arial"/>
                <w:noProof w:val="0"/>
                <w:sz w:val="20"/>
                <w:lang w:val="en-US"/>
              </w:rPr>
            </w:pPr>
            <w:r w:rsidRPr="00787127">
              <w:rPr>
                <w:rFonts w:ascii="Arial" w:hAnsi="Arial"/>
                <w:noProof w:val="0"/>
                <w:sz w:val="20"/>
                <w:lang w:val="en-US"/>
              </w:rPr>
              <w:t>Injection site reaction</w:t>
            </w:r>
          </w:p>
        </w:tc>
      </w:tr>
      <w:tr w:rsidR="003C2C91" w:rsidRPr="00003067" w:rsidTr="0032294B">
        <w:trPr>
          <w:trHeight w:val="144"/>
        </w:trPr>
        <w:tc>
          <w:tcPr>
            <w:tcW w:w="2807" w:type="dxa"/>
            <w:vMerge/>
            <w:tcBorders>
              <w:left w:val="single" w:sz="4" w:space="0" w:color="auto"/>
              <w:bottom w:val="single" w:sz="4" w:space="0" w:color="auto"/>
              <w:right w:val="single" w:sz="4" w:space="0" w:color="auto"/>
            </w:tcBorders>
          </w:tcPr>
          <w:p w:rsidR="003C2C91" w:rsidRPr="00787127" w:rsidRDefault="003C2C91" w:rsidP="0032294B">
            <w:pPr>
              <w:pStyle w:val="lbltxt"/>
              <w:spacing w:before="20" w:after="20"/>
              <w:rPr>
                <w:rFonts w:ascii="Arial" w:hAnsi="Arial"/>
                <w:noProof w:val="0"/>
                <w:sz w:val="20"/>
                <w:lang w:val="en-US"/>
              </w:rPr>
            </w:pPr>
          </w:p>
        </w:tc>
        <w:tc>
          <w:tcPr>
            <w:tcW w:w="3405" w:type="dxa"/>
            <w:tcBorders>
              <w:top w:val="single" w:sz="4" w:space="0" w:color="auto"/>
              <w:left w:val="single" w:sz="4" w:space="0" w:color="auto"/>
              <w:bottom w:val="single" w:sz="4" w:space="0" w:color="auto"/>
              <w:right w:val="single" w:sz="4" w:space="0" w:color="auto"/>
            </w:tcBorders>
          </w:tcPr>
          <w:p w:rsidR="003C2C91" w:rsidRPr="00787127" w:rsidRDefault="003C2C91" w:rsidP="0032294B">
            <w:pPr>
              <w:pStyle w:val="lbltxt"/>
              <w:spacing w:before="20" w:after="20"/>
              <w:rPr>
                <w:rFonts w:ascii="Arial" w:hAnsi="Arial"/>
                <w:noProof w:val="0"/>
                <w:sz w:val="20"/>
                <w:lang w:val="en-US"/>
              </w:rPr>
            </w:pPr>
            <w:r w:rsidRPr="00787127">
              <w:rPr>
                <w:rFonts w:ascii="Arial" w:hAnsi="Arial"/>
                <w:noProof w:val="0"/>
                <w:sz w:val="20"/>
                <w:lang w:val="en-US"/>
              </w:rPr>
              <w:t>Uncommon (</w:t>
            </w:r>
            <w:r w:rsidRPr="00787127">
              <w:rPr>
                <w:rFonts w:ascii="Arial" w:hAnsi="Arial"/>
                <w:noProof w:val="0"/>
                <w:sz w:val="20"/>
                <w:lang w:val="en-US"/>
              </w:rPr>
              <w:sym w:font="Symbol" w:char="F0B3"/>
            </w:r>
            <w:r w:rsidRPr="00787127">
              <w:rPr>
                <w:rFonts w:ascii="Arial" w:hAnsi="Arial"/>
                <w:noProof w:val="0"/>
                <w:sz w:val="20"/>
                <w:lang w:val="en-US"/>
              </w:rPr>
              <w:t> 1/1,000 to &lt; 1/100)</w:t>
            </w:r>
          </w:p>
        </w:tc>
        <w:tc>
          <w:tcPr>
            <w:tcW w:w="3002" w:type="dxa"/>
            <w:tcBorders>
              <w:top w:val="single" w:sz="4" w:space="0" w:color="auto"/>
              <w:left w:val="single" w:sz="4" w:space="0" w:color="auto"/>
              <w:bottom w:val="single" w:sz="4" w:space="0" w:color="auto"/>
              <w:right w:val="single" w:sz="4" w:space="0" w:color="auto"/>
            </w:tcBorders>
          </w:tcPr>
          <w:p w:rsidR="003C2C91" w:rsidRPr="00AB19AA" w:rsidRDefault="003C2C91" w:rsidP="0032294B">
            <w:pPr>
              <w:pStyle w:val="lbltxt"/>
              <w:spacing w:before="20" w:after="20"/>
              <w:rPr>
                <w:rFonts w:ascii="Arial" w:hAnsi="Arial"/>
                <w:noProof w:val="0"/>
                <w:sz w:val="20"/>
                <w:lang w:val="en-US"/>
              </w:rPr>
            </w:pPr>
            <w:r w:rsidRPr="00787127">
              <w:rPr>
                <w:rFonts w:ascii="Arial" w:hAnsi="Arial"/>
                <w:noProof w:val="0"/>
                <w:sz w:val="20"/>
                <w:lang w:val="en-US"/>
              </w:rPr>
              <w:t>Rash</w:t>
            </w:r>
            <w:r w:rsidRPr="00AB19AA">
              <w:rPr>
                <w:rFonts w:ascii="Arial" w:hAnsi="Arial"/>
                <w:noProof w:val="0"/>
                <w:sz w:val="20"/>
                <w:lang w:val="en-US"/>
              </w:rPr>
              <w:t xml:space="preserve"> </w:t>
            </w:r>
          </w:p>
        </w:tc>
      </w:tr>
    </w:tbl>
    <w:p w:rsidR="00DD079D" w:rsidRPr="00787127" w:rsidRDefault="00DD079D" w:rsidP="00E6181F">
      <w:pPr>
        <w:pStyle w:val="PIheading2"/>
        <w:rPr>
          <w:lang w:val="en-GB"/>
        </w:rPr>
      </w:pPr>
      <w:r w:rsidRPr="00787127">
        <w:rPr>
          <w:lang w:val="en-GB"/>
        </w:rPr>
        <w:t>Serious infections</w:t>
      </w:r>
    </w:p>
    <w:p w:rsidR="00DD079D" w:rsidRPr="00787127" w:rsidRDefault="00DD079D" w:rsidP="00E6181F">
      <w:pPr>
        <w:pStyle w:val="TextPI"/>
        <w:spacing w:line="240" w:lineRule="auto"/>
      </w:pPr>
      <w:r w:rsidRPr="00787127">
        <w:t xml:space="preserve">The incidence of serious infections in RA studies conducted at the recommended dose (100 mg/day) was 1.8% in </w:t>
      </w:r>
      <w:r w:rsidR="004C1A83" w:rsidRPr="00787127">
        <w:t>KINERET</w:t>
      </w:r>
      <w:r w:rsidRPr="00787127">
        <w:t xml:space="preserve"> treated patients and 0.7% in placebo-treated patients. In observations up to 3 years, the serious infection rate did not increase over time. Serious infections observed consisted primarily of bacterial events such as cellulitis, pneumonia, and bone and joint infections. Most patients continued on study drug after the infection resolved.</w:t>
      </w:r>
    </w:p>
    <w:p w:rsidR="003C2C91" w:rsidRPr="00787127" w:rsidRDefault="003C2C91" w:rsidP="003C2C91">
      <w:pPr>
        <w:pStyle w:val="TextPI"/>
      </w:pPr>
      <w:r w:rsidRPr="00787127">
        <w:t xml:space="preserve">Although the overall rate of serious infections was low, the higher incidence rate in the </w:t>
      </w:r>
      <w:r w:rsidR="004C1A83" w:rsidRPr="00787127">
        <w:rPr>
          <w:rFonts w:ascii="Helvetica" w:hAnsi="Helvetica" w:cs="Helvetica"/>
          <w:color w:val="000000"/>
          <w:lang w:eastAsia="en-AU"/>
        </w:rPr>
        <w:t>KINERET</w:t>
      </w:r>
      <w:r w:rsidRPr="00787127">
        <w:t xml:space="preserve">-treated group relative to placebo suggests a possible association between </w:t>
      </w:r>
      <w:r w:rsidR="004C1A83" w:rsidRPr="00787127">
        <w:rPr>
          <w:rFonts w:ascii="Helvetica" w:hAnsi="Helvetica" w:cs="Helvetica"/>
          <w:color w:val="000000"/>
          <w:lang w:eastAsia="en-AU"/>
        </w:rPr>
        <w:t>KINERET</w:t>
      </w:r>
      <w:r w:rsidRPr="00787127">
        <w:t xml:space="preserve"> and serious infections.</w:t>
      </w:r>
    </w:p>
    <w:p w:rsidR="003C2C91" w:rsidRPr="00EA6172" w:rsidRDefault="003C2C91" w:rsidP="003C2C91">
      <w:pPr>
        <w:pStyle w:val="TextPI"/>
      </w:pPr>
      <w:r w:rsidRPr="00787127">
        <w:t xml:space="preserve">An increased incidence of serious infections was observed in patients receiving concurrent </w:t>
      </w:r>
      <w:r w:rsidR="004C1A83" w:rsidRPr="00787127">
        <w:rPr>
          <w:rFonts w:ascii="Helvetica" w:hAnsi="Helvetica" w:cs="Helvetica"/>
          <w:color w:val="000000"/>
          <w:lang w:eastAsia="en-AU"/>
        </w:rPr>
        <w:t>KINERET</w:t>
      </w:r>
      <w:r w:rsidRPr="00787127">
        <w:t xml:space="preserve"> and </w:t>
      </w:r>
      <w:proofErr w:type="spellStart"/>
      <w:r w:rsidRPr="00787127">
        <w:t>etanercept</w:t>
      </w:r>
      <w:proofErr w:type="spellEnd"/>
      <w:r w:rsidRPr="00787127">
        <w:t xml:space="preserve"> therapies (see PRECAUTIONS).</w:t>
      </w:r>
    </w:p>
    <w:p w:rsidR="001A4F1B" w:rsidRPr="001A4F1B" w:rsidRDefault="001A4F1B" w:rsidP="007979C6">
      <w:pPr>
        <w:tabs>
          <w:tab w:val="left" w:pos="485"/>
        </w:tabs>
        <w:spacing w:before="40" w:afterLines="40" w:after="96"/>
        <w:jc w:val="both"/>
        <w:rPr>
          <w:rFonts w:ascii="Arial" w:hAnsi="Arial"/>
          <w:sz w:val="22"/>
          <w:szCs w:val="22"/>
        </w:rPr>
      </w:pPr>
      <w:r w:rsidRPr="003871BA">
        <w:rPr>
          <w:rFonts w:ascii="Arial" w:hAnsi="Arial"/>
          <w:sz w:val="22"/>
          <w:szCs w:val="22"/>
        </w:rPr>
        <w:t>In 15 SJIA patients followed for up to 1.5 years, one patient developed a serious hepatitis due to a cytomegalovirus infection. There are no indications from post marketing experience that types and severity of infections in SJIA patients differs from that in RA or CAPS patients.</w:t>
      </w:r>
    </w:p>
    <w:p w:rsidR="003C2C91" w:rsidRPr="00787127" w:rsidRDefault="00DD079D" w:rsidP="00E6181F">
      <w:pPr>
        <w:pStyle w:val="TextPI"/>
        <w:spacing w:line="240" w:lineRule="auto"/>
      </w:pPr>
      <w:r w:rsidRPr="00787127">
        <w:t xml:space="preserve">In clinical studies of RA </w:t>
      </w:r>
      <w:r w:rsidR="001A4F1B" w:rsidRPr="00787127">
        <w:t xml:space="preserve">and SJIA </w:t>
      </w:r>
      <w:r w:rsidRPr="00787127">
        <w:t xml:space="preserve">and in the post-marketing experience, rare cases of opportunistic infections have been observed and included fungal, mycobacterial, bacterial, and viral pathogens. Infections have been noted in all organ systems and have been reported in patients receiving </w:t>
      </w:r>
      <w:r w:rsidR="004C1A83" w:rsidRPr="00787127">
        <w:t>KINERET</w:t>
      </w:r>
      <w:r w:rsidRPr="00787127">
        <w:t xml:space="preserve"> alone or in combination with immunosuppressive agents.</w:t>
      </w:r>
      <w:r w:rsidR="003C2C91" w:rsidRPr="00787127">
        <w:t xml:space="preserve"> </w:t>
      </w:r>
    </w:p>
    <w:p w:rsidR="00DD079D" w:rsidRPr="00787127" w:rsidRDefault="003C2C91" w:rsidP="00E6181F">
      <w:pPr>
        <w:pStyle w:val="TextPI"/>
        <w:spacing w:line="240" w:lineRule="auto"/>
      </w:pPr>
      <w:r w:rsidRPr="00787127">
        <w:t xml:space="preserve">In 43 CAPS patients followed for up to 5 years, 10 patients reported serious infections, the most common being pneumonia and gastroenteritis. </w:t>
      </w:r>
      <w:r w:rsidR="004C1A83" w:rsidRPr="00787127">
        <w:t>KINERET</w:t>
      </w:r>
      <w:r w:rsidRPr="00787127">
        <w:t xml:space="preserve"> treatment was temporarily stopped in one patient, all other patients continued </w:t>
      </w:r>
      <w:r w:rsidR="004C1A83" w:rsidRPr="00787127">
        <w:t>KINERET</w:t>
      </w:r>
      <w:r w:rsidRPr="00787127">
        <w:t xml:space="preserve"> treatment during the infections. There were no deaths due to serious infections in RA or CAPS studies.</w:t>
      </w:r>
    </w:p>
    <w:p w:rsidR="00DD079D" w:rsidRPr="00787127" w:rsidRDefault="00DD079D" w:rsidP="00E6181F">
      <w:pPr>
        <w:pStyle w:val="PIheading2"/>
        <w:rPr>
          <w:lang w:val="en-GB"/>
        </w:rPr>
      </w:pPr>
      <w:proofErr w:type="spellStart"/>
      <w:r w:rsidRPr="00787127">
        <w:rPr>
          <w:lang w:val="en-GB"/>
        </w:rPr>
        <w:lastRenderedPageBreak/>
        <w:t>Neutrop</w:t>
      </w:r>
      <w:r w:rsidR="00672EF4" w:rsidRPr="00787127">
        <w:rPr>
          <w:lang w:val="en-GB"/>
        </w:rPr>
        <w:t>a</w:t>
      </w:r>
      <w:r w:rsidRPr="00787127">
        <w:rPr>
          <w:lang w:val="en-GB"/>
        </w:rPr>
        <w:t>enia</w:t>
      </w:r>
      <w:proofErr w:type="spellEnd"/>
    </w:p>
    <w:p w:rsidR="00DD079D" w:rsidRPr="00787127" w:rsidRDefault="00DD079D" w:rsidP="00E6181F">
      <w:pPr>
        <w:pStyle w:val="TextPI"/>
        <w:spacing w:line="240" w:lineRule="auto"/>
      </w:pPr>
      <w:r w:rsidRPr="00787127">
        <w:t xml:space="preserve">In placebo-controlled studies in RA, treatment was associated with small reductions in the mean values for total white blood count and absolute neutrophil count (ANC). </w:t>
      </w:r>
      <w:proofErr w:type="spellStart"/>
      <w:r w:rsidRPr="00787127">
        <w:t>Neutrop</w:t>
      </w:r>
      <w:r w:rsidR="00672EF4" w:rsidRPr="00787127">
        <w:t>a</w:t>
      </w:r>
      <w:r w:rsidRPr="00787127">
        <w:t>enia</w:t>
      </w:r>
      <w:proofErr w:type="spellEnd"/>
      <w:r w:rsidRPr="00787127">
        <w:t xml:space="preserve"> (ANC &lt;1.5 x 10</w:t>
      </w:r>
      <w:r w:rsidRPr="00787127">
        <w:rPr>
          <w:vertAlign w:val="superscript"/>
        </w:rPr>
        <w:t>9</w:t>
      </w:r>
      <w:r w:rsidRPr="00787127">
        <w:t>/</w:t>
      </w:r>
      <w:r w:rsidR="001A4F1B" w:rsidRPr="00787127">
        <w:t>L</w:t>
      </w:r>
      <w:r w:rsidRPr="00787127">
        <w:t xml:space="preserve">) was reported in 2.4% </w:t>
      </w:r>
      <w:r w:rsidR="001A4F1B" w:rsidRPr="00787127">
        <w:t xml:space="preserve">of </w:t>
      </w:r>
      <w:r w:rsidRPr="00787127">
        <w:t xml:space="preserve">patients receiving </w:t>
      </w:r>
      <w:r w:rsidR="004C1A83" w:rsidRPr="00787127">
        <w:t>KINERET</w:t>
      </w:r>
      <w:r w:rsidRPr="00787127">
        <w:t xml:space="preserve"> compared with 0.4% of placebo patients.</w:t>
      </w:r>
    </w:p>
    <w:p w:rsidR="00DD079D" w:rsidRPr="00787127" w:rsidRDefault="00DD079D" w:rsidP="00E6181F">
      <w:pPr>
        <w:pStyle w:val="TextPI"/>
        <w:spacing w:line="240" w:lineRule="auto"/>
      </w:pPr>
      <w:r w:rsidRPr="00787127">
        <w:t xml:space="preserve">In 43 CAPS patients followed for up to 5 years </w:t>
      </w:r>
      <w:proofErr w:type="spellStart"/>
      <w:r w:rsidRPr="00787127">
        <w:t>neutrop</w:t>
      </w:r>
      <w:r w:rsidR="00672EF4" w:rsidRPr="00787127">
        <w:t>a</w:t>
      </w:r>
      <w:r w:rsidRPr="00787127">
        <w:t>enia</w:t>
      </w:r>
      <w:proofErr w:type="spellEnd"/>
      <w:r w:rsidRPr="00787127">
        <w:t xml:space="preserve"> was reported in 2 patients. Both episodes of neutropenia resolved over time with continued </w:t>
      </w:r>
      <w:r w:rsidR="004C1A83" w:rsidRPr="00787127">
        <w:t>KINERET</w:t>
      </w:r>
      <w:r w:rsidRPr="00787127">
        <w:t xml:space="preserve"> treatment.</w:t>
      </w:r>
    </w:p>
    <w:p w:rsidR="006417A8" w:rsidRPr="006417A8" w:rsidRDefault="006417A8" w:rsidP="007979C6">
      <w:pPr>
        <w:tabs>
          <w:tab w:val="left" w:pos="485"/>
        </w:tabs>
        <w:spacing w:before="40" w:afterLines="40" w:after="96"/>
        <w:jc w:val="both"/>
        <w:rPr>
          <w:rFonts w:ascii="Arial" w:hAnsi="Arial"/>
          <w:sz w:val="22"/>
          <w:szCs w:val="22"/>
        </w:rPr>
      </w:pPr>
      <w:r w:rsidRPr="003871BA">
        <w:rPr>
          <w:rFonts w:ascii="Arial" w:hAnsi="Arial"/>
          <w:sz w:val="22"/>
          <w:szCs w:val="22"/>
        </w:rPr>
        <w:t xml:space="preserve">In 15 SJIA patients followed for up to 1.5 years, one event of transient </w:t>
      </w:r>
      <w:proofErr w:type="spellStart"/>
      <w:r w:rsidRPr="003871BA">
        <w:rPr>
          <w:rFonts w:ascii="Arial" w:hAnsi="Arial"/>
          <w:sz w:val="22"/>
          <w:szCs w:val="22"/>
        </w:rPr>
        <w:t>neutrop</w:t>
      </w:r>
      <w:r w:rsidR="00FF1314">
        <w:rPr>
          <w:rFonts w:ascii="Arial" w:hAnsi="Arial"/>
          <w:sz w:val="22"/>
          <w:szCs w:val="22"/>
        </w:rPr>
        <w:t>a</w:t>
      </w:r>
      <w:r w:rsidRPr="003871BA">
        <w:rPr>
          <w:rFonts w:ascii="Arial" w:hAnsi="Arial"/>
          <w:sz w:val="22"/>
          <w:szCs w:val="22"/>
        </w:rPr>
        <w:t>enia</w:t>
      </w:r>
      <w:proofErr w:type="spellEnd"/>
      <w:r w:rsidRPr="003871BA">
        <w:rPr>
          <w:rFonts w:ascii="Arial" w:hAnsi="Arial"/>
          <w:sz w:val="22"/>
          <w:szCs w:val="22"/>
        </w:rPr>
        <w:t xml:space="preserve"> was reported. There have been isolated reports of </w:t>
      </w:r>
      <w:proofErr w:type="spellStart"/>
      <w:r w:rsidRPr="003871BA">
        <w:rPr>
          <w:rFonts w:ascii="Arial" w:hAnsi="Arial"/>
          <w:sz w:val="22"/>
          <w:szCs w:val="22"/>
        </w:rPr>
        <w:t>neutrop</w:t>
      </w:r>
      <w:r w:rsidR="00672EF4">
        <w:rPr>
          <w:rFonts w:ascii="Arial" w:hAnsi="Arial"/>
          <w:sz w:val="22"/>
          <w:szCs w:val="22"/>
        </w:rPr>
        <w:t>a</w:t>
      </w:r>
      <w:r w:rsidRPr="003871BA">
        <w:rPr>
          <w:rFonts w:ascii="Arial" w:hAnsi="Arial"/>
          <w:sz w:val="22"/>
          <w:szCs w:val="22"/>
        </w:rPr>
        <w:t>enia</w:t>
      </w:r>
      <w:proofErr w:type="spellEnd"/>
      <w:r w:rsidRPr="003871BA">
        <w:rPr>
          <w:rFonts w:ascii="Arial" w:hAnsi="Arial"/>
          <w:sz w:val="22"/>
          <w:szCs w:val="22"/>
        </w:rPr>
        <w:t xml:space="preserve"> during post-marketing use.</w:t>
      </w:r>
    </w:p>
    <w:p w:rsidR="00DD079D" w:rsidRPr="00787127" w:rsidRDefault="00DD079D" w:rsidP="00E6181F">
      <w:pPr>
        <w:pStyle w:val="PIheading2"/>
        <w:rPr>
          <w:lang w:val="en-GB"/>
        </w:rPr>
      </w:pPr>
      <w:r w:rsidRPr="00787127">
        <w:rPr>
          <w:lang w:val="en-GB"/>
        </w:rPr>
        <w:t>Allergic reactions</w:t>
      </w:r>
    </w:p>
    <w:p w:rsidR="006417A8" w:rsidRPr="00787127" w:rsidRDefault="006417A8" w:rsidP="006417A8">
      <w:pPr>
        <w:pStyle w:val="TextPI"/>
        <w:spacing w:line="240" w:lineRule="auto"/>
      </w:pPr>
      <w:r w:rsidRPr="00787127">
        <w:t xml:space="preserve">Allergic reactions including anaphylactic reactions, angioedema, </w:t>
      </w:r>
      <w:proofErr w:type="spellStart"/>
      <w:r w:rsidRPr="00787127">
        <w:t>urticaria</w:t>
      </w:r>
      <w:proofErr w:type="spellEnd"/>
      <w:r w:rsidRPr="00787127">
        <w:t xml:space="preserve">, rash, and pruritus have been reported uncommonly with </w:t>
      </w:r>
      <w:r w:rsidR="004C1A83" w:rsidRPr="00787127">
        <w:t>KINERET</w:t>
      </w:r>
      <w:r w:rsidRPr="00787127">
        <w:t>.</w:t>
      </w:r>
    </w:p>
    <w:p w:rsidR="006417A8" w:rsidRPr="00787127" w:rsidRDefault="006417A8" w:rsidP="006417A8">
      <w:pPr>
        <w:pStyle w:val="TextPI"/>
        <w:spacing w:line="240" w:lineRule="auto"/>
      </w:pPr>
      <w:r w:rsidRPr="00787127">
        <w:t xml:space="preserve">In 43 CAPS patients followed for up to 5 years, no allergic event was serious and no event required discontinuation of </w:t>
      </w:r>
      <w:r w:rsidR="004C1A83" w:rsidRPr="00787127">
        <w:t>KINERET</w:t>
      </w:r>
      <w:r w:rsidRPr="00787127">
        <w:t>.</w:t>
      </w:r>
    </w:p>
    <w:p w:rsidR="006417A8" w:rsidRPr="003871BA" w:rsidRDefault="006417A8" w:rsidP="007979C6">
      <w:pPr>
        <w:widowControl w:val="0"/>
        <w:tabs>
          <w:tab w:val="left" w:pos="485"/>
        </w:tabs>
        <w:spacing w:before="40" w:afterLines="40" w:after="96"/>
        <w:jc w:val="both"/>
        <w:rPr>
          <w:rFonts w:ascii="Arial" w:hAnsi="Arial"/>
          <w:sz w:val="22"/>
          <w:szCs w:val="22"/>
        </w:rPr>
      </w:pPr>
      <w:r w:rsidRPr="003871BA">
        <w:rPr>
          <w:rFonts w:ascii="Arial" w:hAnsi="Arial"/>
          <w:sz w:val="22"/>
          <w:szCs w:val="22"/>
        </w:rPr>
        <w:t xml:space="preserve">In 15 SJIA patients followed for up to 1.5 years, no allergic event was serious and no event required discontinuation of </w:t>
      </w:r>
      <w:r w:rsidR="004C1A83">
        <w:rPr>
          <w:rFonts w:ascii="Arial" w:hAnsi="Arial"/>
          <w:sz w:val="22"/>
          <w:szCs w:val="22"/>
        </w:rPr>
        <w:t>KINERET</w:t>
      </w:r>
      <w:r w:rsidRPr="003871BA">
        <w:rPr>
          <w:rFonts w:ascii="Arial" w:hAnsi="Arial"/>
          <w:sz w:val="22"/>
          <w:szCs w:val="22"/>
        </w:rPr>
        <w:t>.</w:t>
      </w:r>
    </w:p>
    <w:p w:rsidR="00DD079D" w:rsidRPr="00787127" w:rsidRDefault="00DD079D" w:rsidP="006417A8">
      <w:pPr>
        <w:pStyle w:val="PIheading2"/>
        <w:keepNext w:val="0"/>
        <w:widowControl w:val="0"/>
        <w:rPr>
          <w:lang w:val="en-GB"/>
        </w:rPr>
      </w:pPr>
      <w:r w:rsidRPr="00787127">
        <w:rPr>
          <w:lang w:val="en-GB"/>
        </w:rPr>
        <w:t>Hepatic Events</w:t>
      </w:r>
    </w:p>
    <w:p w:rsidR="00C462CF" w:rsidRDefault="00DD079D" w:rsidP="00B4477F">
      <w:pPr>
        <w:pStyle w:val="TextPI"/>
        <w:spacing w:line="240" w:lineRule="auto"/>
      </w:pPr>
      <w:r w:rsidRPr="00787127">
        <w:t>In clinical studies in RA</w:t>
      </w:r>
      <w:r w:rsidR="00DC6E7B" w:rsidRPr="00787127">
        <w:t>,</w:t>
      </w:r>
      <w:r w:rsidR="00BA5635" w:rsidRPr="00787127">
        <w:t xml:space="preserve"> </w:t>
      </w:r>
      <w:r w:rsidR="009628F5" w:rsidRPr="00787127">
        <w:t>CAPS</w:t>
      </w:r>
      <w:r w:rsidR="00BA5635" w:rsidRPr="00787127">
        <w:t xml:space="preserve"> </w:t>
      </w:r>
      <w:r w:rsidR="00DC6E7B" w:rsidRPr="00787127">
        <w:t>and SJIA</w:t>
      </w:r>
      <w:r w:rsidR="00BA5635" w:rsidRPr="00787127">
        <w:t xml:space="preserve"> </w:t>
      </w:r>
      <w:r w:rsidRPr="00787127">
        <w:t>patients, transient elevations of liver enzymes have been seen uncommonly. These elevations have not been associated with signs or symptoms of hepatocellular damage.</w:t>
      </w:r>
      <w:r w:rsidR="00787127">
        <w:t xml:space="preserve"> </w:t>
      </w:r>
      <w:r w:rsidRPr="00787127">
        <w:t xml:space="preserve">During post-marketing use isolated case reports indicating non-infectious hepatitis have been received. Hepatic events during post marketing use have mainly been reported in patients that have been treated </w:t>
      </w:r>
      <w:r w:rsidR="00FE5617" w:rsidRPr="00787127">
        <w:t xml:space="preserve">for SJIA, </w:t>
      </w:r>
      <w:r w:rsidR="009628F5" w:rsidRPr="00787127">
        <w:t xml:space="preserve">in patients with predisposing factors, e.g. history of transaminase elevations before start of </w:t>
      </w:r>
      <w:r w:rsidR="004C1A83" w:rsidRPr="00787127">
        <w:t>KINERET</w:t>
      </w:r>
      <w:r w:rsidR="009628F5" w:rsidRPr="00787127">
        <w:t xml:space="preserve"> treatment</w:t>
      </w:r>
      <w:r w:rsidR="00DC6E7B" w:rsidRPr="00787127">
        <w:t>, or in patients that have been treated outside of the approved label.</w:t>
      </w:r>
    </w:p>
    <w:p w:rsidR="00DD079D" w:rsidRPr="00C462CF" w:rsidRDefault="00DD079D" w:rsidP="00C462CF">
      <w:pPr>
        <w:pStyle w:val="PIheading2"/>
        <w:keepNext w:val="0"/>
        <w:widowControl w:val="0"/>
        <w:rPr>
          <w:lang w:val="en-GB"/>
        </w:rPr>
      </w:pPr>
      <w:r w:rsidRPr="00C462CF">
        <w:rPr>
          <w:lang w:val="en-GB"/>
        </w:rPr>
        <w:t>Injection site reactions (ISR)</w:t>
      </w:r>
    </w:p>
    <w:p w:rsidR="00DD079D" w:rsidRPr="000D7B5B" w:rsidRDefault="00DD079D" w:rsidP="00394258">
      <w:pPr>
        <w:pStyle w:val="TextPI"/>
        <w:widowControl w:val="0"/>
        <w:spacing w:line="240" w:lineRule="auto"/>
      </w:pPr>
      <w:r w:rsidRPr="000D7B5B">
        <w:t xml:space="preserve">In RA patients the most common and consistently reported treatment-related adverse reactions associated with </w:t>
      </w:r>
      <w:r w:rsidR="004C1A83" w:rsidRPr="000D7B5B">
        <w:t>KINERET</w:t>
      </w:r>
      <w:r w:rsidRPr="000D7B5B">
        <w:t xml:space="preserve"> treatment were ISRs. The majority (95%) of ISRs were reported as mild to moderate. These were typically characterized by 1 or more of the following: erythema, ecchymosis, inflammation, and pain. At a dose of 100 mg/day, 71% of RA patients developed an ISR compared to 28% of the placebo treated patients.</w:t>
      </w:r>
    </w:p>
    <w:p w:rsidR="00DD079D" w:rsidRPr="000D7B5B" w:rsidRDefault="00DD079D" w:rsidP="00394258">
      <w:pPr>
        <w:pStyle w:val="TextPI"/>
        <w:widowControl w:val="0"/>
        <w:spacing w:line="240" w:lineRule="auto"/>
      </w:pPr>
      <w:r w:rsidRPr="000D7B5B">
        <w:t xml:space="preserve">In 43 CAPS patients followed for up to 5 years, no patient permanently or temporarily discontinued </w:t>
      </w:r>
      <w:r w:rsidR="004C1A83" w:rsidRPr="000D7B5B">
        <w:t>KINERET</w:t>
      </w:r>
      <w:r w:rsidRPr="000D7B5B">
        <w:t xml:space="preserve"> treatment due to ISRs. </w:t>
      </w:r>
    </w:p>
    <w:p w:rsidR="00FE5617" w:rsidRPr="00FE5617" w:rsidRDefault="00FE5617" w:rsidP="007979C6">
      <w:pPr>
        <w:widowControl w:val="0"/>
        <w:tabs>
          <w:tab w:val="left" w:pos="485"/>
        </w:tabs>
        <w:spacing w:before="40" w:afterLines="40" w:after="96"/>
        <w:jc w:val="both"/>
        <w:rPr>
          <w:rFonts w:ascii="Arial" w:hAnsi="Arial"/>
          <w:sz w:val="22"/>
          <w:szCs w:val="22"/>
        </w:rPr>
      </w:pPr>
      <w:r w:rsidRPr="003871BA">
        <w:rPr>
          <w:rFonts w:ascii="Arial" w:hAnsi="Arial"/>
          <w:sz w:val="22"/>
          <w:szCs w:val="22"/>
        </w:rPr>
        <w:t xml:space="preserve">In 15 SJIA patients followed for up to 1.5 years, the most common and consistently reported treatment-related adverse reactions associated with </w:t>
      </w:r>
      <w:r w:rsidR="004C1A83">
        <w:rPr>
          <w:rFonts w:ascii="Arial" w:hAnsi="Arial"/>
          <w:sz w:val="22"/>
          <w:szCs w:val="22"/>
        </w:rPr>
        <w:t>KINERET</w:t>
      </w:r>
      <w:r w:rsidRPr="003871BA">
        <w:rPr>
          <w:rFonts w:ascii="Arial" w:hAnsi="Arial"/>
          <w:sz w:val="22"/>
          <w:szCs w:val="22"/>
        </w:rPr>
        <w:t xml:space="preserve"> treatment were ISRs. One out of 15 patients discontinued due to ISRs. </w:t>
      </w:r>
    </w:p>
    <w:p w:rsidR="00DD079D" w:rsidRPr="000D7B5B" w:rsidRDefault="00DD079D" w:rsidP="00394258">
      <w:pPr>
        <w:pStyle w:val="TextPI"/>
        <w:widowControl w:val="0"/>
        <w:spacing w:line="240" w:lineRule="auto"/>
      </w:pPr>
      <w:r w:rsidRPr="000D7B5B">
        <w:t>ISRs were</w:t>
      </w:r>
      <w:r w:rsidR="002E4199" w:rsidRPr="000D7B5B">
        <w:t xml:space="preserve"> </w:t>
      </w:r>
      <w:r w:rsidRPr="000D7B5B">
        <w:t xml:space="preserve">typically reported within the first 4 weeks of therapy with a median duration in RA studies of 14 to 28 days and resolved during continued </w:t>
      </w:r>
      <w:r w:rsidR="004C1A83" w:rsidRPr="000D7B5B">
        <w:t>KINERET</w:t>
      </w:r>
      <w:r w:rsidRPr="000D7B5B">
        <w:t xml:space="preserve"> treatment. The development of ISRs in patients who had not previously experienced ISRs was uncommon after the first month of therapy.</w:t>
      </w:r>
    </w:p>
    <w:p w:rsidR="00DD079D" w:rsidRPr="000D7B5B" w:rsidRDefault="00DD079D" w:rsidP="00672232">
      <w:pPr>
        <w:pStyle w:val="PIheading2"/>
        <w:keepNext w:val="0"/>
        <w:widowControl w:val="0"/>
        <w:jc w:val="both"/>
        <w:rPr>
          <w:lang w:val="en-GB"/>
        </w:rPr>
      </w:pPr>
      <w:r w:rsidRPr="000D7B5B">
        <w:rPr>
          <w:lang w:val="en-GB"/>
        </w:rPr>
        <w:t>Immunogenicity</w:t>
      </w:r>
    </w:p>
    <w:p w:rsidR="00C462CF" w:rsidRDefault="00DD079D" w:rsidP="00C462CF">
      <w:pPr>
        <w:pStyle w:val="PIheading2"/>
        <w:keepNext w:val="0"/>
        <w:widowControl w:val="0"/>
        <w:jc w:val="both"/>
        <w:rPr>
          <w:b w:val="0"/>
        </w:rPr>
      </w:pPr>
      <w:r w:rsidRPr="00C462CF">
        <w:rPr>
          <w:b w:val="0"/>
        </w:rPr>
        <w:t>In clinical trials, the occurrence of antibodies in RA patients was typically transient and not associated with clinical adverse reactions or diminished efficacy</w:t>
      </w:r>
      <w:r w:rsidR="002E4199" w:rsidRPr="00C462CF">
        <w:rPr>
          <w:b w:val="0"/>
        </w:rPr>
        <w:t xml:space="preserve"> (s</w:t>
      </w:r>
      <w:r w:rsidR="00293D98" w:rsidRPr="00C462CF">
        <w:rPr>
          <w:b w:val="0"/>
        </w:rPr>
        <w:t xml:space="preserve">ee </w:t>
      </w:r>
      <w:r w:rsidR="00E6181F" w:rsidRPr="00C462CF">
        <w:rPr>
          <w:b w:val="0"/>
        </w:rPr>
        <w:t>PHARMACOLOGY</w:t>
      </w:r>
      <w:r w:rsidR="002E4199" w:rsidRPr="00C462CF">
        <w:rPr>
          <w:b w:val="0"/>
        </w:rPr>
        <w:t>)</w:t>
      </w:r>
      <w:r w:rsidR="00A312AE" w:rsidRPr="00C462CF">
        <w:rPr>
          <w:b w:val="0"/>
        </w:rPr>
        <w:t>.</w:t>
      </w:r>
    </w:p>
    <w:p w:rsidR="00C462CF" w:rsidRDefault="002E4199" w:rsidP="00C462CF">
      <w:pPr>
        <w:pStyle w:val="PIheading2"/>
        <w:keepNext w:val="0"/>
        <w:widowControl w:val="0"/>
        <w:jc w:val="both"/>
        <w:rPr>
          <w:b w:val="0"/>
        </w:rPr>
      </w:pPr>
      <w:r w:rsidRPr="000D7B5B">
        <w:rPr>
          <w:b w:val="0"/>
        </w:rPr>
        <w:lastRenderedPageBreak/>
        <w:t xml:space="preserve">The majority of CAPS patients in Study 03-AR-0298 developed </w:t>
      </w:r>
      <w:proofErr w:type="spellStart"/>
      <w:r w:rsidRPr="000D7B5B">
        <w:rPr>
          <w:b w:val="0"/>
        </w:rPr>
        <w:t>anakinra</w:t>
      </w:r>
      <w:proofErr w:type="spellEnd"/>
      <w:r w:rsidRPr="000D7B5B">
        <w:rPr>
          <w:b w:val="0"/>
        </w:rPr>
        <w:t xml:space="preserve"> anti-drug-antibodies. This was not associated with any clinically significant effects on pharmacokinetics, efficacy, or safety.</w:t>
      </w:r>
    </w:p>
    <w:p w:rsidR="00C462CF" w:rsidRDefault="00C462CF">
      <w:pPr>
        <w:rPr>
          <w:rFonts w:ascii="Arial" w:hAnsi="Arial"/>
          <w:b/>
          <w:sz w:val="22"/>
          <w:szCs w:val="22"/>
          <w:lang w:val="en-GB"/>
        </w:rPr>
      </w:pPr>
      <w:r>
        <w:rPr>
          <w:lang w:val="en-GB"/>
        </w:rPr>
        <w:br w:type="page"/>
      </w:r>
    </w:p>
    <w:p w:rsidR="00DD079D" w:rsidRPr="000D7B5B" w:rsidRDefault="00DD079D" w:rsidP="00672232">
      <w:pPr>
        <w:pStyle w:val="PIheading2"/>
        <w:keepNext w:val="0"/>
        <w:widowControl w:val="0"/>
        <w:rPr>
          <w:lang w:val="en-GB"/>
        </w:rPr>
      </w:pPr>
      <w:r w:rsidRPr="000D7B5B">
        <w:rPr>
          <w:lang w:val="en-GB"/>
        </w:rPr>
        <w:lastRenderedPageBreak/>
        <w:t>Malignancies</w:t>
      </w:r>
    </w:p>
    <w:p w:rsidR="00DD079D" w:rsidRPr="000D7B5B" w:rsidRDefault="00DD079D" w:rsidP="00B77D1A">
      <w:pPr>
        <w:pStyle w:val="TextPI"/>
        <w:widowControl w:val="0"/>
        <w:spacing w:line="240" w:lineRule="auto"/>
      </w:pPr>
      <w:r w:rsidRPr="000D7B5B">
        <w:t xml:space="preserve">RA patients may be at higher risk (on average 2-3 fold) for the development of lymphoma. In clinical trials, whilst patients treated with </w:t>
      </w:r>
      <w:r w:rsidR="004C1A83" w:rsidRPr="000D7B5B">
        <w:t>KINERET</w:t>
      </w:r>
      <w:r w:rsidRPr="000D7B5B">
        <w:t xml:space="preserve"> had a higher incidence of lymphoma than the expected rate in the general population, this rate is consistent with rates reported in general for RA patients.</w:t>
      </w:r>
    </w:p>
    <w:p w:rsidR="00DD079D" w:rsidRPr="000D7B5B" w:rsidRDefault="00DD079D" w:rsidP="00B77D1A">
      <w:pPr>
        <w:pStyle w:val="TextPI"/>
        <w:widowControl w:val="0"/>
        <w:spacing w:line="240" w:lineRule="auto"/>
      </w:pPr>
      <w:r w:rsidRPr="000D7B5B">
        <w:t xml:space="preserve">In clinical trials, the incidence of malignancies was the same in </w:t>
      </w:r>
      <w:r w:rsidR="004C1A83" w:rsidRPr="000D7B5B">
        <w:t>KINERET</w:t>
      </w:r>
      <w:r w:rsidRPr="000D7B5B">
        <w:t xml:space="preserve">-treated RA patients and placebo-treated patients and did not differ from that in the general population. Furthermore, the overall incidence of malignancies was not increased during 3 years of patient exposure to </w:t>
      </w:r>
      <w:r w:rsidR="004C1A83" w:rsidRPr="000D7B5B">
        <w:t>KINERET</w:t>
      </w:r>
      <w:r w:rsidRPr="000D7B5B">
        <w:t>.</w:t>
      </w:r>
    </w:p>
    <w:p w:rsidR="002E4199" w:rsidRPr="00DD079D" w:rsidRDefault="002E4199" w:rsidP="00672232">
      <w:pPr>
        <w:pStyle w:val="TextPI"/>
        <w:widowControl w:val="0"/>
        <w:spacing w:line="240" w:lineRule="auto"/>
      </w:pPr>
      <w:r w:rsidRPr="000D7B5B">
        <w:t xml:space="preserve">There is no information available on the incidence of malignancies in CAPS patients receiving </w:t>
      </w:r>
      <w:r w:rsidR="004C1A83" w:rsidRPr="000D7B5B">
        <w:t>KINERET</w:t>
      </w:r>
      <w:r w:rsidRPr="000D7B5B">
        <w:t>.</w:t>
      </w:r>
    </w:p>
    <w:p w:rsidR="00293D98" w:rsidRPr="000D7B5B" w:rsidRDefault="00293D98" w:rsidP="00672232">
      <w:pPr>
        <w:pStyle w:val="PIheading2"/>
        <w:keepNext w:val="0"/>
        <w:widowControl w:val="0"/>
        <w:rPr>
          <w:lang w:val="en-GB"/>
        </w:rPr>
      </w:pPr>
      <w:r w:rsidRPr="000D7B5B">
        <w:rPr>
          <w:lang w:val="en-GB"/>
        </w:rPr>
        <w:t>Macrophage activation syndrome (MAS)</w:t>
      </w:r>
    </w:p>
    <w:p w:rsidR="00C462CF" w:rsidRPr="00C462CF" w:rsidRDefault="00293D98" w:rsidP="00C462CF">
      <w:pPr>
        <w:pStyle w:val="TextPI"/>
        <w:widowControl w:val="0"/>
        <w:spacing w:line="240" w:lineRule="auto"/>
      </w:pPr>
      <w:r w:rsidRPr="00C462CF">
        <w:t xml:space="preserve">During post marketing use isolated case reports of MAS in SJIA patients have been received. SJIA patients have an increased risk of spontaneous development of MAS. A causal relationship between </w:t>
      </w:r>
      <w:r w:rsidR="004C1A83" w:rsidRPr="00C462CF">
        <w:t>KINERET</w:t>
      </w:r>
      <w:r w:rsidRPr="00C462CF">
        <w:t xml:space="preserve"> and MAS has not been established.</w:t>
      </w:r>
    </w:p>
    <w:p w:rsidR="00DD079D" w:rsidRPr="000D7B5B" w:rsidRDefault="00DD079D" w:rsidP="00E6181F">
      <w:pPr>
        <w:pStyle w:val="PIheading2"/>
        <w:keepLines/>
        <w:rPr>
          <w:lang w:val="en-GB"/>
        </w:rPr>
      </w:pPr>
      <w:r w:rsidRPr="000D7B5B">
        <w:rPr>
          <w:lang w:val="en-GB"/>
        </w:rPr>
        <w:t>P</w:t>
      </w:r>
      <w:r w:rsidR="008D08C2" w:rsidRPr="000D7B5B">
        <w:rPr>
          <w:lang w:val="en-GB"/>
        </w:rPr>
        <w:t>a</w:t>
      </w:r>
      <w:r w:rsidRPr="000D7B5B">
        <w:rPr>
          <w:lang w:val="en-GB"/>
        </w:rPr>
        <w:t>ediatric population</w:t>
      </w:r>
    </w:p>
    <w:p w:rsidR="00DD079D" w:rsidRPr="00C462CF" w:rsidRDefault="004C1A83" w:rsidP="00C462CF">
      <w:pPr>
        <w:pStyle w:val="PIheading2"/>
        <w:keepLines/>
        <w:jc w:val="both"/>
        <w:rPr>
          <w:b w:val="0"/>
        </w:rPr>
      </w:pPr>
      <w:r w:rsidRPr="00C462CF">
        <w:rPr>
          <w:b w:val="0"/>
        </w:rPr>
        <w:t>KINERET</w:t>
      </w:r>
      <w:r w:rsidR="00DD079D" w:rsidRPr="00C462CF">
        <w:rPr>
          <w:b w:val="0"/>
        </w:rPr>
        <w:t xml:space="preserve"> has been studied in 122 </w:t>
      </w:r>
      <w:proofErr w:type="spellStart"/>
      <w:r w:rsidR="00DD079D" w:rsidRPr="00C462CF">
        <w:rPr>
          <w:b w:val="0"/>
        </w:rPr>
        <w:t>p</w:t>
      </w:r>
      <w:r w:rsidR="008D08C2" w:rsidRPr="00C462CF">
        <w:rPr>
          <w:b w:val="0"/>
        </w:rPr>
        <w:t>a</w:t>
      </w:r>
      <w:r w:rsidR="00DD079D" w:rsidRPr="00C462CF">
        <w:rPr>
          <w:b w:val="0"/>
        </w:rPr>
        <w:t>ediatric</w:t>
      </w:r>
      <w:proofErr w:type="spellEnd"/>
      <w:r w:rsidR="00672EF4" w:rsidRPr="00C462CF">
        <w:rPr>
          <w:b w:val="0"/>
        </w:rPr>
        <w:t xml:space="preserve"> </w:t>
      </w:r>
      <w:r w:rsidR="00293D98" w:rsidRPr="00C462CF">
        <w:rPr>
          <w:b w:val="0"/>
        </w:rPr>
        <w:t>patients: 36 CAPS patients, 15 SJIA patients and 71 patients with other forms of juvenile idiopathic arthritis (JIA)</w:t>
      </w:r>
      <w:r w:rsidR="002E4199" w:rsidRPr="00C462CF">
        <w:rPr>
          <w:b w:val="0"/>
        </w:rPr>
        <w:t xml:space="preserve"> </w:t>
      </w:r>
      <w:r w:rsidR="008D08C2" w:rsidRPr="00C462CF">
        <w:rPr>
          <w:b w:val="0"/>
        </w:rPr>
        <w:t>and CAPS patients</w:t>
      </w:r>
      <w:r w:rsidR="00293D98" w:rsidRPr="00C462CF">
        <w:rPr>
          <w:b w:val="0"/>
        </w:rPr>
        <w:t xml:space="preserve">, </w:t>
      </w:r>
      <w:r w:rsidR="00DD079D" w:rsidRPr="00C462CF">
        <w:rPr>
          <w:b w:val="0"/>
        </w:rPr>
        <w:t xml:space="preserve">aged 8 months to 17 years, for up to 5 years. With the exception of infections and related symptoms that were more frequently reported in patients &lt;2 years, the safety profile was similar in all </w:t>
      </w:r>
      <w:proofErr w:type="spellStart"/>
      <w:r w:rsidR="00DD079D" w:rsidRPr="00C462CF">
        <w:rPr>
          <w:b w:val="0"/>
        </w:rPr>
        <w:t>p</w:t>
      </w:r>
      <w:r w:rsidR="001B7D32" w:rsidRPr="00C462CF">
        <w:rPr>
          <w:b w:val="0"/>
        </w:rPr>
        <w:t>a</w:t>
      </w:r>
      <w:r w:rsidR="00DD079D" w:rsidRPr="00C462CF">
        <w:rPr>
          <w:b w:val="0"/>
        </w:rPr>
        <w:t>ediatric</w:t>
      </w:r>
      <w:proofErr w:type="spellEnd"/>
      <w:r w:rsidR="00DD079D" w:rsidRPr="00C462CF">
        <w:rPr>
          <w:b w:val="0"/>
        </w:rPr>
        <w:t xml:space="preserve"> age groups. The safety profile in </w:t>
      </w:r>
      <w:proofErr w:type="spellStart"/>
      <w:r w:rsidR="00DD079D" w:rsidRPr="00C462CF">
        <w:rPr>
          <w:b w:val="0"/>
        </w:rPr>
        <w:t>p</w:t>
      </w:r>
      <w:r w:rsidR="001B7D32" w:rsidRPr="00C462CF">
        <w:rPr>
          <w:b w:val="0"/>
        </w:rPr>
        <w:t>a</w:t>
      </w:r>
      <w:r w:rsidR="00DD079D" w:rsidRPr="00C462CF">
        <w:rPr>
          <w:b w:val="0"/>
        </w:rPr>
        <w:t>ediatric</w:t>
      </w:r>
      <w:proofErr w:type="spellEnd"/>
      <w:r w:rsidR="00DD079D" w:rsidRPr="00C462CF">
        <w:rPr>
          <w:b w:val="0"/>
        </w:rPr>
        <w:t xml:space="preserve"> patients was similar to that seen in adult populations and no clinically relevant new adverse reactions were seen.</w:t>
      </w:r>
    </w:p>
    <w:p w:rsidR="002E4199" w:rsidRPr="00123798" w:rsidRDefault="002E4199" w:rsidP="002E4199">
      <w:pPr>
        <w:pStyle w:val="PIHeading3"/>
        <w:spacing w:after="120"/>
        <w:rPr>
          <w:b/>
          <w:u w:val="none"/>
        </w:rPr>
      </w:pPr>
      <w:r w:rsidRPr="000D7B5B">
        <w:rPr>
          <w:b/>
          <w:u w:val="none"/>
        </w:rPr>
        <w:t>Other Adverse Reactions in RA</w:t>
      </w:r>
    </w:p>
    <w:p w:rsidR="002E4199" w:rsidRDefault="002E4199" w:rsidP="002E4199">
      <w:pPr>
        <w:pStyle w:val="TextPI"/>
        <w:spacing w:line="240" w:lineRule="auto"/>
      </w:pPr>
      <w:r w:rsidRPr="00123798">
        <w:t xml:space="preserve">Adverse events, reported in </w:t>
      </w:r>
      <w:r w:rsidRPr="000D7B5B">
        <w:t xml:space="preserve">at least 2% of patients treated with </w:t>
      </w:r>
      <w:r w:rsidR="004C1A83" w:rsidRPr="000D7B5B">
        <w:rPr>
          <w:rFonts w:ascii="Helvetica" w:hAnsi="Helvetica" w:cs="Helvetica"/>
          <w:color w:val="000000"/>
          <w:lang w:eastAsia="en-AU"/>
        </w:rPr>
        <w:t>KINERET</w:t>
      </w:r>
      <w:r w:rsidR="00C76623" w:rsidRPr="000D7B5B">
        <w:t xml:space="preserve"> </w:t>
      </w:r>
      <w:r w:rsidRPr="000D7B5B">
        <w:t>who used the</w:t>
      </w:r>
      <w:r w:rsidR="00C76623" w:rsidRPr="000D7B5B">
        <w:t xml:space="preserve"> </w:t>
      </w:r>
      <w:r w:rsidRPr="000D7B5B">
        <w:t>100 mg/day fixed dose, are shown in Table 3.</w:t>
      </w:r>
      <w:r w:rsidRPr="00123798">
        <w:t xml:space="preserve"> </w:t>
      </w:r>
    </w:p>
    <w:p w:rsidR="000B4EB4" w:rsidRPr="002E4199" w:rsidRDefault="000B4EB4" w:rsidP="004A4FB4">
      <w:pPr>
        <w:pStyle w:val="TextPItable"/>
        <w:widowControl w:val="0"/>
        <w:spacing w:before="120" w:after="120"/>
        <w:ind w:left="1418" w:hanging="1418"/>
        <w:rPr>
          <w:b/>
          <w:bCs/>
          <w:szCs w:val="6"/>
        </w:rPr>
      </w:pPr>
      <w:proofErr w:type="gramStart"/>
      <w:r w:rsidRPr="000D7B5B">
        <w:rPr>
          <w:b/>
          <w:bCs/>
        </w:rPr>
        <w:t xml:space="preserve">Table </w:t>
      </w:r>
      <w:r w:rsidR="002E4199" w:rsidRPr="000D7B5B">
        <w:rPr>
          <w:b/>
          <w:bCs/>
        </w:rPr>
        <w:t>3</w:t>
      </w:r>
      <w:r w:rsidRPr="000D7B5B">
        <w:rPr>
          <w:b/>
          <w:bCs/>
        </w:rPr>
        <w:t>.</w:t>
      </w:r>
      <w:proofErr w:type="gramEnd"/>
      <w:r w:rsidRPr="002E4199">
        <w:rPr>
          <w:b/>
          <w:bCs/>
        </w:rPr>
        <w:tab/>
        <w:t>Patient Incidence of Most Frequent Treatment-Emergent Adverse Events (</w:t>
      </w:r>
      <w:r w:rsidRPr="002E4199">
        <w:rPr>
          <w:b/>
          <w:bCs/>
          <w:szCs w:val="6"/>
        </w:rPr>
        <w:t>≥</w:t>
      </w:r>
      <w:r w:rsidRPr="002E4199">
        <w:rPr>
          <w:b/>
          <w:bCs/>
        </w:rPr>
        <w:t xml:space="preserve"> 2% in </w:t>
      </w:r>
      <w:r w:rsidR="004C1A83">
        <w:rPr>
          <w:b/>
          <w:bCs/>
        </w:rPr>
        <w:t>KINERET</w:t>
      </w:r>
      <w:r w:rsidR="00C76623">
        <w:rPr>
          <w:b/>
          <w:bCs/>
        </w:rPr>
        <w:t xml:space="preserve"> </w:t>
      </w:r>
      <w:r w:rsidRPr="002E4199">
        <w:rPr>
          <w:b/>
          <w:bCs/>
        </w:rPr>
        <w:t>100 mg/day Group) by Body System and Preferred Term</w:t>
      </w:r>
    </w:p>
    <w:tbl>
      <w:tblPr>
        <w:tblW w:w="9009" w:type="dxa"/>
        <w:tblInd w:w="57" w:type="dxa"/>
        <w:tblLayout w:type="fixed"/>
        <w:tblCellMar>
          <w:top w:w="57" w:type="dxa"/>
          <w:left w:w="57" w:type="dxa"/>
          <w:right w:w="0" w:type="dxa"/>
        </w:tblCellMar>
        <w:tblLook w:val="0000" w:firstRow="0" w:lastRow="0" w:firstColumn="0" w:lastColumn="0" w:noHBand="0" w:noVBand="0"/>
      </w:tblPr>
      <w:tblGrid>
        <w:gridCol w:w="2929"/>
        <w:gridCol w:w="2962"/>
        <w:gridCol w:w="3118"/>
      </w:tblGrid>
      <w:tr w:rsidR="000B4EB4" w:rsidRPr="002E4199" w:rsidTr="00C462CF">
        <w:trPr>
          <w:tblHeader/>
        </w:trPr>
        <w:tc>
          <w:tcPr>
            <w:tcW w:w="2929" w:type="dxa"/>
            <w:tcBorders>
              <w:top w:val="single" w:sz="5" w:space="0" w:color="auto"/>
              <w:left w:val="single" w:sz="5" w:space="0" w:color="auto"/>
              <w:bottom w:val="single" w:sz="5" w:space="0" w:color="auto"/>
              <w:right w:val="single" w:sz="5" w:space="0" w:color="auto"/>
            </w:tcBorders>
          </w:tcPr>
          <w:p w:rsidR="000B4EB4" w:rsidRPr="002E4199" w:rsidRDefault="000B4EB4" w:rsidP="004A4FB4">
            <w:pPr>
              <w:pStyle w:val="TextPItable"/>
              <w:widowControl w:val="0"/>
              <w:jc w:val="center"/>
              <w:rPr>
                <w:b/>
                <w:sz w:val="20"/>
                <w:szCs w:val="20"/>
              </w:rPr>
            </w:pPr>
            <w:r w:rsidRPr="002E4199">
              <w:rPr>
                <w:b/>
                <w:sz w:val="20"/>
                <w:szCs w:val="20"/>
              </w:rPr>
              <w:t>BODY SYSTEM</w:t>
            </w:r>
            <w:r w:rsidRPr="002E4199">
              <w:rPr>
                <w:b/>
                <w:sz w:val="20"/>
                <w:szCs w:val="20"/>
              </w:rPr>
              <w:br/>
              <w:t>Preferred Term</w:t>
            </w:r>
          </w:p>
        </w:tc>
        <w:tc>
          <w:tcPr>
            <w:tcW w:w="2962" w:type="dxa"/>
            <w:tcBorders>
              <w:top w:val="single" w:sz="5" w:space="0" w:color="auto"/>
              <w:left w:val="single" w:sz="5" w:space="0" w:color="auto"/>
              <w:bottom w:val="single" w:sz="5" w:space="0" w:color="auto"/>
              <w:right w:val="single" w:sz="5" w:space="0" w:color="auto"/>
            </w:tcBorders>
          </w:tcPr>
          <w:p w:rsidR="000B4EB4" w:rsidRPr="002E4199" w:rsidRDefault="000B4EB4" w:rsidP="004A4FB4">
            <w:pPr>
              <w:pStyle w:val="TextPItable"/>
              <w:widowControl w:val="0"/>
              <w:jc w:val="center"/>
              <w:rPr>
                <w:b/>
                <w:sz w:val="20"/>
                <w:szCs w:val="20"/>
              </w:rPr>
            </w:pPr>
            <w:r w:rsidRPr="002E4199">
              <w:rPr>
                <w:b/>
                <w:sz w:val="20"/>
                <w:szCs w:val="20"/>
              </w:rPr>
              <w:t>Placebo</w:t>
            </w:r>
            <w:r w:rsidRPr="002E4199">
              <w:rPr>
                <w:b/>
                <w:sz w:val="20"/>
                <w:szCs w:val="20"/>
              </w:rPr>
              <w:br/>
              <w:t>(n = 534)</w:t>
            </w:r>
            <w:r w:rsidRPr="002E4199">
              <w:rPr>
                <w:b/>
                <w:sz w:val="20"/>
                <w:szCs w:val="20"/>
              </w:rPr>
              <w:br/>
              <w:t>%</w:t>
            </w:r>
          </w:p>
        </w:tc>
        <w:tc>
          <w:tcPr>
            <w:tcW w:w="3118" w:type="dxa"/>
            <w:tcBorders>
              <w:top w:val="single" w:sz="5" w:space="0" w:color="auto"/>
              <w:left w:val="single" w:sz="5" w:space="0" w:color="auto"/>
              <w:bottom w:val="single" w:sz="5" w:space="0" w:color="auto"/>
              <w:right w:val="single" w:sz="5" w:space="0" w:color="auto"/>
            </w:tcBorders>
          </w:tcPr>
          <w:p w:rsidR="000B4EB4" w:rsidRPr="002E4199" w:rsidRDefault="004C1A83" w:rsidP="004A4FB4">
            <w:pPr>
              <w:pStyle w:val="TextPItable"/>
              <w:widowControl w:val="0"/>
              <w:jc w:val="center"/>
              <w:rPr>
                <w:b/>
                <w:spacing w:val="-2"/>
                <w:sz w:val="20"/>
                <w:szCs w:val="20"/>
              </w:rPr>
            </w:pPr>
            <w:r>
              <w:rPr>
                <w:b/>
                <w:spacing w:val="-2"/>
                <w:sz w:val="20"/>
                <w:szCs w:val="20"/>
              </w:rPr>
              <w:t>KINERET</w:t>
            </w:r>
            <w:r w:rsidR="000B4EB4" w:rsidRPr="002E4199">
              <w:rPr>
                <w:b/>
                <w:spacing w:val="-2"/>
                <w:sz w:val="20"/>
                <w:szCs w:val="20"/>
                <w:vertAlign w:val="superscript"/>
              </w:rPr>
              <w:t xml:space="preserve"> </w:t>
            </w:r>
            <w:r w:rsidR="000B4EB4" w:rsidRPr="002E4199">
              <w:rPr>
                <w:b/>
                <w:spacing w:val="-2"/>
                <w:sz w:val="20"/>
                <w:szCs w:val="20"/>
              </w:rPr>
              <w:t>100 mg/day</w:t>
            </w:r>
            <w:r w:rsidR="000B4EB4" w:rsidRPr="002E4199">
              <w:rPr>
                <w:b/>
                <w:spacing w:val="-2"/>
                <w:sz w:val="20"/>
                <w:szCs w:val="20"/>
              </w:rPr>
              <w:br/>
              <w:t>(n = 1366)</w:t>
            </w:r>
            <w:r w:rsidR="000B4EB4" w:rsidRPr="002E4199">
              <w:rPr>
                <w:b/>
                <w:spacing w:val="-2"/>
                <w:sz w:val="20"/>
                <w:szCs w:val="20"/>
              </w:rPr>
              <w:br/>
              <w:t>%</w:t>
            </w:r>
          </w:p>
        </w:tc>
      </w:tr>
      <w:tr w:rsidR="000B4EB4" w:rsidRPr="002E4199" w:rsidTr="00C462CF">
        <w:tc>
          <w:tcPr>
            <w:tcW w:w="2929" w:type="dxa"/>
            <w:tcBorders>
              <w:top w:val="single" w:sz="5" w:space="0" w:color="auto"/>
              <w:left w:val="single" w:sz="5" w:space="0" w:color="auto"/>
              <w:bottom w:val="nil"/>
              <w:right w:val="single" w:sz="5" w:space="0" w:color="auto"/>
            </w:tcBorders>
            <w:vAlign w:val="center"/>
          </w:tcPr>
          <w:p w:rsidR="000B4EB4" w:rsidRPr="002E4199" w:rsidRDefault="000B4EB4" w:rsidP="004A4FB4">
            <w:pPr>
              <w:pStyle w:val="TextPItable"/>
              <w:widowControl w:val="0"/>
              <w:rPr>
                <w:b/>
                <w:sz w:val="20"/>
                <w:szCs w:val="20"/>
              </w:rPr>
            </w:pPr>
            <w:r w:rsidRPr="002E4199">
              <w:rPr>
                <w:b/>
                <w:sz w:val="20"/>
                <w:szCs w:val="20"/>
              </w:rPr>
              <w:t>APPLICATION SITE</w:t>
            </w:r>
          </w:p>
        </w:tc>
        <w:tc>
          <w:tcPr>
            <w:tcW w:w="2962" w:type="dxa"/>
            <w:tcBorders>
              <w:top w:val="single" w:sz="5" w:space="0" w:color="auto"/>
              <w:left w:val="single" w:sz="5" w:space="0" w:color="auto"/>
              <w:bottom w:val="nil"/>
              <w:right w:val="single" w:sz="5" w:space="0" w:color="auto"/>
            </w:tcBorders>
          </w:tcPr>
          <w:p w:rsidR="000B4EB4" w:rsidRPr="002E4199" w:rsidRDefault="000B4EB4" w:rsidP="004A4FB4">
            <w:pPr>
              <w:pStyle w:val="TextPItable"/>
              <w:widowControl w:val="0"/>
              <w:jc w:val="center"/>
              <w:rPr>
                <w:sz w:val="20"/>
                <w:szCs w:val="20"/>
              </w:rPr>
            </w:pPr>
          </w:p>
        </w:tc>
        <w:tc>
          <w:tcPr>
            <w:tcW w:w="3118" w:type="dxa"/>
            <w:tcBorders>
              <w:top w:val="single" w:sz="5" w:space="0" w:color="auto"/>
              <w:left w:val="single" w:sz="5" w:space="0" w:color="auto"/>
              <w:bottom w:val="nil"/>
              <w:right w:val="single" w:sz="5" w:space="0" w:color="auto"/>
            </w:tcBorders>
          </w:tcPr>
          <w:p w:rsidR="000B4EB4" w:rsidRPr="002E4199" w:rsidRDefault="000B4EB4" w:rsidP="004A4FB4">
            <w:pPr>
              <w:pStyle w:val="TextPItable"/>
              <w:widowControl w:val="0"/>
              <w:jc w:val="center"/>
              <w:rPr>
                <w:sz w:val="20"/>
                <w:szCs w:val="20"/>
              </w:rPr>
            </w:pPr>
          </w:p>
        </w:tc>
      </w:tr>
      <w:tr w:rsidR="000B4EB4" w:rsidRPr="002E4199" w:rsidTr="00C462CF">
        <w:tc>
          <w:tcPr>
            <w:tcW w:w="2929" w:type="dxa"/>
            <w:tcBorders>
              <w:top w:val="nil"/>
              <w:left w:val="single" w:sz="5" w:space="0" w:color="auto"/>
              <w:bottom w:val="single" w:sz="5" w:space="0" w:color="auto"/>
              <w:right w:val="single" w:sz="5" w:space="0" w:color="auto"/>
            </w:tcBorders>
            <w:vAlign w:val="center"/>
          </w:tcPr>
          <w:p w:rsidR="000B4EB4" w:rsidRPr="002E4199" w:rsidRDefault="000B4EB4" w:rsidP="00123798">
            <w:pPr>
              <w:pStyle w:val="TextPItable"/>
              <w:keepNext/>
              <w:keepLines/>
              <w:spacing w:before="20" w:after="20"/>
              <w:rPr>
                <w:sz w:val="20"/>
                <w:szCs w:val="20"/>
              </w:rPr>
            </w:pPr>
            <w:r w:rsidRPr="002E4199">
              <w:rPr>
                <w:sz w:val="20"/>
                <w:szCs w:val="20"/>
              </w:rPr>
              <w:t>Injection Site Reaction</w:t>
            </w:r>
          </w:p>
        </w:tc>
        <w:tc>
          <w:tcPr>
            <w:tcW w:w="2962" w:type="dxa"/>
            <w:tcBorders>
              <w:top w:val="nil"/>
              <w:left w:val="single" w:sz="5" w:space="0" w:color="auto"/>
              <w:bottom w:val="single" w:sz="5" w:space="0" w:color="auto"/>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28.5</w:t>
            </w:r>
          </w:p>
        </w:tc>
        <w:tc>
          <w:tcPr>
            <w:tcW w:w="3118" w:type="dxa"/>
            <w:tcBorders>
              <w:top w:val="nil"/>
              <w:left w:val="single" w:sz="5" w:space="0" w:color="auto"/>
              <w:bottom w:val="single" w:sz="5" w:space="0" w:color="auto"/>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71.2</w:t>
            </w:r>
          </w:p>
        </w:tc>
      </w:tr>
      <w:tr w:rsidR="000B4EB4" w:rsidRPr="002E4199" w:rsidTr="00C462CF">
        <w:tc>
          <w:tcPr>
            <w:tcW w:w="2929" w:type="dxa"/>
            <w:tcBorders>
              <w:top w:val="single" w:sz="5" w:space="0" w:color="auto"/>
              <w:left w:val="single" w:sz="5" w:space="0" w:color="auto"/>
              <w:bottom w:val="nil"/>
              <w:right w:val="single" w:sz="5" w:space="0" w:color="auto"/>
            </w:tcBorders>
            <w:vAlign w:val="center"/>
          </w:tcPr>
          <w:p w:rsidR="000B4EB4" w:rsidRPr="002E4199" w:rsidRDefault="000B4EB4" w:rsidP="00123798">
            <w:pPr>
              <w:pStyle w:val="TextPItable"/>
              <w:keepNext/>
              <w:keepLines/>
              <w:rPr>
                <w:b/>
                <w:bCs/>
                <w:sz w:val="20"/>
                <w:szCs w:val="20"/>
              </w:rPr>
            </w:pPr>
            <w:r w:rsidRPr="002E4199">
              <w:rPr>
                <w:b/>
                <w:bCs/>
                <w:sz w:val="20"/>
                <w:szCs w:val="20"/>
              </w:rPr>
              <w:t>BODY AS A WHOLE</w:t>
            </w:r>
          </w:p>
        </w:tc>
        <w:tc>
          <w:tcPr>
            <w:tcW w:w="2962" w:type="dxa"/>
            <w:tcBorders>
              <w:top w:val="single" w:sz="5" w:space="0" w:color="auto"/>
              <w:left w:val="single" w:sz="5" w:space="0" w:color="auto"/>
              <w:bottom w:val="nil"/>
              <w:right w:val="single" w:sz="5" w:space="0" w:color="auto"/>
            </w:tcBorders>
          </w:tcPr>
          <w:p w:rsidR="000B4EB4" w:rsidRPr="002E4199" w:rsidRDefault="000B4EB4" w:rsidP="00123798">
            <w:pPr>
              <w:pStyle w:val="TextPItable"/>
              <w:keepNext/>
              <w:keepLines/>
              <w:jc w:val="center"/>
              <w:rPr>
                <w:sz w:val="20"/>
                <w:szCs w:val="20"/>
              </w:rPr>
            </w:pPr>
          </w:p>
        </w:tc>
        <w:tc>
          <w:tcPr>
            <w:tcW w:w="3118" w:type="dxa"/>
            <w:tcBorders>
              <w:top w:val="single" w:sz="5" w:space="0" w:color="auto"/>
              <w:left w:val="single" w:sz="5" w:space="0" w:color="auto"/>
              <w:bottom w:val="nil"/>
              <w:right w:val="single" w:sz="5" w:space="0" w:color="auto"/>
            </w:tcBorders>
          </w:tcPr>
          <w:p w:rsidR="000B4EB4" w:rsidRPr="002E4199" w:rsidRDefault="000B4EB4" w:rsidP="00123798">
            <w:pPr>
              <w:pStyle w:val="TextPItable"/>
              <w:keepNext/>
              <w:keepLines/>
              <w:jc w:val="center"/>
              <w:rPr>
                <w:sz w:val="20"/>
                <w:szCs w:val="20"/>
              </w:rPr>
            </w:pPr>
          </w:p>
        </w:tc>
      </w:tr>
      <w:tr w:rsidR="000B4EB4" w:rsidRPr="002E4199" w:rsidTr="00C462CF">
        <w:tc>
          <w:tcPr>
            <w:tcW w:w="2929"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left"/>
              <w:rPr>
                <w:sz w:val="20"/>
                <w:szCs w:val="20"/>
              </w:rPr>
            </w:pPr>
            <w:r w:rsidRPr="002E4199">
              <w:rPr>
                <w:sz w:val="20"/>
                <w:szCs w:val="20"/>
              </w:rPr>
              <w:t>Influenza-Like Symptoms</w:t>
            </w:r>
          </w:p>
        </w:tc>
        <w:tc>
          <w:tcPr>
            <w:tcW w:w="2962"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5.2</w:t>
            </w:r>
          </w:p>
        </w:tc>
        <w:tc>
          <w:tcPr>
            <w:tcW w:w="3118"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6.0</w:t>
            </w:r>
          </w:p>
        </w:tc>
      </w:tr>
      <w:tr w:rsidR="000B4EB4" w:rsidRPr="002E4199" w:rsidTr="00C462CF">
        <w:tc>
          <w:tcPr>
            <w:tcW w:w="2929"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left"/>
              <w:rPr>
                <w:sz w:val="20"/>
                <w:szCs w:val="20"/>
              </w:rPr>
            </w:pPr>
            <w:proofErr w:type="spellStart"/>
            <w:r w:rsidRPr="002E4199">
              <w:rPr>
                <w:sz w:val="20"/>
                <w:szCs w:val="20"/>
              </w:rPr>
              <w:t>Oedema</w:t>
            </w:r>
            <w:proofErr w:type="spellEnd"/>
            <w:r w:rsidRPr="002E4199">
              <w:rPr>
                <w:sz w:val="20"/>
                <w:szCs w:val="20"/>
              </w:rPr>
              <w:t xml:space="preserve"> Peripheral</w:t>
            </w:r>
          </w:p>
        </w:tc>
        <w:tc>
          <w:tcPr>
            <w:tcW w:w="2962"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4.5</w:t>
            </w:r>
          </w:p>
        </w:tc>
        <w:tc>
          <w:tcPr>
            <w:tcW w:w="3118"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3.8</w:t>
            </w:r>
          </w:p>
        </w:tc>
      </w:tr>
      <w:tr w:rsidR="000B4EB4" w:rsidRPr="002E4199" w:rsidTr="00C462CF">
        <w:tc>
          <w:tcPr>
            <w:tcW w:w="2929"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left"/>
              <w:rPr>
                <w:sz w:val="20"/>
                <w:szCs w:val="20"/>
              </w:rPr>
            </w:pPr>
            <w:r w:rsidRPr="002E4199">
              <w:rPr>
                <w:sz w:val="20"/>
                <w:szCs w:val="20"/>
              </w:rPr>
              <w:t>Injury</w:t>
            </w:r>
          </w:p>
        </w:tc>
        <w:tc>
          <w:tcPr>
            <w:tcW w:w="2962"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3.2</w:t>
            </w:r>
          </w:p>
        </w:tc>
        <w:tc>
          <w:tcPr>
            <w:tcW w:w="3118"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2.9</w:t>
            </w:r>
          </w:p>
        </w:tc>
      </w:tr>
      <w:tr w:rsidR="000B4EB4" w:rsidRPr="002E4199" w:rsidTr="00C462CF">
        <w:tc>
          <w:tcPr>
            <w:tcW w:w="2929"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left"/>
              <w:rPr>
                <w:sz w:val="20"/>
                <w:szCs w:val="20"/>
              </w:rPr>
            </w:pPr>
            <w:r w:rsidRPr="002E4199">
              <w:rPr>
                <w:sz w:val="20"/>
                <w:szCs w:val="20"/>
              </w:rPr>
              <w:t>Fever</w:t>
            </w:r>
          </w:p>
        </w:tc>
        <w:tc>
          <w:tcPr>
            <w:tcW w:w="2962"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1.5</w:t>
            </w:r>
          </w:p>
        </w:tc>
        <w:tc>
          <w:tcPr>
            <w:tcW w:w="3118"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2.2</w:t>
            </w:r>
          </w:p>
        </w:tc>
      </w:tr>
      <w:tr w:rsidR="000B4EB4" w:rsidRPr="002E4199" w:rsidTr="00C462CF">
        <w:tc>
          <w:tcPr>
            <w:tcW w:w="2929"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left"/>
              <w:rPr>
                <w:sz w:val="20"/>
                <w:szCs w:val="20"/>
              </w:rPr>
            </w:pPr>
            <w:r w:rsidRPr="002E4199">
              <w:rPr>
                <w:sz w:val="20"/>
                <w:szCs w:val="20"/>
              </w:rPr>
              <w:t>Pain Chest</w:t>
            </w:r>
          </w:p>
        </w:tc>
        <w:tc>
          <w:tcPr>
            <w:tcW w:w="2962"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1.3</w:t>
            </w:r>
          </w:p>
        </w:tc>
        <w:tc>
          <w:tcPr>
            <w:tcW w:w="3118"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2.2</w:t>
            </w:r>
          </w:p>
        </w:tc>
      </w:tr>
      <w:tr w:rsidR="000B4EB4" w:rsidRPr="002E4199" w:rsidTr="00C462CF">
        <w:tc>
          <w:tcPr>
            <w:tcW w:w="2929" w:type="dxa"/>
            <w:tcBorders>
              <w:top w:val="nil"/>
              <w:left w:val="single" w:sz="5" w:space="0" w:color="auto"/>
              <w:bottom w:val="single" w:sz="6" w:space="0" w:color="auto"/>
              <w:right w:val="single" w:sz="5" w:space="0" w:color="auto"/>
            </w:tcBorders>
            <w:vAlign w:val="center"/>
          </w:tcPr>
          <w:p w:rsidR="000B4EB4" w:rsidRPr="002E4199" w:rsidRDefault="000B4EB4" w:rsidP="00123798">
            <w:pPr>
              <w:pStyle w:val="TextPItable"/>
              <w:keepNext/>
              <w:keepLines/>
              <w:spacing w:before="20" w:after="20"/>
              <w:jc w:val="left"/>
              <w:rPr>
                <w:sz w:val="20"/>
                <w:szCs w:val="20"/>
              </w:rPr>
            </w:pPr>
            <w:r w:rsidRPr="002E4199">
              <w:rPr>
                <w:sz w:val="20"/>
                <w:szCs w:val="20"/>
              </w:rPr>
              <w:t>Fatigue</w:t>
            </w:r>
          </w:p>
        </w:tc>
        <w:tc>
          <w:tcPr>
            <w:tcW w:w="2962" w:type="dxa"/>
            <w:tcBorders>
              <w:top w:val="nil"/>
              <w:left w:val="single" w:sz="5" w:space="0" w:color="auto"/>
              <w:bottom w:val="single" w:sz="6" w:space="0" w:color="auto"/>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3.7</w:t>
            </w:r>
          </w:p>
        </w:tc>
        <w:tc>
          <w:tcPr>
            <w:tcW w:w="3118" w:type="dxa"/>
            <w:tcBorders>
              <w:top w:val="nil"/>
              <w:left w:val="single" w:sz="5" w:space="0" w:color="auto"/>
              <w:bottom w:val="single" w:sz="6" w:space="0" w:color="auto"/>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3.6</w:t>
            </w:r>
          </w:p>
        </w:tc>
      </w:tr>
      <w:tr w:rsidR="000B4EB4" w:rsidRPr="002E4199" w:rsidTr="00C462CF">
        <w:tc>
          <w:tcPr>
            <w:tcW w:w="2929" w:type="dxa"/>
            <w:tcBorders>
              <w:top w:val="single" w:sz="6" w:space="0" w:color="auto"/>
              <w:left w:val="single" w:sz="6" w:space="0" w:color="auto"/>
              <w:right w:val="single" w:sz="6" w:space="0" w:color="auto"/>
            </w:tcBorders>
            <w:vAlign w:val="center"/>
          </w:tcPr>
          <w:p w:rsidR="000B4EB4" w:rsidRPr="002E4199" w:rsidRDefault="000B4EB4" w:rsidP="00123798">
            <w:pPr>
              <w:pStyle w:val="TextPItable"/>
              <w:keepNext/>
              <w:keepLines/>
              <w:rPr>
                <w:sz w:val="20"/>
                <w:szCs w:val="20"/>
              </w:rPr>
            </w:pPr>
            <w:r w:rsidRPr="002E4199">
              <w:rPr>
                <w:b/>
                <w:bCs/>
                <w:sz w:val="20"/>
                <w:szCs w:val="20"/>
              </w:rPr>
              <w:t>CARDIOVASCULAR</w:t>
            </w:r>
          </w:p>
        </w:tc>
        <w:tc>
          <w:tcPr>
            <w:tcW w:w="2962" w:type="dxa"/>
            <w:tcBorders>
              <w:top w:val="single" w:sz="6" w:space="0" w:color="auto"/>
              <w:left w:val="single" w:sz="6" w:space="0" w:color="auto"/>
              <w:right w:val="single" w:sz="6" w:space="0" w:color="auto"/>
            </w:tcBorders>
            <w:vAlign w:val="center"/>
          </w:tcPr>
          <w:p w:rsidR="000B4EB4" w:rsidRPr="002E4199" w:rsidRDefault="000B4EB4" w:rsidP="00123798">
            <w:pPr>
              <w:pStyle w:val="TextPItable"/>
              <w:keepNext/>
              <w:keepLines/>
              <w:jc w:val="center"/>
              <w:rPr>
                <w:sz w:val="20"/>
                <w:szCs w:val="20"/>
              </w:rPr>
            </w:pPr>
          </w:p>
        </w:tc>
        <w:tc>
          <w:tcPr>
            <w:tcW w:w="3118" w:type="dxa"/>
            <w:tcBorders>
              <w:top w:val="single" w:sz="6" w:space="0" w:color="auto"/>
              <w:left w:val="single" w:sz="6" w:space="0" w:color="auto"/>
              <w:right w:val="single" w:sz="6" w:space="0" w:color="auto"/>
            </w:tcBorders>
            <w:vAlign w:val="center"/>
          </w:tcPr>
          <w:p w:rsidR="000B4EB4" w:rsidRPr="002E4199" w:rsidRDefault="000B4EB4" w:rsidP="00123798">
            <w:pPr>
              <w:pStyle w:val="TextPItable"/>
              <w:keepNext/>
              <w:keepLines/>
              <w:jc w:val="center"/>
              <w:rPr>
                <w:sz w:val="20"/>
                <w:szCs w:val="20"/>
              </w:rPr>
            </w:pPr>
          </w:p>
        </w:tc>
      </w:tr>
      <w:tr w:rsidR="000B4EB4" w:rsidRPr="002E4199" w:rsidTr="00C462CF">
        <w:tc>
          <w:tcPr>
            <w:tcW w:w="2929" w:type="dxa"/>
            <w:tcBorders>
              <w:left w:val="single" w:sz="6" w:space="0" w:color="auto"/>
              <w:bottom w:val="single" w:sz="6" w:space="0" w:color="auto"/>
              <w:right w:val="single" w:sz="6" w:space="0" w:color="auto"/>
            </w:tcBorders>
            <w:vAlign w:val="center"/>
          </w:tcPr>
          <w:p w:rsidR="000B4EB4" w:rsidRPr="002E4199" w:rsidRDefault="000B4EB4" w:rsidP="00123798">
            <w:pPr>
              <w:pStyle w:val="TextPItable"/>
              <w:keepNext/>
              <w:keepLines/>
              <w:spacing w:before="20" w:after="20"/>
              <w:jc w:val="left"/>
              <w:rPr>
                <w:sz w:val="20"/>
                <w:szCs w:val="20"/>
              </w:rPr>
            </w:pPr>
            <w:r w:rsidRPr="002E4199">
              <w:rPr>
                <w:sz w:val="20"/>
                <w:szCs w:val="20"/>
              </w:rPr>
              <w:t>Hypertension</w:t>
            </w:r>
          </w:p>
        </w:tc>
        <w:tc>
          <w:tcPr>
            <w:tcW w:w="2962" w:type="dxa"/>
            <w:tcBorders>
              <w:left w:val="single" w:sz="6" w:space="0" w:color="auto"/>
              <w:bottom w:val="single" w:sz="6" w:space="0" w:color="auto"/>
              <w:right w:val="single" w:sz="6"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2.6</w:t>
            </w:r>
          </w:p>
        </w:tc>
        <w:tc>
          <w:tcPr>
            <w:tcW w:w="3118" w:type="dxa"/>
            <w:tcBorders>
              <w:left w:val="single" w:sz="6" w:space="0" w:color="auto"/>
              <w:bottom w:val="single" w:sz="6" w:space="0" w:color="auto"/>
              <w:right w:val="single" w:sz="6"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4.5</w:t>
            </w:r>
          </w:p>
        </w:tc>
      </w:tr>
    </w:tbl>
    <w:p w:rsidR="00C462CF" w:rsidRDefault="00C462CF">
      <w:r>
        <w:br w:type="page"/>
      </w:r>
    </w:p>
    <w:tbl>
      <w:tblPr>
        <w:tblW w:w="8868" w:type="dxa"/>
        <w:tblInd w:w="57" w:type="dxa"/>
        <w:tblLayout w:type="fixed"/>
        <w:tblCellMar>
          <w:top w:w="57" w:type="dxa"/>
          <w:left w:w="57" w:type="dxa"/>
          <w:right w:w="0" w:type="dxa"/>
        </w:tblCellMar>
        <w:tblLook w:val="0000" w:firstRow="0" w:lastRow="0" w:firstColumn="0" w:lastColumn="0" w:noHBand="0" w:noVBand="0"/>
      </w:tblPr>
      <w:tblGrid>
        <w:gridCol w:w="2929"/>
        <w:gridCol w:w="2962"/>
        <w:gridCol w:w="2977"/>
      </w:tblGrid>
      <w:tr w:rsidR="000B4EB4" w:rsidRPr="002E4199" w:rsidTr="00C462CF">
        <w:tc>
          <w:tcPr>
            <w:tcW w:w="2929" w:type="dxa"/>
            <w:tcBorders>
              <w:top w:val="single" w:sz="5" w:space="0" w:color="auto"/>
              <w:left w:val="single" w:sz="5" w:space="0" w:color="auto"/>
              <w:bottom w:val="nil"/>
              <w:right w:val="single" w:sz="5" w:space="0" w:color="auto"/>
            </w:tcBorders>
            <w:vAlign w:val="center"/>
          </w:tcPr>
          <w:p w:rsidR="000B4EB4" w:rsidRPr="002E4199" w:rsidRDefault="000B4EB4" w:rsidP="00123798">
            <w:pPr>
              <w:pStyle w:val="TextPItable"/>
              <w:keepNext/>
              <w:keepLines/>
              <w:rPr>
                <w:rFonts w:cs="Arial"/>
                <w:b/>
                <w:bCs/>
                <w:sz w:val="20"/>
                <w:szCs w:val="20"/>
              </w:rPr>
            </w:pPr>
            <w:r w:rsidRPr="002E4199">
              <w:rPr>
                <w:rFonts w:cs="Arial"/>
                <w:b/>
                <w:bCs/>
                <w:sz w:val="20"/>
                <w:szCs w:val="20"/>
              </w:rPr>
              <w:lastRenderedPageBreak/>
              <w:t>CNS/PNS</w:t>
            </w:r>
          </w:p>
        </w:tc>
        <w:tc>
          <w:tcPr>
            <w:tcW w:w="2962" w:type="dxa"/>
            <w:tcBorders>
              <w:top w:val="single" w:sz="5" w:space="0" w:color="auto"/>
              <w:left w:val="single" w:sz="5" w:space="0" w:color="auto"/>
              <w:bottom w:val="nil"/>
              <w:right w:val="single" w:sz="5" w:space="0" w:color="auto"/>
            </w:tcBorders>
          </w:tcPr>
          <w:p w:rsidR="000B4EB4" w:rsidRPr="002E4199" w:rsidRDefault="000B4EB4" w:rsidP="00123798">
            <w:pPr>
              <w:pStyle w:val="TextPItable"/>
              <w:keepNext/>
              <w:keepLines/>
              <w:jc w:val="center"/>
              <w:rPr>
                <w:rFonts w:cs="Arial"/>
                <w:sz w:val="20"/>
                <w:szCs w:val="20"/>
              </w:rPr>
            </w:pPr>
          </w:p>
        </w:tc>
        <w:tc>
          <w:tcPr>
            <w:tcW w:w="2977" w:type="dxa"/>
            <w:tcBorders>
              <w:top w:val="single" w:sz="5" w:space="0" w:color="auto"/>
              <w:left w:val="single" w:sz="5" w:space="0" w:color="auto"/>
              <w:bottom w:val="nil"/>
              <w:right w:val="single" w:sz="5" w:space="0" w:color="auto"/>
            </w:tcBorders>
          </w:tcPr>
          <w:p w:rsidR="000B4EB4" w:rsidRPr="002E4199" w:rsidRDefault="000B4EB4" w:rsidP="00123798">
            <w:pPr>
              <w:pStyle w:val="TextPItable"/>
              <w:keepNext/>
              <w:keepLines/>
              <w:jc w:val="center"/>
              <w:rPr>
                <w:rFonts w:cs="Arial"/>
                <w:sz w:val="20"/>
                <w:szCs w:val="20"/>
              </w:rPr>
            </w:pPr>
          </w:p>
        </w:tc>
      </w:tr>
      <w:tr w:rsidR="000B4EB4" w:rsidRPr="002E4199" w:rsidTr="00C462CF">
        <w:tc>
          <w:tcPr>
            <w:tcW w:w="2929"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left"/>
              <w:rPr>
                <w:sz w:val="20"/>
                <w:szCs w:val="20"/>
              </w:rPr>
            </w:pPr>
            <w:r w:rsidRPr="002E4199">
              <w:rPr>
                <w:sz w:val="20"/>
                <w:szCs w:val="20"/>
              </w:rPr>
              <w:t>Headache</w:t>
            </w:r>
          </w:p>
        </w:tc>
        <w:tc>
          <w:tcPr>
            <w:tcW w:w="2962"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8.8</w:t>
            </w:r>
          </w:p>
        </w:tc>
        <w:tc>
          <w:tcPr>
            <w:tcW w:w="2977"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12.3</w:t>
            </w:r>
          </w:p>
        </w:tc>
      </w:tr>
      <w:tr w:rsidR="000B4EB4" w:rsidRPr="002E4199" w:rsidTr="00C462CF">
        <w:tc>
          <w:tcPr>
            <w:tcW w:w="2929"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left"/>
              <w:rPr>
                <w:sz w:val="20"/>
                <w:szCs w:val="20"/>
              </w:rPr>
            </w:pPr>
            <w:r w:rsidRPr="002E4199">
              <w:rPr>
                <w:sz w:val="20"/>
                <w:szCs w:val="20"/>
              </w:rPr>
              <w:t>Dizziness</w:t>
            </w:r>
          </w:p>
        </w:tc>
        <w:tc>
          <w:tcPr>
            <w:tcW w:w="2962"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4.3</w:t>
            </w:r>
          </w:p>
        </w:tc>
        <w:tc>
          <w:tcPr>
            <w:tcW w:w="2977"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4.5</w:t>
            </w:r>
          </w:p>
        </w:tc>
      </w:tr>
      <w:tr w:rsidR="000B4EB4" w:rsidRPr="002E4199" w:rsidTr="00C462CF">
        <w:tc>
          <w:tcPr>
            <w:tcW w:w="2929" w:type="dxa"/>
            <w:tcBorders>
              <w:top w:val="nil"/>
              <w:left w:val="single" w:sz="5" w:space="0" w:color="auto"/>
              <w:bottom w:val="single" w:sz="5" w:space="0" w:color="auto"/>
              <w:right w:val="single" w:sz="5" w:space="0" w:color="auto"/>
            </w:tcBorders>
            <w:vAlign w:val="center"/>
          </w:tcPr>
          <w:p w:rsidR="000B4EB4" w:rsidRPr="002E4199" w:rsidRDefault="000B4EB4" w:rsidP="00123798">
            <w:pPr>
              <w:pStyle w:val="TextPItable"/>
              <w:keepNext/>
              <w:keepLines/>
              <w:spacing w:before="20" w:after="20"/>
              <w:jc w:val="left"/>
              <w:rPr>
                <w:sz w:val="20"/>
                <w:szCs w:val="20"/>
              </w:rPr>
            </w:pPr>
            <w:r w:rsidRPr="002E4199">
              <w:rPr>
                <w:sz w:val="20"/>
                <w:szCs w:val="20"/>
              </w:rPr>
              <w:t>Insomnia</w:t>
            </w:r>
          </w:p>
        </w:tc>
        <w:tc>
          <w:tcPr>
            <w:tcW w:w="2962" w:type="dxa"/>
            <w:tcBorders>
              <w:top w:val="nil"/>
              <w:left w:val="single" w:sz="5" w:space="0" w:color="auto"/>
              <w:bottom w:val="single" w:sz="5" w:space="0" w:color="auto"/>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2.2</w:t>
            </w:r>
          </w:p>
        </w:tc>
        <w:tc>
          <w:tcPr>
            <w:tcW w:w="2977" w:type="dxa"/>
            <w:tcBorders>
              <w:top w:val="nil"/>
              <w:left w:val="single" w:sz="5" w:space="0" w:color="auto"/>
              <w:bottom w:val="single" w:sz="5" w:space="0" w:color="auto"/>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3.1</w:t>
            </w:r>
          </w:p>
        </w:tc>
      </w:tr>
      <w:tr w:rsidR="000B4EB4" w:rsidRPr="002E4199" w:rsidTr="00C462CF">
        <w:tc>
          <w:tcPr>
            <w:tcW w:w="2929" w:type="dxa"/>
            <w:tcBorders>
              <w:top w:val="single" w:sz="5" w:space="0" w:color="auto"/>
              <w:left w:val="single" w:sz="5" w:space="0" w:color="auto"/>
              <w:bottom w:val="nil"/>
              <w:right w:val="single" w:sz="5" w:space="0" w:color="auto"/>
            </w:tcBorders>
            <w:vAlign w:val="center"/>
          </w:tcPr>
          <w:p w:rsidR="000B4EB4" w:rsidRPr="002E4199" w:rsidRDefault="000B4EB4" w:rsidP="00123798">
            <w:pPr>
              <w:pStyle w:val="TextPItable"/>
              <w:keepNext/>
              <w:keepLines/>
              <w:rPr>
                <w:rFonts w:cs="Arial"/>
                <w:b/>
                <w:bCs/>
                <w:sz w:val="20"/>
                <w:szCs w:val="20"/>
              </w:rPr>
            </w:pPr>
            <w:r w:rsidRPr="002E4199">
              <w:rPr>
                <w:rFonts w:cs="Arial"/>
                <w:b/>
                <w:bCs/>
                <w:sz w:val="20"/>
                <w:szCs w:val="20"/>
              </w:rPr>
              <w:t>GASTROINTESTINAL</w:t>
            </w:r>
          </w:p>
        </w:tc>
        <w:tc>
          <w:tcPr>
            <w:tcW w:w="2962" w:type="dxa"/>
            <w:tcBorders>
              <w:top w:val="single" w:sz="5" w:space="0" w:color="auto"/>
              <w:left w:val="single" w:sz="5" w:space="0" w:color="auto"/>
              <w:bottom w:val="nil"/>
              <w:right w:val="single" w:sz="5" w:space="0" w:color="auto"/>
            </w:tcBorders>
          </w:tcPr>
          <w:p w:rsidR="000B4EB4" w:rsidRPr="002E4199" w:rsidRDefault="000B4EB4" w:rsidP="00123798">
            <w:pPr>
              <w:pStyle w:val="TextPItable"/>
              <w:keepNext/>
              <w:keepLines/>
              <w:jc w:val="center"/>
              <w:rPr>
                <w:rFonts w:cs="Arial"/>
                <w:sz w:val="20"/>
                <w:szCs w:val="20"/>
              </w:rPr>
            </w:pPr>
          </w:p>
        </w:tc>
        <w:tc>
          <w:tcPr>
            <w:tcW w:w="2977" w:type="dxa"/>
            <w:tcBorders>
              <w:top w:val="single" w:sz="5" w:space="0" w:color="auto"/>
              <w:left w:val="single" w:sz="5" w:space="0" w:color="auto"/>
              <w:bottom w:val="nil"/>
              <w:right w:val="single" w:sz="5" w:space="0" w:color="auto"/>
            </w:tcBorders>
          </w:tcPr>
          <w:p w:rsidR="000B4EB4" w:rsidRPr="002E4199" w:rsidRDefault="000B4EB4" w:rsidP="00123798">
            <w:pPr>
              <w:pStyle w:val="TextPItable"/>
              <w:keepNext/>
              <w:keepLines/>
              <w:jc w:val="center"/>
              <w:rPr>
                <w:rFonts w:cs="Arial"/>
                <w:sz w:val="20"/>
                <w:szCs w:val="20"/>
              </w:rPr>
            </w:pPr>
          </w:p>
        </w:tc>
      </w:tr>
      <w:tr w:rsidR="000B4EB4" w:rsidRPr="002E4199" w:rsidTr="00C462CF">
        <w:tc>
          <w:tcPr>
            <w:tcW w:w="2929"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left"/>
              <w:rPr>
                <w:sz w:val="20"/>
                <w:szCs w:val="20"/>
              </w:rPr>
            </w:pPr>
            <w:r w:rsidRPr="002E4199">
              <w:rPr>
                <w:sz w:val="20"/>
                <w:szCs w:val="20"/>
              </w:rPr>
              <w:t>Nausea</w:t>
            </w:r>
          </w:p>
        </w:tc>
        <w:tc>
          <w:tcPr>
            <w:tcW w:w="2962"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6.4</w:t>
            </w:r>
          </w:p>
        </w:tc>
        <w:tc>
          <w:tcPr>
            <w:tcW w:w="2977"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8.4</w:t>
            </w:r>
          </w:p>
        </w:tc>
      </w:tr>
      <w:tr w:rsidR="000B4EB4" w:rsidRPr="002E4199" w:rsidTr="00C462CF">
        <w:tc>
          <w:tcPr>
            <w:tcW w:w="2929"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left"/>
              <w:rPr>
                <w:sz w:val="20"/>
                <w:szCs w:val="20"/>
              </w:rPr>
            </w:pPr>
            <w:proofErr w:type="spellStart"/>
            <w:r w:rsidRPr="002E4199">
              <w:rPr>
                <w:sz w:val="20"/>
                <w:szCs w:val="20"/>
              </w:rPr>
              <w:t>Diarrhoea</w:t>
            </w:r>
            <w:proofErr w:type="spellEnd"/>
          </w:p>
        </w:tc>
        <w:tc>
          <w:tcPr>
            <w:tcW w:w="2962"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5.2</w:t>
            </w:r>
          </w:p>
        </w:tc>
        <w:tc>
          <w:tcPr>
            <w:tcW w:w="2977"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7.1</w:t>
            </w:r>
          </w:p>
        </w:tc>
      </w:tr>
      <w:tr w:rsidR="000B4EB4" w:rsidRPr="002E4199" w:rsidTr="00C462CF">
        <w:tc>
          <w:tcPr>
            <w:tcW w:w="2929"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left"/>
              <w:rPr>
                <w:sz w:val="20"/>
                <w:szCs w:val="20"/>
              </w:rPr>
            </w:pPr>
            <w:r w:rsidRPr="002E4199">
              <w:rPr>
                <w:sz w:val="20"/>
                <w:szCs w:val="20"/>
              </w:rPr>
              <w:t>Pain Abdominal</w:t>
            </w:r>
          </w:p>
        </w:tc>
        <w:tc>
          <w:tcPr>
            <w:tcW w:w="2962"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4.5</w:t>
            </w:r>
          </w:p>
        </w:tc>
        <w:tc>
          <w:tcPr>
            <w:tcW w:w="2977"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5.3</w:t>
            </w:r>
          </w:p>
        </w:tc>
      </w:tr>
      <w:tr w:rsidR="000B4EB4" w:rsidRPr="002E4199" w:rsidTr="00C462CF">
        <w:tc>
          <w:tcPr>
            <w:tcW w:w="2929"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left"/>
              <w:rPr>
                <w:sz w:val="20"/>
                <w:szCs w:val="20"/>
              </w:rPr>
            </w:pPr>
            <w:r w:rsidRPr="002E4199">
              <w:rPr>
                <w:sz w:val="20"/>
                <w:szCs w:val="20"/>
              </w:rPr>
              <w:t>Dyspepsia</w:t>
            </w:r>
          </w:p>
        </w:tc>
        <w:tc>
          <w:tcPr>
            <w:tcW w:w="2962"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4.3</w:t>
            </w:r>
          </w:p>
        </w:tc>
        <w:tc>
          <w:tcPr>
            <w:tcW w:w="2977" w:type="dxa"/>
            <w:tcBorders>
              <w:top w:val="nil"/>
              <w:left w:val="single" w:sz="5" w:space="0" w:color="auto"/>
              <w:bottom w:val="nil"/>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4.7</w:t>
            </w:r>
          </w:p>
        </w:tc>
      </w:tr>
      <w:tr w:rsidR="000B4EB4" w:rsidRPr="002E4199" w:rsidTr="00C462CF">
        <w:tc>
          <w:tcPr>
            <w:tcW w:w="2929" w:type="dxa"/>
            <w:tcBorders>
              <w:top w:val="nil"/>
              <w:left w:val="single" w:sz="5" w:space="0" w:color="auto"/>
              <w:bottom w:val="single" w:sz="5" w:space="0" w:color="auto"/>
              <w:right w:val="single" w:sz="5" w:space="0" w:color="auto"/>
            </w:tcBorders>
            <w:vAlign w:val="center"/>
          </w:tcPr>
          <w:p w:rsidR="000B4EB4" w:rsidRPr="002E4199" w:rsidRDefault="000B4EB4" w:rsidP="00123798">
            <w:pPr>
              <w:pStyle w:val="TextPItable"/>
              <w:keepNext/>
              <w:keepLines/>
              <w:spacing w:before="20" w:after="20"/>
              <w:jc w:val="left"/>
              <w:rPr>
                <w:sz w:val="20"/>
                <w:szCs w:val="20"/>
              </w:rPr>
            </w:pPr>
            <w:r w:rsidRPr="002E4199">
              <w:rPr>
                <w:sz w:val="20"/>
                <w:szCs w:val="20"/>
              </w:rPr>
              <w:t>Vomiting</w:t>
            </w:r>
          </w:p>
        </w:tc>
        <w:tc>
          <w:tcPr>
            <w:tcW w:w="2962" w:type="dxa"/>
            <w:tcBorders>
              <w:top w:val="nil"/>
              <w:left w:val="single" w:sz="5" w:space="0" w:color="auto"/>
              <w:bottom w:val="single" w:sz="5" w:space="0" w:color="auto"/>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4.1</w:t>
            </w:r>
          </w:p>
        </w:tc>
        <w:tc>
          <w:tcPr>
            <w:tcW w:w="2977" w:type="dxa"/>
            <w:tcBorders>
              <w:top w:val="nil"/>
              <w:left w:val="single" w:sz="5" w:space="0" w:color="auto"/>
              <w:bottom w:val="single" w:sz="5" w:space="0" w:color="auto"/>
              <w:right w:val="single" w:sz="5" w:space="0" w:color="auto"/>
            </w:tcBorders>
            <w:vAlign w:val="center"/>
          </w:tcPr>
          <w:p w:rsidR="000B4EB4" w:rsidRPr="002E4199" w:rsidRDefault="000B4EB4" w:rsidP="00123798">
            <w:pPr>
              <w:pStyle w:val="TextPItable"/>
              <w:keepNext/>
              <w:keepLines/>
              <w:spacing w:before="20" w:after="20"/>
              <w:jc w:val="center"/>
              <w:rPr>
                <w:sz w:val="20"/>
                <w:szCs w:val="20"/>
              </w:rPr>
            </w:pPr>
            <w:r w:rsidRPr="002E4199">
              <w:rPr>
                <w:sz w:val="20"/>
                <w:szCs w:val="20"/>
              </w:rPr>
              <w:t>3.0</w:t>
            </w:r>
          </w:p>
        </w:tc>
      </w:tr>
      <w:tr w:rsidR="00591BAD" w:rsidRPr="002E4199" w:rsidTr="00C462CF">
        <w:tc>
          <w:tcPr>
            <w:tcW w:w="2929" w:type="dxa"/>
            <w:tcBorders>
              <w:top w:val="single" w:sz="5" w:space="0" w:color="auto"/>
              <w:left w:val="single" w:sz="5" w:space="0" w:color="auto"/>
              <w:bottom w:val="nil"/>
              <w:right w:val="single" w:sz="5" w:space="0" w:color="auto"/>
            </w:tcBorders>
            <w:vAlign w:val="center"/>
          </w:tcPr>
          <w:p w:rsidR="00591BAD" w:rsidRPr="002E4199" w:rsidRDefault="00591BAD" w:rsidP="00123798">
            <w:pPr>
              <w:pStyle w:val="TextPItable"/>
              <w:keepNext/>
              <w:keepLines/>
              <w:rPr>
                <w:rFonts w:cs="Arial"/>
                <w:b/>
                <w:bCs/>
                <w:sz w:val="20"/>
                <w:szCs w:val="20"/>
              </w:rPr>
            </w:pPr>
            <w:r w:rsidRPr="002E4199">
              <w:rPr>
                <w:rFonts w:cs="Arial"/>
                <w:b/>
                <w:bCs/>
                <w:sz w:val="20"/>
                <w:szCs w:val="20"/>
              </w:rPr>
              <w:t>HAEMATOLOGIC</w:t>
            </w:r>
          </w:p>
        </w:tc>
        <w:tc>
          <w:tcPr>
            <w:tcW w:w="2962" w:type="dxa"/>
            <w:tcBorders>
              <w:top w:val="single" w:sz="5" w:space="0" w:color="auto"/>
              <w:left w:val="single" w:sz="5" w:space="0" w:color="auto"/>
              <w:bottom w:val="nil"/>
              <w:right w:val="single" w:sz="5" w:space="0" w:color="auto"/>
            </w:tcBorders>
          </w:tcPr>
          <w:p w:rsidR="00591BAD" w:rsidRPr="002E4199" w:rsidRDefault="00591BAD" w:rsidP="00F62EA6">
            <w:pPr>
              <w:pStyle w:val="TextPItable"/>
              <w:keepNext/>
              <w:keepLines/>
              <w:jc w:val="center"/>
              <w:rPr>
                <w:rFonts w:cs="Arial"/>
                <w:sz w:val="20"/>
                <w:szCs w:val="20"/>
              </w:rPr>
            </w:pPr>
          </w:p>
        </w:tc>
        <w:tc>
          <w:tcPr>
            <w:tcW w:w="2977" w:type="dxa"/>
            <w:tcBorders>
              <w:top w:val="single" w:sz="5" w:space="0" w:color="auto"/>
              <w:left w:val="single" w:sz="5" w:space="0" w:color="auto"/>
              <w:bottom w:val="nil"/>
              <w:right w:val="single" w:sz="5" w:space="0" w:color="auto"/>
            </w:tcBorders>
          </w:tcPr>
          <w:p w:rsidR="00591BAD" w:rsidRPr="002E4199" w:rsidRDefault="00591BAD" w:rsidP="00F62EA6">
            <w:pPr>
              <w:pStyle w:val="TextPItable"/>
              <w:keepNext/>
              <w:keepLines/>
              <w:jc w:val="center"/>
              <w:rPr>
                <w:rFonts w:cs="Arial"/>
                <w:sz w:val="20"/>
                <w:szCs w:val="20"/>
              </w:rPr>
            </w:pPr>
          </w:p>
        </w:tc>
      </w:tr>
      <w:tr w:rsidR="00591BAD" w:rsidRPr="002E4199" w:rsidTr="00C462CF">
        <w:tc>
          <w:tcPr>
            <w:tcW w:w="2929" w:type="dxa"/>
            <w:tcBorders>
              <w:top w:val="nil"/>
              <w:left w:val="single" w:sz="5" w:space="0" w:color="auto"/>
              <w:bottom w:val="single" w:sz="5" w:space="0" w:color="auto"/>
              <w:right w:val="single" w:sz="5"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Ecchymosis</w:t>
            </w:r>
          </w:p>
        </w:tc>
        <w:tc>
          <w:tcPr>
            <w:tcW w:w="2962" w:type="dxa"/>
            <w:tcBorders>
              <w:top w:val="nil"/>
              <w:left w:val="single" w:sz="5" w:space="0" w:color="auto"/>
              <w:bottom w:val="single" w:sz="5" w:space="0" w:color="auto"/>
              <w:right w:val="single" w:sz="5"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1.1</w:t>
            </w:r>
          </w:p>
        </w:tc>
        <w:tc>
          <w:tcPr>
            <w:tcW w:w="2977" w:type="dxa"/>
            <w:tcBorders>
              <w:top w:val="nil"/>
              <w:left w:val="single" w:sz="5" w:space="0" w:color="auto"/>
              <w:bottom w:val="single" w:sz="5" w:space="0" w:color="auto"/>
              <w:right w:val="single" w:sz="5"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2.0</w:t>
            </w:r>
          </w:p>
        </w:tc>
      </w:tr>
      <w:tr w:rsidR="00591BAD" w:rsidRPr="002E4199" w:rsidTr="00C462CF">
        <w:tc>
          <w:tcPr>
            <w:tcW w:w="2929" w:type="dxa"/>
            <w:tcBorders>
              <w:top w:val="single" w:sz="5" w:space="0" w:color="auto"/>
              <w:left w:val="single" w:sz="5" w:space="0" w:color="auto"/>
              <w:bottom w:val="nil"/>
              <w:right w:val="single" w:sz="5" w:space="0" w:color="auto"/>
            </w:tcBorders>
            <w:vAlign w:val="center"/>
          </w:tcPr>
          <w:p w:rsidR="00591BAD" w:rsidRPr="002E4199" w:rsidRDefault="00591BAD" w:rsidP="00123798">
            <w:pPr>
              <w:pStyle w:val="TextPItable"/>
              <w:keepNext/>
              <w:keepLines/>
              <w:rPr>
                <w:rFonts w:cs="Arial"/>
                <w:b/>
                <w:bCs/>
                <w:sz w:val="20"/>
                <w:szCs w:val="20"/>
              </w:rPr>
            </w:pPr>
            <w:r w:rsidRPr="002E4199">
              <w:rPr>
                <w:rFonts w:cs="Arial"/>
                <w:b/>
                <w:bCs/>
                <w:sz w:val="20"/>
                <w:szCs w:val="20"/>
              </w:rPr>
              <w:t>MUSCULO-SKELETAL</w:t>
            </w:r>
          </w:p>
        </w:tc>
        <w:tc>
          <w:tcPr>
            <w:tcW w:w="2962" w:type="dxa"/>
            <w:tcBorders>
              <w:top w:val="single" w:sz="5" w:space="0" w:color="auto"/>
              <w:left w:val="single" w:sz="5" w:space="0" w:color="auto"/>
              <w:bottom w:val="nil"/>
              <w:right w:val="single" w:sz="5" w:space="0" w:color="auto"/>
            </w:tcBorders>
          </w:tcPr>
          <w:p w:rsidR="00591BAD" w:rsidRPr="002E4199" w:rsidRDefault="00591BAD" w:rsidP="00F62EA6">
            <w:pPr>
              <w:pStyle w:val="TextPItable"/>
              <w:keepNext/>
              <w:keepLines/>
              <w:jc w:val="center"/>
              <w:rPr>
                <w:rFonts w:cs="Arial"/>
                <w:sz w:val="20"/>
                <w:szCs w:val="20"/>
              </w:rPr>
            </w:pPr>
          </w:p>
        </w:tc>
        <w:tc>
          <w:tcPr>
            <w:tcW w:w="2977" w:type="dxa"/>
            <w:tcBorders>
              <w:top w:val="single" w:sz="5" w:space="0" w:color="auto"/>
              <w:left w:val="single" w:sz="5" w:space="0" w:color="auto"/>
              <w:bottom w:val="nil"/>
              <w:right w:val="single" w:sz="5" w:space="0" w:color="auto"/>
            </w:tcBorders>
          </w:tcPr>
          <w:p w:rsidR="00591BAD" w:rsidRPr="002E4199" w:rsidRDefault="00591BAD" w:rsidP="00F62EA6">
            <w:pPr>
              <w:pStyle w:val="TextPItable"/>
              <w:keepNext/>
              <w:keepLines/>
              <w:jc w:val="center"/>
              <w:rPr>
                <w:rFonts w:cs="Arial"/>
                <w:sz w:val="20"/>
                <w:szCs w:val="20"/>
              </w:rPr>
            </w:pPr>
          </w:p>
        </w:tc>
      </w:tr>
      <w:tr w:rsidR="00591BAD" w:rsidRPr="002E4199" w:rsidTr="00C462CF">
        <w:tc>
          <w:tcPr>
            <w:tcW w:w="2929" w:type="dxa"/>
            <w:tcBorders>
              <w:top w:val="nil"/>
              <w:left w:val="single" w:sz="5" w:space="0" w:color="auto"/>
              <w:bottom w:val="nil"/>
              <w:right w:val="single" w:sz="5"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Arthritis Rheumatoid</w:t>
            </w:r>
          </w:p>
        </w:tc>
        <w:tc>
          <w:tcPr>
            <w:tcW w:w="2962" w:type="dxa"/>
            <w:tcBorders>
              <w:top w:val="nil"/>
              <w:left w:val="single" w:sz="5" w:space="0" w:color="auto"/>
              <w:bottom w:val="nil"/>
              <w:right w:val="single" w:sz="5"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28.5</w:t>
            </w:r>
          </w:p>
        </w:tc>
        <w:tc>
          <w:tcPr>
            <w:tcW w:w="2977" w:type="dxa"/>
            <w:tcBorders>
              <w:top w:val="nil"/>
              <w:left w:val="single" w:sz="5" w:space="0" w:color="auto"/>
              <w:bottom w:val="nil"/>
              <w:right w:val="single" w:sz="5"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19.1</w:t>
            </w:r>
          </w:p>
        </w:tc>
      </w:tr>
      <w:tr w:rsidR="00591BAD" w:rsidRPr="002E4199" w:rsidTr="00C462CF">
        <w:tc>
          <w:tcPr>
            <w:tcW w:w="2929" w:type="dxa"/>
            <w:tcBorders>
              <w:top w:val="nil"/>
              <w:left w:val="single" w:sz="5" w:space="0" w:color="auto"/>
              <w:bottom w:val="nil"/>
              <w:right w:val="single" w:sz="5"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Arthralgia</w:t>
            </w:r>
          </w:p>
        </w:tc>
        <w:tc>
          <w:tcPr>
            <w:tcW w:w="2962" w:type="dxa"/>
            <w:tcBorders>
              <w:top w:val="nil"/>
              <w:left w:val="single" w:sz="5" w:space="0" w:color="auto"/>
              <w:bottom w:val="nil"/>
              <w:right w:val="single" w:sz="5"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6.6</w:t>
            </w:r>
          </w:p>
        </w:tc>
        <w:tc>
          <w:tcPr>
            <w:tcW w:w="2977" w:type="dxa"/>
            <w:tcBorders>
              <w:top w:val="nil"/>
              <w:left w:val="single" w:sz="5" w:space="0" w:color="auto"/>
              <w:bottom w:val="nil"/>
              <w:right w:val="single" w:sz="5"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5.6</w:t>
            </w:r>
          </w:p>
        </w:tc>
      </w:tr>
      <w:tr w:rsidR="00591BAD" w:rsidRPr="002E4199" w:rsidTr="00C462CF">
        <w:tc>
          <w:tcPr>
            <w:tcW w:w="2929" w:type="dxa"/>
            <w:tcBorders>
              <w:top w:val="nil"/>
              <w:left w:val="single" w:sz="5" w:space="0" w:color="auto"/>
              <w:bottom w:val="nil"/>
              <w:right w:val="single" w:sz="5"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Pain Limb</w:t>
            </w:r>
          </w:p>
        </w:tc>
        <w:tc>
          <w:tcPr>
            <w:tcW w:w="2962" w:type="dxa"/>
            <w:tcBorders>
              <w:top w:val="nil"/>
              <w:left w:val="single" w:sz="5" w:space="0" w:color="auto"/>
              <w:bottom w:val="nil"/>
              <w:right w:val="single" w:sz="5"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2.8</w:t>
            </w:r>
          </w:p>
        </w:tc>
        <w:tc>
          <w:tcPr>
            <w:tcW w:w="2977" w:type="dxa"/>
            <w:tcBorders>
              <w:top w:val="nil"/>
              <w:left w:val="single" w:sz="5" w:space="0" w:color="auto"/>
              <w:bottom w:val="nil"/>
              <w:right w:val="single" w:sz="5"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4.3</w:t>
            </w:r>
          </w:p>
        </w:tc>
      </w:tr>
      <w:tr w:rsidR="00591BAD" w:rsidRPr="002E4199" w:rsidTr="00C462CF">
        <w:tc>
          <w:tcPr>
            <w:tcW w:w="2929" w:type="dxa"/>
            <w:tcBorders>
              <w:top w:val="nil"/>
              <w:left w:val="single" w:sz="5" w:space="0" w:color="auto"/>
              <w:bottom w:val="nil"/>
              <w:right w:val="single" w:sz="5"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Pain Back</w:t>
            </w:r>
          </w:p>
        </w:tc>
        <w:tc>
          <w:tcPr>
            <w:tcW w:w="2962" w:type="dxa"/>
            <w:tcBorders>
              <w:top w:val="nil"/>
              <w:left w:val="single" w:sz="5" w:space="0" w:color="auto"/>
              <w:bottom w:val="nil"/>
              <w:right w:val="single" w:sz="5"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3.2</w:t>
            </w:r>
          </w:p>
        </w:tc>
        <w:tc>
          <w:tcPr>
            <w:tcW w:w="2977" w:type="dxa"/>
            <w:tcBorders>
              <w:top w:val="nil"/>
              <w:left w:val="single" w:sz="5" w:space="0" w:color="auto"/>
              <w:bottom w:val="nil"/>
              <w:right w:val="single" w:sz="5"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4.2</w:t>
            </w:r>
          </w:p>
        </w:tc>
      </w:tr>
      <w:tr w:rsidR="00591BAD" w:rsidRPr="002E4199" w:rsidTr="00C462CF">
        <w:tc>
          <w:tcPr>
            <w:tcW w:w="2929" w:type="dxa"/>
            <w:tcBorders>
              <w:top w:val="nil"/>
              <w:left w:val="single" w:sz="5" w:space="0" w:color="auto"/>
              <w:bottom w:val="nil"/>
              <w:right w:val="single" w:sz="5"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Myalgia</w:t>
            </w:r>
          </w:p>
        </w:tc>
        <w:tc>
          <w:tcPr>
            <w:tcW w:w="2962" w:type="dxa"/>
            <w:tcBorders>
              <w:top w:val="nil"/>
              <w:left w:val="single" w:sz="5" w:space="0" w:color="auto"/>
              <w:bottom w:val="nil"/>
              <w:right w:val="single" w:sz="5"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2.1</w:t>
            </w:r>
          </w:p>
        </w:tc>
        <w:tc>
          <w:tcPr>
            <w:tcW w:w="2977" w:type="dxa"/>
            <w:tcBorders>
              <w:top w:val="nil"/>
              <w:left w:val="single" w:sz="5" w:space="0" w:color="auto"/>
              <w:bottom w:val="nil"/>
              <w:right w:val="single" w:sz="5"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3.0</w:t>
            </w:r>
          </w:p>
        </w:tc>
      </w:tr>
      <w:tr w:rsidR="00591BAD" w:rsidRPr="002E4199" w:rsidTr="00C462CF">
        <w:tc>
          <w:tcPr>
            <w:tcW w:w="2929" w:type="dxa"/>
            <w:tcBorders>
              <w:top w:val="nil"/>
              <w:left w:val="single" w:sz="5" w:space="0" w:color="auto"/>
              <w:bottom w:val="single" w:sz="6" w:space="0" w:color="auto"/>
              <w:right w:val="single" w:sz="5"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Fracture</w:t>
            </w:r>
          </w:p>
        </w:tc>
        <w:tc>
          <w:tcPr>
            <w:tcW w:w="2962" w:type="dxa"/>
            <w:tcBorders>
              <w:top w:val="nil"/>
              <w:left w:val="single" w:sz="5" w:space="0" w:color="auto"/>
              <w:bottom w:val="single" w:sz="6" w:space="0" w:color="auto"/>
              <w:right w:val="single" w:sz="5"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0.9</w:t>
            </w:r>
          </w:p>
        </w:tc>
        <w:tc>
          <w:tcPr>
            <w:tcW w:w="2977" w:type="dxa"/>
            <w:tcBorders>
              <w:top w:val="nil"/>
              <w:left w:val="single" w:sz="5" w:space="0" w:color="auto"/>
              <w:bottom w:val="single" w:sz="6" w:space="0" w:color="auto"/>
              <w:right w:val="single" w:sz="5"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2.1</w:t>
            </w:r>
          </w:p>
        </w:tc>
      </w:tr>
      <w:tr w:rsidR="00591BAD" w:rsidRPr="002E4199" w:rsidTr="00C462CF">
        <w:tc>
          <w:tcPr>
            <w:tcW w:w="2929" w:type="dxa"/>
            <w:tcBorders>
              <w:top w:val="single" w:sz="6" w:space="0" w:color="auto"/>
              <w:left w:val="single" w:sz="6" w:space="0" w:color="auto"/>
              <w:right w:val="single" w:sz="6" w:space="0" w:color="auto"/>
            </w:tcBorders>
            <w:vAlign w:val="center"/>
          </w:tcPr>
          <w:p w:rsidR="00591BAD" w:rsidRPr="002E4199" w:rsidRDefault="00591BAD" w:rsidP="00123798">
            <w:pPr>
              <w:pStyle w:val="TextPItable"/>
              <w:keepNext/>
              <w:keepLines/>
              <w:rPr>
                <w:rFonts w:cs="Arial"/>
                <w:b/>
                <w:bCs/>
                <w:sz w:val="20"/>
                <w:szCs w:val="20"/>
              </w:rPr>
            </w:pPr>
            <w:r w:rsidRPr="002E4199">
              <w:rPr>
                <w:rFonts w:cs="Arial"/>
                <w:b/>
                <w:bCs/>
                <w:sz w:val="20"/>
                <w:szCs w:val="20"/>
              </w:rPr>
              <w:t>PSYCHIATRIC DISORDER</w:t>
            </w:r>
          </w:p>
        </w:tc>
        <w:tc>
          <w:tcPr>
            <w:tcW w:w="2962" w:type="dxa"/>
            <w:tcBorders>
              <w:top w:val="single" w:sz="6" w:space="0" w:color="auto"/>
              <w:left w:val="single" w:sz="6" w:space="0" w:color="auto"/>
              <w:right w:val="single" w:sz="6" w:space="0" w:color="auto"/>
            </w:tcBorders>
          </w:tcPr>
          <w:p w:rsidR="00591BAD" w:rsidRPr="002E4199" w:rsidRDefault="00591BAD" w:rsidP="00F62EA6">
            <w:pPr>
              <w:pStyle w:val="TextPItable"/>
              <w:keepNext/>
              <w:keepLines/>
              <w:jc w:val="center"/>
              <w:rPr>
                <w:rFonts w:cs="Arial"/>
                <w:b/>
                <w:bCs/>
                <w:sz w:val="20"/>
                <w:szCs w:val="20"/>
              </w:rPr>
            </w:pPr>
          </w:p>
        </w:tc>
        <w:tc>
          <w:tcPr>
            <w:tcW w:w="2977" w:type="dxa"/>
            <w:tcBorders>
              <w:top w:val="single" w:sz="6" w:space="0" w:color="auto"/>
              <w:left w:val="single" w:sz="6" w:space="0" w:color="auto"/>
              <w:right w:val="single" w:sz="6" w:space="0" w:color="auto"/>
            </w:tcBorders>
          </w:tcPr>
          <w:p w:rsidR="00591BAD" w:rsidRPr="002E4199" w:rsidRDefault="00591BAD" w:rsidP="00F62EA6">
            <w:pPr>
              <w:pStyle w:val="TextPItable"/>
              <w:keepNext/>
              <w:keepLines/>
              <w:jc w:val="center"/>
              <w:rPr>
                <w:rFonts w:cs="Arial"/>
                <w:b/>
                <w:bCs/>
                <w:sz w:val="20"/>
                <w:szCs w:val="20"/>
              </w:rPr>
            </w:pPr>
          </w:p>
        </w:tc>
      </w:tr>
      <w:tr w:rsidR="00591BAD" w:rsidRPr="002E4199" w:rsidTr="00C462CF">
        <w:tc>
          <w:tcPr>
            <w:tcW w:w="2929" w:type="dxa"/>
            <w:tcBorders>
              <w:left w:val="single" w:sz="5" w:space="0" w:color="auto"/>
              <w:bottom w:val="single" w:sz="5" w:space="0" w:color="auto"/>
              <w:right w:val="single" w:sz="5"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Depression</w:t>
            </w:r>
          </w:p>
        </w:tc>
        <w:tc>
          <w:tcPr>
            <w:tcW w:w="2962" w:type="dxa"/>
            <w:tcBorders>
              <w:left w:val="single" w:sz="5" w:space="0" w:color="auto"/>
              <w:bottom w:val="single" w:sz="5" w:space="0" w:color="auto"/>
              <w:right w:val="single" w:sz="5"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1.7</w:t>
            </w:r>
          </w:p>
        </w:tc>
        <w:tc>
          <w:tcPr>
            <w:tcW w:w="2977" w:type="dxa"/>
            <w:tcBorders>
              <w:left w:val="single" w:sz="5" w:space="0" w:color="auto"/>
              <w:bottom w:val="single" w:sz="5" w:space="0" w:color="auto"/>
              <w:right w:val="single" w:sz="5"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2.0</w:t>
            </w:r>
          </w:p>
        </w:tc>
      </w:tr>
      <w:tr w:rsidR="00591BAD" w:rsidRPr="002E4199" w:rsidTr="00C462CF">
        <w:tc>
          <w:tcPr>
            <w:tcW w:w="2929" w:type="dxa"/>
            <w:tcBorders>
              <w:top w:val="nil"/>
              <w:left w:val="single" w:sz="5" w:space="0" w:color="auto"/>
              <w:right w:val="single" w:sz="5" w:space="0" w:color="auto"/>
            </w:tcBorders>
            <w:vAlign w:val="center"/>
          </w:tcPr>
          <w:p w:rsidR="00591BAD" w:rsidRPr="002E4199" w:rsidRDefault="00591BAD" w:rsidP="00123798">
            <w:pPr>
              <w:pStyle w:val="TextPItable"/>
              <w:keepNext/>
              <w:keepLines/>
              <w:rPr>
                <w:rFonts w:cs="Arial"/>
                <w:b/>
                <w:bCs/>
                <w:sz w:val="20"/>
                <w:szCs w:val="20"/>
              </w:rPr>
            </w:pPr>
            <w:r w:rsidRPr="002E4199">
              <w:rPr>
                <w:rFonts w:cs="Arial"/>
                <w:b/>
                <w:bCs/>
                <w:sz w:val="20"/>
                <w:szCs w:val="20"/>
              </w:rPr>
              <w:t>RESISTANCE MECHANISM</w:t>
            </w:r>
          </w:p>
        </w:tc>
        <w:tc>
          <w:tcPr>
            <w:tcW w:w="2962" w:type="dxa"/>
            <w:tcBorders>
              <w:top w:val="nil"/>
              <w:left w:val="single" w:sz="5" w:space="0" w:color="auto"/>
              <w:right w:val="single" w:sz="5" w:space="0" w:color="auto"/>
            </w:tcBorders>
          </w:tcPr>
          <w:p w:rsidR="00591BAD" w:rsidRPr="002E4199" w:rsidRDefault="00591BAD" w:rsidP="00F62EA6">
            <w:pPr>
              <w:pStyle w:val="TextPItable"/>
              <w:keepNext/>
              <w:keepLines/>
              <w:jc w:val="center"/>
              <w:rPr>
                <w:rFonts w:cs="Arial"/>
                <w:b/>
                <w:bCs/>
                <w:sz w:val="20"/>
                <w:szCs w:val="20"/>
              </w:rPr>
            </w:pPr>
          </w:p>
        </w:tc>
        <w:tc>
          <w:tcPr>
            <w:tcW w:w="2977" w:type="dxa"/>
            <w:tcBorders>
              <w:top w:val="nil"/>
              <w:left w:val="single" w:sz="5" w:space="0" w:color="auto"/>
              <w:right w:val="single" w:sz="5" w:space="0" w:color="auto"/>
            </w:tcBorders>
          </w:tcPr>
          <w:p w:rsidR="00591BAD" w:rsidRPr="002E4199" w:rsidRDefault="00591BAD" w:rsidP="00F62EA6">
            <w:pPr>
              <w:pStyle w:val="TextPItable"/>
              <w:keepNext/>
              <w:keepLines/>
              <w:jc w:val="center"/>
              <w:rPr>
                <w:rFonts w:cs="Arial"/>
                <w:b/>
                <w:bCs/>
                <w:sz w:val="20"/>
                <w:szCs w:val="20"/>
              </w:rPr>
            </w:pPr>
          </w:p>
        </w:tc>
      </w:tr>
      <w:tr w:rsidR="00591BAD" w:rsidRPr="002E4199" w:rsidTr="00C462CF">
        <w:tc>
          <w:tcPr>
            <w:tcW w:w="2929" w:type="dxa"/>
            <w:tcBorders>
              <w:top w:val="nil"/>
              <w:left w:val="single" w:sz="6" w:space="0" w:color="auto"/>
              <w:bottom w:val="single" w:sz="6" w:space="0" w:color="auto"/>
              <w:right w:val="single" w:sz="6"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Infection</w:t>
            </w:r>
          </w:p>
        </w:tc>
        <w:tc>
          <w:tcPr>
            <w:tcW w:w="2962" w:type="dxa"/>
            <w:tcBorders>
              <w:top w:val="nil"/>
              <w:left w:val="single" w:sz="6" w:space="0" w:color="auto"/>
              <w:bottom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2.4</w:t>
            </w:r>
          </w:p>
        </w:tc>
        <w:tc>
          <w:tcPr>
            <w:tcW w:w="2977" w:type="dxa"/>
            <w:tcBorders>
              <w:top w:val="nil"/>
              <w:left w:val="single" w:sz="6" w:space="0" w:color="auto"/>
              <w:bottom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2.9</w:t>
            </w:r>
          </w:p>
        </w:tc>
      </w:tr>
      <w:tr w:rsidR="00591BAD" w:rsidRPr="002E4199" w:rsidTr="00C462CF">
        <w:tc>
          <w:tcPr>
            <w:tcW w:w="2929" w:type="dxa"/>
            <w:tcBorders>
              <w:top w:val="single" w:sz="6" w:space="0" w:color="auto"/>
              <w:left w:val="single" w:sz="5" w:space="0" w:color="auto"/>
              <w:right w:val="single" w:sz="5" w:space="0" w:color="auto"/>
            </w:tcBorders>
            <w:vAlign w:val="center"/>
          </w:tcPr>
          <w:p w:rsidR="00591BAD" w:rsidRPr="002E4199" w:rsidRDefault="00591BAD" w:rsidP="00123798">
            <w:pPr>
              <w:pStyle w:val="TextPItable"/>
              <w:keepNext/>
              <w:keepLines/>
              <w:rPr>
                <w:rFonts w:cs="Arial"/>
                <w:b/>
                <w:bCs/>
                <w:sz w:val="20"/>
                <w:szCs w:val="20"/>
              </w:rPr>
            </w:pPr>
            <w:r w:rsidRPr="002E4199">
              <w:rPr>
                <w:rFonts w:cs="Arial"/>
                <w:b/>
                <w:bCs/>
                <w:sz w:val="20"/>
                <w:szCs w:val="20"/>
              </w:rPr>
              <w:t>RESPIRATORY</w:t>
            </w:r>
          </w:p>
        </w:tc>
        <w:tc>
          <w:tcPr>
            <w:tcW w:w="2962" w:type="dxa"/>
            <w:tcBorders>
              <w:top w:val="single" w:sz="6" w:space="0" w:color="auto"/>
              <w:left w:val="single" w:sz="5" w:space="0" w:color="auto"/>
              <w:right w:val="single" w:sz="5" w:space="0" w:color="auto"/>
            </w:tcBorders>
          </w:tcPr>
          <w:p w:rsidR="00591BAD" w:rsidRPr="002E4199" w:rsidRDefault="00591BAD" w:rsidP="00F62EA6">
            <w:pPr>
              <w:pStyle w:val="TextPItable"/>
              <w:keepNext/>
              <w:keepLines/>
              <w:jc w:val="center"/>
              <w:rPr>
                <w:rFonts w:cs="Arial"/>
                <w:b/>
                <w:bCs/>
                <w:sz w:val="20"/>
                <w:szCs w:val="20"/>
              </w:rPr>
            </w:pPr>
          </w:p>
        </w:tc>
        <w:tc>
          <w:tcPr>
            <w:tcW w:w="2977" w:type="dxa"/>
            <w:tcBorders>
              <w:top w:val="single" w:sz="6" w:space="0" w:color="auto"/>
              <w:left w:val="single" w:sz="5" w:space="0" w:color="auto"/>
              <w:right w:val="single" w:sz="5" w:space="0" w:color="auto"/>
            </w:tcBorders>
          </w:tcPr>
          <w:p w:rsidR="00591BAD" w:rsidRPr="002E4199" w:rsidRDefault="00591BAD" w:rsidP="00F62EA6">
            <w:pPr>
              <w:pStyle w:val="TextPItable"/>
              <w:keepNext/>
              <w:keepLines/>
              <w:jc w:val="center"/>
              <w:rPr>
                <w:rFonts w:cs="Arial"/>
                <w:b/>
                <w:bCs/>
                <w:sz w:val="20"/>
                <w:szCs w:val="20"/>
              </w:rPr>
            </w:pPr>
          </w:p>
        </w:tc>
      </w:tr>
      <w:tr w:rsidR="00591BAD" w:rsidRPr="002E4199" w:rsidTr="00C462CF">
        <w:tc>
          <w:tcPr>
            <w:tcW w:w="2929" w:type="dxa"/>
            <w:tcBorders>
              <w:top w:val="nil"/>
              <w:left w:val="single" w:sz="6" w:space="0" w:color="auto"/>
              <w:right w:val="single" w:sz="6"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Infection Upper Respiratory</w:t>
            </w:r>
          </w:p>
        </w:tc>
        <w:tc>
          <w:tcPr>
            <w:tcW w:w="2962" w:type="dxa"/>
            <w:tcBorders>
              <w:top w:val="nil"/>
              <w:left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15.2</w:t>
            </w:r>
          </w:p>
        </w:tc>
        <w:tc>
          <w:tcPr>
            <w:tcW w:w="2977" w:type="dxa"/>
            <w:tcBorders>
              <w:top w:val="nil"/>
              <w:left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13.8</w:t>
            </w:r>
          </w:p>
        </w:tc>
      </w:tr>
      <w:tr w:rsidR="00591BAD" w:rsidRPr="002E4199" w:rsidTr="00C462CF">
        <w:tc>
          <w:tcPr>
            <w:tcW w:w="2929" w:type="dxa"/>
            <w:tcBorders>
              <w:left w:val="single" w:sz="6" w:space="0" w:color="auto"/>
              <w:right w:val="single" w:sz="6"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Sinusitis</w:t>
            </w:r>
          </w:p>
        </w:tc>
        <w:tc>
          <w:tcPr>
            <w:tcW w:w="2962" w:type="dxa"/>
            <w:tcBorders>
              <w:left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5.6</w:t>
            </w:r>
          </w:p>
        </w:tc>
        <w:tc>
          <w:tcPr>
            <w:tcW w:w="2977" w:type="dxa"/>
            <w:tcBorders>
              <w:left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7.1</w:t>
            </w:r>
          </w:p>
        </w:tc>
      </w:tr>
      <w:tr w:rsidR="00591BAD" w:rsidRPr="002E4199" w:rsidTr="00C462CF">
        <w:tc>
          <w:tcPr>
            <w:tcW w:w="2929" w:type="dxa"/>
            <w:tcBorders>
              <w:left w:val="single" w:sz="6" w:space="0" w:color="auto"/>
              <w:right w:val="single" w:sz="6"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Cough</w:t>
            </w:r>
          </w:p>
        </w:tc>
        <w:tc>
          <w:tcPr>
            <w:tcW w:w="2962" w:type="dxa"/>
            <w:tcBorders>
              <w:left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3.6</w:t>
            </w:r>
          </w:p>
        </w:tc>
        <w:tc>
          <w:tcPr>
            <w:tcW w:w="2977" w:type="dxa"/>
            <w:tcBorders>
              <w:left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3.7</w:t>
            </w:r>
          </w:p>
        </w:tc>
      </w:tr>
      <w:tr w:rsidR="00591BAD" w:rsidRPr="002E4199" w:rsidTr="00C462CF">
        <w:tc>
          <w:tcPr>
            <w:tcW w:w="2929" w:type="dxa"/>
            <w:tcBorders>
              <w:left w:val="single" w:sz="6" w:space="0" w:color="auto"/>
              <w:right w:val="single" w:sz="6"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Sore Throat</w:t>
            </w:r>
          </w:p>
        </w:tc>
        <w:tc>
          <w:tcPr>
            <w:tcW w:w="2962" w:type="dxa"/>
            <w:tcBorders>
              <w:left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3.6</w:t>
            </w:r>
          </w:p>
        </w:tc>
        <w:tc>
          <w:tcPr>
            <w:tcW w:w="2977" w:type="dxa"/>
            <w:tcBorders>
              <w:left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3.7</w:t>
            </w:r>
          </w:p>
        </w:tc>
      </w:tr>
      <w:tr w:rsidR="00591BAD" w:rsidRPr="002E4199" w:rsidTr="00C462CF">
        <w:tc>
          <w:tcPr>
            <w:tcW w:w="2929" w:type="dxa"/>
            <w:tcBorders>
              <w:left w:val="single" w:sz="6" w:space="0" w:color="auto"/>
              <w:right w:val="single" w:sz="6"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Bronchitis</w:t>
            </w:r>
          </w:p>
        </w:tc>
        <w:tc>
          <w:tcPr>
            <w:tcW w:w="2962" w:type="dxa"/>
            <w:tcBorders>
              <w:left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4.1</w:t>
            </w:r>
          </w:p>
        </w:tc>
        <w:tc>
          <w:tcPr>
            <w:tcW w:w="2977" w:type="dxa"/>
            <w:tcBorders>
              <w:left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3.7</w:t>
            </w:r>
          </w:p>
        </w:tc>
      </w:tr>
      <w:tr w:rsidR="00591BAD" w:rsidRPr="002E4199" w:rsidTr="00C462CF">
        <w:tc>
          <w:tcPr>
            <w:tcW w:w="2929" w:type="dxa"/>
            <w:tcBorders>
              <w:left w:val="single" w:sz="6" w:space="0" w:color="auto"/>
              <w:right w:val="single" w:sz="6"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Upper Respiratory Tract</w:t>
            </w:r>
          </w:p>
        </w:tc>
        <w:tc>
          <w:tcPr>
            <w:tcW w:w="2962" w:type="dxa"/>
            <w:tcBorders>
              <w:left w:val="single" w:sz="6" w:space="0" w:color="auto"/>
              <w:right w:val="single" w:sz="6" w:space="0" w:color="auto"/>
            </w:tcBorders>
          </w:tcPr>
          <w:p w:rsidR="00591BAD" w:rsidRPr="002E4199" w:rsidRDefault="00591BAD" w:rsidP="00F62EA6">
            <w:pPr>
              <w:pStyle w:val="TextPItable"/>
              <w:keepNext/>
              <w:keepLines/>
              <w:spacing w:before="20" w:after="20"/>
              <w:jc w:val="center"/>
              <w:rPr>
                <w:sz w:val="20"/>
                <w:szCs w:val="20"/>
              </w:rPr>
            </w:pPr>
          </w:p>
        </w:tc>
        <w:tc>
          <w:tcPr>
            <w:tcW w:w="2977" w:type="dxa"/>
            <w:tcBorders>
              <w:left w:val="single" w:sz="6" w:space="0" w:color="auto"/>
              <w:right w:val="single" w:sz="6" w:space="0" w:color="auto"/>
            </w:tcBorders>
          </w:tcPr>
          <w:p w:rsidR="00591BAD" w:rsidRPr="002E4199" w:rsidRDefault="00591BAD" w:rsidP="00F62EA6">
            <w:pPr>
              <w:pStyle w:val="TextPItable"/>
              <w:keepNext/>
              <w:keepLines/>
              <w:spacing w:before="20" w:after="20"/>
              <w:jc w:val="center"/>
              <w:rPr>
                <w:sz w:val="20"/>
                <w:szCs w:val="20"/>
              </w:rPr>
            </w:pPr>
          </w:p>
        </w:tc>
      </w:tr>
      <w:tr w:rsidR="00591BAD" w:rsidRPr="002E4199" w:rsidTr="00C462CF">
        <w:tc>
          <w:tcPr>
            <w:tcW w:w="2929" w:type="dxa"/>
            <w:tcBorders>
              <w:left w:val="single" w:sz="6" w:space="0" w:color="auto"/>
              <w:right w:val="single" w:sz="6"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Congestion</w:t>
            </w:r>
          </w:p>
        </w:tc>
        <w:tc>
          <w:tcPr>
            <w:tcW w:w="2962" w:type="dxa"/>
            <w:tcBorders>
              <w:left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2.1</w:t>
            </w:r>
          </w:p>
        </w:tc>
        <w:tc>
          <w:tcPr>
            <w:tcW w:w="2977" w:type="dxa"/>
            <w:tcBorders>
              <w:left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2.6</w:t>
            </w:r>
          </w:p>
        </w:tc>
      </w:tr>
      <w:tr w:rsidR="00591BAD" w:rsidRPr="002E4199" w:rsidTr="00C462CF">
        <w:tc>
          <w:tcPr>
            <w:tcW w:w="2929" w:type="dxa"/>
            <w:tcBorders>
              <w:left w:val="single" w:sz="6" w:space="0" w:color="auto"/>
              <w:bottom w:val="single" w:sz="6" w:space="0" w:color="auto"/>
              <w:right w:val="single" w:sz="6" w:space="0" w:color="auto"/>
            </w:tcBorders>
            <w:vAlign w:val="center"/>
          </w:tcPr>
          <w:p w:rsidR="00591BAD" w:rsidRPr="002E4199" w:rsidRDefault="00591BAD" w:rsidP="00F62EA6">
            <w:pPr>
              <w:pStyle w:val="TextPItable"/>
              <w:keepNext/>
              <w:keepLines/>
              <w:spacing w:before="20" w:after="20"/>
              <w:jc w:val="left"/>
              <w:rPr>
                <w:sz w:val="20"/>
                <w:szCs w:val="20"/>
              </w:rPr>
            </w:pPr>
            <w:proofErr w:type="spellStart"/>
            <w:r w:rsidRPr="002E4199">
              <w:rPr>
                <w:sz w:val="20"/>
                <w:szCs w:val="20"/>
              </w:rPr>
              <w:t>Dyspnoea</w:t>
            </w:r>
            <w:proofErr w:type="spellEnd"/>
          </w:p>
        </w:tc>
        <w:tc>
          <w:tcPr>
            <w:tcW w:w="2962" w:type="dxa"/>
            <w:tcBorders>
              <w:left w:val="single" w:sz="6" w:space="0" w:color="auto"/>
              <w:bottom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2.1</w:t>
            </w:r>
          </w:p>
        </w:tc>
        <w:tc>
          <w:tcPr>
            <w:tcW w:w="2977" w:type="dxa"/>
            <w:tcBorders>
              <w:left w:val="single" w:sz="6" w:space="0" w:color="auto"/>
              <w:bottom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2.1</w:t>
            </w:r>
          </w:p>
        </w:tc>
      </w:tr>
      <w:tr w:rsidR="00591BAD" w:rsidRPr="002E4199" w:rsidTr="00C462CF">
        <w:tc>
          <w:tcPr>
            <w:tcW w:w="2929" w:type="dxa"/>
            <w:tcBorders>
              <w:top w:val="single" w:sz="6" w:space="0" w:color="auto"/>
              <w:left w:val="single" w:sz="5" w:space="0" w:color="auto"/>
              <w:right w:val="single" w:sz="5" w:space="0" w:color="auto"/>
            </w:tcBorders>
            <w:vAlign w:val="center"/>
          </w:tcPr>
          <w:p w:rsidR="00591BAD" w:rsidRPr="002E4199" w:rsidRDefault="00591BAD" w:rsidP="00123798">
            <w:pPr>
              <w:pStyle w:val="TextPItable"/>
              <w:keepNext/>
              <w:keepLines/>
              <w:rPr>
                <w:rFonts w:cs="Arial"/>
                <w:b/>
                <w:bCs/>
                <w:sz w:val="20"/>
                <w:szCs w:val="20"/>
              </w:rPr>
            </w:pPr>
            <w:r w:rsidRPr="002E4199">
              <w:rPr>
                <w:rFonts w:cs="Arial"/>
                <w:b/>
                <w:bCs/>
                <w:sz w:val="20"/>
                <w:szCs w:val="20"/>
              </w:rPr>
              <w:t>SKIN AND APPENDAGES</w:t>
            </w:r>
          </w:p>
        </w:tc>
        <w:tc>
          <w:tcPr>
            <w:tcW w:w="2962" w:type="dxa"/>
            <w:tcBorders>
              <w:top w:val="single" w:sz="6" w:space="0" w:color="auto"/>
              <w:left w:val="single" w:sz="5" w:space="0" w:color="auto"/>
              <w:right w:val="single" w:sz="5" w:space="0" w:color="auto"/>
            </w:tcBorders>
          </w:tcPr>
          <w:p w:rsidR="00591BAD" w:rsidRPr="002E4199" w:rsidRDefault="00591BAD" w:rsidP="00F62EA6">
            <w:pPr>
              <w:pStyle w:val="TextPItable"/>
              <w:keepNext/>
              <w:keepLines/>
              <w:jc w:val="center"/>
              <w:rPr>
                <w:rFonts w:cs="Arial"/>
                <w:b/>
                <w:bCs/>
                <w:sz w:val="20"/>
                <w:szCs w:val="20"/>
              </w:rPr>
            </w:pPr>
          </w:p>
        </w:tc>
        <w:tc>
          <w:tcPr>
            <w:tcW w:w="2977" w:type="dxa"/>
            <w:tcBorders>
              <w:top w:val="single" w:sz="6" w:space="0" w:color="auto"/>
              <w:left w:val="single" w:sz="5" w:space="0" w:color="auto"/>
              <w:right w:val="single" w:sz="5" w:space="0" w:color="auto"/>
            </w:tcBorders>
          </w:tcPr>
          <w:p w:rsidR="00591BAD" w:rsidRPr="002E4199" w:rsidRDefault="00591BAD" w:rsidP="00F62EA6">
            <w:pPr>
              <w:pStyle w:val="TextPItable"/>
              <w:keepNext/>
              <w:keepLines/>
              <w:jc w:val="center"/>
              <w:rPr>
                <w:rFonts w:cs="Arial"/>
                <w:b/>
                <w:bCs/>
                <w:sz w:val="20"/>
                <w:szCs w:val="20"/>
              </w:rPr>
            </w:pPr>
          </w:p>
        </w:tc>
      </w:tr>
      <w:tr w:rsidR="00591BAD" w:rsidRPr="002E4199" w:rsidTr="00C462CF">
        <w:tc>
          <w:tcPr>
            <w:tcW w:w="2929" w:type="dxa"/>
            <w:tcBorders>
              <w:top w:val="nil"/>
              <w:left w:val="single" w:sz="6" w:space="0" w:color="auto"/>
              <w:right w:val="single" w:sz="6"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Rash</w:t>
            </w:r>
          </w:p>
        </w:tc>
        <w:tc>
          <w:tcPr>
            <w:tcW w:w="2962" w:type="dxa"/>
            <w:tcBorders>
              <w:top w:val="nil"/>
              <w:left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4.1</w:t>
            </w:r>
          </w:p>
        </w:tc>
        <w:tc>
          <w:tcPr>
            <w:tcW w:w="2977" w:type="dxa"/>
            <w:tcBorders>
              <w:top w:val="nil"/>
              <w:left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4.1</w:t>
            </w:r>
          </w:p>
        </w:tc>
      </w:tr>
      <w:tr w:rsidR="00591BAD" w:rsidRPr="002E4199" w:rsidTr="00C462CF">
        <w:tc>
          <w:tcPr>
            <w:tcW w:w="2929" w:type="dxa"/>
            <w:tcBorders>
              <w:left w:val="single" w:sz="6" w:space="0" w:color="auto"/>
              <w:bottom w:val="single" w:sz="6" w:space="0" w:color="auto"/>
              <w:right w:val="single" w:sz="6"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Pruritus</w:t>
            </w:r>
          </w:p>
        </w:tc>
        <w:tc>
          <w:tcPr>
            <w:tcW w:w="2962" w:type="dxa"/>
            <w:tcBorders>
              <w:left w:val="single" w:sz="6" w:space="0" w:color="auto"/>
              <w:bottom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2.1</w:t>
            </w:r>
          </w:p>
        </w:tc>
        <w:tc>
          <w:tcPr>
            <w:tcW w:w="2977" w:type="dxa"/>
            <w:tcBorders>
              <w:left w:val="single" w:sz="6" w:space="0" w:color="auto"/>
              <w:bottom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2.1</w:t>
            </w:r>
          </w:p>
        </w:tc>
      </w:tr>
      <w:tr w:rsidR="00591BAD" w:rsidRPr="002E4199" w:rsidTr="00C462CF">
        <w:tc>
          <w:tcPr>
            <w:tcW w:w="2929" w:type="dxa"/>
            <w:tcBorders>
              <w:top w:val="single" w:sz="6" w:space="0" w:color="auto"/>
              <w:left w:val="single" w:sz="5" w:space="0" w:color="auto"/>
              <w:right w:val="single" w:sz="5" w:space="0" w:color="auto"/>
            </w:tcBorders>
            <w:vAlign w:val="center"/>
          </w:tcPr>
          <w:p w:rsidR="00591BAD" w:rsidRPr="002E4199" w:rsidRDefault="00591BAD" w:rsidP="00123798">
            <w:pPr>
              <w:pStyle w:val="TextPItable"/>
              <w:keepNext/>
              <w:keepLines/>
              <w:rPr>
                <w:rFonts w:cs="Arial"/>
                <w:b/>
                <w:bCs/>
                <w:sz w:val="20"/>
                <w:szCs w:val="20"/>
              </w:rPr>
            </w:pPr>
            <w:r w:rsidRPr="002E4199">
              <w:rPr>
                <w:rFonts w:cs="Arial"/>
                <w:b/>
                <w:bCs/>
                <w:sz w:val="20"/>
                <w:szCs w:val="20"/>
              </w:rPr>
              <w:t>URINARY DISORDER</w:t>
            </w:r>
          </w:p>
        </w:tc>
        <w:tc>
          <w:tcPr>
            <w:tcW w:w="2962" w:type="dxa"/>
            <w:tcBorders>
              <w:top w:val="single" w:sz="6" w:space="0" w:color="auto"/>
              <w:left w:val="single" w:sz="5" w:space="0" w:color="auto"/>
              <w:right w:val="single" w:sz="5" w:space="0" w:color="auto"/>
            </w:tcBorders>
          </w:tcPr>
          <w:p w:rsidR="00591BAD" w:rsidRPr="002E4199" w:rsidRDefault="00591BAD" w:rsidP="00F62EA6">
            <w:pPr>
              <w:pStyle w:val="TextPItable"/>
              <w:keepNext/>
              <w:keepLines/>
              <w:jc w:val="center"/>
              <w:rPr>
                <w:rFonts w:cs="Arial"/>
                <w:b/>
                <w:bCs/>
                <w:sz w:val="20"/>
                <w:szCs w:val="20"/>
              </w:rPr>
            </w:pPr>
          </w:p>
        </w:tc>
        <w:tc>
          <w:tcPr>
            <w:tcW w:w="2977" w:type="dxa"/>
            <w:tcBorders>
              <w:top w:val="single" w:sz="6" w:space="0" w:color="auto"/>
              <w:left w:val="single" w:sz="5" w:space="0" w:color="auto"/>
              <w:right w:val="single" w:sz="5" w:space="0" w:color="auto"/>
            </w:tcBorders>
          </w:tcPr>
          <w:p w:rsidR="00591BAD" w:rsidRPr="002E4199" w:rsidRDefault="00591BAD" w:rsidP="00F62EA6">
            <w:pPr>
              <w:pStyle w:val="TextPItable"/>
              <w:keepNext/>
              <w:keepLines/>
              <w:jc w:val="center"/>
              <w:rPr>
                <w:rFonts w:cs="Arial"/>
                <w:b/>
                <w:bCs/>
                <w:sz w:val="20"/>
                <w:szCs w:val="20"/>
              </w:rPr>
            </w:pPr>
          </w:p>
        </w:tc>
      </w:tr>
      <w:tr w:rsidR="00591BAD" w:rsidRPr="002E4199" w:rsidTr="00C462CF">
        <w:tc>
          <w:tcPr>
            <w:tcW w:w="2929" w:type="dxa"/>
            <w:tcBorders>
              <w:top w:val="nil"/>
              <w:left w:val="single" w:sz="6" w:space="0" w:color="auto"/>
              <w:bottom w:val="single" w:sz="6" w:space="0" w:color="auto"/>
              <w:right w:val="single" w:sz="6" w:space="0" w:color="auto"/>
            </w:tcBorders>
            <w:vAlign w:val="center"/>
          </w:tcPr>
          <w:p w:rsidR="00591BAD" w:rsidRPr="002E4199" w:rsidRDefault="00591BAD" w:rsidP="00F62EA6">
            <w:pPr>
              <w:pStyle w:val="TextPItable"/>
              <w:keepNext/>
              <w:keepLines/>
              <w:spacing w:before="20" w:after="20"/>
              <w:jc w:val="left"/>
              <w:rPr>
                <w:sz w:val="20"/>
                <w:szCs w:val="20"/>
              </w:rPr>
            </w:pPr>
            <w:r w:rsidRPr="002E4199">
              <w:rPr>
                <w:sz w:val="20"/>
                <w:szCs w:val="20"/>
              </w:rPr>
              <w:t>Infection Urinary Tract</w:t>
            </w:r>
          </w:p>
        </w:tc>
        <w:tc>
          <w:tcPr>
            <w:tcW w:w="2962" w:type="dxa"/>
            <w:tcBorders>
              <w:top w:val="nil"/>
              <w:left w:val="single" w:sz="6" w:space="0" w:color="auto"/>
              <w:bottom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4.5</w:t>
            </w:r>
          </w:p>
        </w:tc>
        <w:tc>
          <w:tcPr>
            <w:tcW w:w="2977" w:type="dxa"/>
            <w:tcBorders>
              <w:top w:val="nil"/>
              <w:left w:val="single" w:sz="6" w:space="0" w:color="auto"/>
              <w:bottom w:val="single" w:sz="6" w:space="0" w:color="auto"/>
              <w:right w:val="single" w:sz="6" w:space="0" w:color="auto"/>
            </w:tcBorders>
            <w:vAlign w:val="center"/>
          </w:tcPr>
          <w:p w:rsidR="00591BAD" w:rsidRPr="002E4199" w:rsidRDefault="00591BAD" w:rsidP="00F62EA6">
            <w:pPr>
              <w:pStyle w:val="TextPItable"/>
              <w:keepNext/>
              <w:keepLines/>
              <w:spacing w:before="20" w:after="20"/>
              <w:jc w:val="center"/>
              <w:rPr>
                <w:sz w:val="20"/>
                <w:szCs w:val="20"/>
              </w:rPr>
            </w:pPr>
            <w:r w:rsidRPr="002E4199">
              <w:rPr>
                <w:sz w:val="20"/>
                <w:szCs w:val="20"/>
              </w:rPr>
              <w:t>4.6</w:t>
            </w:r>
          </w:p>
        </w:tc>
      </w:tr>
    </w:tbl>
    <w:p w:rsidR="00591BAD" w:rsidRDefault="00591BAD" w:rsidP="00591BAD">
      <w:pPr>
        <w:pStyle w:val="TextPItable"/>
        <w:spacing w:before="120"/>
        <w:rPr>
          <w:sz w:val="20"/>
          <w:szCs w:val="20"/>
        </w:rPr>
      </w:pPr>
      <w:r w:rsidRPr="002E4199">
        <w:rPr>
          <w:sz w:val="20"/>
          <w:szCs w:val="20"/>
        </w:rPr>
        <w:t>n = Number of patients who received at least 1 dose of study drug or placebo</w:t>
      </w:r>
    </w:p>
    <w:p w:rsidR="004A4FB4" w:rsidRDefault="004A4FB4">
      <w:pPr>
        <w:rPr>
          <w:rFonts w:ascii="Arial" w:hAnsi="Arial"/>
          <w:b/>
          <w:sz w:val="22"/>
          <w:szCs w:val="22"/>
        </w:rPr>
      </w:pPr>
      <w:r>
        <w:rPr>
          <w:b/>
        </w:rPr>
        <w:br w:type="page"/>
      </w:r>
    </w:p>
    <w:p w:rsidR="002E4199" w:rsidRPr="000D7B5B" w:rsidRDefault="002E4199" w:rsidP="00C462CF">
      <w:pPr>
        <w:pStyle w:val="PIHeading3"/>
        <w:spacing w:after="120"/>
        <w:rPr>
          <w:b/>
          <w:u w:val="none"/>
        </w:rPr>
      </w:pPr>
      <w:r w:rsidRPr="000D7B5B">
        <w:rPr>
          <w:b/>
          <w:u w:val="none"/>
        </w:rPr>
        <w:lastRenderedPageBreak/>
        <w:t>Other Adverse Reactions in CAPS</w:t>
      </w:r>
    </w:p>
    <w:p w:rsidR="002E4199" w:rsidRPr="000D7B5B" w:rsidRDefault="002E4199" w:rsidP="00C462CF">
      <w:pPr>
        <w:pStyle w:val="TextPItable"/>
        <w:widowControl w:val="0"/>
        <w:spacing w:before="120" w:after="120"/>
        <w:ind w:left="1418" w:hanging="1418"/>
        <w:rPr>
          <w:b/>
          <w:bCs/>
        </w:rPr>
      </w:pPr>
      <w:proofErr w:type="gramStart"/>
      <w:r w:rsidRPr="000D7B5B">
        <w:rPr>
          <w:b/>
          <w:bCs/>
        </w:rPr>
        <w:t>Table 4.</w:t>
      </w:r>
      <w:proofErr w:type="gramEnd"/>
      <w:r w:rsidRPr="000D7B5B">
        <w:rPr>
          <w:b/>
          <w:bCs/>
        </w:rPr>
        <w:tab/>
        <w:t>Most common (</w:t>
      </w:r>
      <w:r w:rsidRPr="00C462CF">
        <w:rPr>
          <w:b/>
          <w:bCs/>
        </w:rPr>
        <w:t>≥</w:t>
      </w:r>
      <w:r w:rsidRPr="000D7B5B">
        <w:rPr>
          <w:b/>
          <w:bCs/>
        </w:rPr>
        <w:t> 10% patients) Tre</w:t>
      </w:r>
      <w:r w:rsidR="00C462CF">
        <w:rPr>
          <w:b/>
          <w:bCs/>
        </w:rPr>
        <w:t xml:space="preserve">atment-Emergent Adverse Events </w:t>
      </w:r>
      <w:r w:rsidRPr="000D7B5B">
        <w:rPr>
          <w:b/>
          <w:bCs/>
        </w:rPr>
        <w:t xml:space="preserve">during the first 6 months of </w:t>
      </w:r>
      <w:r w:rsidR="004C1A83" w:rsidRPr="000D7B5B">
        <w:rPr>
          <w:b/>
          <w:bCs/>
        </w:rPr>
        <w:t>KINERET</w:t>
      </w:r>
      <w:r w:rsidRPr="000D7B5B">
        <w:rPr>
          <w:b/>
          <w:bCs/>
        </w:rPr>
        <w:t xml:space="preserve"> Treatment</w:t>
      </w:r>
    </w:p>
    <w:tbl>
      <w:tblPr>
        <w:tblW w:w="9009" w:type="dxa"/>
        <w:tblInd w:w="57" w:type="dxa"/>
        <w:tblLayout w:type="fixed"/>
        <w:tblCellMar>
          <w:top w:w="57" w:type="dxa"/>
          <w:left w:w="57" w:type="dxa"/>
          <w:right w:w="0" w:type="dxa"/>
        </w:tblCellMar>
        <w:tblLook w:val="0000" w:firstRow="0" w:lastRow="0" w:firstColumn="0" w:lastColumn="0" w:noHBand="0" w:noVBand="0"/>
      </w:tblPr>
      <w:tblGrid>
        <w:gridCol w:w="2929"/>
        <w:gridCol w:w="2820"/>
        <w:gridCol w:w="3260"/>
      </w:tblGrid>
      <w:tr w:rsidR="002E4199" w:rsidRPr="000D7B5B" w:rsidTr="0032294B">
        <w:trPr>
          <w:tblHeader/>
        </w:trPr>
        <w:tc>
          <w:tcPr>
            <w:tcW w:w="2929" w:type="dxa"/>
            <w:tcBorders>
              <w:top w:val="single" w:sz="5" w:space="0" w:color="auto"/>
              <w:left w:val="single" w:sz="5" w:space="0" w:color="auto"/>
              <w:bottom w:val="single" w:sz="5" w:space="0" w:color="auto"/>
              <w:right w:val="single" w:sz="5" w:space="0" w:color="auto"/>
            </w:tcBorders>
          </w:tcPr>
          <w:p w:rsidR="002E4199" w:rsidRPr="000D7B5B" w:rsidRDefault="002E4199" w:rsidP="0032294B">
            <w:pPr>
              <w:pStyle w:val="TextPItable"/>
              <w:keepNext/>
              <w:keepLines/>
              <w:spacing w:before="20" w:after="20"/>
              <w:jc w:val="center"/>
              <w:rPr>
                <w:b/>
                <w:sz w:val="20"/>
                <w:szCs w:val="20"/>
              </w:rPr>
            </w:pPr>
          </w:p>
        </w:tc>
        <w:tc>
          <w:tcPr>
            <w:tcW w:w="6080" w:type="dxa"/>
            <w:gridSpan w:val="2"/>
            <w:tcBorders>
              <w:top w:val="single" w:sz="5" w:space="0" w:color="auto"/>
              <w:left w:val="single" w:sz="5" w:space="0" w:color="auto"/>
              <w:bottom w:val="single" w:sz="5" w:space="0" w:color="auto"/>
              <w:right w:val="single" w:sz="5" w:space="0" w:color="auto"/>
            </w:tcBorders>
          </w:tcPr>
          <w:p w:rsidR="002E4199" w:rsidRPr="000D7B5B" w:rsidRDefault="002E4199" w:rsidP="0032294B">
            <w:pPr>
              <w:pStyle w:val="TextPItable"/>
              <w:keepNext/>
              <w:keepLines/>
              <w:spacing w:before="20" w:after="20"/>
              <w:jc w:val="center"/>
              <w:rPr>
                <w:b/>
                <w:spacing w:val="-2"/>
                <w:sz w:val="20"/>
                <w:szCs w:val="20"/>
              </w:rPr>
            </w:pPr>
            <w:r w:rsidRPr="000D7B5B">
              <w:rPr>
                <w:b/>
                <w:spacing w:val="-2"/>
                <w:sz w:val="20"/>
                <w:szCs w:val="20"/>
              </w:rPr>
              <w:t>Safety Population</w:t>
            </w:r>
          </w:p>
          <w:p w:rsidR="002E4199" w:rsidRPr="000D7B5B" w:rsidRDefault="002E4199" w:rsidP="0032294B">
            <w:pPr>
              <w:pStyle w:val="TextPItable"/>
              <w:keepNext/>
              <w:keepLines/>
              <w:spacing w:before="20" w:after="20"/>
              <w:jc w:val="center"/>
              <w:rPr>
                <w:b/>
                <w:spacing w:val="-2"/>
                <w:sz w:val="20"/>
                <w:szCs w:val="20"/>
              </w:rPr>
            </w:pPr>
            <w:r w:rsidRPr="000D7B5B">
              <w:rPr>
                <w:b/>
                <w:spacing w:val="-2"/>
                <w:sz w:val="20"/>
                <w:szCs w:val="20"/>
              </w:rPr>
              <w:t>(N= 43) Total exposure in patient years = 20.8</w:t>
            </w:r>
          </w:p>
        </w:tc>
      </w:tr>
      <w:tr w:rsidR="002E4199" w:rsidRPr="000D7B5B" w:rsidTr="0032294B">
        <w:trPr>
          <w:tblHeader/>
        </w:trPr>
        <w:tc>
          <w:tcPr>
            <w:tcW w:w="2929" w:type="dxa"/>
            <w:tcBorders>
              <w:top w:val="single" w:sz="5" w:space="0" w:color="auto"/>
              <w:left w:val="single" w:sz="5" w:space="0" w:color="auto"/>
              <w:bottom w:val="single" w:sz="5" w:space="0" w:color="auto"/>
              <w:right w:val="single" w:sz="5" w:space="0" w:color="auto"/>
            </w:tcBorders>
          </w:tcPr>
          <w:p w:rsidR="002E4199" w:rsidRPr="000D7B5B" w:rsidRDefault="002E4199" w:rsidP="0032294B">
            <w:pPr>
              <w:pStyle w:val="TextPItable"/>
              <w:keepNext/>
              <w:keepLines/>
              <w:spacing w:before="20" w:after="20"/>
              <w:jc w:val="center"/>
              <w:rPr>
                <w:b/>
                <w:sz w:val="20"/>
                <w:szCs w:val="20"/>
              </w:rPr>
            </w:pPr>
            <w:r w:rsidRPr="000D7B5B">
              <w:rPr>
                <w:b/>
                <w:sz w:val="20"/>
                <w:szCs w:val="20"/>
              </w:rPr>
              <w:t>BODY SYSTEM</w:t>
            </w:r>
            <w:r w:rsidRPr="000D7B5B">
              <w:rPr>
                <w:b/>
                <w:sz w:val="20"/>
                <w:szCs w:val="20"/>
              </w:rPr>
              <w:br/>
              <w:t>Preferred Term</w:t>
            </w:r>
          </w:p>
        </w:tc>
        <w:tc>
          <w:tcPr>
            <w:tcW w:w="2820" w:type="dxa"/>
            <w:tcBorders>
              <w:top w:val="single" w:sz="5" w:space="0" w:color="auto"/>
              <w:left w:val="single" w:sz="5" w:space="0" w:color="auto"/>
              <w:bottom w:val="single" w:sz="5" w:space="0" w:color="auto"/>
              <w:right w:val="single" w:sz="5" w:space="0" w:color="auto"/>
            </w:tcBorders>
          </w:tcPr>
          <w:p w:rsidR="002E4199" w:rsidRPr="000D7B5B" w:rsidRDefault="002E4199" w:rsidP="0032294B">
            <w:pPr>
              <w:pStyle w:val="TextPItable"/>
              <w:keepNext/>
              <w:keepLines/>
              <w:spacing w:before="20" w:after="20"/>
              <w:jc w:val="center"/>
              <w:rPr>
                <w:b/>
                <w:sz w:val="20"/>
                <w:szCs w:val="20"/>
              </w:rPr>
            </w:pPr>
            <w:r w:rsidRPr="000D7B5B">
              <w:rPr>
                <w:b/>
                <w:sz w:val="20"/>
                <w:szCs w:val="20"/>
              </w:rPr>
              <w:t>N (%)</w:t>
            </w:r>
          </w:p>
        </w:tc>
        <w:tc>
          <w:tcPr>
            <w:tcW w:w="3260" w:type="dxa"/>
            <w:tcBorders>
              <w:top w:val="single" w:sz="5" w:space="0" w:color="auto"/>
              <w:left w:val="single" w:sz="5" w:space="0" w:color="auto"/>
              <w:bottom w:val="single" w:sz="5" w:space="0" w:color="auto"/>
              <w:right w:val="single" w:sz="5" w:space="0" w:color="auto"/>
            </w:tcBorders>
          </w:tcPr>
          <w:p w:rsidR="002E4199" w:rsidRPr="000D7B5B" w:rsidRDefault="002E4199" w:rsidP="0032294B">
            <w:pPr>
              <w:pStyle w:val="TextPItable"/>
              <w:keepNext/>
              <w:keepLines/>
              <w:spacing w:before="20" w:after="20"/>
              <w:jc w:val="center"/>
              <w:rPr>
                <w:b/>
                <w:spacing w:val="-2"/>
                <w:sz w:val="20"/>
                <w:szCs w:val="20"/>
              </w:rPr>
            </w:pPr>
            <w:r w:rsidRPr="000D7B5B">
              <w:rPr>
                <w:b/>
                <w:spacing w:val="-2"/>
                <w:sz w:val="20"/>
                <w:szCs w:val="20"/>
              </w:rPr>
              <w:t>Number of events/patient year</w:t>
            </w:r>
          </w:p>
        </w:tc>
      </w:tr>
      <w:tr w:rsidR="002E4199" w:rsidRPr="000D7B5B" w:rsidTr="0032294B">
        <w:tc>
          <w:tcPr>
            <w:tcW w:w="2929" w:type="dxa"/>
            <w:tcBorders>
              <w:top w:val="single" w:sz="5" w:space="0" w:color="auto"/>
              <w:left w:val="single" w:sz="5" w:space="0" w:color="auto"/>
              <w:bottom w:val="nil"/>
              <w:right w:val="single" w:sz="5" w:space="0" w:color="auto"/>
            </w:tcBorders>
            <w:vAlign w:val="center"/>
          </w:tcPr>
          <w:p w:rsidR="002E4199" w:rsidRPr="000D7B5B" w:rsidRDefault="002E4199" w:rsidP="0032294B">
            <w:pPr>
              <w:pStyle w:val="TextPItable"/>
              <w:keepNext/>
              <w:keepLines/>
              <w:spacing w:before="20" w:after="20"/>
              <w:rPr>
                <w:b/>
                <w:sz w:val="20"/>
                <w:szCs w:val="20"/>
              </w:rPr>
            </w:pPr>
            <w:r w:rsidRPr="000D7B5B">
              <w:rPr>
                <w:b/>
                <w:sz w:val="20"/>
                <w:szCs w:val="20"/>
              </w:rPr>
              <w:t>APPLICATION SITE</w:t>
            </w:r>
          </w:p>
        </w:tc>
        <w:tc>
          <w:tcPr>
            <w:tcW w:w="2820" w:type="dxa"/>
            <w:tcBorders>
              <w:top w:val="single" w:sz="5" w:space="0" w:color="auto"/>
              <w:left w:val="single" w:sz="5" w:space="0" w:color="auto"/>
              <w:bottom w:val="nil"/>
              <w:right w:val="single" w:sz="5" w:space="0" w:color="auto"/>
            </w:tcBorders>
          </w:tcPr>
          <w:p w:rsidR="002E4199" w:rsidRPr="000D7B5B" w:rsidRDefault="002E4199" w:rsidP="0032294B">
            <w:pPr>
              <w:pStyle w:val="TextPItable"/>
              <w:keepNext/>
              <w:keepLines/>
              <w:spacing w:before="20" w:after="20"/>
              <w:jc w:val="center"/>
              <w:rPr>
                <w:sz w:val="20"/>
                <w:szCs w:val="20"/>
              </w:rPr>
            </w:pPr>
          </w:p>
        </w:tc>
        <w:tc>
          <w:tcPr>
            <w:tcW w:w="3260" w:type="dxa"/>
            <w:tcBorders>
              <w:top w:val="single" w:sz="5" w:space="0" w:color="auto"/>
              <w:left w:val="single" w:sz="5" w:space="0" w:color="auto"/>
              <w:bottom w:val="nil"/>
              <w:right w:val="single" w:sz="5" w:space="0" w:color="auto"/>
            </w:tcBorders>
          </w:tcPr>
          <w:p w:rsidR="002E4199" w:rsidRPr="000D7B5B" w:rsidRDefault="002E4199" w:rsidP="0032294B">
            <w:pPr>
              <w:pStyle w:val="TextPItable"/>
              <w:keepNext/>
              <w:keepLines/>
              <w:spacing w:before="20" w:after="20"/>
              <w:jc w:val="center"/>
              <w:rPr>
                <w:sz w:val="20"/>
                <w:szCs w:val="20"/>
              </w:rPr>
            </w:pPr>
          </w:p>
        </w:tc>
      </w:tr>
      <w:tr w:rsidR="002E4199" w:rsidRPr="000D7B5B" w:rsidTr="0032294B">
        <w:tc>
          <w:tcPr>
            <w:tcW w:w="2929" w:type="dxa"/>
            <w:tcBorders>
              <w:top w:val="nil"/>
              <w:left w:val="single" w:sz="5" w:space="0" w:color="auto"/>
              <w:bottom w:val="single" w:sz="6" w:space="0" w:color="auto"/>
              <w:right w:val="single" w:sz="5" w:space="0" w:color="auto"/>
            </w:tcBorders>
            <w:vAlign w:val="center"/>
          </w:tcPr>
          <w:p w:rsidR="002E4199" w:rsidRPr="000D7B5B" w:rsidRDefault="002E4199" w:rsidP="0032294B">
            <w:pPr>
              <w:pStyle w:val="TextPItable"/>
              <w:keepNext/>
              <w:keepLines/>
              <w:spacing w:before="20" w:after="20"/>
              <w:rPr>
                <w:sz w:val="20"/>
                <w:szCs w:val="20"/>
              </w:rPr>
            </w:pPr>
            <w:r w:rsidRPr="000D7B5B">
              <w:rPr>
                <w:sz w:val="20"/>
                <w:szCs w:val="20"/>
              </w:rPr>
              <w:t>Injection Site Reaction</w:t>
            </w:r>
          </w:p>
        </w:tc>
        <w:tc>
          <w:tcPr>
            <w:tcW w:w="2820" w:type="dxa"/>
            <w:tcBorders>
              <w:top w:val="nil"/>
              <w:left w:val="single" w:sz="5" w:space="0" w:color="auto"/>
              <w:bottom w:val="single" w:sz="6" w:space="0" w:color="auto"/>
              <w:right w:val="single" w:sz="5" w:space="0" w:color="auto"/>
            </w:tcBorders>
            <w:vAlign w:val="center"/>
          </w:tcPr>
          <w:p w:rsidR="002E4199" w:rsidRPr="000D7B5B" w:rsidRDefault="002E4199" w:rsidP="0032294B">
            <w:pPr>
              <w:pStyle w:val="TextPItable"/>
              <w:keepNext/>
              <w:keepLines/>
              <w:spacing w:before="20" w:after="20"/>
              <w:jc w:val="center"/>
              <w:rPr>
                <w:sz w:val="20"/>
                <w:szCs w:val="20"/>
              </w:rPr>
            </w:pPr>
            <w:r w:rsidRPr="000D7B5B">
              <w:rPr>
                <w:sz w:val="20"/>
                <w:szCs w:val="20"/>
              </w:rPr>
              <w:t>7 (16.3%)</w:t>
            </w:r>
          </w:p>
        </w:tc>
        <w:tc>
          <w:tcPr>
            <w:tcW w:w="3260" w:type="dxa"/>
            <w:tcBorders>
              <w:top w:val="nil"/>
              <w:left w:val="single" w:sz="5" w:space="0" w:color="auto"/>
              <w:bottom w:val="single" w:sz="6" w:space="0" w:color="auto"/>
              <w:right w:val="single" w:sz="5" w:space="0" w:color="auto"/>
            </w:tcBorders>
            <w:vAlign w:val="center"/>
          </w:tcPr>
          <w:p w:rsidR="002E4199" w:rsidRPr="000D7B5B" w:rsidRDefault="002E4199" w:rsidP="0032294B">
            <w:pPr>
              <w:pStyle w:val="TextPItable"/>
              <w:keepNext/>
              <w:keepLines/>
              <w:spacing w:before="20" w:after="20"/>
              <w:jc w:val="center"/>
              <w:rPr>
                <w:sz w:val="20"/>
                <w:szCs w:val="20"/>
              </w:rPr>
            </w:pPr>
            <w:r w:rsidRPr="000D7B5B">
              <w:rPr>
                <w:sz w:val="20"/>
                <w:szCs w:val="20"/>
              </w:rPr>
              <w:t>0.5</w:t>
            </w:r>
          </w:p>
        </w:tc>
      </w:tr>
      <w:tr w:rsidR="002E4199" w:rsidRPr="000D7B5B" w:rsidTr="0032294B">
        <w:tc>
          <w:tcPr>
            <w:tcW w:w="2929" w:type="dxa"/>
            <w:tcBorders>
              <w:top w:val="single" w:sz="6" w:space="0" w:color="auto"/>
              <w:left w:val="single" w:sz="6" w:space="0" w:color="auto"/>
              <w:right w:val="single" w:sz="6" w:space="0" w:color="auto"/>
            </w:tcBorders>
            <w:vAlign w:val="center"/>
          </w:tcPr>
          <w:p w:rsidR="002E4199" w:rsidRPr="000D7B5B" w:rsidRDefault="002E4199" w:rsidP="0032294B">
            <w:pPr>
              <w:pStyle w:val="TextPItable"/>
              <w:keepNext/>
              <w:keepLines/>
              <w:spacing w:before="20" w:after="20"/>
              <w:rPr>
                <w:sz w:val="20"/>
                <w:szCs w:val="20"/>
              </w:rPr>
            </w:pPr>
            <w:r w:rsidRPr="000D7B5B">
              <w:rPr>
                <w:rFonts w:cs="Arial"/>
                <w:b/>
                <w:bCs/>
                <w:sz w:val="20"/>
                <w:szCs w:val="20"/>
              </w:rPr>
              <w:t>CNS/PNS</w:t>
            </w:r>
          </w:p>
        </w:tc>
        <w:tc>
          <w:tcPr>
            <w:tcW w:w="2820" w:type="dxa"/>
            <w:tcBorders>
              <w:top w:val="single" w:sz="6" w:space="0" w:color="auto"/>
              <w:left w:val="single" w:sz="6" w:space="0" w:color="auto"/>
              <w:right w:val="single" w:sz="6" w:space="0" w:color="auto"/>
            </w:tcBorders>
          </w:tcPr>
          <w:p w:rsidR="002E4199" w:rsidRPr="000D7B5B" w:rsidRDefault="002E4199" w:rsidP="0032294B">
            <w:pPr>
              <w:pStyle w:val="TextPItable"/>
              <w:keepNext/>
              <w:keepLines/>
              <w:spacing w:before="20" w:after="20"/>
              <w:jc w:val="center"/>
              <w:rPr>
                <w:sz w:val="20"/>
                <w:szCs w:val="20"/>
              </w:rPr>
            </w:pPr>
          </w:p>
        </w:tc>
        <w:tc>
          <w:tcPr>
            <w:tcW w:w="3260" w:type="dxa"/>
            <w:tcBorders>
              <w:top w:val="single" w:sz="6" w:space="0" w:color="auto"/>
              <w:left w:val="single" w:sz="6" w:space="0" w:color="auto"/>
              <w:right w:val="single" w:sz="6" w:space="0" w:color="auto"/>
            </w:tcBorders>
          </w:tcPr>
          <w:p w:rsidR="002E4199" w:rsidRPr="000D7B5B" w:rsidRDefault="002E4199" w:rsidP="0032294B">
            <w:pPr>
              <w:pStyle w:val="TextPItable"/>
              <w:keepNext/>
              <w:keepLines/>
              <w:spacing w:before="20" w:after="20"/>
              <w:jc w:val="center"/>
              <w:rPr>
                <w:sz w:val="20"/>
                <w:szCs w:val="20"/>
              </w:rPr>
            </w:pPr>
          </w:p>
        </w:tc>
      </w:tr>
      <w:tr w:rsidR="002E4199" w:rsidRPr="000D7B5B" w:rsidTr="0032294B">
        <w:tc>
          <w:tcPr>
            <w:tcW w:w="2929" w:type="dxa"/>
            <w:tcBorders>
              <w:left w:val="single" w:sz="5" w:space="0" w:color="auto"/>
              <w:bottom w:val="single" w:sz="6" w:space="0" w:color="auto"/>
              <w:right w:val="single" w:sz="5" w:space="0" w:color="auto"/>
            </w:tcBorders>
            <w:vAlign w:val="center"/>
          </w:tcPr>
          <w:p w:rsidR="002E4199" w:rsidRPr="000D7B5B" w:rsidRDefault="002E4199" w:rsidP="0032294B">
            <w:pPr>
              <w:pStyle w:val="TextPItable"/>
              <w:keepNext/>
              <w:keepLines/>
              <w:spacing w:before="20" w:after="20"/>
              <w:rPr>
                <w:sz w:val="20"/>
                <w:szCs w:val="20"/>
              </w:rPr>
            </w:pPr>
            <w:r w:rsidRPr="000D7B5B">
              <w:rPr>
                <w:sz w:val="20"/>
                <w:szCs w:val="20"/>
              </w:rPr>
              <w:t>Headache</w:t>
            </w:r>
          </w:p>
        </w:tc>
        <w:tc>
          <w:tcPr>
            <w:tcW w:w="2820" w:type="dxa"/>
            <w:tcBorders>
              <w:left w:val="single" w:sz="5" w:space="0" w:color="auto"/>
              <w:bottom w:val="single" w:sz="6" w:space="0" w:color="auto"/>
              <w:right w:val="single" w:sz="5" w:space="0" w:color="auto"/>
            </w:tcBorders>
            <w:vAlign w:val="center"/>
          </w:tcPr>
          <w:p w:rsidR="002E4199" w:rsidRPr="000D7B5B" w:rsidRDefault="002E4199" w:rsidP="0032294B">
            <w:pPr>
              <w:pStyle w:val="TextPItable"/>
              <w:keepNext/>
              <w:keepLines/>
              <w:spacing w:before="20" w:after="20"/>
              <w:jc w:val="center"/>
              <w:rPr>
                <w:sz w:val="20"/>
                <w:szCs w:val="20"/>
              </w:rPr>
            </w:pPr>
            <w:r w:rsidRPr="000D7B5B">
              <w:rPr>
                <w:sz w:val="20"/>
                <w:szCs w:val="20"/>
              </w:rPr>
              <w:t>6 (14.0%)</w:t>
            </w:r>
          </w:p>
        </w:tc>
        <w:tc>
          <w:tcPr>
            <w:tcW w:w="3260" w:type="dxa"/>
            <w:tcBorders>
              <w:left w:val="single" w:sz="5" w:space="0" w:color="auto"/>
              <w:bottom w:val="single" w:sz="6" w:space="0" w:color="auto"/>
              <w:right w:val="single" w:sz="5" w:space="0" w:color="auto"/>
            </w:tcBorders>
            <w:vAlign w:val="center"/>
          </w:tcPr>
          <w:p w:rsidR="002E4199" w:rsidRPr="000D7B5B" w:rsidRDefault="002E4199" w:rsidP="0032294B">
            <w:pPr>
              <w:pStyle w:val="TextPItable"/>
              <w:keepNext/>
              <w:keepLines/>
              <w:spacing w:before="20" w:after="20"/>
              <w:jc w:val="center"/>
              <w:rPr>
                <w:sz w:val="20"/>
                <w:szCs w:val="20"/>
              </w:rPr>
            </w:pPr>
            <w:r w:rsidRPr="000D7B5B">
              <w:rPr>
                <w:sz w:val="20"/>
                <w:szCs w:val="20"/>
              </w:rPr>
              <w:t>0.7</w:t>
            </w:r>
          </w:p>
        </w:tc>
      </w:tr>
      <w:tr w:rsidR="002E4199" w:rsidRPr="000D7B5B" w:rsidTr="0032294B">
        <w:trPr>
          <w:trHeight w:val="270"/>
        </w:trPr>
        <w:tc>
          <w:tcPr>
            <w:tcW w:w="2929" w:type="dxa"/>
            <w:tcBorders>
              <w:top w:val="single" w:sz="6" w:space="0" w:color="auto"/>
              <w:left w:val="single" w:sz="6" w:space="0" w:color="auto"/>
              <w:right w:val="single" w:sz="6" w:space="0" w:color="auto"/>
            </w:tcBorders>
            <w:vAlign w:val="center"/>
          </w:tcPr>
          <w:p w:rsidR="002E4199" w:rsidRPr="000D7B5B" w:rsidRDefault="002E4199" w:rsidP="0032294B">
            <w:pPr>
              <w:pStyle w:val="TextPItable"/>
              <w:keepNext/>
              <w:keepLines/>
              <w:spacing w:before="20" w:after="20"/>
              <w:rPr>
                <w:b/>
                <w:bCs/>
                <w:sz w:val="20"/>
                <w:szCs w:val="20"/>
              </w:rPr>
            </w:pPr>
            <w:r w:rsidRPr="000D7B5B">
              <w:rPr>
                <w:rFonts w:cs="Arial"/>
                <w:b/>
                <w:bCs/>
                <w:sz w:val="20"/>
                <w:szCs w:val="20"/>
              </w:rPr>
              <w:t>GASTROINTESTINAL</w:t>
            </w:r>
          </w:p>
        </w:tc>
        <w:tc>
          <w:tcPr>
            <w:tcW w:w="2820" w:type="dxa"/>
            <w:tcBorders>
              <w:top w:val="single" w:sz="6" w:space="0" w:color="auto"/>
              <w:left w:val="single" w:sz="6" w:space="0" w:color="auto"/>
              <w:right w:val="single" w:sz="6" w:space="0" w:color="auto"/>
            </w:tcBorders>
          </w:tcPr>
          <w:p w:rsidR="002E4199" w:rsidRPr="000D7B5B" w:rsidRDefault="002E4199" w:rsidP="0032294B">
            <w:pPr>
              <w:pStyle w:val="TextPItable"/>
              <w:keepNext/>
              <w:keepLines/>
              <w:spacing w:before="20" w:after="20"/>
              <w:jc w:val="center"/>
              <w:rPr>
                <w:sz w:val="20"/>
                <w:szCs w:val="20"/>
              </w:rPr>
            </w:pPr>
          </w:p>
        </w:tc>
        <w:tc>
          <w:tcPr>
            <w:tcW w:w="3260" w:type="dxa"/>
            <w:tcBorders>
              <w:top w:val="single" w:sz="6" w:space="0" w:color="auto"/>
              <w:left w:val="single" w:sz="6" w:space="0" w:color="auto"/>
              <w:right w:val="single" w:sz="6" w:space="0" w:color="auto"/>
            </w:tcBorders>
          </w:tcPr>
          <w:p w:rsidR="002E4199" w:rsidRPr="000D7B5B" w:rsidRDefault="002E4199" w:rsidP="0032294B">
            <w:pPr>
              <w:pStyle w:val="TextPItable"/>
              <w:keepNext/>
              <w:keepLines/>
              <w:spacing w:before="20" w:after="20"/>
              <w:jc w:val="center"/>
              <w:rPr>
                <w:sz w:val="20"/>
                <w:szCs w:val="20"/>
              </w:rPr>
            </w:pPr>
          </w:p>
        </w:tc>
      </w:tr>
      <w:tr w:rsidR="002E4199" w:rsidRPr="000D7B5B" w:rsidTr="0032294B">
        <w:tc>
          <w:tcPr>
            <w:tcW w:w="2929" w:type="dxa"/>
            <w:tcBorders>
              <w:left w:val="single" w:sz="6" w:space="0" w:color="auto"/>
              <w:bottom w:val="single" w:sz="6" w:space="0" w:color="auto"/>
              <w:right w:val="single" w:sz="6" w:space="0" w:color="auto"/>
            </w:tcBorders>
            <w:vAlign w:val="center"/>
          </w:tcPr>
          <w:p w:rsidR="002E4199" w:rsidRPr="000D7B5B" w:rsidRDefault="002E4199" w:rsidP="0032294B">
            <w:pPr>
              <w:pStyle w:val="TextPItable"/>
              <w:keepNext/>
              <w:keepLines/>
              <w:spacing w:before="20" w:after="20"/>
              <w:rPr>
                <w:rFonts w:cs="Arial"/>
                <w:b/>
                <w:bCs/>
                <w:sz w:val="20"/>
                <w:szCs w:val="20"/>
              </w:rPr>
            </w:pPr>
            <w:r w:rsidRPr="000D7B5B">
              <w:rPr>
                <w:sz w:val="20"/>
                <w:szCs w:val="20"/>
              </w:rPr>
              <w:t>Vomiting</w:t>
            </w:r>
          </w:p>
        </w:tc>
        <w:tc>
          <w:tcPr>
            <w:tcW w:w="2820" w:type="dxa"/>
            <w:tcBorders>
              <w:left w:val="single" w:sz="6" w:space="0" w:color="auto"/>
              <w:bottom w:val="single" w:sz="6" w:space="0" w:color="auto"/>
              <w:right w:val="single" w:sz="6" w:space="0" w:color="auto"/>
            </w:tcBorders>
            <w:vAlign w:val="center"/>
          </w:tcPr>
          <w:p w:rsidR="002E4199" w:rsidRPr="000D7B5B" w:rsidRDefault="002E4199" w:rsidP="0032294B">
            <w:pPr>
              <w:pStyle w:val="TextPItable"/>
              <w:keepNext/>
              <w:keepLines/>
              <w:spacing w:before="20" w:after="20"/>
              <w:jc w:val="center"/>
              <w:rPr>
                <w:sz w:val="20"/>
                <w:szCs w:val="20"/>
              </w:rPr>
            </w:pPr>
            <w:r w:rsidRPr="000D7B5B">
              <w:rPr>
                <w:sz w:val="20"/>
                <w:szCs w:val="20"/>
              </w:rPr>
              <w:t>6 (14.0%)</w:t>
            </w:r>
          </w:p>
        </w:tc>
        <w:tc>
          <w:tcPr>
            <w:tcW w:w="3260" w:type="dxa"/>
            <w:tcBorders>
              <w:left w:val="single" w:sz="6" w:space="0" w:color="auto"/>
              <w:bottom w:val="single" w:sz="6" w:space="0" w:color="auto"/>
              <w:right w:val="single" w:sz="6" w:space="0" w:color="auto"/>
            </w:tcBorders>
            <w:vAlign w:val="center"/>
          </w:tcPr>
          <w:p w:rsidR="002E4199" w:rsidRPr="000D7B5B" w:rsidRDefault="002E4199" w:rsidP="0032294B">
            <w:pPr>
              <w:pStyle w:val="TextPItable"/>
              <w:keepNext/>
              <w:keepLines/>
              <w:spacing w:before="20" w:after="20"/>
              <w:jc w:val="center"/>
              <w:rPr>
                <w:sz w:val="20"/>
                <w:szCs w:val="20"/>
              </w:rPr>
            </w:pPr>
            <w:r w:rsidRPr="000D7B5B">
              <w:rPr>
                <w:sz w:val="20"/>
                <w:szCs w:val="20"/>
              </w:rPr>
              <w:t>0.6</w:t>
            </w:r>
          </w:p>
        </w:tc>
      </w:tr>
      <w:tr w:rsidR="002E4199" w:rsidRPr="000D7B5B" w:rsidTr="0032294B">
        <w:tc>
          <w:tcPr>
            <w:tcW w:w="2929" w:type="dxa"/>
            <w:tcBorders>
              <w:top w:val="single" w:sz="6" w:space="0" w:color="auto"/>
              <w:left w:val="single" w:sz="6" w:space="0" w:color="auto"/>
              <w:right w:val="single" w:sz="6" w:space="0" w:color="auto"/>
            </w:tcBorders>
            <w:vAlign w:val="center"/>
          </w:tcPr>
          <w:p w:rsidR="002E4199" w:rsidRPr="000D7B5B" w:rsidRDefault="002E4199" w:rsidP="0032294B">
            <w:pPr>
              <w:pStyle w:val="TextPItable"/>
              <w:keepNext/>
              <w:keepLines/>
              <w:spacing w:before="20" w:after="20"/>
              <w:rPr>
                <w:sz w:val="20"/>
                <w:szCs w:val="20"/>
              </w:rPr>
            </w:pPr>
            <w:r w:rsidRPr="000D7B5B">
              <w:rPr>
                <w:rFonts w:cs="Arial"/>
                <w:b/>
                <w:bCs/>
                <w:sz w:val="20"/>
                <w:szCs w:val="20"/>
              </w:rPr>
              <w:t>MUSCULO-SKELETAL</w:t>
            </w:r>
          </w:p>
        </w:tc>
        <w:tc>
          <w:tcPr>
            <w:tcW w:w="2820" w:type="dxa"/>
            <w:tcBorders>
              <w:top w:val="single" w:sz="6" w:space="0" w:color="auto"/>
              <w:left w:val="single" w:sz="6" w:space="0" w:color="auto"/>
              <w:right w:val="single" w:sz="6" w:space="0" w:color="auto"/>
            </w:tcBorders>
          </w:tcPr>
          <w:p w:rsidR="002E4199" w:rsidRPr="000D7B5B" w:rsidRDefault="002E4199" w:rsidP="0032294B">
            <w:pPr>
              <w:pStyle w:val="TextPItable"/>
              <w:keepNext/>
              <w:keepLines/>
              <w:spacing w:before="20" w:after="20"/>
              <w:jc w:val="center"/>
              <w:rPr>
                <w:sz w:val="20"/>
                <w:szCs w:val="20"/>
              </w:rPr>
            </w:pPr>
          </w:p>
        </w:tc>
        <w:tc>
          <w:tcPr>
            <w:tcW w:w="3260" w:type="dxa"/>
            <w:tcBorders>
              <w:top w:val="single" w:sz="6" w:space="0" w:color="auto"/>
              <w:left w:val="single" w:sz="6" w:space="0" w:color="auto"/>
              <w:right w:val="single" w:sz="6" w:space="0" w:color="auto"/>
            </w:tcBorders>
          </w:tcPr>
          <w:p w:rsidR="002E4199" w:rsidRPr="000D7B5B" w:rsidRDefault="002E4199" w:rsidP="0032294B">
            <w:pPr>
              <w:pStyle w:val="TextPItable"/>
              <w:keepNext/>
              <w:keepLines/>
              <w:spacing w:before="20" w:after="20"/>
              <w:jc w:val="center"/>
              <w:rPr>
                <w:sz w:val="20"/>
                <w:szCs w:val="20"/>
              </w:rPr>
            </w:pPr>
          </w:p>
        </w:tc>
      </w:tr>
      <w:tr w:rsidR="002E4199" w:rsidRPr="000D7B5B" w:rsidTr="0032294B">
        <w:tc>
          <w:tcPr>
            <w:tcW w:w="2929" w:type="dxa"/>
            <w:tcBorders>
              <w:left w:val="single" w:sz="6" w:space="0" w:color="auto"/>
              <w:bottom w:val="single" w:sz="6" w:space="0" w:color="auto"/>
              <w:right w:val="single" w:sz="6" w:space="0" w:color="auto"/>
            </w:tcBorders>
            <w:vAlign w:val="center"/>
          </w:tcPr>
          <w:p w:rsidR="002E4199" w:rsidRPr="000D7B5B" w:rsidRDefault="002E4199" w:rsidP="0032294B">
            <w:pPr>
              <w:pStyle w:val="TextPItable"/>
              <w:keepNext/>
              <w:keepLines/>
              <w:spacing w:before="20" w:after="20"/>
              <w:rPr>
                <w:sz w:val="20"/>
                <w:szCs w:val="20"/>
              </w:rPr>
            </w:pPr>
            <w:r w:rsidRPr="000D7B5B">
              <w:rPr>
                <w:sz w:val="20"/>
                <w:szCs w:val="20"/>
              </w:rPr>
              <w:t>Arthralgia</w:t>
            </w:r>
          </w:p>
        </w:tc>
        <w:tc>
          <w:tcPr>
            <w:tcW w:w="2820" w:type="dxa"/>
            <w:tcBorders>
              <w:left w:val="single" w:sz="6" w:space="0" w:color="auto"/>
              <w:bottom w:val="single" w:sz="6" w:space="0" w:color="auto"/>
              <w:right w:val="single" w:sz="6" w:space="0" w:color="auto"/>
            </w:tcBorders>
            <w:vAlign w:val="center"/>
          </w:tcPr>
          <w:p w:rsidR="002E4199" w:rsidRPr="000D7B5B" w:rsidRDefault="002E4199" w:rsidP="0032294B">
            <w:pPr>
              <w:pStyle w:val="TextPItable"/>
              <w:keepNext/>
              <w:keepLines/>
              <w:spacing w:before="20" w:after="20"/>
              <w:jc w:val="center"/>
              <w:rPr>
                <w:sz w:val="20"/>
                <w:szCs w:val="20"/>
              </w:rPr>
            </w:pPr>
            <w:r w:rsidRPr="000D7B5B">
              <w:rPr>
                <w:sz w:val="20"/>
                <w:szCs w:val="20"/>
              </w:rPr>
              <w:t>5 (11.6%)</w:t>
            </w:r>
          </w:p>
        </w:tc>
        <w:tc>
          <w:tcPr>
            <w:tcW w:w="3260" w:type="dxa"/>
            <w:tcBorders>
              <w:left w:val="single" w:sz="6" w:space="0" w:color="auto"/>
              <w:bottom w:val="single" w:sz="6" w:space="0" w:color="auto"/>
              <w:right w:val="single" w:sz="6" w:space="0" w:color="auto"/>
            </w:tcBorders>
            <w:vAlign w:val="center"/>
          </w:tcPr>
          <w:p w:rsidR="002E4199" w:rsidRPr="000D7B5B" w:rsidRDefault="002E4199" w:rsidP="0032294B">
            <w:pPr>
              <w:pStyle w:val="TextPItable"/>
              <w:keepNext/>
              <w:keepLines/>
              <w:spacing w:before="20" w:after="20"/>
              <w:jc w:val="center"/>
              <w:rPr>
                <w:sz w:val="20"/>
                <w:szCs w:val="20"/>
              </w:rPr>
            </w:pPr>
            <w:r w:rsidRPr="000D7B5B">
              <w:rPr>
                <w:sz w:val="20"/>
                <w:szCs w:val="20"/>
              </w:rPr>
              <w:t>0.6</w:t>
            </w:r>
          </w:p>
        </w:tc>
      </w:tr>
      <w:tr w:rsidR="002E4199" w:rsidRPr="000D7B5B" w:rsidTr="0032294B">
        <w:tc>
          <w:tcPr>
            <w:tcW w:w="2929" w:type="dxa"/>
            <w:tcBorders>
              <w:top w:val="single" w:sz="6" w:space="0" w:color="auto"/>
              <w:left w:val="single" w:sz="6" w:space="0" w:color="auto"/>
              <w:right w:val="single" w:sz="6" w:space="0" w:color="auto"/>
            </w:tcBorders>
            <w:vAlign w:val="center"/>
          </w:tcPr>
          <w:p w:rsidR="002E4199" w:rsidRPr="000D7B5B" w:rsidRDefault="002E4199" w:rsidP="0032294B">
            <w:pPr>
              <w:pStyle w:val="TextPItable"/>
              <w:keepNext/>
              <w:keepLines/>
              <w:spacing w:before="20" w:after="20"/>
              <w:rPr>
                <w:sz w:val="20"/>
                <w:szCs w:val="20"/>
              </w:rPr>
            </w:pPr>
            <w:r w:rsidRPr="000D7B5B">
              <w:rPr>
                <w:b/>
                <w:bCs/>
                <w:sz w:val="20"/>
                <w:szCs w:val="20"/>
              </w:rPr>
              <w:t>BODY AS A WHOLE</w:t>
            </w:r>
          </w:p>
        </w:tc>
        <w:tc>
          <w:tcPr>
            <w:tcW w:w="2820" w:type="dxa"/>
            <w:tcBorders>
              <w:top w:val="single" w:sz="6" w:space="0" w:color="auto"/>
              <w:left w:val="single" w:sz="6" w:space="0" w:color="auto"/>
              <w:right w:val="single" w:sz="6" w:space="0" w:color="auto"/>
            </w:tcBorders>
          </w:tcPr>
          <w:p w:rsidR="002E4199" w:rsidRPr="000D7B5B" w:rsidRDefault="002E4199" w:rsidP="0032294B">
            <w:pPr>
              <w:pStyle w:val="TextPItable"/>
              <w:keepNext/>
              <w:keepLines/>
              <w:spacing w:before="20" w:after="20"/>
              <w:jc w:val="center"/>
              <w:rPr>
                <w:sz w:val="20"/>
                <w:szCs w:val="20"/>
              </w:rPr>
            </w:pPr>
          </w:p>
        </w:tc>
        <w:tc>
          <w:tcPr>
            <w:tcW w:w="3260" w:type="dxa"/>
            <w:tcBorders>
              <w:top w:val="single" w:sz="6" w:space="0" w:color="auto"/>
              <w:left w:val="single" w:sz="6" w:space="0" w:color="auto"/>
              <w:right w:val="single" w:sz="6" w:space="0" w:color="auto"/>
            </w:tcBorders>
          </w:tcPr>
          <w:p w:rsidR="002E4199" w:rsidRPr="000D7B5B" w:rsidRDefault="002E4199" w:rsidP="0032294B">
            <w:pPr>
              <w:pStyle w:val="TextPItable"/>
              <w:keepNext/>
              <w:keepLines/>
              <w:spacing w:before="20" w:after="20"/>
              <w:jc w:val="center"/>
              <w:rPr>
                <w:sz w:val="20"/>
                <w:szCs w:val="20"/>
              </w:rPr>
            </w:pPr>
          </w:p>
        </w:tc>
      </w:tr>
      <w:tr w:rsidR="002E4199" w:rsidRPr="000D7B5B" w:rsidTr="0032294B">
        <w:tc>
          <w:tcPr>
            <w:tcW w:w="2929" w:type="dxa"/>
            <w:tcBorders>
              <w:left w:val="single" w:sz="6" w:space="0" w:color="auto"/>
              <w:bottom w:val="single" w:sz="6" w:space="0" w:color="auto"/>
              <w:right w:val="single" w:sz="6" w:space="0" w:color="auto"/>
            </w:tcBorders>
            <w:vAlign w:val="center"/>
          </w:tcPr>
          <w:p w:rsidR="002E4199" w:rsidRPr="000D7B5B" w:rsidRDefault="002E4199" w:rsidP="0032294B">
            <w:pPr>
              <w:pStyle w:val="TextPItable"/>
              <w:keepNext/>
              <w:keepLines/>
              <w:spacing w:before="20" w:after="20"/>
              <w:rPr>
                <w:sz w:val="20"/>
                <w:szCs w:val="20"/>
              </w:rPr>
            </w:pPr>
            <w:r w:rsidRPr="000D7B5B">
              <w:rPr>
                <w:sz w:val="20"/>
                <w:szCs w:val="20"/>
              </w:rPr>
              <w:t>Pyrexia</w:t>
            </w:r>
          </w:p>
        </w:tc>
        <w:tc>
          <w:tcPr>
            <w:tcW w:w="2820" w:type="dxa"/>
            <w:tcBorders>
              <w:left w:val="single" w:sz="6" w:space="0" w:color="auto"/>
              <w:bottom w:val="single" w:sz="6" w:space="0" w:color="auto"/>
              <w:right w:val="single" w:sz="6" w:space="0" w:color="auto"/>
            </w:tcBorders>
            <w:vAlign w:val="center"/>
          </w:tcPr>
          <w:p w:rsidR="002E4199" w:rsidRPr="000D7B5B" w:rsidRDefault="002E4199" w:rsidP="0032294B">
            <w:pPr>
              <w:pStyle w:val="TextPItable"/>
              <w:keepNext/>
              <w:keepLines/>
              <w:spacing w:before="20" w:after="20"/>
              <w:jc w:val="center"/>
              <w:rPr>
                <w:sz w:val="20"/>
                <w:szCs w:val="20"/>
              </w:rPr>
            </w:pPr>
            <w:r w:rsidRPr="000D7B5B">
              <w:rPr>
                <w:sz w:val="20"/>
                <w:szCs w:val="20"/>
              </w:rPr>
              <w:t>5 (11.6%)</w:t>
            </w:r>
          </w:p>
        </w:tc>
        <w:tc>
          <w:tcPr>
            <w:tcW w:w="3260" w:type="dxa"/>
            <w:tcBorders>
              <w:left w:val="single" w:sz="6" w:space="0" w:color="auto"/>
              <w:bottom w:val="single" w:sz="6" w:space="0" w:color="auto"/>
              <w:right w:val="single" w:sz="6" w:space="0" w:color="auto"/>
            </w:tcBorders>
            <w:vAlign w:val="center"/>
          </w:tcPr>
          <w:p w:rsidR="002E4199" w:rsidRPr="000D7B5B" w:rsidRDefault="002E4199" w:rsidP="0032294B">
            <w:pPr>
              <w:pStyle w:val="TextPItable"/>
              <w:keepNext/>
              <w:keepLines/>
              <w:spacing w:before="20" w:after="20"/>
              <w:jc w:val="center"/>
              <w:rPr>
                <w:sz w:val="20"/>
                <w:szCs w:val="20"/>
              </w:rPr>
            </w:pPr>
            <w:r w:rsidRPr="000D7B5B">
              <w:rPr>
                <w:sz w:val="20"/>
                <w:szCs w:val="20"/>
              </w:rPr>
              <w:t>0.4</w:t>
            </w:r>
          </w:p>
        </w:tc>
      </w:tr>
      <w:tr w:rsidR="002E4199" w:rsidRPr="000D7B5B" w:rsidTr="0032294B">
        <w:tc>
          <w:tcPr>
            <w:tcW w:w="2929" w:type="dxa"/>
            <w:tcBorders>
              <w:top w:val="single" w:sz="6" w:space="0" w:color="auto"/>
              <w:left w:val="single" w:sz="6" w:space="0" w:color="auto"/>
              <w:right w:val="single" w:sz="6" w:space="0" w:color="auto"/>
            </w:tcBorders>
            <w:vAlign w:val="center"/>
          </w:tcPr>
          <w:p w:rsidR="002E4199" w:rsidRPr="000D7B5B" w:rsidRDefault="002E4199" w:rsidP="0032294B">
            <w:pPr>
              <w:pStyle w:val="TextPItable"/>
              <w:keepNext/>
              <w:keepLines/>
              <w:spacing w:before="20" w:after="20"/>
              <w:rPr>
                <w:sz w:val="20"/>
                <w:szCs w:val="20"/>
              </w:rPr>
            </w:pPr>
            <w:r w:rsidRPr="000D7B5B">
              <w:rPr>
                <w:rFonts w:cs="Arial"/>
                <w:b/>
                <w:bCs/>
                <w:sz w:val="20"/>
                <w:szCs w:val="20"/>
              </w:rPr>
              <w:t>RESPIRATORY</w:t>
            </w:r>
          </w:p>
        </w:tc>
        <w:tc>
          <w:tcPr>
            <w:tcW w:w="2820" w:type="dxa"/>
            <w:tcBorders>
              <w:top w:val="single" w:sz="6" w:space="0" w:color="auto"/>
              <w:left w:val="single" w:sz="6" w:space="0" w:color="auto"/>
              <w:right w:val="single" w:sz="6" w:space="0" w:color="auto"/>
            </w:tcBorders>
          </w:tcPr>
          <w:p w:rsidR="002E4199" w:rsidRPr="000D7B5B" w:rsidRDefault="002E4199" w:rsidP="0032294B">
            <w:pPr>
              <w:pStyle w:val="TextPItable"/>
              <w:keepNext/>
              <w:keepLines/>
              <w:spacing w:before="20" w:after="20"/>
              <w:jc w:val="center"/>
              <w:rPr>
                <w:sz w:val="20"/>
                <w:szCs w:val="20"/>
              </w:rPr>
            </w:pPr>
          </w:p>
        </w:tc>
        <w:tc>
          <w:tcPr>
            <w:tcW w:w="3260" w:type="dxa"/>
            <w:tcBorders>
              <w:top w:val="single" w:sz="6" w:space="0" w:color="auto"/>
              <w:left w:val="single" w:sz="6" w:space="0" w:color="auto"/>
              <w:right w:val="single" w:sz="6" w:space="0" w:color="auto"/>
            </w:tcBorders>
          </w:tcPr>
          <w:p w:rsidR="002E4199" w:rsidRPr="000D7B5B" w:rsidRDefault="002E4199" w:rsidP="0032294B">
            <w:pPr>
              <w:pStyle w:val="TextPItable"/>
              <w:keepNext/>
              <w:keepLines/>
              <w:spacing w:before="20" w:after="20"/>
              <w:jc w:val="center"/>
              <w:rPr>
                <w:sz w:val="20"/>
                <w:szCs w:val="20"/>
              </w:rPr>
            </w:pPr>
          </w:p>
        </w:tc>
      </w:tr>
      <w:tr w:rsidR="002E4199" w:rsidRPr="00123798" w:rsidTr="0032294B">
        <w:tc>
          <w:tcPr>
            <w:tcW w:w="2929" w:type="dxa"/>
            <w:tcBorders>
              <w:left w:val="single" w:sz="6" w:space="0" w:color="auto"/>
              <w:bottom w:val="single" w:sz="4" w:space="0" w:color="auto"/>
              <w:right w:val="single" w:sz="6" w:space="0" w:color="auto"/>
            </w:tcBorders>
            <w:vAlign w:val="center"/>
          </w:tcPr>
          <w:p w:rsidR="002E4199" w:rsidRPr="000D7B5B" w:rsidRDefault="002E4199" w:rsidP="0032294B">
            <w:pPr>
              <w:pStyle w:val="TextPItable"/>
              <w:keepNext/>
              <w:keepLines/>
              <w:spacing w:before="20" w:after="20"/>
              <w:rPr>
                <w:rFonts w:cs="Arial"/>
                <w:b/>
                <w:bCs/>
                <w:sz w:val="20"/>
                <w:szCs w:val="20"/>
              </w:rPr>
            </w:pPr>
            <w:proofErr w:type="spellStart"/>
            <w:r w:rsidRPr="000D7B5B">
              <w:rPr>
                <w:sz w:val="20"/>
                <w:szCs w:val="20"/>
              </w:rPr>
              <w:t>Nasopharyngitis</w:t>
            </w:r>
            <w:proofErr w:type="spellEnd"/>
          </w:p>
        </w:tc>
        <w:tc>
          <w:tcPr>
            <w:tcW w:w="2820" w:type="dxa"/>
            <w:tcBorders>
              <w:left w:val="single" w:sz="6" w:space="0" w:color="auto"/>
              <w:bottom w:val="single" w:sz="4" w:space="0" w:color="auto"/>
              <w:right w:val="single" w:sz="6" w:space="0" w:color="auto"/>
            </w:tcBorders>
            <w:vAlign w:val="center"/>
          </w:tcPr>
          <w:p w:rsidR="002E4199" w:rsidRPr="000D7B5B" w:rsidRDefault="002E4199" w:rsidP="0032294B">
            <w:pPr>
              <w:pStyle w:val="TextPItable"/>
              <w:keepNext/>
              <w:keepLines/>
              <w:spacing w:before="20" w:after="20"/>
              <w:jc w:val="center"/>
              <w:rPr>
                <w:sz w:val="20"/>
                <w:szCs w:val="20"/>
              </w:rPr>
            </w:pPr>
            <w:r w:rsidRPr="000D7B5B">
              <w:rPr>
                <w:sz w:val="20"/>
                <w:szCs w:val="20"/>
              </w:rPr>
              <w:t>5 (11.6%)</w:t>
            </w:r>
          </w:p>
        </w:tc>
        <w:tc>
          <w:tcPr>
            <w:tcW w:w="3260" w:type="dxa"/>
            <w:tcBorders>
              <w:left w:val="single" w:sz="6" w:space="0" w:color="auto"/>
              <w:bottom w:val="single" w:sz="4" w:space="0" w:color="auto"/>
              <w:right w:val="single" w:sz="6" w:space="0" w:color="auto"/>
            </w:tcBorders>
            <w:vAlign w:val="center"/>
          </w:tcPr>
          <w:p w:rsidR="002E4199" w:rsidRPr="00123798" w:rsidRDefault="002E4199" w:rsidP="0032294B">
            <w:pPr>
              <w:pStyle w:val="TextPItable"/>
              <w:keepNext/>
              <w:keepLines/>
              <w:spacing w:before="20" w:after="20"/>
              <w:jc w:val="center"/>
              <w:rPr>
                <w:sz w:val="20"/>
                <w:szCs w:val="20"/>
              </w:rPr>
            </w:pPr>
            <w:r w:rsidRPr="000D7B5B">
              <w:rPr>
                <w:sz w:val="20"/>
                <w:szCs w:val="20"/>
              </w:rPr>
              <w:t>0.3</w:t>
            </w:r>
          </w:p>
        </w:tc>
      </w:tr>
    </w:tbl>
    <w:bookmarkEnd w:id="0"/>
    <w:p w:rsidR="00014579" w:rsidRPr="00123798" w:rsidRDefault="00014579" w:rsidP="000D7B5B">
      <w:pPr>
        <w:pStyle w:val="PIHeading1"/>
        <w:ind w:left="0" w:firstLine="0"/>
      </w:pPr>
      <w:r w:rsidRPr="00123798">
        <w:t>DOSAGE AND ADMINISTRATION</w:t>
      </w:r>
    </w:p>
    <w:p w:rsidR="00E57B2C" w:rsidRPr="000D7B5B" w:rsidRDefault="00E57B2C" w:rsidP="008D08C2">
      <w:pPr>
        <w:pStyle w:val="PIheading2"/>
      </w:pPr>
      <w:r w:rsidRPr="000D7B5B">
        <w:t>RA</w:t>
      </w:r>
    </w:p>
    <w:p w:rsidR="00D070D7" w:rsidRPr="00123798" w:rsidRDefault="00D070D7" w:rsidP="000D7B5B">
      <w:pPr>
        <w:pStyle w:val="TextPI"/>
      </w:pPr>
      <w:r w:rsidRPr="000D7B5B">
        <w:t xml:space="preserve">The recommended dose of </w:t>
      </w:r>
      <w:r w:rsidR="004C1A83" w:rsidRPr="000D7B5B">
        <w:rPr>
          <w:rFonts w:ascii="Helvetica" w:hAnsi="Helvetica" w:cs="Helvetica"/>
          <w:color w:val="000000"/>
          <w:lang w:eastAsia="en-AU"/>
        </w:rPr>
        <w:t>KINERET</w:t>
      </w:r>
      <w:r w:rsidR="004C4C3F" w:rsidRPr="000D7B5B">
        <w:rPr>
          <w:rFonts w:ascii="Helvetica" w:hAnsi="Helvetica" w:cs="Helvetica"/>
          <w:color w:val="000000"/>
          <w:vertAlign w:val="superscript"/>
          <w:lang w:eastAsia="en-AU"/>
        </w:rPr>
        <w:t xml:space="preserve"> </w:t>
      </w:r>
      <w:r w:rsidR="00E54348" w:rsidRPr="000D7B5B">
        <w:t>in adults and the elderly</w:t>
      </w:r>
      <w:r w:rsidRPr="000D7B5B">
        <w:t xml:space="preserve"> is 100 mg/day administered by subcutaneous injection. The dose should be administered at approximately the same time every day.</w:t>
      </w:r>
    </w:p>
    <w:p w:rsidR="00D070D7" w:rsidRPr="00123798" w:rsidRDefault="00D070D7" w:rsidP="000D7B5B">
      <w:pPr>
        <w:pStyle w:val="TextPI"/>
      </w:pPr>
      <w:r w:rsidRPr="00123798">
        <w:t>Alternating the injection site is recommended to avoid discomfort at the site of injection.</w:t>
      </w:r>
    </w:p>
    <w:p w:rsidR="00D070D7" w:rsidRDefault="00EB01D6" w:rsidP="00D070D7">
      <w:pPr>
        <w:pStyle w:val="TextPI"/>
      </w:pPr>
      <w:r w:rsidRPr="00FF79D7">
        <w:t xml:space="preserve">Concurrent treatment with </w:t>
      </w:r>
      <w:r w:rsidR="004C1A83">
        <w:rPr>
          <w:rFonts w:ascii="Helvetica" w:hAnsi="Helvetica" w:cs="Helvetica"/>
          <w:color w:val="000000"/>
          <w:lang w:eastAsia="en-AU"/>
        </w:rPr>
        <w:t>KINERET</w:t>
      </w:r>
      <w:r w:rsidRPr="00FF79D7">
        <w:t xml:space="preserve"> and TNF-alpha antagonists is contraindicated (see </w:t>
      </w:r>
      <w:r w:rsidRPr="004C4C3F">
        <w:t>CONTRAINDICATIONS).</w:t>
      </w:r>
    </w:p>
    <w:p w:rsidR="00E57B2C" w:rsidRPr="00F417E1" w:rsidRDefault="00E57B2C" w:rsidP="008D08C2">
      <w:pPr>
        <w:pStyle w:val="PIheading2"/>
      </w:pPr>
      <w:r w:rsidRPr="00F417E1">
        <w:t>CAPS</w:t>
      </w:r>
    </w:p>
    <w:p w:rsidR="004C4C3F" w:rsidRPr="00F417E1" w:rsidRDefault="004C4C3F" w:rsidP="004C4C3F">
      <w:pPr>
        <w:pStyle w:val="TextPI"/>
        <w:rPr>
          <w:i/>
          <w:lang w:val="en-GB"/>
        </w:rPr>
      </w:pPr>
      <w:r w:rsidRPr="00F417E1">
        <w:rPr>
          <w:i/>
          <w:lang w:val="en-GB"/>
        </w:rPr>
        <w:t xml:space="preserve">Starting dose: </w:t>
      </w:r>
    </w:p>
    <w:p w:rsidR="00E57B2C" w:rsidRPr="00F417E1" w:rsidRDefault="00E57B2C" w:rsidP="00E57B2C">
      <w:pPr>
        <w:pStyle w:val="TextPI"/>
        <w:rPr>
          <w:lang w:val="en-GB"/>
        </w:rPr>
      </w:pPr>
      <w:r w:rsidRPr="00F417E1">
        <w:t xml:space="preserve">The recommended starting dose for both adults and children is 1-2 mg/kg/day by SC injection. </w:t>
      </w:r>
      <w:r w:rsidR="004C4C3F" w:rsidRPr="00F417E1">
        <w:rPr>
          <w:lang w:val="en-GB"/>
        </w:rPr>
        <w:t>The therapeutic response is primarily reflected by reduction in clinical symptoms such as fever, rash, joint pain, and headache, but also in inflammatory serum markers (CRP/SAA levels), or occurrence of flares.</w:t>
      </w:r>
    </w:p>
    <w:p w:rsidR="004C4C3F" w:rsidRPr="00F417E1" w:rsidRDefault="004C4C3F" w:rsidP="004C4C3F">
      <w:pPr>
        <w:pStyle w:val="TextPI"/>
        <w:rPr>
          <w:i/>
          <w:lang w:val="en-GB"/>
        </w:rPr>
      </w:pPr>
      <w:r w:rsidRPr="00F417E1">
        <w:rPr>
          <w:i/>
          <w:lang w:val="en-GB"/>
        </w:rPr>
        <w:t xml:space="preserve">Maintenance dose in mild CAPS (FCAS, mild MWS): </w:t>
      </w:r>
    </w:p>
    <w:p w:rsidR="004C4C3F" w:rsidRPr="00F417E1" w:rsidRDefault="004C4C3F" w:rsidP="004C4C3F">
      <w:pPr>
        <w:pStyle w:val="TextPI"/>
        <w:rPr>
          <w:lang w:val="en-GB"/>
        </w:rPr>
      </w:pPr>
      <w:r w:rsidRPr="00F417E1">
        <w:rPr>
          <w:lang w:val="en-GB"/>
        </w:rPr>
        <w:t>Patients are usually well-controlled by maintaining the recommended starting dose (1-2 mg/kg/day).</w:t>
      </w:r>
    </w:p>
    <w:p w:rsidR="004C4C3F" w:rsidRPr="00F417E1" w:rsidRDefault="004C4C3F" w:rsidP="004C4C3F">
      <w:pPr>
        <w:pStyle w:val="TextPI"/>
        <w:rPr>
          <w:i/>
          <w:lang w:val="en-GB"/>
        </w:rPr>
      </w:pPr>
      <w:r w:rsidRPr="00F417E1">
        <w:rPr>
          <w:i/>
          <w:lang w:val="en-GB"/>
        </w:rPr>
        <w:t xml:space="preserve">Maintenance dose in severe CAPS (MWS and NOMID/CINCA): </w:t>
      </w:r>
    </w:p>
    <w:p w:rsidR="004C4C3F" w:rsidRPr="00F417E1" w:rsidRDefault="004C4C3F" w:rsidP="004C4C3F">
      <w:pPr>
        <w:pStyle w:val="TextPI"/>
        <w:rPr>
          <w:lang w:val="en-GB"/>
        </w:rPr>
      </w:pPr>
      <w:r w:rsidRPr="00F417E1">
        <w:rPr>
          <w:lang w:val="en-GB"/>
        </w:rPr>
        <w:t xml:space="preserve">Dose increases may become necessary within 1-2 months based on therapeutic response. The usual maintenance dose in severe CAPS is 3-4 mg/kg/day, which can be adjusted to a maximum of 8 mg/kg/day. </w:t>
      </w:r>
    </w:p>
    <w:p w:rsidR="002A01B0" w:rsidRDefault="002A01B0">
      <w:pPr>
        <w:rPr>
          <w:rFonts w:ascii="Arial" w:hAnsi="Arial"/>
          <w:sz w:val="22"/>
          <w:szCs w:val="22"/>
          <w:lang w:val="en-GB"/>
        </w:rPr>
      </w:pPr>
      <w:r>
        <w:rPr>
          <w:lang w:val="en-GB"/>
        </w:rPr>
        <w:br w:type="page"/>
      </w:r>
    </w:p>
    <w:p w:rsidR="004C4C3F" w:rsidRPr="00F417E1" w:rsidRDefault="004C4C3F" w:rsidP="004C4C3F">
      <w:pPr>
        <w:pStyle w:val="TextPI"/>
      </w:pPr>
      <w:r w:rsidRPr="00F417E1">
        <w:rPr>
          <w:lang w:val="en-GB"/>
        </w:rPr>
        <w:lastRenderedPageBreak/>
        <w:t>In addition to the evaluation of clinical symptoms and inflammatory markers in severe CAPS, assessments of inflammation of the CNS, including the inner ear (MRI or CT, lumbar puncture, and audiology) and eyes (ophthalmological assessments) are recommended after an initial 3 months of treatment, and thereafter every 6 months, until effective treatment doses have been identified. When patients are clinically well-controlled, CNS and ophthalmological monitoring may be conducted yearly.</w:t>
      </w:r>
    </w:p>
    <w:p w:rsidR="004C4C3F" w:rsidRDefault="004C4C3F" w:rsidP="00E57B2C">
      <w:pPr>
        <w:pStyle w:val="TextPI"/>
      </w:pPr>
      <w:r w:rsidRPr="00F417E1">
        <w:t>Once daily administration is generally recommended, but the dose may be split into twice daily administrations. Each syringe is intended for a single use. A new syringe must be used for each dose. Any unused portion after each dose should be discarded.</w:t>
      </w:r>
    </w:p>
    <w:p w:rsidR="00A63BA9" w:rsidRPr="00EE1711" w:rsidRDefault="00A63BA9" w:rsidP="00A63BA9">
      <w:pPr>
        <w:tabs>
          <w:tab w:val="left" w:pos="443"/>
        </w:tabs>
        <w:spacing w:before="80" w:after="60"/>
        <w:rPr>
          <w:rFonts w:ascii="Arial" w:hAnsi="Arial"/>
          <w:b/>
          <w:sz w:val="22"/>
          <w:szCs w:val="22"/>
          <w:u w:val="single"/>
        </w:rPr>
      </w:pPr>
      <w:r w:rsidRPr="00EE1711">
        <w:rPr>
          <w:rFonts w:ascii="Arial" w:hAnsi="Arial"/>
          <w:b/>
          <w:sz w:val="22"/>
          <w:szCs w:val="22"/>
          <w:u w:val="single"/>
        </w:rPr>
        <w:t>SJIA</w:t>
      </w:r>
    </w:p>
    <w:p w:rsidR="00A63BA9" w:rsidRDefault="00A63BA9" w:rsidP="00E57B2C">
      <w:pPr>
        <w:pStyle w:val="TextPI"/>
      </w:pPr>
      <w:r w:rsidRPr="00EE1711">
        <w:t xml:space="preserve">The recommended dose </w:t>
      </w:r>
      <w:r w:rsidR="00DD69B6">
        <w:t xml:space="preserve">in SJIA </w:t>
      </w:r>
      <w:r w:rsidRPr="00EE1711">
        <w:t>is 2 mg/kg</w:t>
      </w:r>
      <w:r w:rsidR="00FF2B91">
        <w:t>/day</w:t>
      </w:r>
      <w:r w:rsidRPr="00EE1711">
        <w:t xml:space="preserve"> </w:t>
      </w:r>
      <w:r w:rsidR="00FF2B91">
        <w:t xml:space="preserve">up to </w:t>
      </w:r>
      <w:r w:rsidR="00DD69B6">
        <w:t xml:space="preserve">a maximum of </w:t>
      </w:r>
      <w:r w:rsidR="00FF2B91">
        <w:t xml:space="preserve">100 mg/day </w:t>
      </w:r>
      <w:r w:rsidRPr="00EE1711">
        <w:t>by SC injection.</w:t>
      </w:r>
    </w:p>
    <w:p w:rsidR="0025688F" w:rsidRPr="0025688F" w:rsidRDefault="0025688F" w:rsidP="0025688F">
      <w:pPr>
        <w:autoSpaceDE w:val="0"/>
        <w:autoSpaceDN w:val="0"/>
        <w:adjustRightInd w:val="0"/>
        <w:spacing w:before="120" w:after="120"/>
        <w:jc w:val="both"/>
        <w:rPr>
          <w:rFonts w:ascii="Arial" w:hAnsi="Arial"/>
          <w:sz w:val="22"/>
          <w:szCs w:val="22"/>
        </w:rPr>
      </w:pPr>
      <w:r w:rsidRPr="0025688F">
        <w:rPr>
          <w:rFonts w:ascii="Arial" w:hAnsi="Arial"/>
          <w:sz w:val="22"/>
          <w:szCs w:val="22"/>
        </w:rPr>
        <w:t xml:space="preserve">Treatment should be undertaken by physicians experienced in the treatment of SJIA. Decisions should be guided by clinical outcomes including laboratory measures. The treating physician should consider whether patients without clinical improvement should continue treatment with </w:t>
      </w:r>
      <w:proofErr w:type="spellStart"/>
      <w:r w:rsidRPr="0025688F">
        <w:rPr>
          <w:rFonts w:ascii="Arial" w:hAnsi="Arial"/>
          <w:sz w:val="22"/>
          <w:szCs w:val="22"/>
        </w:rPr>
        <w:t>anakinra</w:t>
      </w:r>
      <w:proofErr w:type="spellEnd"/>
      <w:r>
        <w:rPr>
          <w:rFonts w:ascii="Arial" w:hAnsi="Arial"/>
          <w:sz w:val="22"/>
          <w:szCs w:val="22"/>
        </w:rPr>
        <w:t>.</w:t>
      </w:r>
    </w:p>
    <w:p w:rsidR="00E54348" w:rsidRPr="000D7B5B" w:rsidRDefault="00E54348" w:rsidP="008D08C2">
      <w:pPr>
        <w:pStyle w:val="PIheading2"/>
      </w:pPr>
      <w:r w:rsidRPr="000D7B5B">
        <w:t>Hepatic impairment</w:t>
      </w:r>
    </w:p>
    <w:p w:rsidR="004C4C3F" w:rsidRDefault="004C4C3F" w:rsidP="000D7B5B">
      <w:pPr>
        <w:pStyle w:val="PIheading2"/>
        <w:jc w:val="both"/>
        <w:rPr>
          <w:b w:val="0"/>
        </w:rPr>
      </w:pPr>
      <w:r w:rsidRPr="000D7B5B">
        <w:rPr>
          <w:b w:val="0"/>
        </w:rPr>
        <w:t>No dose adjustment is required for patients with moderate hepatic impairment (Child-Pugh</w:t>
      </w:r>
      <w:r w:rsidR="0025688F">
        <w:rPr>
          <w:b w:val="0"/>
        </w:rPr>
        <w:t xml:space="preserve"> </w:t>
      </w:r>
      <w:r w:rsidRPr="000D7B5B">
        <w:rPr>
          <w:b w:val="0"/>
        </w:rPr>
        <w:t xml:space="preserve">Class B). </w:t>
      </w:r>
      <w:r w:rsidR="004C1A83" w:rsidRPr="000D7B5B">
        <w:rPr>
          <w:b w:val="0"/>
        </w:rPr>
        <w:t>KINERET</w:t>
      </w:r>
      <w:r w:rsidRPr="000D7B5B">
        <w:rPr>
          <w:b w:val="0"/>
        </w:rPr>
        <w:t xml:space="preserve"> should be used with caution in patients with severe hepatic impairment.</w:t>
      </w:r>
    </w:p>
    <w:p w:rsidR="00E54348" w:rsidRPr="000D7B5B" w:rsidRDefault="00E54348" w:rsidP="000D7B5B">
      <w:pPr>
        <w:pStyle w:val="PIheading2"/>
        <w:jc w:val="both"/>
      </w:pPr>
      <w:r w:rsidRPr="000D7B5B">
        <w:t>Renal impairment</w:t>
      </w:r>
    </w:p>
    <w:p w:rsidR="004C4C3F" w:rsidRPr="000D7B5B" w:rsidRDefault="004C4C3F" w:rsidP="000D7B5B">
      <w:pPr>
        <w:pStyle w:val="PIheading2"/>
        <w:jc w:val="both"/>
        <w:rPr>
          <w:b w:val="0"/>
        </w:rPr>
      </w:pPr>
      <w:r w:rsidRPr="000D7B5B">
        <w:rPr>
          <w:b w:val="0"/>
        </w:rPr>
        <w:t xml:space="preserve">Physicians should consider administration of the prescribed dose of </w:t>
      </w:r>
      <w:r w:rsidR="004C1A83" w:rsidRPr="000D7B5B">
        <w:rPr>
          <w:b w:val="0"/>
        </w:rPr>
        <w:t>KINERET</w:t>
      </w:r>
      <w:r w:rsidRPr="000D7B5B">
        <w:rPr>
          <w:b w:val="0"/>
        </w:rPr>
        <w:t xml:space="preserve"> every other d</w:t>
      </w:r>
      <w:r w:rsidR="000D7B5B">
        <w:rPr>
          <w:b w:val="0"/>
        </w:rPr>
        <w:t xml:space="preserve">ay </w:t>
      </w:r>
      <w:r w:rsidRPr="000D7B5B">
        <w:rPr>
          <w:b w:val="0"/>
        </w:rPr>
        <w:t>for patients who have severe renal insufficiency (defined as cr</w:t>
      </w:r>
      <w:r w:rsidR="000D7B5B">
        <w:rPr>
          <w:b w:val="0"/>
        </w:rPr>
        <w:t xml:space="preserve">eatinine clearance &lt; 30 mL/min, </w:t>
      </w:r>
      <w:r w:rsidRPr="000D7B5B">
        <w:rPr>
          <w:b w:val="0"/>
        </w:rPr>
        <w:t xml:space="preserve">as estimated from serum creatinine levels), or end stage renal disease. In the absence of adequate data, </w:t>
      </w:r>
      <w:r w:rsidR="004C1A83" w:rsidRPr="000D7B5B">
        <w:rPr>
          <w:b w:val="0"/>
        </w:rPr>
        <w:t>KINERET</w:t>
      </w:r>
      <w:r w:rsidRPr="000D7B5B">
        <w:rPr>
          <w:b w:val="0"/>
        </w:rPr>
        <w:t xml:space="preserve"> should be used with caution in patients with moderate renal impairment (creatinine clearance 30 to 50 mL/minute).</w:t>
      </w:r>
    </w:p>
    <w:p w:rsidR="004C4C3F" w:rsidRPr="000D7B5B" w:rsidRDefault="004C4C3F" w:rsidP="004C4C3F">
      <w:pPr>
        <w:pStyle w:val="PIheading2"/>
      </w:pPr>
      <w:proofErr w:type="spellStart"/>
      <w:r w:rsidRPr="000D7B5B">
        <w:t>Paediatric</w:t>
      </w:r>
      <w:proofErr w:type="spellEnd"/>
      <w:r w:rsidRPr="000D7B5B">
        <w:t xml:space="preserve"> Use</w:t>
      </w:r>
    </w:p>
    <w:p w:rsidR="004C4C3F" w:rsidRPr="004C4C3F" w:rsidRDefault="004C4C3F" w:rsidP="004C4C3F">
      <w:pPr>
        <w:pStyle w:val="TextPI"/>
      </w:pPr>
      <w:r w:rsidRPr="000D7B5B">
        <w:t>CAPS: Posology and administration in children and infants aged 8 months and older with a body weight of 10 kg or above are the same as for adult CAPS patients, based on body weight. No data are available in children under the age of 8 months.</w:t>
      </w:r>
    </w:p>
    <w:p w:rsidR="00D070D7" w:rsidRPr="00123798" w:rsidRDefault="00D070D7" w:rsidP="00D070D7">
      <w:pPr>
        <w:pStyle w:val="PIheading2"/>
      </w:pPr>
      <w:r w:rsidRPr="00123798">
        <w:t xml:space="preserve">Preparation and Administration of </w:t>
      </w:r>
      <w:r w:rsidR="004C1A83">
        <w:t>KINERET</w:t>
      </w:r>
    </w:p>
    <w:p w:rsidR="00D070D7" w:rsidRPr="00123798" w:rsidRDefault="004C1A83" w:rsidP="00D070D7">
      <w:pPr>
        <w:pStyle w:val="TextPI"/>
      </w:pPr>
      <w:r>
        <w:t>KINERET</w:t>
      </w:r>
      <w:r w:rsidR="00D070D7" w:rsidRPr="00123798">
        <w:t xml:space="preserve"> contains no antimicrobial agent. </w:t>
      </w:r>
      <w:r>
        <w:rPr>
          <w:rFonts w:ascii="Helvetica" w:hAnsi="Helvetica" w:cs="Helvetica"/>
          <w:color w:val="000000"/>
          <w:lang w:eastAsia="en-AU"/>
        </w:rPr>
        <w:t>KINERET</w:t>
      </w:r>
      <w:r w:rsidR="00D070D7" w:rsidRPr="00123798">
        <w:t xml:space="preserve"> is for single use in one patient on one occasion only. Discard any residue.</w:t>
      </w:r>
    </w:p>
    <w:p w:rsidR="000D7B5B" w:rsidRPr="000D7B5B" w:rsidRDefault="000D7B5B" w:rsidP="00241074">
      <w:pPr>
        <w:autoSpaceDE w:val="0"/>
        <w:autoSpaceDN w:val="0"/>
        <w:adjustRightInd w:val="0"/>
        <w:jc w:val="both"/>
        <w:rPr>
          <w:rFonts w:ascii="Arial" w:hAnsi="Arial" w:cs="Arial"/>
          <w:sz w:val="22"/>
          <w:szCs w:val="22"/>
          <w:lang w:val="en-AU" w:eastAsia="en-AU"/>
        </w:rPr>
      </w:pPr>
      <w:r>
        <w:rPr>
          <w:rFonts w:ascii="Arial" w:hAnsi="Arial" w:cs="Arial"/>
          <w:sz w:val="22"/>
          <w:szCs w:val="22"/>
          <w:lang w:val="en-AU" w:eastAsia="en-AU"/>
        </w:rPr>
        <w:t>The graduated pre-filled syringe allows for doses between 20 and 100 mg. As the minimum</w:t>
      </w:r>
      <w:r w:rsidR="00241074">
        <w:rPr>
          <w:rFonts w:ascii="Arial" w:hAnsi="Arial" w:cs="Arial"/>
          <w:sz w:val="22"/>
          <w:szCs w:val="22"/>
          <w:lang w:val="en-AU" w:eastAsia="en-AU"/>
        </w:rPr>
        <w:t xml:space="preserve"> </w:t>
      </w:r>
      <w:r>
        <w:rPr>
          <w:rFonts w:ascii="Arial" w:hAnsi="Arial" w:cs="Arial"/>
          <w:sz w:val="22"/>
          <w:szCs w:val="22"/>
          <w:lang w:val="en-AU" w:eastAsia="en-AU"/>
        </w:rPr>
        <w:t xml:space="preserve">dose is 20 mg the syringe is not suitable for paediatric patients with a body weight below </w:t>
      </w:r>
      <w:r>
        <w:rPr>
          <w:rFonts w:ascii="Arial" w:hAnsi="Arial" w:cs="Arial"/>
          <w:sz w:val="22"/>
          <w:szCs w:val="22"/>
          <w:lang w:val="en-AU" w:eastAsia="en-AU"/>
        </w:rPr>
        <w:br/>
        <w:t>10 kg.</w:t>
      </w:r>
      <w:r w:rsidRPr="00123798">
        <w:t xml:space="preserve"> </w:t>
      </w:r>
    </w:p>
    <w:p w:rsidR="00D070D7" w:rsidRPr="00123798" w:rsidRDefault="00D070D7" w:rsidP="000D7B5B">
      <w:pPr>
        <w:pStyle w:val="TextPI"/>
      </w:pPr>
      <w:r w:rsidRPr="00123798">
        <w:t xml:space="preserve">Prior to administration, visually inspect the solution for particulate matter and </w:t>
      </w:r>
      <w:proofErr w:type="spellStart"/>
      <w:r w:rsidRPr="00123798">
        <w:t>discolouration</w:t>
      </w:r>
      <w:proofErr w:type="spellEnd"/>
      <w:r w:rsidRPr="00123798">
        <w:t xml:space="preserve">. There may be small translucent-to-white particles of protein in the solution. This is not unusual for proteins in solution. The solution should not be used if </w:t>
      </w:r>
      <w:proofErr w:type="spellStart"/>
      <w:r w:rsidRPr="00123798">
        <w:t>discoloured</w:t>
      </w:r>
      <w:proofErr w:type="spellEnd"/>
      <w:r w:rsidRPr="00123798">
        <w:t xml:space="preserve"> or cloudy or if foreign particulate </w:t>
      </w:r>
      <w:proofErr w:type="gramStart"/>
      <w:r w:rsidRPr="00123798">
        <w:t>matter,</w:t>
      </w:r>
      <w:proofErr w:type="gramEnd"/>
      <w:r w:rsidRPr="00123798">
        <w:t xml:space="preserve"> i.e. clumps, large or </w:t>
      </w:r>
      <w:proofErr w:type="spellStart"/>
      <w:r w:rsidRPr="00123798">
        <w:t>coloured</w:t>
      </w:r>
      <w:proofErr w:type="spellEnd"/>
      <w:r w:rsidRPr="00123798">
        <w:t xml:space="preserve"> particles, are present.</w:t>
      </w:r>
    </w:p>
    <w:p w:rsidR="00D070D7" w:rsidRDefault="00D070D7" w:rsidP="00241074">
      <w:pPr>
        <w:pStyle w:val="TextPI"/>
        <w:rPr>
          <w:rFonts w:cs="Arial"/>
          <w:spacing w:val="-2"/>
        </w:rPr>
      </w:pPr>
      <w:r w:rsidRPr="00123798">
        <w:t>Avoid shaking. Allow the pre-filled syringe to reach room temperature b</w:t>
      </w:r>
      <w:r w:rsidR="00962E51" w:rsidRPr="00123798">
        <w:t xml:space="preserve">efore injecting. Invert </w:t>
      </w:r>
      <w:r w:rsidR="004C1A83">
        <w:rPr>
          <w:rFonts w:ascii="Helvetica" w:hAnsi="Helvetica" w:cs="Helvetica"/>
          <w:color w:val="000000"/>
          <w:lang w:eastAsia="en-AU"/>
        </w:rPr>
        <w:t>KINERET</w:t>
      </w:r>
      <w:r w:rsidRPr="00123798">
        <w:t xml:space="preserve"> gently prior to injection</w:t>
      </w:r>
      <w:r w:rsidRPr="00123798">
        <w:rPr>
          <w:rFonts w:cs="Arial"/>
          <w:spacing w:val="-2"/>
        </w:rPr>
        <w:t>.</w:t>
      </w:r>
    </w:p>
    <w:p w:rsidR="00241074" w:rsidRPr="00241074" w:rsidRDefault="00241074" w:rsidP="00241074">
      <w:pPr>
        <w:autoSpaceDE w:val="0"/>
        <w:autoSpaceDN w:val="0"/>
        <w:adjustRightInd w:val="0"/>
        <w:jc w:val="both"/>
        <w:rPr>
          <w:rFonts w:ascii="Arial" w:hAnsi="Arial" w:cs="Arial"/>
          <w:sz w:val="22"/>
          <w:szCs w:val="22"/>
          <w:lang w:val="en-AU" w:eastAsia="en-AU"/>
        </w:rPr>
      </w:pPr>
      <w:r>
        <w:rPr>
          <w:rFonts w:ascii="Arial" w:hAnsi="Arial" w:cs="Arial"/>
          <w:sz w:val="22"/>
          <w:szCs w:val="22"/>
          <w:lang w:val="en-AU" w:eastAsia="en-AU"/>
        </w:rPr>
        <w:t xml:space="preserve">Alternating the injection site is recommended to avoid discomfort at the site of injection. Cooling of the injection site, warming the injection liquid, use of cold packs (before and after </w:t>
      </w:r>
      <w:r>
        <w:rPr>
          <w:rFonts w:ascii="Arial" w:hAnsi="Arial" w:cs="Arial"/>
          <w:sz w:val="22"/>
          <w:szCs w:val="22"/>
          <w:lang w:val="en-AU" w:eastAsia="en-AU"/>
        </w:rPr>
        <w:lastRenderedPageBreak/>
        <w:t>the injection), and use of topical corticosteroids and antihistamines after the injection can alleviate the signs and symptoms of injection site reactions.</w:t>
      </w:r>
    </w:p>
    <w:p w:rsidR="00014579" w:rsidRPr="00123798" w:rsidRDefault="00014579" w:rsidP="000A1804">
      <w:pPr>
        <w:pStyle w:val="PIHeading1"/>
      </w:pPr>
      <w:r w:rsidRPr="00123798">
        <w:t>OVERDOSAGE</w:t>
      </w:r>
    </w:p>
    <w:p w:rsidR="00D070D7" w:rsidRPr="00123798" w:rsidRDefault="00D070D7" w:rsidP="00D070D7">
      <w:pPr>
        <w:pStyle w:val="TextPI"/>
      </w:pPr>
      <w:r w:rsidRPr="00123798">
        <w:t xml:space="preserve">There have been no cases of overdose reported with </w:t>
      </w:r>
      <w:r w:rsidR="004C1A83">
        <w:rPr>
          <w:rFonts w:ascii="Helvetica" w:hAnsi="Helvetica" w:cs="Helvetica"/>
          <w:color w:val="000000"/>
          <w:lang w:eastAsia="en-AU"/>
        </w:rPr>
        <w:t>KINERET</w:t>
      </w:r>
      <w:r w:rsidRPr="00123798">
        <w:t xml:space="preserve"> in clinical trials of RA. In sepsis trials, no serious toxicities attributed to </w:t>
      </w:r>
      <w:r w:rsidR="004C1A83">
        <w:rPr>
          <w:rFonts w:ascii="Helvetica" w:hAnsi="Helvetica" w:cs="Helvetica"/>
          <w:color w:val="000000"/>
          <w:lang w:eastAsia="en-AU"/>
        </w:rPr>
        <w:t>KINERET</w:t>
      </w:r>
      <w:r w:rsidRPr="00123798">
        <w:t xml:space="preserve"> were seen when it was administered at mean calculated doses of up to 35 times those given to patients with RA over a 72-hour treatment period.</w:t>
      </w:r>
    </w:p>
    <w:p w:rsidR="00AE4580" w:rsidRPr="00123798" w:rsidRDefault="00D070D7" w:rsidP="00186894">
      <w:pPr>
        <w:pStyle w:val="TextPI"/>
      </w:pPr>
      <w:r w:rsidRPr="00123798">
        <w:t>Contact the Poisons Information Centre on 131126 for advice on management of overdose.</w:t>
      </w:r>
    </w:p>
    <w:p w:rsidR="00014579" w:rsidRPr="00123798" w:rsidRDefault="00014579" w:rsidP="000A1804">
      <w:pPr>
        <w:pStyle w:val="PIHeading1"/>
      </w:pPr>
      <w:r w:rsidRPr="00123798">
        <w:t>PRESENTATION</w:t>
      </w:r>
      <w:r w:rsidR="000A623D">
        <w:t xml:space="preserve"> </w:t>
      </w:r>
      <w:r w:rsidR="00666ECF" w:rsidRPr="00123798">
        <w:t>and storage conditions</w:t>
      </w:r>
    </w:p>
    <w:p w:rsidR="00F670F8" w:rsidRDefault="004C1A83" w:rsidP="00962E51">
      <w:pPr>
        <w:pStyle w:val="TextPI"/>
      </w:pPr>
      <w:r>
        <w:rPr>
          <w:rFonts w:ascii="Helvetica" w:hAnsi="Helvetica" w:cs="Helvetica"/>
          <w:color w:val="000000"/>
          <w:lang w:eastAsia="en-AU"/>
        </w:rPr>
        <w:t>KINERET</w:t>
      </w:r>
      <w:r w:rsidR="00962E51" w:rsidRPr="00123798">
        <w:t xml:space="preserve"> is supplied in single use pre-filled syringes. Each pre-filled syringe contains: 0.67 mL (100 mg) of </w:t>
      </w:r>
      <w:proofErr w:type="spellStart"/>
      <w:r w:rsidR="00962E51" w:rsidRPr="00123798">
        <w:t>anakinra</w:t>
      </w:r>
      <w:proofErr w:type="spellEnd"/>
      <w:r w:rsidR="00962E51" w:rsidRPr="00123798">
        <w:t xml:space="preserve"> formulated at pH 6.5</w:t>
      </w:r>
      <w:r w:rsidR="008A53BE" w:rsidRPr="00123798">
        <w:t xml:space="preserve"> with 0.70 mg </w:t>
      </w:r>
      <w:proofErr w:type="spellStart"/>
      <w:r w:rsidR="008A53BE" w:rsidRPr="00123798">
        <w:t>polysorbate</w:t>
      </w:r>
      <w:proofErr w:type="spellEnd"/>
      <w:r w:rsidR="008A53BE" w:rsidRPr="00123798">
        <w:t xml:space="preserve"> 80, 1</w:t>
      </w:r>
      <w:r w:rsidR="00962E51" w:rsidRPr="00123798">
        <w:t>.29 mg sodium citrate, 5.48 mg sodium chloride, and 0.12 mg disodium EDTA in Water for Injections, USP.</w:t>
      </w:r>
    </w:p>
    <w:p w:rsidR="00962E51" w:rsidRPr="00123798" w:rsidRDefault="004C1A83" w:rsidP="00962E51">
      <w:pPr>
        <w:pStyle w:val="TextPI"/>
      </w:pPr>
      <w:r>
        <w:rPr>
          <w:rFonts w:ascii="Helvetica" w:hAnsi="Helvetica" w:cs="Helvetica"/>
          <w:color w:val="000000"/>
          <w:lang w:eastAsia="en-AU"/>
        </w:rPr>
        <w:t>KINERET</w:t>
      </w:r>
      <w:r w:rsidR="00962E51" w:rsidRPr="00123798">
        <w:t xml:space="preserve"> is available in packs containing 28 syringes. The needle cover for the pre-filled syringe contains dry natural rubber (a derivative of latex).</w:t>
      </w:r>
    </w:p>
    <w:p w:rsidR="00666ECF" w:rsidRPr="00123798" w:rsidRDefault="00962E51" w:rsidP="00962E51">
      <w:pPr>
        <w:pStyle w:val="TextPI"/>
      </w:pPr>
      <w:r w:rsidRPr="00123798">
        <w:t>Store at 2</w:t>
      </w:r>
      <w:r w:rsidRPr="00123798">
        <w:rPr>
          <w:szCs w:val="6"/>
        </w:rPr>
        <w:t>°</w:t>
      </w:r>
      <w:r w:rsidRPr="00123798">
        <w:t xml:space="preserve"> to 8</w:t>
      </w:r>
      <w:r w:rsidRPr="00123798">
        <w:rPr>
          <w:szCs w:val="6"/>
        </w:rPr>
        <w:t>°</w:t>
      </w:r>
      <w:r w:rsidRPr="00123798">
        <w:t xml:space="preserve">C. (Refrigerate. Do not freeze.) Avoid shaking. Protect from light. Allow the pre-filled syringe to reach room temperature before injecting. </w:t>
      </w:r>
      <w:r w:rsidR="004C1A83">
        <w:rPr>
          <w:rFonts w:ascii="Helvetica" w:hAnsi="Helvetica" w:cs="Helvetica"/>
          <w:color w:val="000000"/>
          <w:lang w:eastAsia="en-AU"/>
        </w:rPr>
        <w:t>KINERET</w:t>
      </w:r>
      <w:r w:rsidRPr="00123798">
        <w:t xml:space="preserve"> may be removed from storage for a total period of 12 hours at room temperature (up to 25</w:t>
      </w:r>
      <w:r w:rsidRPr="00123798">
        <w:rPr>
          <w:szCs w:val="6"/>
        </w:rPr>
        <w:t>°</w:t>
      </w:r>
      <w:r w:rsidRPr="00123798">
        <w:t>C).</w:t>
      </w:r>
    </w:p>
    <w:p w:rsidR="00962E51" w:rsidRPr="00123798" w:rsidRDefault="00962E51" w:rsidP="00962E51">
      <w:pPr>
        <w:pStyle w:val="PIHeading1"/>
      </w:pPr>
      <w:r w:rsidRPr="00123798">
        <w:t xml:space="preserve">NAME AND ADDRESS OF MANUFACTURER </w:t>
      </w:r>
    </w:p>
    <w:p w:rsidR="00962E51" w:rsidRPr="00123798" w:rsidRDefault="00962E51" w:rsidP="00C462CF">
      <w:pPr>
        <w:pStyle w:val="TextPI"/>
        <w:jc w:val="left"/>
      </w:pPr>
      <w:r w:rsidRPr="00123798">
        <w:t xml:space="preserve">Swedish Orphan </w:t>
      </w:r>
      <w:proofErr w:type="spellStart"/>
      <w:r w:rsidRPr="00123798">
        <w:t>Biovitrum</w:t>
      </w:r>
      <w:proofErr w:type="spellEnd"/>
      <w:r w:rsidRPr="00123798">
        <w:t xml:space="preserve"> AB (</w:t>
      </w:r>
      <w:proofErr w:type="spellStart"/>
      <w:r w:rsidRPr="00123798">
        <w:t>publ</w:t>
      </w:r>
      <w:proofErr w:type="spellEnd"/>
      <w:r w:rsidRPr="00123798">
        <w:t xml:space="preserve">) </w:t>
      </w:r>
      <w:r w:rsidR="00C462CF">
        <w:br/>
      </w:r>
      <w:r w:rsidRPr="00123798">
        <w:t>SE-112 76 Stockholm</w:t>
      </w:r>
      <w:r w:rsidR="00C462CF">
        <w:br/>
      </w:r>
      <w:r w:rsidRPr="00123798">
        <w:t>Sweden</w:t>
      </w:r>
    </w:p>
    <w:p w:rsidR="000A1804" w:rsidRPr="00123798" w:rsidRDefault="000A1804" w:rsidP="008A6D87">
      <w:pPr>
        <w:pStyle w:val="PIHeading1"/>
      </w:pPr>
      <w:r w:rsidRPr="00123798">
        <w:t>NAME AND ADDRESS OF THE SPONSOR</w:t>
      </w:r>
    </w:p>
    <w:p w:rsidR="000A1804" w:rsidRPr="00123798" w:rsidRDefault="00666ECF" w:rsidP="00C462CF">
      <w:pPr>
        <w:pStyle w:val="TextPI"/>
        <w:jc w:val="left"/>
      </w:pPr>
      <w:proofErr w:type="spellStart"/>
      <w:r w:rsidRPr="00123798">
        <w:t>A.Menarini</w:t>
      </w:r>
      <w:proofErr w:type="spellEnd"/>
      <w:r w:rsidR="00845242">
        <w:t xml:space="preserve"> </w:t>
      </w:r>
      <w:r w:rsidR="008C21E8" w:rsidRPr="00123798">
        <w:t>Australia</w:t>
      </w:r>
      <w:r w:rsidR="000A1804" w:rsidRPr="00123798">
        <w:t xml:space="preserve"> Pty L</w:t>
      </w:r>
      <w:r w:rsidR="00652BE0" w:rsidRPr="00123798">
        <w:t>imited</w:t>
      </w:r>
      <w:r w:rsidR="00C462CF">
        <w:br/>
      </w:r>
      <w:r w:rsidR="00652BE0" w:rsidRPr="00123798">
        <w:t>Level 8, 67 Albert Avenue</w:t>
      </w:r>
      <w:r w:rsidR="00C462CF">
        <w:br/>
      </w:r>
      <w:proofErr w:type="spellStart"/>
      <w:r w:rsidRPr="00123798">
        <w:t>Chatswood</w:t>
      </w:r>
      <w:proofErr w:type="spellEnd"/>
      <w:r w:rsidR="004B7BE5">
        <w:t xml:space="preserve"> </w:t>
      </w:r>
      <w:r w:rsidR="000A1804" w:rsidRPr="00123798">
        <w:t>NSW 2</w:t>
      </w:r>
      <w:r w:rsidR="008C21E8" w:rsidRPr="00123798">
        <w:t>067</w:t>
      </w:r>
    </w:p>
    <w:p w:rsidR="000A1804" w:rsidRPr="00123798" w:rsidRDefault="000A1804" w:rsidP="000A1804">
      <w:pPr>
        <w:pStyle w:val="PIHeading1"/>
      </w:pPr>
      <w:r w:rsidRPr="00123798">
        <w:t>POISON SCHEDULE OF THE MEDICINE</w:t>
      </w:r>
    </w:p>
    <w:p w:rsidR="000A1804" w:rsidRPr="00123798" w:rsidRDefault="000A1804" w:rsidP="00186894">
      <w:pPr>
        <w:pStyle w:val="TextPI"/>
      </w:pPr>
      <w:r w:rsidRPr="00123798">
        <w:t>S4 – Prescription Only Medicine</w:t>
      </w:r>
    </w:p>
    <w:p w:rsidR="00014579" w:rsidRPr="00123798" w:rsidRDefault="00694409" w:rsidP="00694409">
      <w:pPr>
        <w:pStyle w:val="PIHeading1"/>
        <w:tabs>
          <w:tab w:val="clear" w:pos="1418"/>
          <w:tab w:val="left" w:pos="0"/>
        </w:tabs>
        <w:ind w:left="0" w:firstLine="0"/>
        <w:jc w:val="left"/>
        <w:rPr>
          <w:bCs/>
        </w:rPr>
      </w:pPr>
      <w:r w:rsidRPr="00123798">
        <w:rPr>
          <w:bCs/>
        </w:rPr>
        <w:t xml:space="preserve">Date </w:t>
      </w:r>
      <w:r w:rsidR="00652BE0" w:rsidRPr="00123798">
        <w:rPr>
          <w:bCs/>
        </w:rPr>
        <w:t xml:space="preserve">OF </w:t>
      </w:r>
      <w:r w:rsidR="00092ABB" w:rsidRPr="00123798">
        <w:rPr>
          <w:bCs/>
        </w:rPr>
        <w:t>first inclusion in the Australian Register of Therapeutic Goods (the ARTG)</w:t>
      </w:r>
    </w:p>
    <w:p w:rsidR="00694409" w:rsidRPr="00123798" w:rsidRDefault="00962E51" w:rsidP="00186894">
      <w:pPr>
        <w:pStyle w:val="TextPI"/>
      </w:pPr>
      <w:r w:rsidRPr="00123798">
        <w:t>28 November 2008</w:t>
      </w:r>
    </w:p>
    <w:p w:rsidR="00694409" w:rsidRPr="00123798" w:rsidRDefault="00694409" w:rsidP="00694409">
      <w:pPr>
        <w:pStyle w:val="PIHeading1"/>
        <w:tabs>
          <w:tab w:val="clear" w:pos="1418"/>
          <w:tab w:val="left" w:pos="0"/>
        </w:tabs>
        <w:ind w:left="0" w:firstLine="0"/>
        <w:jc w:val="left"/>
      </w:pPr>
      <w:r w:rsidRPr="00123798">
        <w:t xml:space="preserve">Date of </w:t>
      </w:r>
      <w:r w:rsidR="00092ABB" w:rsidRPr="00123798">
        <w:t xml:space="preserve">most recent </w:t>
      </w:r>
      <w:r w:rsidRPr="00123798">
        <w:t>amendment</w:t>
      </w:r>
    </w:p>
    <w:p w:rsidR="00962E51" w:rsidRPr="00123798" w:rsidRDefault="00C41F08" w:rsidP="00962E51">
      <w:pPr>
        <w:pStyle w:val="TextPI"/>
      </w:pPr>
      <w:r>
        <w:t>13 March 2015</w:t>
      </w:r>
    </w:p>
    <w:p w:rsidR="00123798" w:rsidRPr="00123798" w:rsidRDefault="00123798" w:rsidP="00962E51">
      <w:pPr>
        <w:pStyle w:val="TextPI"/>
      </w:pPr>
    </w:p>
    <w:p w:rsidR="00962E51" w:rsidRPr="00123798" w:rsidRDefault="00962E51" w:rsidP="00652BE0">
      <w:pPr>
        <w:pStyle w:val="TextPI"/>
        <w:spacing w:line="240" w:lineRule="auto"/>
      </w:pPr>
      <w:r w:rsidRPr="00123798">
        <w:t xml:space="preserve">® </w:t>
      </w:r>
      <w:r w:rsidR="004C1A83">
        <w:t>KINERET</w:t>
      </w:r>
      <w:r w:rsidRPr="00123798">
        <w:t xml:space="preserve"> is a registered trademark of Swedish Orphan </w:t>
      </w:r>
      <w:proofErr w:type="spellStart"/>
      <w:r w:rsidRPr="00123798">
        <w:t>Biovitrum</w:t>
      </w:r>
      <w:proofErr w:type="spellEnd"/>
      <w:r w:rsidRPr="00123798">
        <w:t xml:space="preserve"> AB (</w:t>
      </w:r>
      <w:proofErr w:type="spellStart"/>
      <w:r w:rsidRPr="00123798">
        <w:t>publ</w:t>
      </w:r>
      <w:proofErr w:type="spellEnd"/>
      <w:r w:rsidRPr="00123798">
        <w:t xml:space="preserve">). </w:t>
      </w:r>
    </w:p>
    <w:p w:rsidR="00962E51" w:rsidRDefault="00962E51" w:rsidP="00652BE0">
      <w:pPr>
        <w:pStyle w:val="TextPI"/>
        <w:spacing w:line="240" w:lineRule="auto"/>
        <w:rPr>
          <w:rFonts w:cs="Arial"/>
        </w:rPr>
      </w:pPr>
      <w:r w:rsidRPr="00FF2B91">
        <w:rPr>
          <w:lang w:val="de-AT"/>
        </w:rPr>
        <w:t>©</w:t>
      </w:r>
      <w:r w:rsidR="00C76623">
        <w:rPr>
          <w:lang w:val="de-AT"/>
        </w:rPr>
        <w:t xml:space="preserve"> </w:t>
      </w:r>
      <w:r w:rsidRPr="00FF2B91">
        <w:rPr>
          <w:lang w:val="de-AT"/>
        </w:rPr>
        <w:t xml:space="preserve">Swedish Orphan Biovitrum AB (publ). </w:t>
      </w:r>
      <w:r w:rsidRPr="00123798">
        <w:t>All rights reserved</w:t>
      </w:r>
      <w:r w:rsidRPr="00123798">
        <w:rPr>
          <w:rFonts w:cs="Arial"/>
        </w:rPr>
        <w:t>.</w:t>
      </w:r>
    </w:p>
    <w:sectPr w:rsidR="00962E51" w:rsidSect="001B3136">
      <w:headerReference w:type="even" r:id="rId10"/>
      <w:headerReference w:type="default" r:id="rId11"/>
      <w:footerReference w:type="even" r:id="rId12"/>
      <w:footerReference w:type="default" r:id="rId13"/>
      <w:headerReference w:type="first" r:id="rId14"/>
      <w:footerReference w:type="first" r:id="rId15"/>
      <w:pgSz w:w="11923" w:h="16834" w:code="9"/>
      <w:pgMar w:top="1440" w:right="1440" w:bottom="993" w:left="1440" w:header="737" w:footer="53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BB5" w:rsidRDefault="00EB6BB5" w:rsidP="000F72C1">
      <w:r>
        <w:separator/>
      </w:r>
    </w:p>
  </w:endnote>
  <w:endnote w:type="continuationSeparator" w:id="0">
    <w:p w:rsidR="00EB6BB5" w:rsidRDefault="00EB6BB5" w:rsidP="000F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548" w:rsidRDefault="005405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BB5" w:rsidRPr="008626BD" w:rsidRDefault="00EB6BB5" w:rsidP="008405D6">
    <w:pPr>
      <w:pStyle w:val="Footer"/>
      <w:pBdr>
        <w:top w:val="single" w:sz="12" w:space="1" w:color="auto"/>
      </w:pBdr>
      <w:rPr>
        <w:rFonts w:ascii="Arial" w:hAnsi="Arial" w:cs="Arial"/>
        <w:sz w:val="20"/>
      </w:rPr>
    </w:pPr>
    <w:r w:rsidRPr="008626BD">
      <w:rPr>
        <w:rFonts w:ascii="Arial" w:hAnsi="Arial" w:cs="Arial"/>
        <w:bCs/>
        <w:spacing w:val="-4"/>
        <w:sz w:val="20"/>
      </w:rPr>
      <w:t>KINi-v0</w:t>
    </w:r>
    <w:r>
      <w:rPr>
        <w:rFonts w:ascii="Arial" w:hAnsi="Arial" w:cs="Arial"/>
        <w:bCs/>
        <w:spacing w:val="-4"/>
        <w:sz w:val="20"/>
      </w:rPr>
      <w:t>5</w:t>
    </w:r>
    <w:r w:rsidRPr="008626BD">
      <w:rPr>
        <w:rFonts w:ascii="Arial" w:hAnsi="Arial" w:cs="Arial"/>
        <w:bCs/>
        <w:spacing w:val="-4"/>
        <w:sz w:val="20"/>
      </w:rPr>
      <w:t xml:space="preserve"> (</w:t>
    </w:r>
    <w:r>
      <w:rPr>
        <w:rFonts w:ascii="Arial" w:hAnsi="Arial" w:cs="Arial"/>
        <w:bCs/>
        <w:spacing w:val="-4"/>
        <w:sz w:val="20"/>
      </w:rPr>
      <w:t>SJIA</w:t>
    </w:r>
    <w:r w:rsidRPr="008626BD">
      <w:rPr>
        <w:rFonts w:ascii="Arial" w:hAnsi="Arial" w:cs="Arial"/>
        <w:bCs/>
        <w:spacing w:val="-4"/>
        <w:sz w:val="20"/>
      </w:rPr>
      <w:t>)</w:t>
    </w:r>
    <w:r w:rsidRPr="008626BD">
      <w:rPr>
        <w:rFonts w:ascii="Arial" w:hAnsi="Arial" w:cs="Arial"/>
        <w:bCs/>
        <w:spacing w:val="-4"/>
        <w:sz w:val="20"/>
      </w:rPr>
      <w:tab/>
    </w:r>
    <w:r w:rsidRPr="008626BD">
      <w:rPr>
        <w:rFonts w:ascii="Arial" w:hAnsi="Arial" w:cs="Arial"/>
        <w:bCs/>
        <w:spacing w:val="-4"/>
        <w:sz w:val="20"/>
      </w:rPr>
      <w:tab/>
    </w:r>
    <w:sdt>
      <w:sdtPr>
        <w:rPr>
          <w:rFonts w:ascii="Arial" w:hAnsi="Arial" w:cs="Arial"/>
          <w:sz w:val="20"/>
        </w:rPr>
        <w:id w:val="-744031192"/>
        <w:docPartObj>
          <w:docPartGallery w:val="Page Numbers (Top of Page)"/>
          <w:docPartUnique/>
        </w:docPartObj>
      </w:sdtPr>
      <w:sdtEndPr/>
      <w:sdtContent>
        <w:r w:rsidRPr="008626BD">
          <w:rPr>
            <w:rFonts w:ascii="Arial" w:hAnsi="Arial" w:cs="Arial"/>
            <w:sz w:val="20"/>
          </w:rPr>
          <w:t xml:space="preserve">Page </w:t>
        </w:r>
        <w:r w:rsidR="00E258A6" w:rsidRPr="008626BD">
          <w:rPr>
            <w:rFonts w:ascii="Arial" w:hAnsi="Arial" w:cs="Arial"/>
            <w:sz w:val="20"/>
          </w:rPr>
          <w:fldChar w:fldCharType="begin"/>
        </w:r>
        <w:r w:rsidRPr="008626BD">
          <w:rPr>
            <w:rFonts w:ascii="Arial" w:hAnsi="Arial" w:cs="Arial"/>
            <w:sz w:val="20"/>
          </w:rPr>
          <w:instrText xml:space="preserve"> PAGE </w:instrText>
        </w:r>
        <w:r w:rsidR="00E258A6" w:rsidRPr="008626BD">
          <w:rPr>
            <w:rFonts w:ascii="Arial" w:hAnsi="Arial" w:cs="Arial"/>
            <w:sz w:val="20"/>
          </w:rPr>
          <w:fldChar w:fldCharType="separate"/>
        </w:r>
        <w:r w:rsidR="00540548">
          <w:rPr>
            <w:rFonts w:ascii="Arial" w:hAnsi="Arial" w:cs="Arial"/>
            <w:noProof/>
            <w:sz w:val="20"/>
          </w:rPr>
          <w:t>16</w:t>
        </w:r>
        <w:r w:rsidR="00E258A6" w:rsidRPr="008626BD">
          <w:rPr>
            <w:rFonts w:ascii="Arial" w:hAnsi="Arial" w:cs="Arial"/>
            <w:sz w:val="20"/>
          </w:rPr>
          <w:fldChar w:fldCharType="end"/>
        </w:r>
        <w:r w:rsidRPr="008626BD">
          <w:rPr>
            <w:rFonts w:ascii="Arial" w:hAnsi="Arial" w:cs="Arial"/>
            <w:sz w:val="20"/>
          </w:rPr>
          <w:t xml:space="preserve"> of </w:t>
        </w:r>
        <w:r w:rsidR="00E258A6" w:rsidRPr="008626BD">
          <w:rPr>
            <w:rFonts w:ascii="Arial" w:hAnsi="Arial" w:cs="Arial"/>
            <w:sz w:val="20"/>
          </w:rPr>
          <w:fldChar w:fldCharType="begin"/>
        </w:r>
        <w:r w:rsidRPr="008626BD">
          <w:rPr>
            <w:rFonts w:ascii="Arial" w:hAnsi="Arial" w:cs="Arial"/>
            <w:sz w:val="20"/>
          </w:rPr>
          <w:instrText xml:space="preserve"> NUMPAGES  </w:instrText>
        </w:r>
        <w:r w:rsidR="00E258A6" w:rsidRPr="008626BD">
          <w:rPr>
            <w:rFonts w:ascii="Arial" w:hAnsi="Arial" w:cs="Arial"/>
            <w:sz w:val="20"/>
          </w:rPr>
          <w:fldChar w:fldCharType="separate"/>
        </w:r>
        <w:r w:rsidR="00540548">
          <w:rPr>
            <w:rFonts w:ascii="Arial" w:hAnsi="Arial" w:cs="Arial"/>
            <w:noProof/>
            <w:sz w:val="20"/>
          </w:rPr>
          <w:t>18</w:t>
        </w:r>
        <w:r w:rsidR="00E258A6" w:rsidRPr="008626BD">
          <w:rPr>
            <w:rFonts w:ascii="Arial" w:hAnsi="Arial" w:cs="Arial"/>
            <w:sz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548" w:rsidRDefault="00540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BB5" w:rsidRDefault="00EB6BB5" w:rsidP="000F72C1">
      <w:r>
        <w:separator/>
      </w:r>
    </w:p>
  </w:footnote>
  <w:footnote w:type="continuationSeparator" w:id="0">
    <w:p w:rsidR="00EB6BB5" w:rsidRDefault="00EB6BB5" w:rsidP="000F7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548" w:rsidRDefault="005405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540548" w:rsidRPr="005A1EB5" w:rsidTr="003B4D17">
      <w:tc>
        <w:tcPr>
          <w:tcW w:w="8720" w:type="dxa"/>
          <w:shd w:val="clear" w:color="auto" w:fill="E4F2E0"/>
        </w:tcPr>
        <w:p w:rsidR="00540548" w:rsidRPr="005A1EB5" w:rsidRDefault="00540548" w:rsidP="003B4D17">
          <w:pPr>
            <w:spacing w:before="40" w:after="40"/>
            <w:rPr>
              <w:b/>
              <w:sz w:val="20"/>
              <w:szCs w:val="20"/>
            </w:rPr>
          </w:pPr>
          <w:bookmarkStart w:id="1" w:name="_GoBack"/>
          <w:r w:rsidRPr="005A1EB5">
            <w:rPr>
              <w:b/>
              <w:sz w:val="20"/>
              <w:szCs w:val="20"/>
            </w:rPr>
            <w:t xml:space="preserve">Attachment 1: Product information for </w:t>
          </w:r>
          <w:proofErr w:type="spellStart"/>
          <w:r w:rsidRPr="005A1EB5">
            <w:rPr>
              <w:b/>
            </w:rPr>
            <w:t>AusPAR</w:t>
          </w:r>
          <w:proofErr w:type="spellEnd"/>
          <w:r w:rsidRPr="005A1EB5">
            <w:rPr>
              <w:b/>
            </w:rPr>
            <w:t xml:space="preserve"> </w:t>
          </w:r>
          <w:proofErr w:type="spellStart"/>
          <w:r w:rsidRPr="005A1EB5">
            <w:rPr>
              <w:b/>
            </w:rPr>
            <w:t>Kineret</w:t>
          </w:r>
          <w:proofErr w:type="spellEnd"/>
          <w:r w:rsidRPr="005A1EB5">
            <w:rPr>
              <w:b/>
            </w:rPr>
            <w:t xml:space="preserve"> </w:t>
          </w:r>
          <w:proofErr w:type="spellStart"/>
          <w:r w:rsidRPr="005A1EB5">
            <w:rPr>
              <w:b/>
            </w:rPr>
            <w:t>anakinra</w:t>
          </w:r>
          <w:proofErr w:type="spellEnd"/>
          <w:r w:rsidRPr="005A1EB5">
            <w:rPr>
              <w:b/>
            </w:rPr>
            <w:t xml:space="preserve"> A </w:t>
          </w:r>
          <w:proofErr w:type="spellStart"/>
          <w:r w:rsidRPr="005A1EB5">
            <w:rPr>
              <w:b/>
            </w:rPr>
            <w:t>Menarini</w:t>
          </w:r>
          <w:proofErr w:type="spellEnd"/>
          <w:r w:rsidRPr="005A1EB5">
            <w:rPr>
              <w:b/>
            </w:rPr>
            <w:t xml:space="preserve"> Australia Pty Ltd PM-2013-04579-1-3 30 October 2015</w:t>
          </w:r>
          <w:r w:rsidRPr="005A1EB5">
            <w:rPr>
              <w:b/>
              <w:sz w:val="20"/>
              <w:szCs w:val="20"/>
            </w:rPr>
            <w:t xml:space="preserve">. This Product Information was approved at the time this </w:t>
          </w:r>
          <w:proofErr w:type="spellStart"/>
          <w:r w:rsidRPr="005A1EB5">
            <w:rPr>
              <w:b/>
              <w:sz w:val="20"/>
              <w:szCs w:val="20"/>
            </w:rPr>
            <w:t>AusPAR</w:t>
          </w:r>
          <w:proofErr w:type="spellEnd"/>
          <w:r w:rsidRPr="005A1EB5">
            <w:rPr>
              <w:b/>
              <w:sz w:val="20"/>
              <w:szCs w:val="20"/>
            </w:rPr>
            <w:t xml:space="preserve"> was published.</w:t>
          </w:r>
          <w:bookmarkEnd w:id="1"/>
        </w:p>
      </w:tc>
    </w:tr>
  </w:tbl>
  <w:p w:rsidR="00540548" w:rsidRDefault="005405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548" w:rsidRDefault="005405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C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0401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2576E8D"/>
    <w:multiLevelType w:val="singleLevel"/>
    <w:tmpl w:val="0809000F"/>
    <w:lvl w:ilvl="0">
      <w:start w:val="1"/>
      <w:numFmt w:val="decimal"/>
      <w:lvlText w:val="%1."/>
      <w:lvlJc w:val="left"/>
      <w:pPr>
        <w:tabs>
          <w:tab w:val="num" w:pos="360"/>
        </w:tabs>
        <w:ind w:left="360" w:hanging="360"/>
      </w:pPr>
    </w:lvl>
  </w:abstractNum>
  <w:abstractNum w:abstractNumId="3">
    <w:nsid w:val="098859E4"/>
    <w:multiLevelType w:val="singleLevel"/>
    <w:tmpl w:val="4DE4A550"/>
    <w:lvl w:ilvl="0">
      <w:numFmt w:val="bullet"/>
      <w:lvlText w:val="-"/>
      <w:lvlJc w:val="left"/>
      <w:pPr>
        <w:tabs>
          <w:tab w:val="num" w:pos="384"/>
        </w:tabs>
        <w:ind w:left="384" w:hanging="384"/>
      </w:pPr>
      <w:rPr>
        <w:rFonts w:hint="default"/>
      </w:rPr>
    </w:lvl>
  </w:abstractNum>
  <w:abstractNum w:abstractNumId="4">
    <w:nsid w:val="0A853A2F"/>
    <w:multiLevelType w:val="hybridMultilevel"/>
    <w:tmpl w:val="B2FE6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2690BA6"/>
    <w:multiLevelType w:val="hybridMultilevel"/>
    <w:tmpl w:val="FC16A40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616036B"/>
    <w:multiLevelType w:val="hybridMultilevel"/>
    <w:tmpl w:val="FA9483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C5B7F35"/>
    <w:multiLevelType w:val="hybridMultilevel"/>
    <w:tmpl w:val="EF622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066889"/>
    <w:multiLevelType w:val="hybridMultilevel"/>
    <w:tmpl w:val="1CBCC704"/>
    <w:lvl w:ilvl="0" w:tplc="1ACEC3B2">
      <w:start w:val="1"/>
      <w:numFmt w:val="bullet"/>
      <w:pStyle w:val="TextPI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209C260A"/>
    <w:multiLevelType w:val="hybridMultilevel"/>
    <w:tmpl w:val="2CFE5B28"/>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0">
    <w:nsid w:val="2CCA70AC"/>
    <w:multiLevelType w:val="hybridMultilevel"/>
    <w:tmpl w:val="A13605AC"/>
    <w:lvl w:ilvl="0" w:tplc="0C090003">
      <w:start w:val="1"/>
      <w:numFmt w:val="bullet"/>
      <w:lvlText w:val="o"/>
      <w:lvlJc w:val="left"/>
      <w:pPr>
        <w:ind w:left="921" w:hanging="360"/>
      </w:pPr>
      <w:rPr>
        <w:rFonts w:ascii="Courier New" w:hAnsi="Courier New" w:cs="Courier New" w:hint="default"/>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1">
    <w:nsid w:val="2E8554B4"/>
    <w:multiLevelType w:val="singleLevel"/>
    <w:tmpl w:val="08090011"/>
    <w:lvl w:ilvl="0">
      <w:start w:val="2"/>
      <w:numFmt w:val="decimal"/>
      <w:lvlText w:val="%1)"/>
      <w:lvlJc w:val="left"/>
      <w:pPr>
        <w:tabs>
          <w:tab w:val="num" w:pos="360"/>
        </w:tabs>
        <w:ind w:left="360" w:hanging="360"/>
      </w:pPr>
      <w:rPr>
        <w:rFonts w:hint="default"/>
      </w:rPr>
    </w:lvl>
  </w:abstractNum>
  <w:abstractNum w:abstractNumId="12">
    <w:nsid w:val="2EA94D92"/>
    <w:multiLevelType w:val="hybridMultilevel"/>
    <w:tmpl w:val="3946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4C1412"/>
    <w:multiLevelType w:val="multilevel"/>
    <w:tmpl w:val="524E0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6A34F7D"/>
    <w:multiLevelType w:val="singleLevel"/>
    <w:tmpl w:val="4DE4A550"/>
    <w:lvl w:ilvl="0">
      <w:numFmt w:val="bullet"/>
      <w:lvlText w:val="-"/>
      <w:lvlJc w:val="left"/>
      <w:pPr>
        <w:tabs>
          <w:tab w:val="num" w:pos="384"/>
        </w:tabs>
        <w:ind w:left="384" w:hanging="384"/>
      </w:pPr>
      <w:rPr>
        <w:rFonts w:hint="default"/>
      </w:rPr>
    </w:lvl>
  </w:abstractNum>
  <w:abstractNum w:abstractNumId="15">
    <w:nsid w:val="3CD9003A"/>
    <w:multiLevelType w:val="singleLevel"/>
    <w:tmpl w:val="0809000F"/>
    <w:lvl w:ilvl="0">
      <w:start w:val="1"/>
      <w:numFmt w:val="decimal"/>
      <w:lvlText w:val="%1."/>
      <w:lvlJc w:val="left"/>
      <w:pPr>
        <w:tabs>
          <w:tab w:val="num" w:pos="360"/>
        </w:tabs>
        <w:ind w:left="360" w:hanging="360"/>
      </w:pPr>
    </w:lvl>
  </w:abstractNum>
  <w:abstractNum w:abstractNumId="16">
    <w:nsid w:val="40663F67"/>
    <w:multiLevelType w:val="hybridMultilevel"/>
    <w:tmpl w:val="1988C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1464F61"/>
    <w:multiLevelType w:val="singleLevel"/>
    <w:tmpl w:val="EDC05F18"/>
    <w:lvl w:ilvl="0">
      <w:start w:val="1"/>
      <w:numFmt w:val="decimal"/>
      <w:lvlText w:val="(%1)"/>
      <w:lvlJc w:val="left"/>
      <w:pPr>
        <w:tabs>
          <w:tab w:val="num" w:pos="360"/>
        </w:tabs>
        <w:ind w:left="360" w:hanging="360"/>
      </w:pPr>
      <w:rPr>
        <w:rFonts w:hint="default"/>
      </w:rPr>
    </w:lvl>
  </w:abstractNum>
  <w:abstractNum w:abstractNumId="18">
    <w:nsid w:val="438C14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43EF6A73"/>
    <w:multiLevelType w:val="singleLevel"/>
    <w:tmpl w:val="0809000F"/>
    <w:lvl w:ilvl="0">
      <w:start w:val="1"/>
      <w:numFmt w:val="decimal"/>
      <w:lvlText w:val="%1."/>
      <w:lvlJc w:val="left"/>
      <w:pPr>
        <w:tabs>
          <w:tab w:val="num" w:pos="360"/>
        </w:tabs>
        <w:ind w:left="360" w:hanging="360"/>
      </w:pPr>
    </w:lvl>
  </w:abstractNum>
  <w:abstractNum w:abstractNumId="20">
    <w:nsid w:val="46086326"/>
    <w:multiLevelType w:val="singleLevel"/>
    <w:tmpl w:val="4DE4A550"/>
    <w:lvl w:ilvl="0">
      <w:numFmt w:val="bullet"/>
      <w:lvlText w:val="-"/>
      <w:lvlJc w:val="left"/>
      <w:pPr>
        <w:tabs>
          <w:tab w:val="num" w:pos="384"/>
        </w:tabs>
        <w:ind w:left="384" w:hanging="384"/>
      </w:pPr>
      <w:rPr>
        <w:rFonts w:hint="default"/>
      </w:rPr>
    </w:lvl>
  </w:abstractNum>
  <w:abstractNum w:abstractNumId="21">
    <w:nsid w:val="47206095"/>
    <w:multiLevelType w:val="hybridMultilevel"/>
    <w:tmpl w:val="E7C6502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8B16E06"/>
    <w:multiLevelType w:val="hybridMultilevel"/>
    <w:tmpl w:val="F8B02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DDA6C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5209725B"/>
    <w:multiLevelType w:val="singleLevel"/>
    <w:tmpl w:val="CC126DBC"/>
    <w:lvl w:ilvl="0">
      <w:start w:val="1"/>
      <w:numFmt w:val="decimal"/>
      <w:pStyle w:val="bullet1"/>
      <w:lvlText w:val="%1."/>
      <w:lvlJc w:val="left"/>
      <w:pPr>
        <w:tabs>
          <w:tab w:val="num" w:pos="1134"/>
        </w:tabs>
        <w:ind w:left="1134" w:hanging="1134"/>
      </w:pPr>
    </w:lvl>
  </w:abstractNum>
  <w:abstractNum w:abstractNumId="25">
    <w:nsid w:val="57CA1D38"/>
    <w:multiLevelType w:val="hybridMultilevel"/>
    <w:tmpl w:val="70ECAF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3FE441D"/>
    <w:multiLevelType w:val="singleLevel"/>
    <w:tmpl w:val="4DE4A550"/>
    <w:lvl w:ilvl="0">
      <w:numFmt w:val="bullet"/>
      <w:lvlText w:val="-"/>
      <w:lvlJc w:val="left"/>
      <w:pPr>
        <w:tabs>
          <w:tab w:val="num" w:pos="384"/>
        </w:tabs>
        <w:ind w:left="384" w:hanging="384"/>
      </w:pPr>
      <w:rPr>
        <w:rFonts w:hint="default"/>
      </w:rPr>
    </w:lvl>
  </w:abstractNum>
  <w:abstractNum w:abstractNumId="27">
    <w:nsid w:val="67F16775"/>
    <w:multiLevelType w:val="hybridMultilevel"/>
    <w:tmpl w:val="73A26C5E"/>
    <w:lvl w:ilvl="0" w:tplc="0C090001">
      <w:start w:val="1"/>
      <w:numFmt w:val="bullet"/>
      <w:lvlText w:val=""/>
      <w:lvlJc w:val="left"/>
      <w:pPr>
        <w:ind w:left="921" w:hanging="360"/>
      </w:pPr>
      <w:rPr>
        <w:rFonts w:ascii="Symbol" w:hAnsi="Symbol" w:hint="default"/>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28">
    <w:nsid w:val="681652C2"/>
    <w:multiLevelType w:val="hybridMultilevel"/>
    <w:tmpl w:val="A08A6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8723C12"/>
    <w:multiLevelType w:val="singleLevel"/>
    <w:tmpl w:val="0809000F"/>
    <w:lvl w:ilvl="0">
      <w:start w:val="1"/>
      <w:numFmt w:val="decimal"/>
      <w:lvlText w:val="%1."/>
      <w:lvlJc w:val="left"/>
      <w:pPr>
        <w:tabs>
          <w:tab w:val="num" w:pos="360"/>
        </w:tabs>
        <w:ind w:left="360" w:hanging="360"/>
      </w:pPr>
    </w:lvl>
  </w:abstractNum>
  <w:abstractNum w:abstractNumId="30">
    <w:nsid w:val="692D3C9A"/>
    <w:multiLevelType w:val="singleLevel"/>
    <w:tmpl w:val="0809000F"/>
    <w:lvl w:ilvl="0">
      <w:start w:val="1"/>
      <w:numFmt w:val="decimal"/>
      <w:lvlText w:val="%1."/>
      <w:lvlJc w:val="left"/>
      <w:pPr>
        <w:tabs>
          <w:tab w:val="num" w:pos="360"/>
        </w:tabs>
        <w:ind w:left="360" w:hanging="360"/>
      </w:pPr>
    </w:lvl>
  </w:abstractNum>
  <w:abstractNum w:abstractNumId="31">
    <w:nsid w:val="6C2213B2"/>
    <w:multiLevelType w:val="hybridMultilevel"/>
    <w:tmpl w:val="B516B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8D0F2C"/>
    <w:multiLevelType w:val="hybridMultilevel"/>
    <w:tmpl w:val="709A43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728531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nsid w:val="78760FA7"/>
    <w:multiLevelType w:val="hybridMultilevel"/>
    <w:tmpl w:val="36C47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7A530D32"/>
    <w:multiLevelType w:val="hybridMultilevel"/>
    <w:tmpl w:val="D3BC93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7C6874A9"/>
    <w:multiLevelType w:val="singleLevel"/>
    <w:tmpl w:val="0809000F"/>
    <w:lvl w:ilvl="0">
      <w:start w:val="1"/>
      <w:numFmt w:val="decimal"/>
      <w:lvlText w:val="%1."/>
      <w:lvlJc w:val="left"/>
      <w:pPr>
        <w:tabs>
          <w:tab w:val="num" w:pos="360"/>
        </w:tabs>
        <w:ind w:left="360" w:hanging="360"/>
      </w:pPr>
    </w:lvl>
  </w:abstractNum>
  <w:abstractNum w:abstractNumId="37">
    <w:nsid w:val="7E3D2CCD"/>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11"/>
  </w:num>
  <w:num w:numId="3">
    <w:abstractNumId w:val="18"/>
  </w:num>
  <w:num w:numId="4">
    <w:abstractNumId w:val="29"/>
  </w:num>
  <w:num w:numId="5">
    <w:abstractNumId w:val="19"/>
  </w:num>
  <w:num w:numId="6">
    <w:abstractNumId w:val="0"/>
  </w:num>
  <w:num w:numId="7">
    <w:abstractNumId w:val="36"/>
  </w:num>
  <w:num w:numId="8">
    <w:abstractNumId w:val="15"/>
  </w:num>
  <w:num w:numId="9">
    <w:abstractNumId w:val="14"/>
  </w:num>
  <w:num w:numId="10">
    <w:abstractNumId w:val="20"/>
  </w:num>
  <w:num w:numId="11">
    <w:abstractNumId w:val="26"/>
  </w:num>
  <w:num w:numId="12">
    <w:abstractNumId w:val="23"/>
  </w:num>
  <w:num w:numId="13">
    <w:abstractNumId w:val="33"/>
  </w:num>
  <w:num w:numId="14">
    <w:abstractNumId w:val="2"/>
  </w:num>
  <w:num w:numId="15">
    <w:abstractNumId w:val="3"/>
  </w:num>
  <w:num w:numId="16">
    <w:abstractNumId w:val="37"/>
  </w:num>
  <w:num w:numId="17">
    <w:abstractNumId w:val="30"/>
  </w:num>
  <w:num w:numId="18">
    <w:abstractNumId w:val="17"/>
  </w:num>
  <w:num w:numId="19">
    <w:abstractNumId w:val="8"/>
  </w:num>
  <w:num w:numId="20">
    <w:abstractNumId w:val="28"/>
  </w:num>
  <w:num w:numId="21">
    <w:abstractNumId w:val="12"/>
  </w:num>
  <w:num w:numId="22">
    <w:abstractNumId w:val="31"/>
  </w:num>
  <w:num w:numId="23">
    <w:abstractNumId w:val="7"/>
  </w:num>
  <w:num w:numId="24">
    <w:abstractNumId w:val="6"/>
  </w:num>
  <w:num w:numId="25">
    <w:abstractNumId w:val="32"/>
  </w:num>
  <w:num w:numId="26">
    <w:abstractNumId w:val="22"/>
  </w:num>
  <w:num w:numId="27">
    <w:abstractNumId w:val="35"/>
  </w:num>
  <w:num w:numId="28">
    <w:abstractNumId w:val="27"/>
  </w:num>
  <w:num w:numId="29">
    <w:abstractNumId w:val="25"/>
  </w:num>
  <w:num w:numId="30">
    <w:abstractNumId w:val="16"/>
  </w:num>
  <w:num w:numId="31">
    <w:abstractNumId w:val="34"/>
  </w:num>
  <w:num w:numId="32">
    <w:abstractNumId w:val="21"/>
  </w:num>
  <w:num w:numId="33">
    <w:abstractNumId w:val="10"/>
  </w:num>
  <w:num w:numId="34">
    <w:abstractNumId w:val="5"/>
  </w:num>
  <w:num w:numId="35">
    <w:abstractNumId w:val="4"/>
  </w:num>
  <w:num w:numId="36">
    <w:abstractNumId w:val="24"/>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en-GB" w:vendorID="8"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0F72C1"/>
    <w:rsid w:val="00001382"/>
    <w:rsid w:val="000041B9"/>
    <w:rsid w:val="00014579"/>
    <w:rsid w:val="00036564"/>
    <w:rsid w:val="00047718"/>
    <w:rsid w:val="00053073"/>
    <w:rsid w:val="000549C1"/>
    <w:rsid w:val="000575DA"/>
    <w:rsid w:val="00073145"/>
    <w:rsid w:val="000745B8"/>
    <w:rsid w:val="00092ABB"/>
    <w:rsid w:val="000A1804"/>
    <w:rsid w:val="000A623D"/>
    <w:rsid w:val="000A7DA3"/>
    <w:rsid w:val="000A7F2C"/>
    <w:rsid w:val="000B4EB4"/>
    <w:rsid w:val="000C3DA7"/>
    <w:rsid w:val="000C4DC4"/>
    <w:rsid w:val="000D7B5B"/>
    <w:rsid w:val="000E2070"/>
    <w:rsid w:val="000F2E65"/>
    <w:rsid w:val="000F72C1"/>
    <w:rsid w:val="00100447"/>
    <w:rsid w:val="00103C01"/>
    <w:rsid w:val="00117963"/>
    <w:rsid w:val="00123798"/>
    <w:rsid w:val="00150BB6"/>
    <w:rsid w:val="00152260"/>
    <w:rsid w:val="00176C2F"/>
    <w:rsid w:val="00186894"/>
    <w:rsid w:val="001930AB"/>
    <w:rsid w:val="001A4F1B"/>
    <w:rsid w:val="001A7050"/>
    <w:rsid w:val="001B205F"/>
    <w:rsid w:val="001B3136"/>
    <w:rsid w:val="001B3F5C"/>
    <w:rsid w:val="001B3F62"/>
    <w:rsid w:val="001B7D32"/>
    <w:rsid w:val="001C14B8"/>
    <w:rsid w:val="001C2126"/>
    <w:rsid w:val="001D03E1"/>
    <w:rsid w:val="001D1C54"/>
    <w:rsid w:val="001F2EBB"/>
    <w:rsid w:val="001F3F33"/>
    <w:rsid w:val="002310E3"/>
    <w:rsid w:val="00231AF2"/>
    <w:rsid w:val="00241074"/>
    <w:rsid w:val="0024155C"/>
    <w:rsid w:val="00255219"/>
    <w:rsid w:val="0025688F"/>
    <w:rsid w:val="00261848"/>
    <w:rsid w:val="002656FD"/>
    <w:rsid w:val="00267026"/>
    <w:rsid w:val="00267C51"/>
    <w:rsid w:val="00276A23"/>
    <w:rsid w:val="00292D90"/>
    <w:rsid w:val="00293D98"/>
    <w:rsid w:val="002A01B0"/>
    <w:rsid w:val="002A55F0"/>
    <w:rsid w:val="002B5858"/>
    <w:rsid w:val="002B5F9F"/>
    <w:rsid w:val="002B77BD"/>
    <w:rsid w:val="002C2CC3"/>
    <w:rsid w:val="002D1035"/>
    <w:rsid w:val="002D15EC"/>
    <w:rsid w:val="002D3151"/>
    <w:rsid w:val="002D5D55"/>
    <w:rsid w:val="002E0393"/>
    <w:rsid w:val="002E4199"/>
    <w:rsid w:val="002E6791"/>
    <w:rsid w:val="002F082E"/>
    <w:rsid w:val="002F7CD1"/>
    <w:rsid w:val="003028AD"/>
    <w:rsid w:val="00305A79"/>
    <w:rsid w:val="00306B7E"/>
    <w:rsid w:val="00311FB3"/>
    <w:rsid w:val="0032121C"/>
    <w:rsid w:val="0032294B"/>
    <w:rsid w:val="003271C6"/>
    <w:rsid w:val="00331357"/>
    <w:rsid w:val="00336DF7"/>
    <w:rsid w:val="00340AED"/>
    <w:rsid w:val="00357EF9"/>
    <w:rsid w:val="00361C44"/>
    <w:rsid w:val="00370A96"/>
    <w:rsid w:val="00373277"/>
    <w:rsid w:val="00373520"/>
    <w:rsid w:val="00383400"/>
    <w:rsid w:val="00394258"/>
    <w:rsid w:val="00397754"/>
    <w:rsid w:val="00397C5A"/>
    <w:rsid w:val="003A2A05"/>
    <w:rsid w:val="003A2B8F"/>
    <w:rsid w:val="003A696E"/>
    <w:rsid w:val="003C2C91"/>
    <w:rsid w:val="003D23CF"/>
    <w:rsid w:val="003E679C"/>
    <w:rsid w:val="003F7916"/>
    <w:rsid w:val="004155AF"/>
    <w:rsid w:val="00416113"/>
    <w:rsid w:val="00432A28"/>
    <w:rsid w:val="00443F96"/>
    <w:rsid w:val="00455BD5"/>
    <w:rsid w:val="00461FD0"/>
    <w:rsid w:val="00463D0F"/>
    <w:rsid w:val="00466F0F"/>
    <w:rsid w:val="004822ED"/>
    <w:rsid w:val="004A1106"/>
    <w:rsid w:val="004A4FB4"/>
    <w:rsid w:val="004B2A16"/>
    <w:rsid w:val="004B6B4F"/>
    <w:rsid w:val="004B7BE5"/>
    <w:rsid w:val="004C1A83"/>
    <w:rsid w:val="004C4C3F"/>
    <w:rsid w:val="004C629C"/>
    <w:rsid w:val="004C6E1C"/>
    <w:rsid w:val="004D029F"/>
    <w:rsid w:val="004D1CBE"/>
    <w:rsid w:val="004E4435"/>
    <w:rsid w:val="005125B1"/>
    <w:rsid w:val="00515599"/>
    <w:rsid w:val="00517B53"/>
    <w:rsid w:val="00525B8F"/>
    <w:rsid w:val="00540548"/>
    <w:rsid w:val="005421C5"/>
    <w:rsid w:val="00560DB3"/>
    <w:rsid w:val="00565433"/>
    <w:rsid w:val="00566A56"/>
    <w:rsid w:val="00576611"/>
    <w:rsid w:val="00582DB1"/>
    <w:rsid w:val="00591BAD"/>
    <w:rsid w:val="00594DBA"/>
    <w:rsid w:val="005C7C9F"/>
    <w:rsid w:val="005D1C9D"/>
    <w:rsid w:val="005E4167"/>
    <w:rsid w:val="005E525C"/>
    <w:rsid w:val="005E64ED"/>
    <w:rsid w:val="005F7673"/>
    <w:rsid w:val="006202BE"/>
    <w:rsid w:val="00631556"/>
    <w:rsid w:val="006417A8"/>
    <w:rsid w:val="006479FF"/>
    <w:rsid w:val="00652BE0"/>
    <w:rsid w:val="006536BB"/>
    <w:rsid w:val="00666ECF"/>
    <w:rsid w:val="00671EDB"/>
    <w:rsid w:val="00672232"/>
    <w:rsid w:val="00672EF4"/>
    <w:rsid w:val="00673A3C"/>
    <w:rsid w:val="00694409"/>
    <w:rsid w:val="0069712B"/>
    <w:rsid w:val="006A2FD3"/>
    <w:rsid w:val="006A7D87"/>
    <w:rsid w:val="006B0972"/>
    <w:rsid w:val="006D5ADF"/>
    <w:rsid w:val="006F3132"/>
    <w:rsid w:val="007009D7"/>
    <w:rsid w:val="0071425D"/>
    <w:rsid w:val="007169FB"/>
    <w:rsid w:val="00720B50"/>
    <w:rsid w:val="00726219"/>
    <w:rsid w:val="00740374"/>
    <w:rsid w:val="0075199B"/>
    <w:rsid w:val="00755549"/>
    <w:rsid w:val="00762DB6"/>
    <w:rsid w:val="00765716"/>
    <w:rsid w:val="00767FDA"/>
    <w:rsid w:val="00772CFB"/>
    <w:rsid w:val="00787127"/>
    <w:rsid w:val="00791FCB"/>
    <w:rsid w:val="00796660"/>
    <w:rsid w:val="007972EB"/>
    <w:rsid w:val="007979C6"/>
    <w:rsid w:val="007B5522"/>
    <w:rsid w:val="007C2EA6"/>
    <w:rsid w:val="007C53DD"/>
    <w:rsid w:val="007C6112"/>
    <w:rsid w:val="007D0EB0"/>
    <w:rsid w:val="007D2EA6"/>
    <w:rsid w:val="00802173"/>
    <w:rsid w:val="00806A01"/>
    <w:rsid w:val="00807191"/>
    <w:rsid w:val="008118AD"/>
    <w:rsid w:val="00822A44"/>
    <w:rsid w:val="00835E1F"/>
    <w:rsid w:val="008405D6"/>
    <w:rsid w:val="00845242"/>
    <w:rsid w:val="00861B5E"/>
    <w:rsid w:val="008626BD"/>
    <w:rsid w:val="00865D99"/>
    <w:rsid w:val="00866044"/>
    <w:rsid w:val="0086633C"/>
    <w:rsid w:val="00877450"/>
    <w:rsid w:val="00886D84"/>
    <w:rsid w:val="00892ECC"/>
    <w:rsid w:val="008A0E9A"/>
    <w:rsid w:val="008A1671"/>
    <w:rsid w:val="008A534D"/>
    <w:rsid w:val="008A53BE"/>
    <w:rsid w:val="008A6D87"/>
    <w:rsid w:val="008B24BE"/>
    <w:rsid w:val="008B493E"/>
    <w:rsid w:val="008C21E8"/>
    <w:rsid w:val="008C6214"/>
    <w:rsid w:val="008D08C2"/>
    <w:rsid w:val="008E1E8A"/>
    <w:rsid w:val="008E22C4"/>
    <w:rsid w:val="008E3C52"/>
    <w:rsid w:val="00901639"/>
    <w:rsid w:val="00911C7A"/>
    <w:rsid w:val="00921295"/>
    <w:rsid w:val="00924336"/>
    <w:rsid w:val="009279EF"/>
    <w:rsid w:val="00931B9C"/>
    <w:rsid w:val="00936597"/>
    <w:rsid w:val="0094192F"/>
    <w:rsid w:val="00947236"/>
    <w:rsid w:val="0095115D"/>
    <w:rsid w:val="0095366A"/>
    <w:rsid w:val="0095715F"/>
    <w:rsid w:val="0096273A"/>
    <w:rsid w:val="009628F5"/>
    <w:rsid w:val="00962E51"/>
    <w:rsid w:val="00971E2D"/>
    <w:rsid w:val="009757F0"/>
    <w:rsid w:val="00980023"/>
    <w:rsid w:val="0098238A"/>
    <w:rsid w:val="00987A32"/>
    <w:rsid w:val="009A3419"/>
    <w:rsid w:val="009A6FB4"/>
    <w:rsid w:val="009B7B48"/>
    <w:rsid w:val="009C12F3"/>
    <w:rsid w:val="009C2FB5"/>
    <w:rsid w:val="009C4C77"/>
    <w:rsid w:val="009D1126"/>
    <w:rsid w:val="009D6D43"/>
    <w:rsid w:val="009E1189"/>
    <w:rsid w:val="009E19AA"/>
    <w:rsid w:val="009F064F"/>
    <w:rsid w:val="00A00285"/>
    <w:rsid w:val="00A05624"/>
    <w:rsid w:val="00A058CA"/>
    <w:rsid w:val="00A16C63"/>
    <w:rsid w:val="00A17D1B"/>
    <w:rsid w:val="00A312AE"/>
    <w:rsid w:val="00A35A77"/>
    <w:rsid w:val="00A576F4"/>
    <w:rsid w:val="00A62D84"/>
    <w:rsid w:val="00A63BA9"/>
    <w:rsid w:val="00A66A8F"/>
    <w:rsid w:val="00A72815"/>
    <w:rsid w:val="00A73FE7"/>
    <w:rsid w:val="00A8129E"/>
    <w:rsid w:val="00A830D4"/>
    <w:rsid w:val="00A86541"/>
    <w:rsid w:val="00A86D4D"/>
    <w:rsid w:val="00AB5019"/>
    <w:rsid w:val="00AB7A34"/>
    <w:rsid w:val="00AD5EA8"/>
    <w:rsid w:val="00AE3CD8"/>
    <w:rsid w:val="00AE4580"/>
    <w:rsid w:val="00B068E9"/>
    <w:rsid w:val="00B24663"/>
    <w:rsid w:val="00B4477F"/>
    <w:rsid w:val="00B451F7"/>
    <w:rsid w:val="00B47A27"/>
    <w:rsid w:val="00B561F7"/>
    <w:rsid w:val="00B70079"/>
    <w:rsid w:val="00B77D1A"/>
    <w:rsid w:val="00B83981"/>
    <w:rsid w:val="00BA5635"/>
    <w:rsid w:val="00BA70F8"/>
    <w:rsid w:val="00BB3473"/>
    <w:rsid w:val="00BC2379"/>
    <w:rsid w:val="00BD3B42"/>
    <w:rsid w:val="00BD424E"/>
    <w:rsid w:val="00BD6F37"/>
    <w:rsid w:val="00BE6714"/>
    <w:rsid w:val="00BF4018"/>
    <w:rsid w:val="00C276C4"/>
    <w:rsid w:val="00C41F08"/>
    <w:rsid w:val="00C462CF"/>
    <w:rsid w:val="00C520E8"/>
    <w:rsid w:val="00C76623"/>
    <w:rsid w:val="00C81DF7"/>
    <w:rsid w:val="00C83224"/>
    <w:rsid w:val="00C93953"/>
    <w:rsid w:val="00C979BF"/>
    <w:rsid w:val="00CA2B09"/>
    <w:rsid w:val="00CB1F1B"/>
    <w:rsid w:val="00CC382E"/>
    <w:rsid w:val="00CC4575"/>
    <w:rsid w:val="00CC6A81"/>
    <w:rsid w:val="00CD0EC1"/>
    <w:rsid w:val="00CD26CD"/>
    <w:rsid w:val="00CF45F5"/>
    <w:rsid w:val="00CF7BFC"/>
    <w:rsid w:val="00CF7EA6"/>
    <w:rsid w:val="00D023B2"/>
    <w:rsid w:val="00D030C1"/>
    <w:rsid w:val="00D070D7"/>
    <w:rsid w:val="00D34679"/>
    <w:rsid w:val="00D367ED"/>
    <w:rsid w:val="00D43B9C"/>
    <w:rsid w:val="00D4522A"/>
    <w:rsid w:val="00D77A87"/>
    <w:rsid w:val="00D90E8C"/>
    <w:rsid w:val="00D9257B"/>
    <w:rsid w:val="00D9425E"/>
    <w:rsid w:val="00DA4357"/>
    <w:rsid w:val="00DA6263"/>
    <w:rsid w:val="00DB1463"/>
    <w:rsid w:val="00DB18EC"/>
    <w:rsid w:val="00DB45CE"/>
    <w:rsid w:val="00DC0FD6"/>
    <w:rsid w:val="00DC6E7B"/>
    <w:rsid w:val="00DD079D"/>
    <w:rsid w:val="00DD40F0"/>
    <w:rsid w:val="00DD69B6"/>
    <w:rsid w:val="00DE49E3"/>
    <w:rsid w:val="00DF0C1A"/>
    <w:rsid w:val="00DF4410"/>
    <w:rsid w:val="00E04C6C"/>
    <w:rsid w:val="00E258A6"/>
    <w:rsid w:val="00E40372"/>
    <w:rsid w:val="00E41BEE"/>
    <w:rsid w:val="00E42849"/>
    <w:rsid w:val="00E43A55"/>
    <w:rsid w:val="00E456E3"/>
    <w:rsid w:val="00E54348"/>
    <w:rsid w:val="00E57B2C"/>
    <w:rsid w:val="00E6126E"/>
    <w:rsid w:val="00E6181F"/>
    <w:rsid w:val="00E61FC0"/>
    <w:rsid w:val="00E67835"/>
    <w:rsid w:val="00E86C39"/>
    <w:rsid w:val="00E9121D"/>
    <w:rsid w:val="00E91BEA"/>
    <w:rsid w:val="00EB01D6"/>
    <w:rsid w:val="00EB6BB5"/>
    <w:rsid w:val="00EC13F1"/>
    <w:rsid w:val="00EC2459"/>
    <w:rsid w:val="00EF330A"/>
    <w:rsid w:val="00EF424B"/>
    <w:rsid w:val="00EF604B"/>
    <w:rsid w:val="00EF7B9F"/>
    <w:rsid w:val="00F01168"/>
    <w:rsid w:val="00F06A6A"/>
    <w:rsid w:val="00F074B4"/>
    <w:rsid w:val="00F20F0F"/>
    <w:rsid w:val="00F26C64"/>
    <w:rsid w:val="00F417E1"/>
    <w:rsid w:val="00F4567D"/>
    <w:rsid w:val="00F501B8"/>
    <w:rsid w:val="00F55FD6"/>
    <w:rsid w:val="00F62EA6"/>
    <w:rsid w:val="00F670F8"/>
    <w:rsid w:val="00F80872"/>
    <w:rsid w:val="00F87A7A"/>
    <w:rsid w:val="00F97177"/>
    <w:rsid w:val="00FA1437"/>
    <w:rsid w:val="00FA625B"/>
    <w:rsid w:val="00FC2C98"/>
    <w:rsid w:val="00FD77BB"/>
    <w:rsid w:val="00FE5617"/>
    <w:rsid w:val="00FF1314"/>
    <w:rsid w:val="00FF180F"/>
    <w:rsid w:val="00FF2B91"/>
    <w:rsid w:val="00FF79D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5A"/>
    <w:rPr>
      <w:sz w:val="24"/>
      <w:lang w:val="en-US" w:eastAsia="en-US"/>
    </w:rPr>
  </w:style>
  <w:style w:type="paragraph" w:styleId="Heading1">
    <w:name w:val="heading 1"/>
    <w:basedOn w:val="Normal"/>
    <w:next w:val="Normal"/>
    <w:qFormat/>
    <w:rsid w:val="00397C5A"/>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397C5A"/>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397C5A"/>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397C5A"/>
    <w:pPr>
      <w:keepNext/>
      <w:keepLines/>
      <w:spacing w:before="240"/>
      <w:outlineLvl w:val="3"/>
    </w:pPr>
    <w:rPr>
      <w:rFonts w:ascii="Arial" w:hAnsi="Arial"/>
      <w:b/>
      <w:sz w:val="22"/>
    </w:rPr>
  </w:style>
  <w:style w:type="paragraph" w:styleId="Heading5">
    <w:name w:val="heading 5"/>
    <w:basedOn w:val="Heading4"/>
    <w:next w:val="Normal"/>
    <w:qFormat/>
    <w:rsid w:val="00397C5A"/>
    <w:pPr>
      <w:outlineLvl w:val="4"/>
    </w:pPr>
    <w:rPr>
      <w:b w:val="0"/>
    </w:rPr>
  </w:style>
  <w:style w:type="paragraph" w:styleId="Heading6">
    <w:name w:val="heading 6"/>
    <w:basedOn w:val="Normal"/>
    <w:next w:val="Normal"/>
    <w:qFormat/>
    <w:rsid w:val="00835E1F"/>
    <w:pPr>
      <w:keepNext/>
      <w:keepLines/>
      <w:spacing w:before="240" w:after="120"/>
      <w:ind w:left="1701" w:hanging="1701"/>
      <w:outlineLvl w:val="5"/>
    </w:pPr>
    <w:rPr>
      <w:rFonts w:ascii="Arial" w:hAnsi="Arial"/>
      <w:b/>
    </w:rPr>
  </w:style>
  <w:style w:type="paragraph" w:styleId="Heading7">
    <w:name w:val="heading 7"/>
    <w:basedOn w:val="Normal"/>
    <w:next w:val="Normal"/>
    <w:qFormat/>
    <w:rsid w:val="00835E1F"/>
    <w:pPr>
      <w:keepNext/>
      <w:keepLines/>
      <w:spacing w:before="240" w:after="120"/>
      <w:ind w:left="1701" w:hanging="1701"/>
      <w:outlineLvl w:val="6"/>
    </w:pPr>
    <w:rPr>
      <w:rFonts w:ascii="Arial" w:hAnsi="Arial"/>
      <w:b/>
    </w:rPr>
  </w:style>
  <w:style w:type="paragraph" w:styleId="Heading8">
    <w:name w:val="heading 8"/>
    <w:basedOn w:val="Normal"/>
    <w:qFormat/>
    <w:rsid w:val="00397C5A"/>
    <w:pPr>
      <w:ind w:left="720"/>
      <w:outlineLvl w:val="7"/>
    </w:pPr>
    <w:rPr>
      <w:i/>
      <w:sz w:val="20"/>
    </w:rPr>
  </w:style>
  <w:style w:type="paragraph" w:styleId="Heading9">
    <w:name w:val="heading 9"/>
    <w:basedOn w:val="Normal"/>
    <w:next w:val="Normal"/>
    <w:qFormat/>
    <w:rsid w:val="00397C5A"/>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1FD0"/>
    <w:rPr>
      <w:rFonts w:ascii="Arial" w:hAnsi="Arial"/>
      <w:b/>
      <w:sz w:val="24"/>
      <w:lang w:val="en-US" w:eastAsia="en-US" w:bidi="ar-SA"/>
    </w:rPr>
  </w:style>
  <w:style w:type="character" w:customStyle="1" w:styleId="Heading4Char">
    <w:name w:val="Heading 4 Char"/>
    <w:basedOn w:val="DefaultParagraphFont"/>
    <w:link w:val="Heading4"/>
    <w:rsid w:val="00DF4410"/>
    <w:rPr>
      <w:rFonts w:ascii="Arial" w:hAnsi="Arial"/>
      <w:b/>
      <w:sz w:val="22"/>
      <w:lang w:val="en-US" w:eastAsia="en-US" w:bidi="ar-SA"/>
    </w:rPr>
  </w:style>
  <w:style w:type="character" w:styleId="CommentReference">
    <w:name w:val="annotation reference"/>
    <w:basedOn w:val="DefaultParagraphFont"/>
    <w:semiHidden/>
    <w:rsid w:val="00397C5A"/>
    <w:rPr>
      <w:sz w:val="16"/>
    </w:rPr>
  </w:style>
  <w:style w:type="paragraph" w:styleId="CommentText">
    <w:name w:val="annotation text"/>
    <w:basedOn w:val="Normal"/>
    <w:link w:val="CommentTextChar"/>
    <w:rsid w:val="00397C5A"/>
    <w:rPr>
      <w:sz w:val="20"/>
    </w:rPr>
  </w:style>
  <w:style w:type="paragraph" w:styleId="TOC8">
    <w:name w:val="toc 8"/>
    <w:basedOn w:val="Normal"/>
    <w:next w:val="Normal"/>
    <w:semiHidden/>
    <w:rsid w:val="00397C5A"/>
    <w:pPr>
      <w:tabs>
        <w:tab w:val="left" w:leader="dot" w:pos="8280"/>
        <w:tab w:val="right" w:pos="8640"/>
      </w:tabs>
      <w:ind w:left="5040" w:right="720"/>
    </w:pPr>
  </w:style>
  <w:style w:type="paragraph" w:styleId="TOC7">
    <w:name w:val="toc 7"/>
    <w:basedOn w:val="Normal"/>
    <w:semiHidden/>
    <w:rsid w:val="00397C5A"/>
    <w:pPr>
      <w:tabs>
        <w:tab w:val="right" w:leader="dot" w:pos="9072"/>
      </w:tabs>
      <w:spacing w:after="72"/>
      <w:ind w:left="1701" w:hanging="1701"/>
    </w:pPr>
  </w:style>
  <w:style w:type="paragraph" w:styleId="TOC6">
    <w:name w:val="toc 6"/>
    <w:basedOn w:val="Normal"/>
    <w:semiHidden/>
    <w:rsid w:val="00397C5A"/>
    <w:pPr>
      <w:tabs>
        <w:tab w:val="right" w:leader="dot" w:pos="9072"/>
      </w:tabs>
      <w:spacing w:after="72"/>
      <w:ind w:left="1701" w:hanging="1701"/>
    </w:pPr>
  </w:style>
  <w:style w:type="paragraph" w:styleId="TOC5">
    <w:name w:val="toc 5"/>
    <w:basedOn w:val="Normal"/>
    <w:next w:val="Normal"/>
    <w:semiHidden/>
    <w:rsid w:val="00397C5A"/>
    <w:pPr>
      <w:tabs>
        <w:tab w:val="left" w:leader="dot" w:pos="8280"/>
        <w:tab w:val="right" w:pos="8640"/>
      </w:tabs>
      <w:ind w:left="2880" w:right="720"/>
    </w:pPr>
  </w:style>
  <w:style w:type="paragraph" w:styleId="TOC4">
    <w:name w:val="toc 4"/>
    <w:basedOn w:val="Normal"/>
    <w:next w:val="Normal"/>
    <w:semiHidden/>
    <w:rsid w:val="00397C5A"/>
    <w:pPr>
      <w:tabs>
        <w:tab w:val="left" w:leader="dot" w:pos="8280"/>
        <w:tab w:val="right" w:pos="8640"/>
      </w:tabs>
      <w:ind w:left="2160" w:right="720"/>
    </w:pPr>
  </w:style>
  <w:style w:type="paragraph" w:styleId="TOC3">
    <w:name w:val="toc 3"/>
    <w:basedOn w:val="TOC2"/>
    <w:semiHidden/>
    <w:rsid w:val="00397C5A"/>
    <w:pPr>
      <w:ind w:left="2127" w:hanging="993"/>
    </w:pPr>
  </w:style>
  <w:style w:type="paragraph" w:styleId="TOC2">
    <w:name w:val="toc 2"/>
    <w:basedOn w:val="TOC1"/>
    <w:semiHidden/>
    <w:rsid w:val="00397C5A"/>
    <w:pPr>
      <w:ind w:left="1134" w:hanging="709"/>
    </w:pPr>
  </w:style>
  <w:style w:type="paragraph" w:styleId="TOC1">
    <w:name w:val="toc 1"/>
    <w:basedOn w:val="Normal"/>
    <w:semiHidden/>
    <w:rsid w:val="00397C5A"/>
    <w:pPr>
      <w:tabs>
        <w:tab w:val="right" w:leader="dot" w:pos="9073"/>
      </w:tabs>
      <w:spacing w:after="72"/>
      <w:ind w:left="426" w:hanging="426"/>
    </w:pPr>
  </w:style>
  <w:style w:type="paragraph" w:styleId="Index7">
    <w:name w:val="index 7"/>
    <w:basedOn w:val="Normal"/>
    <w:next w:val="Normal"/>
    <w:semiHidden/>
    <w:rsid w:val="00397C5A"/>
    <w:pPr>
      <w:ind w:left="2160"/>
    </w:pPr>
  </w:style>
  <w:style w:type="paragraph" w:styleId="Index6">
    <w:name w:val="index 6"/>
    <w:basedOn w:val="Normal"/>
    <w:next w:val="Normal"/>
    <w:semiHidden/>
    <w:rsid w:val="00397C5A"/>
    <w:pPr>
      <w:ind w:left="1800"/>
    </w:pPr>
  </w:style>
  <w:style w:type="paragraph" w:styleId="Index5">
    <w:name w:val="index 5"/>
    <w:basedOn w:val="Normal"/>
    <w:next w:val="Normal"/>
    <w:semiHidden/>
    <w:rsid w:val="00397C5A"/>
    <w:pPr>
      <w:ind w:left="1440"/>
    </w:pPr>
  </w:style>
  <w:style w:type="paragraph" w:styleId="Index4">
    <w:name w:val="index 4"/>
    <w:basedOn w:val="Normal"/>
    <w:next w:val="Normal"/>
    <w:semiHidden/>
    <w:rsid w:val="00397C5A"/>
    <w:pPr>
      <w:ind w:left="1080"/>
    </w:pPr>
  </w:style>
  <w:style w:type="paragraph" w:styleId="Index3">
    <w:name w:val="index 3"/>
    <w:basedOn w:val="Normal"/>
    <w:next w:val="Normal"/>
    <w:semiHidden/>
    <w:rsid w:val="00397C5A"/>
    <w:pPr>
      <w:ind w:left="720"/>
    </w:pPr>
  </w:style>
  <w:style w:type="paragraph" w:styleId="Index2">
    <w:name w:val="index 2"/>
    <w:basedOn w:val="Normal"/>
    <w:next w:val="Normal"/>
    <w:semiHidden/>
    <w:rsid w:val="00397C5A"/>
    <w:pPr>
      <w:ind w:left="360"/>
    </w:pPr>
  </w:style>
  <w:style w:type="paragraph" w:styleId="Index1">
    <w:name w:val="index 1"/>
    <w:basedOn w:val="Normal"/>
    <w:next w:val="Normal"/>
    <w:semiHidden/>
    <w:rsid w:val="00397C5A"/>
  </w:style>
  <w:style w:type="paragraph" w:styleId="IndexHeading">
    <w:name w:val="index heading"/>
    <w:basedOn w:val="Normal"/>
    <w:next w:val="Index1"/>
    <w:semiHidden/>
    <w:rsid w:val="00397C5A"/>
  </w:style>
  <w:style w:type="character" w:styleId="FootnoteReference">
    <w:name w:val="footnote reference"/>
    <w:basedOn w:val="DefaultParagraphFont"/>
    <w:semiHidden/>
    <w:rsid w:val="00397C5A"/>
    <w:rPr>
      <w:position w:val="6"/>
      <w:sz w:val="16"/>
    </w:rPr>
  </w:style>
  <w:style w:type="paragraph" w:styleId="FootnoteText">
    <w:name w:val="footnote text"/>
    <w:basedOn w:val="Normal"/>
    <w:semiHidden/>
    <w:rsid w:val="00397C5A"/>
    <w:rPr>
      <w:sz w:val="20"/>
    </w:rPr>
  </w:style>
  <w:style w:type="paragraph" w:customStyle="1" w:styleId="ActiveIngredientPI">
    <w:name w:val="Active Ingredient PI"/>
    <w:basedOn w:val="Normal"/>
    <w:rsid w:val="008C21E8"/>
    <w:pPr>
      <w:spacing w:after="60"/>
      <w:jc w:val="center"/>
    </w:pPr>
    <w:rPr>
      <w:rFonts w:ascii="Arial" w:hAnsi="Arial"/>
      <w:b/>
    </w:rPr>
  </w:style>
  <w:style w:type="paragraph" w:customStyle="1" w:styleId="PIHeading1">
    <w:name w:val="PI Heading 1"/>
    <w:basedOn w:val="Heading1"/>
    <w:rsid w:val="000A1804"/>
    <w:pPr>
      <w:keepLines w:val="0"/>
      <w:tabs>
        <w:tab w:val="left" w:pos="1418"/>
      </w:tabs>
      <w:spacing w:before="240" w:after="240"/>
      <w:ind w:left="1418" w:right="0" w:hanging="1418"/>
      <w:jc w:val="both"/>
    </w:pPr>
    <w:rPr>
      <w:rFonts w:ascii="Arial Bold" w:hAnsi="Arial Bold"/>
      <w:caps/>
      <w:sz w:val="22"/>
      <w:szCs w:val="22"/>
    </w:rPr>
  </w:style>
  <w:style w:type="paragraph" w:customStyle="1" w:styleId="PIheading2">
    <w:name w:val="PI heading 2"/>
    <w:basedOn w:val="Heading2"/>
    <w:rsid w:val="000F72C1"/>
    <w:pPr>
      <w:keepLines w:val="0"/>
      <w:tabs>
        <w:tab w:val="left" w:pos="1418"/>
      </w:tabs>
      <w:spacing w:before="240" w:after="240"/>
      <w:ind w:left="0" w:right="0" w:firstLine="0"/>
    </w:pPr>
    <w:rPr>
      <w:sz w:val="22"/>
      <w:szCs w:val="22"/>
    </w:rPr>
  </w:style>
  <w:style w:type="paragraph" w:customStyle="1" w:styleId="PIHeading3">
    <w:name w:val="PI Heading 3"/>
    <w:basedOn w:val="Normal"/>
    <w:rsid w:val="00292D90"/>
    <w:pPr>
      <w:tabs>
        <w:tab w:val="left" w:pos="1418"/>
      </w:tabs>
      <w:spacing w:before="120" w:after="60"/>
      <w:jc w:val="both"/>
    </w:pPr>
    <w:rPr>
      <w:rFonts w:ascii="Arial" w:hAnsi="Arial"/>
      <w:sz w:val="22"/>
      <w:szCs w:val="22"/>
      <w:u w:val="single"/>
    </w:rPr>
  </w:style>
  <w:style w:type="paragraph" w:styleId="EndnoteText">
    <w:name w:val="endnote text"/>
    <w:basedOn w:val="Normal"/>
    <w:semiHidden/>
    <w:rsid w:val="00397C5A"/>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paragraph" w:customStyle="1" w:styleId="BrandNamePI">
    <w:name w:val="Brand Name PI"/>
    <w:basedOn w:val="ActiveIngredientPI"/>
    <w:rsid w:val="00DB18EC"/>
    <w:rPr>
      <w:sz w:val="28"/>
      <w:szCs w:val="28"/>
    </w:rPr>
  </w:style>
  <w:style w:type="paragraph" w:customStyle="1" w:styleId="PItextbolditalic">
    <w:name w:val="PI text bold  italic"/>
    <w:basedOn w:val="Normal"/>
    <w:rsid w:val="00292D90"/>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186894"/>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186894"/>
    <w:rPr>
      <w:rFonts w:ascii="Arial" w:hAnsi="Arial"/>
      <w:sz w:val="22"/>
      <w:szCs w:val="22"/>
      <w:lang w:val="en-US" w:eastAsia="en-US"/>
    </w:rPr>
  </w:style>
  <w:style w:type="paragraph" w:customStyle="1" w:styleId="TextPIBullet">
    <w:name w:val="Text PI Bullet"/>
    <w:basedOn w:val="TextPI"/>
    <w:rsid w:val="00292D90"/>
    <w:pPr>
      <w:numPr>
        <w:numId w:val="19"/>
      </w:numPr>
      <w:tabs>
        <w:tab w:val="clear" w:pos="720"/>
        <w:tab w:val="num" w:pos="360"/>
      </w:tabs>
      <w:spacing w:before="0" w:after="0"/>
      <w:ind w:left="0" w:firstLine="0"/>
    </w:pPr>
  </w:style>
  <w:style w:type="paragraph" w:customStyle="1" w:styleId="TextPItable">
    <w:name w:val="Text PI table"/>
    <w:basedOn w:val="Normal"/>
    <w:rsid w:val="00292D90"/>
    <w:pPr>
      <w:tabs>
        <w:tab w:val="left" w:pos="1418"/>
      </w:tabs>
      <w:jc w:val="both"/>
    </w:pPr>
    <w:rPr>
      <w:rFonts w:ascii="Arial" w:hAnsi="Arial"/>
      <w:sz w:val="22"/>
      <w:szCs w:val="22"/>
    </w:rPr>
  </w:style>
  <w:style w:type="paragraph" w:customStyle="1" w:styleId="TextPIunderline">
    <w:name w:val="Text PI underline"/>
    <w:basedOn w:val="Normal"/>
    <w:rsid w:val="00292D90"/>
    <w:pPr>
      <w:tabs>
        <w:tab w:val="left" w:pos="1418"/>
      </w:tabs>
      <w:jc w:val="both"/>
    </w:pPr>
    <w:rPr>
      <w:rFonts w:ascii="Arial" w:hAnsi="Arial"/>
      <w:iCs/>
      <w:sz w:val="22"/>
      <w:szCs w:val="22"/>
      <w:u w:val="single"/>
    </w:rPr>
  </w:style>
  <w:style w:type="paragraph" w:styleId="Header">
    <w:name w:val="header"/>
    <w:basedOn w:val="Normal"/>
    <w:link w:val="HeaderChar"/>
    <w:unhideWhenUsed/>
    <w:rsid w:val="00E9121D"/>
    <w:pPr>
      <w:tabs>
        <w:tab w:val="center" w:pos="4513"/>
        <w:tab w:val="right" w:pos="9026"/>
      </w:tabs>
    </w:pPr>
  </w:style>
  <w:style w:type="character" w:customStyle="1" w:styleId="HeaderChar">
    <w:name w:val="Header Char"/>
    <w:basedOn w:val="DefaultParagraphFont"/>
    <w:link w:val="Header"/>
    <w:uiPriority w:val="99"/>
    <w:semiHidden/>
    <w:rsid w:val="00E9121D"/>
    <w:rPr>
      <w:sz w:val="24"/>
      <w:lang w:val="en-US" w:eastAsia="en-US"/>
    </w:rPr>
  </w:style>
  <w:style w:type="paragraph" w:styleId="Footer">
    <w:name w:val="footer"/>
    <w:basedOn w:val="Normal"/>
    <w:link w:val="FooterChar"/>
    <w:uiPriority w:val="99"/>
    <w:unhideWhenUsed/>
    <w:rsid w:val="00E9121D"/>
    <w:pPr>
      <w:tabs>
        <w:tab w:val="center" w:pos="4513"/>
        <w:tab w:val="right" w:pos="9026"/>
      </w:tabs>
    </w:pPr>
  </w:style>
  <w:style w:type="character" w:customStyle="1" w:styleId="FooterChar">
    <w:name w:val="Footer Char"/>
    <w:basedOn w:val="DefaultParagraphFont"/>
    <w:link w:val="Footer"/>
    <w:uiPriority w:val="99"/>
    <w:rsid w:val="00E9121D"/>
    <w:rPr>
      <w:sz w:val="24"/>
      <w:lang w:val="en-US" w:eastAsia="en-US"/>
    </w:rPr>
  </w:style>
  <w:style w:type="paragraph" w:customStyle="1" w:styleId="bullet1">
    <w:name w:val="bullet 1"/>
    <w:basedOn w:val="Normal"/>
    <w:rsid w:val="00E9121D"/>
    <w:pPr>
      <w:widowControl w:val="0"/>
      <w:numPr>
        <w:numId w:val="36"/>
      </w:numPr>
      <w:tabs>
        <w:tab w:val="left" w:pos="680"/>
      </w:tabs>
      <w:spacing w:after="240"/>
      <w:ind w:left="680" w:hanging="680"/>
      <w:jc w:val="both"/>
    </w:pPr>
    <w:rPr>
      <w:snapToGrid w:val="0"/>
      <w:lang w:val="en-AU"/>
    </w:rPr>
  </w:style>
  <w:style w:type="character" w:styleId="PageNumber">
    <w:name w:val="page number"/>
    <w:basedOn w:val="DefaultParagraphFont"/>
    <w:rsid w:val="00E9121D"/>
  </w:style>
  <w:style w:type="paragraph" w:customStyle="1" w:styleId="Text">
    <w:name w:val="Text"/>
    <w:basedOn w:val="Normal"/>
    <w:rsid w:val="008405D6"/>
    <w:pPr>
      <w:suppressAutoHyphens/>
      <w:spacing w:after="200" w:line="380" w:lineRule="atLeast"/>
    </w:pPr>
    <w:rPr>
      <w:rFonts w:ascii="Arial" w:hAnsi="Arial"/>
      <w:sz w:val="22"/>
      <w:lang w:val="en-AU"/>
    </w:rPr>
  </w:style>
  <w:style w:type="paragraph" w:customStyle="1" w:styleId="Default">
    <w:name w:val="Default"/>
    <w:rsid w:val="0096273A"/>
    <w:pPr>
      <w:autoSpaceDE w:val="0"/>
      <w:autoSpaceDN w:val="0"/>
      <w:adjustRightInd w:val="0"/>
    </w:pPr>
    <w:rPr>
      <w:color w:val="000000"/>
      <w:sz w:val="24"/>
      <w:szCs w:val="24"/>
    </w:rPr>
  </w:style>
  <w:style w:type="paragraph" w:styleId="ListParagraph">
    <w:name w:val="List Paragraph"/>
    <w:basedOn w:val="Normal"/>
    <w:uiPriority w:val="34"/>
    <w:qFormat/>
    <w:rsid w:val="00B47A27"/>
    <w:pPr>
      <w:ind w:left="720"/>
      <w:contextualSpacing/>
    </w:pPr>
  </w:style>
  <w:style w:type="paragraph" w:styleId="CommentSubject">
    <w:name w:val="annotation subject"/>
    <w:basedOn w:val="CommentText"/>
    <w:next w:val="CommentText"/>
    <w:link w:val="CommentSubjectChar"/>
    <w:uiPriority w:val="99"/>
    <w:semiHidden/>
    <w:unhideWhenUsed/>
    <w:rsid w:val="00117963"/>
    <w:rPr>
      <w:b/>
      <w:bCs/>
    </w:rPr>
  </w:style>
  <w:style w:type="character" w:customStyle="1" w:styleId="CommentTextChar">
    <w:name w:val="Comment Text Char"/>
    <w:basedOn w:val="DefaultParagraphFont"/>
    <w:link w:val="CommentText"/>
    <w:rsid w:val="00117963"/>
    <w:rPr>
      <w:lang w:val="en-US" w:eastAsia="en-US"/>
    </w:rPr>
  </w:style>
  <w:style w:type="character" w:customStyle="1" w:styleId="CommentSubjectChar">
    <w:name w:val="Comment Subject Char"/>
    <w:basedOn w:val="CommentTextChar"/>
    <w:link w:val="CommentSubject"/>
    <w:uiPriority w:val="99"/>
    <w:semiHidden/>
    <w:rsid w:val="00117963"/>
    <w:rPr>
      <w:b/>
      <w:bCs/>
      <w:lang w:val="en-US" w:eastAsia="en-US"/>
    </w:rPr>
  </w:style>
  <w:style w:type="character" w:styleId="LineNumber">
    <w:name w:val="line number"/>
    <w:rsid w:val="004C629C"/>
  </w:style>
  <w:style w:type="paragraph" w:styleId="Revision">
    <w:name w:val="Revision"/>
    <w:hidden/>
    <w:uiPriority w:val="99"/>
    <w:semiHidden/>
    <w:rsid w:val="00BD3B42"/>
    <w:rPr>
      <w:sz w:val="24"/>
      <w:lang w:val="en-US" w:eastAsia="en-US"/>
    </w:rPr>
  </w:style>
  <w:style w:type="paragraph" w:customStyle="1" w:styleId="lbltxt">
    <w:name w:val="lbltxt"/>
    <w:link w:val="lbltxtChar1"/>
    <w:uiPriority w:val="99"/>
    <w:rsid w:val="002C2CC3"/>
    <w:rPr>
      <w:noProof/>
      <w:sz w:val="22"/>
      <w:lang w:val="en-GB" w:eastAsia="en-US"/>
    </w:rPr>
  </w:style>
  <w:style w:type="character" w:customStyle="1" w:styleId="lbltxtChar1">
    <w:name w:val="lbltxt Char1"/>
    <w:link w:val="lbltxt"/>
    <w:uiPriority w:val="99"/>
    <w:rsid w:val="002C2CC3"/>
    <w:rPr>
      <w:noProof/>
      <w:sz w:val="22"/>
      <w:lang w:val="en-GB" w:eastAsia="en-US"/>
    </w:rPr>
  </w:style>
  <w:style w:type="table" w:styleId="TableGrid">
    <w:name w:val="Table Grid"/>
    <w:basedOn w:val="TableNormal"/>
    <w:uiPriority w:val="59"/>
    <w:rsid w:val="00540548"/>
    <w:rPr>
      <w:rFonts w:asciiTheme="minorHAnsi" w:eastAsia="Cambr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0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0A8DE-D30B-45B3-9A4F-E179EA1E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6405</Words>
  <Characters>36216</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Core PI template</vt:lpstr>
    </vt:vector>
  </TitlesOfParts>
  <Company>Boehringer Ingelheim</Company>
  <LinksUpToDate>false</LinksUpToDate>
  <CharactersWithSpaces>42536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Anakinra</dc:title>
  <dc:subject>Product Information</dc:subject>
  <dc:creator>Invida Pty Ltd</dc:creator>
  <cp:lastModifiedBy>Lack, Janet</cp:lastModifiedBy>
  <cp:revision>3</cp:revision>
  <cp:lastPrinted>2015-02-18T00:02:00Z</cp:lastPrinted>
  <dcterms:created xsi:type="dcterms:W3CDTF">2015-10-21T00:03:00Z</dcterms:created>
  <dcterms:modified xsi:type="dcterms:W3CDTF">2015-11-25T23:21:00Z</dcterms:modified>
</cp:coreProperties>
</file>