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94F84" w:rsidP="00694F84">
            <w:pPr>
              <w:rPr>
                <w:rFonts w:ascii="Arial" w:hAnsi="Arial" w:cs="Arial"/>
                <w:b/>
                <w:color w:val="002C47"/>
                <w:sz w:val="36"/>
                <w:szCs w:val="36"/>
              </w:rPr>
            </w:pPr>
            <w:r>
              <w:rPr>
                <w:rFonts w:ascii="Arial" w:hAnsi="Arial" w:cs="Arial"/>
                <w:b/>
                <w:color w:val="002C47"/>
                <w:sz w:val="36"/>
                <w:szCs w:val="36"/>
              </w:rPr>
              <w:t>October</w:t>
            </w:r>
            <w:r w:rsidR="00D63154">
              <w:rPr>
                <w:rFonts w:ascii="Arial" w:hAnsi="Arial" w:cs="Arial"/>
                <w:b/>
                <w:color w:val="002C47"/>
                <w:sz w:val="36"/>
                <w:szCs w:val="36"/>
              </w:rPr>
              <w:t xml:space="preserve"> 2013</w:t>
            </w:r>
          </w:p>
        </w:tc>
      </w:tr>
    </w:tbl>
    <w:tbl>
      <w:tblPr>
        <w:tblpPr w:leftFromText="180" w:rightFromText="180" w:vertAnchor="page" w:tblpY="3316"/>
        <w:tblW w:w="9180" w:type="dxa"/>
        <w:tblLayout w:type="fixed"/>
        <w:tblLook w:val="04A0"/>
      </w:tblPr>
      <w:tblGrid>
        <w:gridCol w:w="9180"/>
      </w:tblGrid>
      <w:tr w:rsidR="0032583B" w:rsidRPr="00A964D1" w:rsidTr="00F553EB">
        <w:trPr>
          <w:trHeight w:val="868"/>
        </w:trPr>
        <w:tc>
          <w:tcPr>
            <w:tcW w:w="9180" w:type="dxa"/>
          </w:tcPr>
          <w:p w:rsidR="0032583B" w:rsidRPr="00A964D1" w:rsidRDefault="0032583B" w:rsidP="00777AA0">
            <w:pPr>
              <w:pStyle w:val="Title"/>
              <w:rPr>
                <w:color w:val="FFFFFF" w:themeColor="background1"/>
              </w:rPr>
            </w:pPr>
            <w:r w:rsidRPr="00A964D1">
              <w:rPr>
                <w:color w:val="FFFFFF" w:themeColor="background1"/>
              </w:rPr>
              <w:t xml:space="preserve">Australian Public Assessment Report for </w:t>
            </w:r>
            <w:r w:rsidR="00D63154">
              <w:rPr>
                <w:color w:val="FFFFFF" w:themeColor="background1"/>
              </w:rPr>
              <w:t>Amino acids, Lipids and Glucose</w:t>
            </w:r>
            <w:r w:rsidR="00777AA0">
              <w:rPr>
                <w:color w:val="FFFFFF" w:themeColor="background1"/>
              </w:rPr>
              <w:t>, with and without Electrolytes</w:t>
            </w:r>
          </w:p>
        </w:tc>
      </w:tr>
      <w:tr w:rsidR="0032583B" w:rsidRPr="00B64760" w:rsidTr="00F553EB">
        <w:tc>
          <w:tcPr>
            <w:tcW w:w="9180" w:type="dxa"/>
          </w:tcPr>
          <w:p w:rsidR="0032583B" w:rsidRPr="008E7846" w:rsidRDefault="0032583B" w:rsidP="006C7C17">
            <w:pPr>
              <w:pStyle w:val="Subtitle"/>
              <w:rPr>
                <w:color w:val="FFFFFF" w:themeColor="background1"/>
              </w:rPr>
            </w:pPr>
            <w:r w:rsidRPr="008E7846">
              <w:rPr>
                <w:color w:val="FFFFFF" w:themeColor="background1"/>
              </w:rPr>
              <w:t>Proprietary Product Name:</w:t>
            </w:r>
            <w:r w:rsidR="006C7C17">
              <w:rPr>
                <w:color w:val="FFFFFF" w:themeColor="background1"/>
              </w:rPr>
              <w:t xml:space="preserve"> Peri</w:t>
            </w:r>
            <w:r w:rsidR="006C7C17" w:rsidRPr="00D63154">
              <w:rPr>
                <w:color w:val="FFFFFF" w:themeColor="background1"/>
              </w:rPr>
              <w:t xml:space="preserve">Olimel </w:t>
            </w:r>
            <w:r w:rsidR="006C7C17">
              <w:rPr>
                <w:color w:val="FFFFFF" w:themeColor="background1"/>
              </w:rPr>
              <w:t>N4</w:t>
            </w:r>
            <w:r w:rsidR="006C7C17" w:rsidRPr="00D63154">
              <w:rPr>
                <w:color w:val="FFFFFF" w:themeColor="background1"/>
              </w:rPr>
              <w:t>-6</w:t>
            </w:r>
            <w:r w:rsidR="006C7C17">
              <w:rPr>
                <w:color w:val="FFFFFF" w:themeColor="background1"/>
              </w:rPr>
              <w:t>0</w:t>
            </w:r>
            <w:r w:rsidR="006C7C17" w:rsidRPr="00D63154">
              <w:rPr>
                <w:color w:val="FFFFFF" w:themeColor="background1"/>
              </w:rPr>
              <w:t>0E</w:t>
            </w:r>
            <w:r w:rsidR="006C7C17">
              <w:rPr>
                <w:color w:val="FFFFFF" w:themeColor="background1"/>
              </w:rPr>
              <w:t xml:space="preserve">, </w:t>
            </w:r>
            <w:r w:rsidR="00D63154" w:rsidRPr="00D63154">
              <w:rPr>
                <w:color w:val="FFFFFF" w:themeColor="background1"/>
              </w:rPr>
              <w:t xml:space="preserve">Olimel </w:t>
            </w:r>
            <w:r w:rsidR="00D63154">
              <w:rPr>
                <w:color w:val="FFFFFF" w:themeColor="background1"/>
              </w:rPr>
              <w:t>N5</w:t>
            </w:r>
            <w:r w:rsidR="00D63154" w:rsidRPr="00D63154">
              <w:rPr>
                <w:color w:val="FFFFFF" w:themeColor="background1"/>
              </w:rPr>
              <w:t>-8</w:t>
            </w:r>
            <w:r w:rsidR="00D63154">
              <w:rPr>
                <w:color w:val="FFFFFF" w:themeColor="background1"/>
              </w:rPr>
              <w:t>6</w:t>
            </w:r>
            <w:r w:rsidR="00D63154" w:rsidRPr="00D63154">
              <w:rPr>
                <w:color w:val="FFFFFF" w:themeColor="background1"/>
              </w:rPr>
              <w:t>0</w:t>
            </w:r>
            <w:r w:rsidR="00D63154">
              <w:rPr>
                <w:color w:val="FFFFFF" w:themeColor="background1"/>
              </w:rPr>
              <w:t>E,</w:t>
            </w:r>
            <w:r w:rsidR="006C7C17" w:rsidRPr="00D63154">
              <w:rPr>
                <w:color w:val="FFFFFF" w:themeColor="background1"/>
              </w:rPr>
              <w:t xml:space="preserve"> Olimel N7-960</w:t>
            </w:r>
            <w:r w:rsidR="006C7C17">
              <w:rPr>
                <w:color w:val="FFFFFF" w:themeColor="background1"/>
              </w:rPr>
              <w:t xml:space="preserve">, </w:t>
            </w:r>
            <w:r w:rsidR="00D63154" w:rsidRPr="00D63154">
              <w:rPr>
                <w:color w:val="FFFFFF" w:themeColor="background1"/>
              </w:rPr>
              <w:t xml:space="preserve">Olimel </w:t>
            </w:r>
            <w:r w:rsidR="00D63154">
              <w:rPr>
                <w:color w:val="FFFFFF" w:themeColor="background1"/>
              </w:rPr>
              <w:t>N7</w:t>
            </w:r>
            <w:r w:rsidR="00D63154" w:rsidRPr="00D63154">
              <w:rPr>
                <w:color w:val="FFFFFF" w:themeColor="background1"/>
              </w:rPr>
              <w:t>-</w:t>
            </w:r>
            <w:r w:rsidR="00D63154">
              <w:rPr>
                <w:color w:val="FFFFFF" w:themeColor="background1"/>
              </w:rPr>
              <w:t>96</w:t>
            </w:r>
            <w:r w:rsidR="00D63154" w:rsidRPr="00D63154">
              <w:rPr>
                <w:color w:val="FFFFFF" w:themeColor="background1"/>
              </w:rPr>
              <w:t>0</w:t>
            </w:r>
            <w:r w:rsidR="00D63154">
              <w:rPr>
                <w:color w:val="FFFFFF" w:themeColor="background1"/>
              </w:rPr>
              <w:t>E,</w:t>
            </w:r>
            <w:r w:rsidR="006C7C17">
              <w:rPr>
                <w:color w:val="FFFFFF" w:themeColor="background1"/>
              </w:rPr>
              <w:t xml:space="preserve"> </w:t>
            </w:r>
            <w:proofErr w:type="spellStart"/>
            <w:r w:rsidR="006C7C17">
              <w:rPr>
                <w:color w:val="FFFFFF" w:themeColor="background1"/>
              </w:rPr>
              <w:t>Olimel</w:t>
            </w:r>
            <w:proofErr w:type="spellEnd"/>
            <w:r w:rsidR="006C7C17">
              <w:rPr>
                <w:color w:val="FFFFFF" w:themeColor="background1"/>
              </w:rPr>
              <w:t xml:space="preserve"> N9-840,</w:t>
            </w:r>
            <w:r w:rsidR="006C7C17" w:rsidRPr="00D63154">
              <w:rPr>
                <w:rFonts w:ascii="Cambria" w:eastAsia="Cambria" w:hAnsi="Cambria"/>
                <w:bCs w:val="0"/>
                <w:iCs w:val="0"/>
                <w:color w:val="FFFFFF" w:themeColor="background1"/>
                <w:sz w:val="22"/>
                <w:szCs w:val="22"/>
              </w:rPr>
              <w:t xml:space="preserve"> </w:t>
            </w:r>
            <w:proofErr w:type="spellStart"/>
            <w:r w:rsidR="00D63154" w:rsidRPr="00D63154">
              <w:rPr>
                <w:color w:val="FFFFFF" w:themeColor="background1"/>
              </w:rPr>
              <w:t>Olimel</w:t>
            </w:r>
            <w:proofErr w:type="spellEnd"/>
            <w:r w:rsidR="00D63154" w:rsidRPr="00D63154">
              <w:rPr>
                <w:color w:val="FFFFFF" w:themeColor="background1"/>
              </w:rPr>
              <w:t xml:space="preserve"> </w:t>
            </w:r>
            <w:r w:rsidR="00D63154">
              <w:rPr>
                <w:color w:val="FFFFFF" w:themeColor="background1"/>
              </w:rPr>
              <w:t>N9</w:t>
            </w:r>
            <w:r w:rsidR="00D63154" w:rsidRPr="00D63154">
              <w:rPr>
                <w:color w:val="FFFFFF" w:themeColor="background1"/>
              </w:rPr>
              <w:t>-</w:t>
            </w:r>
            <w:r w:rsidR="00D63154">
              <w:rPr>
                <w:color w:val="FFFFFF" w:themeColor="background1"/>
              </w:rPr>
              <w:t>84</w:t>
            </w:r>
            <w:r w:rsidR="00D63154" w:rsidRPr="00D63154">
              <w:rPr>
                <w:color w:val="FFFFFF" w:themeColor="background1"/>
              </w:rPr>
              <w:t>0E</w:t>
            </w:r>
          </w:p>
        </w:tc>
      </w:tr>
      <w:tr w:rsidR="0032583B" w:rsidRPr="00B64760" w:rsidTr="00F553EB">
        <w:trPr>
          <w:trHeight w:val="486"/>
        </w:trPr>
        <w:tc>
          <w:tcPr>
            <w:tcW w:w="9180" w:type="dxa"/>
          </w:tcPr>
          <w:p w:rsidR="0032583B" w:rsidRPr="008E7846" w:rsidRDefault="0032583B" w:rsidP="00D63154">
            <w:pPr>
              <w:pStyle w:val="Subtitle"/>
              <w:rPr>
                <w:color w:val="FFFFFF" w:themeColor="background1"/>
              </w:rPr>
            </w:pPr>
            <w:r w:rsidRPr="008E7846">
              <w:rPr>
                <w:color w:val="FFFFFF" w:themeColor="background1"/>
              </w:rPr>
              <w:t xml:space="preserve">Sponsor: </w:t>
            </w:r>
            <w:r w:rsidR="00D63154">
              <w:rPr>
                <w:color w:val="FFFFFF" w:themeColor="background1"/>
              </w:rPr>
              <w:t>Baxter Healthcare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487936" w:rsidRPr="008B0825">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w:t>
      </w:r>
      <w:r w:rsidR="00487936">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C3313" w:rsidRDefault="00CE3FB7">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724480" w:history="1">
            <w:r w:rsidR="005C3313" w:rsidRPr="00283F95">
              <w:rPr>
                <w:rStyle w:val="Hyperlink"/>
                <w:noProof/>
              </w:rPr>
              <w:t>I. Introduction to product submission</w:t>
            </w:r>
            <w:r w:rsidR="005C3313">
              <w:rPr>
                <w:noProof/>
                <w:webHidden/>
              </w:rPr>
              <w:tab/>
            </w:r>
            <w:r w:rsidR="005C3313">
              <w:rPr>
                <w:noProof/>
                <w:webHidden/>
              </w:rPr>
              <w:fldChar w:fldCharType="begin"/>
            </w:r>
            <w:r w:rsidR="005C3313">
              <w:rPr>
                <w:noProof/>
                <w:webHidden/>
              </w:rPr>
              <w:instrText xml:space="preserve"> PAGEREF _Toc370724480 \h </w:instrText>
            </w:r>
            <w:r w:rsidR="005C3313">
              <w:rPr>
                <w:noProof/>
                <w:webHidden/>
              </w:rPr>
            </w:r>
            <w:r w:rsidR="005C3313">
              <w:rPr>
                <w:noProof/>
                <w:webHidden/>
              </w:rPr>
              <w:fldChar w:fldCharType="separate"/>
            </w:r>
            <w:r w:rsidR="005C3313">
              <w:rPr>
                <w:noProof/>
                <w:webHidden/>
              </w:rPr>
              <w:t>4</w:t>
            </w:r>
            <w:r w:rsidR="005C3313">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1" w:history="1">
            <w:r w:rsidRPr="00283F95">
              <w:rPr>
                <w:rStyle w:val="Hyperlink"/>
                <w:noProof/>
                <w:lang w:eastAsia="en-AU"/>
              </w:rPr>
              <w:t>Submission details</w:t>
            </w:r>
            <w:r>
              <w:rPr>
                <w:noProof/>
                <w:webHidden/>
              </w:rPr>
              <w:tab/>
            </w:r>
            <w:r>
              <w:rPr>
                <w:noProof/>
                <w:webHidden/>
              </w:rPr>
              <w:fldChar w:fldCharType="begin"/>
            </w:r>
            <w:r>
              <w:rPr>
                <w:noProof/>
                <w:webHidden/>
              </w:rPr>
              <w:instrText xml:space="preserve"> PAGEREF _Toc370724481 \h </w:instrText>
            </w:r>
            <w:r>
              <w:rPr>
                <w:noProof/>
                <w:webHidden/>
              </w:rPr>
            </w:r>
            <w:r>
              <w:rPr>
                <w:noProof/>
                <w:webHidden/>
              </w:rPr>
              <w:fldChar w:fldCharType="separate"/>
            </w:r>
            <w:r>
              <w:rPr>
                <w:noProof/>
                <w:webHidden/>
              </w:rPr>
              <w:t>4</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2" w:history="1">
            <w:r w:rsidRPr="00283F95">
              <w:rPr>
                <w:rStyle w:val="Hyperlink"/>
                <w:noProof/>
              </w:rPr>
              <w:t>Product background</w:t>
            </w:r>
            <w:r>
              <w:rPr>
                <w:noProof/>
                <w:webHidden/>
              </w:rPr>
              <w:tab/>
            </w:r>
            <w:r>
              <w:rPr>
                <w:noProof/>
                <w:webHidden/>
              </w:rPr>
              <w:fldChar w:fldCharType="begin"/>
            </w:r>
            <w:r>
              <w:rPr>
                <w:noProof/>
                <w:webHidden/>
              </w:rPr>
              <w:instrText xml:space="preserve"> PAGEREF _Toc370724482 \h </w:instrText>
            </w:r>
            <w:r>
              <w:rPr>
                <w:noProof/>
                <w:webHidden/>
              </w:rPr>
            </w:r>
            <w:r>
              <w:rPr>
                <w:noProof/>
                <w:webHidden/>
              </w:rPr>
              <w:fldChar w:fldCharType="separate"/>
            </w:r>
            <w:r>
              <w:rPr>
                <w:noProof/>
                <w:webHidden/>
              </w:rPr>
              <w:t>5</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3" w:history="1">
            <w:r w:rsidRPr="00283F95">
              <w:rPr>
                <w:rStyle w:val="Hyperlink"/>
                <w:noProof/>
              </w:rPr>
              <w:t>Regulatory status</w:t>
            </w:r>
            <w:r>
              <w:rPr>
                <w:noProof/>
                <w:webHidden/>
              </w:rPr>
              <w:tab/>
            </w:r>
            <w:r>
              <w:rPr>
                <w:noProof/>
                <w:webHidden/>
              </w:rPr>
              <w:fldChar w:fldCharType="begin"/>
            </w:r>
            <w:r>
              <w:rPr>
                <w:noProof/>
                <w:webHidden/>
              </w:rPr>
              <w:instrText xml:space="preserve"> PAGEREF _Toc370724483 \h </w:instrText>
            </w:r>
            <w:r>
              <w:rPr>
                <w:noProof/>
                <w:webHidden/>
              </w:rPr>
            </w:r>
            <w:r>
              <w:rPr>
                <w:noProof/>
                <w:webHidden/>
              </w:rPr>
              <w:fldChar w:fldCharType="separate"/>
            </w:r>
            <w:r>
              <w:rPr>
                <w:noProof/>
                <w:webHidden/>
              </w:rPr>
              <w:t>5</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4" w:history="1">
            <w:r w:rsidRPr="00283F95">
              <w:rPr>
                <w:rStyle w:val="Hyperlink"/>
                <w:noProof/>
              </w:rPr>
              <w:t>Product Information</w:t>
            </w:r>
            <w:r>
              <w:rPr>
                <w:noProof/>
                <w:webHidden/>
              </w:rPr>
              <w:tab/>
            </w:r>
            <w:r>
              <w:rPr>
                <w:noProof/>
                <w:webHidden/>
              </w:rPr>
              <w:fldChar w:fldCharType="begin"/>
            </w:r>
            <w:r>
              <w:rPr>
                <w:noProof/>
                <w:webHidden/>
              </w:rPr>
              <w:instrText xml:space="preserve"> PAGEREF _Toc370724484 \h </w:instrText>
            </w:r>
            <w:r>
              <w:rPr>
                <w:noProof/>
                <w:webHidden/>
              </w:rPr>
            </w:r>
            <w:r>
              <w:rPr>
                <w:noProof/>
                <w:webHidden/>
              </w:rPr>
              <w:fldChar w:fldCharType="separate"/>
            </w:r>
            <w:r>
              <w:rPr>
                <w:noProof/>
                <w:webHidden/>
              </w:rPr>
              <w:t>6</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485" w:history="1">
            <w:r w:rsidRPr="00283F95">
              <w:rPr>
                <w:rStyle w:val="Hyperlink"/>
                <w:noProof/>
              </w:rPr>
              <w:t>II. Quality findings</w:t>
            </w:r>
            <w:r>
              <w:rPr>
                <w:noProof/>
                <w:webHidden/>
              </w:rPr>
              <w:tab/>
            </w:r>
            <w:r>
              <w:rPr>
                <w:noProof/>
                <w:webHidden/>
              </w:rPr>
              <w:fldChar w:fldCharType="begin"/>
            </w:r>
            <w:r>
              <w:rPr>
                <w:noProof/>
                <w:webHidden/>
              </w:rPr>
              <w:instrText xml:space="preserve"> PAGEREF _Toc370724485 \h </w:instrText>
            </w:r>
            <w:r>
              <w:rPr>
                <w:noProof/>
                <w:webHidden/>
              </w:rPr>
            </w:r>
            <w:r>
              <w:rPr>
                <w:noProof/>
                <w:webHidden/>
              </w:rPr>
              <w:fldChar w:fldCharType="separate"/>
            </w:r>
            <w:r>
              <w:rPr>
                <w:noProof/>
                <w:webHidden/>
              </w:rPr>
              <w:t>6</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6" w:history="1">
            <w:r w:rsidRPr="00283F95">
              <w:rPr>
                <w:rStyle w:val="Hyperlink"/>
                <w:noProof/>
              </w:rPr>
              <w:t>Advisory committee considerations</w:t>
            </w:r>
            <w:r>
              <w:rPr>
                <w:noProof/>
                <w:webHidden/>
              </w:rPr>
              <w:tab/>
            </w:r>
            <w:r>
              <w:rPr>
                <w:noProof/>
                <w:webHidden/>
              </w:rPr>
              <w:fldChar w:fldCharType="begin"/>
            </w:r>
            <w:r>
              <w:rPr>
                <w:noProof/>
                <w:webHidden/>
              </w:rPr>
              <w:instrText xml:space="preserve"> PAGEREF _Toc370724486 \h </w:instrText>
            </w:r>
            <w:r>
              <w:rPr>
                <w:noProof/>
                <w:webHidden/>
              </w:rPr>
            </w:r>
            <w:r>
              <w:rPr>
                <w:noProof/>
                <w:webHidden/>
              </w:rPr>
              <w:fldChar w:fldCharType="separate"/>
            </w:r>
            <w:r>
              <w:rPr>
                <w:noProof/>
                <w:webHidden/>
              </w:rPr>
              <w:t>7</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7" w:history="1">
            <w:r w:rsidRPr="00283F95">
              <w:rPr>
                <w:rStyle w:val="Hyperlink"/>
                <w:noProof/>
              </w:rPr>
              <w:t>Quality summary and conclusions</w:t>
            </w:r>
            <w:r>
              <w:rPr>
                <w:noProof/>
                <w:webHidden/>
              </w:rPr>
              <w:tab/>
            </w:r>
            <w:r>
              <w:rPr>
                <w:noProof/>
                <w:webHidden/>
              </w:rPr>
              <w:fldChar w:fldCharType="begin"/>
            </w:r>
            <w:r>
              <w:rPr>
                <w:noProof/>
                <w:webHidden/>
              </w:rPr>
              <w:instrText xml:space="preserve"> PAGEREF _Toc370724487 \h </w:instrText>
            </w:r>
            <w:r>
              <w:rPr>
                <w:noProof/>
                <w:webHidden/>
              </w:rPr>
            </w:r>
            <w:r>
              <w:rPr>
                <w:noProof/>
                <w:webHidden/>
              </w:rPr>
              <w:fldChar w:fldCharType="separate"/>
            </w:r>
            <w:r>
              <w:rPr>
                <w:noProof/>
                <w:webHidden/>
              </w:rPr>
              <w:t>7</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488" w:history="1">
            <w:r w:rsidRPr="00283F95">
              <w:rPr>
                <w:rStyle w:val="Hyperlink"/>
                <w:noProof/>
              </w:rPr>
              <w:t>III. Nonclinical findings</w:t>
            </w:r>
            <w:r>
              <w:rPr>
                <w:noProof/>
                <w:webHidden/>
              </w:rPr>
              <w:tab/>
            </w:r>
            <w:r>
              <w:rPr>
                <w:noProof/>
                <w:webHidden/>
              </w:rPr>
              <w:fldChar w:fldCharType="begin"/>
            </w:r>
            <w:r>
              <w:rPr>
                <w:noProof/>
                <w:webHidden/>
              </w:rPr>
              <w:instrText xml:space="preserve"> PAGEREF _Toc370724488 \h </w:instrText>
            </w:r>
            <w:r>
              <w:rPr>
                <w:noProof/>
                <w:webHidden/>
              </w:rPr>
            </w:r>
            <w:r>
              <w:rPr>
                <w:noProof/>
                <w:webHidden/>
              </w:rPr>
              <w:fldChar w:fldCharType="separate"/>
            </w:r>
            <w:r>
              <w:rPr>
                <w:noProof/>
                <w:webHidden/>
              </w:rPr>
              <w:t>7</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89" w:history="1">
            <w:r w:rsidRPr="00283F95">
              <w:rPr>
                <w:rStyle w:val="Hyperlink"/>
                <w:noProof/>
              </w:rPr>
              <w:t>Introduction</w:t>
            </w:r>
            <w:r>
              <w:rPr>
                <w:noProof/>
                <w:webHidden/>
              </w:rPr>
              <w:tab/>
            </w:r>
            <w:r>
              <w:rPr>
                <w:noProof/>
                <w:webHidden/>
              </w:rPr>
              <w:fldChar w:fldCharType="begin"/>
            </w:r>
            <w:r>
              <w:rPr>
                <w:noProof/>
                <w:webHidden/>
              </w:rPr>
              <w:instrText xml:space="preserve"> PAGEREF _Toc370724489 \h </w:instrText>
            </w:r>
            <w:r>
              <w:rPr>
                <w:noProof/>
                <w:webHidden/>
              </w:rPr>
            </w:r>
            <w:r>
              <w:rPr>
                <w:noProof/>
                <w:webHidden/>
              </w:rPr>
              <w:fldChar w:fldCharType="separate"/>
            </w:r>
            <w:r>
              <w:rPr>
                <w:noProof/>
                <w:webHidden/>
              </w:rPr>
              <w:t>7</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0" w:history="1">
            <w:r w:rsidRPr="00283F95">
              <w:rPr>
                <w:rStyle w:val="Hyperlink"/>
                <w:noProof/>
              </w:rPr>
              <w:t>Nonclinical summary and conclusions</w:t>
            </w:r>
            <w:r>
              <w:rPr>
                <w:noProof/>
                <w:webHidden/>
              </w:rPr>
              <w:tab/>
            </w:r>
            <w:r>
              <w:rPr>
                <w:noProof/>
                <w:webHidden/>
              </w:rPr>
              <w:fldChar w:fldCharType="begin"/>
            </w:r>
            <w:r>
              <w:rPr>
                <w:noProof/>
                <w:webHidden/>
              </w:rPr>
              <w:instrText xml:space="preserve"> PAGEREF _Toc370724490 \h </w:instrText>
            </w:r>
            <w:r>
              <w:rPr>
                <w:noProof/>
                <w:webHidden/>
              </w:rPr>
            </w:r>
            <w:r>
              <w:rPr>
                <w:noProof/>
                <w:webHidden/>
              </w:rPr>
              <w:fldChar w:fldCharType="separate"/>
            </w:r>
            <w:r>
              <w:rPr>
                <w:noProof/>
                <w:webHidden/>
              </w:rPr>
              <w:t>9</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491" w:history="1">
            <w:r w:rsidRPr="00283F95">
              <w:rPr>
                <w:rStyle w:val="Hyperlink"/>
                <w:noProof/>
              </w:rPr>
              <w:t>IV. Clinical findings</w:t>
            </w:r>
            <w:r>
              <w:rPr>
                <w:noProof/>
                <w:webHidden/>
              </w:rPr>
              <w:tab/>
            </w:r>
            <w:r>
              <w:rPr>
                <w:noProof/>
                <w:webHidden/>
              </w:rPr>
              <w:fldChar w:fldCharType="begin"/>
            </w:r>
            <w:r>
              <w:rPr>
                <w:noProof/>
                <w:webHidden/>
              </w:rPr>
              <w:instrText xml:space="preserve"> PAGEREF _Toc370724491 \h </w:instrText>
            </w:r>
            <w:r>
              <w:rPr>
                <w:noProof/>
                <w:webHidden/>
              </w:rPr>
            </w:r>
            <w:r>
              <w:rPr>
                <w:noProof/>
                <w:webHidden/>
              </w:rPr>
              <w:fldChar w:fldCharType="separate"/>
            </w:r>
            <w:r>
              <w:rPr>
                <w:noProof/>
                <w:webHidden/>
              </w:rPr>
              <w:t>9</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2" w:history="1">
            <w:r w:rsidRPr="00283F95">
              <w:rPr>
                <w:rStyle w:val="Hyperlink"/>
                <w:noProof/>
              </w:rPr>
              <w:t>Introduction and clinical rationale</w:t>
            </w:r>
            <w:r>
              <w:rPr>
                <w:noProof/>
                <w:webHidden/>
              </w:rPr>
              <w:tab/>
            </w:r>
            <w:r>
              <w:rPr>
                <w:noProof/>
                <w:webHidden/>
              </w:rPr>
              <w:fldChar w:fldCharType="begin"/>
            </w:r>
            <w:r>
              <w:rPr>
                <w:noProof/>
                <w:webHidden/>
              </w:rPr>
              <w:instrText xml:space="preserve"> PAGEREF _Toc370724492 \h </w:instrText>
            </w:r>
            <w:r>
              <w:rPr>
                <w:noProof/>
                <w:webHidden/>
              </w:rPr>
            </w:r>
            <w:r>
              <w:rPr>
                <w:noProof/>
                <w:webHidden/>
              </w:rPr>
              <w:fldChar w:fldCharType="separate"/>
            </w:r>
            <w:r>
              <w:rPr>
                <w:noProof/>
                <w:webHidden/>
              </w:rPr>
              <w:t>9</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3" w:history="1">
            <w:r w:rsidRPr="00283F95">
              <w:rPr>
                <w:rStyle w:val="Hyperlink"/>
                <w:noProof/>
              </w:rPr>
              <w:t>Contents of the clinical dossier</w:t>
            </w:r>
            <w:r>
              <w:rPr>
                <w:noProof/>
                <w:webHidden/>
              </w:rPr>
              <w:tab/>
            </w:r>
            <w:r>
              <w:rPr>
                <w:noProof/>
                <w:webHidden/>
              </w:rPr>
              <w:fldChar w:fldCharType="begin"/>
            </w:r>
            <w:r>
              <w:rPr>
                <w:noProof/>
                <w:webHidden/>
              </w:rPr>
              <w:instrText xml:space="preserve"> PAGEREF _Toc370724493 \h </w:instrText>
            </w:r>
            <w:r>
              <w:rPr>
                <w:noProof/>
                <w:webHidden/>
              </w:rPr>
            </w:r>
            <w:r>
              <w:rPr>
                <w:noProof/>
                <w:webHidden/>
              </w:rPr>
              <w:fldChar w:fldCharType="separate"/>
            </w:r>
            <w:r>
              <w:rPr>
                <w:noProof/>
                <w:webHidden/>
              </w:rPr>
              <w:t>10</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4" w:history="1">
            <w:r w:rsidRPr="00283F95">
              <w:rPr>
                <w:rStyle w:val="Hyperlink"/>
                <w:noProof/>
              </w:rPr>
              <w:t>Pharmacokinetics</w:t>
            </w:r>
            <w:r>
              <w:rPr>
                <w:noProof/>
                <w:webHidden/>
              </w:rPr>
              <w:tab/>
            </w:r>
            <w:r>
              <w:rPr>
                <w:noProof/>
                <w:webHidden/>
              </w:rPr>
              <w:fldChar w:fldCharType="begin"/>
            </w:r>
            <w:r>
              <w:rPr>
                <w:noProof/>
                <w:webHidden/>
              </w:rPr>
              <w:instrText xml:space="preserve"> PAGEREF _Toc370724494 \h </w:instrText>
            </w:r>
            <w:r>
              <w:rPr>
                <w:noProof/>
                <w:webHidden/>
              </w:rPr>
            </w:r>
            <w:r>
              <w:rPr>
                <w:noProof/>
                <w:webHidden/>
              </w:rPr>
              <w:fldChar w:fldCharType="separate"/>
            </w:r>
            <w:r>
              <w:rPr>
                <w:noProof/>
                <w:webHidden/>
              </w:rPr>
              <w:t>11</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5" w:history="1">
            <w:r w:rsidRPr="00283F95">
              <w:rPr>
                <w:rStyle w:val="Hyperlink"/>
                <w:noProof/>
              </w:rPr>
              <w:t>Pharmacodynamics</w:t>
            </w:r>
            <w:r>
              <w:rPr>
                <w:noProof/>
                <w:webHidden/>
              </w:rPr>
              <w:tab/>
            </w:r>
            <w:r>
              <w:rPr>
                <w:noProof/>
                <w:webHidden/>
              </w:rPr>
              <w:fldChar w:fldCharType="begin"/>
            </w:r>
            <w:r>
              <w:rPr>
                <w:noProof/>
                <w:webHidden/>
              </w:rPr>
              <w:instrText xml:space="preserve"> PAGEREF _Toc370724495 \h </w:instrText>
            </w:r>
            <w:r>
              <w:rPr>
                <w:noProof/>
                <w:webHidden/>
              </w:rPr>
            </w:r>
            <w:r>
              <w:rPr>
                <w:noProof/>
                <w:webHidden/>
              </w:rPr>
              <w:fldChar w:fldCharType="separate"/>
            </w:r>
            <w:r>
              <w:rPr>
                <w:noProof/>
                <w:webHidden/>
              </w:rPr>
              <w:t>11</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6" w:history="1">
            <w:r w:rsidRPr="00283F95">
              <w:rPr>
                <w:rStyle w:val="Hyperlink"/>
                <w:noProof/>
              </w:rPr>
              <w:t>Efficacy</w:t>
            </w:r>
            <w:r>
              <w:rPr>
                <w:noProof/>
                <w:webHidden/>
              </w:rPr>
              <w:tab/>
            </w:r>
            <w:r>
              <w:rPr>
                <w:noProof/>
                <w:webHidden/>
              </w:rPr>
              <w:fldChar w:fldCharType="begin"/>
            </w:r>
            <w:r>
              <w:rPr>
                <w:noProof/>
                <w:webHidden/>
              </w:rPr>
              <w:instrText xml:space="preserve"> PAGEREF _Toc370724496 \h </w:instrText>
            </w:r>
            <w:r>
              <w:rPr>
                <w:noProof/>
                <w:webHidden/>
              </w:rPr>
            </w:r>
            <w:r>
              <w:rPr>
                <w:noProof/>
                <w:webHidden/>
              </w:rPr>
              <w:fldChar w:fldCharType="separate"/>
            </w:r>
            <w:r>
              <w:rPr>
                <w:noProof/>
                <w:webHidden/>
              </w:rPr>
              <w:t>11</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7" w:history="1">
            <w:r w:rsidRPr="00283F95">
              <w:rPr>
                <w:rStyle w:val="Hyperlink"/>
                <w:noProof/>
              </w:rPr>
              <w:t>Safety</w:t>
            </w:r>
            <w:r>
              <w:rPr>
                <w:noProof/>
                <w:webHidden/>
              </w:rPr>
              <w:tab/>
            </w:r>
            <w:r>
              <w:rPr>
                <w:noProof/>
                <w:webHidden/>
              </w:rPr>
              <w:fldChar w:fldCharType="begin"/>
            </w:r>
            <w:r>
              <w:rPr>
                <w:noProof/>
                <w:webHidden/>
              </w:rPr>
              <w:instrText xml:space="preserve"> PAGEREF _Toc370724497 \h </w:instrText>
            </w:r>
            <w:r>
              <w:rPr>
                <w:noProof/>
                <w:webHidden/>
              </w:rPr>
            </w:r>
            <w:r>
              <w:rPr>
                <w:noProof/>
                <w:webHidden/>
              </w:rPr>
              <w:fldChar w:fldCharType="separate"/>
            </w:r>
            <w:r>
              <w:rPr>
                <w:noProof/>
                <w:webHidden/>
              </w:rPr>
              <w:t>12</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8" w:history="1">
            <w:r w:rsidRPr="00283F95">
              <w:rPr>
                <w:rStyle w:val="Hyperlink"/>
                <w:noProof/>
              </w:rPr>
              <w:t>List of questions</w:t>
            </w:r>
            <w:r>
              <w:rPr>
                <w:noProof/>
                <w:webHidden/>
              </w:rPr>
              <w:tab/>
            </w:r>
            <w:r>
              <w:rPr>
                <w:noProof/>
                <w:webHidden/>
              </w:rPr>
              <w:fldChar w:fldCharType="begin"/>
            </w:r>
            <w:r>
              <w:rPr>
                <w:noProof/>
                <w:webHidden/>
              </w:rPr>
              <w:instrText xml:space="preserve"> PAGEREF _Toc370724498 \h </w:instrText>
            </w:r>
            <w:r>
              <w:rPr>
                <w:noProof/>
                <w:webHidden/>
              </w:rPr>
            </w:r>
            <w:r>
              <w:rPr>
                <w:noProof/>
                <w:webHidden/>
              </w:rPr>
              <w:fldChar w:fldCharType="separate"/>
            </w:r>
            <w:r>
              <w:rPr>
                <w:noProof/>
                <w:webHidden/>
              </w:rPr>
              <w:t>13</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499" w:history="1">
            <w:r w:rsidRPr="00283F95">
              <w:rPr>
                <w:rStyle w:val="Hyperlink"/>
                <w:noProof/>
              </w:rPr>
              <w:t>Benefit-risk assessment</w:t>
            </w:r>
            <w:r>
              <w:rPr>
                <w:noProof/>
                <w:webHidden/>
              </w:rPr>
              <w:tab/>
            </w:r>
            <w:r>
              <w:rPr>
                <w:noProof/>
                <w:webHidden/>
              </w:rPr>
              <w:fldChar w:fldCharType="begin"/>
            </w:r>
            <w:r>
              <w:rPr>
                <w:noProof/>
                <w:webHidden/>
              </w:rPr>
              <w:instrText xml:space="preserve"> PAGEREF _Toc370724499 \h </w:instrText>
            </w:r>
            <w:r>
              <w:rPr>
                <w:noProof/>
                <w:webHidden/>
              </w:rPr>
            </w:r>
            <w:r>
              <w:rPr>
                <w:noProof/>
                <w:webHidden/>
              </w:rPr>
              <w:fldChar w:fldCharType="separate"/>
            </w:r>
            <w:r>
              <w:rPr>
                <w:noProof/>
                <w:webHidden/>
              </w:rPr>
              <w:t>14</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0" w:history="1">
            <w:r w:rsidRPr="00283F95">
              <w:rPr>
                <w:rStyle w:val="Hyperlink"/>
                <w:noProof/>
              </w:rPr>
              <w:t>Recommendation regarding authorisation</w:t>
            </w:r>
            <w:r>
              <w:rPr>
                <w:noProof/>
                <w:webHidden/>
              </w:rPr>
              <w:tab/>
            </w:r>
            <w:r>
              <w:rPr>
                <w:noProof/>
                <w:webHidden/>
              </w:rPr>
              <w:fldChar w:fldCharType="begin"/>
            </w:r>
            <w:r>
              <w:rPr>
                <w:noProof/>
                <w:webHidden/>
              </w:rPr>
              <w:instrText xml:space="preserve"> PAGEREF _Toc370724500 \h </w:instrText>
            </w:r>
            <w:r>
              <w:rPr>
                <w:noProof/>
                <w:webHidden/>
              </w:rPr>
            </w:r>
            <w:r>
              <w:rPr>
                <w:noProof/>
                <w:webHidden/>
              </w:rPr>
              <w:fldChar w:fldCharType="separate"/>
            </w:r>
            <w:r>
              <w:rPr>
                <w:noProof/>
                <w:webHidden/>
              </w:rPr>
              <w:t>15</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501" w:history="1">
            <w:r w:rsidRPr="00283F95">
              <w:rPr>
                <w:rStyle w:val="Hyperlink"/>
                <w:noProof/>
              </w:rPr>
              <w:t>V. Pharmacovigilance findings</w:t>
            </w:r>
            <w:r>
              <w:rPr>
                <w:noProof/>
                <w:webHidden/>
              </w:rPr>
              <w:tab/>
            </w:r>
            <w:r>
              <w:rPr>
                <w:noProof/>
                <w:webHidden/>
              </w:rPr>
              <w:fldChar w:fldCharType="begin"/>
            </w:r>
            <w:r>
              <w:rPr>
                <w:noProof/>
                <w:webHidden/>
              </w:rPr>
              <w:instrText xml:space="preserve"> PAGEREF _Toc370724501 \h </w:instrText>
            </w:r>
            <w:r>
              <w:rPr>
                <w:noProof/>
                <w:webHidden/>
              </w:rPr>
            </w:r>
            <w:r>
              <w:rPr>
                <w:noProof/>
                <w:webHidden/>
              </w:rPr>
              <w:fldChar w:fldCharType="separate"/>
            </w:r>
            <w:r>
              <w:rPr>
                <w:noProof/>
                <w:webHidden/>
              </w:rPr>
              <w:t>15</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502" w:history="1">
            <w:r w:rsidRPr="00283F95">
              <w:rPr>
                <w:rStyle w:val="Hyperlink"/>
                <w:noProof/>
              </w:rPr>
              <w:t>VI. Overall conclusion and risk/benefit assessment</w:t>
            </w:r>
            <w:r>
              <w:rPr>
                <w:noProof/>
                <w:webHidden/>
              </w:rPr>
              <w:tab/>
            </w:r>
            <w:r>
              <w:rPr>
                <w:noProof/>
                <w:webHidden/>
              </w:rPr>
              <w:fldChar w:fldCharType="begin"/>
            </w:r>
            <w:r>
              <w:rPr>
                <w:noProof/>
                <w:webHidden/>
              </w:rPr>
              <w:instrText xml:space="preserve"> PAGEREF _Toc370724502 \h </w:instrText>
            </w:r>
            <w:r>
              <w:rPr>
                <w:noProof/>
                <w:webHidden/>
              </w:rPr>
            </w:r>
            <w:r>
              <w:rPr>
                <w:noProof/>
                <w:webHidden/>
              </w:rPr>
              <w:fldChar w:fldCharType="separate"/>
            </w:r>
            <w:r>
              <w:rPr>
                <w:noProof/>
                <w:webHidden/>
              </w:rPr>
              <w:t>15</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3" w:history="1">
            <w:r w:rsidRPr="00283F95">
              <w:rPr>
                <w:rStyle w:val="Hyperlink"/>
                <w:noProof/>
              </w:rPr>
              <w:t>Introduction</w:t>
            </w:r>
            <w:r>
              <w:rPr>
                <w:noProof/>
                <w:webHidden/>
              </w:rPr>
              <w:tab/>
            </w:r>
            <w:r>
              <w:rPr>
                <w:noProof/>
                <w:webHidden/>
              </w:rPr>
              <w:fldChar w:fldCharType="begin"/>
            </w:r>
            <w:r>
              <w:rPr>
                <w:noProof/>
                <w:webHidden/>
              </w:rPr>
              <w:instrText xml:space="preserve"> PAGEREF _Toc370724503 \h </w:instrText>
            </w:r>
            <w:r>
              <w:rPr>
                <w:noProof/>
                <w:webHidden/>
              </w:rPr>
            </w:r>
            <w:r>
              <w:rPr>
                <w:noProof/>
                <w:webHidden/>
              </w:rPr>
              <w:fldChar w:fldCharType="separate"/>
            </w:r>
            <w:r>
              <w:rPr>
                <w:noProof/>
                <w:webHidden/>
              </w:rPr>
              <w:t>15</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4" w:history="1">
            <w:r w:rsidRPr="00283F95">
              <w:rPr>
                <w:rStyle w:val="Hyperlink"/>
                <w:noProof/>
              </w:rPr>
              <w:t>Quality</w:t>
            </w:r>
            <w:r>
              <w:rPr>
                <w:noProof/>
                <w:webHidden/>
              </w:rPr>
              <w:tab/>
            </w:r>
            <w:r>
              <w:rPr>
                <w:noProof/>
                <w:webHidden/>
              </w:rPr>
              <w:fldChar w:fldCharType="begin"/>
            </w:r>
            <w:r>
              <w:rPr>
                <w:noProof/>
                <w:webHidden/>
              </w:rPr>
              <w:instrText xml:space="preserve"> PAGEREF _Toc370724504 \h </w:instrText>
            </w:r>
            <w:r>
              <w:rPr>
                <w:noProof/>
                <w:webHidden/>
              </w:rPr>
            </w:r>
            <w:r>
              <w:rPr>
                <w:noProof/>
                <w:webHidden/>
              </w:rPr>
              <w:fldChar w:fldCharType="separate"/>
            </w:r>
            <w:r>
              <w:rPr>
                <w:noProof/>
                <w:webHidden/>
              </w:rPr>
              <w:t>16</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5" w:history="1">
            <w:r w:rsidRPr="00283F95">
              <w:rPr>
                <w:rStyle w:val="Hyperlink"/>
                <w:noProof/>
              </w:rPr>
              <w:t>Nonclinical</w:t>
            </w:r>
            <w:r>
              <w:rPr>
                <w:noProof/>
                <w:webHidden/>
              </w:rPr>
              <w:tab/>
            </w:r>
            <w:r>
              <w:rPr>
                <w:noProof/>
                <w:webHidden/>
              </w:rPr>
              <w:fldChar w:fldCharType="begin"/>
            </w:r>
            <w:r>
              <w:rPr>
                <w:noProof/>
                <w:webHidden/>
              </w:rPr>
              <w:instrText xml:space="preserve"> PAGEREF _Toc370724505 \h </w:instrText>
            </w:r>
            <w:r>
              <w:rPr>
                <w:noProof/>
                <w:webHidden/>
              </w:rPr>
            </w:r>
            <w:r>
              <w:rPr>
                <w:noProof/>
                <w:webHidden/>
              </w:rPr>
              <w:fldChar w:fldCharType="separate"/>
            </w:r>
            <w:r>
              <w:rPr>
                <w:noProof/>
                <w:webHidden/>
              </w:rPr>
              <w:t>17</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6" w:history="1">
            <w:r w:rsidRPr="00283F95">
              <w:rPr>
                <w:rStyle w:val="Hyperlink"/>
                <w:noProof/>
              </w:rPr>
              <w:t>Clinical</w:t>
            </w:r>
            <w:r>
              <w:rPr>
                <w:noProof/>
                <w:webHidden/>
              </w:rPr>
              <w:tab/>
            </w:r>
            <w:r>
              <w:rPr>
                <w:noProof/>
                <w:webHidden/>
              </w:rPr>
              <w:fldChar w:fldCharType="begin"/>
            </w:r>
            <w:r>
              <w:rPr>
                <w:noProof/>
                <w:webHidden/>
              </w:rPr>
              <w:instrText xml:space="preserve"> PAGEREF _Toc370724506 \h </w:instrText>
            </w:r>
            <w:r>
              <w:rPr>
                <w:noProof/>
                <w:webHidden/>
              </w:rPr>
            </w:r>
            <w:r>
              <w:rPr>
                <w:noProof/>
                <w:webHidden/>
              </w:rPr>
              <w:fldChar w:fldCharType="separate"/>
            </w:r>
            <w:r>
              <w:rPr>
                <w:noProof/>
                <w:webHidden/>
              </w:rPr>
              <w:t>17</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7" w:history="1">
            <w:r w:rsidRPr="00283F95">
              <w:rPr>
                <w:rStyle w:val="Hyperlink"/>
                <w:noProof/>
                <w:lang w:eastAsia="en-AU"/>
              </w:rPr>
              <w:t>Risk management plan</w:t>
            </w:r>
            <w:r>
              <w:rPr>
                <w:noProof/>
                <w:webHidden/>
              </w:rPr>
              <w:tab/>
            </w:r>
            <w:r>
              <w:rPr>
                <w:noProof/>
                <w:webHidden/>
              </w:rPr>
              <w:fldChar w:fldCharType="begin"/>
            </w:r>
            <w:r>
              <w:rPr>
                <w:noProof/>
                <w:webHidden/>
              </w:rPr>
              <w:instrText xml:space="preserve"> PAGEREF _Toc370724507 \h </w:instrText>
            </w:r>
            <w:r>
              <w:rPr>
                <w:noProof/>
                <w:webHidden/>
              </w:rPr>
            </w:r>
            <w:r>
              <w:rPr>
                <w:noProof/>
                <w:webHidden/>
              </w:rPr>
              <w:fldChar w:fldCharType="separate"/>
            </w:r>
            <w:r>
              <w:rPr>
                <w:noProof/>
                <w:webHidden/>
              </w:rPr>
              <w:t>19</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8" w:history="1">
            <w:r w:rsidRPr="00283F95">
              <w:rPr>
                <w:rStyle w:val="Hyperlink"/>
                <w:noProof/>
              </w:rPr>
              <w:t>Risk-benefit analysis</w:t>
            </w:r>
            <w:r>
              <w:rPr>
                <w:noProof/>
                <w:webHidden/>
              </w:rPr>
              <w:tab/>
            </w:r>
            <w:r>
              <w:rPr>
                <w:noProof/>
                <w:webHidden/>
              </w:rPr>
              <w:fldChar w:fldCharType="begin"/>
            </w:r>
            <w:r>
              <w:rPr>
                <w:noProof/>
                <w:webHidden/>
              </w:rPr>
              <w:instrText xml:space="preserve"> PAGEREF _Toc370724508 \h </w:instrText>
            </w:r>
            <w:r>
              <w:rPr>
                <w:noProof/>
                <w:webHidden/>
              </w:rPr>
            </w:r>
            <w:r>
              <w:rPr>
                <w:noProof/>
                <w:webHidden/>
              </w:rPr>
              <w:fldChar w:fldCharType="separate"/>
            </w:r>
            <w:r>
              <w:rPr>
                <w:noProof/>
                <w:webHidden/>
              </w:rPr>
              <w:t>19</w:t>
            </w:r>
            <w:r>
              <w:rPr>
                <w:noProof/>
                <w:webHidden/>
              </w:rPr>
              <w:fldChar w:fldCharType="end"/>
            </w:r>
          </w:hyperlink>
        </w:p>
        <w:p w:rsidR="005C3313" w:rsidRDefault="005C3313">
          <w:pPr>
            <w:pStyle w:val="TOC3"/>
            <w:rPr>
              <w:rFonts w:asciiTheme="minorHAnsi" w:eastAsiaTheme="minorEastAsia" w:hAnsiTheme="minorHAnsi" w:cstheme="minorBidi"/>
              <w:noProof/>
              <w:lang w:eastAsia="en-AU"/>
            </w:rPr>
          </w:pPr>
          <w:hyperlink w:anchor="_Toc370724509" w:history="1">
            <w:r w:rsidRPr="00283F95">
              <w:rPr>
                <w:rStyle w:val="Hyperlink"/>
                <w:noProof/>
              </w:rPr>
              <w:t>Outcome</w:t>
            </w:r>
            <w:r>
              <w:rPr>
                <w:noProof/>
                <w:webHidden/>
              </w:rPr>
              <w:tab/>
            </w:r>
            <w:r>
              <w:rPr>
                <w:noProof/>
                <w:webHidden/>
              </w:rPr>
              <w:fldChar w:fldCharType="begin"/>
            </w:r>
            <w:r>
              <w:rPr>
                <w:noProof/>
                <w:webHidden/>
              </w:rPr>
              <w:instrText xml:space="preserve"> PAGEREF _Toc370724509 \h </w:instrText>
            </w:r>
            <w:r>
              <w:rPr>
                <w:noProof/>
                <w:webHidden/>
              </w:rPr>
            </w:r>
            <w:r>
              <w:rPr>
                <w:noProof/>
                <w:webHidden/>
              </w:rPr>
              <w:fldChar w:fldCharType="separate"/>
            </w:r>
            <w:r>
              <w:rPr>
                <w:noProof/>
                <w:webHidden/>
              </w:rPr>
              <w:t>23</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510" w:history="1">
            <w:r w:rsidRPr="00283F95">
              <w:rPr>
                <w:rStyle w:val="Hyperlink"/>
                <w:noProof/>
              </w:rPr>
              <w:t>Attachment 1. Product Information</w:t>
            </w:r>
            <w:r>
              <w:rPr>
                <w:noProof/>
                <w:webHidden/>
              </w:rPr>
              <w:tab/>
            </w:r>
            <w:r>
              <w:rPr>
                <w:noProof/>
                <w:webHidden/>
              </w:rPr>
              <w:fldChar w:fldCharType="begin"/>
            </w:r>
            <w:r>
              <w:rPr>
                <w:noProof/>
                <w:webHidden/>
              </w:rPr>
              <w:instrText xml:space="preserve"> PAGEREF _Toc370724510 \h </w:instrText>
            </w:r>
            <w:r>
              <w:rPr>
                <w:noProof/>
                <w:webHidden/>
              </w:rPr>
            </w:r>
            <w:r>
              <w:rPr>
                <w:noProof/>
                <w:webHidden/>
              </w:rPr>
              <w:fldChar w:fldCharType="separate"/>
            </w:r>
            <w:r>
              <w:rPr>
                <w:noProof/>
                <w:webHidden/>
              </w:rPr>
              <w:t>23</w:t>
            </w:r>
            <w:r>
              <w:rPr>
                <w:noProof/>
                <w:webHidden/>
              </w:rPr>
              <w:fldChar w:fldCharType="end"/>
            </w:r>
          </w:hyperlink>
        </w:p>
        <w:p w:rsidR="005C3313" w:rsidRDefault="005C3313">
          <w:pPr>
            <w:pStyle w:val="TOC2"/>
            <w:rPr>
              <w:rFonts w:asciiTheme="minorHAnsi" w:eastAsiaTheme="minorEastAsia" w:hAnsiTheme="minorHAnsi" w:cstheme="minorBidi"/>
              <w:b w:val="0"/>
              <w:noProof/>
              <w:sz w:val="22"/>
              <w:lang w:eastAsia="en-AU"/>
            </w:rPr>
          </w:pPr>
          <w:hyperlink w:anchor="_Toc370724511" w:history="1">
            <w:r w:rsidRPr="00283F9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_Toc370724511 \h </w:instrText>
            </w:r>
            <w:r>
              <w:rPr>
                <w:noProof/>
                <w:webHidden/>
              </w:rPr>
            </w:r>
            <w:r>
              <w:rPr>
                <w:noProof/>
                <w:webHidden/>
              </w:rPr>
              <w:fldChar w:fldCharType="separate"/>
            </w:r>
            <w:r>
              <w:rPr>
                <w:noProof/>
                <w:webHidden/>
              </w:rPr>
              <w:t>23</w:t>
            </w:r>
            <w:r>
              <w:rPr>
                <w:noProof/>
                <w:webHidden/>
              </w:rPr>
              <w:fldChar w:fldCharType="end"/>
            </w:r>
          </w:hyperlink>
        </w:p>
        <w:p w:rsidR="003A7F6C" w:rsidRPr="00B811C6" w:rsidRDefault="00CE3FB7" w:rsidP="00B811C6">
          <w:pPr>
            <w:pStyle w:val="TOC2"/>
          </w:pPr>
          <w:r>
            <w:fldChar w:fldCharType="end"/>
          </w:r>
        </w:p>
      </w:sdtContent>
    </w:sdt>
    <w:bookmarkStart w:id="2" w:name="_Toc314842482" w:displacedByCustomXml="prev"/>
    <w:p w:rsidR="009B5C45" w:rsidRDefault="009B5C45">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70724480"/>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70724481"/>
      <w:r>
        <w:rPr>
          <w:lang w:eastAsia="en-AU"/>
        </w:rPr>
        <w:t>Submission details</w:t>
      </w:r>
      <w:bookmarkEnd w:id="4"/>
      <w:bookmarkEnd w:id="5"/>
      <w:bookmarkEnd w:id="6"/>
    </w:p>
    <w:tbl>
      <w:tblPr>
        <w:tblW w:w="8364" w:type="dxa"/>
        <w:tblInd w:w="108" w:type="dxa"/>
        <w:tblLook w:val="01E0"/>
      </w:tblPr>
      <w:tblGrid>
        <w:gridCol w:w="2907"/>
        <w:gridCol w:w="5457"/>
      </w:tblGrid>
      <w:tr w:rsidR="008E7846" w:rsidRPr="003D1E62" w:rsidTr="00C83289">
        <w:trPr>
          <w:trHeight w:hRule="exact" w:val="753"/>
        </w:trPr>
        <w:tc>
          <w:tcPr>
            <w:tcW w:w="2907" w:type="dxa"/>
          </w:tcPr>
          <w:p w:rsidR="008E7846" w:rsidRPr="003D1E62" w:rsidRDefault="00134F54" w:rsidP="003D1E62">
            <w:pPr>
              <w:rPr>
                <w:i/>
              </w:rPr>
            </w:pPr>
            <w:r>
              <w:rPr>
                <w:i/>
              </w:rPr>
              <w:t>Type of s</w:t>
            </w:r>
            <w:r w:rsidR="008E7846" w:rsidRPr="003D1E62">
              <w:rPr>
                <w:i/>
              </w:rPr>
              <w:t>ubmission</w:t>
            </w:r>
            <w:r w:rsidR="00694F84">
              <w:rPr>
                <w:i/>
              </w:rPr>
              <w:t>:</w:t>
            </w:r>
          </w:p>
        </w:tc>
        <w:tc>
          <w:tcPr>
            <w:tcW w:w="5457" w:type="dxa"/>
          </w:tcPr>
          <w:p w:rsidR="008E7846" w:rsidRPr="003D1E62" w:rsidRDefault="008E7846" w:rsidP="000E15CA">
            <w:r w:rsidRPr="003D1E62">
              <w:t xml:space="preserve">New </w:t>
            </w:r>
            <w:r w:rsidR="009B5C45">
              <w:t xml:space="preserve">fixed combination of previously </w:t>
            </w:r>
            <w:r w:rsidR="000E15CA">
              <w:t xml:space="preserve">approved active </w:t>
            </w:r>
            <w:r w:rsidR="009B5C45">
              <w:t>ingredients</w:t>
            </w:r>
          </w:p>
        </w:tc>
      </w:tr>
      <w:tr w:rsidR="008E7846" w:rsidRPr="003D1E62" w:rsidTr="00C83289">
        <w:trPr>
          <w:trHeight w:hRule="exact" w:val="454"/>
        </w:trPr>
        <w:tc>
          <w:tcPr>
            <w:tcW w:w="2907" w:type="dxa"/>
          </w:tcPr>
          <w:p w:rsidR="008E7846" w:rsidRPr="003D1E62" w:rsidRDefault="008E7846" w:rsidP="003D1E62">
            <w:r w:rsidRPr="003D1E62">
              <w:rPr>
                <w:i/>
              </w:rPr>
              <w:t>Decision</w:t>
            </w:r>
            <w:r w:rsidRPr="003D1E62">
              <w:t>:</w:t>
            </w:r>
          </w:p>
        </w:tc>
        <w:tc>
          <w:tcPr>
            <w:tcW w:w="5457" w:type="dxa"/>
          </w:tcPr>
          <w:p w:rsidR="008E7846" w:rsidRPr="003D1E62" w:rsidRDefault="008E7846" w:rsidP="009B5C45">
            <w:r w:rsidRPr="003D1E62">
              <w:t xml:space="preserve">Approved </w:t>
            </w:r>
          </w:p>
        </w:tc>
      </w:tr>
      <w:tr w:rsidR="008E7846" w:rsidRPr="003D1E62" w:rsidTr="00C83289">
        <w:trPr>
          <w:trHeight w:hRule="exact" w:val="454"/>
        </w:trPr>
        <w:tc>
          <w:tcPr>
            <w:tcW w:w="2907" w:type="dxa"/>
          </w:tcPr>
          <w:p w:rsidR="008E7846" w:rsidRPr="003D1E62" w:rsidRDefault="008E7846" w:rsidP="00134F54">
            <w:pPr>
              <w:rPr>
                <w:i/>
              </w:rPr>
            </w:pPr>
            <w:r w:rsidRPr="003D1E62">
              <w:rPr>
                <w:i/>
              </w:rPr>
              <w:t xml:space="preserve">Date of </w:t>
            </w:r>
            <w:r w:rsidR="00134F54">
              <w:rPr>
                <w:i/>
              </w:rPr>
              <w:t>d</w:t>
            </w:r>
            <w:r w:rsidRPr="003D1E62">
              <w:rPr>
                <w:i/>
              </w:rPr>
              <w:t>ecision:</w:t>
            </w:r>
          </w:p>
        </w:tc>
        <w:tc>
          <w:tcPr>
            <w:tcW w:w="5457" w:type="dxa"/>
          </w:tcPr>
          <w:p w:rsidR="008E7846" w:rsidRPr="003D1E62" w:rsidRDefault="009B5C45" w:rsidP="003D1E62">
            <w:r>
              <w:t>23 July 2013</w:t>
            </w:r>
          </w:p>
        </w:tc>
      </w:tr>
      <w:tr w:rsidR="008E7846" w:rsidRPr="00487162" w:rsidTr="00C83289">
        <w:tc>
          <w:tcPr>
            <w:tcW w:w="2907" w:type="dxa"/>
          </w:tcPr>
          <w:p w:rsidR="008E7846" w:rsidRPr="00487162" w:rsidRDefault="008E7846" w:rsidP="00F553EB">
            <w:pPr>
              <w:rPr>
                <w:i/>
              </w:rPr>
            </w:pPr>
            <w:r w:rsidRPr="00487162">
              <w:rPr>
                <w:i/>
              </w:rPr>
              <w:t xml:space="preserve">Active </w:t>
            </w:r>
            <w:r w:rsidR="00134F54">
              <w:rPr>
                <w:i/>
              </w:rPr>
              <w:t>i</w:t>
            </w:r>
            <w:r w:rsidRPr="00487162">
              <w:rPr>
                <w:i/>
              </w:rPr>
              <w:t>ngredients:</w:t>
            </w:r>
          </w:p>
        </w:tc>
        <w:tc>
          <w:tcPr>
            <w:tcW w:w="5457" w:type="dxa"/>
          </w:tcPr>
          <w:p w:rsidR="006E0465" w:rsidRPr="009274B7" w:rsidRDefault="003E7CB1" w:rsidP="009274B7">
            <w:r w:rsidRPr="009274B7">
              <w:t>Amino acids (</w:t>
            </w:r>
            <w:r w:rsidR="009274B7" w:rsidRPr="009274B7">
              <w:t>L</w:t>
            </w:r>
            <w:r w:rsidR="009274B7">
              <w:t>‐alanine, L</w:t>
            </w:r>
            <w:r w:rsidRPr="009274B7">
              <w:t xml:space="preserve">‐arginine, </w:t>
            </w:r>
            <w:r w:rsidR="009274B7" w:rsidRPr="009274B7">
              <w:t>L</w:t>
            </w:r>
            <w:r w:rsidR="009274B7">
              <w:t>‐aspartic acid, L</w:t>
            </w:r>
            <w:r w:rsidRPr="009274B7">
              <w:t xml:space="preserve">‐glutamic acid, glycine, </w:t>
            </w:r>
            <w:r w:rsidR="009274B7">
              <w:t>L‐histidine, L</w:t>
            </w:r>
            <w:r w:rsidRPr="009274B7">
              <w:t xml:space="preserve">‐isoleucine, </w:t>
            </w:r>
            <w:r w:rsidR="009274B7" w:rsidRPr="009274B7">
              <w:t>L</w:t>
            </w:r>
            <w:r w:rsidRPr="009274B7">
              <w:t xml:space="preserve">‐leucine, </w:t>
            </w:r>
            <w:r w:rsidR="009274B7">
              <w:t>L</w:t>
            </w:r>
            <w:r w:rsidRPr="009274B7">
              <w:t xml:space="preserve">‐lysine (as </w:t>
            </w:r>
            <w:r w:rsidR="00845089">
              <w:t>L</w:t>
            </w:r>
            <w:r w:rsidRPr="009274B7">
              <w:t xml:space="preserve">‐lycine acetate), </w:t>
            </w:r>
            <w:r w:rsidR="009274B7" w:rsidRPr="009274B7">
              <w:t>L-</w:t>
            </w:r>
            <w:r w:rsidR="00845089">
              <w:t>methionine, L</w:t>
            </w:r>
            <w:r w:rsidRPr="009274B7">
              <w:t xml:space="preserve">‐phenylalanine, </w:t>
            </w:r>
            <w:r w:rsidR="00845089">
              <w:t>L</w:t>
            </w:r>
            <w:r w:rsidRPr="009274B7">
              <w:t>‐proline,</w:t>
            </w:r>
            <w:r w:rsidR="00845089">
              <w:t xml:space="preserve"> L</w:t>
            </w:r>
            <w:r w:rsidRPr="009274B7">
              <w:t xml:space="preserve">‐serine, </w:t>
            </w:r>
            <w:r w:rsidR="00845089">
              <w:t>L</w:t>
            </w:r>
            <w:r w:rsidRPr="009274B7">
              <w:t xml:space="preserve">‐threonine, </w:t>
            </w:r>
            <w:r w:rsidR="00845089">
              <w:t>L</w:t>
            </w:r>
            <w:r w:rsidRPr="009274B7">
              <w:t xml:space="preserve">‐tryptophan, </w:t>
            </w:r>
            <w:r w:rsidR="00845089">
              <w:t>L</w:t>
            </w:r>
            <w:r w:rsidR="00D57A6B" w:rsidRPr="009274B7">
              <w:t>‐tyrosine,</w:t>
            </w:r>
            <w:r w:rsidRPr="009274B7">
              <w:t xml:space="preserve"> </w:t>
            </w:r>
            <w:r w:rsidR="00845089">
              <w:t>L</w:t>
            </w:r>
            <w:r w:rsidRPr="009274B7">
              <w:t>‐valine)</w:t>
            </w:r>
          </w:p>
          <w:p w:rsidR="00694F84" w:rsidRPr="006E0465" w:rsidRDefault="00694F84" w:rsidP="00694F84">
            <w:r>
              <w:t>L</w:t>
            </w:r>
            <w:r w:rsidRPr="006E0465">
              <w:t>ipids (refined soya oil, refined olive oil)</w:t>
            </w:r>
          </w:p>
          <w:p w:rsidR="00694F84" w:rsidRDefault="00694F84" w:rsidP="00694F84">
            <w:r>
              <w:t>G</w:t>
            </w:r>
            <w:r w:rsidRPr="006E0465">
              <w:t xml:space="preserve">lucose (with or without calcium chloride </w:t>
            </w:r>
            <w:proofErr w:type="spellStart"/>
            <w:r w:rsidRPr="006E0465">
              <w:t>dihydrate</w:t>
            </w:r>
            <w:proofErr w:type="spellEnd"/>
            <w:r w:rsidRPr="006E0465">
              <w:t>)</w:t>
            </w:r>
            <w:r>
              <w:t xml:space="preserve"> </w:t>
            </w:r>
          </w:p>
          <w:p w:rsidR="008E7846" w:rsidRPr="00487162" w:rsidRDefault="003E7CB1" w:rsidP="006E0465">
            <w:r>
              <w:t>W</w:t>
            </w:r>
            <w:r w:rsidRPr="006E0465">
              <w:t xml:space="preserve">ith </w:t>
            </w:r>
            <w:r>
              <w:t xml:space="preserve">and </w:t>
            </w:r>
            <w:r w:rsidRPr="006E0465">
              <w:t xml:space="preserve">without </w:t>
            </w:r>
            <w:r>
              <w:t>e</w:t>
            </w:r>
            <w:r w:rsidRPr="006E0465">
              <w:t>lectrolytes (sodium glycerophosphate hydrate,</w:t>
            </w:r>
            <w:r>
              <w:t xml:space="preserve"> </w:t>
            </w:r>
            <w:r w:rsidRPr="006E0465">
              <w:t>magnesium chloride hexahydrate, potassium chloride, sodium acetate</w:t>
            </w:r>
            <w:r>
              <w:t xml:space="preserve"> </w:t>
            </w:r>
            <w:proofErr w:type="spellStart"/>
            <w:r w:rsidRPr="006E0465">
              <w:t>trihydrate</w:t>
            </w:r>
            <w:proofErr w:type="spellEnd"/>
            <w:r w:rsidRPr="006E0465">
              <w:t>)</w:t>
            </w:r>
            <w:r w:rsidR="00694F84">
              <w:t>.</w:t>
            </w:r>
            <w:r>
              <w:t xml:space="preserve"> </w:t>
            </w:r>
          </w:p>
        </w:tc>
      </w:tr>
      <w:tr w:rsidR="008E7846" w:rsidRPr="00487162" w:rsidTr="00C83289">
        <w:tc>
          <w:tcPr>
            <w:tcW w:w="2907" w:type="dxa"/>
          </w:tcPr>
          <w:p w:rsidR="008E7846" w:rsidRPr="00487162" w:rsidRDefault="00134F54" w:rsidP="00E45619">
            <w:pPr>
              <w:rPr>
                <w:i/>
              </w:rPr>
            </w:pPr>
            <w:r>
              <w:rPr>
                <w:i/>
              </w:rPr>
              <w:t>Product n</w:t>
            </w:r>
            <w:r w:rsidR="009B5C45">
              <w:rPr>
                <w:i/>
              </w:rPr>
              <w:t>ames</w:t>
            </w:r>
            <w:r w:rsidR="008E7846" w:rsidRPr="00487162">
              <w:rPr>
                <w:i/>
              </w:rPr>
              <w:t xml:space="preserve"> </w:t>
            </w:r>
          </w:p>
        </w:tc>
        <w:tc>
          <w:tcPr>
            <w:tcW w:w="5457" w:type="dxa"/>
          </w:tcPr>
          <w:p w:rsidR="008E7846" w:rsidRPr="00487162" w:rsidRDefault="006C7C17" w:rsidP="00D57A6B">
            <w:r w:rsidRPr="006C7C17">
              <w:t>PeriOlimel N4-600E, Olimel N5-860E, Olimel N7-960, Olimel N7-960E, Olimel N9-840, Olimel N9</w:t>
            </w:r>
            <w:r w:rsidRPr="006C7C17">
              <w:noBreakHyphen/>
              <w:t>840E</w:t>
            </w:r>
          </w:p>
        </w:tc>
      </w:tr>
      <w:tr w:rsidR="008E7846" w:rsidRPr="00487162" w:rsidTr="00C83289">
        <w:tc>
          <w:tcPr>
            <w:tcW w:w="2907" w:type="dxa"/>
          </w:tcPr>
          <w:p w:rsidR="008E7846" w:rsidRPr="00487162" w:rsidRDefault="008E7846" w:rsidP="00134F54">
            <w:pPr>
              <w:rPr>
                <w:i/>
              </w:rPr>
            </w:pPr>
            <w:r w:rsidRPr="00487162">
              <w:rPr>
                <w:i/>
              </w:rPr>
              <w:t xml:space="preserve">Sponsor’s </w:t>
            </w:r>
            <w:r w:rsidR="00134F54">
              <w:rPr>
                <w:i/>
              </w:rPr>
              <w:t>n</w:t>
            </w:r>
            <w:r w:rsidRPr="00487162">
              <w:rPr>
                <w:i/>
              </w:rPr>
              <w:t xml:space="preserve">ame and </w:t>
            </w:r>
            <w:r w:rsidR="00134F54">
              <w:rPr>
                <w:i/>
              </w:rPr>
              <w:t>a</w:t>
            </w:r>
            <w:r w:rsidRPr="00487162">
              <w:rPr>
                <w:i/>
              </w:rPr>
              <w:t>ddress:</w:t>
            </w:r>
          </w:p>
        </w:tc>
        <w:tc>
          <w:tcPr>
            <w:tcW w:w="5457" w:type="dxa"/>
          </w:tcPr>
          <w:p w:rsidR="008E7846" w:rsidRPr="00487162" w:rsidRDefault="000E15CA" w:rsidP="000E15CA">
            <w:r>
              <w:t>Baxter Healthcare Pty Ltd</w:t>
            </w:r>
            <w:r>
              <w:br/>
            </w:r>
            <w:r w:rsidR="00134F54">
              <w:t>1 Baxter Drive,</w:t>
            </w:r>
            <w:r>
              <w:br/>
              <w:t>Old Toongabbie</w:t>
            </w:r>
            <w:r w:rsidRPr="000E15CA">
              <w:t xml:space="preserve"> </w:t>
            </w:r>
            <w:r>
              <w:t xml:space="preserve"> </w:t>
            </w:r>
            <w:r w:rsidRPr="000E15CA">
              <w:t xml:space="preserve">NSW </w:t>
            </w:r>
            <w:r>
              <w:t xml:space="preserve"> </w:t>
            </w:r>
            <w:r w:rsidRPr="000E15CA">
              <w:t>2146</w:t>
            </w:r>
          </w:p>
        </w:tc>
      </w:tr>
      <w:tr w:rsidR="008E7846" w:rsidRPr="00487162" w:rsidTr="00C83289">
        <w:tc>
          <w:tcPr>
            <w:tcW w:w="2907" w:type="dxa"/>
          </w:tcPr>
          <w:p w:rsidR="008E7846" w:rsidRPr="00487162" w:rsidRDefault="009B5C45" w:rsidP="00E45619">
            <w:pPr>
              <w:rPr>
                <w:i/>
              </w:rPr>
            </w:pPr>
            <w:r>
              <w:rPr>
                <w:i/>
              </w:rPr>
              <w:t>Dose form</w:t>
            </w:r>
            <w:r w:rsidR="008E7846" w:rsidRPr="00487162">
              <w:rPr>
                <w:i/>
              </w:rPr>
              <w:t>:</w:t>
            </w:r>
          </w:p>
        </w:tc>
        <w:tc>
          <w:tcPr>
            <w:tcW w:w="5457" w:type="dxa"/>
          </w:tcPr>
          <w:p w:rsidR="008E7846" w:rsidRPr="00487162" w:rsidRDefault="009B5C45" w:rsidP="00E45619">
            <w:r>
              <w:t>Emulsion</w:t>
            </w:r>
          </w:p>
        </w:tc>
      </w:tr>
      <w:tr w:rsidR="008E7846" w:rsidRPr="00487162" w:rsidTr="00C83289">
        <w:tc>
          <w:tcPr>
            <w:tcW w:w="2907" w:type="dxa"/>
          </w:tcPr>
          <w:p w:rsidR="008E7846" w:rsidRPr="00487162" w:rsidRDefault="009B5C45" w:rsidP="00E45619">
            <w:pPr>
              <w:rPr>
                <w:i/>
              </w:rPr>
            </w:pPr>
            <w:r>
              <w:rPr>
                <w:i/>
              </w:rPr>
              <w:t>Strengths</w:t>
            </w:r>
            <w:r w:rsidR="008E7846" w:rsidRPr="00487162">
              <w:rPr>
                <w:i/>
              </w:rPr>
              <w:t>:</w:t>
            </w:r>
          </w:p>
        </w:tc>
        <w:tc>
          <w:tcPr>
            <w:tcW w:w="5457" w:type="dxa"/>
          </w:tcPr>
          <w:p w:rsidR="006C7C17" w:rsidRDefault="003E7CB1" w:rsidP="003E7CB1">
            <w:r>
              <w:t>Amino acids/l</w:t>
            </w:r>
            <w:r w:rsidRPr="003E7CB1">
              <w:t>ipids/</w:t>
            </w:r>
            <w:r>
              <w:t>g</w:t>
            </w:r>
            <w:r w:rsidRPr="003E7CB1">
              <w:t>lucose</w:t>
            </w:r>
            <w:r w:rsidR="006C7C17">
              <w:t xml:space="preserve"> </w:t>
            </w:r>
            <w:r w:rsidR="006C7C17" w:rsidRPr="006C7C17">
              <w:t>(with and without electrolytes) in the individual compartments of the three-compartment bag</w:t>
            </w:r>
            <w:r w:rsidR="00134F54">
              <w:t>:</w:t>
            </w:r>
          </w:p>
          <w:p w:rsidR="006C7C17" w:rsidRPr="006C7C17" w:rsidRDefault="006C7C17" w:rsidP="006C7C17">
            <w:r w:rsidRPr="006C7C17">
              <w:t>6.3%/1</w:t>
            </w:r>
            <w:r w:rsidR="00134F54">
              <w:t>5%/18.75% (</w:t>
            </w:r>
            <w:proofErr w:type="spellStart"/>
            <w:r w:rsidR="00134F54">
              <w:t>PeriOlimel</w:t>
            </w:r>
            <w:proofErr w:type="spellEnd"/>
            <w:r w:rsidR="00134F54">
              <w:t xml:space="preserve"> N4-600E);</w:t>
            </w:r>
          </w:p>
          <w:p w:rsidR="006C7C17" w:rsidRPr="006C7C17" w:rsidRDefault="006C7C17" w:rsidP="006C7C17">
            <w:r w:rsidRPr="006C7C17">
              <w:t>8.</w:t>
            </w:r>
            <w:r w:rsidR="00134F54">
              <w:t>2%/20%/28.75% (</w:t>
            </w:r>
            <w:proofErr w:type="spellStart"/>
            <w:r w:rsidR="00134F54">
              <w:t>Olimel</w:t>
            </w:r>
            <w:proofErr w:type="spellEnd"/>
            <w:r w:rsidR="00134F54">
              <w:t xml:space="preserve"> N5-860E);</w:t>
            </w:r>
          </w:p>
          <w:p w:rsidR="006C7C17" w:rsidRPr="006C7C17" w:rsidRDefault="006C7C17" w:rsidP="006C7C17">
            <w:r w:rsidRPr="006C7C17">
              <w:t>11.1%/20%/35%</w:t>
            </w:r>
            <w:r w:rsidR="007060A5">
              <w:t xml:space="preserve"> </w:t>
            </w:r>
            <w:r w:rsidRPr="006C7C17">
              <w:t>(</w:t>
            </w:r>
            <w:proofErr w:type="spellStart"/>
            <w:r w:rsidR="00134F54">
              <w:t>Olimel</w:t>
            </w:r>
            <w:proofErr w:type="spellEnd"/>
            <w:r w:rsidR="00134F54">
              <w:t xml:space="preserve"> N7-960, </w:t>
            </w:r>
            <w:proofErr w:type="spellStart"/>
            <w:r w:rsidR="00134F54">
              <w:t>Olimel</w:t>
            </w:r>
            <w:proofErr w:type="spellEnd"/>
            <w:r w:rsidR="00134F54">
              <w:t xml:space="preserve"> N7-960E);</w:t>
            </w:r>
          </w:p>
          <w:p w:rsidR="008E7846" w:rsidRPr="00487162" w:rsidRDefault="006C7C17" w:rsidP="00A433B7">
            <w:r w:rsidRPr="006C7C17">
              <w:t>14.2%/20%/27.5% (Olimel N9-840, Olimel N9-840E)</w:t>
            </w:r>
          </w:p>
        </w:tc>
      </w:tr>
      <w:tr w:rsidR="008E7846" w:rsidRPr="00487162" w:rsidTr="00C83289">
        <w:tc>
          <w:tcPr>
            <w:tcW w:w="2907" w:type="dxa"/>
          </w:tcPr>
          <w:p w:rsidR="008E7846" w:rsidRPr="00487162" w:rsidRDefault="00F1354A" w:rsidP="009B5C45">
            <w:pPr>
              <w:rPr>
                <w:i/>
              </w:rPr>
            </w:pPr>
            <w:r>
              <w:rPr>
                <w:i/>
              </w:rPr>
              <w:t>Container</w:t>
            </w:r>
            <w:r w:rsidR="008E7846" w:rsidRPr="00487162">
              <w:rPr>
                <w:i/>
              </w:rPr>
              <w:t>:</w:t>
            </w:r>
          </w:p>
        </w:tc>
        <w:tc>
          <w:tcPr>
            <w:tcW w:w="5457" w:type="dxa"/>
          </w:tcPr>
          <w:p w:rsidR="008E7846" w:rsidRPr="00487162" w:rsidRDefault="003E7CB1" w:rsidP="003E7CB1">
            <w:r w:rsidRPr="003E7CB1">
              <w:t>Three‐compartment multilayer infusion bags</w:t>
            </w:r>
          </w:p>
        </w:tc>
      </w:tr>
      <w:tr w:rsidR="008E7846" w:rsidRPr="00487162" w:rsidTr="00C83289">
        <w:tc>
          <w:tcPr>
            <w:tcW w:w="2907" w:type="dxa"/>
          </w:tcPr>
          <w:p w:rsidR="008E7846" w:rsidRPr="00487162" w:rsidRDefault="009B5C45" w:rsidP="009B5C45">
            <w:pPr>
              <w:rPr>
                <w:i/>
              </w:rPr>
            </w:pPr>
            <w:r>
              <w:rPr>
                <w:i/>
              </w:rPr>
              <w:t>Pack size</w:t>
            </w:r>
            <w:r w:rsidR="008E7846" w:rsidRPr="00487162">
              <w:rPr>
                <w:i/>
              </w:rPr>
              <w:t>s:</w:t>
            </w:r>
          </w:p>
        </w:tc>
        <w:tc>
          <w:tcPr>
            <w:tcW w:w="5457" w:type="dxa"/>
          </w:tcPr>
          <w:p w:rsidR="008E7846" w:rsidRPr="00487162" w:rsidRDefault="009B5C45" w:rsidP="00E45619">
            <w:r>
              <w:t>1000, 1500, 2000</w:t>
            </w:r>
            <w:r w:rsidR="003E7CB1">
              <w:t xml:space="preserve"> and</w:t>
            </w:r>
            <w:r w:rsidR="000E15CA">
              <w:t xml:space="preserve"> 2500</w:t>
            </w:r>
            <w:r>
              <w:t xml:space="preserve"> mL</w:t>
            </w:r>
          </w:p>
        </w:tc>
      </w:tr>
      <w:tr w:rsidR="008E7846" w:rsidRPr="00487162" w:rsidTr="00C83289">
        <w:tc>
          <w:tcPr>
            <w:tcW w:w="2907" w:type="dxa"/>
          </w:tcPr>
          <w:p w:rsidR="008E7846" w:rsidRPr="00487162" w:rsidRDefault="00134F54" w:rsidP="00E45619">
            <w:pPr>
              <w:rPr>
                <w:i/>
              </w:rPr>
            </w:pPr>
            <w:r>
              <w:rPr>
                <w:i/>
              </w:rPr>
              <w:t>Approved t</w:t>
            </w:r>
            <w:r w:rsidR="008E7846" w:rsidRPr="00487162">
              <w:rPr>
                <w:i/>
              </w:rPr>
              <w:t>herapeutic use:</w:t>
            </w:r>
          </w:p>
        </w:tc>
        <w:tc>
          <w:tcPr>
            <w:tcW w:w="5457" w:type="dxa"/>
          </w:tcPr>
          <w:p w:rsidR="008E7846" w:rsidRPr="00487162" w:rsidRDefault="00DE79CB" w:rsidP="00DE79CB">
            <w:pPr>
              <w:rPr>
                <w:rFonts w:eastAsia="MS Mincho"/>
                <w:lang w:eastAsia="ja-JP"/>
              </w:rPr>
            </w:pPr>
            <w:r>
              <w:t>O</w:t>
            </w:r>
            <w:r w:rsidRPr="009B5C45">
              <w:t>limel/</w:t>
            </w:r>
            <w:r>
              <w:t>P</w:t>
            </w:r>
            <w:r w:rsidRPr="009B5C45">
              <w:t>eri</w:t>
            </w:r>
            <w:r>
              <w:t>O</w:t>
            </w:r>
            <w:r w:rsidRPr="009B5C45">
              <w:t xml:space="preserve">limel </w:t>
            </w:r>
            <w:r w:rsidR="009B5C45" w:rsidRPr="009B5C45">
              <w:t>is indicated for parenteral nutrition for adults when oral or enteral nutrition is impossible, insufficient or contraindicated.</w:t>
            </w:r>
          </w:p>
        </w:tc>
      </w:tr>
      <w:tr w:rsidR="008E7846" w:rsidRPr="00487162" w:rsidTr="00C83289">
        <w:tc>
          <w:tcPr>
            <w:tcW w:w="2907" w:type="dxa"/>
          </w:tcPr>
          <w:p w:rsidR="008E7846" w:rsidRPr="00487162" w:rsidRDefault="009B5C45" w:rsidP="00E45619">
            <w:pPr>
              <w:rPr>
                <w:i/>
              </w:rPr>
            </w:pPr>
            <w:r>
              <w:rPr>
                <w:i/>
              </w:rPr>
              <w:t>Route</w:t>
            </w:r>
            <w:r w:rsidR="008E7846" w:rsidRPr="00487162">
              <w:rPr>
                <w:i/>
              </w:rPr>
              <w:t xml:space="preserve"> of administration:</w:t>
            </w:r>
          </w:p>
        </w:tc>
        <w:tc>
          <w:tcPr>
            <w:tcW w:w="5457" w:type="dxa"/>
          </w:tcPr>
          <w:p w:rsidR="008E7846" w:rsidRPr="00487162" w:rsidRDefault="009B5C45" w:rsidP="009B5C45">
            <w:r>
              <w:t>Intravenous infusion</w:t>
            </w:r>
          </w:p>
        </w:tc>
      </w:tr>
      <w:tr w:rsidR="008E7846" w:rsidRPr="00487162" w:rsidTr="00F553EB">
        <w:trPr>
          <w:cantSplit/>
        </w:trPr>
        <w:tc>
          <w:tcPr>
            <w:tcW w:w="2907" w:type="dxa"/>
          </w:tcPr>
          <w:p w:rsidR="008E7846" w:rsidRPr="00487162" w:rsidRDefault="008E7846" w:rsidP="00E45619">
            <w:pPr>
              <w:rPr>
                <w:i/>
              </w:rPr>
            </w:pPr>
            <w:r w:rsidRPr="00487162">
              <w:rPr>
                <w:i/>
              </w:rPr>
              <w:lastRenderedPageBreak/>
              <w:t>Dosage</w:t>
            </w:r>
            <w:r w:rsidR="0021008B">
              <w:rPr>
                <w:i/>
              </w:rPr>
              <w:t xml:space="preserve"> (abbreviated)</w:t>
            </w:r>
            <w:r w:rsidRPr="00487162">
              <w:rPr>
                <w:i/>
              </w:rPr>
              <w:t>:</w:t>
            </w:r>
          </w:p>
        </w:tc>
        <w:tc>
          <w:tcPr>
            <w:tcW w:w="5457" w:type="dxa"/>
          </w:tcPr>
          <w:p w:rsidR="008E7846" w:rsidRPr="00487162" w:rsidRDefault="0021008B" w:rsidP="00E45619">
            <w:r>
              <w:t>The maximum d</w:t>
            </w:r>
            <w:r w:rsidR="001417C1">
              <w:t>a</w:t>
            </w:r>
            <w:r>
              <w:t>ily doses of each constituent of Olimel/PeriOlimel should be based on individual total nutritional requirements and patient tolerance.</w:t>
            </w:r>
          </w:p>
        </w:tc>
      </w:tr>
      <w:tr w:rsidR="008E7846" w:rsidRPr="00487162" w:rsidTr="00C83289">
        <w:tc>
          <w:tcPr>
            <w:tcW w:w="2907" w:type="dxa"/>
          </w:tcPr>
          <w:p w:rsidR="008E7846" w:rsidRPr="00487162" w:rsidRDefault="00134F54" w:rsidP="009B5C45">
            <w:pPr>
              <w:rPr>
                <w:i/>
              </w:rPr>
            </w:pPr>
            <w:r>
              <w:rPr>
                <w:i/>
              </w:rPr>
              <w:t>ARTG n</w:t>
            </w:r>
            <w:r w:rsidR="008E7846" w:rsidRPr="00487162">
              <w:rPr>
                <w:i/>
              </w:rPr>
              <w:t>umber</w:t>
            </w:r>
            <w:r w:rsidR="004B3262">
              <w:rPr>
                <w:i/>
              </w:rPr>
              <w:t>s</w:t>
            </w:r>
            <w:r w:rsidR="009B5C45">
              <w:rPr>
                <w:i/>
              </w:rPr>
              <w:t>:</w:t>
            </w:r>
          </w:p>
        </w:tc>
        <w:tc>
          <w:tcPr>
            <w:tcW w:w="5457" w:type="dxa"/>
          </w:tcPr>
          <w:p w:rsidR="008E7846" w:rsidRPr="00487162" w:rsidRDefault="006C2E68" w:rsidP="008B665D">
            <w:r>
              <w:t xml:space="preserve">197416, </w:t>
            </w:r>
            <w:r w:rsidR="000E15CA">
              <w:t>197417</w:t>
            </w:r>
            <w:r w:rsidRPr="006C2E68">
              <w:t>,</w:t>
            </w:r>
            <w:r w:rsidR="000E15CA">
              <w:t xml:space="preserve"> </w:t>
            </w:r>
            <w:r w:rsidR="000E15CA" w:rsidRPr="000E15CA">
              <w:t>1974</w:t>
            </w:r>
            <w:r w:rsidR="000E15CA">
              <w:t>18</w:t>
            </w:r>
            <w:r w:rsidR="000E15CA" w:rsidRPr="000E15CA">
              <w:t>,</w:t>
            </w:r>
            <w:r w:rsidR="000E15CA">
              <w:t xml:space="preserve"> </w:t>
            </w:r>
            <w:r w:rsidR="000E15CA" w:rsidRPr="000E15CA">
              <w:t>1974</w:t>
            </w:r>
            <w:r w:rsidR="000E15CA">
              <w:t>19</w:t>
            </w:r>
            <w:r w:rsidR="000E15CA" w:rsidRPr="000E15CA">
              <w:t>,</w:t>
            </w:r>
            <w:r w:rsidR="000E15CA">
              <w:t xml:space="preserve"> </w:t>
            </w:r>
            <w:r w:rsidR="000E15CA" w:rsidRPr="000E15CA">
              <w:t>1974</w:t>
            </w:r>
            <w:r w:rsidR="000E15CA">
              <w:t>20</w:t>
            </w:r>
            <w:r w:rsidR="000E15CA" w:rsidRPr="000E15CA">
              <w:t>,</w:t>
            </w:r>
            <w:r w:rsidR="000E15CA">
              <w:t xml:space="preserve"> </w:t>
            </w:r>
            <w:r w:rsidR="000E15CA" w:rsidRPr="000E15CA">
              <w:t>1974</w:t>
            </w:r>
            <w:r w:rsidR="000E15CA">
              <w:t>21</w:t>
            </w:r>
          </w:p>
        </w:tc>
      </w:tr>
    </w:tbl>
    <w:p w:rsidR="008E7846" w:rsidRDefault="008E7846" w:rsidP="008E7846">
      <w:pPr>
        <w:pStyle w:val="Heading3"/>
      </w:pPr>
      <w:bookmarkStart w:id="7" w:name="_Toc247691503"/>
      <w:bookmarkStart w:id="8" w:name="_Toc314842484"/>
      <w:bookmarkStart w:id="9" w:name="_Toc370724482"/>
      <w:r>
        <w:t>Product background</w:t>
      </w:r>
      <w:bookmarkEnd w:id="7"/>
      <w:bookmarkEnd w:id="8"/>
      <w:bookmarkEnd w:id="9"/>
    </w:p>
    <w:p w:rsidR="00F1354A" w:rsidRPr="00F1354A" w:rsidRDefault="00F1354A" w:rsidP="00F1354A">
      <w:r w:rsidRPr="00F1354A">
        <w:t>Total parenteral nu</w:t>
      </w:r>
      <w:r w:rsidR="00DE6D1E">
        <w:t>trition (TPN) takes the form of</w:t>
      </w:r>
      <w:r w:rsidRPr="00F1354A">
        <w:t xml:space="preserve"> a lipid emulsion to provide e</w:t>
      </w:r>
      <w:r w:rsidR="008B665D">
        <w:t>ssential fatty acids and energy,</w:t>
      </w:r>
      <w:r w:rsidRPr="00F1354A">
        <w:t xml:space="preserve"> an amino acid solution to provide a source of nitrogen and essential</w:t>
      </w:r>
      <w:r w:rsidR="003217C0">
        <w:t xml:space="preserve"> amino acids</w:t>
      </w:r>
      <w:r w:rsidR="008B665D">
        <w:t>,</w:t>
      </w:r>
      <w:r w:rsidR="003217C0">
        <w:t xml:space="preserve"> glucose solution</w:t>
      </w:r>
      <w:r w:rsidRPr="00F1354A">
        <w:t xml:space="preserve"> to provide a ready source of carbohydrates/energy</w:t>
      </w:r>
      <w:r w:rsidR="008B665D">
        <w:t>,</w:t>
      </w:r>
      <w:r w:rsidRPr="00F1354A">
        <w:t xml:space="preserve"> and trace elements, vitamins and electrolytes.</w:t>
      </w:r>
    </w:p>
    <w:p w:rsidR="00F1354A" w:rsidRPr="00F1354A" w:rsidRDefault="00F1354A" w:rsidP="00F1354A">
      <w:r w:rsidRPr="00F1354A">
        <w:t>While the patient’s clinical condition may require individual balance of some of these elements, there are numerous commercial products currently available, either to mix together (</w:t>
      </w:r>
      <w:r w:rsidR="003217C0">
        <w:t xml:space="preserve">for example, </w:t>
      </w:r>
      <w:r w:rsidRPr="00F1354A">
        <w:t>separate lipid emulsions, amino acid solutions, fat or water soluble vitamins), or as combination packs. The latter are often presented as multi-chamber bags to simplify the mixing and delivery of TPN.</w:t>
      </w:r>
    </w:p>
    <w:p w:rsidR="00F1354A" w:rsidRPr="00F1354A" w:rsidRDefault="003217C0" w:rsidP="00134F54">
      <w:r>
        <w:t xml:space="preserve">This AusPAR describes the application by </w:t>
      </w:r>
      <w:r w:rsidR="00F1354A" w:rsidRPr="00F1354A">
        <w:t xml:space="preserve">Baxter Healthcare Pty Ltd </w:t>
      </w:r>
      <w:r>
        <w:t xml:space="preserve">(the sponsor) to register </w:t>
      </w:r>
      <w:r w:rsidR="00F1354A" w:rsidRPr="00F1354A">
        <w:t>ready-to-use</w:t>
      </w:r>
      <w:r w:rsidR="004B3262">
        <w:t>,</w:t>
      </w:r>
      <w:r w:rsidR="00F1354A" w:rsidRPr="00F1354A">
        <w:t xml:space="preserve"> triple-chamber TPN products containing amino</w:t>
      </w:r>
      <w:r>
        <w:t xml:space="preserve"> acids, lipids and glucose with and </w:t>
      </w:r>
      <w:r w:rsidR="00F1354A" w:rsidRPr="00F1354A">
        <w:t>without electrolytes under the trade names Peri</w:t>
      </w:r>
      <w:r w:rsidR="004B3262">
        <w:t>Olimel</w:t>
      </w:r>
      <w:r w:rsidR="00F1354A" w:rsidRPr="00F1354A">
        <w:t xml:space="preserve"> N4-600E, </w:t>
      </w:r>
      <w:r w:rsidR="004B3262">
        <w:t>Olimel</w:t>
      </w:r>
      <w:r w:rsidR="00F1354A" w:rsidRPr="00F1354A">
        <w:t xml:space="preserve"> N5-860E, </w:t>
      </w:r>
      <w:r w:rsidR="004B3262">
        <w:t>Olimel</w:t>
      </w:r>
      <w:r w:rsidR="00F1354A" w:rsidRPr="00F1354A">
        <w:t xml:space="preserve"> N7-960, </w:t>
      </w:r>
      <w:r w:rsidR="004B3262">
        <w:t>Olimel</w:t>
      </w:r>
      <w:r w:rsidR="00F1354A" w:rsidRPr="00F1354A">
        <w:t xml:space="preserve"> N7-96</w:t>
      </w:r>
      <w:r>
        <w:t xml:space="preserve">0E, </w:t>
      </w:r>
      <w:r w:rsidR="004B3262">
        <w:t>Olimel</w:t>
      </w:r>
      <w:r>
        <w:t xml:space="preserve"> N9-840 and </w:t>
      </w:r>
      <w:proofErr w:type="spellStart"/>
      <w:r w:rsidR="004B3262">
        <w:t>Olimel</w:t>
      </w:r>
      <w:proofErr w:type="spellEnd"/>
      <w:r>
        <w:t xml:space="preserve"> N9</w:t>
      </w:r>
      <w:r>
        <w:noBreakHyphen/>
      </w:r>
      <w:r w:rsidR="00134F54">
        <w:t>840E.</w:t>
      </w:r>
    </w:p>
    <w:p w:rsidR="004B3262" w:rsidRDefault="004B3262" w:rsidP="004B3262">
      <w:r w:rsidRPr="00F1354A">
        <w:t xml:space="preserve">The </w:t>
      </w:r>
      <w:r>
        <w:t>products are proposed for intravenous (IV) infusi</w:t>
      </w:r>
      <w:r w:rsidR="00DE6D1E">
        <w:t>on for the following indication</w:t>
      </w:r>
      <w:r w:rsidR="00134F54">
        <w:t>:</w:t>
      </w:r>
    </w:p>
    <w:p w:rsidR="004B3262" w:rsidRPr="003217C0" w:rsidRDefault="004B3262" w:rsidP="004B3262">
      <w:pPr>
        <w:ind w:left="720"/>
        <w:rPr>
          <w:i/>
          <w:iCs/>
        </w:rPr>
      </w:pPr>
      <w:proofErr w:type="gramStart"/>
      <w:r w:rsidRPr="003217C0">
        <w:rPr>
          <w:i/>
          <w:iCs/>
        </w:rPr>
        <w:t>for</w:t>
      </w:r>
      <w:proofErr w:type="gramEnd"/>
      <w:r w:rsidRPr="003217C0">
        <w:rPr>
          <w:i/>
          <w:iCs/>
        </w:rPr>
        <w:t xml:space="preserve"> parenteral nutrition for adults and children above 2 years of age when oral or enteral nutrition is impossible, insufficient or contraindicated.</w:t>
      </w:r>
    </w:p>
    <w:p w:rsidR="00F1354A" w:rsidRPr="00F1354A" w:rsidRDefault="004B3262" w:rsidP="00F1354A">
      <w:r>
        <w:t>The ‘</w:t>
      </w:r>
      <w:r w:rsidR="00F1354A" w:rsidRPr="00F1354A">
        <w:t>N5</w:t>
      </w:r>
      <w:r>
        <w:t>’</w:t>
      </w:r>
      <w:r w:rsidR="00F1354A" w:rsidRPr="00F1354A">
        <w:t xml:space="preserve">, </w:t>
      </w:r>
      <w:r>
        <w:t>‘</w:t>
      </w:r>
      <w:r w:rsidR="00F1354A" w:rsidRPr="00F1354A">
        <w:t>N7</w:t>
      </w:r>
      <w:r>
        <w:t>’</w:t>
      </w:r>
      <w:r w:rsidR="00F1354A" w:rsidRPr="00F1354A">
        <w:t xml:space="preserve"> or </w:t>
      </w:r>
      <w:r>
        <w:t>‘</w:t>
      </w:r>
      <w:r w:rsidR="00F1354A" w:rsidRPr="00F1354A">
        <w:t>N9</w:t>
      </w:r>
      <w:r>
        <w:t>’</w:t>
      </w:r>
      <w:r w:rsidR="00F1354A" w:rsidRPr="00F1354A">
        <w:t xml:space="preserve"> in the product name represents the concentration of nitrogen rounded-up to the nearest g/L of the reconstituted ternary mixt</w:t>
      </w:r>
      <w:r w:rsidR="003217C0">
        <w:t xml:space="preserve">ure, while the numbers </w:t>
      </w:r>
      <w:r>
        <w:t>‘</w:t>
      </w:r>
      <w:r w:rsidR="003217C0">
        <w:t>840</w:t>
      </w:r>
      <w:r>
        <w:t>’</w:t>
      </w:r>
      <w:r w:rsidR="003217C0">
        <w:t xml:space="preserve">, </w:t>
      </w:r>
      <w:r>
        <w:t>‘</w:t>
      </w:r>
      <w:r w:rsidR="003217C0">
        <w:t>860</w:t>
      </w:r>
      <w:r>
        <w:t>’</w:t>
      </w:r>
      <w:r w:rsidR="00F1354A" w:rsidRPr="00F1354A">
        <w:t xml:space="preserve"> or </w:t>
      </w:r>
      <w:r>
        <w:t>‘</w:t>
      </w:r>
      <w:r w:rsidR="00F1354A" w:rsidRPr="00F1354A">
        <w:t>960</w:t>
      </w:r>
      <w:r>
        <w:t>’</w:t>
      </w:r>
      <w:r w:rsidR="00F1354A" w:rsidRPr="00F1354A">
        <w:t xml:space="preserve"> represent the amount of non-protein calories rounded-up to the nearest kcal/L in the rec</w:t>
      </w:r>
      <w:r>
        <w:t>onstituted ternary mixture. An ‘</w:t>
      </w:r>
      <w:r w:rsidR="00F1354A" w:rsidRPr="00F1354A">
        <w:t>E</w:t>
      </w:r>
      <w:r>
        <w:t>’</w:t>
      </w:r>
      <w:r w:rsidR="00F1354A" w:rsidRPr="00F1354A">
        <w:t xml:space="preserve"> at the end of the product name indicates the formulation includes electrolytes; </w:t>
      </w:r>
      <w:r w:rsidR="003217C0">
        <w:t xml:space="preserve">for example, </w:t>
      </w:r>
      <w:r w:rsidR="00F1354A" w:rsidRPr="00F1354A">
        <w:t xml:space="preserve">N4-600E indicates </w:t>
      </w:r>
      <w:r w:rsidR="003217C0">
        <w:t>the Peri</w:t>
      </w:r>
      <w:r>
        <w:t>Olimel</w:t>
      </w:r>
      <w:r w:rsidR="003217C0">
        <w:t xml:space="preserve"> formulation has approximately 4 g/L of nitrogen, </w:t>
      </w:r>
      <w:proofErr w:type="gramStart"/>
      <w:r w:rsidR="00F1354A" w:rsidRPr="00F1354A">
        <w:t>600 kcal/L of non-protein calor</w:t>
      </w:r>
      <w:r w:rsidR="00134F54">
        <w:t>ies,</w:t>
      </w:r>
      <w:proofErr w:type="gramEnd"/>
      <w:r w:rsidR="00134F54">
        <w:t xml:space="preserve"> and contains electrolytes.</w:t>
      </w:r>
    </w:p>
    <w:p w:rsidR="00F1354A" w:rsidRPr="00F1354A" w:rsidRDefault="00F1354A" w:rsidP="00F1354A">
      <w:r w:rsidRPr="00F1354A">
        <w:t>The prefix “Peri” was added to the trade name “</w:t>
      </w:r>
      <w:r w:rsidR="004B3262">
        <w:t>Olimel</w:t>
      </w:r>
      <w:r w:rsidRPr="00F1354A">
        <w:t>” to distinguish it fro</w:t>
      </w:r>
      <w:r w:rsidR="004B3262">
        <w:t>m the rest of the formulations</w:t>
      </w:r>
      <w:r w:rsidRPr="00F1354A">
        <w:t xml:space="preserve"> as it may be administered via either peripheral or central veins (the other 5 formulations of </w:t>
      </w:r>
      <w:r w:rsidR="004B3262">
        <w:t>Olimel</w:t>
      </w:r>
      <w:r w:rsidRPr="00F1354A">
        <w:t xml:space="preserve"> are for administration via the central vein only).</w:t>
      </w:r>
    </w:p>
    <w:p w:rsidR="008E7846" w:rsidRPr="003F31A2" w:rsidRDefault="00386150" w:rsidP="008E7846">
      <w:pPr>
        <w:pStyle w:val="Heading3"/>
      </w:pPr>
      <w:bookmarkStart w:id="10" w:name="_Toc314842485"/>
      <w:bookmarkStart w:id="11" w:name="_Toc247691504"/>
      <w:bookmarkStart w:id="12" w:name="_Toc370724483"/>
      <w:r>
        <w:t>Regulatory s</w:t>
      </w:r>
      <w:r w:rsidR="008E7846">
        <w:t>tatus</w:t>
      </w:r>
      <w:bookmarkEnd w:id="10"/>
      <w:bookmarkEnd w:id="11"/>
      <w:bookmarkEnd w:id="12"/>
    </w:p>
    <w:p w:rsidR="008E7846" w:rsidRDefault="00DE79CB" w:rsidP="00E7344E">
      <w:r>
        <w:t>The Olimel and PeriOlimel</w:t>
      </w:r>
      <w:r w:rsidR="008E7846">
        <w:t xml:space="preserve"> product</w:t>
      </w:r>
      <w:r w:rsidR="00DE6D1E">
        <w:t>s</w:t>
      </w:r>
      <w:r w:rsidR="008E7846">
        <w:t xml:space="preserve"> received initial </w:t>
      </w:r>
      <w:r>
        <w:t xml:space="preserve">registration on the </w:t>
      </w:r>
      <w:r w:rsidR="008E7846">
        <w:t>A</w:t>
      </w:r>
      <w:r>
        <w:t xml:space="preserve">ustralian </w:t>
      </w:r>
      <w:r w:rsidR="008E7846">
        <w:t>R</w:t>
      </w:r>
      <w:r>
        <w:t xml:space="preserve">egister of </w:t>
      </w:r>
      <w:r w:rsidR="008E7846">
        <w:t>T</w:t>
      </w:r>
      <w:r>
        <w:t xml:space="preserve">herapeutic </w:t>
      </w:r>
      <w:r w:rsidR="008E7846">
        <w:t>G</w:t>
      </w:r>
      <w:r>
        <w:t>oods (ARTG)</w:t>
      </w:r>
      <w:r w:rsidR="008E7846">
        <w:t xml:space="preserve"> </w:t>
      </w:r>
      <w:r>
        <w:t>in Augu</w:t>
      </w:r>
      <w:r w:rsidR="00134F54">
        <w:t>st 2013.</w:t>
      </w:r>
    </w:p>
    <w:p w:rsidR="001176E3" w:rsidRPr="00E44668" w:rsidRDefault="00E44668" w:rsidP="00E44668">
      <w:r w:rsidRPr="00E44668">
        <w:t>A</w:t>
      </w:r>
      <w:r w:rsidR="001176E3" w:rsidRPr="00E44668">
        <w:t>t the</w:t>
      </w:r>
      <w:r w:rsidR="00DE79CB" w:rsidRPr="00E44668">
        <w:t xml:space="preserve"> time this application was considered by the TGA</w:t>
      </w:r>
      <w:r w:rsidRPr="00E44668">
        <w:t xml:space="preserve">, a </w:t>
      </w:r>
      <w:r>
        <w:t>similar application</w:t>
      </w:r>
      <w:r w:rsidRPr="00E44668">
        <w:t xml:space="preserve"> was approved in Colombia (2012), Croatia (2012), Philippines (2011), South Korea and the following countries</w:t>
      </w:r>
      <w:r w:rsidR="00921855">
        <w:t xml:space="preserve"> or </w:t>
      </w:r>
      <w:r w:rsidR="00DE6D1E">
        <w:t>regions:</w:t>
      </w:r>
    </w:p>
    <w:p w:rsidR="001176E3" w:rsidRPr="001176E3" w:rsidRDefault="004B3262" w:rsidP="00134F54">
      <w:pPr>
        <w:pStyle w:val="TableTitle"/>
      </w:pPr>
      <w:proofErr w:type="gramStart"/>
      <w:r>
        <w:t>Table 1</w:t>
      </w:r>
      <w:r w:rsidR="001176E3">
        <w:t>.</w:t>
      </w:r>
      <w:proofErr w:type="gramEnd"/>
      <w:r w:rsidR="001176E3" w:rsidRPr="001176E3">
        <w:t xml:space="preserve"> </w:t>
      </w:r>
      <w:r w:rsidR="001176E3">
        <w:t xml:space="preserve">Overseas registration status for </w:t>
      </w:r>
      <w:proofErr w:type="spellStart"/>
      <w:r>
        <w:t>Olimel</w:t>
      </w:r>
      <w:proofErr w:type="spellEnd"/>
      <w:r w:rsidR="001176E3" w:rsidRPr="001176E3">
        <w:t>/</w:t>
      </w:r>
      <w:proofErr w:type="spellStart"/>
      <w:r w:rsidR="001176E3" w:rsidRPr="001176E3">
        <w:t>Peri</w:t>
      </w:r>
      <w:r>
        <w:t>Olimel</w:t>
      </w:r>
      <w:proofErr w:type="spellEnd"/>
    </w:p>
    <w:tbl>
      <w:tblPr>
        <w:tblStyle w:val="TableTGAblue"/>
        <w:tblW w:w="8897" w:type="dxa"/>
        <w:tblLook w:val="04A0"/>
      </w:tblPr>
      <w:tblGrid>
        <w:gridCol w:w="1926"/>
        <w:gridCol w:w="2151"/>
        <w:gridCol w:w="4820"/>
      </w:tblGrid>
      <w:tr w:rsidR="001176E3" w:rsidRPr="001176E3" w:rsidTr="00134F54">
        <w:trPr>
          <w:cnfStyle w:val="100000000000"/>
          <w:cantSplit/>
          <w:tblHeader/>
        </w:trPr>
        <w:tc>
          <w:tcPr>
            <w:tcW w:w="1926" w:type="dxa"/>
          </w:tcPr>
          <w:p w:rsidR="001176E3" w:rsidRPr="001176E3" w:rsidRDefault="001176E3" w:rsidP="005334B7">
            <w:pPr>
              <w:pStyle w:val="TableHeading1"/>
              <w:spacing w:before="0" w:after="0"/>
            </w:pPr>
            <w:r w:rsidRPr="001176E3">
              <w:t>Country/region</w:t>
            </w:r>
          </w:p>
        </w:tc>
        <w:tc>
          <w:tcPr>
            <w:tcW w:w="2151" w:type="dxa"/>
          </w:tcPr>
          <w:p w:rsidR="001176E3" w:rsidRPr="001176E3" w:rsidRDefault="001176E3" w:rsidP="005334B7">
            <w:pPr>
              <w:pStyle w:val="TableHeading1"/>
              <w:spacing w:before="0" w:after="0"/>
            </w:pPr>
            <w:r>
              <w:t>Approval date</w:t>
            </w:r>
          </w:p>
        </w:tc>
        <w:tc>
          <w:tcPr>
            <w:tcW w:w="4820" w:type="dxa"/>
          </w:tcPr>
          <w:p w:rsidR="001176E3" w:rsidRPr="001176E3" w:rsidRDefault="001176E3" w:rsidP="005334B7">
            <w:pPr>
              <w:pStyle w:val="TableHeading1"/>
              <w:spacing w:before="0" w:after="0"/>
            </w:pPr>
            <w:r>
              <w:t>Indication</w:t>
            </w:r>
          </w:p>
        </w:tc>
      </w:tr>
      <w:tr w:rsidR="001176E3" w:rsidRPr="001176E3" w:rsidTr="00134F54">
        <w:tc>
          <w:tcPr>
            <w:tcW w:w="1926" w:type="dxa"/>
          </w:tcPr>
          <w:p w:rsidR="001176E3" w:rsidRPr="001176E3" w:rsidRDefault="001176E3" w:rsidP="005334B7">
            <w:pPr>
              <w:spacing w:before="0" w:after="0"/>
            </w:pPr>
            <w:r w:rsidRPr="001176E3">
              <w:t>European Union</w:t>
            </w:r>
            <w:r w:rsidR="00A90E54">
              <w:t xml:space="preserve"> (EU)</w:t>
            </w:r>
          </w:p>
        </w:tc>
        <w:tc>
          <w:tcPr>
            <w:tcW w:w="2151" w:type="dxa"/>
            <w:hideMark/>
          </w:tcPr>
          <w:p w:rsidR="001176E3" w:rsidRPr="001176E3" w:rsidRDefault="001176E3" w:rsidP="005334B7">
            <w:pPr>
              <w:spacing w:before="0" w:after="0"/>
            </w:pPr>
            <w:r w:rsidRPr="001176E3">
              <w:t>12 Jul</w:t>
            </w:r>
            <w:r>
              <w:t>y</w:t>
            </w:r>
            <w:r w:rsidRPr="001176E3">
              <w:t xml:space="preserve"> 2008</w:t>
            </w:r>
            <w:r w:rsidR="00C83289">
              <w:t>-</w:t>
            </w:r>
            <w:r w:rsidR="00134F54">
              <w:br/>
            </w:r>
            <w:r w:rsidRPr="001176E3">
              <w:t>22 Jan</w:t>
            </w:r>
            <w:r>
              <w:t>uary 2010 depending on Country</w:t>
            </w:r>
            <w:r w:rsidRPr="001176E3">
              <w:t>.</w:t>
            </w:r>
          </w:p>
        </w:tc>
        <w:tc>
          <w:tcPr>
            <w:tcW w:w="4820" w:type="dxa"/>
            <w:hideMark/>
          </w:tcPr>
          <w:p w:rsidR="001176E3" w:rsidRPr="001176E3" w:rsidRDefault="004B3262" w:rsidP="005334B7">
            <w:pPr>
              <w:spacing w:before="0" w:after="0"/>
            </w:pPr>
            <w:r>
              <w:t>Olimel</w:t>
            </w:r>
            <w:r w:rsidR="001176E3" w:rsidRPr="001176E3">
              <w:t>/Peri</w:t>
            </w:r>
            <w:r>
              <w:t>Olimel</w:t>
            </w:r>
            <w:r w:rsidR="001176E3" w:rsidRPr="001176E3">
              <w:t>/T</w:t>
            </w:r>
            <w:r w:rsidR="00C83289">
              <w:t>riomel</w:t>
            </w:r>
            <w:r w:rsidR="001176E3" w:rsidRPr="001176E3">
              <w:t xml:space="preserve">* </w:t>
            </w:r>
            <w:r w:rsidR="001176E3">
              <w:t xml:space="preserve">is indicated for </w:t>
            </w:r>
            <w:r w:rsidR="001176E3" w:rsidRPr="001176E3">
              <w:t xml:space="preserve">parenteral nutrition for adults and children above 2 years of age when oral or enteral nutrition is impossible, insufficient or </w:t>
            </w:r>
            <w:r w:rsidR="001176E3" w:rsidRPr="001176E3">
              <w:lastRenderedPageBreak/>
              <w:t>contraindicated.</w:t>
            </w:r>
          </w:p>
        </w:tc>
      </w:tr>
      <w:tr w:rsidR="001176E3" w:rsidRPr="001176E3" w:rsidTr="00134F54">
        <w:tc>
          <w:tcPr>
            <w:tcW w:w="1926" w:type="dxa"/>
          </w:tcPr>
          <w:p w:rsidR="001176E3" w:rsidRPr="001176E3" w:rsidRDefault="001176E3" w:rsidP="005334B7">
            <w:pPr>
              <w:spacing w:before="0" w:after="0"/>
            </w:pPr>
            <w:r w:rsidRPr="001176E3">
              <w:lastRenderedPageBreak/>
              <w:t>Switzerland</w:t>
            </w:r>
          </w:p>
        </w:tc>
        <w:tc>
          <w:tcPr>
            <w:tcW w:w="2151" w:type="dxa"/>
            <w:hideMark/>
          </w:tcPr>
          <w:p w:rsidR="001176E3" w:rsidRPr="001176E3" w:rsidRDefault="001176E3" w:rsidP="005334B7">
            <w:pPr>
              <w:spacing w:before="0" w:after="0"/>
            </w:pPr>
            <w:r>
              <w:t>24 March 2009</w:t>
            </w:r>
          </w:p>
        </w:tc>
        <w:tc>
          <w:tcPr>
            <w:tcW w:w="4820" w:type="dxa"/>
            <w:hideMark/>
          </w:tcPr>
          <w:p w:rsidR="001176E3" w:rsidRPr="001176E3" w:rsidRDefault="001176E3" w:rsidP="005334B7">
            <w:pPr>
              <w:spacing w:before="0" w:after="0"/>
            </w:pPr>
            <w:r>
              <w:t>Same as for the EU</w:t>
            </w:r>
          </w:p>
        </w:tc>
      </w:tr>
      <w:tr w:rsidR="001176E3" w:rsidRPr="001176E3" w:rsidTr="00134F54">
        <w:tc>
          <w:tcPr>
            <w:tcW w:w="1926" w:type="dxa"/>
          </w:tcPr>
          <w:p w:rsidR="001176E3" w:rsidRPr="001176E3" w:rsidRDefault="001176E3" w:rsidP="005334B7">
            <w:pPr>
              <w:spacing w:before="0" w:after="0"/>
            </w:pPr>
            <w:r>
              <w:t>Canada</w:t>
            </w:r>
          </w:p>
        </w:tc>
        <w:tc>
          <w:tcPr>
            <w:tcW w:w="2151" w:type="dxa"/>
            <w:hideMark/>
          </w:tcPr>
          <w:p w:rsidR="001176E3" w:rsidRDefault="001176E3" w:rsidP="005334B7">
            <w:pPr>
              <w:spacing w:before="0" w:after="0"/>
            </w:pPr>
            <w:r w:rsidRPr="001176E3">
              <w:t>29 Jun 2010</w:t>
            </w:r>
          </w:p>
        </w:tc>
        <w:tc>
          <w:tcPr>
            <w:tcW w:w="4820" w:type="dxa"/>
            <w:hideMark/>
          </w:tcPr>
          <w:p w:rsidR="001176E3" w:rsidRDefault="004B3262" w:rsidP="005334B7">
            <w:pPr>
              <w:spacing w:before="0" w:after="0"/>
            </w:pPr>
            <w:r>
              <w:t>Olimel</w:t>
            </w:r>
            <w:r w:rsidR="001176E3" w:rsidRPr="001176E3">
              <w:t>/Peri</w:t>
            </w:r>
            <w:r>
              <w:t>Olimel</w:t>
            </w:r>
            <w:r w:rsidR="001176E3">
              <w:t xml:space="preserve"> </w:t>
            </w:r>
            <w:r w:rsidR="001176E3" w:rsidRPr="001176E3">
              <w:t>(Amino Acids, Dextrose,</w:t>
            </w:r>
            <w:r w:rsidR="001176E3">
              <w:t xml:space="preserve"> </w:t>
            </w:r>
            <w:proofErr w:type="gramStart"/>
            <w:r w:rsidR="001176E3" w:rsidRPr="001176E3">
              <w:t>Lipids</w:t>
            </w:r>
            <w:proofErr w:type="gramEnd"/>
            <w:r w:rsidR="001176E3" w:rsidRPr="001176E3">
              <w:t>, with /without</w:t>
            </w:r>
            <w:r w:rsidR="001176E3">
              <w:t xml:space="preserve"> </w:t>
            </w:r>
            <w:r w:rsidR="001176E3" w:rsidRPr="001176E3">
              <w:t>Electrolytes) is indicated for</w:t>
            </w:r>
            <w:r w:rsidR="001176E3">
              <w:t xml:space="preserve"> </w:t>
            </w:r>
            <w:r w:rsidR="001176E3" w:rsidRPr="001176E3">
              <w:t>parenteral nutrition for adults</w:t>
            </w:r>
            <w:r w:rsidR="001176E3">
              <w:t xml:space="preserve"> </w:t>
            </w:r>
            <w:r w:rsidR="001176E3" w:rsidRPr="001176E3">
              <w:t>when oral or enteral nutrition</w:t>
            </w:r>
            <w:r w:rsidR="001176E3">
              <w:t xml:space="preserve"> </w:t>
            </w:r>
            <w:r w:rsidR="001176E3" w:rsidRPr="001176E3">
              <w:t>is impossible, insufficient or</w:t>
            </w:r>
            <w:r w:rsidR="001176E3">
              <w:t xml:space="preserve"> </w:t>
            </w:r>
            <w:r w:rsidR="001176E3" w:rsidRPr="001176E3">
              <w:t>contraindicated.</w:t>
            </w:r>
          </w:p>
        </w:tc>
      </w:tr>
      <w:tr w:rsidR="001176E3" w:rsidRPr="001176E3" w:rsidTr="00134F54">
        <w:trPr>
          <w:cantSplit/>
        </w:trPr>
        <w:tc>
          <w:tcPr>
            <w:tcW w:w="1926" w:type="dxa"/>
          </w:tcPr>
          <w:p w:rsidR="001176E3" w:rsidRPr="001176E3" w:rsidRDefault="001176E3" w:rsidP="005334B7">
            <w:pPr>
              <w:spacing w:before="0" w:after="0"/>
            </w:pPr>
            <w:r w:rsidRPr="001176E3">
              <w:t>New Zealand</w:t>
            </w:r>
          </w:p>
        </w:tc>
        <w:tc>
          <w:tcPr>
            <w:tcW w:w="2151" w:type="dxa"/>
            <w:hideMark/>
          </w:tcPr>
          <w:p w:rsidR="001176E3" w:rsidRPr="001176E3" w:rsidRDefault="001176E3" w:rsidP="005334B7">
            <w:pPr>
              <w:spacing w:before="0" w:after="0"/>
            </w:pPr>
            <w:r w:rsidRPr="001176E3">
              <w:t>28 Feb</w:t>
            </w:r>
            <w:r>
              <w:t>ruary</w:t>
            </w:r>
            <w:r w:rsidRPr="001176E3">
              <w:t xml:space="preserve"> 2013</w:t>
            </w:r>
          </w:p>
        </w:tc>
        <w:tc>
          <w:tcPr>
            <w:tcW w:w="4820" w:type="dxa"/>
            <w:hideMark/>
          </w:tcPr>
          <w:p w:rsidR="001176E3" w:rsidRPr="001176E3" w:rsidRDefault="004B3262" w:rsidP="005334B7">
            <w:pPr>
              <w:spacing w:before="0" w:after="0"/>
            </w:pPr>
            <w:r>
              <w:t>Olimel</w:t>
            </w:r>
            <w:r w:rsidR="001176E3">
              <w:t>/Peri</w:t>
            </w:r>
            <w:r>
              <w:t>Olimel</w:t>
            </w:r>
            <w:r w:rsidR="001176E3" w:rsidRPr="001176E3">
              <w:t xml:space="preserve"> is indicated for parenteral nutrition for adults and children above 2 years of age when oral or enteral nutrition is not possible, insufficient, or contraindicated.</w:t>
            </w:r>
          </w:p>
        </w:tc>
      </w:tr>
    </w:tbl>
    <w:p w:rsidR="001176E3" w:rsidRPr="00134F54" w:rsidRDefault="001176E3" w:rsidP="005334B7">
      <w:pPr>
        <w:pStyle w:val="TableDescription"/>
      </w:pPr>
      <w:r w:rsidRPr="00134F54">
        <w:t>*</w:t>
      </w:r>
      <w:proofErr w:type="spellStart"/>
      <w:r w:rsidRPr="00134F54">
        <w:t>T</w:t>
      </w:r>
      <w:r w:rsidR="00C83289" w:rsidRPr="00134F54">
        <w:t>riomel</w:t>
      </w:r>
      <w:proofErr w:type="spellEnd"/>
      <w:r w:rsidRPr="00134F54">
        <w:t xml:space="preserve"> is the trade name used in UK and some European countries.</w:t>
      </w:r>
    </w:p>
    <w:p w:rsidR="008E7846" w:rsidRDefault="008E7846" w:rsidP="008E7846">
      <w:pPr>
        <w:pStyle w:val="Heading3"/>
      </w:pPr>
      <w:bookmarkStart w:id="13" w:name="_Toc247691505"/>
      <w:bookmarkStart w:id="14" w:name="_Toc314842486"/>
      <w:bookmarkStart w:id="15" w:name="_Toc370724484"/>
      <w:r>
        <w:t>Product Information</w:t>
      </w:r>
      <w:bookmarkEnd w:id="13"/>
      <w:bookmarkEnd w:id="14"/>
      <w:bookmarkEnd w:id="15"/>
    </w:p>
    <w:p w:rsidR="008E7846" w:rsidRDefault="008E7846" w:rsidP="008E784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70724485"/>
      <w:r>
        <w:t>II. Quality</w:t>
      </w:r>
      <w:bookmarkEnd w:id="1"/>
      <w:r>
        <w:t xml:space="preserve"> findings</w:t>
      </w:r>
      <w:bookmarkEnd w:id="16"/>
      <w:bookmarkEnd w:id="17"/>
      <w:bookmarkEnd w:id="18"/>
    </w:p>
    <w:p w:rsidR="004153BE" w:rsidRPr="004153BE" w:rsidRDefault="004153BE" w:rsidP="004153BE">
      <w:r w:rsidRPr="004153BE">
        <w:t>The proposed TPN products are qualitatively simi</w:t>
      </w:r>
      <w:r w:rsidR="0061295C">
        <w:t>lar in formulation to Baxter’s OliClinomel</w:t>
      </w:r>
      <w:r w:rsidRPr="004153BE">
        <w:t xml:space="preserve"> products </w:t>
      </w:r>
      <w:r w:rsidR="00C83289">
        <w:t>(</w:t>
      </w:r>
      <w:r w:rsidRPr="004153BE">
        <w:t>registered in Australia since 2007</w:t>
      </w:r>
      <w:r w:rsidR="00C83289">
        <w:t>)</w:t>
      </w:r>
      <w:r w:rsidRPr="004153BE">
        <w:t xml:space="preserve"> but contain two additional amino acids: L-aspartic acid and L-glutamic acid.</w:t>
      </w:r>
    </w:p>
    <w:p w:rsidR="004153BE" w:rsidRPr="004153BE" w:rsidRDefault="004153BE" w:rsidP="004153BE">
      <w:r w:rsidRPr="004153BE">
        <w:t>These two amino acids, which are found in the blood and are normal components of cell proteins, are</w:t>
      </w:r>
      <w:r w:rsidR="0061295C">
        <w:t xml:space="preserve"> included in Baxter's </w:t>
      </w:r>
      <w:r w:rsidRPr="004153BE">
        <w:t>Primene 10% amino acids solu</w:t>
      </w:r>
      <w:r w:rsidR="00921855">
        <w:t>tion for injection bottle (AUST</w:t>
      </w:r>
      <w:r w:rsidRPr="004153BE">
        <w:t xml:space="preserve">R 79618), and also in Fresenius’ </w:t>
      </w:r>
      <w:r w:rsidR="00921855">
        <w:t xml:space="preserve">registered </w:t>
      </w:r>
      <w:r w:rsidRPr="004153BE">
        <w:t>Kabiven products. There are no know incompatibilities between either aspartic or glutamic acid and any of the other components of either the amino acid solution with or without electrolytes, or the ternary mixture.</w:t>
      </w:r>
    </w:p>
    <w:p w:rsidR="004153BE" w:rsidRPr="004153BE" w:rsidRDefault="004153BE" w:rsidP="004153BE">
      <w:r w:rsidRPr="004153BE">
        <w:t>The proposed for</w:t>
      </w:r>
      <w:r w:rsidR="0061295C">
        <w:t xml:space="preserve">mulations also differ from the </w:t>
      </w:r>
      <w:r w:rsidRPr="004153BE">
        <w:t xml:space="preserve">OliClinomel products in that the amino acid </w:t>
      </w:r>
      <w:r w:rsidR="00A433B7">
        <w:t>lysine</w:t>
      </w:r>
      <w:r w:rsidR="00A433B7" w:rsidRPr="004153BE">
        <w:t xml:space="preserve"> </w:t>
      </w:r>
      <w:r w:rsidRPr="004153BE">
        <w:t>is present as the acetate salt instead of the hydrochloride salt.</w:t>
      </w:r>
    </w:p>
    <w:p w:rsidR="004153BE" w:rsidRPr="004153BE" w:rsidRDefault="004153BE" w:rsidP="004153BE">
      <w:r w:rsidRPr="004153BE">
        <w:t xml:space="preserve">Four of the six presentations proposed for Australia will include sodium acetate </w:t>
      </w:r>
      <w:proofErr w:type="spellStart"/>
      <w:r w:rsidRPr="004153BE">
        <w:t>trihydrate</w:t>
      </w:r>
      <w:proofErr w:type="spellEnd"/>
      <w:r w:rsidRPr="004153BE">
        <w:t xml:space="preserve">, sodium </w:t>
      </w:r>
      <w:proofErr w:type="spellStart"/>
      <w:r w:rsidRPr="004153BE">
        <w:t>glycerophosphate</w:t>
      </w:r>
      <w:proofErr w:type="spellEnd"/>
      <w:r w:rsidR="00A433B7">
        <w:t xml:space="preserve"> hydrate</w:t>
      </w:r>
      <w:r w:rsidRPr="004153BE">
        <w:t>, potassium chloride and magnesium chloride hexahydrate in the amino acid component, and calcium chloride dihydrate in the glucose component, with t</w:t>
      </w:r>
      <w:r w:rsidR="0061295C">
        <w:t xml:space="preserve">hese also being present in the </w:t>
      </w:r>
      <w:r w:rsidRPr="004153BE">
        <w:t>OliClinomel products currently registered in Austr</w:t>
      </w:r>
      <w:r w:rsidR="00134F54">
        <w:t>alia that contain electrolytes.</w:t>
      </w:r>
    </w:p>
    <w:p w:rsidR="00C83289" w:rsidRDefault="004153BE" w:rsidP="00134F54">
      <w:r w:rsidRPr="004153BE">
        <w:t xml:space="preserve">The amino acids, electrolytes, glucose, lipids and the amino acid blend are tested by the finished product manufacturer to the requirements of the corresponding </w:t>
      </w:r>
      <w:r w:rsidR="0061295C">
        <w:t>European Pharmacopoeia (</w:t>
      </w:r>
      <w:r w:rsidRPr="004153BE">
        <w:t>Ph Eur</w:t>
      </w:r>
      <w:r w:rsidR="0061295C">
        <w:t>)</w:t>
      </w:r>
      <w:r w:rsidRPr="004153BE">
        <w:t xml:space="preserve"> monographs. Individual amino acids are not currently used in the manufa</w:t>
      </w:r>
      <w:r w:rsidR="00134F54">
        <w:t>cture of the finished products.</w:t>
      </w:r>
    </w:p>
    <w:p w:rsidR="004153BE" w:rsidRPr="00DE6D1E" w:rsidRDefault="004153BE" w:rsidP="00DE6D1E">
      <w:r w:rsidRPr="00DE6D1E">
        <w:t xml:space="preserve">The excipients, all of which are </w:t>
      </w:r>
      <w:r w:rsidR="0061295C" w:rsidRPr="00DE6D1E">
        <w:t xml:space="preserve">used in Baxter’s </w:t>
      </w:r>
      <w:proofErr w:type="spellStart"/>
      <w:r w:rsidRPr="00DE6D1E">
        <w:t>OliClinomel</w:t>
      </w:r>
      <w:proofErr w:type="spellEnd"/>
      <w:r w:rsidRPr="00DE6D1E">
        <w:t xml:space="preserve"> products, are also tested to Ph Eur requirements</w:t>
      </w:r>
      <w:r w:rsidR="008B665D" w:rsidRPr="00DE6D1E">
        <w:t>,</w:t>
      </w:r>
      <w:r w:rsidRPr="00DE6D1E">
        <w:t xml:space="preserve"> except for the sodium </w:t>
      </w:r>
      <w:proofErr w:type="spellStart"/>
      <w:r w:rsidRPr="00DE6D1E">
        <w:t>oleate</w:t>
      </w:r>
      <w:proofErr w:type="spellEnd"/>
      <w:r w:rsidR="008B665D" w:rsidRPr="00DE6D1E">
        <w:t xml:space="preserve"> and purified egg phospholipids</w:t>
      </w:r>
      <w:r w:rsidRPr="00DE6D1E">
        <w:t xml:space="preserve"> for which the specifications and test methods are as used in relation to Baxter’s </w:t>
      </w:r>
      <w:proofErr w:type="spellStart"/>
      <w:r w:rsidRPr="00DE6D1E">
        <w:t>OliClinomel</w:t>
      </w:r>
      <w:proofErr w:type="spellEnd"/>
      <w:r w:rsidRPr="00DE6D1E">
        <w:t xml:space="preserve"> products.</w:t>
      </w:r>
    </w:p>
    <w:p w:rsidR="004153BE" w:rsidRPr="00DE6D1E" w:rsidRDefault="0061295C" w:rsidP="00DE6D1E">
      <w:r w:rsidRPr="00DE6D1E">
        <w:t xml:space="preserve">Data was evaluated on the </w:t>
      </w:r>
      <w:r w:rsidR="004153BE" w:rsidRPr="00DE6D1E">
        <w:t>composition and nutritional characteristics of the proposed finished products with and without electrolytes</w:t>
      </w:r>
      <w:r w:rsidRPr="00DE6D1E">
        <w:t xml:space="preserve"> and on the d</w:t>
      </w:r>
      <w:r w:rsidR="004153BE" w:rsidRPr="00DE6D1E">
        <w:t xml:space="preserve">ifferent bag sizes </w:t>
      </w:r>
      <w:r w:rsidR="00C83289" w:rsidRPr="00DE6D1E">
        <w:t xml:space="preserve">that </w:t>
      </w:r>
      <w:r w:rsidR="004153BE" w:rsidRPr="00DE6D1E">
        <w:t>are prop</w:t>
      </w:r>
      <w:r w:rsidR="00134F54">
        <w:t>osed. No overages are employed.</w:t>
      </w:r>
    </w:p>
    <w:p w:rsidR="004153BE" w:rsidRPr="004153BE" w:rsidRDefault="004153BE" w:rsidP="004153BE">
      <w:r w:rsidRPr="004153BE">
        <w:lastRenderedPageBreak/>
        <w:t xml:space="preserve">The triple-chamber container in which the finished products will be packaged is </w:t>
      </w:r>
      <w:r w:rsidR="0061295C">
        <w:t xml:space="preserve">identical to that used for the </w:t>
      </w:r>
      <w:r w:rsidRPr="004153BE">
        <w:t xml:space="preserve">OliClinomel product range; viz., a non-polyvinylchloride (non-PVC), multilayered, lipid-compatible plastic bag (primary packaging), wrapped in a clear oxygen-barrier plastic over-wrap (secondary packaging) that contains an oxygen absorber and oxygen indicator. The three chambers, each fitted with a port tube allowing the filling of the solutions/emulsion, are separated by optional peel seals. Prior to </w:t>
      </w:r>
      <w:r w:rsidR="0061295C">
        <w:t>intravenous (</w:t>
      </w:r>
      <w:r w:rsidRPr="004153BE">
        <w:t>IV</w:t>
      </w:r>
      <w:r w:rsidR="0061295C">
        <w:t>)</w:t>
      </w:r>
      <w:r w:rsidR="00033D3C">
        <w:t xml:space="preserve"> administration</w:t>
      </w:r>
      <w:r w:rsidRPr="004153BE">
        <w:t xml:space="preserve"> the seals are opened (activated) by rolling the chambers and the emulsion and solutions are mixed together (admixed) to form the final product.</w:t>
      </w:r>
    </w:p>
    <w:p w:rsidR="004153BE" w:rsidRPr="004153BE" w:rsidRDefault="004153BE" w:rsidP="004153BE">
      <w:r w:rsidRPr="004153BE">
        <w:t xml:space="preserve">The pH of the hypertonic ternary mixture is </w:t>
      </w:r>
      <w:r w:rsidR="0061295C">
        <w:t xml:space="preserve">approximately </w:t>
      </w:r>
      <w:r w:rsidRPr="004153BE">
        <w:t>6.4. The stability data support a shelf life for the unmixed finished products of 24 months stored below 25°C and protected from light. Whilst the in-use data support Baxter’s claim that the ternary mixt</w:t>
      </w:r>
      <w:r w:rsidR="0061295C">
        <w:t>ure is stable when stored at 2°</w:t>
      </w:r>
      <w:r w:rsidR="00C83289">
        <w:t>-</w:t>
      </w:r>
      <w:r w:rsidRPr="004153BE">
        <w:t>8°C protected from light for 7 days followed by 48 h</w:t>
      </w:r>
      <w:r w:rsidR="0061295C">
        <w:t xml:space="preserve"> </w:t>
      </w:r>
      <w:r w:rsidRPr="004153BE">
        <w:t xml:space="preserve">at either 25°C </w:t>
      </w:r>
      <w:r w:rsidR="00C83289">
        <w:t>±</w:t>
      </w:r>
      <w:r w:rsidRPr="004153BE">
        <w:t xml:space="preserve"> 2°C or 30°C ± 2°C exposed to normal </w:t>
      </w:r>
      <w:r w:rsidR="0061295C">
        <w:t xml:space="preserve">transmitted light illumination (approximately </w:t>
      </w:r>
      <w:r w:rsidRPr="004153BE">
        <w:t>700 lux), the company is aware that microbiological considerations preclude storage for longer than 24 h</w:t>
      </w:r>
      <w:r w:rsidR="0061295C">
        <w:t xml:space="preserve"> </w:t>
      </w:r>
      <w:r w:rsidR="00C83289">
        <w:t>at 2°-</w:t>
      </w:r>
      <w:r w:rsidR="00033D3C">
        <w:t>8°C</w:t>
      </w:r>
      <w:r w:rsidRPr="004153BE">
        <w:t xml:space="preserve"> as indicated in the </w:t>
      </w:r>
      <w:r w:rsidR="0061295C">
        <w:t xml:space="preserve">draft PI </w:t>
      </w:r>
      <w:r w:rsidRPr="004153BE">
        <w:t>document.</w:t>
      </w:r>
    </w:p>
    <w:p w:rsidR="00E076D2" w:rsidRDefault="00432FAB" w:rsidP="00E076D2">
      <w:r>
        <w:t xml:space="preserve">Limits proposed for an </w:t>
      </w:r>
      <w:r w:rsidR="004153BE" w:rsidRPr="004153BE">
        <w:t>impurity controlled in the finished product specifications</w:t>
      </w:r>
      <w:r>
        <w:t xml:space="preserve"> and for a </w:t>
      </w:r>
      <w:proofErr w:type="spellStart"/>
      <w:r w:rsidR="004153BE" w:rsidRPr="004153BE">
        <w:t>degradant</w:t>
      </w:r>
      <w:proofErr w:type="spellEnd"/>
      <w:r w:rsidR="004153BE" w:rsidRPr="004153BE">
        <w:t xml:space="preserve"> </w:t>
      </w:r>
      <w:r>
        <w:t xml:space="preserve">are </w:t>
      </w:r>
      <w:r w:rsidR="004153BE" w:rsidRPr="004153BE">
        <w:t>acceptable.</w:t>
      </w:r>
    </w:p>
    <w:p w:rsidR="00E076D2" w:rsidRPr="004153BE" w:rsidRDefault="00E076D2" w:rsidP="00E076D2">
      <w:r w:rsidRPr="004153BE">
        <w:t>Sterility and safety-endotoxins aspects of the submission ha</w:t>
      </w:r>
      <w:r>
        <w:t>ve been evaluated independently</w:t>
      </w:r>
      <w:r w:rsidRPr="004153BE">
        <w:t xml:space="preserve"> and all matters have been resolved.</w:t>
      </w:r>
    </w:p>
    <w:p w:rsidR="00C91B49" w:rsidRDefault="00C91B49" w:rsidP="00C91B49">
      <w:pPr>
        <w:pStyle w:val="Heading3"/>
      </w:pPr>
      <w:bookmarkStart w:id="19" w:name="_Toc314842492"/>
      <w:bookmarkStart w:id="20" w:name="_Toc370724486"/>
      <w:r>
        <w:t>Advisory committee considerations</w:t>
      </w:r>
      <w:bookmarkEnd w:id="19"/>
      <w:bookmarkEnd w:id="20"/>
    </w:p>
    <w:p w:rsidR="00C91B49" w:rsidRDefault="00C91B49" w:rsidP="00C91B49">
      <w:r>
        <w:t>This application was presented to the March 2013 Meeting of the Pharmaceutical Subcommittee (PSC) of the Advisory Committee on</w:t>
      </w:r>
      <w:r w:rsidR="00134F54">
        <w:t xml:space="preserve"> Prescription Medicines (ACPM).</w:t>
      </w:r>
    </w:p>
    <w:p w:rsidR="00C91B49" w:rsidRPr="00C91B49" w:rsidRDefault="00C91B49" w:rsidP="00C91B49">
      <w:r w:rsidRPr="00C91B49">
        <w:t>The PSC noted the absence of any reference to stability testing of future batches (</w:t>
      </w:r>
      <w:r>
        <w:t xml:space="preserve">for example, </w:t>
      </w:r>
      <w:r w:rsidRPr="00C91B49">
        <w:t xml:space="preserve">one batch a year) of the drug products and advised that commitment should be sought from the </w:t>
      </w:r>
      <w:r>
        <w:t>s</w:t>
      </w:r>
      <w:r w:rsidR="00134F54">
        <w:t>ponsor on this issue.</w:t>
      </w:r>
    </w:p>
    <w:p w:rsidR="00C91B49" w:rsidRPr="00C91B49" w:rsidRDefault="00C91B49" w:rsidP="00C91B49">
      <w:r w:rsidRPr="00C91B49">
        <w:rPr>
          <w:bCs/>
        </w:rPr>
        <w:t>Overall, the PSC endorsed all the questions raised by the TGA in relation to quality and pharmaceutic aspects of the submission and agreed that the outstanding issues especially in relation to good manufacturing practice</w:t>
      </w:r>
      <w:r w:rsidRPr="00C91B49">
        <w:t xml:space="preserve"> (GMP) clearance should be addressed to the satisfaction of the TGA.</w:t>
      </w:r>
    </w:p>
    <w:p w:rsidR="0061295C" w:rsidRPr="0061295C" w:rsidRDefault="0061295C" w:rsidP="005334B7">
      <w:pPr>
        <w:pStyle w:val="Heading3"/>
      </w:pPr>
      <w:bookmarkStart w:id="21" w:name="_Toc370724487"/>
      <w:r w:rsidRPr="0061295C">
        <w:t>Quality summary and conclusions</w:t>
      </w:r>
      <w:bookmarkEnd w:id="21"/>
    </w:p>
    <w:p w:rsidR="004153BE" w:rsidRPr="004153BE" w:rsidRDefault="004153BE" w:rsidP="004153BE">
      <w:r w:rsidRPr="004153BE">
        <w:t xml:space="preserve">There are no objections in respect of </w:t>
      </w:r>
      <w:proofErr w:type="gramStart"/>
      <w:r w:rsidR="00C91B49">
        <w:t>c</w:t>
      </w:r>
      <w:r w:rsidRPr="004153BE">
        <w:t>hemistry,</w:t>
      </w:r>
      <w:proofErr w:type="gramEnd"/>
      <w:r w:rsidRPr="004153BE">
        <w:t xml:space="preserve"> </w:t>
      </w:r>
      <w:r w:rsidR="00C91B49">
        <w:t>m</w:t>
      </w:r>
      <w:r w:rsidRPr="004153BE">
        <w:t xml:space="preserve">anufacturing and </w:t>
      </w:r>
      <w:r w:rsidR="00C91B49">
        <w:t>c</w:t>
      </w:r>
      <w:r w:rsidRPr="004153BE">
        <w:t xml:space="preserve">ontrols to registration of these products, provided </w:t>
      </w:r>
      <w:r w:rsidR="0061295C">
        <w:t xml:space="preserve">issues regarding </w:t>
      </w:r>
      <w:r w:rsidRPr="004153BE">
        <w:t>GMP are addressed</w:t>
      </w:r>
      <w:r w:rsidR="0061295C">
        <w:t>.</w:t>
      </w:r>
    </w:p>
    <w:p w:rsidR="008E7846" w:rsidRDefault="008E7846" w:rsidP="008E7846">
      <w:pPr>
        <w:pStyle w:val="Heading2"/>
      </w:pPr>
      <w:bookmarkStart w:id="22" w:name="_Toc196046439"/>
      <w:bookmarkStart w:id="23" w:name="_Toc247691510"/>
      <w:bookmarkStart w:id="24" w:name="_Toc314842494"/>
      <w:bookmarkStart w:id="25" w:name="_Toc370724488"/>
      <w:r>
        <w:t>III. Nonclinical</w:t>
      </w:r>
      <w:bookmarkEnd w:id="22"/>
      <w:r>
        <w:t xml:space="preserve"> findings</w:t>
      </w:r>
      <w:bookmarkEnd w:id="23"/>
      <w:bookmarkEnd w:id="24"/>
      <w:bookmarkEnd w:id="25"/>
    </w:p>
    <w:p w:rsidR="008E7846" w:rsidRDefault="008E7846" w:rsidP="008E7846">
      <w:pPr>
        <w:pStyle w:val="Heading3"/>
      </w:pPr>
      <w:bookmarkStart w:id="26" w:name="_Toc247691511"/>
      <w:bookmarkStart w:id="27" w:name="_Toc314842495"/>
      <w:bookmarkStart w:id="28" w:name="_Toc370724489"/>
      <w:r>
        <w:t>Intro</w:t>
      </w:r>
      <w:r w:rsidRPr="005334B7">
        <w:t>d</w:t>
      </w:r>
      <w:r>
        <w:t>uction</w:t>
      </w:r>
      <w:bookmarkEnd w:id="26"/>
      <w:bookmarkEnd w:id="27"/>
      <w:bookmarkEnd w:id="28"/>
    </w:p>
    <w:p w:rsidR="005C74BB" w:rsidRPr="00A271B3" w:rsidRDefault="005C74BB" w:rsidP="00A271B3">
      <w:r w:rsidRPr="00A271B3">
        <w:t>Baxter Healthcare Pty Ltd has applied to register the new combination products, Olimel and PeriOlimel. Six formulations are proposed, with the formulations being qualitatively similar to OliClinomel, with the exception of 2 additional amino acids</w:t>
      </w:r>
      <w:r w:rsidR="00A271B3" w:rsidRPr="00A271B3">
        <w:t>:</w:t>
      </w:r>
      <w:r w:rsidRPr="00A271B3">
        <w:t xml:space="preserve"> aspartate and glutamate. These additional amino acids are not cons</w:t>
      </w:r>
      <w:r w:rsidR="00A271B3" w:rsidRPr="00A271B3">
        <w:t>idered to pose a safety concern</w:t>
      </w:r>
      <w:r w:rsidRPr="00A271B3">
        <w:t xml:space="preserve"> as their proposed maximum daily dosage levels are below those currently approved for other TPN agents. The amino acid solutions used in the submitted toxicity studies did not contain either of these amino acids.</w:t>
      </w:r>
    </w:p>
    <w:p w:rsidR="005C74BB" w:rsidRPr="00A271B3" w:rsidRDefault="005C74BB" w:rsidP="00A271B3">
      <w:r w:rsidRPr="00A271B3">
        <w:lastRenderedPageBreak/>
        <w:t>The maximum daily dose levels of the majority of the remaining components of Olimel/PeriOlimel are at or below the approved levels obtained from other TPN agents, with the follow</w:t>
      </w:r>
      <w:r w:rsidR="00A271B3" w:rsidRPr="00A271B3">
        <w:t>ing exceptions: the amino acids</w:t>
      </w:r>
      <w:r w:rsidRPr="00A271B3">
        <w:t xml:space="preserve"> alanine, methionine and phenylalanine, the electrolytes calcium chloride and potassium chloride, and sodium glycerophosphate. The acceptability of the proposed levels of these components </w:t>
      </w:r>
      <w:r w:rsidR="00A812C9">
        <w:t>is</w:t>
      </w:r>
      <w:r w:rsidRPr="00A271B3">
        <w:t xml:space="preserve"> discussed below.</w:t>
      </w:r>
    </w:p>
    <w:p w:rsidR="005C74BB" w:rsidRPr="005C74BB" w:rsidRDefault="005C74BB" w:rsidP="005334B7">
      <w:pPr>
        <w:pStyle w:val="Heading4"/>
      </w:pPr>
      <w:bookmarkStart w:id="29" w:name="_Toc347494965"/>
      <w:r w:rsidRPr="005C74BB">
        <w:t>Alanine, methionine and phenylalanine</w:t>
      </w:r>
      <w:bookmarkEnd w:id="29"/>
    </w:p>
    <w:p w:rsidR="005C74BB" w:rsidRPr="005C74BB" w:rsidRDefault="005C74BB" w:rsidP="005C74BB">
      <w:r w:rsidRPr="005C74BB">
        <w:t xml:space="preserve">Alanine, methionine and phenylalanine were present in the 5% synthetic amino acid solution (SAAS) used in the submitted 30 day repeat-dose toxicity study in dogs. At the </w:t>
      </w:r>
      <w:r w:rsidR="00A271B3">
        <w:t>no observed adverse effect level (</w:t>
      </w:r>
      <w:r w:rsidRPr="005C74BB">
        <w:t>NOAEL</w:t>
      </w:r>
      <w:r w:rsidR="00A271B3">
        <w:t>;</w:t>
      </w:r>
      <w:r w:rsidRPr="005C74BB">
        <w:t xml:space="preserve"> 120 mL/kg/day), the levels of these amino acids were above that expected clinically (on a b</w:t>
      </w:r>
      <w:r w:rsidR="00220084">
        <w:t>ody surface area basis) (Table 2</w:t>
      </w:r>
      <w:r w:rsidRPr="005C74BB">
        <w:t xml:space="preserve">) and therefore </w:t>
      </w:r>
      <w:r w:rsidR="00721029">
        <w:t>are</w:t>
      </w:r>
      <w:r w:rsidRPr="005C74BB">
        <w:t xml:space="preserve"> considered acceptable.</w:t>
      </w:r>
    </w:p>
    <w:p w:rsidR="005C74BB" w:rsidRPr="005C74BB" w:rsidRDefault="00220084" w:rsidP="005334B7">
      <w:pPr>
        <w:pStyle w:val="TableTitle"/>
      </w:pPr>
      <w:r>
        <w:t>Table 2</w:t>
      </w:r>
      <w:r w:rsidR="005C74BB" w:rsidRPr="005C74BB">
        <w:t>. Relative dose of different amino acids in the 30 day repeat-dose toxicity study in dogs</w:t>
      </w:r>
    </w:p>
    <w:tbl>
      <w:tblPr>
        <w:tblStyle w:val="TableTGAblue"/>
        <w:tblW w:w="8364" w:type="dxa"/>
        <w:tblInd w:w="108" w:type="dxa"/>
        <w:tblLayout w:type="fixed"/>
        <w:tblLook w:val="01E0"/>
      </w:tblPr>
      <w:tblGrid>
        <w:gridCol w:w="1701"/>
        <w:gridCol w:w="1418"/>
        <w:gridCol w:w="1276"/>
        <w:gridCol w:w="708"/>
        <w:gridCol w:w="1418"/>
        <w:gridCol w:w="850"/>
        <w:gridCol w:w="993"/>
      </w:tblGrid>
      <w:tr w:rsidR="005C74BB" w:rsidRPr="00A271B3" w:rsidTr="00432FAB">
        <w:trPr>
          <w:cnfStyle w:val="100000000000"/>
          <w:trHeight w:val="111"/>
          <w:tblHeader/>
        </w:trPr>
        <w:tc>
          <w:tcPr>
            <w:tcW w:w="1701" w:type="dxa"/>
            <w:vMerge w:val="restart"/>
            <w:hideMark/>
          </w:tcPr>
          <w:p w:rsidR="005C74BB" w:rsidRPr="00A271B3" w:rsidRDefault="005C74BB" w:rsidP="00A271B3">
            <w:pPr>
              <w:spacing w:before="0" w:after="0"/>
              <w:ind w:left="0" w:right="0"/>
              <w:rPr>
                <w:b w:val="0"/>
                <w:kern w:val="22"/>
                <w:sz w:val="20"/>
                <w:szCs w:val="20"/>
              </w:rPr>
            </w:pPr>
            <w:r w:rsidRPr="00A271B3">
              <w:rPr>
                <w:b w:val="0"/>
                <w:kern w:val="22"/>
                <w:sz w:val="20"/>
                <w:szCs w:val="20"/>
              </w:rPr>
              <w:t>Amino acid</w:t>
            </w:r>
          </w:p>
        </w:tc>
        <w:tc>
          <w:tcPr>
            <w:tcW w:w="1418" w:type="dxa"/>
            <w:vMerge w:val="restart"/>
            <w:hideMark/>
          </w:tcPr>
          <w:p w:rsidR="005C74BB" w:rsidRPr="00A271B3" w:rsidRDefault="005C74BB" w:rsidP="00A271B3">
            <w:pPr>
              <w:spacing w:before="0" w:after="0"/>
              <w:ind w:left="0" w:right="0"/>
              <w:rPr>
                <w:b w:val="0"/>
                <w:kern w:val="22"/>
                <w:sz w:val="20"/>
                <w:szCs w:val="20"/>
              </w:rPr>
            </w:pPr>
            <w:r w:rsidRPr="00A271B3">
              <w:rPr>
                <w:b w:val="0"/>
                <w:kern w:val="22"/>
                <w:sz w:val="20"/>
                <w:szCs w:val="20"/>
              </w:rPr>
              <w:t>Conc. in batch (g/L)</w:t>
            </w:r>
          </w:p>
        </w:tc>
        <w:tc>
          <w:tcPr>
            <w:tcW w:w="1984" w:type="dxa"/>
            <w:gridSpan w:val="2"/>
            <w:hideMark/>
          </w:tcPr>
          <w:p w:rsidR="005C74BB" w:rsidRPr="00A271B3" w:rsidRDefault="005C74BB" w:rsidP="00A271B3">
            <w:pPr>
              <w:spacing w:before="0" w:after="0"/>
              <w:ind w:left="0" w:right="0"/>
              <w:rPr>
                <w:b w:val="0"/>
                <w:kern w:val="22"/>
                <w:sz w:val="20"/>
                <w:szCs w:val="20"/>
              </w:rPr>
            </w:pPr>
            <w:r w:rsidRPr="00A271B3">
              <w:rPr>
                <w:b w:val="0"/>
                <w:kern w:val="22"/>
                <w:sz w:val="20"/>
                <w:szCs w:val="20"/>
              </w:rPr>
              <w:t>Dose at the NOAEL</w:t>
            </w:r>
          </w:p>
        </w:tc>
        <w:tc>
          <w:tcPr>
            <w:tcW w:w="2268" w:type="dxa"/>
            <w:gridSpan w:val="2"/>
            <w:hideMark/>
          </w:tcPr>
          <w:p w:rsidR="005C74BB" w:rsidRPr="00A271B3" w:rsidRDefault="005C74BB" w:rsidP="00A271B3">
            <w:pPr>
              <w:spacing w:before="0" w:after="0"/>
              <w:ind w:left="0" w:right="0"/>
              <w:rPr>
                <w:b w:val="0"/>
                <w:kern w:val="22"/>
                <w:sz w:val="20"/>
                <w:szCs w:val="20"/>
              </w:rPr>
            </w:pPr>
            <w:r w:rsidRPr="00A271B3">
              <w:rPr>
                <w:b w:val="0"/>
                <w:kern w:val="22"/>
                <w:sz w:val="20"/>
                <w:szCs w:val="20"/>
              </w:rPr>
              <w:t>Maximum clinical dose</w:t>
            </w:r>
          </w:p>
        </w:tc>
        <w:tc>
          <w:tcPr>
            <w:tcW w:w="993" w:type="dxa"/>
            <w:vMerge w:val="restart"/>
            <w:hideMark/>
          </w:tcPr>
          <w:p w:rsidR="005C74BB" w:rsidRPr="00A271B3" w:rsidRDefault="005C74BB" w:rsidP="00A271B3">
            <w:pPr>
              <w:spacing w:before="0" w:after="0"/>
              <w:ind w:left="0" w:right="0"/>
              <w:rPr>
                <w:b w:val="0"/>
                <w:kern w:val="22"/>
                <w:sz w:val="20"/>
                <w:szCs w:val="20"/>
              </w:rPr>
            </w:pPr>
            <w:r w:rsidRPr="00A271B3">
              <w:rPr>
                <w:b w:val="0"/>
                <w:kern w:val="22"/>
                <w:sz w:val="20"/>
                <w:szCs w:val="20"/>
              </w:rPr>
              <w:t>Relative dose</w:t>
            </w:r>
          </w:p>
        </w:tc>
      </w:tr>
      <w:tr w:rsidR="005C74BB" w:rsidRPr="00A271B3" w:rsidTr="00432FAB">
        <w:trPr>
          <w:cnfStyle w:val="100000000000"/>
          <w:trHeight w:val="111"/>
          <w:tblHeader/>
        </w:trPr>
        <w:tc>
          <w:tcPr>
            <w:tcW w:w="1701" w:type="dxa"/>
            <w:vMerge/>
            <w:hideMark/>
          </w:tcPr>
          <w:p w:rsidR="005C74BB" w:rsidRPr="00A271B3" w:rsidRDefault="005C74BB" w:rsidP="00A271B3">
            <w:pPr>
              <w:spacing w:before="0" w:after="0"/>
              <w:ind w:left="0" w:right="0"/>
              <w:rPr>
                <w:b w:val="0"/>
                <w:kern w:val="22"/>
                <w:sz w:val="20"/>
                <w:szCs w:val="20"/>
              </w:rPr>
            </w:pPr>
          </w:p>
        </w:tc>
        <w:tc>
          <w:tcPr>
            <w:tcW w:w="1418" w:type="dxa"/>
            <w:vMerge/>
            <w:hideMark/>
          </w:tcPr>
          <w:p w:rsidR="005C74BB" w:rsidRPr="00A271B3" w:rsidRDefault="005C74BB" w:rsidP="00A271B3">
            <w:pPr>
              <w:spacing w:before="0" w:after="0"/>
              <w:ind w:left="0" w:right="0"/>
              <w:rPr>
                <w:b w:val="0"/>
                <w:kern w:val="22"/>
                <w:sz w:val="20"/>
                <w:szCs w:val="20"/>
              </w:rPr>
            </w:pPr>
          </w:p>
        </w:tc>
        <w:tc>
          <w:tcPr>
            <w:tcW w:w="1276" w:type="dxa"/>
            <w:hideMark/>
          </w:tcPr>
          <w:p w:rsidR="005C74BB" w:rsidRPr="00A271B3" w:rsidRDefault="005C74BB" w:rsidP="00A271B3">
            <w:pPr>
              <w:spacing w:before="0" w:after="0"/>
              <w:ind w:left="0" w:right="0"/>
              <w:rPr>
                <w:b w:val="0"/>
                <w:kern w:val="22"/>
                <w:sz w:val="20"/>
                <w:szCs w:val="20"/>
              </w:rPr>
            </w:pPr>
            <w:r w:rsidRPr="00A271B3">
              <w:rPr>
                <w:b w:val="0"/>
                <w:kern w:val="22"/>
                <w:sz w:val="20"/>
                <w:szCs w:val="20"/>
              </w:rPr>
              <w:t>mg/kg/day</w:t>
            </w:r>
          </w:p>
        </w:tc>
        <w:tc>
          <w:tcPr>
            <w:tcW w:w="708" w:type="dxa"/>
            <w:hideMark/>
          </w:tcPr>
          <w:p w:rsidR="005C74BB" w:rsidRPr="00A271B3" w:rsidRDefault="005C74BB" w:rsidP="00A271B3">
            <w:pPr>
              <w:spacing w:before="0" w:after="0"/>
              <w:ind w:left="0" w:right="0"/>
              <w:rPr>
                <w:b w:val="0"/>
                <w:kern w:val="22"/>
                <w:sz w:val="20"/>
                <w:szCs w:val="20"/>
                <w:vertAlign w:val="superscript"/>
              </w:rPr>
            </w:pPr>
            <w:r w:rsidRPr="00A271B3">
              <w:rPr>
                <w:b w:val="0"/>
                <w:kern w:val="22"/>
                <w:sz w:val="20"/>
                <w:szCs w:val="20"/>
              </w:rPr>
              <w:t>g/m</w:t>
            </w:r>
            <w:r w:rsidRPr="00A271B3">
              <w:rPr>
                <w:b w:val="0"/>
                <w:kern w:val="22"/>
                <w:sz w:val="20"/>
                <w:szCs w:val="20"/>
                <w:vertAlign w:val="superscript"/>
              </w:rPr>
              <w:t>2</w:t>
            </w:r>
          </w:p>
        </w:tc>
        <w:tc>
          <w:tcPr>
            <w:tcW w:w="1418" w:type="dxa"/>
            <w:hideMark/>
          </w:tcPr>
          <w:p w:rsidR="005C74BB" w:rsidRPr="00A271B3" w:rsidRDefault="005C74BB" w:rsidP="00A271B3">
            <w:pPr>
              <w:spacing w:before="0" w:after="0"/>
              <w:ind w:left="0" w:right="0"/>
              <w:rPr>
                <w:b w:val="0"/>
                <w:kern w:val="22"/>
                <w:sz w:val="20"/>
                <w:szCs w:val="20"/>
              </w:rPr>
            </w:pPr>
            <w:r w:rsidRPr="00A271B3">
              <w:rPr>
                <w:b w:val="0"/>
                <w:kern w:val="22"/>
                <w:sz w:val="20"/>
                <w:szCs w:val="20"/>
              </w:rPr>
              <w:t>mg/kg/day</w:t>
            </w:r>
          </w:p>
        </w:tc>
        <w:tc>
          <w:tcPr>
            <w:tcW w:w="850" w:type="dxa"/>
            <w:hideMark/>
          </w:tcPr>
          <w:p w:rsidR="005C74BB" w:rsidRPr="00A271B3" w:rsidRDefault="005C74BB" w:rsidP="00A271B3">
            <w:pPr>
              <w:spacing w:before="0" w:after="0"/>
              <w:ind w:left="0" w:right="0"/>
              <w:rPr>
                <w:b w:val="0"/>
                <w:kern w:val="22"/>
                <w:sz w:val="20"/>
                <w:szCs w:val="20"/>
                <w:vertAlign w:val="superscript"/>
              </w:rPr>
            </w:pPr>
            <w:r w:rsidRPr="00A271B3">
              <w:rPr>
                <w:b w:val="0"/>
                <w:kern w:val="22"/>
                <w:sz w:val="20"/>
                <w:szCs w:val="20"/>
              </w:rPr>
              <w:t>g/m</w:t>
            </w:r>
            <w:r w:rsidRPr="00A271B3">
              <w:rPr>
                <w:b w:val="0"/>
                <w:kern w:val="22"/>
                <w:sz w:val="20"/>
                <w:szCs w:val="20"/>
                <w:vertAlign w:val="superscript"/>
              </w:rPr>
              <w:t>2</w:t>
            </w:r>
          </w:p>
        </w:tc>
        <w:tc>
          <w:tcPr>
            <w:tcW w:w="993" w:type="dxa"/>
            <w:vMerge/>
            <w:hideMark/>
          </w:tcPr>
          <w:p w:rsidR="005C74BB" w:rsidRPr="00A271B3" w:rsidRDefault="005C74BB" w:rsidP="00A271B3">
            <w:pPr>
              <w:spacing w:before="0" w:after="0"/>
              <w:ind w:left="0" w:right="0"/>
              <w:rPr>
                <w:b w:val="0"/>
                <w:kern w:val="22"/>
                <w:sz w:val="20"/>
                <w:szCs w:val="20"/>
              </w:rPr>
            </w:pPr>
          </w:p>
        </w:tc>
      </w:tr>
      <w:tr w:rsidR="005C74BB" w:rsidRPr="00A271B3" w:rsidTr="00432FAB">
        <w:trPr>
          <w:trHeight w:val="255"/>
        </w:trPr>
        <w:tc>
          <w:tcPr>
            <w:tcW w:w="1701" w:type="dxa"/>
            <w:hideMark/>
          </w:tcPr>
          <w:p w:rsidR="0021008B" w:rsidRPr="00A271B3" w:rsidRDefault="005C74BB" w:rsidP="00A271B3">
            <w:pPr>
              <w:spacing w:before="0" w:after="0"/>
              <w:ind w:left="0" w:right="0"/>
              <w:rPr>
                <w:kern w:val="22"/>
                <w:sz w:val="20"/>
                <w:szCs w:val="20"/>
              </w:rPr>
            </w:pPr>
            <w:r w:rsidRPr="00A271B3">
              <w:rPr>
                <w:kern w:val="22"/>
                <w:sz w:val="20"/>
                <w:szCs w:val="20"/>
              </w:rPr>
              <w:t>Alanine</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10.4</w:t>
            </w:r>
          </w:p>
        </w:tc>
        <w:tc>
          <w:tcPr>
            <w:tcW w:w="1276" w:type="dxa"/>
            <w:hideMark/>
          </w:tcPr>
          <w:p w:rsidR="0021008B" w:rsidRPr="00A271B3" w:rsidRDefault="005C74BB" w:rsidP="00A271B3">
            <w:pPr>
              <w:spacing w:before="0" w:after="0"/>
              <w:ind w:left="0" w:right="0"/>
              <w:rPr>
                <w:kern w:val="22"/>
                <w:sz w:val="20"/>
                <w:szCs w:val="20"/>
              </w:rPr>
            </w:pPr>
            <w:r w:rsidRPr="00A271B3">
              <w:rPr>
                <w:kern w:val="22"/>
                <w:sz w:val="20"/>
                <w:szCs w:val="20"/>
              </w:rPr>
              <w:t>1248</w:t>
            </w:r>
          </w:p>
        </w:tc>
        <w:tc>
          <w:tcPr>
            <w:tcW w:w="708" w:type="dxa"/>
            <w:hideMark/>
          </w:tcPr>
          <w:p w:rsidR="0021008B" w:rsidRPr="00A271B3" w:rsidRDefault="005C74BB" w:rsidP="00A271B3">
            <w:pPr>
              <w:spacing w:before="0" w:after="0"/>
              <w:ind w:left="0" w:right="0"/>
              <w:rPr>
                <w:kern w:val="22"/>
                <w:sz w:val="20"/>
                <w:szCs w:val="20"/>
              </w:rPr>
            </w:pPr>
            <w:r w:rsidRPr="00A271B3">
              <w:rPr>
                <w:kern w:val="22"/>
                <w:sz w:val="20"/>
                <w:szCs w:val="20"/>
              </w:rPr>
              <w:t>25</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330</w:t>
            </w:r>
          </w:p>
        </w:tc>
        <w:tc>
          <w:tcPr>
            <w:tcW w:w="850" w:type="dxa"/>
            <w:hideMark/>
          </w:tcPr>
          <w:p w:rsidR="0021008B" w:rsidRPr="00A271B3" w:rsidRDefault="005C74BB" w:rsidP="00A271B3">
            <w:pPr>
              <w:spacing w:before="0" w:after="0"/>
              <w:ind w:left="0" w:right="0"/>
              <w:rPr>
                <w:kern w:val="22"/>
                <w:sz w:val="20"/>
                <w:szCs w:val="20"/>
              </w:rPr>
            </w:pPr>
            <w:r w:rsidRPr="00A271B3">
              <w:rPr>
                <w:kern w:val="22"/>
                <w:sz w:val="20"/>
                <w:szCs w:val="20"/>
              </w:rPr>
              <w:t>11</w:t>
            </w:r>
          </w:p>
        </w:tc>
        <w:tc>
          <w:tcPr>
            <w:tcW w:w="993" w:type="dxa"/>
            <w:hideMark/>
          </w:tcPr>
          <w:p w:rsidR="0021008B" w:rsidRPr="00A271B3" w:rsidRDefault="005C74BB" w:rsidP="00A271B3">
            <w:pPr>
              <w:spacing w:before="0" w:after="0"/>
              <w:ind w:left="0" w:right="0"/>
              <w:rPr>
                <w:kern w:val="22"/>
                <w:sz w:val="20"/>
                <w:szCs w:val="20"/>
              </w:rPr>
            </w:pPr>
            <w:r w:rsidRPr="00A271B3">
              <w:rPr>
                <w:kern w:val="22"/>
                <w:sz w:val="20"/>
                <w:szCs w:val="20"/>
              </w:rPr>
              <w:t>2.3</w:t>
            </w:r>
          </w:p>
        </w:tc>
      </w:tr>
      <w:tr w:rsidR="005C74BB" w:rsidRPr="00A271B3" w:rsidTr="00432FAB">
        <w:trPr>
          <w:trHeight w:val="255"/>
        </w:trPr>
        <w:tc>
          <w:tcPr>
            <w:tcW w:w="1701" w:type="dxa"/>
            <w:hideMark/>
          </w:tcPr>
          <w:p w:rsidR="0021008B" w:rsidRPr="00A271B3" w:rsidRDefault="005C74BB" w:rsidP="00A271B3">
            <w:pPr>
              <w:spacing w:before="0" w:after="0"/>
              <w:ind w:left="0" w:right="0"/>
              <w:rPr>
                <w:kern w:val="22"/>
                <w:sz w:val="20"/>
                <w:szCs w:val="20"/>
              </w:rPr>
            </w:pPr>
            <w:r w:rsidRPr="00A271B3">
              <w:rPr>
                <w:kern w:val="22"/>
                <w:sz w:val="20"/>
                <w:szCs w:val="20"/>
              </w:rPr>
              <w:t>Methionine</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2.9</w:t>
            </w:r>
          </w:p>
        </w:tc>
        <w:tc>
          <w:tcPr>
            <w:tcW w:w="1276" w:type="dxa"/>
            <w:hideMark/>
          </w:tcPr>
          <w:p w:rsidR="0021008B" w:rsidRPr="00A271B3" w:rsidRDefault="005C74BB" w:rsidP="00A271B3">
            <w:pPr>
              <w:spacing w:before="0" w:after="0"/>
              <w:ind w:left="0" w:right="0"/>
              <w:rPr>
                <w:kern w:val="22"/>
                <w:sz w:val="20"/>
                <w:szCs w:val="20"/>
              </w:rPr>
            </w:pPr>
            <w:r w:rsidRPr="00A271B3">
              <w:rPr>
                <w:kern w:val="22"/>
                <w:sz w:val="20"/>
                <w:szCs w:val="20"/>
              </w:rPr>
              <w:t>348</w:t>
            </w:r>
          </w:p>
        </w:tc>
        <w:tc>
          <w:tcPr>
            <w:tcW w:w="708" w:type="dxa"/>
            <w:hideMark/>
          </w:tcPr>
          <w:p w:rsidR="0021008B" w:rsidRPr="00A271B3" w:rsidRDefault="005C74BB" w:rsidP="00A271B3">
            <w:pPr>
              <w:spacing w:before="0" w:after="0"/>
              <w:ind w:left="0" w:right="0"/>
              <w:rPr>
                <w:kern w:val="22"/>
                <w:sz w:val="20"/>
                <w:szCs w:val="20"/>
              </w:rPr>
            </w:pPr>
            <w:r w:rsidRPr="00A271B3">
              <w:rPr>
                <w:kern w:val="22"/>
                <w:sz w:val="20"/>
                <w:szCs w:val="20"/>
              </w:rPr>
              <w:t>7.0</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114</w:t>
            </w:r>
          </w:p>
        </w:tc>
        <w:tc>
          <w:tcPr>
            <w:tcW w:w="850" w:type="dxa"/>
            <w:hideMark/>
          </w:tcPr>
          <w:p w:rsidR="0021008B" w:rsidRPr="00A271B3" w:rsidRDefault="005C74BB" w:rsidP="00A271B3">
            <w:pPr>
              <w:spacing w:before="0" w:after="0"/>
              <w:ind w:left="0" w:right="0"/>
              <w:rPr>
                <w:kern w:val="22"/>
                <w:sz w:val="20"/>
                <w:szCs w:val="20"/>
              </w:rPr>
            </w:pPr>
            <w:r w:rsidRPr="00A271B3">
              <w:rPr>
                <w:kern w:val="22"/>
                <w:sz w:val="20"/>
                <w:szCs w:val="20"/>
              </w:rPr>
              <w:t>3.8</w:t>
            </w:r>
          </w:p>
        </w:tc>
        <w:tc>
          <w:tcPr>
            <w:tcW w:w="993" w:type="dxa"/>
            <w:hideMark/>
          </w:tcPr>
          <w:p w:rsidR="0021008B" w:rsidRPr="00A271B3" w:rsidRDefault="005C74BB" w:rsidP="00A271B3">
            <w:pPr>
              <w:spacing w:before="0" w:after="0"/>
              <w:ind w:left="0" w:right="0"/>
              <w:rPr>
                <w:kern w:val="22"/>
                <w:sz w:val="20"/>
                <w:szCs w:val="20"/>
              </w:rPr>
            </w:pPr>
            <w:r w:rsidRPr="00A271B3">
              <w:rPr>
                <w:kern w:val="22"/>
                <w:sz w:val="20"/>
                <w:szCs w:val="20"/>
              </w:rPr>
              <w:t>1.8</w:t>
            </w:r>
          </w:p>
        </w:tc>
      </w:tr>
      <w:tr w:rsidR="005C74BB" w:rsidRPr="00A271B3" w:rsidTr="00432FAB">
        <w:trPr>
          <w:trHeight w:val="255"/>
        </w:trPr>
        <w:tc>
          <w:tcPr>
            <w:tcW w:w="1701" w:type="dxa"/>
            <w:hideMark/>
          </w:tcPr>
          <w:p w:rsidR="0021008B" w:rsidRPr="00A271B3" w:rsidRDefault="005C74BB" w:rsidP="00A271B3">
            <w:pPr>
              <w:spacing w:before="0" w:after="0"/>
              <w:ind w:left="0" w:right="0"/>
              <w:rPr>
                <w:kern w:val="22"/>
                <w:sz w:val="20"/>
                <w:szCs w:val="20"/>
              </w:rPr>
            </w:pPr>
            <w:r w:rsidRPr="00A271B3">
              <w:rPr>
                <w:kern w:val="22"/>
                <w:sz w:val="20"/>
                <w:szCs w:val="20"/>
              </w:rPr>
              <w:t>Phenylalanine</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3.1</w:t>
            </w:r>
          </w:p>
        </w:tc>
        <w:tc>
          <w:tcPr>
            <w:tcW w:w="1276" w:type="dxa"/>
            <w:hideMark/>
          </w:tcPr>
          <w:p w:rsidR="0021008B" w:rsidRPr="00A271B3" w:rsidRDefault="005C74BB" w:rsidP="00A271B3">
            <w:pPr>
              <w:spacing w:before="0" w:after="0"/>
              <w:ind w:left="0" w:right="0"/>
              <w:rPr>
                <w:kern w:val="22"/>
                <w:sz w:val="20"/>
                <w:szCs w:val="20"/>
              </w:rPr>
            </w:pPr>
            <w:r w:rsidRPr="00A271B3">
              <w:rPr>
                <w:kern w:val="22"/>
                <w:sz w:val="20"/>
                <w:szCs w:val="20"/>
              </w:rPr>
              <w:t>372</w:t>
            </w:r>
          </w:p>
        </w:tc>
        <w:tc>
          <w:tcPr>
            <w:tcW w:w="708" w:type="dxa"/>
            <w:hideMark/>
          </w:tcPr>
          <w:p w:rsidR="0021008B" w:rsidRPr="00A271B3" w:rsidRDefault="005C74BB" w:rsidP="00A271B3">
            <w:pPr>
              <w:spacing w:before="0" w:after="0"/>
              <w:ind w:left="0" w:right="0"/>
              <w:rPr>
                <w:kern w:val="22"/>
                <w:sz w:val="20"/>
                <w:szCs w:val="20"/>
              </w:rPr>
            </w:pPr>
            <w:r w:rsidRPr="00A271B3">
              <w:rPr>
                <w:kern w:val="22"/>
                <w:sz w:val="20"/>
                <w:szCs w:val="20"/>
              </w:rPr>
              <w:t>7.4</w:t>
            </w:r>
          </w:p>
        </w:tc>
        <w:tc>
          <w:tcPr>
            <w:tcW w:w="1418" w:type="dxa"/>
            <w:hideMark/>
          </w:tcPr>
          <w:p w:rsidR="0021008B" w:rsidRPr="00A271B3" w:rsidRDefault="005C74BB" w:rsidP="00A271B3">
            <w:pPr>
              <w:spacing w:before="0" w:after="0"/>
              <w:ind w:left="0" w:right="0"/>
              <w:rPr>
                <w:kern w:val="22"/>
                <w:sz w:val="20"/>
                <w:szCs w:val="20"/>
              </w:rPr>
            </w:pPr>
            <w:r w:rsidRPr="00A271B3">
              <w:rPr>
                <w:kern w:val="22"/>
                <w:sz w:val="20"/>
                <w:szCs w:val="20"/>
              </w:rPr>
              <w:t>158</w:t>
            </w:r>
          </w:p>
        </w:tc>
        <w:tc>
          <w:tcPr>
            <w:tcW w:w="850" w:type="dxa"/>
            <w:hideMark/>
          </w:tcPr>
          <w:p w:rsidR="0021008B" w:rsidRPr="00A271B3" w:rsidRDefault="005C74BB" w:rsidP="00A271B3">
            <w:pPr>
              <w:spacing w:before="0" w:after="0"/>
              <w:ind w:left="0" w:right="0"/>
              <w:rPr>
                <w:kern w:val="22"/>
                <w:sz w:val="20"/>
                <w:szCs w:val="20"/>
              </w:rPr>
            </w:pPr>
            <w:r w:rsidRPr="00A271B3">
              <w:rPr>
                <w:kern w:val="22"/>
                <w:sz w:val="20"/>
                <w:szCs w:val="20"/>
              </w:rPr>
              <w:t>5.2</w:t>
            </w:r>
          </w:p>
        </w:tc>
        <w:tc>
          <w:tcPr>
            <w:tcW w:w="993" w:type="dxa"/>
            <w:hideMark/>
          </w:tcPr>
          <w:p w:rsidR="0021008B" w:rsidRPr="00A271B3" w:rsidRDefault="005C74BB" w:rsidP="00A271B3">
            <w:pPr>
              <w:spacing w:before="0" w:after="0"/>
              <w:ind w:left="0" w:right="0"/>
              <w:rPr>
                <w:kern w:val="22"/>
                <w:sz w:val="20"/>
                <w:szCs w:val="20"/>
              </w:rPr>
            </w:pPr>
            <w:r w:rsidRPr="00A271B3">
              <w:rPr>
                <w:kern w:val="22"/>
                <w:sz w:val="20"/>
                <w:szCs w:val="20"/>
              </w:rPr>
              <w:t>1.4</w:t>
            </w:r>
          </w:p>
        </w:tc>
      </w:tr>
    </w:tbl>
    <w:p w:rsidR="005C74BB" w:rsidRPr="005C74BB" w:rsidRDefault="005C74BB" w:rsidP="0014361A">
      <w:pPr>
        <w:pStyle w:val="Heading4"/>
      </w:pPr>
      <w:bookmarkStart w:id="30" w:name="_Toc347494966"/>
      <w:r w:rsidRPr="005C74BB">
        <w:t>Potassium chloride</w:t>
      </w:r>
      <w:bookmarkEnd w:id="30"/>
    </w:p>
    <w:p w:rsidR="005C74BB" w:rsidRPr="005C74BB" w:rsidRDefault="005C74BB" w:rsidP="005C74BB">
      <w:r w:rsidRPr="005C74BB">
        <w:t xml:space="preserve">The maximum proposed dose level of potassium chloride from Olimel/PeriOlimel is only marginally higher than that from </w:t>
      </w:r>
      <w:r w:rsidR="00845089">
        <w:t xml:space="preserve">registered </w:t>
      </w:r>
      <w:r w:rsidRPr="005C74BB">
        <w:t xml:space="preserve">TPN agents (89.6 mg/kg/day </w:t>
      </w:r>
      <w:r w:rsidR="00A271B3">
        <w:t xml:space="preserve">compared with </w:t>
      </w:r>
      <w:r w:rsidRPr="005C74BB">
        <w:t>80.5</w:t>
      </w:r>
      <w:r w:rsidR="00A271B3">
        <w:t> </w:t>
      </w:r>
      <w:r w:rsidRPr="005C74BB">
        <w:t>mg/kg/day in S</w:t>
      </w:r>
      <w:r w:rsidR="00220084">
        <w:t>mof</w:t>
      </w:r>
      <w:r w:rsidRPr="005C74BB">
        <w:t>Kabiven) and below the daily dose recommended to prevent hypokalaemia (3.3 g/day K</w:t>
      </w:r>
      <w:r w:rsidRPr="00A271B3">
        <w:rPr>
          <w:vertAlign w:val="superscript"/>
        </w:rPr>
        <w:t>+</w:t>
      </w:r>
      <w:r w:rsidRPr="005C74BB">
        <w:t xml:space="preserve"> from Olimel/PeriOlimel </w:t>
      </w:r>
      <w:r w:rsidR="00A271B3" w:rsidRPr="00A271B3">
        <w:t xml:space="preserve">compared with </w:t>
      </w:r>
      <w:r w:rsidRPr="005C74BB">
        <w:t xml:space="preserve">5.9 g/day maximum dose </w:t>
      </w:r>
      <w:r w:rsidR="00845089">
        <w:t xml:space="preserve">from </w:t>
      </w:r>
      <w:r w:rsidRPr="005C74BB">
        <w:t>Pfizer</w:t>
      </w:r>
      <w:r w:rsidR="00220084">
        <w:t>’s</w:t>
      </w:r>
      <w:r w:rsidRPr="005C74BB">
        <w:t xml:space="preserve"> Sterile Potassium Chloride concentrate). Therefore, the proposed level </w:t>
      </w:r>
      <w:r w:rsidR="00033D3C">
        <w:t>is</w:t>
      </w:r>
      <w:r w:rsidRPr="005C74BB">
        <w:t xml:space="preserve"> considered acceptable.</w:t>
      </w:r>
    </w:p>
    <w:p w:rsidR="005C74BB" w:rsidRPr="005C74BB" w:rsidRDefault="005C74BB" w:rsidP="0014361A">
      <w:pPr>
        <w:pStyle w:val="Heading4"/>
      </w:pPr>
      <w:bookmarkStart w:id="31" w:name="_Toc347494967"/>
      <w:r w:rsidRPr="005C74BB">
        <w:t>Calcium chloride</w:t>
      </w:r>
      <w:bookmarkEnd w:id="31"/>
    </w:p>
    <w:p w:rsidR="005C74BB" w:rsidRPr="00A271B3" w:rsidRDefault="005C74BB" w:rsidP="00A271B3">
      <w:r w:rsidRPr="00A271B3">
        <w:t>The maximum proposed dose level of CaCl</w:t>
      </w:r>
      <w:r w:rsidRPr="00A271B3">
        <w:rPr>
          <w:vertAlign w:val="subscript"/>
        </w:rPr>
        <w:t>2</w:t>
      </w:r>
      <w:r w:rsidRPr="00A271B3">
        <w:t>.2H</w:t>
      </w:r>
      <w:r w:rsidRPr="00A271B3">
        <w:rPr>
          <w:vertAlign w:val="subscript"/>
        </w:rPr>
        <w:t>2</w:t>
      </w:r>
      <w:r w:rsidRPr="00A271B3">
        <w:t xml:space="preserve">O from Olimel/PeriOlimel is at least 1.7 times that from other TPN agents (20.8 mg/kg/day </w:t>
      </w:r>
      <w:r w:rsidR="00A271B3" w:rsidRPr="00A271B3">
        <w:t xml:space="preserve">compared with </w:t>
      </w:r>
      <w:r w:rsidRPr="00A271B3">
        <w:t>12 mg/kg/day in OliClinomel and Kabiven G</w:t>
      </w:r>
      <w:r w:rsidR="00220084">
        <w:t xml:space="preserve"> </w:t>
      </w:r>
      <w:r w:rsidRPr="00A271B3">
        <w:t>19%). The dose of Ca</w:t>
      </w:r>
      <w:r w:rsidRPr="00A271B3">
        <w:rPr>
          <w:vertAlign w:val="superscript"/>
        </w:rPr>
        <w:t>2+</w:t>
      </w:r>
      <w:r w:rsidRPr="00A271B3">
        <w:t xml:space="preserve"> (397 mg/day) is also higher than the recommended daily dose for the treatment of acute hypocalcaemia in adults (140</w:t>
      </w:r>
      <w:r w:rsidR="00A271B3">
        <w:noBreakHyphen/>
      </w:r>
      <w:r w:rsidRPr="00A271B3">
        <w:t>280</w:t>
      </w:r>
      <w:r w:rsidR="00A271B3">
        <w:t> </w:t>
      </w:r>
      <w:r w:rsidRPr="00A271B3">
        <w:t>mg/day Ca</w:t>
      </w:r>
      <w:r w:rsidRPr="00A271B3">
        <w:rPr>
          <w:vertAlign w:val="superscript"/>
        </w:rPr>
        <w:t>2+</w:t>
      </w:r>
      <w:r w:rsidRPr="00A271B3">
        <w:t xml:space="preserve">; Phebra Calcium Chloride Injection). Therefore, there are some safety concerns (including an increased risk of arrhythmias) regarding the high dose of calcium, especially in individuals who have not developed calcium depletion at the </w:t>
      </w:r>
      <w:r w:rsidR="00033D3C">
        <w:t xml:space="preserve">start of </w:t>
      </w:r>
      <w:r w:rsidRPr="00A271B3">
        <w:t>treatment. Provided plasma electrolyte levels are monitored during clinical use and the dose adj</w:t>
      </w:r>
      <w:r w:rsidR="00033D3C">
        <w:t xml:space="preserve">usted to prevent </w:t>
      </w:r>
      <w:proofErr w:type="spellStart"/>
      <w:r w:rsidR="00033D3C">
        <w:t>hypercalcaemia</w:t>
      </w:r>
      <w:proofErr w:type="spellEnd"/>
      <w:r w:rsidRPr="00A271B3">
        <w:t xml:space="preserve"> the level of Ca</w:t>
      </w:r>
      <w:r w:rsidRPr="00BD4126">
        <w:rPr>
          <w:vertAlign w:val="superscript"/>
        </w:rPr>
        <w:t>2+</w:t>
      </w:r>
      <w:r w:rsidRPr="00A271B3">
        <w:t xml:space="preserve"> in Olimel/PeriOlimel is not considered a major safety concern. However, appropriate warnings in the </w:t>
      </w:r>
      <w:r w:rsidR="00BD4126">
        <w:t xml:space="preserve">PI </w:t>
      </w:r>
      <w:r w:rsidRPr="00A271B3">
        <w:t xml:space="preserve">document may be required to ensure monitoring of electrolyte levels and to convey </w:t>
      </w:r>
      <w:r w:rsidR="00033D3C">
        <w:t xml:space="preserve">a warning of </w:t>
      </w:r>
      <w:r w:rsidRPr="00A271B3">
        <w:t>the increased risk of arrhythmias associated with high calcium levels (as is seen with other calciu</w:t>
      </w:r>
      <w:r w:rsidR="00F91F65">
        <w:t>m chloride injection products).</w:t>
      </w:r>
    </w:p>
    <w:p w:rsidR="005C74BB" w:rsidRPr="0014361A" w:rsidRDefault="005C74BB" w:rsidP="0014361A">
      <w:pPr>
        <w:pStyle w:val="Heading4"/>
      </w:pPr>
      <w:bookmarkStart w:id="32" w:name="_Toc347494968"/>
      <w:r w:rsidRPr="0014361A">
        <w:t>Sodium glycerophosphate</w:t>
      </w:r>
      <w:bookmarkEnd w:id="32"/>
    </w:p>
    <w:p w:rsidR="005C74BB" w:rsidRPr="00BD4126" w:rsidRDefault="005C74BB" w:rsidP="00BD4126">
      <w:r w:rsidRPr="00BD4126">
        <w:t>The maximum daily dose of sodium glycerophosphate from Olimel/PeriOlimel (148 mg/kg/day) is at least 1.8 times higher than the level from other TPN agents (</w:t>
      </w:r>
      <w:r w:rsidR="00BD4126" w:rsidRPr="00BD4126">
        <w:t xml:space="preserve">compared with </w:t>
      </w:r>
      <w:r w:rsidRPr="00BD4126">
        <w:t xml:space="preserve">84 mg/kg/day from OliClinomel) and any other sodium glycerophosphate-containing IV product currently in the ARTG. Sodium </w:t>
      </w:r>
      <w:proofErr w:type="spellStart"/>
      <w:r w:rsidRPr="00BD4126">
        <w:t>glycerophosphate</w:t>
      </w:r>
      <w:proofErr w:type="spellEnd"/>
      <w:r w:rsidRPr="00BD4126">
        <w:t xml:space="preserve"> is provided as a phosphate source. Serum phosphate levels can be reduced in patients fed </w:t>
      </w:r>
      <w:r w:rsidRPr="00BD4126">
        <w:lastRenderedPageBreak/>
        <w:t xml:space="preserve">parenterally for 7‒10 days and the addition of phosphate supplements, such as sodium glycerophosphate, at 10‒15 mmol/day IV could normalise serum levels (Travis </w:t>
      </w:r>
      <w:r w:rsidRPr="00BD4126">
        <w:rPr>
          <w:i/>
          <w:iCs/>
        </w:rPr>
        <w:t>et al</w:t>
      </w:r>
      <w:r w:rsidRPr="00BD4126">
        <w:t>., 1971</w:t>
      </w:r>
      <w:r w:rsidR="0014361A" w:rsidRPr="00845089">
        <w:rPr>
          <w:vertAlign w:val="superscript"/>
        </w:rPr>
        <w:footnoteReference w:id="1"/>
      </w:r>
      <w:r w:rsidRPr="00BD4126">
        <w:t>). The dose of 10‒15 mmol/day is equivalent to a sodium glycerophosphate dose of 2.16‒3.24 g/day, at least 3 times less than tha</w:t>
      </w:r>
      <w:r w:rsidR="00BD4126">
        <w:t>t from Olimel/PeriOlimel (10.36 </w:t>
      </w:r>
      <w:r w:rsidRPr="00BD4126">
        <w:t>g/day). Therefore, the daily intake of phosphate from Olimel at the maximum proposed dose exceeds the daily requirement. As with calcium, there appears a need to monitor phosphate levels during clinical use to prevent hyperphosphataemia.</w:t>
      </w:r>
    </w:p>
    <w:p w:rsidR="005C74BB" w:rsidRPr="0014361A" w:rsidRDefault="005C74BB" w:rsidP="0014361A">
      <w:pPr>
        <w:pStyle w:val="Heading4"/>
      </w:pPr>
      <w:bookmarkStart w:id="33" w:name="_Toc347494969"/>
      <w:r w:rsidRPr="0014361A">
        <w:t>Leachables</w:t>
      </w:r>
      <w:bookmarkEnd w:id="33"/>
    </w:p>
    <w:p w:rsidR="005C74BB" w:rsidRPr="0014361A" w:rsidRDefault="005C74BB" w:rsidP="0014361A">
      <w:r w:rsidRPr="0014361A">
        <w:t xml:space="preserve">Two studies examined the leachable profile of the </w:t>
      </w:r>
      <w:r w:rsidR="000D73AC">
        <w:t xml:space="preserve">ready-to-use </w:t>
      </w:r>
      <w:r w:rsidRPr="0014361A">
        <w:t>and triple bag container system. This container system is made with the same film as that used in the infusion bag for ClinOleic and OliClinomel, which contain the same lipid component. Several toxicity studies with extracts from this film have been evaluated previously and there were no findings which would preclude its use.</w:t>
      </w:r>
    </w:p>
    <w:p w:rsidR="008E7846" w:rsidRDefault="008E7846" w:rsidP="008E7846">
      <w:pPr>
        <w:pStyle w:val="Heading3"/>
      </w:pPr>
      <w:bookmarkStart w:id="34" w:name="_Toc247691515"/>
      <w:bookmarkStart w:id="35" w:name="_Toc314842499"/>
      <w:bookmarkStart w:id="36" w:name="_Toc370724490"/>
      <w:r>
        <w:t>Nonclinical summary and conclusions</w:t>
      </w:r>
      <w:bookmarkEnd w:id="34"/>
      <w:bookmarkEnd w:id="35"/>
      <w:bookmarkEnd w:id="36"/>
    </w:p>
    <w:p w:rsidR="005C74BB" w:rsidRPr="005C74BB" w:rsidRDefault="005C74BB" w:rsidP="00F91F65">
      <w:pPr>
        <w:pStyle w:val="ListBullet"/>
      </w:pPr>
      <w:r w:rsidRPr="005C74BB">
        <w:t>The levels of alanine, methionine and phenylalan</w:t>
      </w:r>
      <w:r>
        <w:t xml:space="preserve">ine were considered acceptable </w:t>
      </w:r>
      <w:r w:rsidRPr="005C74BB">
        <w:t>based on a submitted toxicity study.</w:t>
      </w:r>
    </w:p>
    <w:p w:rsidR="005C74BB" w:rsidRPr="005C74BB" w:rsidRDefault="005C74BB" w:rsidP="00BD4126">
      <w:pPr>
        <w:pStyle w:val="ListBullet"/>
      </w:pPr>
      <w:r w:rsidRPr="005C74BB">
        <w:t xml:space="preserve">The maximum dose level of potassium is below the dose recommended to prevent hypokalaemia and </w:t>
      </w:r>
      <w:r w:rsidR="000B123B">
        <w:t>is</w:t>
      </w:r>
      <w:r w:rsidRPr="005C74BB">
        <w:t xml:space="preserve"> considered acceptable.</w:t>
      </w:r>
    </w:p>
    <w:p w:rsidR="005C74BB" w:rsidRPr="005C74BB" w:rsidRDefault="005C74BB" w:rsidP="00BD4126">
      <w:pPr>
        <w:pStyle w:val="ListBullet"/>
      </w:pPr>
      <w:r w:rsidRPr="005C74BB">
        <w:t>The maximum dose levels of calcium and glycerophosphate exceed the doses used to treat hypocalcaemia and prevent hypophosphataemia, respectively. Therefore, these levels may pose safety concerns, especially in individuals who have not developed calcium or phosphate depletion at the time of treatment.</w:t>
      </w:r>
    </w:p>
    <w:p w:rsidR="00BD4126" w:rsidRDefault="00BD4126" w:rsidP="00BD4126">
      <w:pPr>
        <w:pStyle w:val="Heading4"/>
      </w:pPr>
      <w:r>
        <w:t>Nonclinical recommendation</w:t>
      </w:r>
    </w:p>
    <w:p w:rsidR="005C74BB" w:rsidRPr="005C74BB" w:rsidRDefault="005C74BB" w:rsidP="00DE6D1E">
      <w:r w:rsidRPr="005C74BB">
        <w:t>Provided electrolyte levels ar</w:t>
      </w:r>
      <w:r w:rsidR="000B123B">
        <w:t>e monitored during clinical use</w:t>
      </w:r>
      <w:r w:rsidRPr="005C74BB">
        <w:t xml:space="preserve"> there are no nonclinical objections to the registration of Olimel/PeriOlimel. However, appropriate warnings may be necessary in the P</w:t>
      </w:r>
      <w:r w:rsidR="00BD4126">
        <w:t xml:space="preserve">I </w:t>
      </w:r>
      <w:r w:rsidRPr="005C74BB">
        <w:t>document to indicate the risks associated with</w:t>
      </w:r>
      <w:r w:rsidR="000B123B">
        <w:t>, in particular,</w:t>
      </w:r>
      <w:r w:rsidRPr="005C74BB">
        <w:t xml:space="preserve"> the high calcium levels. This </w:t>
      </w:r>
      <w:r w:rsidR="00BD4126">
        <w:t>wa</w:t>
      </w:r>
      <w:r w:rsidRPr="005C74BB">
        <w:t xml:space="preserve">s </w:t>
      </w:r>
      <w:r w:rsidR="00BD4126">
        <w:t>brought to the attention of the c</w:t>
      </w:r>
      <w:r w:rsidRPr="005C74BB">
        <w:t xml:space="preserve">linical </w:t>
      </w:r>
      <w:r w:rsidR="00BD4126">
        <w:t>e</w:t>
      </w:r>
      <w:r w:rsidRPr="005C74BB">
        <w:t xml:space="preserve">valuator. </w:t>
      </w:r>
    </w:p>
    <w:p w:rsidR="008E7846" w:rsidRDefault="00BD4126" w:rsidP="00DE6D1E">
      <w:r>
        <w:t xml:space="preserve">Recommended revisions to </w:t>
      </w:r>
      <w:r w:rsidR="005C74BB" w:rsidRPr="005C74BB">
        <w:t xml:space="preserve">nonclinical </w:t>
      </w:r>
      <w:r>
        <w:t xml:space="preserve">statements in the </w:t>
      </w:r>
      <w:r w:rsidR="005C74BB" w:rsidRPr="005C74BB">
        <w:t>draft PI</w:t>
      </w:r>
      <w:r>
        <w:t xml:space="preserve"> are beyond the scope of the AusPAR.</w:t>
      </w:r>
    </w:p>
    <w:p w:rsidR="008E7846" w:rsidRPr="00254787" w:rsidRDefault="008E7846" w:rsidP="008E7846">
      <w:pPr>
        <w:pStyle w:val="Heading2"/>
      </w:pPr>
      <w:bookmarkStart w:id="37" w:name="_Toc196046462"/>
      <w:bookmarkStart w:id="38" w:name="_Toc247691516"/>
      <w:bookmarkStart w:id="39" w:name="_Toc314842500"/>
      <w:bookmarkStart w:id="40" w:name="_Toc163441353"/>
      <w:bookmarkStart w:id="41" w:name="_Toc163441348"/>
      <w:bookmarkStart w:id="42" w:name="_Toc370724491"/>
      <w:r>
        <w:t xml:space="preserve">IV. </w:t>
      </w:r>
      <w:r w:rsidRPr="00254787">
        <w:t>Clinical</w:t>
      </w:r>
      <w:bookmarkEnd w:id="37"/>
      <w:r>
        <w:t xml:space="preserve"> </w:t>
      </w:r>
      <w:r w:rsidR="003A7F6C">
        <w:t>f</w:t>
      </w:r>
      <w:r>
        <w:t>indings</w:t>
      </w:r>
      <w:bookmarkEnd w:id="38"/>
      <w:bookmarkEnd w:id="39"/>
      <w:bookmarkEnd w:id="42"/>
    </w:p>
    <w:p w:rsidR="00C80137" w:rsidRPr="00721ACB" w:rsidRDefault="00C80137" w:rsidP="008E7846">
      <w:pPr>
        <w:rPr>
          <w:iCs/>
        </w:rPr>
      </w:pPr>
      <w:bookmarkStart w:id="43" w:name="_Toc196046463"/>
      <w:r w:rsidRPr="00721ACB">
        <w:rPr>
          <w:iCs/>
        </w:rPr>
        <w:t>A summary of the clinical findings is presented in this section. Further details of these clinical findings can be found in Attachment 2.</w:t>
      </w:r>
    </w:p>
    <w:p w:rsidR="008E7846" w:rsidRDefault="008E7846" w:rsidP="008E7846">
      <w:pPr>
        <w:pStyle w:val="Heading3"/>
      </w:pPr>
      <w:bookmarkStart w:id="44" w:name="_Toc247691517"/>
      <w:bookmarkStart w:id="45" w:name="_Toc314842501"/>
      <w:bookmarkStart w:id="46" w:name="_Toc370724492"/>
      <w:r w:rsidRPr="00254787">
        <w:t>Introduction</w:t>
      </w:r>
      <w:bookmarkEnd w:id="43"/>
      <w:bookmarkEnd w:id="44"/>
      <w:bookmarkEnd w:id="45"/>
      <w:r w:rsidR="00B738F3">
        <w:t xml:space="preserve"> and clinical rationale</w:t>
      </w:r>
      <w:bookmarkEnd w:id="46"/>
    </w:p>
    <w:p w:rsidR="00B738F3" w:rsidRPr="00B738F3" w:rsidRDefault="00B738F3" w:rsidP="00B738F3">
      <w:r w:rsidRPr="00B738F3">
        <w:t>O</w:t>
      </w:r>
      <w:r>
        <w:t>limel</w:t>
      </w:r>
      <w:r w:rsidRPr="00B738F3">
        <w:t>/PeriO</w:t>
      </w:r>
      <w:r>
        <w:t xml:space="preserve">limel </w:t>
      </w:r>
      <w:r w:rsidRPr="00B738F3">
        <w:t xml:space="preserve">is 3-compartment bag containing a glucose solution (with/without calcium), a </w:t>
      </w:r>
      <w:r>
        <w:t xml:space="preserve">[registered] </w:t>
      </w:r>
      <w:r w:rsidRPr="00B738F3">
        <w:t>lipid emulsion (ClinOleic) and a 15% amino acid solution (not registered; with/without electrolytes). There are no registered 15% amino acid solutions; the maximum concentration registered is 10%.</w:t>
      </w:r>
    </w:p>
    <w:p w:rsidR="00B738F3" w:rsidRPr="00B738F3" w:rsidRDefault="00B738F3" w:rsidP="007F186E">
      <w:pPr>
        <w:keepNext/>
      </w:pPr>
      <w:r w:rsidRPr="00B738F3">
        <w:lastRenderedPageBreak/>
        <w:t>The proposed indication is:</w:t>
      </w:r>
    </w:p>
    <w:p w:rsidR="00B738F3" w:rsidRPr="00B738F3" w:rsidRDefault="00B738F3" w:rsidP="00B738F3">
      <w:pPr>
        <w:ind w:left="720"/>
        <w:rPr>
          <w:i/>
          <w:iCs/>
        </w:rPr>
      </w:pPr>
      <w:r w:rsidRPr="00B738F3">
        <w:rPr>
          <w:i/>
          <w:iCs/>
        </w:rPr>
        <w:t>O</w:t>
      </w:r>
      <w:r w:rsidR="00DE3733">
        <w:rPr>
          <w:i/>
          <w:iCs/>
        </w:rPr>
        <w:t>limel</w:t>
      </w:r>
      <w:r w:rsidRPr="00B738F3">
        <w:rPr>
          <w:i/>
          <w:iCs/>
        </w:rPr>
        <w:t>/PeriO</w:t>
      </w:r>
      <w:r w:rsidR="00DE3733">
        <w:rPr>
          <w:i/>
          <w:iCs/>
        </w:rPr>
        <w:t xml:space="preserve">limel </w:t>
      </w:r>
      <w:r w:rsidRPr="00B738F3">
        <w:rPr>
          <w:i/>
          <w:iCs/>
        </w:rPr>
        <w:t>is indicated for parenteral nutrition for adults and children above 2 years of age when oral or enteral nutrition is impossible, insufficient or contraindicated.</w:t>
      </w:r>
    </w:p>
    <w:p w:rsidR="00B738F3" w:rsidRPr="00B738F3" w:rsidRDefault="00B738F3" w:rsidP="00B738F3">
      <w:r w:rsidRPr="00B738F3">
        <w:t>The sponsor appears to claim the combined preparations are similar to registered products that are the result of combinations made immediately prior to administration of currently registered products. The sponsor also appears to have considered them as a fixed combination used for up to 9 days after</w:t>
      </w:r>
      <w:r w:rsidR="007F186E">
        <w:t xml:space="preserve"> mixing (from the proposed PI):</w:t>
      </w:r>
    </w:p>
    <w:p w:rsidR="00B738F3" w:rsidRPr="00B738F3" w:rsidRDefault="007F186E" w:rsidP="00B738F3">
      <w:pPr>
        <w:rPr>
          <w:i/>
          <w:iCs/>
        </w:rPr>
      </w:pPr>
      <w:r>
        <w:rPr>
          <w:i/>
          <w:iCs/>
        </w:rPr>
        <w:t>After reconstitution:</w:t>
      </w:r>
    </w:p>
    <w:p w:rsidR="00B738F3" w:rsidRPr="00B738F3" w:rsidRDefault="00B738F3" w:rsidP="00B738F3">
      <w:pPr>
        <w:rPr>
          <w:i/>
          <w:iCs/>
        </w:rPr>
      </w:pPr>
      <w:r w:rsidRPr="00B738F3">
        <w:rPr>
          <w:i/>
          <w:iCs/>
        </w:rPr>
        <w:t>It is recommended that the product is used immediately after the non-permanent seals between the 3 compartments have been opened. However, the stability of the reconstituted emulsion has been demonstrated for 7 days (between 2°C and 8°C) followed by 48 hours at temperature not exceeding 25°C.</w:t>
      </w:r>
    </w:p>
    <w:p w:rsidR="00B738F3" w:rsidRPr="00B738F3" w:rsidRDefault="00B738F3" w:rsidP="00B738F3">
      <w:r w:rsidRPr="00B738F3">
        <w:t>The rationale for development of the formulation is unclear. The sponsor argues that the formulations have been developed to meet the nutritional requirements for a wide range of clinical conditions and patients yet at the same time says these formulations are similar to OliClinomel formulations which are currently registered in Australia.</w:t>
      </w:r>
    </w:p>
    <w:p w:rsidR="00B738F3" w:rsidRPr="00B738F3" w:rsidRDefault="00B738F3" w:rsidP="00B738F3">
      <w:pPr>
        <w:pStyle w:val="Heading3"/>
      </w:pPr>
      <w:bookmarkStart w:id="47" w:name="_Toc366490086"/>
      <w:bookmarkStart w:id="48" w:name="_Toc370724493"/>
      <w:r w:rsidRPr="00B738F3">
        <w:t>Contents of the clinical dossier</w:t>
      </w:r>
      <w:bookmarkEnd w:id="47"/>
      <w:bookmarkEnd w:id="48"/>
    </w:p>
    <w:p w:rsidR="00B738F3" w:rsidRPr="00B738F3" w:rsidRDefault="00B738F3" w:rsidP="00B738F3">
      <w:r w:rsidRPr="00B738F3">
        <w:t>The submission contained the following clinical information:</w:t>
      </w:r>
    </w:p>
    <w:p w:rsidR="00B738F3" w:rsidRPr="00B738F3" w:rsidRDefault="00B738F3" w:rsidP="00054C01">
      <w:pPr>
        <w:pStyle w:val="ListBullet"/>
      </w:pPr>
      <w:r w:rsidRPr="00B738F3">
        <w:t>Module 2</w:t>
      </w:r>
    </w:p>
    <w:p w:rsidR="00B738F3" w:rsidRPr="00B738F3" w:rsidRDefault="00A812C9" w:rsidP="00054C01">
      <w:pPr>
        <w:pStyle w:val="ListBullet2"/>
      </w:pPr>
      <w:r>
        <w:t>Clinical O</w:t>
      </w:r>
      <w:r w:rsidR="00B738F3" w:rsidRPr="00B738F3">
        <w:t xml:space="preserve">verview, </w:t>
      </w:r>
      <w:r>
        <w:t>S</w:t>
      </w:r>
      <w:r w:rsidR="00B738F3" w:rsidRPr="00B738F3">
        <w:t>ummary of Clinical Efficacy, Summary of Clinical Safety</w:t>
      </w:r>
      <w:r>
        <w:t>,</w:t>
      </w:r>
      <w:r w:rsidR="00B738F3" w:rsidRPr="00B738F3">
        <w:t xml:space="preserve"> and literature references.</w:t>
      </w:r>
    </w:p>
    <w:p w:rsidR="00B738F3" w:rsidRPr="00B738F3" w:rsidRDefault="00B738F3" w:rsidP="00054C01">
      <w:pPr>
        <w:pStyle w:val="ListBullet"/>
      </w:pPr>
      <w:r w:rsidRPr="00B738F3">
        <w:t>Module 5 contained only</w:t>
      </w:r>
    </w:p>
    <w:p w:rsidR="00B738F3" w:rsidRPr="00B738F3" w:rsidRDefault="00B738F3" w:rsidP="00054C01">
      <w:pPr>
        <w:pStyle w:val="ListBullet2"/>
      </w:pPr>
      <w:r w:rsidRPr="00B738F3">
        <w:t>Study ICS1063B/P01/03/Mu.F</w:t>
      </w:r>
      <w:r w:rsidR="00A812C9">
        <w:t>:</w:t>
      </w:r>
      <w:r w:rsidRPr="00B738F3">
        <w:t xml:space="preserve"> Efficacy and safety of Oli</w:t>
      </w:r>
      <w:r w:rsidR="00A812C9">
        <w:t>C</w:t>
      </w:r>
      <w:r w:rsidRPr="00B738F3">
        <w:t>linisol (Olimel) N9-840 v</w:t>
      </w:r>
      <w:r w:rsidR="00A812C9">
        <w:t xml:space="preserve">ersus </w:t>
      </w:r>
      <w:r w:rsidRPr="00B738F3">
        <w:t>Oli</w:t>
      </w:r>
      <w:r w:rsidR="00A812C9">
        <w:t>C</w:t>
      </w:r>
      <w:r w:rsidRPr="00B738F3">
        <w:t>linomel N8-</w:t>
      </w:r>
      <w:proofErr w:type="gramStart"/>
      <w:r w:rsidRPr="00B738F3">
        <w:t>800,</w:t>
      </w:r>
      <w:proofErr w:type="gramEnd"/>
      <w:r w:rsidRPr="00B738F3">
        <w:t xml:space="preserve"> carried out over five days in parallel groups in patients requiring parenteral nutrition.</w:t>
      </w:r>
    </w:p>
    <w:p w:rsidR="00B738F3" w:rsidRPr="00B738F3" w:rsidRDefault="00B738F3" w:rsidP="00054C01">
      <w:pPr>
        <w:pStyle w:val="ListBullet2"/>
      </w:pPr>
      <w:r w:rsidRPr="00B738F3">
        <w:t>Olimel/PeriOlimel P</w:t>
      </w:r>
      <w:r>
        <w:t xml:space="preserve">eriodic </w:t>
      </w:r>
      <w:r w:rsidRPr="00B738F3">
        <w:t>S</w:t>
      </w:r>
      <w:r>
        <w:t xml:space="preserve">afety </w:t>
      </w:r>
      <w:r w:rsidRPr="00B738F3">
        <w:t>U</w:t>
      </w:r>
      <w:r>
        <w:t xml:space="preserve">pdate </w:t>
      </w:r>
      <w:r w:rsidRPr="00B738F3">
        <w:t>R</w:t>
      </w:r>
      <w:r>
        <w:t>eports (PSUR</w:t>
      </w:r>
      <w:r w:rsidRPr="00B738F3">
        <w:t>s</w:t>
      </w:r>
      <w:r>
        <w:t>), covering the periods</w:t>
      </w:r>
      <w:r w:rsidR="00A812C9">
        <w:t xml:space="preserve"> 21 July 2008 to </w:t>
      </w:r>
      <w:r w:rsidRPr="00B738F3">
        <w:t>31 Jan 2012</w:t>
      </w:r>
    </w:p>
    <w:p w:rsidR="00B738F3" w:rsidRPr="00B738F3" w:rsidRDefault="00B738F3" w:rsidP="00054C01">
      <w:pPr>
        <w:pStyle w:val="ListBullet2"/>
      </w:pPr>
      <w:r w:rsidRPr="00B738F3">
        <w:t>11 literature references for amino acids(from 1985 to 1992, out of 94 submitted references)</w:t>
      </w:r>
    </w:p>
    <w:p w:rsidR="008E7846" w:rsidRDefault="00B738F3" w:rsidP="008E7846">
      <w:r>
        <w:t>In addition, the sponsor provided r</w:t>
      </w:r>
      <w:r w:rsidRPr="00B738F3">
        <w:t>eference to studies on lipids not previously submitted</w:t>
      </w:r>
      <w:r w:rsidR="00A812C9">
        <w:t xml:space="preserve"> to the TGA</w:t>
      </w:r>
      <w:r>
        <w:t>; r</w:t>
      </w:r>
      <w:r w:rsidRPr="00B738F3">
        <w:t>eference to studies on lipids previously submitted</w:t>
      </w:r>
      <w:r w:rsidR="00A812C9">
        <w:t xml:space="preserve"> to the TGA to support other applications</w:t>
      </w:r>
      <w:r>
        <w:t>; and r</w:t>
      </w:r>
      <w:r w:rsidRPr="00B738F3">
        <w:t>eference to studies on OliClinomel previously submitted</w:t>
      </w:r>
      <w:r w:rsidR="00A812C9">
        <w:t>.</w:t>
      </w:r>
      <w:r>
        <w:t xml:space="preserve"> </w:t>
      </w:r>
      <w:r w:rsidR="00A812C9">
        <w:t>N</w:t>
      </w:r>
      <w:r>
        <w:t xml:space="preserve">one of </w:t>
      </w:r>
      <w:r w:rsidR="00A812C9">
        <w:t xml:space="preserve">these </w:t>
      </w:r>
      <w:r>
        <w:t>were included in the clinical evaluation.</w:t>
      </w:r>
    </w:p>
    <w:p w:rsidR="00B738F3" w:rsidRPr="00B738F3" w:rsidRDefault="00B738F3" w:rsidP="00B738F3">
      <w:pPr>
        <w:pStyle w:val="Heading4"/>
      </w:pPr>
      <w:bookmarkStart w:id="49" w:name="_Toc290846235"/>
      <w:bookmarkStart w:id="50" w:name="_Toc328983354"/>
      <w:bookmarkStart w:id="51" w:name="_Toc366490088"/>
      <w:r w:rsidRPr="00B738F3">
        <w:t>Paediatric data</w:t>
      </w:r>
      <w:bookmarkEnd w:id="49"/>
      <w:bookmarkEnd w:id="50"/>
      <w:bookmarkEnd w:id="51"/>
    </w:p>
    <w:p w:rsidR="00B738F3" w:rsidRPr="00B738F3" w:rsidRDefault="00B738F3" w:rsidP="00B738F3">
      <w:r w:rsidRPr="00B738F3">
        <w:t>The submission included no relevant paediatric data. The studies were outside the proposed age limit or did not use 15% amino acids.</w:t>
      </w:r>
    </w:p>
    <w:p w:rsidR="00B738F3" w:rsidRPr="00B738F3" w:rsidRDefault="00B738F3" w:rsidP="00B738F3">
      <w:pPr>
        <w:pStyle w:val="Heading4"/>
      </w:pPr>
      <w:bookmarkStart w:id="52" w:name="_Toc272414612"/>
      <w:bookmarkStart w:id="53" w:name="_Toc290846236"/>
      <w:bookmarkStart w:id="54" w:name="_Toc328983355"/>
      <w:bookmarkStart w:id="55" w:name="_Toc366490089"/>
      <w:r w:rsidRPr="00B738F3">
        <w:t>Good clinical practice</w:t>
      </w:r>
      <w:bookmarkEnd w:id="52"/>
      <w:bookmarkEnd w:id="53"/>
      <w:bookmarkEnd w:id="54"/>
      <w:bookmarkEnd w:id="55"/>
    </w:p>
    <w:p w:rsidR="00B738F3" w:rsidRPr="00B738F3" w:rsidRDefault="00B738F3" w:rsidP="00B738F3">
      <w:r w:rsidRPr="00B738F3">
        <w:t xml:space="preserve">Study ICS1063B/P01/03/Mu was conducted according to </w:t>
      </w:r>
      <w:r w:rsidR="00A812C9">
        <w:t>good clinical practice guidelines</w:t>
      </w:r>
      <w:r w:rsidR="00054C01">
        <w:t>.</w:t>
      </w:r>
    </w:p>
    <w:p w:rsidR="008E7846" w:rsidRPr="00254787" w:rsidRDefault="008E7846" w:rsidP="008E7846">
      <w:pPr>
        <w:pStyle w:val="Heading3"/>
      </w:pPr>
      <w:bookmarkStart w:id="56" w:name="_Toc196046464"/>
      <w:bookmarkStart w:id="57" w:name="_Toc247691518"/>
      <w:bookmarkStart w:id="58" w:name="_Toc314842502"/>
      <w:bookmarkStart w:id="59" w:name="_Toc370724494"/>
      <w:r w:rsidRPr="00254787">
        <w:lastRenderedPageBreak/>
        <w:t>Pharmacokinetics</w:t>
      </w:r>
      <w:bookmarkEnd w:id="40"/>
      <w:bookmarkEnd w:id="56"/>
      <w:bookmarkEnd w:id="57"/>
      <w:bookmarkEnd w:id="58"/>
      <w:bookmarkEnd w:id="59"/>
    </w:p>
    <w:p w:rsidR="00B738F3" w:rsidRPr="00B738F3" w:rsidRDefault="00B738F3" w:rsidP="00B738F3">
      <w:r>
        <w:t>No specific s</w:t>
      </w:r>
      <w:r w:rsidRPr="00B738F3">
        <w:t xml:space="preserve">tudies </w:t>
      </w:r>
      <w:r>
        <w:t xml:space="preserve">were submitted. </w:t>
      </w:r>
      <w:r w:rsidRPr="00B738F3">
        <w:t>The sponsor provided general information on the individual compartment components.</w:t>
      </w:r>
    </w:p>
    <w:p w:rsidR="008E7846" w:rsidRDefault="008E7846" w:rsidP="008E7846">
      <w:pPr>
        <w:pStyle w:val="Heading3"/>
      </w:pPr>
      <w:bookmarkStart w:id="60" w:name="_Toc196046481"/>
      <w:bookmarkStart w:id="61" w:name="_Toc247691520"/>
      <w:bookmarkStart w:id="62" w:name="_Toc314842503"/>
      <w:bookmarkStart w:id="63" w:name="_Toc370724495"/>
      <w:r w:rsidRPr="00254787">
        <w:t>Pharmacodynamics</w:t>
      </w:r>
      <w:bookmarkEnd w:id="41"/>
      <w:bookmarkEnd w:id="60"/>
      <w:bookmarkEnd w:id="61"/>
      <w:bookmarkEnd w:id="62"/>
      <w:bookmarkEnd w:id="63"/>
    </w:p>
    <w:p w:rsidR="00B738F3" w:rsidRPr="00B738F3" w:rsidRDefault="00B738F3" w:rsidP="00B738F3">
      <w:pPr>
        <w:autoSpaceDE w:val="0"/>
        <w:autoSpaceDN w:val="0"/>
        <w:adjustRightInd w:val="0"/>
        <w:rPr>
          <w:color w:val="000000"/>
        </w:rPr>
      </w:pPr>
      <w:r w:rsidRPr="00B738F3">
        <w:rPr>
          <w:color w:val="000000"/>
        </w:rPr>
        <w:t>No s</w:t>
      </w:r>
      <w:r w:rsidR="000B7A39">
        <w:rPr>
          <w:color w:val="000000"/>
        </w:rPr>
        <w:t>pecific studies were submitted.</w:t>
      </w:r>
    </w:p>
    <w:p w:rsidR="008E7846" w:rsidRPr="00254787" w:rsidRDefault="008E7846" w:rsidP="008E7846">
      <w:pPr>
        <w:pStyle w:val="Heading3"/>
      </w:pPr>
      <w:bookmarkStart w:id="64" w:name="_Toc163441372"/>
      <w:bookmarkStart w:id="65" w:name="_Toc196046485"/>
      <w:bookmarkStart w:id="66" w:name="_Toc247691521"/>
      <w:bookmarkStart w:id="67" w:name="_Toc314842504"/>
      <w:bookmarkStart w:id="68" w:name="_Toc370724496"/>
      <w:r w:rsidRPr="00254787">
        <w:t>Efficacy</w:t>
      </w:r>
      <w:bookmarkEnd w:id="64"/>
      <w:bookmarkEnd w:id="65"/>
      <w:bookmarkEnd w:id="66"/>
      <w:bookmarkEnd w:id="67"/>
      <w:bookmarkEnd w:id="68"/>
    </w:p>
    <w:p w:rsidR="00B738F3" w:rsidRPr="00B738F3" w:rsidRDefault="00B738F3" w:rsidP="00B738F3">
      <w:pPr>
        <w:pStyle w:val="Heading4"/>
      </w:pPr>
      <w:bookmarkStart w:id="69" w:name="_Toc366490093"/>
      <w:bookmarkStart w:id="70" w:name="_Toc184439992"/>
      <w:bookmarkStart w:id="71" w:name="_Toc184440279"/>
      <w:bookmarkStart w:id="72" w:name="_Toc184444657"/>
      <w:bookmarkStart w:id="73" w:name="_Toc196046487"/>
      <w:r w:rsidRPr="00B738F3">
        <w:t>Dosage selection for the pivotal stud</w:t>
      </w:r>
      <w:bookmarkEnd w:id="69"/>
      <w:r>
        <w:t>y</w:t>
      </w:r>
    </w:p>
    <w:p w:rsidR="00B738F3" w:rsidRPr="00DE6D1E" w:rsidRDefault="00A812C9" w:rsidP="00DE6D1E">
      <w:r w:rsidRPr="00DE6D1E">
        <w:t>According to the study report t</w:t>
      </w:r>
      <w:r w:rsidR="00B738F3" w:rsidRPr="00DE6D1E">
        <w:t>he</w:t>
      </w:r>
      <w:r w:rsidR="000B123B" w:rsidRPr="00DE6D1E">
        <w:t xml:space="preserve"> dose administered was dependant</w:t>
      </w:r>
      <w:r w:rsidR="00B738F3" w:rsidRPr="00DE6D1E">
        <w:t xml:space="preserve"> on patient oral intakes, me</w:t>
      </w:r>
      <w:r w:rsidR="000B123B" w:rsidRPr="00DE6D1E">
        <w:t>tabolic and energy requirements</w:t>
      </w:r>
      <w:r w:rsidR="00B738F3" w:rsidRPr="00DE6D1E">
        <w:t xml:space="preserve"> and patient’s clinical condition</w:t>
      </w:r>
      <w:r w:rsidR="000B123B" w:rsidRPr="00DE6D1E">
        <w:t xml:space="preserve">. </w:t>
      </w:r>
      <w:proofErr w:type="spellStart"/>
      <w:r w:rsidR="00DE6D1E" w:rsidRPr="00DE6D1E">
        <w:t>Parenteral</w:t>
      </w:r>
      <w:proofErr w:type="spellEnd"/>
      <w:r w:rsidR="00DE6D1E" w:rsidRPr="00DE6D1E">
        <w:t xml:space="preserve"> </w:t>
      </w:r>
      <w:r w:rsidR="000B123B" w:rsidRPr="00DE6D1E">
        <w:t xml:space="preserve">nutrition was </w:t>
      </w:r>
      <w:r w:rsidR="00B738F3" w:rsidRPr="00DE6D1E">
        <w:t xml:space="preserve">considered in some cases as </w:t>
      </w:r>
      <w:r w:rsidR="000B123B" w:rsidRPr="00DE6D1E">
        <w:t>a</w:t>
      </w:r>
      <w:r w:rsidR="00B738F3" w:rsidRPr="00DE6D1E">
        <w:t xml:space="preserve"> compleme</w:t>
      </w:r>
      <w:r w:rsidR="000B123B" w:rsidRPr="00DE6D1E">
        <w:t>ntary PN to oral/</w:t>
      </w:r>
      <w:proofErr w:type="spellStart"/>
      <w:r w:rsidR="000B123B" w:rsidRPr="00DE6D1E">
        <w:t>enteral</w:t>
      </w:r>
      <w:proofErr w:type="spellEnd"/>
      <w:r w:rsidR="000B123B" w:rsidRPr="00DE6D1E">
        <w:t xml:space="preserve"> intake</w:t>
      </w:r>
      <w:r w:rsidR="00B738F3" w:rsidRPr="00DE6D1E">
        <w:t xml:space="preserve"> </w:t>
      </w:r>
      <w:r w:rsidR="00342E7F" w:rsidRPr="00DE6D1E">
        <w:t>for a patient in which this was not contraindicated but for whi</w:t>
      </w:r>
      <w:r w:rsidR="000B7A39">
        <w:t>ch intakes were not sufficient.</w:t>
      </w:r>
    </w:p>
    <w:p w:rsidR="00B738F3" w:rsidRDefault="00B738F3" w:rsidP="00B738F3">
      <w:pPr>
        <w:pStyle w:val="Heading4"/>
      </w:pPr>
      <w:r>
        <w:t>Studies providing efficacy data</w:t>
      </w:r>
    </w:p>
    <w:p w:rsidR="00B738F3" w:rsidRDefault="000B7A39" w:rsidP="00B738F3">
      <w:pPr>
        <w:pStyle w:val="Heading5"/>
      </w:pPr>
      <w:proofErr w:type="spellStart"/>
      <w:r>
        <w:t>Olimel</w:t>
      </w:r>
      <w:proofErr w:type="spellEnd"/>
      <w:r>
        <w:t>/</w:t>
      </w:r>
      <w:proofErr w:type="spellStart"/>
      <w:r>
        <w:t>PeriOlimel</w:t>
      </w:r>
      <w:proofErr w:type="spellEnd"/>
    </w:p>
    <w:p w:rsidR="00B738F3" w:rsidRPr="00B738F3" w:rsidRDefault="00B738F3" w:rsidP="00B738F3">
      <w:r>
        <w:t>O</w:t>
      </w:r>
      <w:r w:rsidRPr="00B738F3">
        <w:t xml:space="preserve">ne </w:t>
      </w:r>
      <w:bookmarkStart w:id="74" w:name="_Toc328983362"/>
      <w:r>
        <w:t>p</w:t>
      </w:r>
      <w:r w:rsidRPr="00B738F3">
        <w:t xml:space="preserve">ivotal efficacy </w:t>
      </w:r>
      <w:r>
        <w:t>s</w:t>
      </w:r>
      <w:r w:rsidRPr="00B738F3">
        <w:t>tudy</w:t>
      </w:r>
      <w:r>
        <w:t>, Study</w:t>
      </w:r>
      <w:r w:rsidRPr="00B738F3">
        <w:t xml:space="preserve"> ICS1063B/P01/03/Mu.F</w:t>
      </w:r>
      <w:bookmarkEnd w:id="74"/>
      <w:r>
        <w:t>,</w:t>
      </w:r>
      <w:r w:rsidRPr="00B738F3">
        <w:t xml:space="preserve"> was submitted</w:t>
      </w:r>
      <w:r>
        <w:t>.</w:t>
      </w:r>
      <w:r w:rsidR="00A812C9">
        <w:t xml:space="preserve"> </w:t>
      </w:r>
      <w:r w:rsidRPr="00B738F3">
        <w:t>This study compared the proposed combined preparation Olimel containing a</w:t>
      </w:r>
      <w:r w:rsidR="00342E7F">
        <w:t xml:space="preserve"> </w:t>
      </w:r>
      <w:r w:rsidRPr="00B738F3">
        <w:t>15% amino acid preparation (</w:t>
      </w:r>
      <w:proofErr w:type="spellStart"/>
      <w:r w:rsidRPr="00B738F3">
        <w:t>Clinisol</w:t>
      </w:r>
      <w:proofErr w:type="spellEnd"/>
      <w:r w:rsidR="00342E7F">
        <w:t>; not registered in Australia</w:t>
      </w:r>
      <w:r w:rsidRPr="00B738F3">
        <w:t xml:space="preserve">) with a combined preparation not registered in Australia that contained a 10% amino acid preparation </w:t>
      </w:r>
      <w:proofErr w:type="spellStart"/>
      <w:r w:rsidRPr="00B738F3">
        <w:t>Synthamin</w:t>
      </w:r>
      <w:proofErr w:type="spellEnd"/>
      <w:r w:rsidR="00342E7F">
        <w:t xml:space="preserve"> (also not registered in Australia). From the study report</w:t>
      </w:r>
      <w:r>
        <w:t xml:space="preserve"> OliC</w:t>
      </w:r>
      <w:r w:rsidRPr="00B738F3">
        <w:t xml:space="preserve">linomel N8-800 was chosen as the ready to use (RTU) ternary admixture reference </w:t>
      </w:r>
      <w:r w:rsidR="00342E7F">
        <w:t xml:space="preserve">product </w:t>
      </w:r>
      <w:r w:rsidRPr="00B738F3">
        <w:t xml:space="preserve">because it has a similar composition except </w:t>
      </w:r>
      <w:r w:rsidR="00342E7F">
        <w:t xml:space="preserve">for </w:t>
      </w:r>
      <w:r w:rsidRPr="00B738F3">
        <w:t>the amino acid solution and lipido-glucidic ratio.</w:t>
      </w:r>
    </w:p>
    <w:p w:rsidR="00B738F3" w:rsidRPr="00B738F3" w:rsidRDefault="00B738F3" w:rsidP="00B738F3">
      <w:r>
        <w:t>This was a</w:t>
      </w:r>
      <w:r w:rsidRPr="00B738F3">
        <w:t xml:space="preserve"> mu</w:t>
      </w:r>
      <w:r>
        <w:t>lticenter, prospective, randomis</w:t>
      </w:r>
      <w:r w:rsidRPr="00B738F3">
        <w:t>ed, double-blind, pa</w:t>
      </w:r>
      <w:r>
        <w:t>rallel group study in hospitalis</w:t>
      </w:r>
      <w:r w:rsidRPr="00B738F3">
        <w:t xml:space="preserve">ed adults carried out over five days. </w:t>
      </w:r>
      <w:r w:rsidR="00873C4E">
        <w:t xml:space="preserve">There were 24 patients in the Olimel arm and 26 in the </w:t>
      </w:r>
      <w:r w:rsidR="00873C4E" w:rsidRPr="00873C4E">
        <w:t>OliClinomel</w:t>
      </w:r>
      <w:r w:rsidR="00873C4E">
        <w:t xml:space="preserve"> arm (Intent-to-Treat (ITT) population)</w:t>
      </w:r>
      <w:r w:rsidR="000B7A39">
        <w:t>.</w:t>
      </w:r>
    </w:p>
    <w:p w:rsidR="00B738F3" w:rsidRDefault="00B738F3" w:rsidP="00B738F3">
      <w:r>
        <w:t>P</w:t>
      </w:r>
      <w:r w:rsidRPr="00B738F3">
        <w:t>rimary objective</w:t>
      </w:r>
      <w:r>
        <w:t xml:space="preserve">: </w:t>
      </w:r>
      <w:r w:rsidRPr="00B738F3">
        <w:t xml:space="preserve">to provide clinical information on safety of </w:t>
      </w:r>
      <w:r>
        <w:t xml:space="preserve">Olimel </w:t>
      </w:r>
      <w:r w:rsidRPr="00B738F3">
        <w:t xml:space="preserve">N9-840 in a practical therapeutic use after 5 consecutive days of </w:t>
      </w:r>
      <w:proofErr w:type="spellStart"/>
      <w:r w:rsidR="000B7A39">
        <w:t>parenteral</w:t>
      </w:r>
      <w:proofErr w:type="spellEnd"/>
      <w:r w:rsidR="000B7A39">
        <w:t xml:space="preserve"> nutrition.</w:t>
      </w:r>
    </w:p>
    <w:p w:rsidR="00B738F3" w:rsidRPr="00B738F3" w:rsidRDefault="00B738F3" w:rsidP="00B738F3">
      <w:r>
        <w:t>S</w:t>
      </w:r>
      <w:r w:rsidRPr="00B738F3">
        <w:t>econdary objective: No difference in clinical outcomes or lab</w:t>
      </w:r>
      <w:r>
        <w:t xml:space="preserve">oratory </w:t>
      </w:r>
      <w:r w:rsidRPr="00B738F3">
        <w:t xml:space="preserve">tests was expected </w:t>
      </w:r>
      <w:r w:rsidR="00342E7F">
        <w:t xml:space="preserve">for </w:t>
      </w:r>
      <w:r w:rsidRPr="00B738F3">
        <w:t xml:space="preserve">the differences in </w:t>
      </w:r>
      <w:r w:rsidR="00342E7F">
        <w:t xml:space="preserve">product </w:t>
      </w:r>
      <w:r w:rsidR="00EC2D04">
        <w:t>composition;</w:t>
      </w:r>
      <w:r w:rsidRPr="00B738F3">
        <w:t xml:space="preserve"> nevertheless, </w:t>
      </w:r>
      <w:proofErr w:type="spellStart"/>
      <w:r w:rsidRPr="00B738F3">
        <w:t>transthyretin</w:t>
      </w:r>
      <w:proofErr w:type="spellEnd"/>
      <w:r w:rsidR="00553EDD">
        <w:rPr>
          <w:rStyle w:val="FootnoteReference"/>
        </w:rPr>
        <w:footnoteReference w:id="2"/>
      </w:r>
      <w:r w:rsidRPr="00B738F3">
        <w:t xml:space="preserve"> was collected </w:t>
      </w:r>
      <w:r w:rsidR="00342E7F" w:rsidRPr="00342E7F">
        <w:t xml:space="preserve">as </w:t>
      </w:r>
      <w:r w:rsidR="00342E7F">
        <w:t xml:space="preserve">a </w:t>
      </w:r>
      <w:r w:rsidR="00342E7F" w:rsidRPr="00342E7F">
        <w:t xml:space="preserve">nutritional marker </w:t>
      </w:r>
      <w:r w:rsidR="00342E7F">
        <w:t xml:space="preserve">for </w:t>
      </w:r>
      <w:r w:rsidRPr="00B738F3">
        <w:t>efficacy.</w:t>
      </w:r>
    </w:p>
    <w:p w:rsidR="00B738F3" w:rsidRPr="00B738F3" w:rsidRDefault="00B738F3" w:rsidP="00B738F3">
      <w:pPr>
        <w:pStyle w:val="Heading5"/>
      </w:pPr>
      <w:bookmarkStart w:id="75" w:name="_Toc366490096"/>
      <w:bookmarkStart w:id="76" w:name="_Toc328983363"/>
      <w:r>
        <w:t>I</w:t>
      </w:r>
      <w:r w:rsidRPr="00B738F3">
        <w:t>ndividual components</w:t>
      </w:r>
      <w:bookmarkEnd w:id="75"/>
      <w:bookmarkEnd w:id="76"/>
    </w:p>
    <w:p w:rsidR="00B738F3" w:rsidRPr="00B738F3" w:rsidRDefault="005D732A" w:rsidP="00B738F3">
      <w:pPr>
        <w:pStyle w:val="Heading6"/>
      </w:pPr>
      <w:bookmarkStart w:id="77" w:name="_Toc328983364"/>
      <w:r>
        <w:t>15% a</w:t>
      </w:r>
      <w:r w:rsidR="00B738F3" w:rsidRPr="00B738F3">
        <w:t xml:space="preserve">mino </w:t>
      </w:r>
      <w:r>
        <w:t>a</w:t>
      </w:r>
      <w:r w:rsidR="00B738F3" w:rsidRPr="00B738F3">
        <w:t xml:space="preserve">cid </w:t>
      </w:r>
      <w:r>
        <w:t>c</w:t>
      </w:r>
      <w:r w:rsidR="00B738F3" w:rsidRPr="00B738F3">
        <w:t>omponent (Clinisol)</w:t>
      </w:r>
      <w:bookmarkEnd w:id="77"/>
    </w:p>
    <w:p w:rsidR="00B738F3" w:rsidRPr="00B738F3" w:rsidRDefault="00B738F3" w:rsidP="00B738F3">
      <w:r w:rsidRPr="00B738F3">
        <w:t>There were no studies of the use of Clinisol submitted. Instead an unjustified</w:t>
      </w:r>
      <w:r w:rsidRPr="00B738F3">
        <w:rPr>
          <w:vertAlign w:val="superscript"/>
        </w:rPr>
        <w:footnoteReference w:id="3"/>
      </w:r>
      <w:r w:rsidRPr="00B738F3">
        <w:t xml:space="preserve"> selection of literature trial reports was submitted. It included only one study with </w:t>
      </w:r>
      <w:r w:rsidR="00342E7F">
        <w:t xml:space="preserve">products containing </w:t>
      </w:r>
      <w:r w:rsidRPr="00B738F3">
        <w:t xml:space="preserve">15% amino acids </w:t>
      </w:r>
      <w:r w:rsidR="00342E7F">
        <w:t xml:space="preserve">and </w:t>
      </w:r>
      <w:r w:rsidRPr="00B738F3">
        <w:t xml:space="preserve">it also included some studies outside the age group proposed. One literature study used </w:t>
      </w:r>
      <w:proofErr w:type="spellStart"/>
      <w:r w:rsidRPr="00B738F3">
        <w:t>Synthamin</w:t>
      </w:r>
      <w:proofErr w:type="spellEnd"/>
      <w:r w:rsidRPr="00B738F3">
        <w:t xml:space="preserve"> 17 </w:t>
      </w:r>
      <w:r w:rsidR="00342E7F">
        <w:t xml:space="preserve">which the authors and sponsor </w:t>
      </w:r>
      <w:r w:rsidRPr="00B738F3">
        <w:t xml:space="preserve">described </w:t>
      </w:r>
      <w:r w:rsidR="00EC2D04">
        <w:t xml:space="preserve">as </w:t>
      </w:r>
      <w:r w:rsidR="00342E7F">
        <w:t xml:space="preserve">containing </w:t>
      </w:r>
      <w:r w:rsidRPr="00B738F3">
        <w:t>17%</w:t>
      </w:r>
      <w:r w:rsidR="00EC2D04">
        <w:t xml:space="preserve"> amino acids.</w:t>
      </w:r>
      <w:r w:rsidRPr="00B738F3">
        <w:rPr>
          <w:vertAlign w:val="superscript"/>
        </w:rPr>
        <w:footnoteReference w:id="4"/>
      </w:r>
      <w:r w:rsidRPr="00B738F3">
        <w:t xml:space="preserve"> The product on the ARTG and the sponsor’s website </w:t>
      </w:r>
      <w:r w:rsidR="00EC2D04">
        <w:t xml:space="preserve">is described as containing </w:t>
      </w:r>
      <w:r w:rsidRPr="00B738F3">
        <w:t>10% amino acids.</w:t>
      </w:r>
    </w:p>
    <w:p w:rsidR="00B738F3" w:rsidRPr="00817026" w:rsidRDefault="00B738F3" w:rsidP="00817026">
      <w:pPr>
        <w:pStyle w:val="ListBullet"/>
      </w:pPr>
      <w:r w:rsidRPr="00817026">
        <w:lastRenderedPageBreak/>
        <w:t xml:space="preserve">Broyles JE </w:t>
      </w:r>
      <w:r w:rsidRPr="00817026">
        <w:rPr>
          <w:i/>
          <w:iCs/>
        </w:rPr>
        <w:t>et al</w:t>
      </w:r>
      <w:r w:rsidRPr="00817026">
        <w:t>.</w:t>
      </w:r>
      <w:r w:rsidR="008D4FB9" w:rsidRPr="00817026">
        <w:t xml:space="preserve"> </w:t>
      </w:r>
      <w:r w:rsidRPr="00817026">
        <w:t xml:space="preserve">Fluid Balance in Fluid-restricted Patients Receiving 10% Amino acids or 15% Amino acids as Part of </w:t>
      </w:r>
      <w:proofErr w:type="spellStart"/>
      <w:r w:rsidRPr="00817026">
        <w:t>Parenteral</w:t>
      </w:r>
      <w:proofErr w:type="spellEnd"/>
      <w:r w:rsidRPr="00817026">
        <w:t xml:space="preserve"> Nutrition. </w:t>
      </w:r>
      <w:r w:rsidRPr="00817026">
        <w:rPr>
          <w:i/>
          <w:iCs/>
        </w:rPr>
        <w:t xml:space="preserve">Hosp </w:t>
      </w:r>
      <w:proofErr w:type="spellStart"/>
      <w:r w:rsidRPr="00817026">
        <w:rPr>
          <w:i/>
          <w:iCs/>
        </w:rPr>
        <w:t>Pharm</w:t>
      </w:r>
      <w:proofErr w:type="spellEnd"/>
      <w:r w:rsidRPr="00817026">
        <w:t>, 24: 995-998; 1989.</w:t>
      </w:r>
    </w:p>
    <w:p w:rsidR="00B738F3" w:rsidRPr="00B738F3" w:rsidRDefault="00817026" w:rsidP="00B738F3">
      <w:r>
        <w:t xml:space="preserve">This </w:t>
      </w:r>
      <w:r w:rsidR="00B738F3" w:rsidRPr="008D4FB9">
        <w:t>study</w:t>
      </w:r>
      <w:r w:rsidR="008D4FB9">
        <w:t xml:space="preserve"> </w:t>
      </w:r>
      <w:r w:rsidR="00B738F3" w:rsidRPr="008D4FB9">
        <w:t xml:space="preserve">compared the use of a 15% amino acid solution to a 10% amino acid solution as part of parenteral </w:t>
      </w:r>
      <w:r w:rsidR="008D4FB9">
        <w:t>n</w:t>
      </w:r>
      <w:r w:rsidR="00B738F3" w:rsidRPr="008D4FB9">
        <w:t>utrition in fluid-restricted patients.</w:t>
      </w:r>
      <w:r w:rsidR="008D4FB9">
        <w:t xml:space="preserve"> It was a r</w:t>
      </w:r>
      <w:r w:rsidR="00B738F3" w:rsidRPr="00B738F3">
        <w:t xml:space="preserve">andomised, parallel groups study for 7-14 days in fluid-restricted </w:t>
      </w:r>
      <w:r w:rsidR="008D4FB9">
        <w:t>intensive care unit (</w:t>
      </w:r>
      <w:r w:rsidR="00B738F3" w:rsidRPr="00B738F3">
        <w:t>ICU</w:t>
      </w:r>
      <w:r w:rsidR="008D4FB9">
        <w:t>)</w:t>
      </w:r>
      <w:r w:rsidR="000B7A39">
        <w:t xml:space="preserve"> patients.</w:t>
      </w:r>
    </w:p>
    <w:p w:rsidR="00B738F3" w:rsidRPr="00B738F3" w:rsidRDefault="000B7A39" w:rsidP="008D4FB9">
      <w:pPr>
        <w:pStyle w:val="Heading6"/>
      </w:pPr>
      <w:bookmarkStart w:id="78" w:name="_Toc328983366"/>
      <w:r>
        <w:t>Lipid c</w:t>
      </w:r>
      <w:r w:rsidR="00B738F3" w:rsidRPr="00B738F3">
        <w:t>omponent (</w:t>
      </w:r>
      <w:proofErr w:type="spellStart"/>
      <w:r w:rsidR="00B738F3" w:rsidRPr="00B738F3">
        <w:t>Clinoleic</w:t>
      </w:r>
      <w:proofErr w:type="spellEnd"/>
      <w:r w:rsidR="00B738F3" w:rsidRPr="00B738F3">
        <w:t>)</w:t>
      </w:r>
      <w:bookmarkEnd w:id="78"/>
    </w:p>
    <w:p w:rsidR="00B738F3" w:rsidRPr="00B738F3" w:rsidRDefault="00B738F3" w:rsidP="00B738F3">
      <w:r w:rsidRPr="00B738F3">
        <w:t xml:space="preserve">Reference </w:t>
      </w:r>
      <w:r w:rsidR="005D732A">
        <w:t>wa</w:t>
      </w:r>
      <w:r w:rsidRPr="00B738F3">
        <w:t>s made to the previous TGA evaluation reports and discussions</w:t>
      </w:r>
      <w:r w:rsidR="00580A6C">
        <w:t xml:space="preserve"> related to its registration</w:t>
      </w:r>
      <w:r w:rsidRPr="00B738F3">
        <w:t>.</w:t>
      </w:r>
    </w:p>
    <w:p w:rsidR="00B738F3" w:rsidRPr="00B738F3" w:rsidRDefault="00B738F3" w:rsidP="008D4FB9">
      <w:pPr>
        <w:pStyle w:val="Heading6"/>
      </w:pPr>
      <w:bookmarkStart w:id="79" w:name="_Toc328983367"/>
      <w:r w:rsidRPr="00B738F3">
        <w:t>Glucose (Component)</w:t>
      </w:r>
      <w:bookmarkEnd w:id="79"/>
    </w:p>
    <w:p w:rsidR="00B738F3" w:rsidRPr="00B738F3" w:rsidRDefault="00B738F3" w:rsidP="00B738F3">
      <w:r w:rsidRPr="00B738F3">
        <w:t xml:space="preserve">This is </w:t>
      </w:r>
      <w:proofErr w:type="gramStart"/>
      <w:r w:rsidRPr="00B738F3">
        <w:t>an</w:t>
      </w:r>
      <w:proofErr w:type="gramEnd"/>
      <w:r w:rsidRPr="00B738F3">
        <w:t xml:space="preserve"> historically registered product.</w:t>
      </w:r>
    </w:p>
    <w:p w:rsidR="00B738F3" w:rsidRPr="00B738F3" w:rsidRDefault="00B738F3" w:rsidP="008D4FB9">
      <w:pPr>
        <w:pStyle w:val="Heading4"/>
      </w:pPr>
      <w:bookmarkStart w:id="80" w:name="_Toc328983369"/>
      <w:r w:rsidRPr="00B738F3">
        <w:t>Evaluator’s conclusions on clinical efficacy of combined product</w:t>
      </w:r>
      <w:bookmarkEnd w:id="80"/>
    </w:p>
    <w:p w:rsidR="00B738F3" w:rsidRPr="00B738F3" w:rsidRDefault="00B738F3" w:rsidP="00B738F3">
      <w:r w:rsidRPr="00B738F3">
        <w:t>The evidence for efficacy re</w:t>
      </w:r>
      <w:r w:rsidR="00EF3EF7">
        <w:t>sts o</w:t>
      </w:r>
      <w:r w:rsidRPr="00B738F3">
        <w:t xml:space="preserve">n a single study </w:t>
      </w:r>
      <w:r w:rsidR="00EF3EF7">
        <w:t xml:space="preserve">in </w:t>
      </w:r>
      <w:r w:rsidR="000B7A39">
        <w:t>24 patients.</w:t>
      </w:r>
    </w:p>
    <w:p w:rsidR="00EF3EF7" w:rsidRPr="00B738F3" w:rsidRDefault="00EF3EF7" w:rsidP="000B7A39">
      <w:pPr>
        <w:pStyle w:val="ListBullet"/>
      </w:pPr>
      <w:r>
        <w:t>S</w:t>
      </w:r>
      <w:r w:rsidRPr="00EF3EF7">
        <w:t xml:space="preserve">ome of </w:t>
      </w:r>
      <w:r>
        <w:t xml:space="preserve">the patients </w:t>
      </w:r>
      <w:r w:rsidRPr="00EF3EF7">
        <w:t xml:space="preserve">had a considerable </w:t>
      </w:r>
      <w:r>
        <w:t xml:space="preserve">additional </w:t>
      </w:r>
      <w:proofErr w:type="spellStart"/>
      <w:r>
        <w:t>enteral</w:t>
      </w:r>
      <w:proofErr w:type="spellEnd"/>
      <w:r>
        <w:t xml:space="preserve"> intake.</w:t>
      </w:r>
    </w:p>
    <w:p w:rsidR="00EF3EF7" w:rsidRDefault="00EF3EF7" w:rsidP="000B7A39">
      <w:pPr>
        <w:pStyle w:val="ListBullet"/>
      </w:pPr>
      <w:r w:rsidRPr="00B738F3">
        <w:t>The study lasted only 5days.</w:t>
      </w:r>
    </w:p>
    <w:p w:rsidR="00B738F3" w:rsidRPr="00B738F3" w:rsidRDefault="00B738F3" w:rsidP="000B7A39">
      <w:pPr>
        <w:pStyle w:val="ListBullet"/>
      </w:pPr>
      <w:r w:rsidRPr="00B738F3">
        <w:t>The comparator was a preparatio</w:t>
      </w:r>
      <w:r w:rsidR="000B7A39">
        <w:t>n not registered in Australia.</w:t>
      </w:r>
    </w:p>
    <w:p w:rsidR="00B738F3" w:rsidRPr="00B738F3" w:rsidRDefault="00B738F3" w:rsidP="000B7A39">
      <w:pPr>
        <w:pStyle w:val="ListBullet"/>
      </w:pPr>
      <w:r w:rsidRPr="00B738F3">
        <w:t>Although the products had differing lipid/glucose ratios effects on glucose or triglycerides were not specifically considered except in discussion,</w:t>
      </w:r>
      <w:r w:rsidRPr="005D732A">
        <w:rPr>
          <w:vertAlign w:val="superscript"/>
        </w:rPr>
        <w:footnoteReference w:id="5"/>
      </w:r>
      <w:r w:rsidRPr="00B738F3">
        <w:t xml:space="preserve"> possibly because of the use of additional glucose infusions.</w:t>
      </w:r>
    </w:p>
    <w:p w:rsidR="00B738F3" w:rsidRPr="00B738F3" w:rsidRDefault="00B738F3" w:rsidP="000B7A39">
      <w:pPr>
        <w:pStyle w:val="ListBullet"/>
      </w:pPr>
      <w:r w:rsidRPr="00B738F3">
        <w:t>Th</w:t>
      </w:r>
      <w:r w:rsidR="005D732A">
        <w:t xml:space="preserve">e </w:t>
      </w:r>
      <w:r w:rsidRPr="00B738F3">
        <w:t xml:space="preserve">evaluator believes this is insufficient information to establish </w:t>
      </w:r>
      <w:r w:rsidR="000B7A39">
        <w:t>efficacy to the level required.</w:t>
      </w:r>
    </w:p>
    <w:p w:rsidR="00B738F3" w:rsidRPr="00B738F3" w:rsidRDefault="00B738F3" w:rsidP="005D732A">
      <w:pPr>
        <w:pStyle w:val="Heading4"/>
      </w:pPr>
      <w:bookmarkStart w:id="81" w:name="_Toc328983370"/>
      <w:r w:rsidRPr="00B738F3">
        <w:t>Evaluator’s conclusions on clinical efficacy of separate components</w:t>
      </w:r>
      <w:bookmarkEnd w:id="81"/>
    </w:p>
    <w:p w:rsidR="00B738F3" w:rsidRPr="00B738F3" w:rsidRDefault="00B738F3" w:rsidP="00B738F3">
      <w:r w:rsidRPr="00B738F3">
        <w:t>The glucose and lipid components are registered and their efficacy is accepted.</w:t>
      </w:r>
    </w:p>
    <w:p w:rsidR="00B738F3" w:rsidRPr="00B738F3" w:rsidRDefault="00B738F3" w:rsidP="00B738F3">
      <w:r w:rsidRPr="00B738F3">
        <w:t>The 15% amino acid preparation (Clinisol) is not registered and the single literature trial in 10 patients for 7days failed to achieve a clinically significant difference in its primary endpoint</w:t>
      </w:r>
      <w:r w:rsidR="00EF3EF7">
        <w:t>.</w:t>
      </w:r>
      <w:r w:rsidRPr="00B738F3">
        <w:t xml:space="preserve"> </w:t>
      </w:r>
      <w:r w:rsidR="00EF3EF7">
        <w:t>E</w:t>
      </w:r>
      <w:r w:rsidRPr="00B738F3">
        <w:t>vidence of nutritional efficacy was lacking.</w:t>
      </w:r>
    </w:p>
    <w:p w:rsidR="00B738F3" w:rsidRPr="00B738F3" w:rsidRDefault="00B738F3" w:rsidP="00B738F3">
      <w:r w:rsidRPr="00B738F3">
        <w:t>Th</w:t>
      </w:r>
      <w:r w:rsidR="005D732A">
        <w:t xml:space="preserve">e </w:t>
      </w:r>
      <w:r w:rsidRPr="00B738F3">
        <w:t>evaluator believes this is insufficient information to establish efficacy.</w:t>
      </w:r>
    </w:p>
    <w:p w:rsidR="008E7846" w:rsidRPr="002E238E" w:rsidRDefault="008E7846" w:rsidP="008E7846">
      <w:pPr>
        <w:pStyle w:val="Heading3"/>
      </w:pPr>
      <w:bookmarkStart w:id="82" w:name="_Toc163441378"/>
      <w:bookmarkStart w:id="83" w:name="_Toc196046495"/>
      <w:bookmarkStart w:id="84" w:name="_Toc247691522"/>
      <w:bookmarkStart w:id="85" w:name="_Toc314842505"/>
      <w:bookmarkStart w:id="86" w:name="_Toc370724497"/>
      <w:bookmarkEnd w:id="70"/>
      <w:bookmarkEnd w:id="71"/>
      <w:bookmarkEnd w:id="72"/>
      <w:bookmarkEnd w:id="73"/>
      <w:r w:rsidRPr="002E238E">
        <w:t>Safety</w:t>
      </w:r>
      <w:bookmarkEnd w:id="82"/>
      <w:bookmarkEnd w:id="83"/>
      <w:bookmarkEnd w:id="84"/>
      <w:bookmarkEnd w:id="85"/>
      <w:bookmarkEnd w:id="86"/>
    </w:p>
    <w:p w:rsidR="005D732A" w:rsidRDefault="005D732A" w:rsidP="005D732A">
      <w:pPr>
        <w:pStyle w:val="Heading4"/>
      </w:pPr>
      <w:bookmarkStart w:id="87" w:name="_Toc184440288"/>
      <w:bookmarkStart w:id="88" w:name="_Toc184444666"/>
      <w:bookmarkStart w:id="89" w:name="_Toc196046496"/>
      <w:r>
        <w:t>Studies providing safety data</w:t>
      </w:r>
    </w:p>
    <w:p w:rsidR="005D732A" w:rsidRDefault="005D732A" w:rsidP="005D732A">
      <w:pPr>
        <w:pStyle w:val="Heading5"/>
      </w:pPr>
      <w:r>
        <w:t>Olimel/PeriOlimel</w:t>
      </w:r>
    </w:p>
    <w:p w:rsidR="005D732A" w:rsidRPr="005D732A" w:rsidRDefault="005D732A" w:rsidP="005D732A">
      <w:r w:rsidRPr="005D732A">
        <w:t>Study ICS1063B/P01/03/Mu.F was the only source of safety data</w:t>
      </w:r>
      <w:r w:rsidR="00EF3EF7">
        <w:t>,</w:t>
      </w:r>
      <w:r w:rsidRPr="005D732A">
        <w:t xml:space="preserve"> </w:t>
      </w:r>
      <w:r w:rsidR="00EF3EF7" w:rsidRPr="005D732A">
        <w:t xml:space="preserve">other than post marketing </w:t>
      </w:r>
      <w:r w:rsidR="00EF3EF7">
        <w:t xml:space="preserve">reports, </w:t>
      </w:r>
      <w:r w:rsidRPr="005D732A">
        <w:t>for the combined product.</w:t>
      </w:r>
      <w:r w:rsidR="00873C4E">
        <w:t xml:space="preserve"> The safety population in </w:t>
      </w:r>
      <w:r w:rsidR="00873C4E" w:rsidRPr="00873C4E">
        <w:t xml:space="preserve">Study ICS1063B/P01/03/Mu.F </w:t>
      </w:r>
      <w:r w:rsidR="00873C4E">
        <w:t xml:space="preserve">comprised 28 patients on Olimel </w:t>
      </w:r>
      <w:r w:rsidR="001A0B63">
        <w:t xml:space="preserve">and 28 patients on </w:t>
      </w:r>
      <w:proofErr w:type="spellStart"/>
      <w:r w:rsidR="001A0B63">
        <w:t>OliClinomel</w:t>
      </w:r>
      <w:proofErr w:type="spellEnd"/>
      <w:r w:rsidR="001A0B63">
        <w:t>.</w:t>
      </w:r>
    </w:p>
    <w:p w:rsidR="005D732A" w:rsidRPr="005D732A" w:rsidRDefault="005D732A" w:rsidP="005D732A">
      <w:pPr>
        <w:pStyle w:val="Heading5"/>
      </w:pPr>
      <w:bookmarkStart w:id="90" w:name="_Toc366490100"/>
      <w:bookmarkStart w:id="91" w:name="_Toc328983377"/>
      <w:r w:rsidRPr="005D732A">
        <w:t>Safety of Individual components</w:t>
      </w:r>
      <w:bookmarkEnd w:id="90"/>
      <w:bookmarkEnd w:id="91"/>
    </w:p>
    <w:p w:rsidR="005D732A" w:rsidRPr="005D732A" w:rsidRDefault="005D732A" w:rsidP="005D732A">
      <w:pPr>
        <w:pStyle w:val="Heading6"/>
      </w:pPr>
      <w:bookmarkStart w:id="92" w:name="_Toc328983378"/>
      <w:r w:rsidRPr="005D732A">
        <w:t xml:space="preserve">15% Amino Acids Study Broyles JE </w:t>
      </w:r>
      <w:r w:rsidRPr="005D732A">
        <w:rPr>
          <w:iCs/>
        </w:rPr>
        <w:t>et al</w:t>
      </w:r>
      <w:bookmarkEnd w:id="92"/>
      <w:r w:rsidR="0096180A">
        <w:rPr>
          <w:iCs/>
        </w:rPr>
        <w:t>. 1989</w:t>
      </w:r>
    </w:p>
    <w:p w:rsidR="005D732A" w:rsidRPr="005D732A" w:rsidRDefault="005D732A" w:rsidP="005D732A">
      <w:pPr>
        <w:autoSpaceDE w:val="0"/>
        <w:autoSpaceDN w:val="0"/>
        <w:adjustRightInd w:val="0"/>
      </w:pPr>
      <w:r w:rsidRPr="005D732A">
        <w:t xml:space="preserve">This Study </w:t>
      </w:r>
      <w:r w:rsidR="00EF3EF7">
        <w:t xml:space="preserve">included </w:t>
      </w:r>
      <w:r w:rsidRPr="005D732A">
        <w:t>no safety information.</w:t>
      </w:r>
    </w:p>
    <w:p w:rsidR="005D732A" w:rsidRPr="005D732A" w:rsidRDefault="005D732A" w:rsidP="005D732A">
      <w:pPr>
        <w:pStyle w:val="Heading6"/>
      </w:pPr>
      <w:bookmarkStart w:id="93" w:name="_Toc328983379"/>
      <w:r w:rsidRPr="005D732A">
        <w:lastRenderedPageBreak/>
        <w:t>Lipid (Clinoleic)</w:t>
      </w:r>
      <w:bookmarkEnd w:id="93"/>
    </w:p>
    <w:p w:rsidR="005D732A" w:rsidRPr="005D732A" w:rsidRDefault="005D732A" w:rsidP="005D732A">
      <w:pPr>
        <w:autoSpaceDE w:val="0"/>
        <w:autoSpaceDN w:val="0"/>
        <w:adjustRightInd w:val="0"/>
      </w:pPr>
      <w:r w:rsidRPr="005D732A">
        <w:t>Reference was made to the TGA Delegate’s overview for a previous application</w:t>
      </w:r>
      <w:r w:rsidR="00404E24">
        <w:t xml:space="preserve"> to register </w:t>
      </w:r>
      <w:proofErr w:type="spellStart"/>
      <w:r w:rsidR="00404E24" w:rsidRPr="00404E24">
        <w:t>Clinoleic</w:t>
      </w:r>
      <w:proofErr w:type="spellEnd"/>
      <w:r w:rsidR="00404E24">
        <w:t>, which was approved for registration in 2004</w:t>
      </w:r>
      <w:r w:rsidR="001A0B63">
        <w:t>.</w:t>
      </w:r>
    </w:p>
    <w:p w:rsidR="005D732A" w:rsidRPr="005D732A" w:rsidRDefault="005D732A" w:rsidP="005D732A">
      <w:pPr>
        <w:pStyle w:val="Heading6"/>
      </w:pPr>
      <w:r w:rsidRPr="005D732A">
        <w:t xml:space="preserve">Glucose with/without </w:t>
      </w:r>
      <w:r w:rsidR="001A0B63">
        <w:t>c</w:t>
      </w:r>
      <w:r w:rsidRPr="005D732A">
        <w:t>alcium</w:t>
      </w:r>
    </w:p>
    <w:p w:rsidR="005D732A" w:rsidRPr="005D732A" w:rsidRDefault="005D732A" w:rsidP="005D732A">
      <w:pPr>
        <w:autoSpaceDE w:val="0"/>
        <w:autoSpaceDN w:val="0"/>
        <w:adjustRightInd w:val="0"/>
      </w:pPr>
      <w:bookmarkStart w:id="94" w:name="Marker"/>
      <w:bookmarkStart w:id="95" w:name="Temp"/>
      <w:bookmarkEnd w:id="94"/>
      <w:bookmarkEnd w:id="95"/>
      <w:r w:rsidRPr="005D732A">
        <w:t>The safety of a higher concentration of calcium (0.52 v</w:t>
      </w:r>
      <w:r w:rsidR="00DE6D1E">
        <w:t>ersus</w:t>
      </w:r>
      <w:r w:rsidRPr="005D732A">
        <w:t xml:space="preserve"> 0.3</w:t>
      </w:r>
      <w:r w:rsidR="00DE6D1E">
        <w:t xml:space="preserve"> </w:t>
      </w:r>
      <w:r w:rsidRPr="005D732A">
        <w:t>g/L) was not discussed.</w:t>
      </w:r>
    </w:p>
    <w:p w:rsidR="005D732A" w:rsidRPr="005D732A" w:rsidRDefault="005D732A" w:rsidP="005D732A">
      <w:pPr>
        <w:pStyle w:val="Heading4"/>
      </w:pPr>
      <w:bookmarkStart w:id="96" w:name="_Toc366490101"/>
      <w:bookmarkStart w:id="97" w:name="_Toc328983380"/>
      <w:bookmarkStart w:id="98" w:name="_Toc290846317"/>
      <w:bookmarkStart w:id="99" w:name="_Toc272414679"/>
      <w:bookmarkStart w:id="100" w:name="_Ref272333048"/>
      <w:bookmarkStart w:id="101" w:name="_Toc241374326"/>
      <w:r w:rsidRPr="005D732A">
        <w:t>Post-marketing experience</w:t>
      </w:r>
      <w:bookmarkEnd w:id="96"/>
      <w:bookmarkEnd w:id="97"/>
      <w:bookmarkEnd w:id="98"/>
      <w:bookmarkEnd w:id="99"/>
      <w:bookmarkEnd w:id="100"/>
      <w:bookmarkEnd w:id="101"/>
    </w:p>
    <w:p w:rsidR="005D732A" w:rsidRPr="005D732A" w:rsidRDefault="005D732A" w:rsidP="005D732A">
      <w:pPr>
        <w:pStyle w:val="Heading5"/>
      </w:pPr>
      <w:r w:rsidRPr="005D732A">
        <w:t>P</w:t>
      </w:r>
      <w:r>
        <w:t xml:space="preserve">eriodic </w:t>
      </w:r>
      <w:r w:rsidRPr="005D732A">
        <w:t>S</w:t>
      </w:r>
      <w:r>
        <w:t xml:space="preserve">afety </w:t>
      </w:r>
      <w:r w:rsidRPr="005D732A">
        <w:t>U</w:t>
      </w:r>
      <w:r>
        <w:t xml:space="preserve">pdate </w:t>
      </w:r>
      <w:r w:rsidRPr="005D732A">
        <w:t>R</w:t>
      </w:r>
      <w:r>
        <w:t>eports (PSUR</w:t>
      </w:r>
      <w:r w:rsidRPr="005D732A">
        <w:t>s</w:t>
      </w:r>
      <w:r>
        <w:t>)</w:t>
      </w:r>
      <w:r w:rsidRPr="005D732A">
        <w:t xml:space="preserve"> for </w:t>
      </w:r>
      <w:proofErr w:type="spellStart"/>
      <w:r w:rsidRPr="005D732A">
        <w:t>Olimel</w:t>
      </w:r>
      <w:proofErr w:type="spellEnd"/>
    </w:p>
    <w:p w:rsidR="005D732A" w:rsidRPr="005D732A" w:rsidRDefault="005D732A" w:rsidP="005D732A">
      <w:pPr>
        <w:autoSpaceDE w:val="0"/>
        <w:autoSpaceDN w:val="0"/>
        <w:adjustRightInd w:val="0"/>
      </w:pPr>
      <w:r>
        <w:t>The product was f</w:t>
      </w:r>
      <w:r w:rsidRPr="005D732A">
        <w:t>irst launch</w:t>
      </w:r>
      <w:r>
        <w:t>ed</w:t>
      </w:r>
      <w:r w:rsidRPr="005D732A">
        <w:t xml:space="preserve"> </w:t>
      </w:r>
      <w:r>
        <w:t xml:space="preserve">in </w:t>
      </w:r>
      <w:r w:rsidRPr="005D732A">
        <w:t xml:space="preserve">March 2009. PSURS to 31 January 2012 </w:t>
      </w:r>
      <w:r>
        <w:t xml:space="preserve">were </w:t>
      </w:r>
      <w:r w:rsidRPr="005D732A">
        <w:t>submitted.</w:t>
      </w:r>
      <w:r w:rsidR="00895F87">
        <w:t xml:space="preserve"> </w:t>
      </w:r>
      <w:r w:rsidRPr="005D732A">
        <w:t>There w</w:t>
      </w:r>
      <w:r w:rsidR="00404E24">
        <w:t>as no summary of total exposure</w:t>
      </w:r>
      <w:r w:rsidRPr="005D732A">
        <w:t xml:space="preserve"> </w:t>
      </w:r>
      <w:r w:rsidR="006174B1">
        <w:t xml:space="preserve">and the evaluator could not </w:t>
      </w:r>
      <w:r w:rsidRPr="005D732A">
        <w:t>calculate it from the PSURs submitted.</w:t>
      </w:r>
    </w:p>
    <w:p w:rsidR="005D732A" w:rsidRPr="005D732A" w:rsidRDefault="005D732A" w:rsidP="00895F87">
      <w:pPr>
        <w:pStyle w:val="Heading4"/>
      </w:pPr>
      <w:bookmarkStart w:id="102" w:name="_Toc366490102"/>
      <w:bookmarkStart w:id="103" w:name="_Toc328983381"/>
      <w:bookmarkStart w:id="104" w:name="_Toc290846329"/>
      <w:bookmarkStart w:id="105" w:name="_Toc272414691"/>
      <w:bookmarkStart w:id="106" w:name="_Toc241374328"/>
      <w:r w:rsidRPr="005D732A">
        <w:t>Evaluator’s overall conclusions on clinical safety</w:t>
      </w:r>
      <w:bookmarkEnd w:id="102"/>
      <w:bookmarkEnd w:id="103"/>
      <w:bookmarkEnd w:id="104"/>
      <w:bookmarkEnd w:id="105"/>
      <w:bookmarkEnd w:id="106"/>
    </w:p>
    <w:p w:rsidR="005D732A" w:rsidRPr="005D732A" w:rsidRDefault="005D732A" w:rsidP="00895F87">
      <w:pPr>
        <w:pStyle w:val="Heading5"/>
      </w:pPr>
      <w:bookmarkStart w:id="107" w:name="_Toc328983382"/>
      <w:r w:rsidRPr="005D732A">
        <w:t>Safety of the combination</w:t>
      </w:r>
      <w:bookmarkEnd w:id="107"/>
    </w:p>
    <w:p w:rsidR="005D732A" w:rsidRPr="005D732A" w:rsidRDefault="00895F87" w:rsidP="005D732A">
      <w:pPr>
        <w:autoSpaceDE w:val="0"/>
        <w:autoSpaceDN w:val="0"/>
        <w:adjustRightInd w:val="0"/>
      </w:pPr>
      <w:r>
        <w:t>The s</w:t>
      </w:r>
      <w:r w:rsidR="005D732A" w:rsidRPr="005D732A">
        <w:t>afety of Olimel rests on only 28 patients in a</w:t>
      </w:r>
      <w:r w:rsidR="00404E24">
        <w:t xml:space="preserve"> clinical trial</w:t>
      </w:r>
      <w:r w:rsidR="005D732A" w:rsidRPr="005D732A">
        <w:t xml:space="preserve"> supplemented by only 3 years of PSURs since firs</w:t>
      </w:r>
      <w:r>
        <w:t>t marketed.</w:t>
      </w:r>
    </w:p>
    <w:p w:rsidR="005D732A" w:rsidRPr="005D732A" w:rsidRDefault="005D732A" w:rsidP="005D732A">
      <w:pPr>
        <w:autoSpaceDE w:val="0"/>
        <w:autoSpaceDN w:val="0"/>
        <w:adjustRightInd w:val="0"/>
      </w:pPr>
      <w:r w:rsidRPr="005D732A">
        <w:t>This is inadequate for a combination including an unregistered product.</w:t>
      </w:r>
    </w:p>
    <w:p w:rsidR="005D732A" w:rsidRPr="005D732A" w:rsidRDefault="005D732A" w:rsidP="00895F87">
      <w:pPr>
        <w:pStyle w:val="Heading5"/>
      </w:pPr>
      <w:bookmarkStart w:id="108" w:name="_Toc328983383"/>
      <w:r w:rsidRPr="005D732A">
        <w:t>Safety of the individual components</w:t>
      </w:r>
      <w:bookmarkEnd w:id="108"/>
    </w:p>
    <w:p w:rsidR="005D732A" w:rsidRPr="005D732A" w:rsidRDefault="005D732A" w:rsidP="00895F87">
      <w:pPr>
        <w:pStyle w:val="Heading6"/>
      </w:pPr>
      <w:bookmarkStart w:id="109" w:name="_Toc328983384"/>
      <w:r w:rsidRPr="005D732A">
        <w:t>Amino acids (Clinisol)</w:t>
      </w:r>
      <w:bookmarkEnd w:id="109"/>
    </w:p>
    <w:p w:rsidR="005D732A" w:rsidRPr="005D732A" w:rsidRDefault="00404E24" w:rsidP="005D732A">
      <w:pPr>
        <w:autoSpaceDE w:val="0"/>
        <w:autoSpaceDN w:val="0"/>
        <w:adjustRightInd w:val="0"/>
      </w:pPr>
      <w:r>
        <w:t>The only data submitted</w:t>
      </w:r>
      <w:r w:rsidR="005D732A" w:rsidRPr="005D732A">
        <w:t xml:space="preserve"> in relation to 15% amino acid solution is a published study (Broyles JE </w:t>
      </w:r>
      <w:r w:rsidR="005D732A" w:rsidRPr="00873C4E">
        <w:rPr>
          <w:i/>
          <w:iCs/>
        </w:rPr>
        <w:t>et al</w:t>
      </w:r>
      <w:r w:rsidR="00873C4E" w:rsidRPr="00873C4E">
        <w:rPr>
          <w:i/>
          <w:iCs/>
        </w:rPr>
        <w:t>.</w:t>
      </w:r>
      <w:r w:rsidR="00873C4E">
        <w:t xml:space="preserve"> 1989</w:t>
      </w:r>
      <w:r w:rsidR="005D732A" w:rsidRPr="005D732A">
        <w:t xml:space="preserve">) that contains no safety data. The sponsor repeatedly refers to data for </w:t>
      </w:r>
      <w:proofErr w:type="spellStart"/>
      <w:r w:rsidR="005D732A" w:rsidRPr="005D732A">
        <w:t>Synthamin</w:t>
      </w:r>
      <w:proofErr w:type="spellEnd"/>
      <w:r w:rsidR="005D732A" w:rsidRPr="005D732A">
        <w:t>, a 10% amino acid solution that is already registered and which has different composition from Clinisol.</w:t>
      </w:r>
    </w:p>
    <w:p w:rsidR="005D732A" w:rsidRPr="005D732A" w:rsidRDefault="005D732A" w:rsidP="005D732A">
      <w:pPr>
        <w:autoSpaceDE w:val="0"/>
        <w:autoSpaceDN w:val="0"/>
        <w:adjustRightInd w:val="0"/>
      </w:pPr>
      <w:r w:rsidRPr="005D732A">
        <w:t xml:space="preserve">The data provided is insufficient to register Clinisol either as a </w:t>
      </w:r>
      <w:r w:rsidR="001A0B63">
        <w:t>component or separately.</w:t>
      </w:r>
    </w:p>
    <w:p w:rsidR="005D732A" w:rsidRPr="005D732A" w:rsidRDefault="005D732A" w:rsidP="00895F87">
      <w:pPr>
        <w:pStyle w:val="Heading6"/>
      </w:pPr>
      <w:bookmarkStart w:id="110" w:name="_Toc328983385"/>
      <w:r w:rsidRPr="005D732A">
        <w:t>Lipid (Clinoleic)</w:t>
      </w:r>
      <w:bookmarkEnd w:id="110"/>
    </w:p>
    <w:p w:rsidR="005D732A" w:rsidRPr="005D732A" w:rsidRDefault="005D732A" w:rsidP="005D732A">
      <w:pPr>
        <w:autoSpaceDE w:val="0"/>
        <w:autoSpaceDN w:val="0"/>
        <w:adjustRightInd w:val="0"/>
      </w:pPr>
      <w:r w:rsidRPr="005D732A">
        <w:t>Th</w:t>
      </w:r>
      <w:r w:rsidR="00404E24">
        <w:t>e product is already registered</w:t>
      </w:r>
      <w:r w:rsidRPr="005D732A">
        <w:t xml:space="preserve"> havi</w:t>
      </w:r>
      <w:r w:rsidR="00895F87">
        <w:t>ng been evaluated and reviewed p</w:t>
      </w:r>
      <w:r w:rsidRPr="005D732A">
        <w:t xml:space="preserve">ost </w:t>
      </w:r>
      <w:r w:rsidR="00895F87">
        <w:t>m</w:t>
      </w:r>
      <w:r w:rsidRPr="005D732A">
        <w:t>arketing.</w:t>
      </w:r>
    </w:p>
    <w:p w:rsidR="005D732A" w:rsidRPr="005D732A" w:rsidRDefault="005D732A" w:rsidP="00895F87">
      <w:pPr>
        <w:pStyle w:val="Heading6"/>
      </w:pPr>
      <w:bookmarkStart w:id="111" w:name="_Toc328983386"/>
      <w:r w:rsidRPr="005D732A">
        <w:t>Glucose</w:t>
      </w:r>
      <w:bookmarkEnd w:id="111"/>
      <w:r w:rsidR="001A0B63">
        <w:t xml:space="preserve"> with/without c</w:t>
      </w:r>
      <w:r w:rsidRPr="005D732A">
        <w:t>alcium</w:t>
      </w:r>
    </w:p>
    <w:p w:rsidR="005D732A" w:rsidRPr="005D732A" w:rsidRDefault="005D732A" w:rsidP="005D732A">
      <w:pPr>
        <w:autoSpaceDE w:val="0"/>
        <w:autoSpaceDN w:val="0"/>
        <w:adjustRightInd w:val="0"/>
      </w:pPr>
      <w:r w:rsidRPr="005D732A">
        <w:t>The product is already registere</w:t>
      </w:r>
      <w:r w:rsidR="00404E24">
        <w:t>d</w:t>
      </w:r>
      <w:r w:rsidRPr="005D732A">
        <w:t xml:space="preserve"> but the added calcium concentration is higher (0.52</w:t>
      </w:r>
      <w:r w:rsidR="00895F87">
        <w:t xml:space="preserve"> versus </w:t>
      </w:r>
      <w:r w:rsidRPr="005D732A">
        <w:t>0.3</w:t>
      </w:r>
      <w:r w:rsidR="00895F87">
        <w:t xml:space="preserve"> </w:t>
      </w:r>
      <w:r w:rsidRPr="005D732A">
        <w:t xml:space="preserve">g/L). It is noted that the PSUR 01 Feb 2009 through 31 Jul 2009 advised of changes to the </w:t>
      </w:r>
      <w:r w:rsidR="00895F87" w:rsidRPr="00895F87">
        <w:t>Company Core Data Sheet</w:t>
      </w:r>
      <w:r w:rsidR="00895F87">
        <w:t xml:space="preserve"> (</w:t>
      </w:r>
      <w:r w:rsidRPr="005D732A">
        <w:t>CCDS</w:t>
      </w:r>
      <w:r w:rsidR="00895F87">
        <w:t>)</w:t>
      </w:r>
      <w:r w:rsidRPr="005D732A">
        <w:t xml:space="preserve"> relating to calcium.</w:t>
      </w:r>
      <w:r w:rsidRPr="005D732A">
        <w:rPr>
          <w:vertAlign w:val="superscript"/>
        </w:rPr>
        <w:footnoteReference w:id="6"/>
      </w:r>
    </w:p>
    <w:p w:rsidR="008E7846" w:rsidRDefault="008E7846" w:rsidP="008E7846">
      <w:pPr>
        <w:pStyle w:val="Heading3"/>
      </w:pPr>
      <w:bookmarkStart w:id="112" w:name="_Toc255919423"/>
      <w:bookmarkStart w:id="113" w:name="_Toc241374329"/>
      <w:bookmarkStart w:id="114" w:name="_Toc270320087"/>
      <w:bookmarkStart w:id="115" w:name="_Toc314842506"/>
      <w:bookmarkStart w:id="116" w:name="_Toc163441387"/>
      <w:bookmarkStart w:id="117" w:name="_Toc370724498"/>
      <w:bookmarkEnd w:id="87"/>
      <w:bookmarkEnd w:id="88"/>
      <w:bookmarkEnd w:id="89"/>
      <w:r>
        <w:t>List of questions</w:t>
      </w:r>
      <w:bookmarkEnd w:id="112"/>
      <w:bookmarkEnd w:id="113"/>
      <w:bookmarkEnd w:id="114"/>
      <w:bookmarkEnd w:id="115"/>
      <w:bookmarkEnd w:id="117"/>
    </w:p>
    <w:p w:rsidR="008E7846" w:rsidRPr="0039105A" w:rsidRDefault="002202B8" w:rsidP="00327883">
      <w:r>
        <w:t>N</w:t>
      </w:r>
      <w:r w:rsidR="004B4DE5">
        <w:t>il</w:t>
      </w:r>
    </w:p>
    <w:p w:rsidR="00895F87" w:rsidRPr="00895F87" w:rsidRDefault="00895F87" w:rsidP="00895F87">
      <w:pPr>
        <w:pStyle w:val="Heading3"/>
        <w:rPr>
          <w:rFonts w:eastAsia="Cambria"/>
        </w:rPr>
      </w:pPr>
      <w:bookmarkStart w:id="118" w:name="_Toc366490103"/>
      <w:bookmarkStart w:id="119" w:name="_Toc196046504"/>
      <w:bookmarkStart w:id="120" w:name="_Toc163441390"/>
      <w:bookmarkStart w:id="121" w:name="_Toc370724499"/>
      <w:bookmarkEnd w:id="116"/>
      <w:r>
        <w:lastRenderedPageBreak/>
        <w:t>B</w:t>
      </w:r>
      <w:r w:rsidRPr="00895F87">
        <w:rPr>
          <w:rFonts w:eastAsia="Cambria"/>
        </w:rPr>
        <w:t>enefit-risk assessment</w:t>
      </w:r>
      <w:bookmarkEnd w:id="118"/>
      <w:bookmarkEnd w:id="121"/>
    </w:p>
    <w:p w:rsidR="00895F87" w:rsidRPr="00895F87" w:rsidRDefault="00817026" w:rsidP="00895F87">
      <w:pPr>
        <w:pStyle w:val="Heading4"/>
      </w:pPr>
      <w:bookmarkStart w:id="122" w:name="_Toc236802592"/>
      <w:bookmarkStart w:id="123" w:name="_Toc241374331"/>
      <w:bookmarkStart w:id="124" w:name="_Ref272160836"/>
      <w:bookmarkStart w:id="125" w:name="_Toc272414693"/>
      <w:bookmarkStart w:id="126" w:name="_Toc290846331"/>
      <w:bookmarkStart w:id="127" w:name="_Toc328983388"/>
      <w:bookmarkStart w:id="128" w:name="_Toc366490104"/>
      <w:r>
        <w:t>A</w:t>
      </w:r>
      <w:r w:rsidR="00895F87" w:rsidRPr="00895F87">
        <w:t>ssessment of benefits</w:t>
      </w:r>
      <w:bookmarkEnd w:id="122"/>
      <w:bookmarkEnd w:id="123"/>
      <w:bookmarkEnd w:id="124"/>
      <w:bookmarkEnd w:id="125"/>
      <w:bookmarkEnd w:id="126"/>
      <w:bookmarkEnd w:id="127"/>
      <w:bookmarkEnd w:id="128"/>
    </w:p>
    <w:p w:rsidR="00895F87" w:rsidRPr="00895F87" w:rsidRDefault="00895F87" w:rsidP="00895F87">
      <w:r w:rsidRPr="00895F87">
        <w:t xml:space="preserve">In the </w:t>
      </w:r>
      <w:r w:rsidR="00873C4E">
        <w:t>l</w:t>
      </w:r>
      <w:r w:rsidRPr="00895F87">
        <w:t xml:space="preserve">etter of </w:t>
      </w:r>
      <w:r w:rsidR="00873C4E">
        <w:t>a</w:t>
      </w:r>
      <w:r w:rsidRPr="00895F87">
        <w:t>pplication the sponsor discussed the benefits of Olimel/PeriOlimel in the proposed usage:</w:t>
      </w:r>
    </w:p>
    <w:p w:rsidR="00895F87" w:rsidRPr="00895F87" w:rsidRDefault="00895F87" w:rsidP="00895F87">
      <w:pPr>
        <w:pStyle w:val="ListBullet"/>
      </w:pPr>
      <w:r w:rsidRPr="00895F87">
        <w:t>increased physiochemical shelf-life, since the components are not mixed until just prior to use</w:t>
      </w:r>
      <w:r w:rsidR="00404E24">
        <w:t>,</w:t>
      </w:r>
    </w:p>
    <w:p w:rsidR="00895F87" w:rsidRPr="00895F87" w:rsidRDefault="00895F87" w:rsidP="00895F87">
      <w:pPr>
        <w:pStyle w:val="ListBullet"/>
      </w:pPr>
      <w:r w:rsidRPr="00895F87">
        <w:t>reduced risk of contamination during preparation, and</w:t>
      </w:r>
    </w:p>
    <w:p w:rsidR="00895F87" w:rsidRPr="00895F87" w:rsidRDefault="00404E24" w:rsidP="00895F87">
      <w:pPr>
        <w:pStyle w:val="ListBullet"/>
      </w:pPr>
      <w:proofErr w:type="gramStart"/>
      <w:r>
        <w:t>a</w:t>
      </w:r>
      <w:proofErr w:type="gramEnd"/>
      <w:r>
        <w:t xml:space="preserve"> </w:t>
      </w:r>
      <w:r w:rsidR="00895F87" w:rsidRPr="00895F87">
        <w:t>reduction in the number of steps required to prepare a parenteral nutrition product.</w:t>
      </w:r>
    </w:p>
    <w:p w:rsidR="00895F87" w:rsidRPr="00895F87" w:rsidRDefault="00895F87" w:rsidP="00895F87">
      <w:r w:rsidRPr="00895F87">
        <w:t xml:space="preserve">The first statement makes </w:t>
      </w:r>
      <w:r w:rsidR="00404E24">
        <w:t>little sense as</w:t>
      </w:r>
      <w:r w:rsidRPr="00895F87">
        <w:t xml:space="preserve"> the shelf life is the same whether they are 3 separate components </w:t>
      </w:r>
      <w:r w:rsidR="00404E24" w:rsidRPr="00404E24">
        <w:t xml:space="preserve">until the components are mixed </w:t>
      </w:r>
      <w:r w:rsidRPr="00895F87">
        <w:t>or 3-in-1 bag components. There are already 2 preparations</w:t>
      </w:r>
      <w:r w:rsidR="00873C4E">
        <w:t>:</w:t>
      </w:r>
      <w:r w:rsidR="000623E1">
        <w:t xml:space="preserve"> OliC</w:t>
      </w:r>
      <w:r w:rsidRPr="00895F87">
        <w:t>linomel and SmofKabiven</w:t>
      </w:r>
      <w:r w:rsidR="00873C4E">
        <w:t>,</w:t>
      </w:r>
      <w:r w:rsidRPr="00895F87">
        <w:t xml:space="preserve"> that are 3-in-one nutrition preparations that are registered in Australia and offer the same latter two advantages as claimed above.</w:t>
      </w:r>
    </w:p>
    <w:p w:rsidR="00895F87" w:rsidRPr="00895F87" w:rsidRDefault="00895F87" w:rsidP="00895F87">
      <w:r w:rsidRPr="00895F87">
        <w:t>Other advantages claimed relate principally to the amino acid component</w:t>
      </w:r>
      <w:r w:rsidR="00873C4E">
        <w:t>:</w:t>
      </w:r>
      <w:r w:rsidRPr="00895F87">
        <w:rPr>
          <w:vertAlign w:val="superscript"/>
        </w:rPr>
        <w:footnoteReference w:id="7"/>
      </w:r>
    </w:p>
    <w:p w:rsidR="00895F87" w:rsidRPr="00895F87" w:rsidRDefault="00895F87" w:rsidP="00895F87">
      <w:pPr>
        <w:pStyle w:val="ListBullet"/>
      </w:pPr>
      <w:r w:rsidRPr="00895F87">
        <w:t>The use of an amino acid solution already registered in the USA (Clinisol) that contains two additional amino acids as compared to Synthamin (15 amino acid solution in OliClinomel): aspartic acid and glutamic acid,</w:t>
      </w:r>
    </w:p>
    <w:p w:rsidR="00895F87" w:rsidRPr="00895F87" w:rsidRDefault="00895F87" w:rsidP="00895F87">
      <w:pPr>
        <w:pStyle w:val="ListBullet"/>
      </w:pPr>
      <w:r w:rsidRPr="00895F87">
        <w:t>A</w:t>
      </w:r>
      <w:r w:rsidR="004B4DE5">
        <w:t xml:space="preserve"> higher nitrogen concentration.</w:t>
      </w:r>
    </w:p>
    <w:p w:rsidR="00895F87" w:rsidRPr="00895F87" w:rsidRDefault="00404E24" w:rsidP="00895F87">
      <w:r>
        <w:t>B</w:t>
      </w:r>
      <w:r w:rsidR="00895F87" w:rsidRPr="00895F87">
        <w:t xml:space="preserve">oth relate to the inclusion of a 15% amino acid preparation </w:t>
      </w:r>
      <w:r>
        <w:t xml:space="preserve">which is </w:t>
      </w:r>
      <w:r w:rsidR="00895F87" w:rsidRPr="00895F87">
        <w:t xml:space="preserve">not registered in Australia. The only evidence </w:t>
      </w:r>
      <w:r>
        <w:t xml:space="preserve">submitted for </w:t>
      </w:r>
      <w:r w:rsidR="00895F87" w:rsidRPr="00895F87">
        <w:t>this preparation was a literature study report that failed to show clinically relevant improvement in the primary endpoint.</w:t>
      </w:r>
    </w:p>
    <w:p w:rsidR="00895F87" w:rsidRPr="00895F87" w:rsidRDefault="00873C4E" w:rsidP="00895F87">
      <w:pPr>
        <w:pStyle w:val="ListBullet"/>
      </w:pPr>
      <w:r>
        <w:t>Updated glucose calorie</w:t>
      </w:r>
      <w:r w:rsidR="00895F87" w:rsidRPr="00895F87">
        <w:t>/lipid calorie ratio.</w:t>
      </w:r>
    </w:p>
    <w:p w:rsidR="00895F87" w:rsidRPr="00895F87" w:rsidRDefault="00895F87" w:rsidP="00895F87">
      <w:r w:rsidRPr="00895F87">
        <w:t xml:space="preserve">In </w:t>
      </w:r>
      <w:r w:rsidR="00404E24">
        <w:t xml:space="preserve">the </w:t>
      </w:r>
      <w:r w:rsidRPr="00895F87">
        <w:t xml:space="preserve">comparison with an </w:t>
      </w:r>
      <w:r w:rsidR="00873C4E">
        <w:t>unregistered formulation of OliC</w:t>
      </w:r>
      <w:r w:rsidRPr="00895F87">
        <w:t xml:space="preserve">linomel the sponsor did not show any advantage, possibly because of the small numbers </w:t>
      </w:r>
      <w:r w:rsidR="00873C4E">
        <w:t>(</w:t>
      </w:r>
      <w:r w:rsidRPr="00895F87">
        <w:t>24 v</w:t>
      </w:r>
      <w:r w:rsidR="00873C4E">
        <w:t xml:space="preserve">ersus </w:t>
      </w:r>
      <w:r w:rsidRPr="00895F87">
        <w:t>23</w:t>
      </w:r>
      <w:r w:rsidR="00873C4E">
        <w:t>)</w:t>
      </w:r>
      <w:r w:rsidRPr="00895F87">
        <w:t xml:space="preserve"> involved.</w:t>
      </w:r>
    </w:p>
    <w:p w:rsidR="00895F87" w:rsidRPr="00895F87" w:rsidRDefault="00895F87" w:rsidP="00895F87">
      <w:r w:rsidRPr="00895F87">
        <w:t>Th</w:t>
      </w:r>
      <w:r>
        <w:t>e</w:t>
      </w:r>
      <w:r w:rsidRPr="00895F87">
        <w:t xml:space="preserve"> evaluator believes the data provided a</w:t>
      </w:r>
      <w:r w:rsidR="0013713C">
        <w:t>re inadequate for registration.</w:t>
      </w:r>
    </w:p>
    <w:p w:rsidR="00895F87" w:rsidRPr="00553EDD" w:rsidRDefault="00895F87" w:rsidP="00553EDD">
      <w:r w:rsidRPr="00553EDD">
        <w:rPr>
          <w:b/>
          <w:bCs/>
        </w:rPr>
        <w:t>Evaluator comment:</w:t>
      </w:r>
      <w:r w:rsidRPr="00553EDD">
        <w:t xml:space="preserve"> </w:t>
      </w:r>
      <w:r w:rsidR="00A433B7">
        <w:t>T</w:t>
      </w:r>
      <w:r w:rsidRPr="00553EDD">
        <w:t xml:space="preserve">he marketing data suggests that the reason for prescribing Olimel is the higher (than 10% Synthamin) amino acid concentration rather than the additional 2 amino acids </w:t>
      </w:r>
      <w:r w:rsidR="0013713C">
        <w:t xml:space="preserve">from the unregistered </w:t>
      </w:r>
      <w:proofErr w:type="spellStart"/>
      <w:r w:rsidR="0013713C">
        <w:t>Clinisol</w:t>
      </w:r>
      <w:proofErr w:type="spellEnd"/>
      <w:r w:rsidR="0013713C">
        <w:t>.</w:t>
      </w:r>
    </w:p>
    <w:p w:rsidR="00895F87" w:rsidRPr="00895F87" w:rsidRDefault="00817026" w:rsidP="00895F87">
      <w:pPr>
        <w:pStyle w:val="Heading4"/>
      </w:pPr>
      <w:bookmarkStart w:id="129" w:name="_Toc236802596"/>
      <w:bookmarkStart w:id="130" w:name="_Toc241374334"/>
      <w:bookmarkStart w:id="131" w:name="_Ref272160964"/>
      <w:bookmarkStart w:id="132" w:name="_Toc272414694"/>
      <w:bookmarkStart w:id="133" w:name="_Toc290846332"/>
      <w:bookmarkStart w:id="134" w:name="_Toc328983389"/>
      <w:bookmarkStart w:id="135" w:name="_Toc366490105"/>
      <w:r>
        <w:t>A</w:t>
      </w:r>
      <w:r w:rsidR="00895F87" w:rsidRPr="00895F87">
        <w:t>ssessment of risks</w:t>
      </w:r>
      <w:bookmarkEnd w:id="129"/>
      <w:bookmarkEnd w:id="130"/>
      <w:bookmarkEnd w:id="131"/>
      <w:bookmarkEnd w:id="132"/>
      <w:bookmarkEnd w:id="133"/>
      <w:bookmarkEnd w:id="134"/>
      <w:bookmarkEnd w:id="135"/>
    </w:p>
    <w:p w:rsidR="00895F87" w:rsidRPr="00895F87" w:rsidRDefault="00895F87" w:rsidP="00895F87">
      <w:r w:rsidRPr="00895F87">
        <w:t>The risks of Olimel in the proposed usage are reliant on a trial with 28 patients for 5 days supplemented by only 3 years of PSURs since first marketed.</w:t>
      </w:r>
    </w:p>
    <w:p w:rsidR="00895F87" w:rsidRPr="00895F87" w:rsidRDefault="00895F87" w:rsidP="00895F87">
      <w:r w:rsidRPr="00895F87">
        <w:t>Further</w:t>
      </w:r>
      <w:r w:rsidR="00553EDD">
        <w:t>,</w:t>
      </w:r>
      <w:r w:rsidRPr="00895F87">
        <w:t xml:space="preserve"> of the individual components</w:t>
      </w:r>
      <w:r w:rsidR="00553EDD">
        <w:t>,</w:t>
      </w:r>
      <w:r w:rsidRPr="00895F87">
        <w:t xml:space="preserve"> there was no safety data for a 15% amino acid preparation.</w:t>
      </w:r>
    </w:p>
    <w:p w:rsidR="00895F87" w:rsidRPr="00895F87" w:rsidRDefault="00895F87" w:rsidP="00895F87">
      <w:r w:rsidRPr="00895F87">
        <w:t>Th</w:t>
      </w:r>
      <w:r w:rsidR="00690F48">
        <w:t xml:space="preserve">e </w:t>
      </w:r>
      <w:r w:rsidRPr="00895F87">
        <w:t>evaluator finds the data available for</w:t>
      </w:r>
      <w:r w:rsidR="0013713C">
        <w:t xml:space="preserve"> assessment of risk inadequate.</w:t>
      </w:r>
    </w:p>
    <w:p w:rsidR="00895F87" w:rsidRPr="00895F87" w:rsidRDefault="00817026" w:rsidP="00895F87">
      <w:pPr>
        <w:pStyle w:val="Heading4"/>
      </w:pPr>
      <w:bookmarkStart w:id="136" w:name="_Toc236802597"/>
      <w:bookmarkStart w:id="137" w:name="_Toc241374335"/>
      <w:bookmarkStart w:id="138" w:name="_Toc272414695"/>
      <w:bookmarkStart w:id="139" w:name="_Toc290846333"/>
      <w:bookmarkStart w:id="140" w:name="_Toc328983390"/>
      <w:bookmarkStart w:id="141" w:name="_Toc366490106"/>
      <w:r>
        <w:t>A</w:t>
      </w:r>
      <w:r w:rsidR="00895F87" w:rsidRPr="00895F87">
        <w:t>ssessment of benefit-risk balance</w:t>
      </w:r>
      <w:bookmarkEnd w:id="136"/>
      <w:bookmarkEnd w:id="137"/>
      <w:bookmarkEnd w:id="138"/>
      <w:bookmarkEnd w:id="139"/>
      <w:bookmarkEnd w:id="140"/>
      <w:bookmarkEnd w:id="141"/>
    </w:p>
    <w:p w:rsidR="00895F87" w:rsidRPr="00895F87" w:rsidRDefault="00895F87" w:rsidP="00895F87">
      <w:r w:rsidRPr="00895F87">
        <w:t>The benefit-risk balance of Olimel, given the proposed usage, is unfavourable.</w:t>
      </w:r>
    </w:p>
    <w:p w:rsidR="00895F87" w:rsidRPr="00895F87" w:rsidRDefault="00895F87" w:rsidP="00895F87">
      <w:pPr>
        <w:pStyle w:val="Heading3"/>
      </w:pPr>
      <w:bookmarkStart w:id="142" w:name="_Ref272160564"/>
      <w:bookmarkStart w:id="143" w:name="_Ref272161481"/>
      <w:bookmarkStart w:id="144" w:name="_Toc272414697"/>
      <w:bookmarkStart w:id="145" w:name="_Toc290846334"/>
      <w:bookmarkStart w:id="146" w:name="_Toc328983391"/>
      <w:bookmarkStart w:id="147" w:name="_Toc366490107"/>
      <w:bookmarkStart w:id="148" w:name="_Toc370724500"/>
      <w:r>
        <w:lastRenderedPageBreak/>
        <w:t>R</w:t>
      </w:r>
      <w:r w:rsidRPr="00895F87">
        <w:t>ecommendation regarding authorisation</w:t>
      </w:r>
      <w:bookmarkEnd w:id="142"/>
      <w:bookmarkEnd w:id="143"/>
      <w:bookmarkEnd w:id="144"/>
      <w:bookmarkEnd w:id="145"/>
      <w:bookmarkEnd w:id="146"/>
      <w:bookmarkEnd w:id="147"/>
      <w:bookmarkEnd w:id="148"/>
      <w:r w:rsidRPr="00895F87">
        <w:t xml:space="preserve"> </w:t>
      </w:r>
    </w:p>
    <w:p w:rsidR="00895F87" w:rsidRPr="00895F87" w:rsidRDefault="00895F87" w:rsidP="00895F87">
      <w:r w:rsidRPr="00895F87">
        <w:t xml:space="preserve">It is </w:t>
      </w:r>
      <w:r w:rsidRPr="00895F87">
        <w:rPr>
          <w:b/>
          <w:bCs/>
        </w:rPr>
        <w:t>not</w:t>
      </w:r>
      <w:r w:rsidRPr="00895F87">
        <w:t xml:space="preserve"> recommended that approval be given for the registration of PeriO</w:t>
      </w:r>
      <w:r w:rsidR="00553EDD">
        <w:t xml:space="preserve">limel </w:t>
      </w:r>
      <w:r w:rsidRPr="00895F87">
        <w:t>N4600E, O</w:t>
      </w:r>
      <w:r w:rsidR="00553EDD" w:rsidRPr="00553EDD">
        <w:t>limel</w:t>
      </w:r>
      <w:r w:rsidR="00553EDD">
        <w:t xml:space="preserve"> </w:t>
      </w:r>
      <w:r w:rsidRPr="00895F87">
        <w:t>N5-860E, O</w:t>
      </w:r>
      <w:r w:rsidR="00553EDD" w:rsidRPr="00553EDD">
        <w:t>limel</w:t>
      </w:r>
      <w:r w:rsidR="00553EDD">
        <w:t xml:space="preserve"> </w:t>
      </w:r>
      <w:r w:rsidRPr="00895F87">
        <w:t>N7-960, O</w:t>
      </w:r>
      <w:r w:rsidR="00553EDD" w:rsidRPr="00553EDD">
        <w:t>limel</w:t>
      </w:r>
      <w:r w:rsidR="00553EDD">
        <w:t xml:space="preserve"> </w:t>
      </w:r>
      <w:r w:rsidRPr="00895F87">
        <w:t>N7-960E, O</w:t>
      </w:r>
      <w:r w:rsidR="00553EDD" w:rsidRPr="00553EDD">
        <w:t>limel</w:t>
      </w:r>
      <w:r w:rsidR="00553EDD">
        <w:t xml:space="preserve"> </w:t>
      </w:r>
      <w:r w:rsidRPr="00895F87">
        <w:t xml:space="preserve">N9-840 or </w:t>
      </w:r>
      <w:proofErr w:type="spellStart"/>
      <w:r w:rsidRPr="00895F87">
        <w:t>O</w:t>
      </w:r>
      <w:r w:rsidR="00553EDD" w:rsidRPr="00553EDD">
        <w:t>limel</w:t>
      </w:r>
      <w:proofErr w:type="spellEnd"/>
      <w:r w:rsidR="0070598C">
        <w:t xml:space="preserve"> N9-840E.</w:t>
      </w:r>
    </w:p>
    <w:p w:rsidR="00895F87" w:rsidRPr="00895F87" w:rsidRDefault="00690F48" w:rsidP="00895F87">
      <w:r>
        <w:t>Should the D</w:t>
      </w:r>
      <w:r w:rsidR="00895F87" w:rsidRPr="00895F87">
        <w:t>elegate decide to approve registration of these products the clinical aspects of the draft P</w:t>
      </w:r>
      <w:r>
        <w:t xml:space="preserve">I </w:t>
      </w:r>
      <w:r w:rsidR="00895F87" w:rsidRPr="00895F87">
        <w:t>are not entirely satisfactory and should be revised, having regard to the comments below.</w:t>
      </w:r>
      <w:r w:rsidRPr="00895F87">
        <w:rPr>
          <w:vertAlign w:val="superscript"/>
        </w:rPr>
        <w:footnoteReference w:id="8"/>
      </w:r>
    </w:p>
    <w:p w:rsidR="00895F87" w:rsidRPr="00895F87" w:rsidRDefault="0070598C" w:rsidP="00895F87">
      <w:pPr>
        <w:pStyle w:val="Heading5"/>
      </w:pPr>
      <w:r>
        <w:t>Indications</w:t>
      </w:r>
    </w:p>
    <w:p w:rsidR="00895F87" w:rsidRPr="00895F87" w:rsidRDefault="00895F87" w:rsidP="00895F87">
      <w:pPr>
        <w:rPr>
          <w:i/>
          <w:iCs/>
        </w:rPr>
      </w:pPr>
      <w:r w:rsidRPr="00895F87">
        <w:t xml:space="preserve">The sponsor proposes to insert: </w:t>
      </w:r>
      <w:r w:rsidRPr="00895F87">
        <w:rPr>
          <w:i/>
          <w:iCs/>
        </w:rPr>
        <w:t>O</w:t>
      </w:r>
      <w:r w:rsidR="00553EDD">
        <w:rPr>
          <w:i/>
          <w:iCs/>
        </w:rPr>
        <w:t>limel</w:t>
      </w:r>
      <w:r w:rsidRPr="00895F87">
        <w:rPr>
          <w:i/>
          <w:iCs/>
        </w:rPr>
        <w:t>/PeriO</w:t>
      </w:r>
      <w:r w:rsidR="00553EDD" w:rsidRPr="00553EDD">
        <w:rPr>
          <w:i/>
          <w:iCs/>
        </w:rPr>
        <w:t>limel</w:t>
      </w:r>
      <w:r w:rsidR="00553EDD">
        <w:rPr>
          <w:i/>
          <w:iCs/>
        </w:rPr>
        <w:t xml:space="preserve"> </w:t>
      </w:r>
      <w:r w:rsidRPr="00895F87">
        <w:rPr>
          <w:i/>
          <w:iCs/>
        </w:rPr>
        <w:t>is indicated for parenteral nutrition for adults and children above 2 years of age when oral or enteral nutrition is impossible, insufficient or contraindicated.</w:t>
      </w:r>
    </w:p>
    <w:p w:rsidR="00895F87" w:rsidRPr="00895F87" w:rsidRDefault="00895F87" w:rsidP="00895F87">
      <w:r w:rsidRPr="00895F87">
        <w:t>The proposed PI itself states:</w:t>
      </w:r>
      <w:r w:rsidRPr="00895F87">
        <w:rPr>
          <w:i/>
          <w:iCs/>
        </w:rPr>
        <w:t xml:space="preserve"> </w:t>
      </w:r>
      <w:r w:rsidRPr="00553EDD">
        <w:t>There have been no studies performed in the paediatric population.</w:t>
      </w:r>
      <w:r w:rsidR="00553EDD">
        <w:t xml:space="preserve"> </w:t>
      </w:r>
      <w:r w:rsidRPr="00895F87">
        <w:t>Further the CCDS on</w:t>
      </w:r>
      <w:r w:rsidR="0070598C">
        <w:t>ly gives Indication for adults.</w:t>
      </w:r>
    </w:p>
    <w:p w:rsidR="00895F87" w:rsidRPr="00895F87" w:rsidRDefault="00895F87" w:rsidP="00895F87">
      <w:r w:rsidRPr="00895F87">
        <w:t>It is recommended that should the preparations be approved it be for adults</w:t>
      </w:r>
      <w:r w:rsidR="00404E24" w:rsidRPr="00404E24">
        <w:t xml:space="preserve"> </w:t>
      </w:r>
      <w:r w:rsidR="00404E24" w:rsidRPr="00895F87">
        <w:t>only</w:t>
      </w:r>
      <w:r w:rsidRPr="00895F87">
        <w:t>.</w:t>
      </w:r>
    </w:p>
    <w:p w:rsidR="008E7846" w:rsidRPr="00E41208" w:rsidRDefault="008E7846" w:rsidP="008E7846">
      <w:pPr>
        <w:pStyle w:val="Heading2"/>
      </w:pPr>
      <w:bookmarkStart w:id="149" w:name="_Toc247691524"/>
      <w:bookmarkStart w:id="150" w:name="_Toc314842508"/>
      <w:bookmarkStart w:id="151" w:name="_Toc370724501"/>
      <w:r w:rsidRPr="00E41208">
        <w:t xml:space="preserve">V. Pharmacovigilance </w:t>
      </w:r>
      <w:r>
        <w:t>f</w:t>
      </w:r>
      <w:r w:rsidRPr="00E41208">
        <w:t>indings</w:t>
      </w:r>
      <w:bookmarkEnd w:id="149"/>
      <w:bookmarkEnd w:id="150"/>
      <w:bookmarkEnd w:id="151"/>
    </w:p>
    <w:p w:rsidR="008E7846" w:rsidRDefault="00514029" w:rsidP="008E7846">
      <w:pPr>
        <w:rPr>
          <w:lang w:eastAsia="en-AU"/>
        </w:rPr>
      </w:pPr>
      <w:bookmarkStart w:id="152" w:name="_Toc247691527"/>
      <w:r>
        <w:rPr>
          <w:lang w:eastAsia="en-AU"/>
        </w:rPr>
        <w:t>The TGA exempt</w:t>
      </w:r>
      <w:r w:rsidR="00A52994">
        <w:rPr>
          <w:lang w:eastAsia="en-AU"/>
        </w:rPr>
        <w:t>ed</w:t>
      </w:r>
      <w:r>
        <w:rPr>
          <w:lang w:eastAsia="en-AU"/>
        </w:rPr>
        <w:t xml:space="preserve"> RMP requirements for this application.</w:t>
      </w:r>
    </w:p>
    <w:p w:rsidR="008E7846" w:rsidRPr="00792A32" w:rsidRDefault="008E7846" w:rsidP="008E7846">
      <w:pPr>
        <w:pStyle w:val="Heading2"/>
      </w:pPr>
      <w:bookmarkStart w:id="153" w:name="_Toc314842510"/>
      <w:bookmarkStart w:id="154" w:name="_Toc37072450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9"/>
      <w:bookmarkEnd w:id="152"/>
      <w:bookmarkEnd w:id="153"/>
      <w:bookmarkEnd w:id="154"/>
    </w:p>
    <w:p w:rsidR="008E7846" w:rsidRDefault="008E7846" w:rsidP="008E7846">
      <w:bookmarkStart w:id="155" w:name="_Toc247691528"/>
      <w:r>
        <w:t xml:space="preserve">The submission was summarised in the following </w:t>
      </w:r>
      <w:r w:rsidRPr="00EF5C48">
        <w:t xml:space="preserve">Delegate’s </w:t>
      </w:r>
      <w:r>
        <w:t>overview</w:t>
      </w:r>
      <w:r w:rsidRPr="00EF5C48">
        <w:t xml:space="preserve"> and recommendation</w:t>
      </w:r>
      <w:r>
        <w:t>s:</w:t>
      </w:r>
    </w:p>
    <w:p w:rsidR="00F53B49" w:rsidRDefault="00F53B49" w:rsidP="00F53B49">
      <w:pPr>
        <w:pStyle w:val="Heading3"/>
      </w:pPr>
      <w:bookmarkStart w:id="156" w:name="_Toc370724503"/>
      <w:r>
        <w:t>Introduction</w:t>
      </w:r>
      <w:bookmarkEnd w:id="156"/>
    </w:p>
    <w:p w:rsidR="00F53B49" w:rsidRPr="00F53B49" w:rsidRDefault="00F53B49" w:rsidP="00F53B49">
      <w:r w:rsidRPr="00F53B49">
        <w:t>Baxter</w:t>
      </w:r>
      <w:r w:rsidR="00A52994">
        <w:t xml:space="preserve"> </w:t>
      </w:r>
      <w:r w:rsidRPr="00F53B49">
        <w:t>Healthcare Australia Pty Ltd has submitted a</w:t>
      </w:r>
      <w:r>
        <w:t xml:space="preserve">n </w:t>
      </w:r>
      <w:r w:rsidRPr="00F53B49">
        <w:t>application</w:t>
      </w:r>
      <w:r>
        <w:t xml:space="preserve"> </w:t>
      </w:r>
      <w:r w:rsidRPr="00F53B49">
        <w:t xml:space="preserve">to register </w:t>
      </w:r>
      <w:r>
        <w:t xml:space="preserve">a </w:t>
      </w:r>
      <w:r w:rsidRPr="00F53B49">
        <w:t>new combination of mostly registered active ingredients in Australia</w:t>
      </w:r>
      <w:r w:rsidR="00A52994">
        <w:t xml:space="preserve">. The proposed lipid component is registered </w:t>
      </w:r>
      <w:r w:rsidR="004D16C4">
        <w:t xml:space="preserve">as part of </w:t>
      </w:r>
      <w:r w:rsidRPr="00F53B49">
        <w:t>ClinOleic</w:t>
      </w:r>
      <w:r w:rsidR="00A52994">
        <w:t xml:space="preserve">; the </w:t>
      </w:r>
      <w:r w:rsidRPr="00F53B49">
        <w:t>glucose and/or calcium preparations</w:t>
      </w:r>
      <w:r w:rsidR="00A52994">
        <w:t xml:space="preserve"> are also </w:t>
      </w:r>
      <w:r w:rsidR="004D16C4">
        <w:t xml:space="preserve">in </w:t>
      </w:r>
      <w:r w:rsidR="00A52994">
        <w:t>registered</w:t>
      </w:r>
      <w:r w:rsidR="004D16C4">
        <w:t xml:space="preserve"> products</w:t>
      </w:r>
      <w:r w:rsidR="00404E24">
        <w:t>,</w:t>
      </w:r>
      <w:r w:rsidR="00A52994">
        <w:t xml:space="preserve"> however, </w:t>
      </w:r>
      <w:r w:rsidRPr="00F53B49">
        <w:t xml:space="preserve">the </w:t>
      </w:r>
      <w:r w:rsidR="00A52994">
        <w:t xml:space="preserve">identical amino acids component is registered overseas (as </w:t>
      </w:r>
      <w:r w:rsidRPr="00F53B49">
        <w:t>Clinisol</w:t>
      </w:r>
      <w:r w:rsidR="00A52994">
        <w:t>)</w:t>
      </w:r>
      <w:r w:rsidR="0070598C">
        <w:t xml:space="preserve"> but not in Australia.</w:t>
      </w:r>
    </w:p>
    <w:p w:rsidR="00F53B49" w:rsidRDefault="00F53B49" w:rsidP="00F53B49">
      <w:r w:rsidRPr="00F53B49">
        <w:t xml:space="preserve">There are six </w:t>
      </w:r>
      <w:r w:rsidR="00A52994">
        <w:t xml:space="preserve">proposed </w:t>
      </w:r>
      <w:r w:rsidRPr="00F53B49">
        <w:t xml:space="preserve">formulations of </w:t>
      </w:r>
      <w:r w:rsidR="004B3262">
        <w:t>Olimel</w:t>
      </w:r>
      <w:r w:rsidRPr="00F53B49">
        <w:t>/Peri</w:t>
      </w:r>
      <w:r w:rsidR="004B3262">
        <w:t>Olimel</w:t>
      </w:r>
      <w:r w:rsidRPr="00F53B49">
        <w:t xml:space="preserve"> (4 with electroly</w:t>
      </w:r>
      <w:r w:rsidR="0032032E">
        <w:t>t</w:t>
      </w:r>
      <w:r w:rsidRPr="00F53B49">
        <w:t>es and 2 without electrolytes in volumes ranging from 1000 to 2500 mL:</w:t>
      </w:r>
    </w:p>
    <w:p w:rsidR="0032032E" w:rsidRPr="00F53B49" w:rsidRDefault="0032032E" w:rsidP="0070598C">
      <w:pPr>
        <w:pStyle w:val="TableTitle"/>
      </w:pPr>
      <w:r>
        <w:t>Table 3. Proposed Olimel/PeriOlimel products</w:t>
      </w:r>
    </w:p>
    <w:tbl>
      <w:tblPr>
        <w:tblStyle w:val="TableTGAblue"/>
        <w:tblW w:w="4300" w:type="pct"/>
        <w:tblInd w:w="108" w:type="dxa"/>
        <w:tblLayout w:type="fixed"/>
        <w:tblLook w:val="04A0"/>
      </w:tblPr>
      <w:tblGrid>
        <w:gridCol w:w="1130"/>
        <w:gridCol w:w="934"/>
        <w:gridCol w:w="1038"/>
        <w:gridCol w:w="1032"/>
        <w:gridCol w:w="907"/>
        <w:gridCol w:w="907"/>
        <w:gridCol w:w="774"/>
        <w:gridCol w:w="777"/>
      </w:tblGrid>
      <w:tr w:rsidR="00F53B49" w:rsidRPr="00F53B49" w:rsidTr="00F53B49">
        <w:trPr>
          <w:cnfStyle w:val="100000000000"/>
          <w:tblHeader/>
        </w:trPr>
        <w:tc>
          <w:tcPr>
            <w:tcW w:w="753" w:type="pct"/>
            <w:vMerge w:val="restart"/>
          </w:tcPr>
          <w:p w:rsidR="00F53B49" w:rsidRPr="00F53B49" w:rsidRDefault="00F53B49" w:rsidP="00F53B49">
            <w:pPr>
              <w:spacing w:before="0" w:after="0"/>
              <w:ind w:left="0" w:right="0"/>
              <w:rPr>
                <w:sz w:val="18"/>
                <w:szCs w:val="18"/>
              </w:rPr>
            </w:pPr>
          </w:p>
        </w:tc>
        <w:tc>
          <w:tcPr>
            <w:tcW w:w="2003" w:type="pct"/>
            <w:gridSpan w:val="3"/>
          </w:tcPr>
          <w:p w:rsidR="00F53B49" w:rsidRPr="00F53B49" w:rsidRDefault="00F53B49" w:rsidP="00817026">
            <w:pPr>
              <w:spacing w:before="0" w:after="0"/>
              <w:ind w:left="0" w:right="0"/>
              <w:jc w:val="center"/>
              <w:rPr>
                <w:sz w:val="18"/>
                <w:szCs w:val="18"/>
              </w:rPr>
            </w:pPr>
            <w:r w:rsidRPr="00F53B49">
              <w:rPr>
                <w:sz w:val="18"/>
                <w:szCs w:val="18"/>
              </w:rPr>
              <w:t>Concentration</w:t>
            </w:r>
          </w:p>
        </w:tc>
        <w:tc>
          <w:tcPr>
            <w:tcW w:w="2244" w:type="pct"/>
            <w:gridSpan w:val="4"/>
            <w:vMerge w:val="restart"/>
          </w:tcPr>
          <w:p w:rsidR="00F53B49" w:rsidRPr="00F53B49" w:rsidRDefault="00F53B49" w:rsidP="0070598C">
            <w:pPr>
              <w:spacing w:before="0" w:after="0"/>
              <w:ind w:left="0" w:right="0"/>
              <w:jc w:val="center"/>
              <w:rPr>
                <w:sz w:val="18"/>
                <w:szCs w:val="18"/>
              </w:rPr>
            </w:pPr>
            <w:r w:rsidRPr="00F53B49">
              <w:rPr>
                <w:sz w:val="18"/>
                <w:szCs w:val="18"/>
              </w:rPr>
              <w:t>Bag presentation (mL)</w:t>
            </w:r>
          </w:p>
        </w:tc>
      </w:tr>
      <w:tr w:rsidR="00F53B49" w:rsidRPr="00F53B49" w:rsidTr="00F53B49">
        <w:trPr>
          <w:cnfStyle w:val="100000000000"/>
          <w:tblHeader/>
        </w:trPr>
        <w:tc>
          <w:tcPr>
            <w:tcW w:w="753" w:type="pct"/>
            <w:vMerge/>
          </w:tcPr>
          <w:p w:rsidR="00F53B49" w:rsidRPr="00F53B49" w:rsidRDefault="00F53B49" w:rsidP="00F53B49">
            <w:pPr>
              <w:spacing w:before="0" w:after="0"/>
              <w:ind w:left="0" w:right="0"/>
              <w:rPr>
                <w:sz w:val="18"/>
                <w:szCs w:val="18"/>
              </w:rPr>
            </w:pPr>
          </w:p>
        </w:tc>
        <w:tc>
          <w:tcPr>
            <w:tcW w:w="623" w:type="pct"/>
          </w:tcPr>
          <w:p w:rsidR="00F53B49" w:rsidRPr="00F53B49" w:rsidRDefault="00F53B49" w:rsidP="00F53B49">
            <w:pPr>
              <w:spacing w:before="0" w:after="0"/>
              <w:ind w:left="0" w:right="0"/>
              <w:rPr>
                <w:sz w:val="18"/>
                <w:szCs w:val="18"/>
              </w:rPr>
            </w:pPr>
            <w:r w:rsidRPr="00F53B49">
              <w:rPr>
                <w:sz w:val="18"/>
                <w:szCs w:val="18"/>
              </w:rPr>
              <w:t>Amino acid solution</w:t>
            </w:r>
          </w:p>
        </w:tc>
        <w:tc>
          <w:tcPr>
            <w:tcW w:w="692" w:type="pct"/>
          </w:tcPr>
          <w:p w:rsidR="00F53B49" w:rsidRPr="00F53B49" w:rsidRDefault="00F53B49" w:rsidP="00F53B49">
            <w:pPr>
              <w:spacing w:before="0" w:after="0"/>
              <w:ind w:left="0" w:right="0"/>
              <w:rPr>
                <w:sz w:val="18"/>
                <w:szCs w:val="18"/>
              </w:rPr>
            </w:pPr>
            <w:r w:rsidRPr="00F53B49">
              <w:rPr>
                <w:sz w:val="18"/>
                <w:szCs w:val="18"/>
              </w:rPr>
              <w:t>Glucose solution</w:t>
            </w:r>
          </w:p>
        </w:tc>
        <w:tc>
          <w:tcPr>
            <w:tcW w:w="688" w:type="pct"/>
          </w:tcPr>
          <w:p w:rsidR="00F53B49" w:rsidRPr="00F53B49" w:rsidRDefault="00F53B49" w:rsidP="00F53B49">
            <w:pPr>
              <w:spacing w:before="0" w:after="0"/>
              <w:ind w:left="0" w:right="0"/>
              <w:rPr>
                <w:sz w:val="18"/>
                <w:szCs w:val="18"/>
              </w:rPr>
            </w:pPr>
            <w:r w:rsidRPr="00F53B49">
              <w:rPr>
                <w:sz w:val="18"/>
                <w:szCs w:val="18"/>
              </w:rPr>
              <w:t>Lipid emulsion</w:t>
            </w:r>
          </w:p>
        </w:tc>
        <w:tc>
          <w:tcPr>
            <w:tcW w:w="2244" w:type="pct"/>
            <w:gridSpan w:val="4"/>
            <w:vMerge/>
          </w:tcPr>
          <w:p w:rsidR="00F53B49" w:rsidRPr="00F53B49" w:rsidRDefault="00F53B49" w:rsidP="00F53B49">
            <w:pPr>
              <w:spacing w:before="0" w:after="0"/>
              <w:ind w:left="0" w:right="0"/>
              <w:rPr>
                <w:sz w:val="18"/>
                <w:szCs w:val="18"/>
              </w:rPr>
            </w:pPr>
          </w:p>
        </w:tc>
      </w:tr>
      <w:tr w:rsidR="00F53B49" w:rsidRPr="00F53B49" w:rsidTr="00F53B49">
        <w:tc>
          <w:tcPr>
            <w:tcW w:w="5000" w:type="pct"/>
            <w:gridSpan w:val="8"/>
          </w:tcPr>
          <w:p w:rsidR="00F53B49" w:rsidRPr="00F53B49" w:rsidRDefault="00F53B49" w:rsidP="00F53B49">
            <w:pPr>
              <w:spacing w:before="0" w:after="0"/>
              <w:ind w:left="0" w:right="0"/>
              <w:rPr>
                <w:b/>
                <w:bCs/>
                <w:sz w:val="18"/>
                <w:szCs w:val="18"/>
              </w:rPr>
            </w:pPr>
            <w:r w:rsidRPr="00F53B49">
              <w:rPr>
                <w:b/>
                <w:bCs/>
                <w:sz w:val="18"/>
                <w:szCs w:val="18"/>
              </w:rPr>
              <w:t>Peri</w:t>
            </w:r>
            <w:r w:rsidR="004B3262">
              <w:rPr>
                <w:b/>
                <w:bCs/>
                <w:sz w:val="18"/>
                <w:szCs w:val="18"/>
              </w:rPr>
              <w:t>Olimel</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N4-600E</w:t>
            </w:r>
          </w:p>
        </w:tc>
        <w:tc>
          <w:tcPr>
            <w:tcW w:w="623" w:type="pct"/>
          </w:tcPr>
          <w:p w:rsidR="00F53B49" w:rsidRPr="00F53B49" w:rsidRDefault="00F53B49" w:rsidP="00F53B49">
            <w:pPr>
              <w:spacing w:before="0" w:after="0"/>
              <w:ind w:left="0" w:right="0"/>
              <w:rPr>
                <w:sz w:val="18"/>
                <w:szCs w:val="18"/>
              </w:rPr>
            </w:pPr>
            <w:r w:rsidRPr="00F53B49">
              <w:rPr>
                <w:sz w:val="18"/>
                <w:szCs w:val="18"/>
              </w:rPr>
              <w:t>6.3%</w:t>
            </w:r>
          </w:p>
        </w:tc>
        <w:tc>
          <w:tcPr>
            <w:tcW w:w="692" w:type="pct"/>
          </w:tcPr>
          <w:p w:rsidR="00F53B49" w:rsidRPr="00F53B49" w:rsidRDefault="00F53B49" w:rsidP="00F53B49">
            <w:pPr>
              <w:spacing w:before="0" w:after="0"/>
              <w:ind w:left="0" w:right="0"/>
              <w:rPr>
                <w:sz w:val="18"/>
                <w:szCs w:val="18"/>
              </w:rPr>
            </w:pPr>
            <w:r w:rsidRPr="00F53B49">
              <w:rPr>
                <w:sz w:val="18"/>
                <w:szCs w:val="18"/>
              </w:rPr>
              <w:t>18.75%</w:t>
            </w:r>
          </w:p>
        </w:tc>
        <w:tc>
          <w:tcPr>
            <w:tcW w:w="688" w:type="pct"/>
          </w:tcPr>
          <w:p w:rsidR="00F53B49" w:rsidRPr="00F53B49" w:rsidRDefault="00F53B49" w:rsidP="00F53B49">
            <w:pPr>
              <w:spacing w:before="0" w:after="0"/>
              <w:ind w:left="0" w:right="0"/>
              <w:rPr>
                <w:sz w:val="18"/>
                <w:szCs w:val="18"/>
              </w:rPr>
            </w:pPr>
            <w:r w:rsidRPr="00F53B49">
              <w:rPr>
                <w:sz w:val="18"/>
                <w:szCs w:val="18"/>
              </w:rPr>
              <w:t>15%</w:t>
            </w:r>
          </w:p>
        </w:tc>
        <w:tc>
          <w:tcPr>
            <w:tcW w:w="605" w:type="pct"/>
          </w:tcPr>
          <w:p w:rsidR="00F53B49" w:rsidRPr="00F53B49" w:rsidRDefault="00F53B49" w:rsidP="00F53B49">
            <w:pPr>
              <w:spacing w:before="0" w:after="0"/>
              <w:ind w:left="0" w:right="0"/>
              <w:rPr>
                <w:sz w:val="18"/>
                <w:szCs w:val="18"/>
              </w:rPr>
            </w:pPr>
            <w:r w:rsidRPr="00F53B49">
              <w:rPr>
                <w:sz w:val="18"/>
                <w:szCs w:val="18"/>
              </w:rPr>
              <w:t>1000</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2500</w:t>
            </w:r>
          </w:p>
        </w:tc>
      </w:tr>
      <w:tr w:rsidR="00F53B49" w:rsidRPr="00F53B49" w:rsidTr="00F53B49">
        <w:tc>
          <w:tcPr>
            <w:tcW w:w="5000" w:type="pct"/>
            <w:gridSpan w:val="8"/>
          </w:tcPr>
          <w:p w:rsidR="00F53B49" w:rsidRPr="00F53B49" w:rsidRDefault="004B3262" w:rsidP="00F53B49">
            <w:pPr>
              <w:spacing w:before="0" w:after="0"/>
              <w:ind w:left="0" w:right="0"/>
              <w:rPr>
                <w:b/>
                <w:bCs/>
                <w:sz w:val="18"/>
                <w:szCs w:val="18"/>
              </w:rPr>
            </w:pPr>
            <w:r>
              <w:rPr>
                <w:b/>
                <w:bCs/>
                <w:sz w:val="18"/>
                <w:szCs w:val="18"/>
              </w:rPr>
              <w:t>Olimel</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N5-860E</w:t>
            </w:r>
          </w:p>
        </w:tc>
        <w:tc>
          <w:tcPr>
            <w:tcW w:w="623" w:type="pct"/>
          </w:tcPr>
          <w:p w:rsidR="00F53B49" w:rsidRPr="00F53B49" w:rsidRDefault="00F53B49" w:rsidP="00F53B49">
            <w:pPr>
              <w:spacing w:before="0" w:after="0"/>
              <w:ind w:left="0" w:right="0"/>
              <w:rPr>
                <w:sz w:val="18"/>
                <w:szCs w:val="18"/>
              </w:rPr>
            </w:pPr>
            <w:r w:rsidRPr="00F53B49">
              <w:rPr>
                <w:sz w:val="18"/>
                <w:szCs w:val="18"/>
              </w:rPr>
              <w:t>8.2%</w:t>
            </w:r>
          </w:p>
        </w:tc>
        <w:tc>
          <w:tcPr>
            <w:tcW w:w="692" w:type="pct"/>
          </w:tcPr>
          <w:p w:rsidR="00F53B49" w:rsidRPr="00F53B49" w:rsidRDefault="00F53B49" w:rsidP="00F53B49">
            <w:pPr>
              <w:spacing w:before="0" w:after="0"/>
              <w:ind w:left="0" w:right="0"/>
              <w:rPr>
                <w:sz w:val="18"/>
                <w:szCs w:val="18"/>
              </w:rPr>
            </w:pPr>
            <w:r w:rsidRPr="00F53B49">
              <w:rPr>
                <w:sz w:val="18"/>
                <w:szCs w:val="18"/>
              </w:rPr>
              <w:t>28.75%</w:t>
            </w:r>
          </w:p>
        </w:tc>
        <w:tc>
          <w:tcPr>
            <w:tcW w:w="688" w:type="pct"/>
          </w:tcPr>
          <w:p w:rsidR="00F53B49" w:rsidRPr="00F53B49" w:rsidRDefault="00F53B49" w:rsidP="00F53B49">
            <w:pPr>
              <w:spacing w:before="0" w:after="0"/>
              <w:ind w:left="0" w:right="0"/>
              <w:rPr>
                <w:sz w:val="18"/>
                <w:szCs w:val="18"/>
              </w:rPr>
            </w:pPr>
            <w:r w:rsidRPr="00F53B49">
              <w:rPr>
                <w:sz w:val="18"/>
                <w:szCs w:val="18"/>
              </w:rPr>
              <w:t>20%</w:t>
            </w:r>
          </w:p>
        </w:tc>
        <w:tc>
          <w:tcPr>
            <w:tcW w:w="605" w:type="pct"/>
          </w:tcPr>
          <w:p w:rsidR="00F53B49" w:rsidRPr="00F53B49" w:rsidRDefault="00F53B49" w:rsidP="00F53B49">
            <w:pPr>
              <w:spacing w:before="0" w:after="0"/>
              <w:ind w:left="0" w:right="0"/>
              <w:rPr>
                <w:sz w:val="18"/>
                <w:szCs w:val="18"/>
              </w:rPr>
            </w:pPr>
            <w:r w:rsidRPr="00F53B49">
              <w:rPr>
                <w:sz w:val="18"/>
                <w:szCs w:val="18"/>
              </w:rPr>
              <w:t>-</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2500</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N7-960E</w:t>
            </w:r>
          </w:p>
        </w:tc>
        <w:tc>
          <w:tcPr>
            <w:tcW w:w="623" w:type="pct"/>
          </w:tcPr>
          <w:p w:rsidR="00F53B49" w:rsidRPr="00F53B49" w:rsidRDefault="00F53B49" w:rsidP="00F53B49">
            <w:pPr>
              <w:spacing w:before="0" w:after="0"/>
              <w:ind w:left="0" w:right="0"/>
              <w:rPr>
                <w:sz w:val="18"/>
                <w:szCs w:val="18"/>
              </w:rPr>
            </w:pPr>
            <w:r w:rsidRPr="00F53B49">
              <w:rPr>
                <w:sz w:val="18"/>
                <w:szCs w:val="18"/>
              </w:rPr>
              <w:t>11.1%</w:t>
            </w:r>
          </w:p>
        </w:tc>
        <w:tc>
          <w:tcPr>
            <w:tcW w:w="692" w:type="pct"/>
          </w:tcPr>
          <w:p w:rsidR="00F53B49" w:rsidRPr="00F53B49" w:rsidRDefault="00F53B49" w:rsidP="00F53B49">
            <w:pPr>
              <w:spacing w:before="0" w:after="0"/>
              <w:ind w:left="0" w:right="0"/>
              <w:rPr>
                <w:sz w:val="18"/>
                <w:szCs w:val="18"/>
              </w:rPr>
            </w:pPr>
            <w:r w:rsidRPr="00F53B49">
              <w:rPr>
                <w:sz w:val="18"/>
                <w:szCs w:val="18"/>
              </w:rPr>
              <w:t>35%</w:t>
            </w:r>
          </w:p>
        </w:tc>
        <w:tc>
          <w:tcPr>
            <w:tcW w:w="688" w:type="pct"/>
          </w:tcPr>
          <w:p w:rsidR="00F53B49" w:rsidRPr="00F53B49" w:rsidRDefault="00F53B49" w:rsidP="00F53B49">
            <w:pPr>
              <w:spacing w:before="0" w:after="0"/>
              <w:ind w:left="0" w:right="0"/>
              <w:rPr>
                <w:sz w:val="18"/>
                <w:szCs w:val="18"/>
              </w:rPr>
            </w:pPr>
            <w:r w:rsidRPr="00F53B49">
              <w:rPr>
                <w:sz w:val="18"/>
                <w:szCs w:val="18"/>
              </w:rPr>
              <w:t>20%</w:t>
            </w:r>
          </w:p>
        </w:tc>
        <w:tc>
          <w:tcPr>
            <w:tcW w:w="605" w:type="pct"/>
          </w:tcPr>
          <w:p w:rsidR="00F53B49" w:rsidRPr="00F53B49" w:rsidRDefault="00F53B49" w:rsidP="00F53B49">
            <w:pPr>
              <w:spacing w:before="0" w:after="0"/>
              <w:ind w:left="0" w:right="0"/>
              <w:rPr>
                <w:sz w:val="18"/>
                <w:szCs w:val="18"/>
              </w:rPr>
            </w:pPr>
            <w:r w:rsidRPr="00F53B49">
              <w:rPr>
                <w:sz w:val="18"/>
                <w:szCs w:val="18"/>
              </w:rPr>
              <w:t>1000</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N7-960</w:t>
            </w:r>
          </w:p>
        </w:tc>
        <w:tc>
          <w:tcPr>
            <w:tcW w:w="623" w:type="pct"/>
          </w:tcPr>
          <w:p w:rsidR="00F53B49" w:rsidRPr="00F53B49" w:rsidRDefault="00F53B49" w:rsidP="00F53B49">
            <w:pPr>
              <w:spacing w:before="0" w:after="0"/>
              <w:ind w:left="0" w:right="0"/>
              <w:rPr>
                <w:sz w:val="18"/>
                <w:szCs w:val="18"/>
              </w:rPr>
            </w:pPr>
            <w:r w:rsidRPr="00F53B49">
              <w:rPr>
                <w:sz w:val="18"/>
                <w:szCs w:val="18"/>
              </w:rPr>
              <w:t>11.1%</w:t>
            </w:r>
          </w:p>
        </w:tc>
        <w:tc>
          <w:tcPr>
            <w:tcW w:w="692" w:type="pct"/>
          </w:tcPr>
          <w:p w:rsidR="00F53B49" w:rsidRPr="00F53B49" w:rsidRDefault="00F53B49" w:rsidP="00F53B49">
            <w:pPr>
              <w:spacing w:before="0" w:after="0"/>
              <w:ind w:left="0" w:right="0"/>
              <w:rPr>
                <w:sz w:val="18"/>
                <w:szCs w:val="18"/>
              </w:rPr>
            </w:pPr>
            <w:r w:rsidRPr="00F53B49">
              <w:rPr>
                <w:sz w:val="18"/>
                <w:szCs w:val="18"/>
              </w:rPr>
              <w:t>35%</w:t>
            </w:r>
          </w:p>
        </w:tc>
        <w:tc>
          <w:tcPr>
            <w:tcW w:w="688" w:type="pct"/>
          </w:tcPr>
          <w:p w:rsidR="00F53B49" w:rsidRPr="00F53B49" w:rsidRDefault="00F53B49" w:rsidP="00F53B49">
            <w:pPr>
              <w:spacing w:before="0" w:after="0"/>
              <w:ind w:left="0" w:right="0"/>
              <w:rPr>
                <w:sz w:val="18"/>
                <w:szCs w:val="18"/>
              </w:rPr>
            </w:pPr>
            <w:r w:rsidRPr="00F53B49">
              <w:rPr>
                <w:sz w:val="18"/>
                <w:szCs w:val="18"/>
              </w:rPr>
              <w:t>20%</w:t>
            </w:r>
          </w:p>
        </w:tc>
        <w:tc>
          <w:tcPr>
            <w:tcW w:w="605" w:type="pct"/>
          </w:tcPr>
          <w:p w:rsidR="00F53B49" w:rsidRPr="00F53B49" w:rsidRDefault="00F53B49" w:rsidP="00F53B49">
            <w:pPr>
              <w:spacing w:before="0" w:after="0"/>
              <w:ind w:left="0" w:right="0"/>
              <w:rPr>
                <w:sz w:val="18"/>
                <w:szCs w:val="18"/>
              </w:rPr>
            </w:pPr>
            <w:r w:rsidRPr="00F53B49">
              <w:rPr>
                <w:sz w:val="18"/>
                <w:szCs w:val="18"/>
              </w:rPr>
              <w:t>1000</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N9-840E</w:t>
            </w:r>
          </w:p>
        </w:tc>
        <w:tc>
          <w:tcPr>
            <w:tcW w:w="623" w:type="pct"/>
          </w:tcPr>
          <w:p w:rsidR="00F53B49" w:rsidRPr="00F53B49" w:rsidRDefault="00F53B49" w:rsidP="00F53B49">
            <w:pPr>
              <w:spacing w:before="0" w:after="0"/>
              <w:ind w:left="0" w:right="0"/>
              <w:rPr>
                <w:sz w:val="18"/>
                <w:szCs w:val="18"/>
              </w:rPr>
            </w:pPr>
            <w:r w:rsidRPr="00F53B49">
              <w:rPr>
                <w:sz w:val="18"/>
                <w:szCs w:val="18"/>
              </w:rPr>
              <w:t>14.2%</w:t>
            </w:r>
          </w:p>
        </w:tc>
        <w:tc>
          <w:tcPr>
            <w:tcW w:w="692" w:type="pct"/>
          </w:tcPr>
          <w:p w:rsidR="00F53B49" w:rsidRPr="00F53B49" w:rsidRDefault="00F53B49" w:rsidP="00F53B49">
            <w:pPr>
              <w:spacing w:before="0" w:after="0"/>
              <w:ind w:left="0" w:right="0"/>
              <w:rPr>
                <w:sz w:val="18"/>
                <w:szCs w:val="18"/>
              </w:rPr>
            </w:pPr>
            <w:r w:rsidRPr="00F53B49">
              <w:rPr>
                <w:sz w:val="18"/>
                <w:szCs w:val="18"/>
              </w:rPr>
              <w:t>27.5%</w:t>
            </w:r>
          </w:p>
        </w:tc>
        <w:tc>
          <w:tcPr>
            <w:tcW w:w="688" w:type="pct"/>
          </w:tcPr>
          <w:p w:rsidR="00F53B49" w:rsidRPr="00F53B49" w:rsidRDefault="00F53B49" w:rsidP="00F53B49">
            <w:pPr>
              <w:spacing w:before="0" w:after="0"/>
              <w:ind w:left="0" w:right="0"/>
              <w:rPr>
                <w:sz w:val="18"/>
                <w:szCs w:val="18"/>
              </w:rPr>
            </w:pPr>
            <w:r w:rsidRPr="00F53B49">
              <w:rPr>
                <w:sz w:val="18"/>
                <w:szCs w:val="18"/>
              </w:rPr>
              <w:t>20%</w:t>
            </w:r>
          </w:p>
        </w:tc>
        <w:tc>
          <w:tcPr>
            <w:tcW w:w="605" w:type="pct"/>
          </w:tcPr>
          <w:p w:rsidR="00F53B49" w:rsidRPr="00F53B49" w:rsidRDefault="00F53B49" w:rsidP="00F53B49">
            <w:pPr>
              <w:spacing w:before="0" w:after="0"/>
              <w:ind w:left="0" w:right="0"/>
              <w:rPr>
                <w:sz w:val="18"/>
                <w:szCs w:val="18"/>
              </w:rPr>
            </w:pPr>
            <w:r w:rsidRPr="00F53B49">
              <w:rPr>
                <w:sz w:val="18"/>
                <w:szCs w:val="18"/>
              </w:rPr>
              <w:t>1000</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w:t>
            </w:r>
          </w:p>
        </w:tc>
      </w:tr>
      <w:tr w:rsidR="00F53B49" w:rsidRPr="00F53B49" w:rsidTr="00F53B49">
        <w:tc>
          <w:tcPr>
            <w:tcW w:w="753" w:type="pct"/>
          </w:tcPr>
          <w:p w:rsidR="00F53B49" w:rsidRPr="00F53B49" w:rsidRDefault="00F53B49" w:rsidP="00F53B49">
            <w:pPr>
              <w:spacing w:before="0" w:after="0"/>
              <w:ind w:left="0" w:right="0"/>
              <w:rPr>
                <w:sz w:val="18"/>
                <w:szCs w:val="18"/>
              </w:rPr>
            </w:pPr>
            <w:r w:rsidRPr="00F53B49">
              <w:rPr>
                <w:sz w:val="18"/>
                <w:szCs w:val="18"/>
              </w:rPr>
              <w:t>N9-840</w:t>
            </w:r>
          </w:p>
        </w:tc>
        <w:tc>
          <w:tcPr>
            <w:tcW w:w="623" w:type="pct"/>
          </w:tcPr>
          <w:p w:rsidR="00F53B49" w:rsidRPr="00F53B49" w:rsidRDefault="00F53B49" w:rsidP="00F53B49">
            <w:pPr>
              <w:spacing w:before="0" w:after="0"/>
              <w:ind w:left="0" w:right="0"/>
              <w:rPr>
                <w:sz w:val="18"/>
                <w:szCs w:val="18"/>
              </w:rPr>
            </w:pPr>
            <w:r w:rsidRPr="00F53B49">
              <w:rPr>
                <w:sz w:val="18"/>
                <w:szCs w:val="18"/>
              </w:rPr>
              <w:t>14.2%</w:t>
            </w:r>
          </w:p>
        </w:tc>
        <w:tc>
          <w:tcPr>
            <w:tcW w:w="692" w:type="pct"/>
          </w:tcPr>
          <w:p w:rsidR="00F53B49" w:rsidRPr="00F53B49" w:rsidRDefault="00F53B49" w:rsidP="00F53B49">
            <w:pPr>
              <w:spacing w:before="0" w:after="0"/>
              <w:ind w:left="0" w:right="0"/>
              <w:rPr>
                <w:sz w:val="18"/>
                <w:szCs w:val="18"/>
              </w:rPr>
            </w:pPr>
            <w:r w:rsidRPr="00F53B49">
              <w:rPr>
                <w:sz w:val="18"/>
                <w:szCs w:val="18"/>
              </w:rPr>
              <w:t>27.5%</w:t>
            </w:r>
          </w:p>
        </w:tc>
        <w:tc>
          <w:tcPr>
            <w:tcW w:w="688" w:type="pct"/>
          </w:tcPr>
          <w:p w:rsidR="00F53B49" w:rsidRPr="00F53B49" w:rsidRDefault="00F53B49" w:rsidP="00F53B49">
            <w:pPr>
              <w:spacing w:before="0" w:after="0"/>
              <w:ind w:left="0" w:right="0"/>
              <w:rPr>
                <w:sz w:val="18"/>
                <w:szCs w:val="18"/>
              </w:rPr>
            </w:pPr>
            <w:r w:rsidRPr="00F53B49">
              <w:rPr>
                <w:sz w:val="18"/>
                <w:szCs w:val="18"/>
              </w:rPr>
              <w:t>20%</w:t>
            </w:r>
          </w:p>
        </w:tc>
        <w:tc>
          <w:tcPr>
            <w:tcW w:w="605" w:type="pct"/>
          </w:tcPr>
          <w:p w:rsidR="00F53B49" w:rsidRPr="00F53B49" w:rsidRDefault="00F53B49" w:rsidP="00F53B49">
            <w:pPr>
              <w:spacing w:before="0" w:after="0"/>
              <w:ind w:left="0" w:right="0"/>
              <w:rPr>
                <w:sz w:val="18"/>
                <w:szCs w:val="18"/>
              </w:rPr>
            </w:pPr>
            <w:r w:rsidRPr="00F53B49">
              <w:rPr>
                <w:sz w:val="18"/>
                <w:szCs w:val="18"/>
              </w:rPr>
              <w:t>1000</w:t>
            </w:r>
          </w:p>
        </w:tc>
        <w:tc>
          <w:tcPr>
            <w:tcW w:w="605" w:type="pct"/>
          </w:tcPr>
          <w:p w:rsidR="00F53B49" w:rsidRPr="00F53B49" w:rsidRDefault="00F53B49" w:rsidP="00F53B49">
            <w:pPr>
              <w:spacing w:before="0" w:after="0"/>
              <w:ind w:left="0" w:right="0"/>
              <w:rPr>
                <w:sz w:val="18"/>
                <w:szCs w:val="18"/>
              </w:rPr>
            </w:pPr>
            <w:r w:rsidRPr="00F53B49">
              <w:rPr>
                <w:sz w:val="18"/>
                <w:szCs w:val="18"/>
              </w:rPr>
              <w:t>1500</w:t>
            </w:r>
          </w:p>
        </w:tc>
        <w:tc>
          <w:tcPr>
            <w:tcW w:w="516" w:type="pct"/>
          </w:tcPr>
          <w:p w:rsidR="00F53B49" w:rsidRPr="00F53B49" w:rsidRDefault="00F53B49" w:rsidP="00F53B49">
            <w:pPr>
              <w:spacing w:before="0" w:after="0"/>
              <w:ind w:left="0" w:right="0"/>
              <w:rPr>
                <w:sz w:val="18"/>
                <w:szCs w:val="18"/>
              </w:rPr>
            </w:pPr>
            <w:r w:rsidRPr="00F53B49">
              <w:rPr>
                <w:sz w:val="18"/>
                <w:szCs w:val="18"/>
              </w:rPr>
              <w:t>2000</w:t>
            </w:r>
          </w:p>
        </w:tc>
        <w:tc>
          <w:tcPr>
            <w:tcW w:w="518" w:type="pct"/>
          </w:tcPr>
          <w:p w:rsidR="00F53B49" w:rsidRPr="00F53B49" w:rsidRDefault="00F53B49" w:rsidP="00F53B49">
            <w:pPr>
              <w:spacing w:before="0" w:after="0"/>
              <w:ind w:left="0" w:right="0"/>
              <w:rPr>
                <w:sz w:val="18"/>
                <w:szCs w:val="18"/>
              </w:rPr>
            </w:pPr>
            <w:r w:rsidRPr="00F53B49">
              <w:rPr>
                <w:sz w:val="18"/>
                <w:szCs w:val="18"/>
              </w:rPr>
              <w:t>-</w:t>
            </w:r>
          </w:p>
        </w:tc>
      </w:tr>
    </w:tbl>
    <w:p w:rsidR="00F53B49" w:rsidRPr="00F53B49" w:rsidRDefault="00F53B49" w:rsidP="00F53B49">
      <w:r w:rsidRPr="00F53B49">
        <w:lastRenderedPageBreak/>
        <w:t>Peri</w:t>
      </w:r>
      <w:r w:rsidR="004B3262">
        <w:t>Olimel</w:t>
      </w:r>
      <w:r w:rsidRPr="00F53B49">
        <w:t xml:space="preserve"> contains the lowest concentrations of glucose, amino acids and lipids in the </w:t>
      </w:r>
      <w:r w:rsidR="004B3262">
        <w:t>Olimel</w:t>
      </w:r>
      <w:r w:rsidRPr="00F53B49">
        <w:t xml:space="preserve"> product line and is intended for patients with lower nitrogen needs or for patients in whom fluid volume and calories are less important. The electrolyte content of Peri</w:t>
      </w:r>
      <w:r w:rsidR="004B3262">
        <w:t>Olimel</w:t>
      </w:r>
      <w:r w:rsidRPr="00F53B49">
        <w:t xml:space="preserve"> is also lower than the other formulations of </w:t>
      </w:r>
      <w:r w:rsidR="004B3262">
        <w:t>Olimel</w:t>
      </w:r>
      <w:r w:rsidRPr="00F53B49">
        <w:t>; therefore, Peri</w:t>
      </w:r>
      <w:r w:rsidR="004B3262">
        <w:t>Olimel</w:t>
      </w:r>
      <w:r w:rsidRPr="00F53B49">
        <w:t xml:space="preserve"> is more suitable for peripheral administration due to a lower osmolarity compared t</w:t>
      </w:r>
      <w:r w:rsidR="0070598C">
        <w:t>o the rest of the product line.</w:t>
      </w:r>
    </w:p>
    <w:p w:rsidR="00F53B49" w:rsidRPr="00F53B49" w:rsidRDefault="00F53B49" w:rsidP="0070598C">
      <w:r w:rsidRPr="00F53B49">
        <w:t xml:space="preserve">Regarding </w:t>
      </w:r>
      <w:r w:rsidR="00A52994">
        <w:t xml:space="preserve">the </w:t>
      </w:r>
      <w:r w:rsidRPr="00F53B49">
        <w:t>product descri</w:t>
      </w:r>
      <w:r w:rsidR="0070598C">
        <w:t>ption, the sponsor stated that:</w:t>
      </w:r>
    </w:p>
    <w:p w:rsidR="00F53B49" w:rsidRPr="00F53B49" w:rsidRDefault="004B3262" w:rsidP="00F53B49">
      <w:r>
        <w:t>Olimel</w:t>
      </w:r>
      <w:r w:rsidR="00F53B49" w:rsidRPr="00F53B49">
        <w:t>/Peri</w:t>
      </w:r>
      <w:r>
        <w:t>Olimel</w:t>
      </w:r>
      <w:r w:rsidR="00F53B49" w:rsidRPr="00F53B49">
        <w:t xml:space="preserve"> is a ready-to-use parenteral nutrition produ</w:t>
      </w:r>
      <w:r w:rsidR="00041CD0">
        <w:t xml:space="preserve">ct containing </w:t>
      </w:r>
      <w:r w:rsidR="00F53B49" w:rsidRPr="00F53B49">
        <w:t>amino acids, lipids and glucose</w:t>
      </w:r>
      <w:r w:rsidR="0032032E">
        <w:t>,</w:t>
      </w:r>
      <w:r w:rsidR="00F53B49" w:rsidRPr="00F53B49">
        <w:t xml:space="preserve"> with</w:t>
      </w:r>
      <w:r w:rsidR="00041CD0">
        <w:t xml:space="preserve"> or </w:t>
      </w:r>
      <w:r w:rsidR="00F53B49" w:rsidRPr="00F53B49">
        <w:t>without electrolytes. It is presented as a tr</w:t>
      </w:r>
      <w:r w:rsidR="0070598C">
        <w:t>iple-chamber bag comprising of:</w:t>
      </w:r>
    </w:p>
    <w:p w:rsidR="00F53B49" w:rsidRPr="00F53B49" w:rsidRDefault="00F53B49" w:rsidP="00041CD0">
      <w:pPr>
        <w:pStyle w:val="Numberbullet0"/>
      </w:pPr>
      <w:r w:rsidRPr="00F53B49">
        <w:t>A larger outer chamber which contains a glucose so</w:t>
      </w:r>
      <w:r w:rsidR="0070598C">
        <w:t>lution with or without calcium;</w:t>
      </w:r>
    </w:p>
    <w:p w:rsidR="00F53B49" w:rsidRPr="00F53B49" w:rsidRDefault="00F53B49" w:rsidP="00041CD0">
      <w:pPr>
        <w:pStyle w:val="Numberbullet0"/>
      </w:pPr>
      <w:r w:rsidRPr="00F53B49">
        <w:t xml:space="preserve">A middle chamber which contains a solution of 17 amino acids with or without electrolytes (sodium, potassium, magnesium, and phosphate provided as sodium </w:t>
      </w:r>
      <w:proofErr w:type="spellStart"/>
      <w:r w:rsidRPr="00F53B49">
        <w:t>glycerophosphate</w:t>
      </w:r>
      <w:proofErr w:type="spellEnd"/>
      <w:r w:rsidRPr="00F53B49">
        <w:t xml:space="preserve">); </w:t>
      </w:r>
      <w:r w:rsidR="0070598C">
        <w:t>and</w:t>
      </w:r>
    </w:p>
    <w:p w:rsidR="00F53B49" w:rsidRPr="00F53B49" w:rsidRDefault="00F53B49" w:rsidP="00041CD0">
      <w:pPr>
        <w:pStyle w:val="Numberbullet0"/>
      </w:pPr>
      <w:r w:rsidRPr="00F53B49">
        <w:t>A smaller outer chamber which conta</w:t>
      </w:r>
      <w:r w:rsidR="00041CD0">
        <w:t>ins a lipid emulsion (</w:t>
      </w:r>
      <w:proofErr w:type="spellStart"/>
      <w:r w:rsidR="00041CD0">
        <w:t>ClinOleic</w:t>
      </w:r>
      <w:proofErr w:type="spellEnd"/>
      <w:r w:rsidR="0070598C">
        <w:t>).</w:t>
      </w:r>
    </w:p>
    <w:p w:rsidR="00F53B49" w:rsidRPr="00F53B49" w:rsidRDefault="00F53B49" w:rsidP="00F53B49">
      <w:r w:rsidRPr="00F53B49">
        <w:t>The chambers are separated during storage by no</w:t>
      </w:r>
      <w:r w:rsidR="00041CD0">
        <w:t>n</w:t>
      </w:r>
      <w:r w:rsidR="0032032E">
        <w:t>-</w:t>
      </w:r>
      <w:r w:rsidR="00041CD0">
        <w:t xml:space="preserve">permanent, </w:t>
      </w:r>
      <w:r w:rsidRPr="00F53B49">
        <w:t>peelable seals. Prior to administration, the triple-chamber bag is manually rolled to release the non</w:t>
      </w:r>
      <w:r w:rsidR="0032032E">
        <w:t>-</w:t>
      </w:r>
      <w:r w:rsidRPr="00F53B49">
        <w:t>perma</w:t>
      </w:r>
      <w:r w:rsidR="00940FF7">
        <w:t>nent seals between the chambers</w:t>
      </w:r>
      <w:r w:rsidRPr="00F53B49">
        <w:t xml:space="preserve"> thereby allowing the contents of the chambers to be mixed. The benefits of presenting the parenteral nutrition components </w:t>
      </w:r>
      <w:r w:rsidR="0070598C">
        <w:t>in triple chamber bags include:</w:t>
      </w:r>
    </w:p>
    <w:p w:rsidR="00F53B49" w:rsidRPr="00F53B49" w:rsidRDefault="00F53B49" w:rsidP="00041CD0">
      <w:pPr>
        <w:pStyle w:val="ListBullet"/>
      </w:pPr>
      <w:r w:rsidRPr="00F53B49">
        <w:t>increased physiochemical shelf-life, since the components are not mixed until just prior to use</w:t>
      </w:r>
      <w:r w:rsidR="00940FF7">
        <w:t>,</w:t>
      </w:r>
    </w:p>
    <w:p w:rsidR="00F53B49" w:rsidRPr="00F53B49" w:rsidRDefault="00F53B49" w:rsidP="00041CD0">
      <w:pPr>
        <w:pStyle w:val="ListBullet"/>
      </w:pPr>
      <w:r w:rsidRPr="00F53B49">
        <w:t>reduced risk of contam</w:t>
      </w:r>
      <w:r w:rsidR="0070598C">
        <w:t>ination during preparation, and</w:t>
      </w:r>
    </w:p>
    <w:p w:rsidR="00F53B49" w:rsidRPr="00F53B49" w:rsidRDefault="00940FF7" w:rsidP="00041CD0">
      <w:pPr>
        <w:pStyle w:val="ListBullet"/>
      </w:pPr>
      <w:proofErr w:type="gramStart"/>
      <w:r>
        <w:t>a</w:t>
      </w:r>
      <w:proofErr w:type="gramEnd"/>
      <w:r>
        <w:t xml:space="preserve"> </w:t>
      </w:r>
      <w:r w:rsidR="00F53B49" w:rsidRPr="00F53B49">
        <w:t xml:space="preserve">reduction in the number of steps required to prepare </w:t>
      </w:r>
      <w:r w:rsidR="0070598C">
        <w:t xml:space="preserve">a </w:t>
      </w:r>
      <w:proofErr w:type="spellStart"/>
      <w:r w:rsidR="0070598C">
        <w:t>parenteral</w:t>
      </w:r>
      <w:proofErr w:type="spellEnd"/>
      <w:r w:rsidR="0070598C">
        <w:t xml:space="preserve"> nutrition product.</w:t>
      </w:r>
    </w:p>
    <w:p w:rsidR="00F53B49" w:rsidRPr="00F53B49" w:rsidRDefault="00F53B49" w:rsidP="00F53B49">
      <w:r w:rsidRPr="00F53B49">
        <w:t xml:space="preserve">Similar </w:t>
      </w:r>
      <w:r w:rsidR="00A52994">
        <w:t xml:space="preserve">TPN </w:t>
      </w:r>
      <w:r w:rsidRPr="00F53B49">
        <w:t xml:space="preserve">products in triple-chamber bags currently registered in Australia include </w:t>
      </w:r>
      <w:proofErr w:type="spellStart"/>
      <w:r w:rsidRPr="00F53B49">
        <w:t>OliClinomel</w:t>
      </w:r>
      <w:proofErr w:type="spellEnd"/>
      <w:r w:rsidRPr="00F53B49">
        <w:t xml:space="preserve"> </w:t>
      </w:r>
      <w:r w:rsidR="0070598C">
        <w:t xml:space="preserve">and </w:t>
      </w:r>
      <w:proofErr w:type="spellStart"/>
      <w:r w:rsidR="0070598C">
        <w:t>Kabiven</w:t>
      </w:r>
      <w:proofErr w:type="spellEnd"/>
      <w:r w:rsidR="0070598C">
        <w:t>.</w:t>
      </w:r>
    </w:p>
    <w:p w:rsidR="00F53B49" w:rsidRPr="00F53B49" w:rsidRDefault="00041CD0" w:rsidP="00041CD0">
      <w:pPr>
        <w:pStyle w:val="Heading5"/>
      </w:pPr>
      <w:r>
        <w:t xml:space="preserve">Proposed </w:t>
      </w:r>
      <w:r w:rsidR="0070598C">
        <w:t>indication:</w:t>
      </w:r>
    </w:p>
    <w:p w:rsidR="00F53B49" w:rsidRPr="00041CD0" w:rsidRDefault="004B3262" w:rsidP="00041CD0">
      <w:pPr>
        <w:ind w:left="720"/>
        <w:rPr>
          <w:i/>
          <w:iCs/>
        </w:rPr>
      </w:pPr>
      <w:r>
        <w:rPr>
          <w:i/>
          <w:iCs/>
        </w:rPr>
        <w:t>Olimel</w:t>
      </w:r>
      <w:r w:rsidR="00F53B49" w:rsidRPr="00041CD0">
        <w:rPr>
          <w:i/>
          <w:iCs/>
        </w:rPr>
        <w:t>/Peri</w:t>
      </w:r>
      <w:r>
        <w:rPr>
          <w:i/>
          <w:iCs/>
        </w:rPr>
        <w:t>Olimel</w:t>
      </w:r>
      <w:r w:rsidR="00F53B49" w:rsidRPr="00041CD0">
        <w:rPr>
          <w:i/>
          <w:iCs/>
        </w:rPr>
        <w:t xml:space="preserve"> is indicated for parenteral nutrition for adults and children above 2 years of age when oral or enteral nutrition is impossible, i</w:t>
      </w:r>
      <w:r w:rsidR="0070598C">
        <w:rPr>
          <w:i/>
          <w:iCs/>
        </w:rPr>
        <w:t>nsufficient or contraindicated.</w:t>
      </w:r>
    </w:p>
    <w:p w:rsidR="00041CD0" w:rsidRPr="00041CD0" w:rsidRDefault="0032032E" w:rsidP="00041CD0">
      <w:bookmarkStart w:id="157" w:name="_Toc314842511"/>
      <w:r>
        <w:t>Details of t</w:t>
      </w:r>
      <w:r w:rsidR="00041CD0">
        <w:t xml:space="preserve">he </w:t>
      </w:r>
      <w:r>
        <w:t xml:space="preserve">proposed </w:t>
      </w:r>
      <w:r w:rsidR="00041CD0">
        <w:t>dosage and administration regimens and method of preparation, as proposed in the PI, are beyond the scope of the AusPAR.</w:t>
      </w:r>
    </w:p>
    <w:p w:rsidR="008E7846" w:rsidRDefault="008E7846" w:rsidP="008E7846">
      <w:pPr>
        <w:pStyle w:val="Heading3"/>
      </w:pPr>
      <w:bookmarkStart w:id="158" w:name="_Toc370724504"/>
      <w:r>
        <w:t>Quality</w:t>
      </w:r>
      <w:bookmarkEnd w:id="155"/>
      <w:bookmarkEnd w:id="157"/>
      <w:bookmarkEnd w:id="158"/>
    </w:p>
    <w:p w:rsidR="008A5E9B" w:rsidRPr="0070598C" w:rsidRDefault="008A5E9B" w:rsidP="0070598C">
      <w:pPr>
        <w:pStyle w:val="ListBullet"/>
      </w:pPr>
      <w:r w:rsidRPr="0070598C">
        <w:t>A shelf life of 24 months when stored below 25°C</w:t>
      </w:r>
      <w:r w:rsidR="0032032E" w:rsidRPr="0070598C">
        <w:t>,</w:t>
      </w:r>
      <w:r w:rsidRPr="0070598C">
        <w:t xml:space="preserve"> with the additional warnings “Do not freeze. Store in original container”</w:t>
      </w:r>
      <w:r w:rsidR="0032032E" w:rsidRPr="0070598C">
        <w:t>,</w:t>
      </w:r>
      <w:r w:rsidRPr="0070598C">
        <w:t xml:space="preserve"> has been assigned to the (intact) finished products.</w:t>
      </w:r>
    </w:p>
    <w:p w:rsidR="008A5E9B" w:rsidRPr="0070598C" w:rsidRDefault="008A5E9B" w:rsidP="0070598C">
      <w:pPr>
        <w:pStyle w:val="ListBullet"/>
      </w:pPr>
      <w:r w:rsidRPr="0070598C">
        <w:t>A (revised) generic P</w:t>
      </w:r>
      <w:r w:rsidR="00A52994" w:rsidRPr="0070598C">
        <w:t xml:space="preserve">I </w:t>
      </w:r>
      <w:r w:rsidRPr="0070598C">
        <w:t xml:space="preserve">document was provided. This is acceptable from the perspective of the </w:t>
      </w:r>
      <w:r w:rsidR="00A52994" w:rsidRPr="0070598C">
        <w:t>chemistry and quality evaluation section</w:t>
      </w:r>
      <w:r w:rsidR="0070598C" w:rsidRPr="0070598C">
        <w:t>.</w:t>
      </w:r>
    </w:p>
    <w:p w:rsidR="008A5E9B" w:rsidRPr="0070598C" w:rsidRDefault="008A5E9B" w:rsidP="0070598C">
      <w:pPr>
        <w:pStyle w:val="ListBullet"/>
      </w:pPr>
      <w:r w:rsidRPr="0070598C">
        <w:t>The revised bag and overwrap labels are acceptable.</w:t>
      </w:r>
    </w:p>
    <w:p w:rsidR="008A5E9B" w:rsidRPr="0070598C" w:rsidRDefault="008A5E9B" w:rsidP="0070598C">
      <w:pPr>
        <w:pStyle w:val="ListBullet"/>
      </w:pPr>
      <w:r w:rsidRPr="0070598C">
        <w:t xml:space="preserve">The </w:t>
      </w:r>
      <w:r w:rsidR="00D919B2" w:rsidRPr="0070598C">
        <w:t xml:space="preserve">provisional ARTG details </w:t>
      </w:r>
      <w:r w:rsidRPr="0070598C">
        <w:t xml:space="preserve">remain incomplete in respect of </w:t>
      </w:r>
      <w:r w:rsidR="00D919B2" w:rsidRPr="0070598C">
        <w:t xml:space="preserve">GMP requirements for some </w:t>
      </w:r>
      <w:r w:rsidRPr="0070598C">
        <w:t>manufacturers</w:t>
      </w:r>
      <w:r w:rsidR="0070598C" w:rsidRPr="0070598C">
        <w:t xml:space="preserve"> or sites.</w:t>
      </w:r>
    </w:p>
    <w:p w:rsidR="008A5E9B" w:rsidRPr="00D919B2" w:rsidRDefault="008A5E9B" w:rsidP="00D919B2">
      <w:pPr>
        <w:pStyle w:val="ListBullet"/>
      </w:pPr>
      <w:r w:rsidRPr="00D919B2">
        <w:lastRenderedPageBreak/>
        <w:t>Acceptable mock-ups of the release and expiry specifications have been submitted for the finished products, together with an assurance that the corresponding “formal” specifications will be identical in content.</w:t>
      </w:r>
    </w:p>
    <w:p w:rsidR="008A5E9B" w:rsidRPr="00482AC1" w:rsidRDefault="00482AC1" w:rsidP="00482AC1">
      <w:pPr>
        <w:pStyle w:val="Heading4"/>
      </w:pPr>
      <w:bookmarkStart w:id="159" w:name="_Toc96307549"/>
      <w:bookmarkStart w:id="160" w:name="_Toc85444217"/>
      <w:r>
        <w:t>Quality recommendation</w:t>
      </w:r>
    </w:p>
    <w:p w:rsidR="00E45619" w:rsidRPr="00482AC1" w:rsidRDefault="008A5E9B" w:rsidP="00482AC1">
      <w:r w:rsidRPr="00482AC1">
        <w:t xml:space="preserve">Subject to submission of current GMP clearance letters for </w:t>
      </w:r>
      <w:r w:rsidR="00D919B2">
        <w:t xml:space="preserve">specific </w:t>
      </w:r>
      <w:r w:rsidRPr="00482AC1">
        <w:t>manufacturer</w:t>
      </w:r>
      <w:r w:rsidR="00D919B2">
        <w:t>s</w:t>
      </w:r>
      <w:r w:rsidR="0032032E">
        <w:rPr>
          <w:rStyle w:val="FootnoteReference"/>
        </w:rPr>
        <w:footnoteReference w:id="9"/>
      </w:r>
      <w:r w:rsidRPr="00482AC1">
        <w:t>, there are no objections to registration from a quality perspective.</w:t>
      </w:r>
      <w:bookmarkEnd w:id="159"/>
      <w:bookmarkEnd w:id="160"/>
    </w:p>
    <w:p w:rsidR="008E7846" w:rsidRDefault="008E7846" w:rsidP="008E7846">
      <w:pPr>
        <w:pStyle w:val="Heading3"/>
      </w:pPr>
      <w:bookmarkStart w:id="161" w:name="_Toc314842512"/>
      <w:bookmarkStart w:id="162" w:name="_Toc370724505"/>
      <w:r>
        <w:t>Nonclinical</w:t>
      </w:r>
      <w:bookmarkEnd w:id="161"/>
      <w:bookmarkEnd w:id="162"/>
    </w:p>
    <w:p w:rsidR="008A5E9B" w:rsidRPr="00482AC1" w:rsidRDefault="00482AC1" w:rsidP="00E076D2">
      <w:pPr>
        <w:pStyle w:val="Heading4"/>
      </w:pPr>
      <w:r>
        <w:t xml:space="preserve">Nonclinical </w:t>
      </w:r>
      <w:r w:rsidRPr="00482AC1">
        <w:t>recommendation</w:t>
      </w:r>
    </w:p>
    <w:p w:rsidR="008A5E9B" w:rsidRPr="00482AC1" w:rsidRDefault="008A5E9B" w:rsidP="00482AC1">
      <w:r w:rsidRPr="00482AC1">
        <w:t>Provided electrolyte levels are monitored during clinical use, there are no nonclinical objections to the registration of Olimel/PeriOlimel. However, appropriate warnings may be necessary in the P</w:t>
      </w:r>
      <w:r w:rsidR="00D919B2">
        <w:t xml:space="preserve">I </w:t>
      </w:r>
      <w:r w:rsidRPr="00482AC1">
        <w:t>document to indicate the risks associated with the high calcium levels, in particular. This is refe</w:t>
      </w:r>
      <w:r w:rsidR="0070598C">
        <w:t>rred to the Clinical Evaluator.</w:t>
      </w:r>
    </w:p>
    <w:p w:rsidR="008E7846" w:rsidRDefault="008E7846" w:rsidP="008E7846">
      <w:pPr>
        <w:pStyle w:val="Heading3"/>
      </w:pPr>
      <w:bookmarkStart w:id="163" w:name="_Toc247691530"/>
      <w:bookmarkStart w:id="164" w:name="_Toc314842513"/>
      <w:bookmarkStart w:id="165" w:name="_Toc370724506"/>
      <w:r>
        <w:t>Clinical</w:t>
      </w:r>
      <w:bookmarkEnd w:id="163"/>
      <w:bookmarkEnd w:id="164"/>
      <w:bookmarkEnd w:id="165"/>
    </w:p>
    <w:p w:rsidR="008A5E9B" w:rsidRPr="00482AC1" w:rsidRDefault="000F33D5" w:rsidP="000F33D5">
      <w:pPr>
        <w:pStyle w:val="Heading4"/>
      </w:pPr>
      <w:r>
        <w:t xml:space="preserve">Overview of clinical </w:t>
      </w:r>
      <w:r w:rsidR="0070598C">
        <w:t>data</w:t>
      </w:r>
    </w:p>
    <w:p w:rsidR="000817EC" w:rsidRDefault="008A5E9B" w:rsidP="0070598C">
      <w:r w:rsidRPr="00482AC1">
        <w:t xml:space="preserve">On </w:t>
      </w:r>
      <w:r w:rsidR="00553EDD">
        <w:t xml:space="preserve">pharmacokinetics, </w:t>
      </w:r>
      <w:r w:rsidRPr="00482AC1">
        <w:t xml:space="preserve">the clinical evaluator stated that there were no formal studies conducted by the sponsor. On </w:t>
      </w:r>
      <w:r w:rsidR="00553EDD">
        <w:t xml:space="preserve">pharmacodynamics, </w:t>
      </w:r>
      <w:r w:rsidRPr="00482AC1">
        <w:t xml:space="preserve">the </w:t>
      </w:r>
      <w:r w:rsidR="00840F83" w:rsidRPr="00840F83">
        <w:t xml:space="preserve">clinical evaluator </w:t>
      </w:r>
      <w:r w:rsidRPr="00482AC1">
        <w:t>stated that the sponsor claimed that Clinisol represents an advance over Synthamin, the amino acid source in the marketed product OliClinomel, through the addition of g</w:t>
      </w:r>
      <w:r w:rsidR="0070598C">
        <w:t>lutamic acid and aspartic acid.</w:t>
      </w:r>
    </w:p>
    <w:p w:rsidR="008A5E9B" w:rsidRPr="00482AC1" w:rsidRDefault="008A5E9B" w:rsidP="0070598C">
      <w:r w:rsidRPr="00482AC1">
        <w:t>Glutamic acid is an important amino acid wh</w:t>
      </w:r>
      <w:r w:rsidR="00840F83">
        <w:t xml:space="preserve">ose </w:t>
      </w:r>
      <w:r w:rsidRPr="00482AC1">
        <w:t>supply may be limited during states of critical illness. Glutamic acid is an intermediate</w:t>
      </w:r>
      <w:r w:rsidR="004D16C4">
        <w:t xml:space="preserve"> for amino acid interconversions</w:t>
      </w:r>
      <w:r w:rsidRPr="00482AC1">
        <w:t>. It is a precursor for proline (required for wound h</w:t>
      </w:r>
      <w:r w:rsidR="004D16C4">
        <w:t xml:space="preserve">ealing), ornithine, glutamine, </w:t>
      </w:r>
      <w:r w:rsidRPr="00482AC1">
        <w:t>argini</w:t>
      </w:r>
      <w:r w:rsidR="004D16C4">
        <w:t>n</w:t>
      </w:r>
      <w:r w:rsidRPr="00482AC1">
        <w:t>e (required for synthesis of creatine, nitric oxide</w:t>
      </w:r>
      <w:r w:rsidR="004D16C4">
        <w:t>,</w:t>
      </w:r>
      <w:r w:rsidRPr="00482AC1">
        <w:t xml:space="preserve"> and many other functions), polyamines (cell growth factors) and neurotransmitters (</w:t>
      </w:r>
      <w:r w:rsidR="00D919B2">
        <w:t xml:space="preserve">such as </w:t>
      </w:r>
      <w:r w:rsidRPr="00482AC1">
        <w:t xml:space="preserve">gamma amino butyric acid). Aspartate is important for synthesis of urea, pyrimidines and neurotransmitters. It is also an important </w:t>
      </w:r>
      <w:proofErr w:type="spellStart"/>
      <w:r w:rsidRPr="00482AC1">
        <w:t>gluconeogenic</w:t>
      </w:r>
      <w:proofErr w:type="spellEnd"/>
      <w:r w:rsidRPr="00482AC1">
        <w:t xml:space="preserve"> precursor</w:t>
      </w:r>
      <w:r w:rsidR="0070598C">
        <w:t>.</w:t>
      </w:r>
    </w:p>
    <w:p w:rsidR="008A5E9B" w:rsidRPr="00482AC1" w:rsidRDefault="008A5E9B" w:rsidP="0070598C">
      <w:r w:rsidRPr="00482AC1">
        <w:t xml:space="preserve">The </w:t>
      </w:r>
      <w:r w:rsidR="00840F83" w:rsidRPr="00840F83">
        <w:t xml:space="preserve">clinical evaluator </w:t>
      </w:r>
      <w:r w:rsidRPr="00482AC1">
        <w:t>identified one pivotal efficacy stud</w:t>
      </w:r>
      <w:r w:rsidR="00D919B2">
        <w:t>y (</w:t>
      </w:r>
      <w:r w:rsidRPr="00482AC1">
        <w:t>ICS1063B/POI/03/Mu.F</w:t>
      </w:r>
      <w:r w:rsidR="00D919B2">
        <w:t>)</w:t>
      </w:r>
      <w:r w:rsidRPr="00482AC1">
        <w:t>. This is a mu</w:t>
      </w:r>
      <w:r w:rsidR="00D919B2">
        <w:t>lticenter, prospective, randomis</w:t>
      </w:r>
      <w:r w:rsidRPr="00482AC1">
        <w:t>ed, double-blind, pa</w:t>
      </w:r>
      <w:r w:rsidR="00D919B2">
        <w:t>rallel group study in hospitalis</w:t>
      </w:r>
      <w:r w:rsidRPr="00482AC1">
        <w:t xml:space="preserve">ed adults of the </w:t>
      </w:r>
      <w:r w:rsidR="00D919B2">
        <w:t>e</w:t>
      </w:r>
      <w:r w:rsidRPr="00482AC1">
        <w:t xml:space="preserve">fficacy and </w:t>
      </w:r>
      <w:r w:rsidR="00D919B2">
        <w:t>s</w:t>
      </w:r>
      <w:r w:rsidRPr="00482AC1">
        <w:t>afety of Olimel</w:t>
      </w:r>
      <w:r w:rsidR="004D16C4">
        <w:t xml:space="preserve"> N9-840 versus OliC</w:t>
      </w:r>
      <w:r w:rsidRPr="00482AC1">
        <w:t>linomel N8-800 in parenteral nutrition</w:t>
      </w:r>
      <w:r w:rsidR="00D919B2">
        <w:t>,</w:t>
      </w:r>
      <w:r w:rsidRPr="00482AC1">
        <w:t xml:space="preserve"> carried out over five days </w:t>
      </w:r>
      <w:r w:rsidR="00553EDD">
        <w:t xml:space="preserve">(D0 to D+4) </w:t>
      </w:r>
      <w:r w:rsidRPr="00482AC1">
        <w:t xml:space="preserve">involving centres in France and Germany and one centre in Spain </w:t>
      </w:r>
      <w:r w:rsidR="00D919B2">
        <w:t>(</w:t>
      </w:r>
      <w:r w:rsidRPr="00482AC1">
        <w:t>from 24/01/2005 to 20/12/2005</w:t>
      </w:r>
      <w:r w:rsidR="00D919B2">
        <w:t>)</w:t>
      </w:r>
      <w:r w:rsidR="0070598C">
        <w:t>.</w:t>
      </w:r>
    </w:p>
    <w:p w:rsidR="008A5E9B" w:rsidRPr="00482AC1" w:rsidRDefault="008A5E9B" w:rsidP="0070598C">
      <w:r w:rsidRPr="00482AC1">
        <w:t>Fifty six (56) hosp</w:t>
      </w:r>
      <w:r w:rsidR="00D919B2">
        <w:t>italised patients (age range 18</w:t>
      </w:r>
      <w:r w:rsidRPr="00482AC1">
        <w:t>–85 years) with any pathology requirin</w:t>
      </w:r>
      <w:r w:rsidR="0060525F">
        <w:t>g balanced parenteral nutrition</w:t>
      </w:r>
      <w:r w:rsidRPr="00482AC1">
        <w:t xml:space="preserve"> representing at least 50</w:t>
      </w:r>
      <w:r w:rsidR="00D919B2">
        <w:t>% of the daily non</w:t>
      </w:r>
      <w:r w:rsidRPr="00482AC1">
        <w:t xml:space="preserve">–protein energy requirements during five days were enrolled </w:t>
      </w:r>
      <w:r w:rsidR="0060525F">
        <w:t>(</w:t>
      </w:r>
      <w:r w:rsidR="004432B0">
        <w:t>n</w:t>
      </w:r>
      <w:r w:rsidRPr="00482AC1">
        <w:t xml:space="preserve">=28 for both </w:t>
      </w:r>
      <w:r w:rsidR="005E34DE">
        <w:t>Olimel</w:t>
      </w:r>
      <w:r w:rsidR="002C5893">
        <w:t xml:space="preserve"> and OliC</w:t>
      </w:r>
      <w:r w:rsidRPr="00482AC1">
        <w:t>linomel</w:t>
      </w:r>
      <w:r w:rsidR="0060525F">
        <w:t>)</w:t>
      </w:r>
      <w:r w:rsidRPr="00482AC1">
        <w:t>. For the I</w:t>
      </w:r>
      <w:r w:rsidR="00553EDD">
        <w:t>nten-to-Treat (I</w:t>
      </w:r>
      <w:r w:rsidRPr="00482AC1">
        <w:t>TT</w:t>
      </w:r>
      <w:r w:rsidR="00553EDD">
        <w:t>)</w:t>
      </w:r>
      <w:r w:rsidRPr="00482AC1">
        <w:t xml:space="preserve"> population, n=2</w:t>
      </w:r>
      <w:r w:rsidR="0060525F">
        <w:t>4 (mean age 56 ± 15.1, range 21</w:t>
      </w:r>
      <w:r w:rsidRPr="00482AC1">
        <w:t xml:space="preserve">–76 years) for </w:t>
      </w:r>
      <w:r w:rsidR="005E34DE">
        <w:t>Olimel</w:t>
      </w:r>
      <w:r w:rsidR="0060525F">
        <w:t>,</w:t>
      </w:r>
      <w:r w:rsidRPr="00482AC1">
        <w:t xml:space="preserve"> and n=26 (mean age 52 ± 2</w:t>
      </w:r>
      <w:r w:rsidR="00840F83">
        <w:t>1.1, range 18–84 years) for OliC</w:t>
      </w:r>
      <w:r w:rsidRPr="00482AC1">
        <w:t xml:space="preserve">linomel. For the </w:t>
      </w:r>
      <w:r w:rsidR="00553EDD">
        <w:t>per-protocol (</w:t>
      </w:r>
      <w:r w:rsidRPr="00482AC1">
        <w:t>PP</w:t>
      </w:r>
      <w:r w:rsidR="00553EDD">
        <w:t>)</w:t>
      </w:r>
      <w:r w:rsidRPr="00482AC1">
        <w:t xml:space="preserve"> populatio</w:t>
      </w:r>
      <w:r w:rsidR="0060525F">
        <w:t xml:space="preserve">n, n=24 for </w:t>
      </w:r>
      <w:r w:rsidR="005E34DE">
        <w:t>Olimel</w:t>
      </w:r>
      <w:r w:rsidR="0060525F">
        <w:t xml:space="preserve"> and n</w:t>
      </w:r>
      <w:r w:rsidRPr="00482AC1">
        <w:t>=23 for Oli</w:t>
      </w:r>
      <w:r w:rsidR="00840F83">
        <w:t>C</w:t>
      </w:r>
      <w:r w:rsidRPr="00482AC1">
        <w:t>linomel. Patients’ severity of illness status was similar in the two treatment groups at baselin</w:t>
      </w:r>
      <w:r w:rsidR="0070598C">
        <w:t>e.</w:t>
      </w:r>
    </w:p>
    <w:p w:rsidR="008A5E9B" w:rsidRPr="00482AC1" w:rsidRDefault="008A5E9B" w:rsidP="00482AC1">
      <w:r w:rsidRPr="00482AC1">
        <w:t xml:space="preserve">According to the </w:t>
      </w:r>
      <w:r w:rsidR="00840F83" w:rsidRPr="00840F83">
        <w:t>clinical evaluator</w:t>
      </w:r>
      <w:r w:rsidRPr="00482AC1">
        <w:t>, the propose</w:t>
      </w:r>
      <w:r w:rsidR="00840F83">
        <w:t>d combination product Olimel N9</w:t>
      </w:r>
      <w:r w:rsidR="00840F83">
        <w:noBreakHyphen/>
      </w:r>
      <w:r w:rsidRPr="00482AC1">
        <w:t xml:space="preserve">840 contains </w:t>
      </w:r>
      <w:r w:rsidR="0060525F">
        <w:t xml:space="preserve">the </w:t>
      </w:r>
      <w:r w:rsidRPr="00482AC1">
        <w:t>Australia</w:t>
      </w:r>
      <w:r w:rsidR="0060525F">
        <w:t>n</w:t>
      </w:r>
      <w:r w:rsidRPr="00482AC1">
        <w:t xml:space="preserve"> registered lipid component ClinOleic and </w:t>
      </w:r>
      <w:r w:rsidR="0060525F">
        <w:t xml:space="preserve">the </w:t>
      </w:r>
      <w:r w:rsidRPr="00482AC1">
        <w:t xml:space="preserve">overseas registered </w:t>
      </w:r>
      <w:proofErr w:type="gramStart"/>
      <w:r w:rsidRPr="00482AC1">
        <w:lastRenderedPageBreak/>
        <w:t>amino</w:t>
      </w:r>
      <w:proofErr w:type="gramEnd"/>
      <w:r w:rsidRPr="00482AC1">
        <w:t xml:space="preserve"> acid preparation Clinisol. The comparator combination product Oli</w:t>
      </w:r>
      <w:r w:rsidR="004432B0">
        <w:t>C</w:t>
      </w:r>
      <w:r w:rsidRPr="00482AC1">
        <w:t>linomel N8-800 is registered overseas but its lipid component is similar to ClinOleic and its amino acid preparation is similar to the Australia</w:t>
      </w:r>
      <w:r w:rsidR="0060525F">
        <w:t>n</w:t>
      </w:r>
      <w:r w:rsidRPr="00482AC1">
        <w:t xml:space="preserve"> registered Synthamin. Clinisol is </w:t>
      </w:r>
      <w:r w:rsidR="0060525F">
        <w:t xml:space="preserve">a </w:t>
      </w:r>
      <w:r w:rsidRPr="00482AC1">
        <w:t xml:space="preserve">15% amino </w:t>
      </w:r>
      <w:r w:rsidR="0060525F">
        <w:t xml:space="preserve">acid </w:t>
      </w:r>
      <w:r w:rsidRPr="00482AC1">
        <w:t xml:space="preserve">preparation while Synthamin is </w:t>
      </w:r>
      <w:r w:rsidR="0060525F">
        <w:t xml:space="preserve">a </w:t>
      </w:r>
      <w:r w:rsidR="0070598C">
        <w:t>10% amino acid preparation.</w:t>
      </w:r>
    </w:p>
    <w:p w:rsidR="00F85178" w:rsidRDefault="0060525F" w:rsidP="00F85178">
      <w:r w:rsidRPr="00F85178">
        <w:t xml:space="preserve">Regarding </w:t>
      </w:r>
      <w:r w:rsidR="008A5E9B" w:rsidRPr="00F85178">
        <w:t xml:space="preserve">treatment, </w:t>
      </w:r>
      <w:r w:rsidR="005E34DE">
        <w:t xml:space="preserve">the clinical study </w:t>
      </w:r>
      <w:r w:rsidR="00940FF7" w:rsidRPr="00940FF7">
        <w:t xml:space="preserve">report </w:t>
      </w:r>
      <w:r w:rsidR="00940FF7">
        <w:t xml:space="preserve">indicates that </w:t>
      </w:r>
      <w:r w:rsidR="00940FF7" w:rsidRPr="00940FF7">
        <w:t xml:space="preserve">the dose administered was dependant on patient oral intakes, metabolic and energy requirements and patient’s clinical condition. </w:t>
      </w:r>
      <w:proofErr w:type="spellStart"/>
      <w:r w:rsidR="00940FF7" w:rsidRPr="00940FF7">
        <w:t>Parenteral</w:t>
      </w:r>
      <w:proofErr w:type="spellEnd"/>
      <w:r w:rsidR="00940FF7" w:rsidRPr="00940FF7">
        <w:t xml:space="preserve"> nutrition was considered in some cases as a complementary PN to oral/</w:t>
      </w:r>
      <w:proofErr w:type="spellStart"/>
      <w:r w:rsidR="00940FF7" w:rsidRPr="00940FF7">
        <w:t>enteral</w:t>
      </w:r>
      <w:proofErr w:type="spellEnd"/>
      <w:r w:rsidR="00940FF7" w:rsidRPr="00940FF7">
        <w:t xml:space="preserve"> intake for a patient in which this was not contraindicated but for whi</w:t>
      </w:r>
      <w:r w:rsidR="0070598C">
        <w:t>ch intakes were not sufficient.</w:t>
      </w:r>
    </w:p>
    <w:p w:rsidR="008A5E9B" w:rsidRPr="00482AC1" w:rsidRDefault="008A5E9B" w:rsidP="00482AC1">
      <w:r w:rsidRPr="00482AC1">
        <w:t>From D0 to D+4, the patient received a balanced parenteral nutrition representing at least 50% of the daily needs. The energy calculation during those 5 days (D0 to D+4) was based on the medical expertise of the investigator. Patients also received additional glucose than that in the combined preparations</w:t>
      </w:r>
      <w:r w:rsidR="004432B0">
        <w:t>.</w:t>
      </w:r>
      <w:r w:rsidRPr="00482AC1">
        <w:t xml:space="preserve"> </w:t>
      </w:r>
      <w:r w:rsidR="004432B0">
        <w:t>T</w:t>
      </w:r>
      <w:r w:rsidR="0060525F">
        <w:t xml:space="preserve">his resulted </w:t>
      </w:r>
      <w:r w:rsidRPr="00482AC1">
        <w:t>in more</w:t>
      </w:r>
      <w:r w:rsidR="0060525F">
        <w:t xml:space="preserve"> lipids and less glucose intake,</w:t>
      </w:r>
      <w:r w:rsidRPr="00482AC1">
        <w:t xml:space="preserve"> resp</w:t>
      </w:r>
      <w:r w:rsidR="0060525F">
        <w:t>ectively, with also less complemen</w:t>
      </w:r>
      <w:r w:rsidRPr="00482AC1">
        <w:t>tary glucos</w:t>
      </w:r>
      <w:r w:rsidR="0070598C">
        <w:t>e administered besides the bag.</w:t>
      </w:r>
    </w:p>
    <w:p w:rsidR="008A5E9B" w:rsidRPr="00482AC1" w:rsidRDefault="008A5E9B" w:rsidP="00482AC1">
      <w:r w:rsidRPr="00482AC1">
        <w:t xml:space="preserve">The primary objective was to provide clinical information on </w:t>
      </w:r>
      <w:r w:rsidR="0060525F">
        <w:t xml:space="preserve">the </w:t>
      </w:r>
      <w:r w:rsidRPr="00482AC1">
        <w:t xml:space="preserve">safety of </w:t>
      </w:r>
      <w:r w:rsidR="005E34DE" w:rsidRPr="005E34DE">
        <w:t xml:space="preserve">Olimel N9-840 </w:t>
      </w:r>
      <w:r w:rsidRPr="00482AC1">
        <w:t xml:space="preserve">in a practical therapeutic use after 5 consecutive days of </w:t>
      </w:r>
      <w:proofErr w:type="spellStart"/>
      <w:r w:rsidR="00553EDD" w:rsidRPr="00553EDD">
        <w:t>parenteral</w:t>
      </w:r>
      <w:proofErr w:type="spellEnd"/>
      <w:r w:rsidR="00553EDD" w:rsidRPr="00553EDD">
        <w:t xml:space="preserve"> nutrition</w:t>
      </w:r>
      <w:r w:rsidR="0070598C">
        <w:t>.</w:t>
      </w:r>
    </w:p>
    <w:p w:rsidR="008A5E9B" w:rsidRPr="00482AC1" w:rsidRDefault="008A5E9B" w:rsidP="00482AC1">
      <w:r w:rsidRPr="00482AC1">
        <w:t>The secondary objective was to determine any difference</w:t>
      </w:r>
      <w:r w:rsidR="0060525F">
        <w:t>s</w:t>
      </w:r>
      <w:r w:rsidRPr="00482AC1">
        <w:t xml:space="preserve"> in clinical outcomes or laboratory tests that may be expected from the differences in product composition. The latter was measured</w:t>
      </w:r>
      <w:r w:rsidR="0060525F">
        <w:t xml:space="preserve"> by assessing transthyretin (g/L</w:t>
      </w:r>
      <w:r w:rsidRPr="00482AC1">
        <w:t xml:space="preserve">) evolution as </w:t>
      </w:r>
      <w:r w:rsidR="0060525F">
        <w:t xml:space="preserve">a </w:t>
      </w:r>
      <w:r w:rsidRPr="00482AC1">
        <w:t>nutritional efficacy parameter, at DO before first infusion and at D-</w:t>
      </w:r>
      <w:r w:rsidR="0070598C">
        <w:t>end after last infusion at D+5.</w:t>
      </w:r>
    </w:p>
    <w:p w:rsidR="008A5E9B" w:rsidRPr="00482AC1" w:rsidRDefault="008A5E9B" w:rsidP="00482AC1">
      <w:r w:rsidRPr="00482AC1">
        <w:t xml:space="preserve">Statistical analysis was based on both PP and ITT populations and employed a general linear model (GLM). The model included </w:t>
      </w:r>
      <w:r w:rsidR="0060525F">
        <w:t>‘t</w:t>
      </w:r>
      <w:r w:rsidRPr="00482AC1">
        <w:t>reatment effect</w:t>
      </w:r>
      <w:r w:rsidR="0060525F">
        <w:t>’</w:t>
      </w:r>
      <w:r w:rsidRPr="00482AC1">
        <w:t xml:space="preserve">. Baseline value was used as a covariate. </w:t>
      </w:r>
      <w:r w:rsidR="0060525F">
        <w:t>A two-sided approach with alpha</w:t>
      </w:r>
      <w:r w:rsidRPr="00482AC1">
        <w:t>=5% was used. No data transformatio</w:t>
      </w:r>
      <w:r w:rsidR="0060525F">
        <w:t xml:space="preserve">n (log) was retained to improve or </w:t>
      </w:r>
      <w:r w:rsidRPr="00482AC1">
        <w:t>increase power analysis and no imput</w:t>
      </w:r>
      <w:r w:rsidR="0070598C">
        <w:t>ation of missing data was done.</w:t>
      </w:r>
    </w:p>
    <w:p w:rsidR="008A5E9B" w:rsidRDefault="008A5E9B" w:rsidP="00482AC1">
      <w:r w:rsidRPr="00482AC1">
        <w:t>On the secondary objective of nutritional efficacy as per transthyretin (g/L) levels before and after treatment (infusion), the evaluated data recorded no difference between the two treatment groups</w:t>
      </w:r>
      <w:r w:rsidR="0060525F">
        <w:t xml:space="preserve"> (Table </w:t>
      </w:r>
      <w:r w:rsidR="00817026">
        <w:t>4</w:t>
      </w:r>
      <w:r w:rsidR="0060525F">
        <w:t>)</w:t>
      </w:r>
      <w:r w:rsidR="0070598C">
        <w:t>:</w:t>
      </w:r>
    </w:p>
    <w:p w:rsidR="0060525F" w:rsidRPr="00F85178" w:rsidRDefault="0060525F" w:rsidP="0070598C">
      <w:pPr>
        <w:pStyle w:val="TableTitle"/>
      </w:pPr>
      <w:proofErr w:type="gramStart"/>
      <w:r w:rsidRPr="00F85178">
        <w:t xml:space="preserve">Table </w:t>
      </w:r>
      <w:r w:rsidR="00817026">
        <w:t>4</w:t>
      </w:r>
      <w:r w:rsidRPr="00F85178">
        <w:t>.</w:t>
      </w:r>
      <w:proofErr w:type="gramEnd"/>
      <w:r w:rsidRPr="00F85178">
        <w:t xml:space="preserve"> </w:t>
      </w:r>
      <w:r w:rsidR="00F85178" w:rsidRPr="00F85178">
        <w:t>Transthyretin (g/L) evolution during treatment period</w:t>
      </w:r>
    </w:p>
    <w:p w:rsidR="008A5E9B" w:rsidRPr="008A5E9B" w:rsidRDefault="008A5E9B" w:rsidP="0070598C">
      <w:r w:rsidRPr="008A5E9B">
        <w:rPr>
          <w:noProof/>
          <w:lang w:eastAsia="en-AU"/>
        </w:rPr>
        <w:drawing>
          <wp:inline distT="0" distB="0" distL="0" distR="0">
            <wp:extent cx="5400040" cy="1085217"/>
            <wp:effectExtent l="19050" t="0" r="0" b="0"/>
            <wp:docPr id="1" name="Picture 15" descr="Table 4. Transthyretin (g/L) evolution during treatment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5400040" cy="1085217"/>
                    </a:xfrm>
                    <a:prstGeom prst="rect">
                      <a:avLst/>
                    </a:prstGeom>
                    <a:noFill/>
                    <a:ln w="9525">
                      <a:noFill/>
                      <a:miter lim="800000"/>
                      <a:headEnd/>
                      <a:tailEnd/>
                    </a:ln>
                  </pic:spPr>
                </pic:pic>
              </a:graphicData>
            </a:graphic>
          </wp:inline>
        </w:drawing>
      </w:r>
    </w:p>
    <w:p w:rsidR="008A5E9B" w:rsidRPr="00AA47D6" w:rsidRDefault="008A5E9B" w:rsidP="0070598C">
      <w:pPr>
        <w:pStyle w:val="TableDescription"/>
      </w:pPr>
      <w:proofErr w:type="gramStart"/>
      <w:r w:rsidRPr="00AA47D6">
        <w:rPr>
          <w:vertAlign w:val="superscript"/>
        </w:rPr>
        <w:t>a</w:t>
      </w:r>
      <w:proofErr w:type="gramEnd"/>
      <w:r w:rsidRPr="00AA47D6">
        <w:t xml:space="preserve"> Model: Two-sided, based on a GLM (General Linear Model) model including treatment main effect and baseline value as covariate for compari</w:t>
      </w:r>
      <w:r w:rsidR="0060525F" w:rsidRPr="00AA47D6">
        <w:t xml:space="preserve">ng </w:t>
      </w:r>
      <w:proofErr w:type="spellStart"/>
      <w:r w:rsidR="0060525F" w:rsidRPr="00AA47D6">
        <w:t>Oli</w:t>
      </w:r>
      <w:r w:rsidR="005E34DE" w:rsidRPr="00AA47D6">
        <w:t>mel</w:t>
      </w:r>
      <w:proofErr w:type="spellEnd"/>
      <w:r w:rsidR="005E34DE" w:rsidRPr="00AA47D6">
        <w:t xml:space="preserve"> </w:t>
      </w:r>
      <w:r w:rsidR="000623E1" w:rsidRPr="00AA47D6">
        <w:t xml:space="preserve">and </w:t>
      </w:r>
      <w:proofErr w:type="spellStart"/>
      <w:r w:rsidR="000623E1" w:rsidRPr="00AA47D6">
        <w:t>OliC</w:t>
      </w:r>
      <w:r w:rsidR="007E0D1A">
        <w:t>linomel</w:t>
      </w:r>
      <w:proofErr w:type="spellEnd"/>
      <w:r w:rsidR="007E0D1A">
        <w:t>.</w:t>
      </w:r>
    </w:p>
    <w:p w:rsidR="008A5E9B" w:rsidRPr="00482AC1" w:rsidRDefault="008A5E9B" w:rsidP="008A5E9B">
      <w:r w:rsidRPr="00482AC1">
        <w:t xml:space="preserve">Regarding safety and therefore the primary objective of the trial study, the </w:t>
      </w:r>
      <w:r w:rsidR="00D24164" w:rsidRPr="00D24164">
        <w:t xml:space="preserve">clinical evaluator </w:t>
      </w:r>
      <w:r w:rsidRPr="00482AC1">
        <w:t xml:space="preserve">stated that a total of 53 </w:t>
      </w:r>
      <w:r w:rsidR="005C2109">
        <w:t>adverse events (</w:t>
      </w:r>
      <w:r w:rsidRPr="00482AC1">
        <w:t>A</w:t>
      </w:r>
      <w:r w:rsidR="005E34DE">
        <w:t>Es</w:t>
      </w:r>
      <w:r w:rsidR="005C2109">
        <w:t>)</w:t>
      </w:r>
      <w:r w:rsidR="005E34DE">
        <w:t xml:space="preserve"> </w:t>
      </w:r>
      <w:r w:rsidRPr="00482AC1">
        <w:t>occurred under treatment</w:t>
      </w:r>
      <w:r w:rsidR="0060525F">
        <w:t>:</w:t>
      </w:r>
      <w:r w:rsidRPr="00482AC1">
        <w:t xml:space="preserve"> 29 in </w:t>
      </w:r>
      <w:r w:rsidR="0060525F">
        <w:t xml:space="preserve">the </w:t>
      </w:r>
      <w:r w:rsidR="005E34DE">
        <w:t xml:space="preserve">Olimel </w:t>
      </w:r>
      <w:r w:rsidRPr="00482AC1">
        <w:t>group v</w:t>
      </w:r>
      <w:r w:rsidR="00D24164">
        <w:t xml:space="preserve">ersus </w:t>
      </w:r>
      <w:r w:rsidRPr="00482AC1">
        <w:t xml:space="preserve">24 in </w:t>
      </w:r>
      <w:r w:rsidR="0060525F">
        <w:t xml:space="preserve">the </w:t>
      </w:r>
      <w:r w:rsidRPr="00482AC1">
        <w:t>Oli</w:t>
      </w:r>
      <w:r w:rsidR="00D24164">
        <w:t>C</w:t>
      </w:r>
      <w:r w:rsidRPr="00482AC1">
        <w:t xml:space="preserve">linomel group. Only 7 were estimated to be related to </w:t>
      </w:r>
      <w:r w:rsidR="005E34DE">
        <w:t>Olimel</w:t>
      </w:r>
      <w:r w:rsidRPr="00482AC1">
        <w:t xml:space="preserve"> and only 8 were estimated to be related to Oli</w:t>
      </w:r>
      <w:r w:rsidR="00D24164">
        <w:t>C</w:t>
      </w:r>
      <w:r w:rsidRPr="00482AC1">
        <w:t xml:space="preserve">linomel. There was one death on </w:t>
      </w:r>
      <w:r w:rsidR="005E34DE">
        <w:t>Olimel</w:t>
      </w:r>
      <w:r w:rsidRPr="00482AC1">
        <w:t xml:space="preserve"> (due to septic shock and not felt related to treatment), </w:t>
      </w:r>
      <w:r w:rsidR="000027C3">
        <w:t>one case of oesophagobronchical</w:t>
      </w:r>
      <w:r w:rsidRPr="00482AC1">
        <w:t xml:space="preserve"> fistula on </w:t>
      </w:r>
      <w:r w:rsidR="005E34DE">
        <w:t>Olimel</w:t>
      </w:r>
      <w:r w:rsidRPr="00482AC1">
        <w:t xml:space="preserve"> (thought unrelated), one case o</w:t>
      </w:r>
      <w:r w:rsidR="00D24164">
        <w:t>f acute pulmonary oedema on OliC</w:t>
      </w:r>
      <w:r w:rsidRPr="00482AC1">
        <w:t xml:space="preserve">linomel (thought unrelated) and one </w:t>
      </w:r>
      <w:r w:rsidR="00D24164">
        <w:t xml:space="preserve">case of hypersensitivity on </w:t>
      </w:r>
      <w:proofErr w:type="spellStart"/>
      <w:r w:rsidR="00D24164">
        <w:t>OliC</w:t>
      </w:r>
      <w:r w:rsidRPr="00482AC1">
        <w:t>linomel</w:t>
      </w:r>
      <w:proofErr w:type="spellEnd"/>
      <w:r w:rsidRPr="00482AC1">
        <w:t xml:space="preserve"> (thought </w:t>
      </w:r>
      <w:r w:rsidR="007E0D1A">
        <w:t>related).</w:t>
      </w:r>
    </w:p>
    <w:p w:rsidR="008A5E9B" w:rsidRPr="00482AC1" w:rsidRDefault="008A5E9B" w:rsidP="00482AC1">
      <w:r w:rsidRPr="00482AC1">
        <w:t xml:space="preserve">The </w:t>
      </w:r>
      <w:r w:rsidR="000027C3">
        <w:t>D</w:t>
      </w:r>
      <w:r w:rsidRPr="00482AC1">
        <w:t xml:space="preserve">elegate believes that establishing the safety and the overall </w:t>
      </w:r>
      <w:r w:rsidR="000027C3" w:rsidRPr="00482AC1">
        <w:t xml:space="preserve">parenteral </w:t>
      </w:r>
      <w:r w:rsidRPr="00482AC1">
        <w:t>nutritional value of the proposed combination product is of better clinical relevance than that of the individual components</w:t>
      </w:r>
      <w:r w:rsidR="000027C3">
        <w:t xml:space="preserve"> or </w:t>
      </w:r>
      <w:r w:rsidRPr="00482AC1">
        <w:t xml:space="preserve">ingredients. In any event, the </w:t>
      </w:r>
      <w:r w:rsidR="00D24164" w:rsidRPr="00D24164">
        <w:t xml:space="preserve">clinical evaluator </w:t>
      </w:r>
      <w:r w:rsidRPr="00482AC1">
        <w:t xml:space="preserve">only identified </w:t>
      </w:r>
      <w:r w:rsidRPr="00482AC1">
        <w:lastRenderedPageBreak/>
        <w:t>one literature report (B</w:t>
      </w:r>
      <w:r w:rsidR="0096180A">
        <w:t>r</w:t>
      </w:r>
      <w:r w:rsidRPr="00482AC1">
        <w:t xml:space="preserve">oyles JE </w:t>
      </w:r>
      <w:r w:rsidRPr="000027C3">
        <w:rPr>
          <w:i/>
          <w:iCs/>
        </w:rPr>
        <w:t>et al</w:t>
      </w:r>
      <w:r w:rsidRPr="00482AC1">
        <w:t>, 1989</w:t>
      </w:r>
      <w:r w:rsidR="00D24164">
        <w:rPr>
          <w:rStyle w:val="FootnoteReference"/>
        </w:rPr>
        <w:footnoteReference w:id="10"/>
      </w:r>
      <w:r w:rsidRPr="00482AC1">
        <w:t xml:space="preserve">) on the use of a 15% amino acids solution (similar to Clinisol) compared to a 10% amino acids solution. The </w:t>
      </w:r>
      <w:r w:rsidR="00D24164" w:rsidRPr="00D24164">
        <w:t xml:space="preserve">clinical evaluator </w:t>
      </w:r>
      <w:r w:rsidRPr="00482AC1">
        <w:t xml:space="preserve">stated that the components of the 15% amino acids solution could not be determined from the report and were sought elsewhere. The </w:t>
      </w:r>
      <w:r w:rsidR="00D24164" w:rsidRPr="00D24164">
        <w:t xml:space="preserve">clinical evaluator </w:t>
      </w:r>
      <w:r w:rsidRPr="00482AC1">
        <w:t>mentioned that the two ot</w:t>
      </w:r>
      <w:r w:rsidR="00D24164">
        <w:t>her components (ClinOleic and g</w:t>
      </w:r>
      <w:r w:rsidRPr="00482AC1">
        <w:t>lucose) are Australia</w:t>
      </w:r>
      <w:r w:rsidR="000027C3">
        <w:t>n</w:t>
      </w:r>
      <w:r w:rsidR="007E0D1A">
        <w:t xml:space="preserve"> registered.</w:t>
      </w:r>
    </w:p>
    <w:p w:rsidR="008A5E9B" w:rsidRPr="00482AC1" w:rsidRDefault="00D24164" w:rsidP="00482AC1">
      <w:r>
        <w:t>On the issue of post-</w:t>
      </w:r>
      <w:r w:rsidR="008A5E9B" w:rsidRPr="00482AC1">
        <w:t>marketing experience, the PS</w:t>
      </w:r>
      <w:r>
        <w:t>U</w:t>
      </w:r>
      <w:r w:rsidR="008A5E9B" w:rsidRPr="00482AC1">
        <w:t>R from 01 Feb 2009 to 31 July 2009 led to the creation of a ne</w:t>
      </w:r>
      <w:r w:rsidR="000027C3">
        <w:t>w Reference Safety Information (RSI)</w:t>
      </w:r>
      <w:r w:rsidR="008A5E9B" w:rsidRPr="000027C3">
        <w:t>. The PSURs from 01 August 2009 to 31 January 2011</w:t>
      </w:r>
      <w:r w:rsidR="008A5E9B" w:rsidRPr="00482AC1">
        <w:t xml:space="preserve"> appeared to have not properly documented the ca</w:t>
      </w:r>
      <w:r w:rsidR="000027C3">
        <w:t xml:space="preserve">usal </w:t>
      </w:r>
      <w:r w:rsidR="008A5E9B" w:rsidRPr="00482AC1">
        <w:t xml:space="preserve">relationship to the listed </w:t>
      </w:r>
      <w:r>
        <w:t>AEs</w:t>
      </w:r>
      <w:r w:rsidR="008A5E9B" w:rsidRPr="00482AC1">
        <w:t>, including deaths. Although t</w:t>
      </w:r>
      <w:r w:rsidR="005C2109">
        <w:t>here were no changes to the CCDS</w:t>
      </w:r>
      <w:r w:rsidR="008A5E9B" w:rsidRPr="00482AC1">
        <w:t xml:space="preserve"> following the 01 February 2011 to 31 January 2012 PSUR, tabulations of individual cases </w:t>
      </w:r>
      <w:r w:rsidR="000027C3">
        <w:t xml:space="preserve">by </w:t>
      </w:r>
      <w:r w:rsidR="005C2109">
        <w:t>system organ class (</w:t>
      </w:r>
      <w:r w:rsidR="008A5E9B" w:rsidRPr="00482AC1">
        <w:t>SOC</w:t>
      </w:r>
      <w:r w:rsidR="005C2109">
        <w:t>)</w:t>
      </w:r>
      <w:r w:rsidR="008A5E9B" w:rsidRPr="00482AC1">
        <w:t xml:space="preserve"> </w:t>
      </w:r>
      <w:r w:rsidR="000027C3">
        <w:t xml:space="preserve">and </w:t>
      </w:r>
      <w:r w:rsidR="007E0D1A">
        <w:t>by seriousness were provided.</w:t>
      </w:r>
    </w:p>
    <w:p w:rsidR="008A5E9B" w:rsidRPr="00482AC1" w:rsidRDefault="008A5E9B" w:rsidP="00482AC1">
      <w:r w:rsidRPr="00482AC1">
        <w:t xml:space="preserve">Further details on the safety of Olimel and PeriOlimel for the proposed indication </w:t>
      </w:r>
      <w:r w:rsidR="00D24164">
        <w:t xml:space="preserve">are provided </w:t>
      </w:r>
      <w:r w:rsidR="000027C3">
        <w:t xml:space="preserve">in </w:t>
      </w:r>
      <w:r w:rsidRPr="00482AC1">
        <w:t xml:space="preserve">the clinical evaluation report </w:t>
      </w:r>
      <w:r w:rsidR="00D24164">
        <w:t xml:space="preserve">(see </w:t>
      </w:r>
      <w:proofErr w:type="spellStart"/>
      <w:r w:rsidR="00D24164">
        <w:t>AusPAR</w:t>
      </w:r>
      <w:proofErr w:type="spellEnd"/>
      <w:r w:rsidR="00D24164">
        <w:t xml:space="preserve"> Attachment 2)</w:t>
      </w:r>
      <w:r w:rsidRPr="00482AC1">
        <w:t>.</w:t>
      </w:r>
    </w:p>
    <w:p w:rsidR="00F85178" w:rsidRPr="00F85178" w:rsidRDefault="00F85178" w:rsidP="00F85178">
      <w:pPr>
        <w:pStyle w:val="Heading4"/>
      </w:pPr>
      <w:r>
        <w:t>C</w:t>
      </w:r>
      <w:r w:rsidRPr="00F85178">
        <w:t>linical recommendation</w:t>
      </w:r>
    </w:p>
    <w:p w:rsidR="00D24164" w:rsidRDefault="00D24164" w:rsidP="00D24164">
      <w:r>
        <w:t xml:space="preserve">The </w:t>
      </w:r>
      <w:r w:rsidRPr="00D24164">
        <w:t xml:space="preserve">clinical evaluator </w:t>
      </w:r>
      <w:r w:rsidR="005C2109">
        <w:t>recommended the following</w:t>
      </w:r>
      <w:r>
        <w:t>:</w:t>
      </w:r>
    </w:p>
    <w:p w:rsidR="00D24164" w:rsidRPr="00D24164" w:rsidRDefault="00D24164" w:rsidP="00D24164">
      <w:r w:rsidRPr="00D24164">
        <w:t xml:space="preserve">It is </w:t>
      </w:r>
      <w:r w:rsidRPr="00D24164">
        <w:rPr>
          <w:b/>
          <w:bCs/>
        </w:rPr>
        <w:t>not</w:t>
      </w:r>
      <w:r w:rsidRPr="00D24164">
        <w:t xml:space="preserve"> recommended that approval be given for the registration of Peri</w:t>
      </w:r>
      <w:r w:rsidR="004B3262">
        <w:t>Olimel</w:t>
      </w:r>
      <w:r w:rsidRPr="00D24164">
        <w:t xml:space="preserve"> N4600E, </w:t>
      </w:r>
      <w:r w:rsidR="004B3262">
        <w:t>Olimel</w:t>
      </w:r>
      <w:r w:rsidRPr="00D24164">
        <w:t xml:space="preserve"> N5-860E, </w:t>
      </w:r>
      <w:r w:rsidR="004B3262">
        <w:t>Olimel</w:t>
      </w:r>
      <w:r w:rsidRPr="00D24164">
        <w:t xml:space="preserve"> N7-960, </w:t>
      </w:r>
      <w:r w:rsidR="004B3262">
        <w:t>Olimel</w:t>
      </w:r>
      <w:r w:rsidRPr="00D24164">
        <w:t xml:space="preserve"> N7-960E, </w:t>
      </w:r>
      <w:r w:rsidR="004B3262">
        <w:t>Olimel</w:t>
      </w:r>
      <w:r w:rsidRPr="00D24164">
        <w:t xml:space="preserve"> N9-840 or </w:t>
      </w:r>
      <w:proofErr w:type="spellStart"/>
      <w:r w:rsidR="004B3262">
        <w:t>Olimel</w:t>
      </w:r>
      <w:proofErr w:type="spellEnd"/>
      <w:r w:rsidR="00F77119">
        <w:t xml:space="preserve"> N9-840E.</w:t>
      </w:r>
    </w:p>
    <w:p w:rsidR="00D24164" w:rsidRPr="00D24164" w:rsidRDefault="00D24164" w:rsidP="00D24164">
      <w:r>
        <w:t>Should the D</w:t>
      </w:r>
      <w:r w:rsidRPr="00D24164">
        <w:t>elegate decide to approve registration of these products the clinical aspects of the draft P</w:t>
      </w:r>
      <w:r>
        <w:t>I</w:t>
      </w:r>
      <w:r w:rsidRPr="00D24164">
        <w:t xml:space="preserve"> are not entirely satisfactory and should be </w:t>
      </w:r>
      <w:proofErr w:type="gramStart"/>
      <w:r w:rsidRPr="00D24164">
        <w:t>revised.</w:t>
      </w:r>
      <w:proofErr w:type="gramEnd"/>
      <w:r w:rsidR="006367AA" w:rsidRPr="00D24164">
        <w:rPr>
          <w:vertAlign w:val="superscript"/>
        </w:rPr>
        <w:footnoteReference w:id="11"/>
      </w:r>
    </w:p>
    <w:p w:rsidR="008A5E9B" w:rsidRPr="00D24164" w:rsidRDefault="008A5E9B" w:rsidP="00D24164">
      <w:pPr>
        <w:rPr>
          <w:b/>
          <w:bCs/>
          <w:i/>
          <w:iCs/>
        </w:rPr>
      </w:pPr>
      <w:r w:rsidRPr="00D24164">
        <w:rPr>
          <w:b/>
          <w:bCs/>
          <w:i/>
          <w:iCs/>
        </w:rPr>
        <w:t>I</w:t>
      </w:r>
      <w:r w:rsidR="00D24164" w:rsidRPr="00D24164">
        <w:rPr>
          <w:b/>
          <w:bCs/>
          <w:i/>
          <w:iCs/>
        </w:rPr>
        <w:t>ndications:</w:t>
      </w:r>
    </w:p>
    <w:p w:rsidR="008A5E9B" w:rsidRPr="00D24164" w:rsidRDefault="008A5E9B" w:rsidP="00D24164">
      <w:r w:rsidRPr="00D24164">
        <w:t>The sponsor proposes to insert:</w:t>
      </w:r>
    </w:p>
    <w:p w:rsidR="008A5E9B" w:rsidRPr="00D24164" w:rsidRDefault="004B3262" w:rsidP="00D24164">
      <w:pPr>
        <w:ind w:left="720"/>
        <w:rPr>
          <w:i/>
          <w:iCs/>
        </w:rPr>
      </w:pPr>
      <w:r>
        <w:rPr>
          <w:i/>
          <w:iCs/>
        </w:rPr>
        <w:t>Olimel</w:t>
      </w:r>
      <w:r w:rsidR="008A5E9B" w:rsidRPr="00D24164">
        <w:rPr>
          <w:i/>
          <w:iCs/>
        </w:rPr>
        <w:t>/Peri</w:t>
      </w:r>
      <w:r>
        <w:rPr>
          <w:i/>
          <w:iCs/>
        </w:rPr>
        <w:t>Olimel</w:t>
      </w:r>
      <w:r w:rsidR="008A5E9B" w:rsidRPr="00D24164">
        <w:rPr>
          <w:i/>
          <w:iCs/>
        </w:rPr>
        <w:t xml:space="preserve"> is indicated for parenteral nutrition for adults and children above 2 years of age when oral or enteral nutrition is impossible, insufficient or contraindicated.</w:t>
      </w:r>
    </w:p>
    <w:p w:rsidR="00D24164" w:rsidRDefault="008A5E9B" w:rsidP="00D24164">
      <w:r w:rsidRPr="00D24164">
        <w:t>The proposed PI itself states</w:t>
      </w:r>
      <w:r w:rsidR="00D24164">
        <w:t>:</w:t>
      </w:r>
      <w:r w:rsidRPr="00D24164">
        <w:t xml:space="preserve"> There have been no studies performed in the paediatric population.</w:t>
      </w:r>
      <w:r w:rsidR="00D24164">
        <w:t xml:space="preserve"> </w:t>
      </w:r>
      <w:r w:rsidRPr="00D24164">
        <w:t xml:space="preserve">Further the CCDS only gives </w:t>
      </w:r>
      <w:r w:rsidRPr="005C2109">
        <w:rPr>
          <w:i/>
          <w:iCs/>
        </w:rPr>
        <w:t>Indication</w:t>
      </w:r>
      <w:r w:rsidR="005C2109">
        <w:rPr>
          <w:i/>
          <w:iCs/>
        </w:rPr>
        <w:t>s</w:t>
      </w:r>
      <w:r w:rsidRPr="00D24164">
        <w:t xml:space="preserve"> for adults.</w:t>
      </w:r>
    </w:p>
    <w:p w:rsidR="008A5E9B" w:rsidRPr="00D24164" w:rsidRDefault="00D24164" w:rsidP="00D24164">
      <w:r w:rsidRPr="00D24164">
        <w:t>It is recommended that should the preparations be approved it only be for adults.</w:t>
      </w:r>
    </w:p>
    <w:p w:rsidR="008E7846" w:rsidRDefault="00386150" w:rsidP="008E7846">
      <w:pPr>
        <w:pStyle w:val="Heading3"/>
        <w:rPr>
          <w:lang w:eastAsia="en-AU"/>
        </w:rPr>
      </w:pPr>
      <w:bookmarkStart w:id="166" w:name="_Toc314842514"/>
      <w:bookmarkStart w:id="167" w:name="_Toc370724507"/>
      <w:r>
        <w:rPr>
          <w:lang w:eastAsia="en-AU"/>
        </w:rPr>
        <w:t>Risk m</w:t>
      </w:r>
      <w:r w:rsidR="008E7846">
        <w:rPr>
          <w:lang w:eastAsia="en-AU"/>
        </w:rPr>
        <w:t xml:space="preserve">anagement </w:t>
      </w:r>
      <w:r>
        <w:rPr>
          <w:lang w:eastAsia="en-AU"/>
        </w:rPr>
        <w:t>p</w:t>
      </w:r>
      <w:r w:rsidR="008E7846">
        <w:rPr>
          <w:lang w:eastAsia="en-AU"/>
        </w:rPr>
        <w:t>lan</w:t>
      </w:r>
      <w:bookmarkEnd w:id="166"/>
      <w:bookmarkEnd w:id="167"/>
    </w:p>
    <w:p w:rsidR="008E7846" w:rsidRDefault="00AD6A07" w:rsidP="008E7846">
      <w:r w:rsidRPr="00AD6A07">
        <w:t>TGA has granted this application a waiver from the need to submit a RMP</w:t>
      </w:r>
      <w:r>
        <w:t>.</w:t>
      </w:r>
    </w:p>
    <w:p w:rsidR="008E7846" w:rsidRDefault="00AA0ED0" w:rsidP="008E7846">
      <w:pPr>
        <w:pStyle w:val="Heading3"/>
      </w:pPr>
      <w:bookmarkStart w:id="168" w:name="_Toc247691531"/>
      <w:bookmarkStart w:id="169" w:name="_Toc314842515"/>
      <w:bookmarkStart w:id="170" w:name="_Toc196046505"/>
      <w:bookmarkStart w:id="171" w:name="_Toc196046949"/>
      <w:bookmarkStart w:id="172" w:name="_Toc370724508"/>
      <w:r>
        <w:t>Risk-benefit a</w:t>
      </w:r>
      <w:r w:rsidR="008E7846">
        <w:t>nalysis</w:t>
      </w:r>
      <w:bookmarkEnd w:id="168"/>
      <w:bookmarkEnd w:id="169"/>
      <w:bookmarkEnd w:id="172"/>
    </w:p>
    <w:p w:rsidR="008E7846" w:rsidRDefault="008E7846" w:rsidP="008E7846">
      <w:pPr>
        <w:pStyle w:val="Heading4"/>
      </w:pPr>
      <w:r>
        <w:t xml:space="preserve">Delegate </w:t>
      </w:r>
      <w:r w:rsidR="00ED3CAD">
        <w:t>c</w:t>
      </w:r>
      <w:r>
        <w:t>onsiderations</w:t>
      </w:r>
    </w:p>
    <w:p w:rsidR="008A5E9B" w:rsidRPr="00404067" w:rsidRDefault="008A5E9B" w:rsidP="00404067">
      <w:r w:rsidRPr="00404067">
        <w:t xml:space="preserve">The </w:t>
      </w:r>
      <w:r w:rsidR="00EB13D2" w:rsidRPr="00EB13D2">
        <w:t xml:space="preserve">clinical evaluator </w:t>
      </w:r>
      <w:r w:rsidRPr="00404067">
        <w:t>is not supportive of the application based essentially on the use of Clinisol (a 15% amino acid</w:t>
      </w:r>
      <w:r w:rsidR="000027C3">
        <w:t xml:space="preserve"> preparation</w:t>
      </w:r>
      <w:r w:rsidRPr="00404067">
        <w:t>)</w:t>
      </w:r>
      <w:r w:rsidR="000027C3">
        <w:t xml:space="preserve"> </w:t>
      </w:r>
      <w:r w:rsidRPr="00404067">
        <w:t xml:space="preserve">unregistered in Australia but registered overseas (USA) in the </w:t>
      </w:r>
      <w:r w:rsidR="000027C3">
        <w:t xml:space="preserve">proposed </w:t>
      </w:r>
      <w:r w:rsidRPr="00404067">
        <w:t>Olimel</w:t>
      </w:r>
      <w:r w:rsidR="002C22DF">
        <w:t>/PerOlimel</w:t>
      </w:r>
      <w:r w:rsidRPr="00404067">
        <w:t xml:space="preserve"> formulation</w:t>
      </w:r>
      <w:r w:rsidR="002C22DF">
        <w:t>s</w:t>
      </w:r>
      <w:r w:rsidRPr="00404067">
        <w:t xml:space="preserve">. </w:t>
      </w:r>
      <w:r w:rsidR="005E34DE">
        <w:t xml:space="preserve">The Olimel </w:t>
      </w:r>
      <w:r w:rsidRPr="00404067">
        <w:t xml:space="preserve">preparation as a whole is registered in Europe and Canada. The </w:t>
      </w:r>
      <w:r w:rsidR="002C22DF" w:rsidRPr="002C22DF">
        <w:t xml:space="preserve">clinical evaluator </w:t>
      </w:r>
      <w:r w:rsidRPr="00404067">
        <w:t xml:space="preserve">is concerned about </w:t>
      </w:r>
      <w:r w:rsidR="005E34DE">
        <w:t>the risk benefits of Olimel</w:t>
      </w:r>
      <w:r w:rsidRPr="00404067">
        <w:t xml:space="preserve"> as it contains the unregistered </w:t>
      </w:r>
      <w:r w:rsidR="002C22DF">
        <w:t xml:space="preserve">(in Australia) </w:t>
      </w:r>
      <w:r w:rsidRPr="00404067">
        <w:t xml:space="preserve">15% amino acid Clinisol. However, the head-to-head clinical trial comparison between </w:t>
      </w:r>
      <w:r w:rsidR="005E34DE">
        <w:t>Olimel and OliC</w:t>
      </w:r>
      <w:r w:rsidRPr="00404067">
        <w:t xml:space="preserve">linomel did not appear to uncover significant </w:t>
      </w:r>
      <w:r w:rsidR="002C22DF">
        <w:t xml:space="preserve">AEs </w:t>
      </w:r>
      <w:r w:rsidRPr="00404067">
        <w:t xml:space="preserve">specifically related to </w:t>
      </w:r>
      <w:r w:rsidR="005E34DE">
        <w:t>Olimel</w:t>
      </w:r>
      <w:r w:rsidR="000F33D5">
        <w:t xml:space="preserve"> </w:t>
      </w:r>
      <w:r w:rsidR="000F33D5" w:rsidRPr="002C22DF">
        <w:rPr>
          <w:i/>
          <w:iCs/>
        </w:rPr>
        <w:t>per se</w:t>
      </w:r>
      <w:r w:rsidR="000F33D5">
        <w:t xml:space="preserve">. Also, the last </w:t>
      </w:r>
      <w:r w:rsidR="000F33D5">
        <w:lastRenderedPageBreak/>
        <w:t xml:space="preserve">PSUR </w:t>
      </w:r>
      <w:r w:rsidRPr="00404067">
        <w:t xml:space="preserve">data on </w:t>
      </w:r>
      <w:r w:rsidR="005E34DE">
        <w:t>Olimel</w:t>
      </w:r>
      <w:r w:rsidRPr="00404067">
        <w:t xml:space="preserve"> did not list any serious </w:t>
      </w:r>
      <w:r w:rsidR="002C22DF">
        <w:t xml:space="preserve">AE </w:t>
      </w:r>
      <w:r w:rsidRPr="00404067">
        <w:t xml:space="preserve">sufficient enough to initiate changes in the CCDS. Moreover, the transthyretin levels before and after treatment with </w:t>
      </w:r>
      <w:r w:rsidR="005E34DE">
        <w:t>Olimel</w:t>
      </w:r>
      <w:r w:rsidR="000623E1">
        <w:t xml:space="preserve"> and OliC</w:t>
      </w:r>
      <w:r w:rsidRPr="00404067">
        <w:t>linomel revealed no difference between the two treatment groups</w:t>
      </w:r>
      <w:r w:rsidR="002C22DF">
        <w:t>,</w:t>
      </w:r>
      <w:r w:rsidRPr="00404067">
        <w:t xml:space="preserve"> probably indicating equal nutritional efficacy status. In any event, the </w:t>
      </w:r>
      <w:r w:rsidR="002C22DF">
        <w:t xml:space="preserve">Australian Drug Evaluation Committee (ADEC, the predecessor to the </w:t>
      </w:r>
      <w:r w:rsidRPr="00404067">
        <w:t>ACPM) in its previous deliberations over other parenteral products (</w:t>
      </w:r>
      <w:r w:rsidR="002C22DF">
        <w:t xml:space="preserve">such as </w:t>
      </w:r>
      <w:r w:rsidRPr="00404067">
        <w:t>Oli</w:t>
      </w:r>
      <w:r w:rsidR="002C22DF">
        <w:t>Clinomel) acknowledged “</w:t>
      </w:r>
      <w:r w:rsidRPr="00404067">
        <w:t xml:space="preserve">the quandary that the regulators (such as TGA) found themselves (regarding safety and efficacy of parenteral products) in and suggested first, that TGA, with other regulatory agencies, work towards a more appropriate solution for such products”. In that regard, the TGA has adopted the EU </w:t>
      </w:r>
      <w:r w:rsidRPr="002C22DF">
        <w:rPr>
          <w:i/>
          <w:iCs/>
        </w:rPr>
        <w:t>Guideline on Clinical Development of Fixed Combination Medicinal Products</w:t>
      </w:r>
      <w:r w:rsidRPr="00404067">
        <w:t xml:space="preserve"> (CPMP/EWP/240/95). </w:t>
      </w:r>
      <w:r w:rsidR="002C22DF">
        <w:t>The application to register OliC</w:t>
      </w:r>
      <w:r w:rsidRPr="00404067">
        <w:t>linomel in Australia ran into some difficulties because of the above adopted EU Guideline. However, the ADEC commented that “The efficacy and safety requirements then imposed for registration of a fixed combination product are very difficult to meet and actually are not appropriate for parenteral nutrition”. The sponsor claimed that the registration of Olimel/PeriOlimel in Europe was not based on the TGA adopted EU guideline but on the French Health Product Safety Agency (AFSSAPS) Gui</w:t>
      </w:r>
      <w:r w:rsidR="00F77119">
        <w:t xml:space="preserve">deline on </w:t>
      </w:r>
      <w:proofErr w:type="spellStart"/>
      <w:r w:rsidR="00F77119">
        <w:t>Parenteral</w:t>
      </w:r>
      <w:proofErr w:type="spellEnd"/>
      <w:r w:rsidR="00F77119">
        <w:t xml:space="preserve"> Nutrition.</w:t>
      </w:r>
    </w:p>
    <w:p w:rsidR="002C22DF" w:rsidRDefault="008A5E9B" w:rsidP="002C22DF">
      <w:r w:rsidRPr="00404067">
        <w:t xml:space="preserve">Apart from </w:t>
      </w:r>
      <w:r w:rsidR="00A90E54">
        <w:t xml:space="preserve">in </w:t>
      </w:r>
      <w:r w:rsidRPr="00404067">
        <w:t xml:space="preserve">Europe, Olimel/PeriOlimel is also approved in Canada (29 June 2010). As rightly pointed out by the </w:t>
      </w:r>
      <w:r w:rsidR="002C22DF" w:rsidRPr="002C22DF">
        <w:t>clinical evaluator</w:t>
      </w:r>
      <w:r w:rsidRPr="00404067">
        <w:t>, the submission did not include relevant paediatric data</w:t>
      </w:r>
      <w:r w:rsidR="002C22DF">
        <w:t xml:space="preserve">, that is, </w:t>
      </w:r>
      <w:r w:rsidRPr="00404067">
        <w:t>the studies were outside the proposed age limit. In this regard, it is noteworthy that the registration of the product in Canada was limited to adults on the basis that there have been no studies performe</w:t>
      </w:r>
      <w:r w:rsidR="00F77119">
        <w:t>d in the paediatric population.</w:t>
      </w:r>
    </w:p>
    <w:p w:rsidR="002C22DF" w:rsidRPr="00404067" w:rsidRDefault="002C22DF" w:rsidP="002C22DF">
      <w:r>
        <w:t xml:space="preserve">The chemistry and quality evaluator </w:t>
      </w:r>
      <w:r w:rsidRPr="00404067">
        <w:t>stated that subject to submission of current GMP clearance letters for several of the manufacturers, there are no objections to registrat</w:t>
      </w:r>
      <w:r w:rsidR="00F77119">
        <w:t>ion from a quality perspective.</w:t>
      </w:r>
    </w:p>
    <w:p w:rsidR="008A5E9B" w:rsidRPr="00404067" w:rsidRDefault="002C22DF" w:rsidP="002C22DF">
      <w:r w:rsidRPr="00404067">
        <w:t>The toxicological evaluator stated that provided electrolyte levels are monitored during clinical use, there are no nonclinical objections to the registration of Olimel/PeriOlimel. However, appropriate warnings may be necessary in the P</w:t>
      </w:r>
      <w:r>
        <w:t xml:space="preserve">I </w:t>
      </w:r>
      <w:r w:rsidRPr="00404067">
        <w:t>document to indicate the risks associated with the high c</w:t>
      </w:r>
      <w:r w:rsidR="00F77119">
        <w:t>alcium levels, in particular.</w:t>
      </w:r>
    </w:p>
    <w:p w:rsidR="008A5E9B" w:rsidRPr="00404067" w:rsidRDefault="008A5E9B" w:rsidP="002C22DF">
      <w:pPr>
        <w:pStyle w:val="Heading4"/>
      </w:pPr>
      <w:r w:rsidRPr="00404067">
        <w:t>P</w:t>
      </w:r>
      <w:r w:rsidR="002C22DF">
        <w:t xml:space="preserve">roposed </w:t>
      </w:r>
      <w:r w:rsidR="005525D2">
        <w:t>action</w:t>
      </w:r>
    </w:p>
    <w:p w:rsidR="000F33D5" w:rsidRDefault="008A5E9B" w:rsidP="002C22DF">
      <w:r w:rsidRPr="00404067">
        <w:t>Considering that</w:t>
      </w:r>
      <w:r w:rsidR="002C22DF">
        <w:t xml:space="preserve">: </w:t>
      </w:r>
      <w:r w:rsidRPr="00404067">
        <w:t xml:space="preserve">(i) hospitals handle large number of doses of these parenteral nutrition products in some areas, (ii) some of those being treated may be </w:t>
      </w:r>
      <w:r w:rsidR="00940FF7" w:rsidRPr="00404067">
        <w:t xml:space="preserve">sufficiently </w:t>
      </w:r>
      <w:proofErr w:type="spellStart"/>
      <w:r w:rsidRPr="00404067">
        <w:t>cachetic</w:t>
      </w:r>
      <w:proofErr w:type="spellEnd"/>
      <w:r w:rsidRPr="00404067">
        <w:t xml:space="preserve"> to require 15% amino acids solution and (iii) Olimel/PeriOlimel is approved throughout Europe </w:t>
      </w:r>
      <w:r w:rsidRPr="002C22DF">
        <w:rPr>
          <w:i/>
          <w:iCs/>
        </w:rPr>
        <w:t>via</w:t>
      </w:r>
      <w:r w:rsidRPr="00404067">
        <w:t xml:space="preserve"> a </w:t>
      </w:r>
      <w:r w:rsidR="002C22DF">
        <w:t xml:space="preserve">mutual recognition procedure </w:t>
      </w:r>
      <w:r w:rsidRPr="00404067">
        <w:t xml:space="preserve">and in Canada, </w:t>
      </w:r>
      <w:r w:rsidR="002C22DF">
        <w:t xml:space="preserve">the Delegate </w:t>
      </w:r>
      <w:r w:rsidRPr="00404067">
        <w:t>propose</w:t>
      </w:r>
      <w:r w:rsidR="002C22DF">
        <w:t>d</w:t>
      </w:r>
      <w:r w:rsidRPr="00404067">
        <w:t xml:space="preserve"> to approval </w:t>
      </w:r>
      <w:r w:rsidR="002C22DF">
        <w:t xml:space="preserve">the application </w:t>
      </w:r>
      <w:r w:rsidRPr="00404067">
        <w:t>with a reduction in the proposed population</w:t>
      </w:r>
      <w:r w:rsidR="005525D2">
        <w:t>, that is:</w:t>
      </w:r>
    </w:p>
    <w:p w:rsidR="000F33D5" w:rsidRPr="002C22DF" w:rsidRDefault="008A5E9B" w:rsidP="002C22DF">
      <w:pPr>
        <w:ind w:left="720"/>
        <w:rPr>
          <w:i/>
          <w:iCs/>
        </w:rPr>
      </w:pPr>
      <w:r w:rsidRPr="002C22DF">
        <w:rPr>
          <w:i/>
          <w:iCs/>
        </w:rPr>
        <w:t xml:space="preserve">Olimel/PeriOlimel is indicated for parenteral nutrition for adults when oral or enteral nutrition is impossible, </w:t>
      </w:r>
      <w:r w:rsidR="002C22DF" w:rsidRPr="002C22DF">
        <w:rPr>
          <w:i/>
          <w:iCs/>
        </w:rPr>
        <w:t>insufficient or contraindicated</w:t>
      </w:r>
      <w:r w:rsidRPr="002C22DF">
        <w:rPr>
          <w:i/>
          <w:iCs/>
        </w:rPr>
        <w:t xml:space="preserve">. </w:t>
      </w:r>
    </w:p>
    <w:p w:rsidR="008A5E9B" w:rsidRPr="00404067" w:rsidRDefault="002C22DF" w:rsidP="00404067">
      <w:r>
        <w:t xml:space="preserve">Approval would be </w:t>
      </w:r>
      <w:r w:rsidR="000F33D5">
        <w:t xml:space="preserve">subject to </w:t>
      </w:r>
      <w:r w:rsidR="00AB65C8" w:rsidRPr="00AB65C8">
        <w:t xml:space="preserve">ACPM deliberations </w:t>
      </w:r>
      <w:r w:rsidR="00AB65C8">
        <w:t xml:space="preserve">and to </w:t>
      </w:r>
      <w:r w:rsidR="000F33D5">
        <w:t xml:space="preserve">the finalisation of issues relating to </w:t>
      </w:r>
      <w:r>
        <w:t xml:space="preserve">GMP and </w:t>
      </w:r>
      <w:r w:rsidR="000F33D5">
        <w:t>the PI</w:t>
      </w:r>
      <w:r w:rsidR="00AB65C8">
        <w:t xml:space="preserve"> </w:t>
      </w:r>
      <w:r w:rsidR="008A5E9B" w:rsidRPr="00404067">
        <w:t>t</w:t>
      </w:r>
      <w:r w:rsidR="005525D2">
        <w:t>o the satisfaction of the TGA.</w:t>
      </w:r>
    </w:p>
    <w:p w:rsidR="00AB65C8" w:rsidRPr="00AB65C8" w:rsidRDefault="00AB65C8" w:rsidP="00AB65C8">
      <w:pPr>
        <w:pStyle w:val="Heading4"/>
      </w:pPr>
      <w:r w:rsidRPr="00AB65C8">
        <w:t>Request for ACPM advice</w:t>
      </w:r>
    </w:p>
    <w:p w:rsidR="008A5E9B" w:rsidRPr="00AB65C8" w:rsidRDefault="00AB65C8" w:rsidP="00AB65C8">
      <w:r w:rsidRPr="00AB65C8">
        <w:t>The Delegate proposed to seek general advice on this application from the ACPM</w:t>
      </w:r>
      <w:r w:rsidR="005525D2">
        <w:t>.</w:t>
      </w:r>
    </w:p>
    <w:p w:rsidR="008E7846" w:rsidRDefault="008E7846" w:rsidP="008E7846">
      <w:pPr>
        <w:pStyle w:val="Heading4"/>
      </w:pPr>
      <w:r>
        <w:t xml:space="preserve">Response from </w:t>
      </w:r>
      <w:r w:rsidR="005525D2">
        <w:t>sp</w:t>
      </w:r>
      <w:r>
        <w:t>onsor</w:t>
      </w:r>
    </w:p>
    <w:p w:rsidR="00482AC1" w:rsidRDefault="00482AC1" w:rsidP="00482AC1">
      <w:r w:rsidRPr="00482AC1">
        <w:t>Baxter accepts the Delegate's recommendatio</w:t>
      </w:r>
      <w:r>
        <w:t xml:space="preserve">n to approve </w:t>
      </w:r>
      <w:proofErr w:type="spellStart"/>
      <w:r w:rsidR="004B3262">
        <w:t>Olimel</w:t>
      </w:r>
      <w:proofErr w:type="spellEnd"/>
      <w:r>
        <w:t>/</w:t>
      </w:r>
      <w:proofErr w:type="spellStart"/>
      <w:r>
        <w:t>Peri</w:t>
      </w:r>
      <w:r w:rsidR="004B3262">
        <w:t>Olimel</w:t>
      </w:r>
      <w:proofErr w:type="spellEnd"/>
    </w:p>
    <w:p w:rsidR="00482AC1" w:rsidRPr="00482AC1" w:rsidRDefault="00482AC1" w:rsidP="00482AC1">
      <w:pPr>
        <w:ind w:left="720"/>
        <w:rPr>
          <w:i/>
          <w:iCs/>
        </w:rPr>
      </w:pPr>
      <w:proofErr w:type="gramStart"/>
      <w:r w:rsidRPr="00482AC1">
        <w:rPr>
          <w:i/>
          <w:iCs/>
        </w:rPr>
        <w:t>for</w:t>
      </w:r>
      <w:proofErr w:type="gramEnd"/>
      <w:r w:rsidRPr="00482AC1">
        <w:rPr>
          <w:i/>
          <w:iCs/>
        </w:rPr>
        <w:t xml:space="preserve"> parenteral nutrition for adults when oral or enteral nutrition is impossible, insufficient or contraindicated</w:t>
      </w:r>
    </w:p>
    <w:p w:rsidR="00482AC1" w:rsidRPr="00482AC1" w:rsidRDefault="00482AC1" w:rsidP="00482AC1">
      <w:r w:rsidRPr="00482AC1">
        <w:lastRenderedPageBreak/>
        <w:t>However, the proposed i</w:t>
      </w:r>
      <w:r w:rsidR="000F33D5">
        <w:t>ndication for this application wa</w:t>
      </w:r>
      <w:r w:rsidRPr="00482AC1">
        <w:t>s:</w:t>
      </w:r>
    </w:p>
    <w:p w:rsidR="00482AC1" w:rsidRPr="00482AC1" w:rsidRDefault="004B3262" w:rsidP="00482AC1">
      <w:pPr>
        <w:ind w:left="720"/>
        <w:rPr>
          <w:i/>
          <w:iCs/>
        </w:rPr>
      </w:pPr>
      <w:r>
        <w:rPr>
          <w:i/>
          <w:iCs/>
        </w:rPr>
        <w:t>Olimel</w:t>
      </w:r>
      <w:r w:rsidR="00482AC1" w:rsidRPr="00482AC1">
        <w:rPr>
          <w:i/>
          <w:iCs/>
        </w:rPr>
        <w:t>/Peri</w:t>
      </w:r>
      <w:r>
        <w:rPr>
          <w:i/>
          <w:iCs/>
        </w:rPr>
        <w:t>Olimel</w:t>
      </w:r>
      <w:r w:rsidR="00482AC1" w:rsidRPr="00482AC1">
        <w:rPr>
          <w:i/>
          <w:iCs/>
        </w:rPr>
        <w:t xml:space="preserve"> is indicated for parenteral nutrition for adults and children above 2 years of age when oral or enteral nutrition is impossible, insufficient or contraindicated.</w:t>
      </w:r>
    </w:p>
    <w:p w:rsidR="00482AC1" w:rsidRPr="00482AC1" w:rsidRDefault="00482AC1" w:rsidP="00482AC1">
      <w:r w:rsidRPr="00482AC1">
        <w:t>The Delegate has proposed to restrict the proposed population to adults</w:t>
      </w:r>
      <w:r w:rsidR="00A90E54">
        <w:t>,</w:t>
      </w:r>
      <w:r w:rsidRPr="00482AC1">
        <w:t xml:space="preserve"> excluding the use of </w:t>
      </w:r>
      <w:r w:rsidR="004B3262">
        <w:t>Olimel</w:t>
      </w:r>
      <w:r w:rsidRPr="00482AC1">
        <w:t>/Peri</w:t>
      </w:r>
      <w:r w:rsidR="004B3262">
        <w:t>Olimel</w:t>
      </w:r>
      <w:r w:rsidRPr="00482AC1">
        <w:t xml:space="preserve"> in children &gt;2 years of age. Baxter believes that </w:t>
      </w:r>
      <w:r w:rsidR="004B3262">
        <w:t>Olimel</w:t>
      </w:r>
      <w:r w:rsidRPr="00482AC1">
        <w:t>/Peri</w:t>
      </w:r>
      <w:r w:rsidR="004B3262">
        <w:t>Olimel</w:t>
      </w:r>
      <w:r w:rsidRPr="00482AC1">
        <w:t xml:space="preserve"> should also be approved for use in children &gt;2 years of age:</w:t>
      </w:r>
    </w:p>
    <w:p w:rsidR="00482AC1" w:rsidRPr="00482AC1" w:rsidRDefault="00482AC1" w:rsidP="00071FAA">
      <w:pPr>
        <w:pStyle w:val="Numberbullet0"/>
        <w:numPr>
          <w:ilvl w:val="0"/>
          <w:numId w:val="39"/>
        </w:numPr>
      </w:pPr>
      <w:r w:rsidRPr="00482AC1">
        <w:t xml:space="preserve">The nutritional requirements for children &gt;2 years are similar to those for adults. There is a clinical need for this age group for a ready-to-use parenteral nutrition (PN) product containing amino acids, lipids and glucose with/without electrolytes. </w:t>
      </w:r>
      <w:r w:rsidR="004B3262">
        <w:t>Olimel</w:t>
      </w:r>
      <w:r w:rsidRPr="00482AC1">
        <w:t>/Peri</w:t>
      </w:r>
      <w:r w:rsidR="004B3262">
        <w:t>Olimel</w:t>
      </w:r>
      <w:r w:rsidRPr="00482AC1">
        <w:t xml:space="preserve"> contains these key PN components and is suitably formulated for use in children &gt; 2 years (and adults).</w:t>
      </w:r>
    </w:p>
    <w:p w:rsidR="00482AC1" w:rsidRPr="00482AC1" w:rsidRDefault="00482AC1" w:rsidP="00071FAA">
      <w:pPr>
        <w:pStyle w:val="Numberbullet0"/>
        <w:numPr>
          <w:ilvl w:val="0"/>
          <w:numId w:val="0"/>
        </w:numPr>
        <w:ind w:left="425"/>
      </w:pPr>
      <w:r w:rsidRPr="00482AC1">
        <w:t xml:space="preserve">The regulatory authorities in the EU and New Zealand have determined that </w:t>
      </w:r>
      <w:r w:rsidR="004B3262">
        <w:t>Olimel</w:t>
      </w:r>
      <w:r w:rsidRPr="00482AC1">
        <w:t>/Peri</w:t>
      </w:r>
      <w:r w:rsidR="004B3262">
        <w:t>Olimel</w:t>
      </w:r>
      <w:r w:rsidRPr="00482AC1">
        <w:t xml:space="preserve"> are suitable for use in children and approved its use in children &gt; 2 years (as well as for adults).</w:t>
      </w:r>
    </w:p>
    <w:p w:rsidR="00A433B7" w:rsidRDefault="00482AC1" w:rsidP="00071FAA">
      <w:pPr>
        <w:pStyle w:val="Numberbullet0"/>
      </w:pPr>
      <w:r w:rsidRPr="00482AC1">
        <w:t xml:space="preserve">Similar to </w:t>
      </w:r>
      <w:r w:rsidR="004B3262">
        <w:t>Olimel</w:t>
      </w:r>
      <w:r w:rsidRPr="00482AC1">
        <w:t>/Peri</w:t>
      </w:r>
      <w:r w:rsidR="004B3262">
        <w:t>Olimel</w:t>
      </w:r>
      <w:r w:rsidRPr="00482AC1">
        <w:t xml:space="preserve">, OliClinomel is also a triple-chamber parenteral nutrition product which was registered in Australia on 4 September 2007. OliClinomel has the same qualitative composition as </w:t>
      </w:r>
      <w:r w:rsidR="004B3262">
        <w:t>Olimel</w:t>
      </w:r>
      <w:r w:rsidRPr="00482AC1">
        <w:t>/Peri</w:t>
      </w:r>
      <w:r w:rsidR="004B3262">
        <w:t>Olimel</w:t>
      </w:r>
      <w:r w:rsidRPr="00482AC1">
        <w:t xml:space="preserve">, minus the 2 additional amino acids: aspartic acid and glutamic acid (present in </w:t>
      </w:r>
      <w:proofErr w:type="spellStart"/>
      <w:r w:rsidR="004B3262">
        <w:t>Olimel</w:t>
      </w:r>
      <w:proofErr w:type="spellEnd"/>
      <w:r w:rsidRPr="00482AC1">
        <w:t>/</w:t>
      </w:r>
      <w:proofErr w:type="spellStart"/>
      <w:r w:rsidRPr="00482AC1">
        <w:t>Peri</w:t>
      </w:r>
      <w:r w:rsidR="004B3262">
        <w:t>Olimel</w:t>
      </w:r>
      <w:proofErr w:type="spellEnd"/>
      <w:r w:rsidR="00612919">
        <w:t>):</w:t>
      </w:r>
    </w:p>
    <w:p w:rsidR="00056F4A" w:rsidRDefault="00482AC1">
      <w:pPr>
        <w:pStyle w:val="Numberbullet0"/>
        <w:numPr>
          <w:ilvl w:val="0"/>
          <w:numId w:val="0"/>
        </w:numPr>
        <w:ind w:left="425"/>
      </w:pPr>
      <w:proofErr w:type="spellStart"/>
      <w:r w:rsidRPr="00482AC1">
        <w:t>OliClinomel</w:t>
      </w:r>
      <w:proofErr w:type="spellEnd"/>
      <w:r w:rsidRPr="00482AC1">
        <w:t xml:space="preserve"> is approved in &gt;50 countries worldwide. The approved indication for OliClinomel in Australia, New Zealand and the EU includes children &gt;2 years. In fact, the approved indications for OliClinomel and </w:t>
      </w:r>
      <w:r w:rsidR="004B3262">
        <w:t>Olimel</w:t>
      </w:r>
      <w:r w:rsidRPr="00482AC1">
        <w:t xml:space="preserve"> /Peri</w:t>
      </w:r>
      <w:r w:rsidR="004B3262">
        <w:t>Olimel</w:t>
      </w:r>
      <w:r w:rsidRPr="00482AC1">
        <w:t xml:space="preserve"> are the same in the </w:t>
      </w:r>
      <w:r w:rsidR="008D6E08">
        <w:t>EU and New Zealand</w:t>
      </w:r>
      <w:r w:rsidR="00A90E54">
        <w:t>;</w:t>
      </w:r>
      <w:r w:rsidR="008D6E08">
        <w:t xml:space="preserve"> see Table </w:t>
      </w:r>
      <w:r w:rsidR="00817026">
        <w:t>5</w:t>
      </w:r>
      <w:r w:rsidRPr="00482AC1">
        <w:t>.</w:t>
      </w:r>
    </w:p>
    <w:p w:rsidR="00482AC1" w:rsidRPr="00482AC1" w:rsidRDefault="008D6E08" w:rsidP="00612919">
      <w:pPr>
        <w:pStyle w:val="TableTitle"/>
      </w:pPr>
      <w:proofErr w:type="gramStart"/>
      <w:r>
        <w:t xml:space="preserve">Table </w:t>
      </w:r>
      <w:r w:rsidR="00817026">
        <w:t>5</w:t>
      </w:r>
      <w:r w:rsidR="002E3D74">
        <w:t>.</w:t>
      </w:r>
      <w:proofErr w:type="gramEnd"/>
      <w:r w:rsidR="00482AC1" w:rsidRPr="00482AC1">
        <w:t xml:space="preserve"> Approved indications for OliClinomel and </w:t>
      </w:r>
      <w:r w:rsidR="004B3262">
        <w:t>Olimel</w:t>
      </w:r>
      <w:r w:rsidR="00482AC1" w:rsidRPr="00482AC1">
        <w:t>/Peri</w:t>
      </w:r>
      <w:r w:rsidR="004B3262">
        <w:t>Olimel</w:t>
      </w:r>
      <w:r w:rsidR="00482AC1" w:rsidRPr="00482AC1">
        <w:t xml:space="preserve"> in the EU and New Zealand</w:t>
      </w:r>
    </w:p>
    <w:tbl>
      <w:tblPr>
        <w:tblStyle w:val="TableTGAblue"/>
        <w:tblW w:w="0" w:type="auto"/>
        <w:tblInd w:w="250" w:type="dxa"/>
        <w:tblLook w:val="04A0"/>
      </w:tblPr>
      <w:tblGrid>
        <w:gridCol w:w="2126"/>
        <w:gridCol w:w="2977"/>
        <w:gridCol w:w="3367"/>
      </w:tblGrid>
      <w:tr w:rsidR="001176E3" w:rsidRPr="008D6E08" w:rsidTr="002E3D74">
        <w:trPr>
          <w:cnfStyle w:val="100000000000"/>
          <w:tblHeader/>
        </w:trPr>
        <w:tc>
          <w:tcPr>
            <w:tcW w:w="2126" w:type="dxa"/>
          </w:tcPr>
          <w:p w:rsidR="001176E3" w:rsidRPr="008D6E08" w:rsidRDefault="001176E3" w:rsidP="008D6E08">
            <w:pPr>
              <w:spacing w:before="0" w:after="0"/>
              <w:rPr>
                <w:sz w:val="20"/>
                <w:szCs w:val="20"/>
              </w:rPr>
            </w:pPr>
            <w:r>
              <w:rPr>
                <w:sz w:val="20"/>
                <w:szCs w:val="20"/>
              </w:rPr>
              <w:t>Country/</w:t>
            </w:r>
            <w:r w:rsidRPr="008D6E08">
              <w:rPr>
                <w:sz w:val="20"/>
                <w:szCs w:val="20"/>
              </w:rPr>
              <w:t>region</w:t>
            </w:r>
          </w:p>
          <w:p w:rsidR="001176E3" w:rsidRPr="008D6E08" w:rsidRDefault="001176E3" w:rsidP="008D6E08">
            <w:pPr>
              <w:spacing w:before="0" w:after="0"/>
              <w:rPr>
                <w:sz w:val="20"/>
                <w:szCs w:val="20"/>
              </w:rPr>
            </w:pPr>
          </w:p>
        </w:tc>
        <w:tc>
          <w:tcPr>
            <w:tcW w:w="6344" w:type="dxa"/>
            <w:gridSpan w:val="2"/>
          </w:tcPr>
          <w:p w:rsidR="001176E3" w:rsidRPr="008D6E08" w:rsidRDefault="001176E3" w:rsidP="001176E3">
            <w:pPr>
              <w:spacing w:before="0" w:after="0"/>
              <w:jc w:val="center"/>
              <w:rPr>
                <w:sz w:val="20"/>
                <w:szCs w:val="20"/>
              </w:rPr>
            </w:pPr>
            <w:r w:rsidRPr="008D6E08">
              <w:rPr>
                <w:sz w:val="20"/>
                <w:szCs w:val="20"/>
              </w:rPr>
              <w:t>Approved Indications</w:t>
            </w:r>
          </w:p>
          <w:p w:rsidR="001176E3" w:rsidRPr="008D6E08" w:rsidRDefault="001176E3" w:rsidP="008D6E08">
            <w:pPr>
              <w:spacing w:before="0" w:after="0"/>
              <w:rPr>
                <w:sz w:val="20"/>
                <w:szCs w:val="20"/>
              </w:rPr>
            </w:pPr>
          </w:p>
        </w:tc>
      </w:tr>
      <w:tr w:rsidR="008D6E08" w:rsidRPr="008D6E08" w:rsidTr="002E3D74">
        <w:trPr>
          <w:cnfStyle w:val="100000000000"/>
          <w:tblHeader/>
        </w:trPr>
        <w:tc>
          <w:tcPr>
            <w:tcW w:w="2126" w:type="dxa"/>
          </w:tcPr>
          <w:p w:rsidR="008D6E08" w:rsidRPr="008D6E08" w:rsidRDefault="008D6E08" w:rsidP="008D6E08">
            <w:pPr>
              <w:spacing w:before="0" w:after="0"/>
              <w:rPr>
                <w:sz w:val="20"/>
                <w:szCs w:val="20"/>
              </w:rPr>
            </w:pPr>
          </w:p>
        </w:tc>
        <w:tc>
          <w:tcPr>
            <w:tcW w:w="2977" w:type="dxa"/>
          </w:tcPr>
          <w:p w:rsidR="008D6E08" w:rsidRPr="008D6E08" w:rsidRDefault="008D6E08" w:rsidP="008D6E08">
            <w:pPr>
              <w:spacing w:before="0" w:after="0"/>
              <w:rPr>
                <w:sz w:val="20"/>
                <w:szCs w:val="20"/>
              </w:rPr>
            </w:pPr>
            <w:r w:rsidRPr="008D6E08">
              <w:rPr>
                <w:sz w:val="20"/>
                <w:szCs w:val="20"/>
              </w:rPr>
              <w:t>OliClinomel</w:t>
            </w:r>
          </w:p>
        </w:tc>
        <w:tc>
          <w:tcPr>
            <w:tcW w:w="3367" w:type="dxa"/>
          </w:tcPr>
          <w:p w:rsidR="008D6E08" w:rsidRPr="008D6E08" w:rsidRDefault="004B3262" w:rsidP="008D6E08">
            <w:pPr>
              <w:spacing w:before="0" w:after="0"/>
              <w:rPr>
                <w:sz w:val="20"/>
                <w:szCs w:val="20"/>
              </w:rPr>
            </w:pPr>
            <w:r>
              <w:rPr>
                <w:sz w:val="20"/>
                <w:szCs w:val="20"/>
              </w:rPr>
              <w:t>Olimel</w:t>
            </w:r>
            <w:r w:rsidR="008D6E08" w:rsidRPr="008D6E08">
              <w:rPr>
                <w:sz w:val="20"/>
                <w:szCs w:val="20"/>
              </w:rPr>
              <w:t>/Peri</w:t>
            </w:r>
            <w:r>
              <w:rPr>
                <w:sz w:val="20"/>
                <w:szCs w:val="20"/>
              </w:rPr>
              <w:t>Olimel</w:t>
            </w:r>
            <w:r w:rsidR="008D6E08" w:rsidRPr="008D6E08">
              <w:rPr>
                <w:sz w:val="20"/>
                <w:szCs w:val="20"/>
              </w:rPr>
              <w:t xml:space="preserve"> /TRIOMEL*</w:t>
            </w:r>
          </w:p>
        </w:tc>
      </w:tr>
      <w:tr w:rsidR="008D6E08" w:rsidRPr="008D6E08" w:rsidTr="002E3D74">
        <w:tc>
          <w:tcPr>
            <w:tcW w:w="2126" w:type="dxa"/>
          </w:tcPr>
          <w:p w:rsidR="008D6E08" w:rsidRPr="008D6E08" w:rsidRDefault="008D6E08" w:rsidP="00612919">
            <w:pPr>
              <w:spacing w:before="0" w:after="0"/>
              <w:rPr>
                <w:sz w:val="20"/>
                <w:szCs w:val="20"/>
              </w:rPr>
            </w:pPr>
            <w:r w:rsidRPr="008D6E08">
              <w:rPr>
                <w:sz w:val="20"/>
                <w:szCs w:val="20"/>
              </w:rPr>
              <w:t>European Union</w:t>
            </w:r>
          </w:p>
        </w:tc>
        <w:tc>
          <w:tcPr>
            <w:tcW w:w="2977" w:type="dxa"/>
          </w:tcPr>
          <w:p w:rsidR="008D6E08" w:rsidRPr="008D6E08" w:rsidRDefault="008D6E08" w:rsidP="008D6E08">
            <w:pPr>
              <w:spacing w:before="0" w:after="0"/>
              <w:rPr>
                <w:sz w:val="20"/>
                <w:szCs w:val="20"/>
              </w:rPr>
            </w:pPr>
            <w:proofErr w:type="gramStart"/>
            <w:r w:rsidRPr="008D6E08">
              <w:rPr>
                <w:sz w:val="20"/>
                <w:szCs w:val="20"/>
              </w:rPr>
              <w:t>parenteral</w:t>
            </w:r>
            <w:proofErr w:type="gramEnd"/>
            <w:r w:rsidRPr="008D6E08">
              <w:rPr>
                <w:sz w:val="20"/>
                <w:szCs w:val="20"/>
              </w:rPr>
              <w:t xml:space="preserve"> nutrition for adults and children above 2 years of age when oral or enteral nutrition is impossible, insufficient or contraindicated.</w:t>
            </w:r>
          </w:p>
        </w:tc>
        <w:tc>
          <w:tcPr>
            <w:tcW w:w="3367" w:type="dxa"/>
          </w:tcPr>
          <w:p w:rsidR="008D6E08" w:rsidRPr="008D6E08" w:rsidRDefault="008D6E08" w:rsidP="008D6E08">
            <w:pPr>
              <w:spacing w:before="0" w:after="0"/>
              <w:rPr>
                <w:sz w:val="20"/>
                <w:szCs w:val="20"/>
              </w:rPr>
            </w:pPr>
            <w:r w:rsidRPr="008D6E08">
              <w:rPr>
                <w:sz w:val="20"/>
                <w:szCs w:val="20"/>
              </w:rPr>
              <w:t>parenteral nutrition for adults and children above 2 years of age when oral or enteral nutrition is impossible, insufficient or contraindicated.</w:t>
            </w:r>
          </w:p>
        </w:tc>
      </w:tr>
      <w:tr w:rsidR="008D6E08" w:rsidRPr="008D6E08" w:rsidTr="002E3D74">
        <w:tc>
          <w:tcPr>
            <w:tcW w:w="2126" w:type="dxa"/>
          </w:tcPr>
          <w:p w:rsidR="008D6E08" w:rsidRPr="008D6E08" w:rsidRDefault="008D6E08" w:rsidP="00612919">
            <w:pPr>
              <w:spacing w:before="0" w:after="0"/>
              <w:rPr>
                <w:sz w:val="20"/>
                <w:szCs w:val="20"/>
              </w:rPr>
            </w:pPr>
            <w:r w:rsidRPr="008D6E08">
              <w:rPr>
                <w:sz w:val="20"/>
                <w:szCs w:val="20"/>
              </w:rPr>
              <w:t>New Zealand</w:t>
            </w:r>
          </w:p>
        </w:tc>
        <w:tc>
          <w:tcPr>
            <w:tcW w:w="2977" w:type="dxa"/>
          </w:tcPr>
          <w:p w:rsidR="008D6E08" w:rsidRPr="008D6E08" w:rsidRDefault="008D6E08" w:rsidP="008D6E08">
            <w:pPr>
              <w:spacing w:before="0" w:after="0"/>
              <w:rPr>
                <w:sz w:val="20"/>
                <w:szCs w:val="20"/>
              </w:rPr>
            </w:pPr>
            <w:proofErr w:type="gramStart"/>
            <w:r w:rsidRPr="008D6E08">
              <w:rPr>
                <w:sz w:val="20"/>
                <w:szCs w:val="20"/>
              </w:rPr>
              <w:t>parenteral</w:t>
            </w:r>
            <w:proofErr w:type="gramEnd"/>
            <w:r w:rsidRPr="008D6E08">
              <w:rPr>
                <w:sz w:val="20"/>
                <w:szCs w:val="20"/>
              </w:rPr>
              <w:t xml:space="preserve"> nutrition for adults and children above 2 years of age when oral or enteral nutrition is impossible, insufficient or contraindicated.</w:t>
            </w:r>
          </w:p>
        </w:tc>
        <w:tc>
          <w:tcPr>
            <w:tcW w:w="3367" w:type="dxa"/>
          </w:tcPr>
          <w:p w:rsidR="008D6E08" w:rsidRPr="008D6E08" w:rsidRDefault="008D6E08" w:rsidP="008D6E08">
            <w:pPr>
              <w:spacing w:before="0" w:after="0"/>
              <w:rPr>
                <w:sz w:val="20"/>
                <w:szCs w:val="20"/>
              </w:rPr>
            </w:pPr>
            <w:r w:rsidRPr="008D6E08">
              <w:rPr>
                <w:sz w:val="20"/>
                <w:szCs w:val="20"/>
              </w:rPr>
              <w:t>parenteral nutrition for adults and children above 2 years of age when oral or enteral nutrition is not possible, insufficient, or contraindicated.</w:t>
            </w:r>
          </w:p>
        </w:tc>
      </w:tr>
    </w:tbl>
    <w:p w:rsidR="00482AC1" w:rsidRPr="008D6E08" w:rsidRDefault="00482AC1" w:rsidP="00612919">
      <w:pPr>
        <w:pStyle w:val="TableDescription"/>
      </w:pPr>
      <w:r w:rsidRPr="008D6E08">
        <w:t>*TRIOMEL is the trade name used in UK and some European countries.</w:t>
      </w:r>
    </w:p>
    <w:p w:rsidR="00482AC1" w:rsidRPr="008D6E08" w:rsidRDefault="00482AC1" w:rsidP="008D6E08">
      <w:pPr>
        <w:pStyle w:val="ListBullet"/>
      </w:pPr>
      <w:r w:rsidRPr="008D6E08">
        <w:t xml:space="preserve">The addition of the two amino acids (aspartic acid and glutamic acid) in </w:t>
      </w:r>
      <w:r w:rsidR="004B3262">
        <w:t>Olimel</w:t>
      </w:r>
      <w:r w:rsidRPr="008D6E08">
        <w:t>/Peri</w:t>
      </w:r>
      <w:r w:rsidR="004B3262">
        <w:t>Olimel</w:t>
      </w:r>
      <w:r w:rsidRPr="008D6E08">
        <w:t xml:space="preserve"> is a step towards providing all 21 amino acids currently present in enteral nutrition formulations. Quantitatively, compared to OliClinomel, </w:t>
      </w:r>
      <w:r w:rsidR="004B3262">
        <w:t>Olimel</w:t>
      </w:r>
      <w:r w:rsidRPr="008D6E08">
        <w:t>/Peri</w:t>
      </w:r>
      <w:r w:rsidR="004B3262">
        <w:t>Olimel</w:t>
      </w:r>
      <w:r w:rsidRPr="008D6E08">
        <w:t xml:space="preserve"> has </w:t>
      </w:r>
      <w:r w:rsidR="002C188E">
        <w:t xml:space="preserve">a </w:t>
      </w:r>
      <w:r w:rsidRPr="008D6E08">
        <w:t>higher concentration of nitrogen (a marker of amino acid and protein content), which minimises the total glucose delivered and addresses the trend in clinical nutrition practice to reduce fluid administration to patients who are fluid restricted.</w:t>
      </w:r>
    </w:p>
    <w:p w:rsidR="00482AC1" w:rsidRPr="00482AC1" w:rsidRDefault="00482AC1" w:rsidP="008D6E08">
      <w:pPr>
        <w:pStyle w:val="ListBullet"/>
        <w:numPr>
          <w:ilvl w:val="0"/>
          <w:numId w:val="0"/>
        </w:numPr>
        <w:ind w:left="360"/>
      </w:pPr>
      <w:r w:rsidRPr="00482AC1">
        <w:t xml:space="preserve">All 17 amino acids in </w:t>
      </w:r>
      <w:r w:rsidR="004B3262">
        <w:t>Olimel</w:t>
      </w:r>
      <w:r w:rsidRPr="00482AC1">
        <w:t>/Peri</w:t>
      </w:r>
      <w:r w:rsidR="004B3262">
        <w:t>Olimel</w:t>
      </w:r>
      <w:r w:rsidRPr="00482AC1">
        <w:t xml:space="preserve"> (including the 2 amino acids,</w:t>
      </w:r>
      <w:r w:rsidR="008D6E08">
        <w:t xml:space="preserve"> </w:t>
      </w:r>
      <w:r w:rsidRPr="00482AC1">
        <w:t>aspartic acid and glutam</w:t>
      </w:r>
      <w:r w:rsidR="008D6E08">
        <w:t>ic acid) can be found in Baxter’</w:t>
      </w:r>
      <w:r w:rsidRPr="00482AC1">
        <w:t>s 10% amino</w:t>
      </w:r>
      <w:r w:rsidR="008D6E08">
        <w:t xml:space="preserve"> acid solution product, Primene </w:t>
      </w:r>
      <w:r w:rsidR="008D6E08">
        <w:lastRenderedPageBreak/>
        <w:t>(AUSTR 79618)</w:t>
      </w:r>
      <w:r w:rsidR="00A90E54">
        <w:t>;</w:t>
      </w:r>
      <w:r w:rsidR="008D6E08">
        <w:t xml:space="preserve"> see Table </w:t>
      </w:r>
      <w:r w:rsidR="00817026">
        <w:t>6</w:t>
      </w:r>
      <w:r w:rsidRPr="00482AC1">
        <w:t>. Primene is</w:t>
      </w:r>
      <w:r w:rsidR="008D6E08">
        <w:t xml:space="preserve"> approved in Australia for use “</w:t>
      </w:r>
      <w:r w:rsidRPr="00482AC1">
        <w:t>in infants and neonates at term or</w:t>
      </w:r>
      <w:r w:rsidR="008D6E08">
        <w:t xml:space="preserve"> </w:t>
      </w:r>
      <w:r w:rsidRPr="00482AC1">
        <w:t>premature for short-term use, of normal or low birth-weight when oral or enteral nutrition is impossible, insufficient or contraindicated. It is used as an amino acid component in a composite admixture of total parenteral nutrition.</w:t>
      </w:r>
      <w:r w:rsidR="008D6E08">
        <w:t>”</w:t>
      </w:r>
    </w:p>
    <w:p w:rsidR="008E7846" w:rsidRDefault="008D6E08" w:rsidP="00612919">
      <w:pPr>
        <w:pStyle w:val="TableTitle"/>
      </w:pPr>
      <w:proofErr w:type="gramStart"/>
      <w:r w:rsidRPr="002C188E">
        <w:t xml:space="preserve">Table </w:t>
      </w:r>
      <w:r w:rsidR="00817026">
        <w:t>6</w:t>
      </w:r>
      <w:r w:rsidR="002C188E">
        <w:t>.</w:t>
      </w:r>
      <w:proofErr w:type="gramEnd"/>
      <w:r w:rsidR="00482AC1" w:rsidRPr="002C188E">
        <w:t xml:space="preserve"> </w:t>
      </w:r>
      <w:proofErr w:type="gramStart"/>
      <w:r w:rsidR="00482AC1" w:rsidRPr="002C188E">
        <w:t xml:space="preserve">Comparison of Amino Acid composition of Primene, OliClinomel and </w:t>
      </w:r>
      <w:r w:rsidR="004B3262">
        <w:t>Olimel</w:t>
      </w:r>
      <w:r w:rsidR="00482AC1" w:rsidRPr="002C188E">
        <w:t>/Peri</w:t>
      </w:r>
      <w:r w:rsidR="004B3262">
        <w:t>Olimel</w:t>
      </w:r>
      <w:r w:rsidRPr="002C188E">
        <w:t>.</w:t>
      </w:r>
      <w:proofErr w:type="gramEnd"/>
      <w:r w:rsidR="00482AC1" w:rsidRPr="002C188E">
        <w:t xml:space="preserve"> </w:t>
      </w:r>
    </w:p>
    <w:p w:rsidR="002C188E" w:rsidRDefault="002C188E" w:rsidP="00612919">
      <w:r>
        <w:rPr>
          <w:noProof/>
          <w:lang w:eastAsia="en-AU"/>
        </w:rPr>
        <w:drawing>
          <wp:inline distT="0" distB="0" distL="0" distR="0">
            <wp:extent cx="4321175" cy="4334510"/>
            <wp:effectExtent l="19050" t="0" r="3175" b="0"/>
            <wp:docPr id="11" name="Picture 11" descr="Table 6. Comparison of Amino Acid composition of Primene, OliClinomel and Olimel/PeriOlim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4321175" cy="4334510"/>
                    </a:xfrm>
                    <a:prstGeom prst="rect">
                      <a:avLst/>
                    </a:prstGeom>
                    <a:noFill/>
                    <a:ln w="9525">
                      <a:noFill/>
                      <a:miter lim="800000"/>
                      <a:headEnd/>
                      <a:tailEnd/>
                    </a:ln>
                  </pic:spPr>
                </pic:pic>
              </a:graphicData>
            </a:graphic>
          </wp:inline>
        </w:drawing>
      </w:r>
    </w:p>
    <w:p w:rsidR="00A433B7" w:rsidRDefault="00A433B7" w:rsidP="00A433B7">
      <w:pPr>
        <w:pStyle w:val="Numberbullet0"/>
        <w:numPr>
          <w:ilvl w:val="0"/>
          <w:numId w:val="8"/>
        </w:numPr>
      </w:pPr>
      <w:r w:rsidRPr="00482AC1">
        <w:t>Detailed dosage recommendations for children &gt;2 years are provided in the</w:t>
      </w:r>
      <w:r>
        <w:t xml:space="preserve"> </w:t>
      </w:r>
      <w:r w:rsidRPr="002C188E">
        <w:rPr>
          <w:i/>
          <w:iCs/>
        </w:rPr>
        <w:t xml:space="preserve">Dosage </w:t>
      </w:r>
      <w:proofErr w:type="gramStart"/>
      <w:r w:rsidRPr="002C188E">
        <w:rPr>
          <w:i/>
          <w:iCs/>
        </w:rPr>
        <w:t>and</w:t>
      </w:r>
      <w:proofErr w:type="gramEnd"/>
      <w:r w:rsidRPr="002C188E">
        <w:rPr>
          <w:i/>
          <w:iCs/>
        </w:rPr>
        <w:t xml:space="preserve"> Administration</w:t>
      </w:r>
      <w:r w:rsidRPr="00482AC1">
        <w:t xml:space="preserve"> section of the proposed PI to ensure appropriate use of the </w:t>
      </w:r>
      <w:r>
        <w:t>Olimel</w:t>
      </w:r>
      <w:r w:rsidRPr="00482AC1">
        <w:t>/Peri</w:t>
      </w:r>
      <w:r>
        <w:t>Olimel</w:t>
      </w:r>
      <w:r w:rsidRPr="00482AC1">
        <w:t xml:space="preserve"> products. The</w:t>
      </w:r>
      <w:r>
        <w:t xml:space="preserve"> </w:t>
      </w:r>
      <w:r w:rsidRPr="00482AC1">
        <w:t xml:space="preserve">recommendations are consistent with those approved for </w:t>
      </w:r>
      <w:r>
        <w:t>Olimel</w:t>
      </w:r>
      <w:r w:rsidRPr="00482AC1">
        <w:t>/Peri</w:t>
      </w:r>
      <w:r>
        <w:t>Olimel</w:t>
      </w:r>
      <w:r w:rsidRPr="00482AC1">
        <w:t xml:space="preserve"> for children &gt;2 years in both the EU and New </w:t>
      </w:r>
      <w:r w:rsidRPr="002C188E">
        <w:t xml:space="preserve">Zealand, and are based on recommended values from The European Society for Clinical Nutrition and Metabolism-Paediatric </w:t>
      </w:r>
      <w:proofErr w:type="spellStart"/>
      <w:r w:rsidRPr="002C188E">
        <w:t>Parenteral</w:t>
      </w:r>
      <w:proofErr w:type="spellEnd"/>
      <w:r w:rsidRPr="002C188E">
        <w:t xml:space="preserve"> Nutrition of the European Society of Paediatric Gastroenterology, </w:t>
      </w:r>
      <w:proofErr w:type="spellStart"/>
      <w:r w:rsidRPr="002C188E">
        <w:t>Hepatology</w:t>
      </w:r>
      <w:proofErr w:type="spellEnd"/>
      <w:r w:rsidRPr="002C188E">
        <w:t xml:space="preserve"> and Nutrition </w:t>
      </w:r>
      <w:r>
        <w:t>(</w:t>
      </w:r>
      <w:r w:rsidRPr="002C188E">
        <w:t>ESPEN-ESPGHAN</w:t>
      </w:r>
      <w:r>
        <w:t>)</w:t>
      </w:r>
      <w:r w:rsidRPr="002C188E">
        <w:t xml:space="preserve"> guidelines.</w:t>
      </w:r>
    </w:p>
    <w:p w:rsidR="008E7846" w:rsidRDefault="00612919" w:rsidP="008E7846">
      <w:pPr>
        <w:pStyle w:val="Heading4"/>
      </w:pPr>
      <w:r>
        <w:t>Advisory c</w:t>
      </w:r>
      <w:r w:rsidR="008E7846">
        <w:t xml:space="preserve">ommittee </w:t>
      </w:r>
      <w:r>
        <w:t>c</w:t>
      </w:r>
      <w:r w:rsidR="008E7846">
        <w:t>onsiderations</w:t>
      </w:r>
    </w:p>
    <w:p w:rsidR="008E7846" w:rsidRDefault="008E7846" w:rsidP="008E7846">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56129B" w:rsidRPr="0056129B" w:rsidRDefault="0056129B" w:rsidP="0056129B">
      <w:r w:rsidRPr="0056129B">
        <w:t>The ACPM, taking into account the submitted evidence of efficacy, safety and quality,</w:t>
      </w:r>
      <w:r>
        <w:t xml:space="preserve"> </w:t>
      </w:r>
      <w:r w:rsidRPr="0056129B">
        <w:t>agreed with the delegate and considered Olimel</w:t>
      </w:r>
      <w:r>
        <w:t>/</w:t>
      </w:r>
      <w:r w:rsidRPr="0056129B">
        <w:t>PeriOlimel injection for intravenous</w:t>
      </w:r>
      <w:r>
        <w:t xml:space="preserve"> </w:t>
      </w:r>
      <w:r w:rsidRPr="0056129B">
        <w:lastRenderedPageBreak/>
        <w:t>infusion to ha</w:t>
      </w:r>
      <w:r w:rsidR="00E076D2">
        <w:t>ve an overall positive benefit-</w:t>
      </w:r>
      <w:r w:rsidRPr="0056129B">
        <w:t xml:space="preserve">risk profile for the </w:t>
      </w:r>
      <w:r>
        <w:t>D</w:t>
      </w:r>
      <w:r w:rsidRPr="0056129B">
        <w:t>elegate's amended</w:t>
      </w:r>
      <w:r>
        <w:t xml:space="preserve"> </w:t>
      </w:r>
      <w:r w:rsidRPr="0056129B">
        <w:t>indication</w:t>
      </w:r>
      <w:r w:rsidR="000F33D5">
        <w:rPr>
          <w:rStyle w:val="FootnoteReference"/>
        </w:rPr>
        <w:footnoteReference w:id="12"/>
      </w:r>
      <w:r w:rsidRPr="0056129B">
        <w:t>;</w:t>
      </w:r>
    </w:p>
    <w:p w:rsidR="0056129B" w:rsidRPr="0056129B" w:rsidRDefault="0056129B" w:rsidP="0056129B">
      <w:pPr>
        <w:ind w:left="720"/>
        <w:rPr>
          <w:i/>
          <w:iCs/>
        </w:rPr>
      </w:pPr>
      <w:r w:rsidRPr="0056129B">
        <w:rPr>
          <w:i/>
          <w:iCs/>
        </w:rPr>
        <w:t xml:space="preserve">Olimel/PeriOlimel is indicated for parenteral nutrition for adults when oral or enteral nutrition is impossible, insufficient </w:t>
      </w:r>
      <w:r w:rsidR="005C3313">
        <w:rPr>
          <w:i/>
          <w:iCs/>
        </w:rPr>
        <w:t>or contraindicated.</w:t>
      </w:r>
    </w:p>
    <w:p w:rsidR="0056129B" w:rsidRPr="0056129B" w:rsidRDefault="0056129B" w:rsidP="0056129B">
      <w:pPr>
        <w:pStyle w:val="Heading5"/>
      </w:pPr>
      <w:r w:rsidRPr="0056129B">
        <w:t>Conditions of registration:</w:t>
      </w:r>
    </w:p>
    <w:p w:rsidR="0056129B" w:rsidRPr="0056129B" w:rsidRDefault="0056129B" w:rsidP="0056129B">
      <w:r>
        <w:t>The ACPM agreed with the D</w:t>
      </w:r>
      <w:r w:rsidRPr="0056129B">
        <w:t>elegate on the proposed conditions of registration.</w:t>
      </w:r>
    </w:p>
    <w:p w:rsidR="0056129B" w:rsidRPr="0056129B" w:rsidRDefault="0056129B" w:rsidP="0056129B">
      <w:pPr>
        <w:pStyle w:val="Heading5"/>
      </w:pPr>
      <w:r w:rsidRPr="0056129B">
        <w:t>Proposed PI/CMI amendments:</w:t>
      </w:r>
    </w:p>
    <w:p w:rsidR="0056129B" w:rsidRPr="0056129B" w:rsidRDefault="0056129B" w:rsidP="0056129B">
      <w:r>
        <w:t>The ACPM agreed with the D</w:t>
      </w:r>
      <w:r w:rsidRPr="0056129B">
        <w:t>elegate to the proposed amendments to the PI and CMI and specifically advised on</w:t>
      </w:r>
      <w:r>
        <w:t xml:space="preserve"> </w:t>
      </w:r>
      <w:r w:rsidRPr="0056129B">
        <w:t>the inclusion of the following:</w:t>
      </w:r>
    </w:p>
    <w:p w:rsidR="0056129B" w:rsidRDefault="0056129B" w:rsidP="0056129B">
      <w:pPr>
        <w:pStyle w:val="ListBullet"/>
      </w:pPr>
      <w:r w:rsidRPr="0056129B">
        <w:t xml:space="preserve">a statement in the </w:t>
      </w:r>
      <w:r w:rsidRPr="00A90E54">
        <w:rPr>
          <w:i/>
          <w:iCs/>
        </w:rPr>
        <w:t xml:space="preserve">Precautions </w:t>
      </w:r>
      <w:r w:rsidRPr="0056129B">
        <w:t>section of the PI and relevant sections of the CMI to</w:t>
      </w:r>
      <w:r>
        <w:t xml:space="preserve"> </w:t>
      </w:r>
      <w:r w:rsidRPr="0056129B">
        <w:t>ensure monitoring of electrolytes</w:t>
      </w:r>
    </w:p>
    <w:p w:rsidR="0056129B" w:rsidRPr="00A322B3" w:rsidRDefault="0056129B" w:rsidP="0056129B">
      <w:r w:rsidRPr="0056129B">
        <w:t>The ACPM advised that the implementation by the sponsor of the recommendations</w:t>
      </w:r>
      <w:r>
        <w:t xml:space="preserve"> </w:t>
      </w:r>
      <w:r w:rsidRPr="0056129B">
        <w:t>outlined above to the satisfaction of the TGA, in addition to the evidence of efficacy and</w:t>
      </w:r>
      <w:r>
        <w:t xml:space="preserve"> safety provided would support the safe and effective use of these products.</w:t>
      </w:r>
    </w:p>
    <w:p w:rsidR="008E7846" w:rsidRPr="002E238E" w:rsidRDefault="008E7846" w:rsidP="008E7846">
      <w:pPr>
        <w:pStyle w:val="Heading3"/>
      </w:pPr>
      <w:bookmarkStart w:id="173" w:name="_Toc247691532"/>
      <w:bookmarkStart w:id="174" w:name="_Toc314842516"/>
      <w:bookmarkStart w:id="175" w:name="_Toc370724509"/>
      <w:bookmarkEnd w:id="120"/>
      <w:bookmarkEnd w:id="170"/>
      <w:bookmarkEnd w:id="171"/>
      <w:r>
        <w:t>Outcome</w:t>
      </w:r>
      <w:bookmarkEnd w:id="173"/>
      <w:bookmarkEnd w:id="174"/>
      <w:bookmarkEnd w:id="175"/>
    </w:p>
    <w:p w:rsidR="008E7846" w:rsidRDefault="008E7846" w:rsidP="00C80137">
      <w:r>
        <w:t xml:space="preserve">Based on a review of quality, safety and efficacy, TGA approved the registration of </w:t>
      </w:r>
      <w:r w:rsidR="009B5C45" w:rsidRPr="009B5C45">
        <w:t>Olimel N9-840,</w:t>
      </w:r>
      <w:r w:rsidR="009B5C45" w:rsidRPr="009B5C45">
        <w:rPr>
          <w:bCs/>
          <w:iCs/>
        </w:rPr>
        <w:t xml:space="preserve"> </w:t>
      </w:r>
      <w:r w:rsidR="009B5C45" w:rsidRPr="009B5C45">
        <w:t xml:space="preserve">Olimel N5-860E, Olimel N7-960E, PeriOlimel N4-600E, Olimel N9-840E, </w:t>
      </w:r>
      <w:r w:rsidR="00404067">
        <w:t xml:space="preserve">and </w:t>
      </w:r>
      <w:r w:rsidR="009B5C45" w:rsidRPr="009B5C45">
        <w:t>Olimel N7</w:t>
      </w:r>
      <w:r w:rsidR="009B5C45" w:rsidRPr="009B5C45">
        <w:noBreakHyphen/>
        <w:t>960</w:t>
      </w:r>
      <w:r w:rsidR="00404067">
        <w:t xml:space="preserve"> emulsions for intravenous infusion, containing a</w:t>
      </w:r>
      <w:r w:rsidR="009B5C45" w:rsidRPr="009B5C45">
        <w:t xml:space="preserve">mino acids, </w:t>
      </w:r>
      <w:r w:rsidR="00404067">
        <w:t>l</w:t>
      </w:r>
      <w:r w:rsidR="009B5C45" w:rsidRPr="009B5C45">
        <w:t xml:space="preserve">ipids and </w:t>
      </w:r>
      <w:r w:rsidR="00404067">
        <w:t>g</w:t>
      </w:r>
      <w:r w:rsidR="009B5C45" w:rsidRPr="009B5C45">
        <w:t xml:space="preserve">lucose, with and without </w:t>
      </w:r>
      <w:r w:rsidR="00404067">
        <w:t>e</w:t>
      </w:r>
      <w:r w:rsidR="009B5C45" w:rsidRPr="009B5C45">
        <w:t xml:space="preserve">lectrolytes, </w:t>
      </w:r>
      <w:r>
        <w:t>indicated for:</w:t>
      </w:r>
    </w:p>
    <w:p w:rsidR="00404067" w:rsidRPr="00404067" w:rsidRDefault="004B3262" w:rsidP="00404067">
      <w:pPr>
        <w:ind w:left="720"/>
        <w:rPr>
          <w:i/>
          <w:iCs/>
        </w:rPr>
      </w:pPr>
      <w:r>
        <w:rPr>
          <w:i/>
          <w:iCs/>
        </w:rPr>
        <w:t>Olimel</w:t>
      </w:r>
      <w:r w:rsidR="009B5C45" w:rsidRPr="00404067">
        <w:rPr>
          <w:i/>
          <w:iCs/>
        </w:rPr>
        <w:t>/Peri</w:t>
      </w:r>
      <w:r>
        <w:rPr>
          <w:i/>
          <w:iCs/>
        </w:rPr>
        <w:t>Olimel</w:t>
      </w:r>
      <w:r w:rsidR="009B5C45" w:rsidRPr="00404067">
        <w:rPr>
          <w:i/>
          <w:iCs/>
        </w:rPr>
        <w:t xml:space="preserve"> is indicated for parenteral nutrition for adults when oral or enteral nutrition is impossible, insufficient or contraindicated. </w:t>
      </w:r>
      <w:r w:rsidR="00404067" w:rsidRPr="00404067">
        <w:rPr>
          <w:i/>
          <w:iCs/>
        </w:rPr>
        <w:t>Indication</w:t>
      </w:r>
    </w:p>
    <w:p w:rsidR="009B5C45" w:rsidRDefault="00404067" w:rsidP="00404067">
      <w:pPr>
        <w:pStyle w:val="Heading4"/>
      </w:pPr>
      <w:r>
        <w:t>S</w:t>
      </w:r>
      <w:r w:rsidRPr="009B5C45">
        <w:t>pecific conditions applying to these therapeutic goods</w:t>
      </w:r>
    </w:p>
    <w:p w:rsidR="00404067" w:rsidRPr="003022A6" w:rsidRDefault="009B5C45" w:rsidP="002E3D74">
      <w:r>
        <w:t xml:space="preserve">Notwithstanding that the TGA has granted </w:t>
      </w:r>
      <w:r w:rsidR="00404067">
        <w:t xml:space="preserve">this </w:t>
      </w:r>
      <w:r>
        <w:t>application a waiver from the need to</w:t>
      </w:r>
      <w:r w:rsidR="00404067">
        <w:t xml:space="preserve"> </w:t>
      </w:r>
      <w:r>
        <w:t>submit a Risk Management Plan (RMP), it remains a requirement that Routine</w:t>
      </w:r>
      <w:r w:rsidR="00404067">
        <w:t xml:space="preserve"> </w:t>
      </w:r>
      <w:r>
        <w:t>Pharmacovigilance of this therapeutic good must be undertaken. Routine</w:t>
      </w:r>
      <w:r w:rsidR="00404067">
        <w:t xml:space="preserve"> </w:t>
      </w:r>
      <w:r>
        <w:t>Pharmacovigilance includes the submission of Periodic Safety Update Reports (PSURs)</w:t>
      </w:r>
      <w:r w:rsidR="002E3D74">
        <w:t xml:space="preserve"> and other activities as in accordance with c</w:t>
      </w:r>
      <w:r w:rsidR="005C3313">
        <w:t>urrent regulatory requirements.</w:t>
      </w:r>
    </w:p>
    <w:p w:rsidR="008E7846" w:rsidRDefault="005C3313" w:rsidP="008E7846">
      <w:pPr>
        <w:pStyle w:val="Heading2"/>
      </w:pPr>
      <w:bookmarkStart w:id="176" w:name="_Toc247691533"/>
      <w:bookmarkStart w:id="177" w:name="_Toc314842517"/>
      <w:bookmarkStart w:id="178" w:name="_Toc370724510"/>
      <w:proofErr w:type="gramStart"/>
      <w:r>
        <w:t>Attachment 1.</w:t>
      </w:r>
      <w:proofErr w:type="gramEnd"/>
      <w:r>
        <w:t xml:space="preserve"> </w:t>
      </w:r>
      <w:r w:rsidR="008E7846">
        <w:t xml:space="preserve">Product </w:t>
      </w:r>
      <w:r w:rsidR="00AA0ED0">
        <w:t>I</w:t>
      </w:r>
      <w:r w:rsidR="008E7846">
        <w:t>nformation</w:t>
      </w:r>
      <w:bookmarkEnd w:id="176"/>
      <w:bookmarkEnd w:id="177"/>
      <w:bookmarkEnd w:id="178"/>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5" w:history="1">
        <w:r w:rsidR="00722B57" w:rsidRPr="00625A6E">
          <w:rPr>
            <w:rStyle w:val="Hyperlink"/>
          </w:rPr>
          <w:t>http://www.tga.gov.au/hp/information-medicines-pi.htm</w:t>
        </w:r>
      </w:hyperlink>
      <w:hyperlink w:history="1"/>
      <w:r w:rsidR="008F6943">
        <w:rPr>
          <w:color w:val="000000"/>
          <w:lang w:eastAsia="en-AU"/>
        </w:rPr>
        <w:t>&gt;.</w:t>
      </w:r>
    </w:p>
    <w:p w:rsidR="00291957" w:rsidRDefault="00C80137" w:rsidP="005C3313">
      <w:pPr>
        <w:pStyle w:val="Heading2"/>
        <w:rPr>
          <w:lang w:eastAsia="ja-JP"/>
        </w:rPr>
      </w:pPr>
      <w:bookmarkStart w:id="179" w:name="_Toc370724511"/>
      <w:proofErr w:type="gramStart"/>
      <w:r>
        <w:rPr>
          <w:lang w:eastAsia="en-AU"/>
        </w:rPr>
        <w:t>Attachment 2.</w:t>
      </w:r>
      <w:proofErr w:type="gramEnd"/>
      <w:r w:rsidR="005C3313">
        <w:rPr>
          <w:lang w:eastAsia="en-AU"/>
        </w:rPr>
        <w:t xml:space="preserve"> </w:t>
      </w:r>
      <w:r>
        <w:rPr>
          <w:lang w:eastAsia="en-AU"/>
        </w:rPr>
        <w:t>Extract from the Clinical Evaluation Report</w:t>
      </w:r>
      <w:bookmarkEnd w:id="179"/>
    </w:p>
    <w:p w:rsidR="00C80137" w:rsidRPr="001D043B" w:rsidRDefault="00C80137" w:rsidP="003A7F6C">
      <w:pPr>
        <w:pStyle w:val="TableTitle"/>
        <w:sectPr w:rsidR="00C80137" w:rsidRPr="001D043B" w:rsidSect="00AA47D6">
          <w:headerReference w:type="even" r:id="rId16"/>
          <w:headerReference w:type="default" r:id="rId17"/>
          <w:footerReference w:type="default" r:id="rId18"/>
          <w:headerReference w:type="first" r:id="rId19"/>
          <w:footerReference w:type="first" r:id="rId20"/>
          <w:pgSz w:w="11906" w:h="16838" w:code="9"/>
          <w:pgMar w:top="1560" w:right="1701" w:bottom="1276" w:left="1701" w:header="907" w:footer="216" w:gutter="0"/>
          <w:cols w:space="708"/>
          <w:docGrid w:linePitch="360"/>
        </w:sectPr>
      </w:pPr>
    </w:p>
    <w:p w:rsidR="00774E1D" w:rsidRPr="008A5E0B" w:rsidRDefault="00774E1D" w:rsidP="004C239D"/>
    <w:sectPr w:rsidR="00774E1D" w:rsidRPr="008A5E0B" w:rsidSect="004C239D">
      <w:headerReference w:type="even" r:id="rId21"/>
      <w:headerReference w:type="default" r:id="rId22"/>
      <w:footerReference w:type="default" r:id="rId23"/>
      <w:headerReference w:type="first" r:id="rId24"/>
      <w:footerReference w:type="first" r:id="rId25"/>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1E" w:rsidRDefault="00DE6D1E" w:rsidP="00C40A36">
      <w:pPr>
        <w:spacing w:after="0"/>
      </w:pPr>
      <w:r>
        <w:separator/>
      </w:r>
    </w:p>
  </w:endnote>
  <w:endnote w:type="continuationSeparator" w:id="0">
    <w:p w:rsidR="00DE6D1E" w:rsidRDefault="00DE6D1E"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DE6D1E" w:rsidRPr="00487162" w:rsidTr="0053625B">
      <w:trPr>
        <w:trHeight w:val="269"/>
      </w:trPr>
      <w:tc>
        <w:tcPr>
          <w:tcW w:w="7938" w:type="dxa"/>
          <w:tcMar>
            <w:top w:w="142" w:type="dxa"/>
            <w:bottom w:w="0" w:type="dxa"/>
          </w:tcMar>
        </w:tcPr>
        <w:p w:rsidR="00DE6D1E" w:rsidRPr="00487162" w:rsidRDefault="00DE6D1E" w:rsidP="00694F84">
          <w:pPr>
            <w:pStyle w:val="Footer"/>
          </w:pPr>
          <w:r w:rsidRPr="00487162">
            <w:t xml:space="preserve">AusPAR </w:t>
          </w:r>
          <w:r w:rsidRPr="006C7C17">
            <w:t>PeriO</w:t>
          </w:r>
          <w:r>
            <w:t>limel N4-600E, Olimel N5-860E, Olimel N7-960, Olimel N7-960E, Olimel N9-840, Olimel N9</w:t>
          </w:r>
          <w:r>
            <w:noBreakHyphen/>
          </w:r>
          <w:r w:rsidRPr="006C7C17">
            <w:t>840E</w:t>
          </w:r>
          <w:r>
            <w:t>;</w:t>
          </w:r>
          <w:r w:rsidRPr="009B5C45">
            <w:t xml:space="preserve"> Amino acids, Lipids and Glucose, with and without Electrolytes, emulsion</w:t>
          </w:r>
          <w:r>
            <w:t>;</w:t>
          </w:r>
          <w:r w:rsidRPr="009B5C45">
            <w:t xml:space="preserve"> </w:t>
          </w:r>
          <w:r>
            <w:br/>
          </w:r>
          <w:r w:rsidRPr="00694F84">
            <w:t>Baxter Healthcare Pty Ltd; PM-2012-00805-3-1. Date of Finalisation 2 October 2013</w:t>
          </w:r>
        </w:p>
      </w:tc>
      <w:tc>
        <w:tcPr>
          <w:tcW w:w="923" w:type="dxa"/>
          <w:tcMar>
            <w:top w:w="142" w:type="dxa"/>
            <w:bottom w:w="0" w:type="dxa"/>
          </w:tcMar>
        </w:tcPr>
        <w:p w:rsidR="00DE6D1E" w:rsidRPr="00487162" w:rsidRDefault="00DE6D1E" w:rsidP="00D855D4">
          <w:pPr>
            <w:pStyle w:val="Footer"/>
            <w:jc w:val="right"/>
          </w:pPr>
          <w:r w:rsidRPr="00487162">
            <w:t xml:space="preserve">Page </w:t>
          </w:r>
          <w:r>
            <w:t>2</w:t>
          </w:r>
          <w:r w:rsidRPr="00487162">
            <w:t xml:space="preserve"> of </w:t>
          </w:r>
          <w:fldSimple w:instr=" NUMPAGES  \* Arabic ">
            <w:r w:rsidR="005C3313">
              <w:rPr>
                <w:noProof/>
              </w:rPr>
              <w:t>24</w:t>
            </w:r>
          </w:fldSimple>
        </w:p>
      </w:tc>
    </w:tr>
  </w:tbl>
  <w:p w:rsidR="00DE6D1E" w:rsidRDefault="00DE6D1E"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513"/>
      <w:gridCol w:w="1348"/>
    </w:tblGrid>
    <w:tr w:rsidR="00DE6D1E" w:rsidRPr="00487162" w:rsidTr="009B5C45">
      <w:trPr>
        <w:trHeight w:val="269"/>
      </w:trPr>
      <w:tc>
        <w:tcPr>
          <w:tcW w:w="7513" w:type="dxa"/>
          <w:tcMar>
            <w:top w:w="142" w:type="dxa"/>
            <w:bottom w:w="0" w:type="dxa"/>
          </w:tcMar>
        </w:tcPr>
        <w:p w:rsidR="00DE6D1E" w:rsidRPr="00487162" w:rsidRDefault="00DE6D1E" w:rsidP="00694F84">
          <w:pPr>
            <w:pStyle w:val="Footer"/>
          </w:pPr>
          <w:r w:rsidRPr="009B5C45">
            <w:t xml:space="preserve">AusPAR </w:t>
          </w:r>
          <w:r w:rsidRPr="006C7C17">
            <w:t>PeriOlimel N4-600E, Olimel N5-860E, Olimel N7-960, Olimel N7-960E, Olimel N9-840, Olimel N9</w:t>
          </w:r>
          <w:r w:rsidRPr="006C7C17">
            <w:noBreakHyphen/>
            <w:t>840E</w:t>
          </w:r>
          <w:r>
            <w:t xml:space="preserve">; </w:t>
          </w:r>
          <w:r w:rsidRPr="009B5C45">
            <w:t xml:space="preserve">Amino acids, Lipids and Glucose, with and without Electrolytes, emulsion; </w:t>
          </w:r>
          <w:r w:rsidRPr="009B5C45">
            <w:br/>
            <w:t>Baxter Healthcare Pty</w:t>
          </w:r>
          <w:r>
            <w:t xml:space="preserve"> Ltd; PM-2012-00805-3-1. </w:t>
          </w:r>
          <w:r w:rsidRPr="009B5C45">
            <w:t>Date of Finalisation</w:t>
          </w:r>
          <w:r>
            <w:t xml:space="preserve"> 2 October 2013</w:t>
          </w:r>
        </w:p>
      </w:tc>
      <w:tc>
        <w:tcPr>
          <w:tcW w:w="1348" w:type="dxa"/>
          <w:tcMar>
            <w:top w:w="142" w:type="dxa"/>
            <w:bottom w:w="0" w:type="dxa"/>
          </w:tcMar>
        </w:tcPr>
        <w:p w:rsidR="00DE6D1E" w:rsidRPr="00487162" w:rsidRDefault="00DE6D1E" w:rsidP="00E45619">
          <w:pPr>
            <w:pStyle w:val="Footer"/>
            <w:jc w:val="right"/>
          </w:pPr>
          <w:r w:rsidRPr="00487162">
            <w:t xml:space="preserve">Page </w:t>
          </w:r>
          <w:fldSimple w:instr="PAGE">
            <w:r w:rsidR="005C3313">
              <w:rPr>
                <w:noProof/>
              </w:rPr>
              <w:t>3</w:t>
            </w:r>
          </w:fldSimple>
          <w:r w:rsidRPr="00487162">
            <w:t xml:space="preserve"> of </w:t>
          </w:r>
          <w:fldSimple w:instr=" NUMPAGES  \* Arabic ">
            <w:r w:rsidR="005C3313">
              <w:rPr>
                <w:noProof/>
              </w:rPr>
              <w:t>24</w:t>
            </w:r>
          </w:fldSimple>
        </w:p>
      </w:tc>
    </w:tr>
  </w:tbl>
  <w:p w:rsidR="00DE6D1E" w:rsidRDefault="00DE6D1E"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DE6D1E" w:rsidRPr="00487162" w:rsidTr="00E45619">
      <w:trPr>
        <w:trHeight w:val="269"/>
      </w:trPr>
      <w:tc>
        <w:tcPr>
          <w:tcW w:w="4519" w:type="dxa"/>
          <w:tcBorders>
            <w:top w:val="single" w:sz="4" w:space="0" w:color="auto"/>
          </w:tcBorders>
          <w:tcMar>
            <w:top w:w="142" w:type="dxa"/>
            <w:bottom w:w="0" w:type="dxa"/>
          </w:tcMar>
        </w:tcPr>
        <w:p w:rsidR="00DE6D1E" w:rsidRPr="00487162" w:rsidRDefault="00DE6D1E" w:rsidP="00FE1DEE">
          <w:pPr>
            <w:pStyle w:val="Footer"/>
          </w:pPr>
          <w:r w:rsidRPr="00487162">
            <w:t>Document title, Part #, Section # - Section title</w:t>
          </w:r>
        </w:p>
        <w:p w:rsidR="00DE6D1E" w:rsidRPr="00487162" w:rsidRDefault="00DE6D1E" w:rsidP="00FE1DEE">
          <w:pPr>
            <w:pStyle w:val="Footer"/>
          </w:pPr>
          <w:r w:rsidRPr="00487162">
            <w:t>V1.0 October 2010</w:t>
          </w:r>
        </w:p>
      </w:tc>
      <w:tc>
        <w:tcPr>
          <w:tcW w:w="4342" w:type="dxa"/>
          <w:tcBorders>
            <w:top w:val="single" w:sz="4" w:space="0" w:color="auto"/>
          </w:tcBorders>
          <w:tcMar>
            <w:top w:w="142" w:type="dxa"/>
            <w:bottom w:w="0" w:type="dxa"/>
          </w:tcMar>
        </w:tcPr>
        <w:p w:rsidR="00DE6D1E" w:rsidRPr="00487162" w:rsidRDefault="00DE6D1E"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DE6D1E" w:rsidRDefault="00DE6D1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DE6D1E" w:rsidRPr="00487162" w:rsidTr="00E45619">
              <w:trPr>
                <w:trHeight w:hRule="exact" w:val="704"/>
              </w:trPr>
              <w:tc>
                <w:tcPr>
                  <w:tcW w:w="9175" w:type="dxa"/>
                </w:tcPr>
                <w:p w:rsidR="00DE6D1E" w:rsidRPr="00487162" w:rsidRDefault="00DE6D1E" w:rsidP="008E7846">
                  <w:pPr>
                    <w:pStyle w:val="TGASignoff"/>
                  </w:pPr>
                  <w:r w:rsidRPr="00487162">
                    <w:t>Therapeutic Goods Administration</w:t>
                  </w:r>
                </w:p>
              </w:tc>
            </w:tr>
            <w:tr w:rsidR="00DE6D1E" w:rsidRPr="00487162" w:rsidTr="00E45619">
              <w:trPr>
                <w:trHeight w:val="1221"/>
              </w:trPr>
              <w:tc>
                <w:tcPr>
                  <w:tcW w:w="9175" w:type="dxa"/>
                  <w:tcMar>
                    <w:top w:w="28" w:type="dxa"/>
                  </w:tcMar>
                </w:tcPr>
                <w:p w:rsidR="00DE6D1E" w:rsidRPr="00487162" w:rsidRDefault="00DE6D1E" w:rsidP="00E45619">
                  <w:pPr>
                    <w:pStyle w:val="Address"/>
                  </w:pPr>
                  <w:r w:rsidRPr="00487162">
                    <w:t>PO Box 100 Woden ACT 2606 Australia</w:t>
                  </w:r>
                </w:p>
                <w:p w:rsidR="00DE6D1E" w:rsidRPr="00487162" w:rsidRDefault="00DE6D1E"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DE6D1E" w:rsidRPr="004C239D" w:rsidRDefault="00CE3FB7" w:rsidP="004C239D">
                  <w:pPr>
                    <w:pStyle w:val="Address"/>
                    <w:spacing w:line="260" w:lineRule="atLeast"/>
                    <w:rPr>
                      <w:b/>
                      <w:color w:val="0000FF"/>
                      <w:u w:val="single"/>
                    </w:rPr>
                  </w:pPr>
                  <w:hyperlink r:id="rId2" w:history="1">
                    <w:r w:rsidR="00DE6D1E" w:rsidRPr="00607888">
                      <w:rPr>
                        <w:rStyle w:val="Hyperlink"/>
                        <w:b/>
                      </w:rPr>
                      <w:t>http://www.tga.gov.au</w:t>
                    </w:r>
                  </w:hyperlink>
                </w:p>
              </w:tc>
            </w:tr>
          </w:tbl>
          <w:p w:rsidR="00DE6D1E" w:rsidRDefault="00CE3FB7"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DE6D1E" w:rsidTr="0010601F">
      <w:trPr>
        <w:trHeight w:val="108"/>
      </w:trPr>
      <w:tc>
        <w:tcPr>
          <w:tcW w:w="8875" w:type="dxa"/>
          <w:gridSpan w:val="2"/>
          <w:tcBorders>
            <w:bottom w:val="single" w:sz="4" w:space="0" w:color="auto"/>
          </w:tcBorders>
          <w:tcMar>
            <w:right w:w="284" w:type="dxa"/>
          </w:tcMar>
        </w:tcPr>
        <w:p w:rsidR="00DE6D1E" w:rsidRDefault="00DE6D1E" w:rsidP="006E08B3">
          <w:pPr>
            <w:pStyle w:val="Heading3"/>
          </w:pPr>
          <w:r>
            <w:t>Copyright</w:t>
          </w:r>
        </w:p>
        <w:p w:rsidR="00DE6D1E" w:rsidRDefault="00DE6D1E" w:rsidP="006E08B3">
          <w:r>
            <w:rPr>
              <w:rFonts w:cs="Arial"/>
            </w:rPr>
            <w:t>©</w:t>
          </w:r>
          <w:r>
            <w:t xml:space="preserve"> Commonwealth of Australia [add year]</w:t>
          </w:r>
        </w:p>
        <w:p w:rsidR="00DE6D1E" w:rsidRDefault="00DE6D1E" w:rsidP="006E08B3"/>
        <w:p w:rsidR="00DE6D1E" w:rsidRDefault="00DE6D1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E6D1E" w:rsidRDefault="00DE6D1E" w:rsidP="006E08B3"/>
        <w:p w:rsidR="00DE6D1E" w:rsidRDefault="00DE6D1E" w:rsidP="006E08B3">
          <w:pPr>
            <w:pStyle w:val="Heading3"/>
          </w:pPr>
          <w:r>
            <w:t>Confidentiality</w:t>
          </w:r>
        </w:p>
        <w:p w:rsidR="00DE6D1E" w:rsidRDefault="00DE6D1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E6D1E" w:rsidRDefault="00DE6D1E" w:rsidP="006E08B3"/>
        <w:p w:rsidR="00DE6D1E" w:rsidRDefault="00DE6D1E" w:rsidP="006E08B3">
          <w:r>
            <w:t>For submission made by individuals, all personal details, other than your name, will be removed from your submission before it is published on the TGA’s Internet site.</w:t>
          </w:r>
        </w:p>
        <w:p w:rsidR="00DE6D1E" w:rsidRDefault="00DE6D1E" w:rsidP="006E08B3"/>
        <w:p w:rsidR="00DE6D1E" w:rsidRDefault="00DE6D1E" w:rsidP="006E08B3">
          <w:r>
            <w:t>In addition, a list of parties making submissions will be published. If you do not wish to be identified with your submission you must specifically request this in the space provided ib the submission coversheet.</w:t>
          </w:r>
        </w:p>
      </w:tc>
    </w:tr>
    <w:tr w:rsidR="00DE6D1E" w:rsidTr="0010601F">
      <w:trPr>
        <w:trHeight w:val="417"/>
      </w:trPr>
      <w:tc>
        <w:tcPr>
          <w:tcW w:w="4519" w:type="dxa"/>
          <w:tcBorders>
            <w:top w:val="single" w:sz="4" w:space="0" w:color="auto"/>
          </w:tcBorders>
          <w:tcMar>
            <w:top w:w="142" w:type="dxa"/>
            <w:bottom w:w="0" w:type="dxa"/>
          </w:tcMar>
        </w:tcPr>
        <w:p w:rsidR="00DE6D1E" w:rsidRDefault="00DE6D1E" w:rsidP="006E08B3">
          <w:r>
            <w:t>Document title, Part #, Section # - Section title</w:t>
          </w:r>
        </w:p>
        <w:p w:rsidR="00DE6D1E" w:rsidRDefault="00DE6D1E" w:rsidP="006E08B3">
          <w:r>
            <w:t>V1.0 October 2010</w:t>
          </w:r>
        </w:p>
      </w:tc>
      <w:tc>
        <w:tcPr>
          <w:tcW w:w="4356" w:type="dxa"/>
          <w:tcBorders>
            <w:top w:val="single" w:sz="4" w:space="0" w:color="auto"/>
          </w:tcBorders>
          <w:tcMar>
            <w:top w:w="142" w:type="dxa"/>
            <w:bottom w:w="0" w:type="dxa"/>
          </w:tcMar>
        </w:tcPr>
        <w:p w:rsidR="00DE6D1E" w:rsidRDefault="00DE6D1E"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DE6D1E" w:rsidRDefault="00DE6D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1E" w:rsidRDefault="00DE6D1E" w:rsidP="00C40A36">
      <w:pPr>
        <w:spacing w:after="0"/>
      </w:pPr>
      <w:r>
        <w:separator/>
      </w:r>
    </w:p>
  </w:footnote>
  <w:footnote w:type="continuationSeparator" w:id="0">
    <w:p w:rsidR="00DE6D1E" w:rsidRDefault="00DE6D1E" w:rsidP="00C40A36">
      <w:pPr>
        <w:spacing w:after="0"/>
      </w:pPr>
      <w:r>
        <w:continuationSeparator/>
      </w:r>
    </w:p>
  </w:footnote>
  <w:footnote w:id="1">
    <w:p w:rsidR="00DE6D1E" w:rsidRPr="00BD4126" w:rsidRDefault="00DE6D1E" w:rsidP="00F91F65">
      <w:pPr>
        <w:pStyle w:val="FootnoteText"/>
      </w:pPr>
      <w:r w:rsidRPr="00BD4126">
        <w:rPr>
          <w:vertAlign w:val="superscript"/>
        </w:rPr>
        <w:footnoteRef/>
      </w:r>
      <w:r w:rsidRPr="00BD4126">
        <w:t xml:space="preserve"> </w:t>
      </w:r>
      <w:r>
        <w:t xml:space="preserve">Travis, SF </w:t>
      </w:r>
      <w:r w:rsidRPr="00BD4126">
        <w:rPr>
          <w:i/>
          <w:iCs/>
        </w:rPr>
        <w:t>et al</w:t>
      </w:r>
      <w:r>
        <w:t>.</w:t>
      </w:r>
      <w:r w:rsidRPr="00BD4126">
        <w:t xml:space="preserve"> Alterations of red-cell glycolytic intermediates and oxygen transport as a consequence of hypophosphatemia in patients receiving intravenous hyperalimentation. </w:t>
      </w:r>
      <w:r w:rsidRPr="00BD4126">
        <w:rPr>
          <w:i/>
          <w:iCs/>
        </w:rPr>
        <w:t>New Eng. J. Med</w:t>
      </w:r>
      <w:r>
        <w:rPr>
          <w:i/>
          <w:iCs/>
        </w:rPr>
        <w:t xml:space="preserve"> </w:t>
      </w:r>
      <w:r>
        <w:t>1971:</w:t>
      </w:r>
      <w:r w:rsidRPr="00BD4126">
        <w:t>285:763‒768.</w:t>
      </w:r>
    </w:p>
  </w:footnote>
  <w:footnote w:id="2">
    <w:p w:rsidR="00DE6D1E" w:rsidRPr="00553EDD" w:rsidRDefault="00DE6D1E">
      <w:pPr>
        <w:pStyle w:val="FootnoteText"/>
        <w:rPr>
          <w:szCs w:val="18"/>
        </w:rPr>
      </w:pPr>
      <w:r w:rsidRPr="00553EDD">
        <w:rPr>
          <w:rStyle w:val="FootnoteReference"/>
          <w:szCs w:val="18"/>
        </w:rPr>
        <w:footnoteRef/>
      </w:r>
      <w:r w:rsidRPr="00553EDD">
        <w:rPr>
          <w:szCs w:val="18"/>
        </w:rPr>
        <w:t xml:space="preserve"> Transthyretin, also known as prealbumin, is one of the plasma proteins that may be used to assess nutritional status.</w:t>
      </w:r>
    </w:p>
  </w:footnote>
  <w:footnote w:id="3">
    <w:p w:rsidR="00DE6D1E" w:rsidRPr="00553EDD" w:rsidRDefault="00DE6D1E" w:rsidP="00B738F3">
      <w:pPr>
        <w:pStyle w:val="FootnoteText"/>
        <w:rPr>
          <w:szCs w:val="18"/>
          <w:lang w:eastAsia="en-AU"/>
        </w:rPr>
      </w:pPr>
      <w:r w:rsidRPr="00553EDD">
        <w:rPr>
          <w:rStyle w:val="FootnoteReference"/>
          <w:szCs w:val="18"/>
        </w:rPr>
        <w:footnoteRef/>
      </w:r>
      <w:r w:rsidRPr="00553EDD">
        <w:rPr>
          <w:szCs w:val="18"/>
        </w:rPr>
        <w:t xml:space="preserve"> There was no evidence submitted of a literature search.</w:t>
      </w:r>
    </w:p>
  </w:footnote>
  <w:footnote w:id="4">
    <w:p w:rsidR="00DE6D1E" w:rsidRDefault="00DE6D1E" w:rsidP="00B738F3">
      <w:pPr>
        <w:pStyle w:val="FootnoteText"/>
        <w:rPr>
          <w:szCs w:val="18"/>
        </w:rPr>
      </w:pPr>
      <w:r>
        <w:rPr>
          <w:rStyle w:val="FootnoteReference"/>
          <w:szCs w:val="18"/>
        </w:rPr>
        <w:footnoteRef/>
      </w:r>
      <w:r>
        <w:rPr>
          <w:szCs w:val="18"/>
        </w:rPr>
        <w:t xml:space="preserve"> T</w:t>
      </w:r>
      <w:r w:rsidR="000B7A39">
        <w:rPr>
          <w:szCs w:val="18"/>
        </w:rPr>
        <w:t>he 17 refers to g/L of nitrogen</w:t>
      </w:r>
    </w:p>
  </w:footnote>
  <w:footnote w:id="5">
    <w:p w:rsidR="00DE6D1E" w:rsidRDefault="00DE6D1E" w:rsidP="00B738F3">
      <w:pPr>
        <w:pStyle w:val="FootnoteText"/>
        <w:rPr>
          <w:szCs w:val="18"/>
          <w:lang w:eastAsia="en-AU"/>
        </w:rPr>
      </w:pPr>
      <w:r>
        <w:rPr>
          <w:rStyle w:val="FootnoteReference"/>
          <w:szCs w:val="18"/>
        </w:rPr>
        <w:footnoteRef/>
      </w:r>
      <w:r>
        <w:rPr>
          <w:szCs w:val="18"/>
        </w:rPr>
        <w:t xml:space="preserve"> This did not influence overall lipid tolerance nor blood glucose results, but on a nutritional point of view, this follows the trends to limit glucose intakes and risks of hyperglycaemia in this critically ill population exposed to inflammatory syndrome and insulin resistance [Study Report]</w:t>
      </w:r>
    </w:p>
  </w:footnote>
  <w:footnote w:id="6">
    <w:p w:rsidR="00DE6D1E" w:rsidRDefault="00DE6D1E" w:rsidP="004B4DE5">
      <w:pPr>
        <w:pStyle w:val="FootnoteText"/>
      </w:pPr>
      <w:r>
        <w:rPr>
          <w:vertAlign w:val="superscript"/>
        </w:rPr>
        <w:footnoteRef/>
      </w:r>
      <w:r>
        <w:rPr>
          <w:vertAlign w:val="superscript"/>
        </w:rPr>
        <w:t xml:space="preserve"> </w:t>
      </w:r>
      <w:r>
        <w:t>4.4 Special Warnings and Precautions for Use: - addition of warning regarding excess addition of calcium and phosphorus that may result in formation of precipitates of calcium phosphate that could lead to vascular occlusion; 4.5 Interactions with Other Medicinal Products and Other Forms of Interaction: - addition of wording mentioning that ceftriaxone must not be coadministered with calcium containing IV solutions.</w:t>
      </w:r>
    </w:p>
  </w:footnote>
  <w:footnote w:id="7">
    <w:p w:rsidR="00DE6D1E" w:rsidRPr="0041160A" w:rsidRDefault="00DE6D1E" w:rsidP="0013713C">
      <w:pPr>
        <w:pStyle w:val="FootnoteText"/>
      </w:pPr>
      <w:r w:rsidRPr="00EC752D">
        <w:rPr>
          <w:vertAlign w:val="superscript"/>
        </w:rPr>
        <w:footnoteRef/>
      </w:r>
      <w:r w:rsidRPr="0041160A">
        <w:t xml:space="preserve"> Clinical Overview </w:t>
      </w:r>
      <w:r w:rsidR="0013713C">
        <w:t>- Product Development Rationale</w:t>
      </w:r>
    </w:p>
  </w:footnote>
  <w:footnote w:id="8">
    <w:p w:rsidR="00DE6D1E" w:rsidRPr="00690F48" w:rsidRDefault="00DE6D1E" w:rsidP="00690F48">
      <w:pPr>
        <w:pStyle w:val="FootnoteText"/>
        <w:rPr>
          <w:szCs w:val="18"/>
        </w:rPr>
      </w:pPr>
      <w:r w:rsidRPr="00690F48">
        <w:rPr>
          <w:rStyle w:val="FootnoteReference"/>
          <w:szCs w:val="18"/>
        </w:rPr>
        <w:footnoteRef/>
      </w:r>
      <w:r w:rsidRPr="00690F48">
        <w:rPr>
          <w:szCs w:val="18"/>
        </w:rPr>
        <w:t xml:space="preserve"> Details of recommended revisions to the PI other than to the </w:t>
      </w:r>
      <w:r w:rsidRPr="00690F48">
        <w:rPr>
          <w:i/>
          <w:iCs/>
          <w:szCs w:val="18"/>
        </w:rPr>
        <w:t>Indications</w:t>
      </w:r>
      <w:r w:rsidRPr="00690F48">
        <w:rPr>
          <w:szCs w:val="18"/>
        </w:rPr>
        <w:t xml:space="preserve"> section are </w:t>
      </w:r>
      <w:r w:rsidR="0070598C">
        <w:rPr>
          <w:szCs w:val="18"/>
        </w:rPr>
        <w:t xml:space="preserve">beyond the scope of the </w:t>
      </w:r>
      <w:proofErr w:type="spellStart"/>
      <w:r w:rsidR="0070598C">
        <w:rPr>
          <w:szCs w:val="18"/>
        </w:rPr>
        <w:t>AusPAR</w:t>
      </w:r>
      <w:proofErr w:type="spellEnd"/>
      <w:r w:rsidR="0070598C">
        <w:rPr>
          <w:szCs w:val="18"/>
        </w:rPr>
        <w:t>.</w:t>
      </w:r>
    </w:p>
  </w:footnote>
  <w:footnote w:id="9">
    <w:p w:rsidR="00DE6D1E" w:rsidRPr="0032032E" w:rsidRDefault="00DE6D1E" w:rsidP="0032032E">
      <w:pPr>
        <w:pStyle w:val="FootnoteText"/>
        <w:rPr>
          <w:szCs w:val="18"/>
        </w:rPr>
      </w:pPr>
      <w:r w:rsidRPr="0032032E">
        <w:rPr>
          <w:rStyle w:val="FootnoteReference"/>
          <w:szCs w:val="18"/>
        </w:rPr>
        <w:footnoteRef/>
      </w:r>
      <w:r w:rsidRPr="0032032E">
        <w:rPr>
          <w:szCs w:val="18"/>
        </w:rPr>
        <w:t xml:space="preserve"> All issues relating to quality were resolved prior to a decision being made on this application.</w:t>
      </w:r>
    </w:p>
  </w:footnote>
  <w:footnote w:id="10">
    <w:p w:rsidR="00DE6D1E" w:rsidRPr="00D24164" w:rsidRDefault="00DE6D1E">
      <w:pPr>
        <w:pStyle w:val="FootnoteText"/>
        <w:rPr>
          <w:szCs w:val="18"/>
        </w:rPr>
      </w:pPr>
      <w:r w:rsidRPr="00D24164">
        <w:rPr>
          <w:rStyle w:val="FootnoteReference"/>
          <w:szCs w:val="18"/>
        </w:rPr>
        <w:footnoteRef/>
      </w:r>
      <w:r w:rsidRPr="00D24164">
        <w:rPr>
          <w:szCs w:val="18"/>
        </w:rPr>
        <w:t xml:space="preserve"> </w:t>
      </w:r>
      <w:r>
        <w:rPr>
          <w:szCs w:val="18"/>
        </w:rPr>
        <w:t xml:space="preserve">Broyles JE </w:t>
      </w:r>
      <w:r w:rsidRPr="00D24164">
        <w:rPr>
          <w:i/>
          <w:iCs/>
          <w:szCs w:val="18"/>
        </w:rPr>
        <w:t>et al</w:t>
      </w:r>
      <w:r>
        <w:rPr>
          <w:szCs w:val="18"/>
        </w:rPr>
        <w:t xml:space="preserve">. </w:t>
      </w:r>
      <w:r w:rsidRPr="00D24164">
        <w:rPr>
          <w:szCs w:val="18"/>
        </w:rPr>
        <w:t xml:space="preserve">Fluid Balance in Fluid-restricted Patients Receiving 10% Amino acids or 15% Amino acids as Part of Parenteral Nutrition. </w:t>
      </w:r>
      <w:r w:rsidRPr="00D24164">
        <w:rPr>
          <w:i/>
          <w:iCs/>
          <w:szCs w:val="18"/>
        </w:rPr>
        <w:t>Hosp Pharm</w:t>
      </w:r>
      <w:r w:rsidRPr="00D24164">
        <w:rPr>
          <w:szCs w:val="18"/>
        </w:rPr>
        <w:t xml:space="preserve">, </w:t>
      </w:r>
      <w:r>
        <w:rPr>
          <w:szCs w:val="18"/>
        </w:rPr>
        <w:t>1989:</w:t>
      </w:r>
      <w:r w:rsidRPr="00D24164">
        <w:rPr>
          <w:szCs w:val="18"/>
        </w:rPr>
        <w:t>24: 995-998.</w:t>
      </w:r>
    </w:p>
  </w:footnote>
  <w:footnote w:id="11">
    <w:p w:rsidR="00DE6D1E" w:rsidRPr="00D24164" w:rsidRDefault="00DE6D1E" w:rsidP="006367AA">
      <w:pPr>
        <w:pStyle w:val="FootnoteText"/>
        <w:rPr>
          <w:szCs w:val="18"/>
        </w:rPr>
      </w:pPr>
      <w:r w:rsidRPr="00D24164">
        <w:rPr>
          <w:rStyle w:val="FootnoteReference"/>
          <w:szCs w:val="18"/>
        </w:rPr>
        <w:footnoteRef/>
      </w:r>
      <w:r w:rsidRPr="00D24164">
        <w:rPr>
          <w:szCs w:val="18"/>
        </w:rPr>
        <w:t xml:space="preserve"> Other recommendations concerning the PI are beyond the scope of the AusPAR. </w:t>
      </w:r>
    </w:p>
  </w:footnote>
  <w:footnote w:id="12">
    <w:p w:rsidR="00DE6D1E" w:rsidRPr="000F33D5" w:rsidRDefault="00DE6D1E" w:rsidP="000F33D5">
      <w:pPr>
        <w:pStyle w:val="FootnoteText"/>
        <w:rPr>
          <w:szCs w:val="18"/>
        </w:rPr>
      </w:pPr>
      <w:r w:rsidRPr="000F33D5">
        <w:rPr>
          <w:rStyle w:val="FootnoteReference"/>
          <w:szCs w:val="18"/>
        </w:rPr>
        <w:footnoteRef/>
      </w:r>
      <w:r w:rsidRPr="000F33D5">
        <w:rPr>
          <w:szCs w:val="18"/>
        </w:rPr>
        <w:t xml:space="preserve"> With regard to the use of the products in children, the ACPM commented: </w:t>
      </w:r>
      <w:r w:rsidRPr="000F33D5">
        <w:rPr>
          <w:i/>
          <w:iCs/>
          <w:szCs w:val="18"/>
        </w:rPr>
        <w:t>The evidence for efficacy and safety in children is absent. Compared to recommended levels the calculated paediatric dose provides much higher doses of three amino acids and the electrolytes. Paediatric data are necessary in consideration of the apparent excess provided of both amino acids and electrolytes.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pPr>
      <w:rPr>
        <w:noProof/>
        <w:lang w:eastAsia="en-AU"/>
      </w:rPr>
    </w:pPr>
    <w:r w:rsidRPr="00694F84">
      <w:rPr>
        <w:noProof/>
        <w:lang w:eastAsia="en-AU"/>
      </w:rPr>
      <w:drawing>
        <wp:anchor distT="0" distB="0" distL="114300" distR="114300" simplePos="0" relativeHeight="251659264" behindDoc="1" locked="0" layoutInCell="1" allowOverlap="1">
          <wp:simplePos x="0" y="0"/>
          <wp:positionH relativeFrom="column">
            <wp:posOffset>-1091565</wp:posOffset>
          </wp:positionH>
          <wp:positionV relativeFrom="paragraph">
            <wp:posOffset>-583565</wp:posOffset>
          </wp:positionV>
          <wp:extent cx="7570470"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E6D1E" w:rsidRDefault="00487936"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lue.jpg" style="width:424.9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1E" w:rsidRDefault="00DE6D1E" w:rsidP="006E08B3">
    <w:r>
      <w:t>Therapeutic Goods Administration</w:t>
    </w:r>
  </w:p>
  <w:p w:rsidR="00DE6D1E" w:rsidRDefault="00DE6D1E"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clip_image001"/>
      </v:shape>
    </w:pict>
  </w:numPicBullet>
  <w:abstractNum w:abstractNumId="0">
    <w:nsid w:val="FFFFFF7C"/>
    <w:multiLevelType w:val="singleLevel"/>
    <w:tmpl w:val="A3C0A18A"/>
    <w:lvl w:ilvl="0">
      <w:start w:val="1"/>
      <w:numFmt w:val="decimal"/>
      <w:lvlText w:val="%1."/>
      <w:lvlJc w:val="left"/>
      <w:pPr>
        <w:tabs>
          <w:tab w:val="num" w:pos="1492"/>
        </w:tabs>
        <w:ind w:left="1492" w:hanging="360"/>
      </w:pPr>
    </w:lvl>
  </w:abstractNum>
  <w:abstractNum w:abstractNumId="1">
    <w:nsid w:val="FFFFFF7D"/>
    <w:multiLevelType w:val="singleLevel"/>
    <w:tmpl w:val="A2FAD226"/>
    <w:lvl w:ilvl="0">
      <w:start w:val="1"/>
      <w:numFmt w:val="decimal"/>
      <w:lvlText w:val="%1."/>
      <w:lvlJc w:val="left"/>
      <w:pPr>
        <w:tabs>
          <w:tab w:val="num" w:pos="1209"/>
        </w:tabs>
        <w:ind w:left="1209" w:hanging="360"/>
      </w:pPr>
    </w:lvl>
  </w:abstractNum>
  <w:abstractNum w:abstractNumId="2">
    <w:nsid w:val="FFFFFF7E"/>
    <w:multiLevelType w:val="singleLevel"/>
    <w:tmpl w:val="7BB2C02A"/>
    <w:lvl w:ilvl="0">
      <w:start w:val="1"/>
      <w:numFmt w:val="decimal"/>
      <w:lvlText w:val="%1."/>
      <w:lvlJc w:val="left"/>
      <w:pPr>
        <w:tabs>
          <w:tab w:val="num" w:pos="926"/>
        </w:tabs>
        <w:ind w:left="926" w:hanging="360"/>
      </w:pPr>
    </w:lvl>
  </w:abstractNum>
  <w:abstractNum w:abstractNumId="3">
    <w:nsid w:val="FFFFFF7F"/>
    <w:multiLevelType w:val="singleLevel"/>
    <w:tmpl w:val="521C888A"/>
    <w:lvl w:ilvl="0">
      <w:start w:val="1"/>
      <w:numFmt w:val="decimal"/>
      <w:lvlText w:val="%1."/>
      <w:lvlJc w:val="left"/>
      <w:pPr>
        <w:tabs>
          <w:tab w:val="num" w:pos="643"/>
        </w:tabs>
        <w:ind w:left="643" w:hanging="360"/>
      </w:pPr>
    </w:lvl>
  </w:abstractNum>
  <w:abstractNum w:abstractNumId="4">
    <w:nsid w:val="FFFFFF80"/>
    <w:multiLevelType w:val="singleLevel"/>
    <w:tmpl w:val="8102AB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A213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CB40F406"/>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046F5147"/>
    <w:multiLevelType w:val="hybridMultilevel"/>
    <w:tmpl w:val="BEAE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9F363BF"/>
    <w:multiLevelType w:val="hybridMultilevel"/>
    <w:tmpl w:val="6B7CF796"/>
    <w:lvl w:ilvl="0" w:tplc="0C090001">
      <w:start w:val="1"/>
      <w:numFmt w:val="bullet"/>
      <w:lvlText w:val=""/>
      <w:lvlJc w:val="left"/>
      <w:pPr>
        <w:ind w:left="1365" w:hanging="360"/>
      </w:pPr>
      <w:rPr>
        <w:rFonts w:ascii="Symbol" w:hAnsi="Symbol" w:hint="default"/>
      </w:rPr>
    </w:lvl>
    <w:lvl w:ilvl="1" w:tplc="0C090003" w:tentative="1">
      <w:start w:val="1"/>
      <w:numFmt w:val="bullet"/>
      <w:lvlText w:val="o"/>
      <w:lvlJc w:val="left"/>
      <w:pPr>
        <w:ind w:left="2085" w:hanging="360"/>
      </w:pPr>
      <w:rPr>
        <w:rFonts w:ascii="Courier New" w:hAnsi="Courier New" w:cs="Courier New" w:hint="default"/>
      </w:rPr>
    </w:lvl>
    <w:lvl w:ilvl="2" w:tplc="0C090005" w:tentative="1">
      <w:start w:val="1"/>
      <w:numFmt w:val="bullet"/>
      <w:lvlText w:val=""/>
      <w:lvlJc w:val="left"/>
      <w:pPr>
        <w:ind w:left="2805" w:hanging="360"/>
      </w:pPr>
      <w:rPr>
        <w:rFonts w:ascii="Wingdings" w:hAnsi="Wingdings" w:hint="default"/>
      </w:rPr>
    </w:lvl>
    <w:lvl w:ilvl="3" w:tplc="0C090001" w:tentative="1">
      <w:start w:val="1"/>
      <w:numFmt w:val="bullet"/>
      <w:lvlText w:val=""/>
      <w:lvlJc w:val="left"/>
      <w:pPr>
        <w:ind w:left="3525" w:hanging="360"/>
      </w:pPr>
      <w:rPr>
        <w:rFonts w:ascii="Symbol" w:hAnsi="Symbol" w:hint="default"/>
      </w:rPr>
    </w:lvl>
    <w:lvl w:ilvl="4" w:tplc="0C090003" w:tentative="1">
      <w:start w:val="1"/>
      <w:numFmt w:val="bullet"/>
      <w:lvlText w:val="o"/>
      <w:lvlJc w:val="left"/>
      <w:pPr>
        <w:ind w:left="4245" w:hanging="360"/>
      </w:pPr>
      <w:rPr>
        <w:rFonts w:ascii="Courier New" w:hAnsi="Courier New" w:cs="Courier New" w:hint="default"/>
      </w:rPr>
    </w:lvl>
    <w:lvl w:ilvl="5" w:tplc="0C090005" w:tentative="1">
      <w:start w:val="1"/>
      <w:numFmt w:val="bullet"/>
      <w:lvlText w:val=""/>
      <w:lvlJc w:val="left"/>
      <w:pPr>
        <w:ind w:left="4965" w:hanging="360"/>
      </w:pPr>
      <w:rPr>
        <w:rFonts w:ascii="Wingdings" w:hAnsi="Wingdings" w:hint="default"/>
      </w:rPr>
    </w:lvl>
    <w:lvl w:ilvl="6" w:tplc="0C090001" w:tentative="1">
      <w:start w:val="1"/>
      <w:numFmt w:val="bullet"/>
      <w:lvlText w:val=""/>
      <w:lvlJc w:val="left"/>
      <w:pPr>
        <w:ind w:left="5685" w:hanging="360"/>
      </w:pPr>
      <w:rPr>
        <w:rFonts w:ascii="Symbol" w:hAnsi="Symbol" w:hint="default"/>
      </w:rPr>
    </w:lvl>
    <w:lvl w:ilvl="7" w:tplc="0C090003" w:tentative="1">
      <w:start w:val="1"/>
      <w:numFmt w:val="bullet"/>
      <w:lvlText w:val="o"/>
      <w:lvlJc w:val="left"/>
      <w:pPr>
        <w:ind w:left="6405" w:hanging="360"/>
      </w:pPr>
      <w:rPr>
        <w:rFonts w:ascii="Courier New" w:hAnsi="Courier New" w:cs="Courier New" w:hint="default"/>
      </w:rPr>
    </w:lvl>
    <w:lvl w:ilvl="8" w:tplc="0C090005" w:tentative="1">
      <w:start w:val="1"/>
      <w:numFmt w:val="bullet"/>
      <w:lvlText w:val=""/>
      <w:lvlJc w:val="left"/>
      <w:pPr>
        <w:ind w:left="7125" w:hanging="360"/>
      </w:pPr>
      <w:rPr>
        <w:rFonts w:ascii="Wingdings" w:hAnsi="Wingdings" w:hint="default"/>
      </w:rPr>
    </w:lvl>
  </w:abstractNum>
  <w:abstractNum w:abstractNumId="13">
    <w:nsid w:val="0A7B532B"/>
    <w:multiLevelType w:val="hybridMultilevel"/>
    <w:tmpl w:val="9AC4D692"/>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5">
    <w:nsid w:val="10860919"/>
    <w:multiLevelType w:val="hybridMultilevel"/>
    <w:tmpl w:val="856C1C02"/>
    <w:lvl w:ilvl="0" w:tplc="D0F4A918">
      <w:start w:val="1"/>
      <w:numFmt w:val="bullet"/>
      <w:lvlText w:val=""/>
      <w:lvlPicBulletId w:val="0"/>
      <w:lvlJc w:val="left"/>
      <w:pPr>
        <w:tabs>
          <w:tab w:val="num" w:pos="644"/>
        </w:tabs>
        <w:ind w:left="644"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194B0A99"/>
    <w:multiLevelType w:val="hybridMultilevel"/>
    <w:tmpl w:val="2DB8443C"/>
    <w:lvl w:ilvl="0" w:tplc="0C090001">
      <w:start w:val="1"/>
      <w:numFmt w:val="bullet"/>
      <w:lvlText w:val=""/>
      <w:lvlJc w:val="left"/>
      <w:pPr>
        <w:ind w:left="1005" w:hanging="360"/>
      </w:pPr>
      <w:rPr>
        <w:rFonts w:ascii="Symbol" w:hAnsi="Symbol" w:hint="default"/>
      </w:rPr>
    </w:lvl>
    <w:lvl w:ilvl="1" w:tplc="0C090003">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8">
    <w:nsid w:val="24FE6444"/>
    <w:multiLevelType w:val="hybridMultilevel"/>
    <w:tmpl w:val="96D05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20E7D5B"/>
    <w:multiLevelType w:val="hybridMultilevel"/>
    <w:tmpl w:val="B27E3AE6"/>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4518683E"/>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592109DB"/>
    <w:multiLevelType w:val="hybridMultilevel"/>
    <w:tmpl w:val="88FEE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D014D0"/>
    <w:multiLevelType w:val="hybridMultilevel"/>
    <w:tmpl w:val="488C79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16"/>
  </w:num>
  <w:num w:numId="4">
    <w:abstractNumId w:val="16"/>
  </w:num>
  <w:num w:numId="5">
    <w:abstractNumId w:val="6"/>
  </w:num>
  <w:num w:numId="6">
    <w:abstractNumId w:val="16"/>
  </w:num>
  <w:num w:numId="7">
    <w:abstractNumId w:val="16"/>
  </w:num>
  <w:num w:numId="8">
    <w:abstractNumId w:val="14"/>
  </w:num>
  <w:num w:numId="9">
    <w:abstractNumId w:val="14"/>
  </w:num>
  <w:num w:numId="10">
    <w:abstractNumId w:val="14"/>
  </w:num>
  <w:num w:numId="11">
    <w:abstractNumId w:val="14"/>
  </w:num>
  <w:num w:numId="12">
    <w:abstractNumId w:val="10"/>
    <w:lvlOverride w:ilvl="0">
      <w:lvl w:ilvl="0">
        <w:numFmt w:val="bullet"/>
        <w:lvlText w:val="•"/>
        <w:legacy w:legacy="1" w:legacySpace="0" w:legacyIndent="0"/>
        <w:lvlJc w:val="left"/>
        <w:rPr>
          <w:rFonts w:ascii="Helv" w:hAnsi="Helv" w:hint="default"/>
        </w:rPr>
      </w:lvl>
    </w:lvlOverride>
  </w:num>
  <w:num w:numId="13">
    <w:abstractNumId w:val="16"/>
  </w:num>
  <w:num w:numId="14">
    <w:abstractNumId w:val="16"/>
  </w:num>
  <w:num w:numId="15">
    <w:abstractNumId w:val="16"/>
  </w:num>
  <w:num w:numId="16">
    <w:abstractNumId w:val="14"/>
  </w:num>
  <w:num w:numId="17">
    <w:abstractNumId w:val="14"/>
  </w:num>
  <w:num w:numId="18">
    <w:abstractNumId w:val="14"/>
  </w:num>
  <w:num w:numId="19">
    <w:abstractNumId w:val="16"/>
  </w:num>
  <w:num w:numId="20">
    <w:abstractNumId w:val="16"/>
  </w:num>
  <w:num w:numId="21">
    <w:abstractNumId w:val="16"/>
  </w:num>
  <w:num w:numId="22">
    <w:abstractNumId w:val="14"/>
  </w:num>
  <w:num w:numId="23">
    <w:abstractNumId w:val="14"/>
  </w:num>
  <w:num w:numId="24">
    <w:abstractNumId w:val="14"/>
  </w:num>
  <w:num w:numId="25">
    <w:abstractNumId w:val="1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22"/>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7"/>
  </w:num>
  <w:num w:numId="37">
    <w:abstractNumId w:val="12"/>
  </w:num>
  <w:num w:numId="38">
    <w:abstractNumId w:val="1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2050">
      <o:colormenu v:ext="edit" fillcolor="none [3206]"/>
    </o:shapedefaults>
  </w:hdrShapeDefaults>
  <w:footnotePr>
    <w:footnote w:id="-1"/>
    <w:footnote w:id="0"/>
  </w:footnotePr>
  <w:endnotePr>
    <w:endnote w:id="-1"/>
    <w:endnote w:id="0"/>
  </w:endnotePr>
  <w:compat/>
  <w:rsids>
    <w:rsidRoot w:val="00D63154"/>
    <w:rsid w:val="00002031"/>
    <w:rsid w:val="000027C3"/>
    <w:rsid w:val="00004734"/>
    <w:rsid w:val="00006B22"/>
    <w:rsid w:val="00011154"/>
    <w:rsid w:val="0001276A"/>
    <w:rsid w:val="000246AE"/>
    <w:rsid w:val="00025C67"/>
    <w:rsid w:val="00033D3C"/>
    <w:rsid w:val="00041CD0"/>
    <w:rsid w:val="00054C01"/>
    <w:rsid w:val="0005559E"/>
    <w:rsid w:val="00056F4A"/>
    <w:rsid w:val="000623E1"/>
    <w:rsid w:val="00071FAA"/>
    <w:rsid w:val="00077775"/>
    <w:rsid w:val="000817EC"/>
    <w:rsid w:val="00090471"/>
    <w:rsid w:val="00096AA7"/>
    <w:rsid w:val="000A3AED"/>
    <w:rsid w:val="000B123B"/>
    <w:rsid w:val="000B3532"/>
    <w:rsid w:val="000B3A75"/>
    <w:rsid w:val="000B7A39"/>
    <w:rsid w:val="000C690F"/>
    <w:rsid w:val="000D1295"/>
    <w:rsid w:val="000D391B"/>
    <w:rsid w:val="000D3D6D"/>
    <w:rsid w:val="000D4FC7"/>
    <w:rsid w:val="000D73AC"/>
    <w:rsid w:val="000E15CA"/>
    <w:rsid w:val="000F33D5"/>
    <w:rsid w:val="000F4869"/>
    <w:rsid w:val="000F5B42"/>
    <w:rsid w:val="000F6E6F"/>
    <w:rsid w:val="0010601F"/>
    <w:rsid w:val="0010788A"/>
    <w:rsid w:val="00107A31"/>
    <w:rsid w:val="00110EA5"/>
    <w:rsid w:val="00112F56"/>
    <w:rsid w:val="001176E3"/>
    <w:rsid w:val="00125318"/>
    <w:rsid w:val="001305A2"/>
    <w:rsid w:val="00133238"/>
    <w:rsid w:val="00134F54"/>
    <w:rsid w:val="0013713C"/>
    <w:rsid w:val="001417C1"/>
    <w:rsid w:val="0014197B"/>
    <w:rsid w:val="0014361A"/>
    <w:rsid w:val="001447CD"/>
    <w:rsid w:val="001516B1"/>
    <w:rsid w:val="00154EBB"/>
    <w:rsid w:val="00156316"/>
    <w:rsid w:val="00162D14"/>
    <w:rsid w:val="001639C8"/>
    <w:rsid w:val="00165389"/>
    <w:rsid w:val="0016569A"/>
    <w:rsid w:val="0017693F"/>
    <w:rsid w:val="0018110E"/>
    <w:rsid w:val="00181684"/>
    <w:rsid w:val="001843C6"/>
    <w:rsid w:val="001850E0"/>
    <w:rsid w:val="001A0B63"/>
    <w:rsid w:val="001A2158"/>
    <w:rsid w:val="001A326D"/>
    <w:rsid w:val="001A525F"/>
    <w:rsid w:val="001B09F9"/>
    <w:rsid w:val="001B439D"/>
    <w:rsid w:val="001B6448"/>
    <w:rsid w:val="001E07CF"/>
    <w:rsid w:val="001E59F1"/>
    <w:rsid w:val="001F49EB"/>
    <w:rsid w:val="001F6CBA"/>
    <w:rsid w:val="00201D4E"/>
    <w:rsid w:val="002076C9"/>
    <w:rsid w:val="0021008B"/>
    <w:rsid w:val="00220084"/>
    <w:rsid w:val="002202B8"/>
    <w:rsid w:val="00220B8A"/>
    <w:rsid w:val="002257F3"/>
    <w:rsid w:val="00233456"/>
    <w:rsid w:val="002339A5"/>
    <w:rsid w:val="00257848"/>
    <w:rsid w:val="0027084A"/>
    <w:rsid w:val="00286434"/>
    <w:rsid w:val="00286C59"/>
    <w:rsid w:val="00291957"/>
    <w:rsid w:val="002942D1"/>
    <w:rsid w:val="0029501A"/>
    <w:rsid w:val="002B1638"/>
    <w:rsid w:val="002B3E4C"/>
    <w:rsid w:val="002C188E"/>
    <w:rsid w:val="002C22DF"/>
    <w:rsid w:val="002C5893"/>
    <w:rsid w:val="002E2D9D"/>
    <w:rsid w:val="002E3D74"/>
    <w:rsid w:val="002E4C9A"/>
    <w:rsid w:val="002F07A8"/>
    <w:rsid w:val="002F11F8"/>
    <w:rsid w:val="002F3F56"/>
    <w:rsid w:val="002F44B5"/>
    <w:rsid w:val="00311AC0"/>
    <w:rsid w:val="0032032E"/>
    <w:rsid w:val="003217C0"/>
    <w:rsid w:val="0032583B"/>
    <w:rsid w:val="00327883"/>
    <w:rsid w:val="00335504"/>
    <w:rsid w:val="003403C7"/>
    <w:rsid w:val="00342E7F"/>
    <w:rsid w:val="003521E8"/>
    <w:rsid w:val="003728F3"/>
    <w:rsid w:val="0037496E"/>
    <w:rsid w:val="00386150"/>
    <w:rsid w:val="003874CE"/>
    <w:rsid w:val="00390900"/>
    <w:rsid w:val="003A7F6C"/>
    <w:rsid w:val="003B4D60"/>
    <w:rsid w:val="003B7E39"/>
    <w:rsid w:val="003C58DC"/>
    <w:rsid w:val="003D1E62"/>
    <w:rsid w:val="003D4A1B"/>
    <w:rsid w:val="003E2486"/>
    <w:rsid w:val="003E3208"/>
    <w:rsid w:val="003E7CB1"/>
    <w:rsid w:val="003F0B04"/>
    <w:rsid w:val="0040134E"/>
    <w:rsid w:val="00404067"/>
    <w:rsid w:val="00404E24"/>
    <w:rsid w:val="004153BE"/>
    <w:rsid w:val="00432FAB"/>
    <w:rsid w:val="00440A2D"/>
    <w:rsid w:val="004432B0"/>
    <w:rsid w:val="004564A7"/>
    <w:rsid w:val="004617BF"/>
    <w:rsid w:val="00463658"/>
    <w:rsid w:val="004722CC"/>
    <w:rsid w:val="00482AC1"/>
    <w:rsid w:val="00487936"/>
    <w:rsid w:val="004936E4"/>
    <w:rsid w:val="00494E60"/>
    <w:rsid w:val="00497487"/>
    <w:rsid w:val="004B3262"/>
    <w:rsid w:val="004B4DE5"/>
    <w:rsid w:val="004B7B76"/>
    <w:rsid w:val="004C239D"/>
    <w:rsid w:val="004C2DCA"/>
    <w:rsid w:val="004D16C4"/>
    <w:rsid w:val="004F0F38"/>
    <w:rsid w:val="00501921"/>
    <w:rsid w:val="00502AF0"/>
    <w:rsid w:val="00514029"/>
    <w:rsid w:val="00530354"/>
    <w:rsid w:val="005334B7"/>
    <w:rsid w:val="0053625B"/>
    <w:rsid w:val="005434C6"/>
    <w:rsid w:val="00543B39"/>
    <w:rsid w:val="00550096"/>
    <w:rsid w:val="005525D2"/>
    <w:rsid w:val="00553EDD"/>
    <w:rsid w:val="00557FF9"/>
    <w:rsid w:val="0056129B"/>
    <w:rsid w:val="00576378"/>
    <w:rsid w:val="00577130"/>
    <w:rsid w:val="00577945"/>
    <w:rsid w:val="00577E38"/>
    <w:rsid w:val="00580A6C"/>
    <w:rsid w:val="00585322"/>
    <w:rsid w:val="005857C6"/>
    <w:rsid w:val="00592F6E"/>
    <w:rsid w:val="00593AD1"/>
    <w:rsid w:val="005A68B6"/>
    <w:rsid w:val="005C2109"/>
    <w:rsid w:val="005C3313"/>
    <w:rsid w:val="005C5570"/>
    <w:rsid w:val="005C74BB"/>
    <w:rsid w:val="005C79A4"/>
    <w:rsid w:val="005D5442"/>
    <w:rsid w:val="005D732A"/>
    <w:rsid w:val="005E34DE"/>
    <w:rsid w:val="00603F32"/>
    <w:rsid w:val="0060525F"/>
    <w:rsid w:val="00612919"/>
    <w:rsid w:val="0061295C"/>
    <w:rsid w:val="006174B1"/>
    <w:rsid w:val="00625A6E"/>
    <w:rsid w:val="00632398"/>
    <w:rsid w:val="006367AA"/>
    <w:rsid w:val="00640FC3"/>
    <w:rsid w:val="00642020"/>
    <w:rsid w:val="0065337B"/>
    <w:rsid w:val="0065419D"/>
    <w:rsid w:val="006604D8"/>
    <w:rsid w:val="00664A5B"/>
    <w:rsid w:val="006763D2"/>
    <w:rsid w:val="00680C08"/>
    <w:rsid w:val="00690F48"/>
    <w:rsid w:val="006931B1"/>
    <w:rsid w:val="00694F84"/>
    <w:rsid w:val="006A15C0"/>
    <w:rsid w:val="006C2E68"/>
    <w:rsid w:val="006C3E2A"/>
    <w:rsid w:val="006C642F"/>
    <w:rsid w:val="006C7C17"/>
    <w:rsid w:val="006D03E5"/>
    <w:rsid w:val="006D5D3E"/>
    <w:rsid w:val="006E0465"/>
    <w:rsid w:val="006E08B3"/>
    <w:rsid w:val="006F17AC"/>
    <w:rsid w:val="006F572E"/>
    <w:rsid w:val="007046D6"/>
    <w:rsid w:val="0070598C"/>
    <w:rsid w:val="00705DB0"/>
    <w:rsid w:val="007060A5"/>
    <w:rsid w:val="00721029"/>
    <w:rsid w:val="00721ACB"/>
    <w:rsid w:val="00722B57"/>
    <w:rsid w:val="0074253D"/>
    <w:rsid w:val="0074429B"/>
    <w:rsid w:val="007615BC"/>
    <w:rsid w:val="00762F05"/>
    <w:rsid w:val="007652FF"/>
    <w:rsid w:val="00770EF1"/>
    <w:rsid w:val="00773EF7"/>
    <w:rsid w:val="00774E1D"/>
    <w:rsid w:val="0077675A"/>
    <w:rsid w:val="00777AA0"/>
    <w:rsid w:val="00780355"/>
    <w:rsid w:val="00785721"/>
    <w:rsid w:val="007919F4"/>
    <w:rsid w:val="00793A59"/>
    <w:rsid w:val="007B0A13"/>
    <w:rsid w:val="007B6E9F"/>
    <w:rsid w:val="007C1216"/>
    <w:rsid w:val="007C1AF7"/>
    <w:rsid w:val="007E0D1A"/>
    <w:rsid w:val="007F186E"/>
    <w:rsid w:val="00805D27"/>
    <w:rsid w:val="00817026"/>
    <w:rsid w:val="00821776"/>
    <w:rsid w:val="008321F5"/>
    <w:rsid w:val="00832369"/>
    <w:rsid w:val="00834660"/>
    <w:rsid w:val="00836BC2"/>
    <w:rsid w:val="00840F83"/>
    <w:rsid w:val="00845089"/>
    <w:rsid w:val="0085641B"/>
    <w:rsid w:val="00857136"/>
    <w:rsid w:val="008708AD"/>
    <w:rsid w:val="00873C4E"/>
    <w:rsid w:val="00885B11"/>
    <w:rsid w:val="00886D15"/>
    <w:rsid w:val="00887DD8"/>
    <w:rsid w:val="00895F87"/>
    <w:rsid w:val="00896018"/>
    <w:rsid w:val="008960DD"/>
    <w:rsid w:val="0089635C"/>
    <w:rsid w:val="008A16D9"/>
    <w:rsid w:val="008A2B9D"/>
    <w:rsid w:val="008A5E0B"/>
    <w:rsid w:val="008A5E9B"/>
    <w:rsid w:val="008A6D59"/>
    <w:rsid w:val="008B4B03"/>
    <w:rsid w:val="008B596F"/>
    <w:rsid w:val="008B665D"/>
    <w:rsid w:val="008C159F"/>
    <w:rsid w:val="008C1623"/>
    <w:rsid w:val="008C1850"/>
    <w:rsid w:val="008C51A9"/>
    <w:rsid w:val="008D4FB9"/>
    <w:rsid w:val="008D6E08"/>
    <w:rsid w:val="008E7846"/>
    <w:rsid w:val="008F1CCC"/>
    <w:rsid w:val="008F2967"/>
    <w:rsid w:val="008F6943"/>
    <w:rsid w:val="00902A21"/>
    <w:rsid w:val="00920330"/>
    <w:rsid w:val="00921855"/>
    <w:rsid w:val="009219D7"/>
    <w:rsid w:val="00922D53"/>
    <w:rsid w:val="00922F9B"/>
    <w:rsid w:val="00923B70"/>
    <w:rsid w:val="00924482"/>
    <w:rsid w:val="009274B7"/>
    <w:rsid w:val="00930237"/>
    <w:rsid w:val="00940FF7"/>
    <w:rsid w:val="00946EA5"/>
    <w:rsid w:val="0096180A"/>
    <w:rsid w:val="00963C08"/>
    <w:rsid w:val="00975E12"/>
    <w:rsid w:val="0098585A"/>
    <w:rsid w:val="009A4CED"/>
    <w:rsid w:val="009A690D"/>
    <w:rsid w:val="009B1D12"/>
    <w:rsid w:val="009B416B"/>
    <w:rsid w:val="009B5C45"/>
    <w:rsid w:val="009C4BD5"/>
    <w:rsid w:val="009D7B77"/>
    <w:rsid w:val="009E0BB0"/>
    <w:rsid w:val="009E3FBB"/>
    <w:rsid w:val="00A102E4"/>
    <w:rsid w:val="00A12C42"/>
    <w:rsid w:val="00A14DF7"/>
    <w:rsid w:val="00A271B3"/>
    <w:rsid w:val="00A3246D"/>
    <w:rsid w:val="00A36FA7"/>
    <w:rsid w:val="00A433B7"/>
    <w:rsid w:val="00A475B7"/>
    <w:rsid w:val="00A47AF7"/>
    <w:rsid w:val="00A47C3E"/>
    <w:rsid w:val="00A50226"/>
    <w:rsid w:val="00A52994"/>
    <w:rsid w:val="00A60BAD"/>
    <w:rsid w:val="00A812C9"/>
    <w:rsid w:val="00A84E36"/>
    <w:rsid w:val="00A90E54"/>
    <w:rsid w:val="00A964D1"/>
    <w:rsid w:val="00AA0ED0"/>
    <w:rsid w:val="00AA47D6"/>
    <w:rsid w:val="00AB65C8"/>
    <w:rsid w:val="00AC2B40"/>
    <w:rsid w:val="00AC2BB2"/>
    <w:rsid w:val="00AC2C3C"/>
    <w:rsid w:val="00AC512D"/>
    <w:rsid w:val="00AD0083"/>
    <w:rsid w:val="00AD6A07"/>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738F3"/>
    <w:rsid w:val="00B76B91"/>
    <w:rsid w:val="00B77EB1"/>
    <w:rsid w:val="00B811C6"/>
    <w:rsid w:val="00B855B0"/>
    <w:rsid w:val="00B92E08"/>
    <w:rsid w:val="00BC622A"/>
    <w:rsid w:val="00BD4126"/>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83289"/>
    <w:rsid w:val="00C91B49"/>
    <w:rsid w:val="00CB6BC0"/>
    <w:rsid w:val="00CC0CBC"/>
    <w:rsid w:val="00CC1B7C"/>
    <w:rsid w:val="00CC727F"/>
    <w:rsid w:val="00CE3FB7"/>
    <w:rsid w:val="00CF15C3"/>
    <w:rsid w:val="00CF2B6F"/>
    <w:rsid w:val="00CF58B6"/>
    <w:rsid w:val="00D017ED"/>
    <w:rsid w:val="00D040D3"/>
    <w:rsid w:val="00D04C65"/>
    <w:rsid w:val="00D224FE"/>
    <w:rsid w:val="00D24164"/>
    <w:rsid w:val="00D57A6B"/>
    <w:rsid w:val="00D63154"/>
    <w:rsid w:val="00D6493E"/>
    <w:rsid w:val="00D7301E"/>
    <w:rsid w:val="00D83AE1"/>
    <w:rsid w:val="00D855D4"/>
    <w:rsid w:val="00D919B2"/>
    <w:rsid w:val="00D93466"/>
    <w:rsid w:val="00DA1124"/>
    <w:rsid w:val="00DB2E29"/>
    <w:rsid w:val="00DB657A"/>
    <w:rsid w:val="00DB75B7"/>
    <w:rsid w:val="00DC6E02"/>
    <w:rsid w:val="00DE02AE"/>
    <w:rsid w:val="00DE3733"/>
    <w:rsid w:val="00DE6D1E"/>
    <w:rsid w:val="00DE79CB"/>
    <w:rsid w:val="00DF1D7F"/>
    <w:rsid w:val="00DF4BE4"/>
    <w:rsid w:val="00E02FB4"/>
    <w:rsid w:val="00E076D2"/>
    <w:rsid w:val="00E20571"/>
    <w:rsid w:val="00E235F7"/>
    <w:rsid w:val="00E23659"/>
    <w:rsid w:val="00E239D4"/>
    <w:rsid w:val="00E26130"/>
    <w:rsid w:val="00E332D9"/>
    <w:rsid w:val="00E40B22"/>
    <w:rsid w:val="00E44668"/>
    <w:rsid w:val="00E45619"/>
    <w:rsid w:val="00E4588F"/>
    <w:rsid w:val="00E46DA3"/>
    <w:rsid w:val="00E51BB1"/>
    <w:rsid w:val="00E55DC6"/>
    <w:rsid w:val="00E624A5"/>
    <w:rsid w:val="00E7344E"/>
    <w:rsid w:val="00E768FB"/>
    <w:rsid w:val="00E91A90"/>
    <w:rsid w:val="00EB0798"/>
    <w:rsid w:val="00EB13D2"/>
    <w:rsid w:val="00EB40AD"/>
    <w:rsid w:val="00EB586E"/>
    <w:rsid w:val="00EB5FC8"/>
    <w:rsid w:val="00EC2D04"/>
    <w:rsid w:val="00ED3CAD"/>
    <w:rsid w:val="00ED5A41"/>
    <w:rsid w:val="00EE1DE8"/>
    <w:rsid w:val="00EF3EF7"/>
    <w:rsid w:val="00F033EC"/>
    <w:rsid w:val="00F04F68"/>
    <w:rsid w:val="00F12670"/>
    <w:rsid w:val="00F1354A"/>
    <w:rsid w:val="00F14B27"/>
    <w:rsid w:val="00F3148D"/>
    <w:rsid w:val="00F325C5"/>
    <w:rsid w:val="00F32FE0"/>
    <w:rsid w:val="00F35298"/>
    <w:rsid w:val="00F47333"/>
    <w:rsid w:val="00F47E37"/>
    <w:rsid w:val="00F53B49"/>
    <w:rsid w:val="00F53C07"/>
    <w:rsid w:val="00F54B65"/>
    <w:rsid w:val="00F553EB"/>
    <w:rsid w:val="00F57DF5"/>
    <w:rsid w:val="00F640B6"/>
    <w:rsid w:val="00F704D4"/>
    <w:rsid w:val="00F77119"/>
    <w:rsid w:val="00F80E40"/>
    <w:rsid w:val="00F848D9"/>
    <w:rsid w:val="00F85178"/>
    <w:rsid w:val="00F9039C"/>
    <w:rsid w:val="00F91F65"/>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91F6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Normal"/>
    <w:qFormat/>
    <w:rsid w:val="0070598C"/>
    <w:pPr>
      <w:spacing w:before="0" w:after="0" w:line="240" w:lineRule="auto"/>
    </w:pPr>
    <w:rPr>
      <w:sz w:val="18"/>
      <w:szCs w:val="18"/>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point">
    <w:name w:val="Bullet point"/>
    <w:basedOn w:val="Normal"/>
    <w:rsid w:val="005C74BB"/>
    <w:pPr>
      <w:numPr>
        <w:numId w:val="27"/>
      </w:numPr>
      <w:tabs>
        <w:tab w:val="clear" w:pos="369"/>
        <w:tab w:val="left" w:pos="397"/>
        <w:tab w:val="num" w:pos="511"/>
      </w:tabs>
      <w:snapToGrid w:val="0"/>
      <w:spacing w:before="0" w:after="180" w:line="252" w:lineRule="auto"/>
      <w:ind w:left="397" w:firstLine="0"/>
    </w:pPr>
    <w:rPr>
      <w:rFonts w:eastAsia="Times New Roman"/>
      <w:snapToGrid w:val="0"/>
      <w:kern w:val="16"/>
      <w:sz w:val="23"/>
      <w:szCs w:val="24"/>
    </w:rPr>
  </w:style>
  <w:style w:type="paragraph" w:styleId="FootnoteText">
    <w:name w:val="footnote text"/>
    <w:basedOn w:val="Normal"/>
    <w:link w:val="FootnoteTextChar"/>
    <w:uiPriority w:val="99"/>
    <w:unhideWhenUsed/>
    <w:rsid w:val="00F91F65"/>
    <w:pPr>
      <w:spacing w:before="0" w:after="0" w:line="240" w:lineRule="auto"/>
    </w:pPr>
    <w:rPr>
      <w:sz w:val="18"/>
      <w:szCs w:val="20"/>
    </w:rPr>
  </w:style>
  <w:style w:type="character" w:customStyle="1" w:styleId="FootnoteTextChar">
    <w:name w:val="Footnote Text Char"/>
    <w:basedOn w:val="DefaultParagraphFont"/>
    <w:link w:val="FootnoteText"/>
    <w:uiPriority w:val="99"/>
    <w:rsid w:val="00F91F65"/>
    <w:rPr>
      <w:rFonts w:ascii="Cambria" w:eastAsia="Cambria" w:hAnsi="Cambria" w:cs="Times New Roman"/>
      <w:sz w:val="18"/>
      <w:szCs w:val="20"/>
    </w:rPr>
  </w:style>
  <w:style w:type="character" w:styleId="FootnoteReference">
    <w:name w:val="footnote reference"/>
    <w:basedOn w:val="DefaultParagraphFont"/>
    <w:semiHidden/>
    <w:unhideWhenUsed/>
    <w:rsid w:val="0014361A"/>
    <w:rPr>
      <w:vertAlign w:val="superscript"/>
    </w:rPr>
  </w:style>
  <w:style w:type="paragraph" w:styleId="ListParagraph">
    <w:name w:val="List Paragraph"/>
    <w:basedOn w:val="Normal"/>
    <w:uiPriority w:val="34"/>
    <w:rsid w:val="008A5E9B"/>
    <w:pPr>
      <w:spacing w:before="180" w:after="180"/>
      <w:ind w:left="720"/>
      <w:contextualSpacing/>
    </w:pPr>
  </w:style>
  <w:style w:type="paragraph" w:styleId="DocumentMap">
    <w:name w:val="Document Map"/>
    <w:basedOn w:val="Normal"/>
    <w:link w:val="DocumentMapChar"/>
    <w:uiPriority w:val="99"/>
    <w:semiHidden/>
    <w:unhideWhenUsed/>
    <w:rsid w:val="003217C0"/>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17C0"/>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734754">
      <w:bodyDiv w:val="1"/>
      <w:marLeft w:val="0"/>
      <w:marRight w:val="0"/>
      <w:marTop w:val="0"/>
      <w:marBottom w:val="0"/>
      <w:divBdr>
        <w:top w:val="none" w:sz="0" w:space="0" w:color="auto"/>
        <w:left w:val="none" w:sz="0" w:space="0" w:color="auto"/>
        <w:bottom w:val="none" w:sz="0" w:space="0" w:color="auto"/>
        <w:right w:val="none" w:sz="0" w:space="0" w:color="auto"/>
      </w:divBdr>
    </w:div>
    <w:div w:id="265041544">
      <w:bodyDiv w:val="1"/>
      <w:marLeft w:val="0"/>
      <w:marRight w:val="0"/>
      <w:marTop w:val="0"/>
      <w:marBottom w:val="0"/>
      <w:divBdr>
        <w:top w:val="none" w:sz="0" w:space="0" w:color="auto"/>
        <w:left w:val="none" w:sz="0" w:space="0" w:color="auto"/>
        <w:bottom w:val="none" w:sz="0" w:space="0" w:color="auto"/>
        <w:right w:val="none" w:sz="0" w:space="0" w:color="auto"/>
      </w:divBdr>
    </w:div>
    <w:div w:id="321932749">
      <w:bodyDiv w:val="1"/>
      <w:marLeft w:val="0"/>
      <w:marRight w:val="0"/>
      <w:marTop w:val="0"/>
      <w:marBottom w:val="0"/>
      <w:divBdr>
        <w:top w:val="none" w:sz="0" w:space="0" w:color="auto"/>
        <w:left w:val="none" w:sz="0" w:space="0" w:color="auto"/>
        <w:bottom w:val="none" w:sz="0" w:space="0" w:color="auto"/>
        <w:right w:val="none" w:sz="0" w:space="0" w:color="auto"/>
      </w:divBdr>
    </w:div>
    <w:div w:id="358744245">
      <w:bodyDiv w:val="1"/>
      <w:marLeft w:val="0"/>
      <w:marRight w:val="0"/>
      <w:marTop w:val="0"/>
      <w:marBottom w:val="0"/>
      <w:divBdr>
        <w:top w:val="none" w:sz="0" w:space="0" w:color="auto"/>
        <w:left w:val="none" w:sz="0" w:space="0" w:color="auto"/>
        <w:bottom w:val="none" w:sz="0" w:space="0" w:color="auto"/>
        <w:right w:val="none" w:sz="0" w:space="0" w:color="auto"/>
      </w:divBdr>
    </w:div>
    <w:div w:id="379596268">
      <w:bodyDiv w:val="1"/>
      <w:marLeft w:val="0"/>
      <w:marRight w:val="0"/>
      <w:marTop w:val="0"/>
      <w:marBottom w:val="0"/>
      <w:divBdr>
        <w:top w:val="none" w:sz="0" w:space="0" w:color="auto"/>
        <w:left w:val="none" w:sz="0" w:space="0" w:color="auto"/>
        <w:bottom w:val="none" w:sz="0" w:space="0" w:color="auto"/>
        <w:right w:val="none" w:sz="0" w:space="0" w:color="auto"/>
      </w:divBdr>
    </w:div>
    <w:div w:id="398983340">
      <w:bodyDiv w:val="1"/>
      <w:marLeft w:val="0"/>
      <w:marRight w:val="0"/>
      <w:marTop w:val="0"/>
      <w:marBottom w:val="0"/>
      <w:divBdr>
        <w:top w:val="none" w:sz="0" w:space="0" w:color="auto"/>
        <w:left w:val="none" w:sz="0" w:space="0" w:color="auto"/>
        <w:bottom w:val="none" w:sz="0" w:space="0" w:color="auto"/>
        <w:right w:val="none" w:sz="0" w:space="0" w:color="auto"/>
      </w:divBdr>
    </w:div>
    <w:div w:id="407968820">
      <w:bodyDiv w:val="1"/>
      <w:marLeft w:val="0"/>
      <w:marRight w:val="0"/>
      <w:marTop w:val="0"/>
      <w:marBottom w:val="0"/>
      <w:divBdr>
        <w:top w:val="none" w:sz="0" w:space="0" w:color="auto"/>
        <w:left w:val="none" w:sz="0" w:space="0" w:color="auto"/>
        <w:bottom w:val="none" w:sz="0" w:space="0" w:color="auto"/>
        <w:right w:val="none" w:sz="0" w:space="0" w:color="auto"/>
      </w:divBdr>
    </w:div>
    <w:div w:id="457795455">
      <w:bodyDiv w:val="1"/>
      <w:marLeft w:val="0"/>
      <w:marRight w:val="0"/>
      <w:marTop w:val="0"/>
      <w:marBottom w:val="0"/>
      <w:divBdr>
        <w:top w:val="none" w:sz="0" w:space="0" w:color="auto"/>
        <w:left w:val="none" w:sz="0" w:space="0" w:color="auto"/>
        <w:bottom w:val="none" w:sz="0" w:space="0" w:color="auto"/>
        <w:right w:val="none" w:sz="0" w:space="0" w:color="auto"/>
      </w:divBdr>
    </w:div>
    <w:div w:id="499009411">
      <w:bodyDiv w:val="1"/>
      <w:marLeft w:val="0"/>
      <w:marRight w:val="0"/>
      <w:marTop w:val="0"/>
      <w:marBottom w:val="0"/>
      <w:divBdr>
        <w:top w:val="none" w:sz="0" w:space="0" w:color="auto"/>
        <w:left w:val="none" w:sz="0" w:space="0" w:color="auto"/>
        <w:bottom w:val="none" w:sz="0" w:space="0" w:color="auto"/>
        <w:right w:val="none" w:sz="0" w:space="0" w:color="auto"/>
      </w:divBdr>
    </w:div>
    <w:div w:id="523327063">
      <w:bodyDiv w:val="1"/>
      <w:marLeft w:val="0"/>
      <w:marRight w:val="0"/>
      <w:marTop w:val="0"/>
      <w:marBottom w:val="0"/>
      <w:divBdr>
        <w:top w:val="none" w:sz="0" w:space="0" w:color="auto"/>
        <w:left w:val="none" w:sz="0" w:space="0" w:color="auto"/>
        <w:bottom w:val="none" w:sz="0" w:space="0" w:color="auto"/>
        <w:right w:val="none" w:sz="0" w:space="0" w:color="auto"/>
      </w:divBdr>
    </w:div>
    <w:div w:id="545025511">
      <w:bodyDiv w:val="1"/>
      <w:marLeft w:val="0"/>
      <w:marRight w:val="0"/>
      <w:marTop w:val="0"/>
      <w:marBottom w:val="0"/>
      <w:divBdr>
        <w:top w:val="none" w:sz="0" w:space="0" w:color="auto"/>
        <w:left w:val="none" w:sz="0" w:space="0" w:color="auto"/>
        <w:bottom w:val="none" w:sz="0" w:space="0" w:color="auto"/>
        <w:right w:val="none" w:sz="0" w:space="0" w:color="auto"/>
      </w:divBdr>
    </w:div>
    <w:div w:id="553855488">
      <w:bodyDiv w:val="1"/>
      <w:marLeft w:val="0"/>
      <w:marRight w:val="0"/>
      <w:marTop w:val="0"/>
      <w:marBottom w:val="0"/>
      <w:divBdr>
        <w:top w:val="none" w:sz="0" w:space="0" w:color="auto"/>
        <w:left w:val="none" w:sz="0" w:space="0" w:color="auto"/>
        <w:bottom w:val="none" w:sz="0" w:space="0" w:color="auto"/>
        <w:right w:val="none" w:sz="0" w:space="0" w:color="auto"/>
      </w:divBdr>
    </w:div>
    <w:div w:id="576551850">
      <w:bodyDiv w:val="1"/>
      <w:marLeft w:val="0"/>
      <w:marRight w:val="0"/>
      <w:marTop w:val="0"/>
      <w:marBottom w:val="0"/>
      <w:divBdr>
        <w:top w:val="none" w:sz="0" w:space="0" w:color="auto"/>
        <w:left w:val="none" w:sz="0" w:space="0" w:color="auto"/>
        <w:bottom w:val="none" w:sz="0" w:space="0" w:color="auto"/>
        <w:right w:val="none" w:sz="0" w:space="0" w:color="auto"/>
      </w:divBdr>
    </w:div>
    <w:div w:id="672414171">
      <w:bodyDiv w:val="1"/>
      <w:marLeft w:val="0"/>
      <w:marRight w:val="0"/>
      <w:marTop w:val="0"/>
      <w:marBottom w:val="0"/>
      <w:divBdr>
        <w:top w:val="none" w:sz="0" w:space="0" w:color="auto"/>
        <w:left w:val="none" w:sz="0" w:space="0" w:color="auto"/>
        <w:bottom w:val="none" w:sz="0" w:space="0" w:color="auto"/>
        <w:right w:val="none" w:sz="0" w:space="0" w:color="auto"/>
      </w:divBdr>
    </w:div>
    <w:div w:id="697850875">
      <w:bodyDiv w:val="1"/>
      <w:marLeft w:val="0"/>
      <w:marRight w:val="0"/>
      <w:marTop w:val="0"/>
      <w:marBottom w:val="0"/>
      <w:divBdr>
        <w:top w:val="none" w:sz="0" w:space="0" w:color="auto"/>
        <w:left w:val="none" w:sz="0" w:space="0" w:color="auto"/>
        <w:bottom w:val="none" w:sz="0" w:space="0" w:color="auto"/>
        <w:right w:val="none" w:sz="0" w:space="0" w:color="auto"/>
      </w:divBdr>
    </w:div>
    <w:div w:id="1014838850">
      <w:bodyDiv w:val="1"/>
      <w:marLeft w:val="0"/>
      <w:marRight w:val="0"/>
      <w:marTop w:val="0"/>
      <w:marBottom w:val="0"/>
      <w:divBdr>
        <w:top w:val="none" w:sz="0" w:space="0" w:color="auto"/>
        <w:left w:val="none" w:sz="0" w:space="0" w:color="auto"/>
        <w:bottom w:val="none" w:sz="0" w:space="0" w:color="auto"/>
        <w:right w:val="none" w:sz="0" w:space="0" w:color="auto"/>
      </w:divBdr>
    </w:div>
    <w:div w:id="1025984179">
      <w:bodyDiv w:val="1"/>
      <w:marLeft w:val="0"/>
      <w:marRight w:val="0"/>
      <w:marTop w:val="0"/>
      <w:marBottom w:val="0"/>
      <w:divBdr>
        <w:top w:val="none" w:sz="0" w:space="0" w:color="auto"/>
        <w:left w:val="none" w:sz="0" w:space="0" w:color="auto"/>
        <w:bottom w:val="none" w:sz="0" w:space="0" w:color="auto"/>
        <w:right w:val="none" w:sz="0" w:space="0" w:color="auto"/>
      </w:divBdr>
    </w:div>
    <w:div w:id="1177229125">
      <w:bodyDiv w:val="1"/>
      <w:marLeft w:val="0"/>
      <w:marRight w:val="0"/>
      <w:marTop w:val="0"/>
      <w:marBottom w:val="0"/>
      <w:divBdr>
        <w:top w:val="none" w:sz="0" w:space="0" w:color="auto"/>
        <w:left w:val="none" w:sz="0" w:space="0" w:color="auto"/>
        <w:bottom w:val="none" w:sz="0" w:space="0" w:color="auto"/>
        <w:right w:val="none" w:sz="0" w:space="0" w:color="auto"/>
      </w:divBdr>
    </w:div>
    <w:div w:id="1181238396">
      <w:bodyDiv w:val="1"/>
      <w:marLeft w:val="0"/>
      <w:marRight w:val="0"/>
      <w:marTop w:val="0"/>
      <w:marBottom w:val="0"/>
      <w:divBdr>
        <w:top w:val="none" w:sz="0" w:space="0" w:color="auto"/>
        <w:left w:val="none" w:sz="0" w:space="0" w:color="auto"/>
        <w:bottom w:val="none" w:sz="0" w:space="0" w:color="auto"/>
        <w:right w:val="none" w:sz="0" w:space="0" w:color="auto"/>
      </w:divBdr>
    </w:div>
    <w:div w:id="1231650680">
      <w:bodyDiv w:val="1"/>
      <w:marLeft w:val="0"/>
      <w:marRight w:val="0"/>
      <w:marTop w:val="0"/>
      <w:marBottom w:val="0"/>
      <w:divBdr>
        <w:top w:val="none" w:sz="0" w:space="0" w:color="auto"/>
        <w:left w:val="none" w:sz="0" w:space="0" w:color="auto"/>
        <w:bottom w:val="none" w:sz="0" w:space="0" w:color="auto"/>
        <w:right w:val="none" w:sz="0" w:space="0" w:color="auto"/>
      </w:divBdr>
    </w:div>
    <w:div w:id="1319572724">
      <w:bodyDiv w:val="1"/>
      <w:marLeft w:val="0"/>
      <w:marRight w:val="0"/>
      <w:marTop w:val="0"/>
      <w:marBottom w:val="0"/>
      <w:divBdr>
        <w:top w:val="none" w:sz="0" w:space="0" w:color="auto"/>
        <w:left w:val="none" w:sz="0" w:space="0" w:color="auto"/>
        <w:bottom w:val="none" w:sz="0" w:space="0" w:color="auto"/>
        <w:right w:val="none" w:sz="0" w:space="0" w:color="auto"/>
      </w:divBdr>
    </w:div>
    <w:div w:id="1342005976">
      <w:bodyDiv w:val="1"/>
      <w:marLeft w:val="0"/>
      <w:marRight w:val="0"/>
      <w:marTop w:val="0"/>
      <w:marBottom w:val="0"/>
      <w:divBdr>
        <w:top w:val="none" w:sz="0" w:space="0" w:color="auto"/>
        <w:left w:val="none" w:sz="0" w:space="0" w:color="auto"/>
        <w:bottom w:val="none" w:sz="0" w:space="0" w:color="auto"/>
        <w:right w:val="none" w:sz="0" w:space="0" w:color="auto"/>
      </w:divBdr>
    </w:div>
    <w:div w:id="1371611350">
      <w:bodyDiv w:val="1"/>
      <w:marLeft w:val="0"/>
      <w:marRight w:val="0"/>
      <w:marTop w:val="0"/>
      <w:marBottom w:val="0"/>
      <w:divBdr>
        <w:top w:val="none" w:sz="0" w:space="0" w:color="auto"/>
        <w:left w:val="none" w:sz="0" w:space="0" w:color="auto"/>
        <w:bottom w:val="none" w:sz="0" w:space="0" w:color="auto"/>
        <w:right w:val="none" w:sz="0" w:space="0" w:color="auto"/>
      </w:divBdr>
    </w:div>
    <w:div w:id="1380277662">
      <w:bodyDiv w:val="1"/>
      <w:marLeft w:val="0"/>
      <w:marRight w:val="0"/>
      <w:marTop w:val="0"/>
      <w:marBottom w:val="0"/>
      <w:divBdr>
        <w:top w:val="none" w:sz="0" w:space="0" w:color="auto"/>
        <w:left w:val="none" w:sz="0" w:space="0" w:color="auto"/>
        <w:bottom w:val="none" w:sz="0" w:space="0" w:color="auto"/>
        <w:right w:val="none" w:sz="0" w:space="0" w:color="auto"/>
      </w:divBdr>
    </w:div>
    <w:div w:id="1402950015">
      <w:bodyDiv w:val="1"/>
      <w:marLeft w:val="0"/>
      <w:marRight w:val="0"/>
      <w:marTop w:val="0"/>
      <w:marBottom w:val="0"/>
      <w:divBdr>
        <w:top w:val="none" w:sz="0" w:space="0" w:color="auto"/>
        <w:left w:val="none" w:sz="0" w:space="0" w:color="auto"/>
        <w:bottom w:val="none" w:sz="0" w:space="0" w:color="auto"/>
        <w:right w:val="none" w:sz="0" w:space="0" w:color="auto"/>
      </w:divBdr>
    </w:div>
    <w:div w:id="1557164831">
      <w:bodyDiv w:val="1"/>
      <w:marLeft w:val="0"/>
      <w:marRight w:val="0"/>
      <w:marTop w:val="0"/>
      <w:marBottom w:val="0"/>
      <w:divBdr>
        <w:top w:val="none" w:sz="0" w:space="0" w:color="auto"/>
        <w:left w:val="none" w:sz="0" w:space="0" w:color="auto"/>
        <w:bottom w:val="none" w:sz="0" w:space="0" w:color="auto"/>
        <w:right w:val="none" w:sz="0" w:space="0" w:color="auto"/>
      </w:divBdr>
    </w:div>
    <w:div w:id="1650278998">
      <w:bodyDiv w:val="1"/>
      <w:marLeft w:val="0"/>
      <w:marRight w:val="0"/>
      <w:marTop w:val="0"/>
      <w:marBottom w:val="0"/>
      <w:divBdr>
        <w:top w:val="none" w:sz="0" w:space="0" w:color="auto"/>
        <w:left w:val="none" w:sz="0" w:space="0" w:color="auto"/>
        <w:bottom w:val="none" w:sz="0" w:space="0" w:color="auto"/>
        <w:right w:val="none" w:sz="0" w:space="0" w:color="auto"/>
      </w:divBdr>
    </w:div>
    <w:div w:id="1653214604">
      <w:bodyDiv w:val="1"/>
      <w:marLeft w:val="0"/>
      <w:marRight w:val="0"/>
      <w:marTop w:val="0"/>
      <w:marBottom w:val="0"/>
      <w:divBdr>
        <w:top w:val="none" w:sz="0" w:space="0" w:color="auto"/>
        <w:left w:val="none" w:sz="0" w:space="0" w:color="auto"/>
        <w:bottom w:val="none" w:sz="0" w:space="0" w:color="auto"/>
        <w:right w:val="none" w:sz="0" w:space="0" w:color="auto"/>
      </w:divBdr>
    </w:div>
    <w:div w:id="1675761210">
      <w:bodyDiv w:val="1"/>
      <w:marLeft w:val="0"/>
      <w:marRight w:val="0"/>
      <w:marTop w:val="0"/>
      <w:marBottom w:val="0"/>
      <w:divBdr>
        <w:top w:val="none" w:sz="0" w:space="0" w:color="auto"/>
        <w:left w:val="none" w:sz="0" w:space="0" w:color="auto"/>
        <w:bottom w:val="none" w:sz="0" w:space="0" w:color="auto"/>
        <w:right w:val="none" w:sz="0" w:space="0" w:color="auto"/>
      </w:divBdr>
    </w:div>
    <w:div w:id="1780685014">
      <w:bodyDiv w:val="1"/>
      <w:marLeft w:val="0"/>
      <w:marRight w:val="0"/>
      <w:marTop w:val="0"/>
      <w:marBottom w:val="0"/>
      <w:divBdr>
        <w:top w:val="none" w:sz="0" w:space="0" w:color="auto"/>
        <w:left w:val="none" w:sz="0" w:space="0" w:color="auto"/>
        <w:bottom w:val="none" w:sz="0" w:space="0" w:color="auto"/>
        <w:right w:val="none" w:sz="0" w:space="0" w:color="auto"/>
      </w:divBdr>
    </w:div>
    <w:div w:id="1819415161">
      <w:bodyDiv w:val="1"/>
      <w:marLeft w:val="0"/>
      <w:marRight w:val="0"/>
      <w:marTop w:val="0"/>
      <w:marBottom w:val="0"/>
      <w:divBdr>
        <w:top w:val="none" w:sz="0" w:space="0" w:color="auto"/>
        <w:left w:val="none" w:sz="0" w:space="0" w:color="auto"/>
        <w:bottom w:val="none" w:sz="0" w:space="0" w:color="auto"/>
        <w:right w:val="none" w:sz="0" w:space="0" w:color="auto"/>
      </w:divBdr>
    </w:div>
    <w:div w:id="1875847119">
      <w:bodyDiv w:val="1"/>
      <w:marLeft w:val="0"/>
      <w:marRight w:val="0"/>
      <w:marTop w:val="0"/>
      <w:marBottom w:val="0"/>
      <w:divBdr>
        <w:top w:val="none" w:sz="0" w:space="0" w:color="auto"/>
        <w:left w:val="none" w:sz="0" w:space="0" w:color="auto"/>
        <w:bottom w:val="none" w:sz="0" w:space="0" w:color="auto"/>
        <w:right w:val="none" w:sz="0" w:space="0" w:color="auto"/>
      </w:divBdr>
    </w:div>
    <w:div w:id="1933464321">
      <w:bodyDiv w:val="1"/>
      <w:marLeft w:val="0"/>
      <w:marRight w:val="0"/>
      <w:marTop w:val="0"/>
      <w:marBottom w:val="0"/>
      <w:divBdr>
        <w:top w:val="none" w:sz="0" w:space="0" w:color="auto"/>
        <w:left w:val="none" w:sz="0" w:space="0" w:color="auto"/>
        <w:bottom w:val="none" w:sz="0" w:space="0" w:color="auto"/>
        <w:right w:val="none" w:sz="0" w:space="0" w:color="auto"/>
      </w:divBdr>
    </w:div>
    <w:div w:id="1986078782">
      <w:bodyDiv w:val="1"/>
      <w:marLeft w:val="0"/>
      <w:marRight w:val="0"/>
      <w:marTop w:val="0"/>
      <w:marBottom w:val="0"/>
      <w:divBdr>
        <w:top w:val="none" w:sz="0" w:space="0" w:color="auto"/>
        <w:left w:val="none" w:sz="0" w:space="0" w:color="auto"/>
        <w:bottom w:val="none" w:sz="0" w:space="0" w:color="auto"/>
        <w:right w:val="none" w:sz="0" w:space="0" w:color="auto"/>
      </w:divBdr>
    </w:div>
    <w:div w:id="2019388438">
      <w:bodyDiv w:val="1"/>
      <w:marLeft w:val="0"/>
      <w:marRight w:val="0"/>
      <w:marTop w:val="0"/>
      <w:marBottom w:val="0"/>
      <w:divBdr>
        <w:top w:val="none" w:sz="0" w:space="0" w:color="auto"/>
        <w:left w:val="none" w:sz="0" w:space="0" w:color="auto"/>
        <w:bottom w:val="none" w:sz="0" w:space="0" w:color="auto"/>
        <w:right w:val="none" w:sz="0" w:space="0" w:color="auto"/>
      </w:divBdr>
    </w:div>
    <w:div w:id="21135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ga.gov.au/hp/information-medicines-pi.htm"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5.emf"/><Relationship Id="rId22" Type="http://schemas.openxmlformats.org/officeDocument/2006/relationships/header" Target="header7.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360\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4BB1B-D1E5-44C4-B640-C20145FE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95</TotalTime>
  <Pages>24</Pages>
  <Words>8748</Words>
  <Characters>47767</Characters>
  <Application>Microsoft Office Word</Application>
  <DocSecurity>0</DocSecurity>
  <Lines>809</Lines>
  <Paragraphs>403</Paragraphs>
  <ScaleCrop>false</ScaleCrop>
  <HeadingPairs>
    <vt:vector size="2" baseType="variant">
      <vt:variant>
        <vt:lpstr>Title</vt:lpstr>
      </vt:variant>
      <vt:variant>
        <vt:i4>1</vt:i4>
      </vt:variant>
    </vt:vector>
  </HeadingPairs>
  <TitlesOfParts>
    <vt:vector size="1" baseType="lpstr">
      <vt:lpstr>Australian Public Assessment Report for Amino acids, Lipids and Glucose, with and without Electrolytes</vt:lpstr>
    </vt:vector>
  </TitlesOfParts>
  <Company>TGA</Company>
  <LinksUpToDate>false</LinksUpToDate>
  <CharactersWithSpaces>56112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Amino acids, Lipids and Glucose, with and without Electrolytes</dc:title>
  <dc:subject>prescription medicine regulation</dc:subject>
  <dc:creator>Therapeutic Goods Administration</dc:creator>
  <cp:keywords>auspar, prescription, medicine, assessment, regulation, australia, amino acids, lipids, glucose, electrolytes, periolimel, olimel, baxter</cp:keywords>
  <cp:lastModifiedBy>Sheppard, Fran</cp:lastModifiedBy>
  <cp:revision>28</cp:revision>
  <cp:lastPrinted>2010-12-20T22:59:00Z</cp:lastPrinted>
  <dcterms:created xsi:type="dcterms:W3CDTF">2013-10-01T22:14:00Z</dcterms:created>
  <dcterms:modified xsi:type="dcterms:W3CDTF">2013-10-28T00:52:00Z</dcterms:modified>
</cp:coreProperties>
</file>