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750633D" w14:textId="77777777" w:rsidTr="00BF1190">
        <w:trPr>
          <w:trHeight w:val="1863"/>
        </w:trPr>
        <w:tc>
          <w:tcPr>
            <w:tcW w:w="3652" w:type="dxa"/>
            <w:tcBorders>
              <w:top w:val="nil"/>
              <w:left w:val="nil"/>
              <w:bottom w:val="nil"/>
              <w:right w:val="nil"/>
            </w:tcBorders>
          </w:tcPr>
          <w:p w14:paraId="29907E77" w14:textId="3044962E" w:rsidR="008E7846" w:rsidRPr="00096AA7" w:rsidRDefault="00E80B0B" w:rsidP="00E80B0B">
            <w:pPr>
              <w:rPr>
                <w:rFonts w:ascii="Arial" w:hAnsi="Arial" w:cs="Arial"/>
                <w:b/>
                <w:color w:val="002C47"/>
                <w:sz w:val="36"/>
                <w:szCs w:val="36"/>
              </w:rPr>
            </w:pPr>
            <w:r>
              <w:rPr>
                <w:rFonts w:ascii="Arial" w:hAnsi="Arial" w:cs="Arial"/>
                <w:b/>
                <w:color w:val="002C47"/>
                <w:sz w:val="36"/>
                <w:szCs w:val="36"/>
              </w:rPr>
              <w:t xml:space="preserve">August </w:t>
            </w:r>
            <w:r w:rsidR="00FB53F6">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7665007" w14:textId="77777777" w:rsidTr="0032583B">
        <w:trPr>
          <w:trHeight w:val="868"/>
        </w:trPr>
        <w:tc>
          <w:tcPr>
            <w:tcW w:w="9079" w:type="dxa"/>
          </w:tcPr>
          <w:p w14:paraId="51FBE3FD" w14:textId="4DE3CF64" w:rsidR="0032583B" w:rsidRPr="00A964D1" w:rsidRDefault="0032583B" w:rsidP="001A3124">
            <w:pPr>
              <w:pStyle w:val="Title"/>
              <w:rPr>
                <w:color w:val="FFFFFF" w:themeColor="background1"/>
              </w:rPr>
            </w:pPr>
            <w:r w:rsidRPr="00A964D1">
              <w:rPr>
                <w:color w:val="FFFFFF" w:themeColor="background1"/>
              </w:rPr>
              <w:t>Australi</w:t>
            </w:r>
            <w:r w:rsidR="007B1082">
              <w:rPr>
                <w:color w:val="FFFFFF" w:themeColor="background1"/>
              </w:rPr>
              <w:t>an Public Assessment Report for</w:t>
            </w:r>
            <w:r w:rsidR="00FB53F6">
              <w:rPr>
                <w:color w:val="FFFFFF" w:themeColor="background1"/>
              </w:rPr>
              <w:t xml:space="preserve">: </w:t>
            </w:r>
            <w:r w:rsidR="00FB53F6" w:rsidRPr="00FB53F6">
              <w:rPr>
                <w:color w:val="FFFFFF" w:themeColor="background1"/>
              </w:rPr>
              <w:t xml:space="preserve">American </w:t>
            </w:r>
            <w:r w:rsidR="007B1082" w:rsidRPr="00FB53F6">
              <w:rPr>
                <w:color w:val="FFFFFF" w:themeColor="background1"/>
              </w:rPr>
              <w:t xml:space="preserve">house dust mite </w:t>
            </w:r>
            <w:r w:rsidR="001A3124">
              <w:rPr>
                <w:color w:val="FFFFFF" w:themeColor="background1"/>
              </w:rPr>
              <w:t xml:space="preserve">/ </w:t>
            </w:r>
            <w:r w:rsidR="00FB53F6" w:rsidRPr="00FB53F6">
              <w:rPr>
                <w:color w:val="FFFFFF" w:themeColor="background1"/>
              </w:rPr>
              <w:t xml:space="preserve">European </w:t>
            </w:r>
            <w:r w:rsidR="007B1082" w:rsidRPr="00FB53F6">
              <w:rPr>
                <w:color w:val="FFFFFF" w:themeColor="background1"/>
              </w:rPr>
              <w:t>hou</w:t>
            </w:r>
            <w:r w:rsidR="007B1082">
              <w:rPr>
                <w:color w:val="FFFFFF" w:themeColor="background1"/>
              </w:rPr>
              <w:t>se dust mite</w:t>
            </w:r>
          </w:p>
        </w:tc>
      </w:tr>
      <w:tr w:rsidR="0032583B" w:rsidRPr="00B64760" w14:paraId="49D5E692" w14:textId="77777777" w:rsidTr="0032583B">
        <w:tc>
          <w:tcPr>
            <w:tcW w:w="9079" w:type="dxa"/>
          </w:tcPr>
          <w:p w14:paraId="3B1904B2" w14:textId="77777777" w:rsidR="0032583B" w:rsidRPr="008E7846" w:rsidRDefault="0032583B" w:rsidP="00923A2F">
            <w:pPr>
              <w:pStyle w:val="Subtitle"/>
              <w:rPr>
                <w:color w:val="FFFFFF" w:themeColor="background1"/>
              </w:rPr>
            </w:pPr>
            <w:r w:rsidRPr="008E7846">
              <w:rPr>
                <w:color w:val="FFFFFF" w:themeColor="background1"/>
              </w:rPr>
              <w:t xml:space="preserve">Proprietary Product Name: </w:t>
            </w:r>
            <w:r w:rsidR="00FB53F6">
              <w:rPr>
                <w:color w:val="FFFFFF" w:themeColor="background1"/>
              </w:rPr>
              <w:t>A</w:t>
            </w:r>
            <w:r w:rsidR="00923A2F">
              <w:rPr>
                <w:color w:val="FFFFFF" w:themeColor="background1"/>
              </w:rPr>
              <w:t>ctair</w:t>
            </w:r>
            <w:r w:rsidR="00FB53F6">
              <w:rPr>
                <w:color w:val="FFFFFF" w:themeColor="background1"/>
              </w:rPr>
              <w:t xml:space="preserve"> </w:t>
            </w:r>
            <w:r w:rsidR="00923A2F">
              <w:rPr>
                <w:color w:val="FFFFFF" w:themeColor="background1"/>
              </w:rPr>
              <w:t>initiation treatment</w:t>
            </w:r>
            <w:r w:rsidR="00FB53F6">
              <w:rPr>
                <w:color w:val="FFFFFF" w:themeColor="background1"/>
              </w:rPr>
              <w:t xml:space="preserve"> and A</w:t>
            </w:r>
            <w:r w:rsidR="00923A2F">
              <w:rPr>
                <w:color w:val="FFFFFF" w:themeColor="background1"/>
              </w:rPr>
              <w:t>ctair</w:t>
            </w:r>
            <w:r w:rsidR="00FB53F6">
              <w:rPr>
                <w:color w:val="FFFFFF" w:themeColor="background1"/>
              </w:rPr>
              <w:t xml:space="preserve"> </w:t>
            </w:r>
            <w:r w:rsidR="00923A2F">
              <w:rPr>
                <w:color w:val="FFFFFF" w:themeColor="background1"/>
              </w:rPr>
              <w:t>continuation treatment</w:t>
            </w:r>
          </w:p>
        </w:tc>
      </w:tr>
      <w:tr w:rsidR="0032583B" w:rsidRPr="00B64760" w14:paraId="1EDC723F" w14:textId="77777777" w:rsidTr="0032583B">
        <w:trPr>
          <w:trHeight w:val="486"/>
        </w:trPr>
        <w:tc>
          <w:tcPr>
            <w:tcW w:w="9079" w:type="dxa"/>
          </w:tcPr>
          <w:p w14:paraId="2DFB5AF0" w14:textId="77777777" w:rsidR="0032583B" w:rsidRPr="008E7846" w:rsidRDefault="00FB53F6" w:rsidP="0032583B">
            <w:pPr>
              <w:pStyle w:val="Subtitle"/>
              <w:rPr>
                <w:color w:val="FFFFFF" w:themeColor="background1"/>
              </w:rPr>
            </w:pPr>
            <w:r>
              <w:rPr>
                <w:color w:val="FFFFFF" w:themeColor="background1"/>
              </w:rPr>
              <w:t>Sponsor: Stallergenes Australia Pty Ltd</w:t>
            </w:r>
          </w:p>
        </w:tc>
      </w:tr>
    </w:tbl>
    <w:p w14:paraId="0A179230" w14:textId="77777777" w:rsidR="008E7846" w:rsidRPr="0085156D" w:rsidRDefault="008E7846" w:rsidP="0085156D">
      <w:r w:rsidRPr="0085156D">
        <w:br w:type="page"/>
      </w:r>
    </w:p>
    <w:p w14:paraId="454FF0DD" w14:textId="77777777" w:rsidR="008E7846" w:rsidRPr="001F6CBA" w:rsidRDefault="008E7846" w:rsidP="008E7846">
      <w:pPr>
        <w:pStyle w:val="NonTOCHeading2"/>
      </w:pPr>
      <w:r w:rsidRPr="001F6CBA">
        <w:lastRenderedPageBreak/>
        <w:t>About the Therapeutic Goods Administration (TGA)</w:t>
      </w:r>
    </w:p>
    <w:p w14:paraId="26D8155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AB6A5C2"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5C01DB71"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E4C6155"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33EC734"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A6D011C" w14:textId="77777777" w:rsidR="008E7846" w:rsidRDefault="008E7846" w:rsidP="00875A6B">
      <w:pPr>
        <w:pStyle w:val="NonTOCHeading2"/>
      </w:pPr>
      <w:r>
        <w:t xml:space="preserve">About </w:t>
      </w:r>
      <w:proofErr w:type="spellStart"/>
      <w:r>
        <w:t>AusPARs</w:t>
      </w:r>
      <w:proofErr w:type="spellEnd"/>
    </w:p>
    <w:p w14:paraId="42D08C9A"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5AECC7B"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2DE77109"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22E844C2"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3A27BD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B753414" w14:textId="77777777" w:rsidR="00924482" w:rsidRPr="00DF1D7F" w:rsidRDefault="00924482" w:rsidP="00F54B65">
      <w:pPr>
        <w:pStyle w:val="LegalSubheading"/>
        <w:spacing w:before="3120"/>
      </w:pPr>
      <w:r w:rsidRPr="00DF1D7F">
        <w:t>Copyright</w:t>
      </w:r>
    </w:p>
    <w:p w14:paraId="6A5BC8B7" w14:textId="77777777" w:rsidR="00924482" w:rsidRDefault="00924482" w:rsidP="00924482">
      <w:pPr>
        <w:pStyle w:val="LegalCopy"/>
      </w:pPr>
      <w:r w:rsidRPr="00191B3B">
        <w:rPr>
          <w:rFonts w:cs="Arial"/>
          <w:lang w:val="en-GB"/>
        </w:rPr>
        <w:t>© Comm</w:t>
      </w:r>
      <w:r>
        <w:rPr>
          <w:rFonts w:cs="Arial"/>
          <w:lang w:val="en-GB"/>
        </w:rPr>
        <w:t>onwealth of Australia 201</w:t>
      </w:r>
      <w:r w:rsidR="00BD0AC6">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E30126F" w14:textId="77777777"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540131F" w14:textId="77777777" w:rsidR="0089635C" w:rsidRPr="0089635C" w:rsidRDefault="0089635C" w:rsidP="0010788A">
          <w:pPr>
            <w:pStyle w:val="Contents"/>
          </w:pPr>
          <w:r w:rsidRPr="0010788A">
            <w:t>Contents</w:t>
          </w:r>
        </w:p>
        <w:p w14:paraId="362A948F" w14:textId="77777777" w:rsidR="008934E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791280" w:history="1">
            <w:r w:rsidR="008934EF" w:rsidRPr="00BB0B2E">
              <w:rPr>
                <w:rStyle w:val="Hyperlink"/>
                <w:noProof/>
              </w:rPr>
              <w:t>Common abbreviations</w:t>
            </w:r>
            <w:r w:rsidR="008934EF">
              <w:rPr>
                <w:noProof/>
                <w:webHidden/>
              </w:rPr>
              <w:tab/>
            </w:r>
            <w:r w:rsidR="008934EF">
              <w:rPr>
                <w:noProof/>
                <w:webHidden/>
              </w:rPr>
              <w:fldChar w:fldCharType="begin"/>
            </w:r>
            <w:r w:rsidR="008934EF">
              <w:rPr>
                <w:noProof/>
                <w:webHidden/>
              </w:rPr>
              <w:instrText xml:space="preserve"> PAGEREF _Toc482791280 \h </w:instrText>
            </w:r>
            <w:r w:rsidR="008934EF">
              <w:rPr>
                <w:noProof/>
                <w:webHidden/>
              </w:rPr>
            </w:r>
            <w:r w:rsidR="008934EF">
              <w:rPr>
                <w:noProof/>
                <w:webHidden/>
              </w:rPr>
              <w:fldChar w:fldCharType="separate"/>
            </w:r>
            <w:r w:rsidR="009B0053">
              <w:rPr>
                <w:noProof/>
                <w:webHidden/>
              </w:rPr>
              <w:t>5</w:t>
            </w:r>
            <w:r w:rsidR="008934EF">
              <w:rPr>
                <w:noProof/>
                <w:webHidden/>
              </w:rPr>
              <w:fldChar w:fldCharType="end"/>
            </w:r>
          </w:hyperlink>
        </w:p>
        <w:p w14:paraId="1A91F503" w14:textId="77777777" w:rsidR="008934EF" w:rsidRDefault="009B0053">
          <w:pPr>
            <w:pStyle w:val="TOC2"/>
            <w:rPr>
              <w:rFonts w:asciiTheme="minorHAnsi" w:eastAsiaTheme="minorEastAsia" w:hAnsiTheme="minorHAnsi" w:cstheme="minorBidi"/>
              <w:b w:val="0"/>
              <w:noProof/>
              <w:sz w:val="22"/>
              <w:lang w:eastAsia="en-AU"/>
            </w:rPr>
          </w:pPr>
          <w:hyperlink w:anchor="_Toc482791281" w:history="1">
            <w:r w:rsidR="008934EF" w:rsidRPr="00BB0B2E">
              <w:rPr>
                <w:rStyle w:val="Hyperlink"/>
                <w:noProof/>
              </w:rPr>
              <w:t>I. Introduction to product submission</w:t>
            </w:r>
            <w:r w:rsidR="008934EF">
              <w:rPr>
                <w:noProof/>
                <w:webHidden/>
              </w:rPr>
              <w:tab/>
            </w:r>
            <w:r w:rsidR="008934EF">
              <w:rPr>
                <w:noProof/>
                <w:webHidden/>
              </w:rPr>
              <w:fldChar w:fldCharType="begin"/>
            </w:r>
            <w:r w:rsidR="008934EF">
              <w:rPr>
                <w:noProof/>
                <w:webHidden/>
              </w:rPr>
              <w:instrText xml:space="preserve"> PAGEREF _Toc482791281 \h </w:instrText>
            </w:r>
            <w:r w:rsidR="008934EF">
              <w:rPr>
                <w:noProof/>
                <w:webHidden/>
              </w:rPr>
            </w:r>
            <w:r w:rsidR="008934EF">
              <w:rPr>
                <w:noProof/>
                <w:webHidden/>
              </w:rPr>
              <w:fldChar w:fldCharType="separate"/>
            </w:r>
            <w:r>
              <w:rPr>
                <w:noProof/>
                <w:webHidden/>
              </w:rPr>
              <w:t>8</w:t>
            </w:r>
            <w:r w:rsidR="008934EF">
              <w:rPr>
                <w:noProof/>
                <w:webHidden/>
              </w:rPr>
              <w:fldChar w:fldCharType="end"/>
            </w:r>
          </w:hyperlink>
        </w:p>
        <w:p w14:paraId="6C713D5E" w14:textId="77777777" w:rsidR="008934EF" w:rsidRDefault="009B0053">
          <w:pPr>
            <w:pStyle w:val="TOC3"/>
            <w:rPr>
              <w:rFonts w:asciiTheme="minorHAnsi" w:eastAsiaTheme="minorEastAsia" w:hAnsiTheme="minorHAnsi" w:cstheme="minorBidi"/>
              <w:noProof/>
              <w:lang w:eastAsia="en-AU"/>
            </w:rPr>
          </w:pPr>
          <w:hyperlink w:anchor="_Toc482791282" w:history="1">
            <w:r w:rsidR="008934EF" w:rsidRPr="00BB0B2E">
              <w:rPr>
                <w:rStyle w:val="Hyperlink"/>
                <w:noProof/>
                <w:lang w:eastAsia="en-AU"/>
              </w:rPr>
              <w:t>Submission deta</w:t>
            </w:r>
            <w:bookmarkStart w:id="2" w:name="_GoBack"/>
            <w:bookmarkEnd w:id="2"/>
            <w:r w:rsidR="008934EF" w:rsidRPr="00BB0B2E">
              <w:rPr>
                <w:rStyle w:val="Hyperlink"/>
                <w:noProof/>
                <w:lang w:eastAsia="en-AU"/>
              </w:rPr>
              <w:t>ils</w:t>
            </w:r>
            <w:r w:rsidR="008934EF">
              <w:rPr>
                <w:noProof/>
                <w:webHidden/>
              </w:rPr>
              <w:tab/>
            </w:r>
            <w:r w:rsidR="008934EF">
              <w:rPr>
                <w:noProof/>
                <w:webHidden/>
              </w:rPr>
              <w:fldChar w:fldCharType="begin"/>
            </w:r>
            <w:r w:rsidR="008934EF">
              <w:rPr>
                <w:noProof/>
                <w:webHidden/>
              </w:rPr>
              <w:instrText xml:space="preserve"> PAGEREF _Toc482791282 \h </w:instrText>
            </w:r>
            <w:r w:rsidR="008934EF">
              <w:rPr>
                <w:noProof/>
                <w:webHidden/>
              </w:rPr>
            </w:r>
            <w:r w:rsidR="008934EF">
              <w:rPr>
                <w:noProof/>
                <w:webHidden/>
              </w:rPr>
              <w:fldChar w:fldCharType="separate"/>
            </w:r>
            <w:r>
              <w:rPr>
                <w:noProof/>
                <w:webHidden/>
              </w:rPr>
              <w:t>8</w:t>
            </w:r>
            <w:r w:rsidR="008934EF">
              <w:rPr>
                <w:noProof/>
                <w:webHidden/>
              </w:rPr>
              <w:fldChar w:fldCharType="end"/>
            </w:r>
          </w:hyperlink>
        </w:p>
        <w:p w14:paraId="4F4C31B7" w14:textId="77777777" w:rsidR="008934EF" w:rsidRDefault="009B0053">
          <w:pPr>
            <w:pStyle w:val="TOC3"/>
            <w:rPr>
              <w:rFonts w:asciiTheme="minorHAnsi" w:eastAsiaTheme="minorEastAsia" w:hAnsiTheme="minorHAnsi" w:cstheme="minorBidi"/>
              <w:noProof/>
              <w:lang w:eastAsia="en-AU"/>
            </w:rPr>
          </w:pPr>
          <w:hyperlink w:anchor="_Toc482791283" w:history="1">
            <w:r w:rsidR="008934EF" w:rsidRPr="00BB0B2E">
              <w:rPr>
                <w:rStyle w:val="Hyperlink"/>
                <w:noProof/>
              </w:rPr>
              <w:t>Product background</w:t>
            </w:r>
            <w:r w:rsidR="008934EF">
              <w:rPr>
                <w:noProof/>
                <w:webHidden/>
              </w:rPr>
              <w:tab/>
            </w:r>
            <w:r w:rsidR="008934EF">
              <w:rPr>
                <w:noProof/>
                <w:webHidden/>
              </w:rPr>
              <w:fldChar w:fldCharType="begin"/>
            </w:r>
            <w:r w:rsidR="008934EF">
              <w:rPr>
                <w:noProof/>
                <w:webHidden/>
              </w:rPr>
              <w:instrText xml:space="preserve"> PAGEREF _Toc482791283 \h </w:instrText>
            </w:r>
            <w:r w:rsidR="008934EF">
              <w:rPr>
                <w:noProof/>
                <w:webHidden/>
              </w:rPr>
            </w:r>
            <w:r w:rsidR="008934EF">
              <w:rPr>
                <w:noProof/>
                <w:webHidden/>
              </w:rPr>
              <w:fldChar w:fldCharType="separate"/>
            </w:r>
            <w:r>
              <w:rPr>
                <w:noProof/>
                <w:webHidden/>
              </w:rPr>
              <w:t>8</w:t>
            </w:r>
            <w:r w:rsidR="008934EF">
              <w:rPr>
                <w:noProof/>
                <w:webHidden/>
              </w:rPr>
              <w:fldChar w:fldCharType="end"/>
            </w:r>
          </w:hyperlink>
        </w:p>
        <w:p w14:paraId="391C08FB" w14:textId="77777777" w:rsidR="008934EF" w:rsidRDefault="009B0053">
          <w:pPr>
            <w:pStyle w:val="TOC3"/>
            <w:rPr>
              <w:rFonts w:asciiTheme="minorHAnsi" w:eastAsiaTheme="minorEastAsia" w:hAnsiTheme="minorHAnsi" w:cstheme="minorBidi"/>
              <w:noProof/>
              <w:lang w:eastAsia="en-AU"/>
            </w:rPr>
          </w:pPr>
          <w:hyperlink w:anchor="_Toc482791284" w:history="1">
            <w:r w:rsidR="008934EF" w:rsidRPr="00BB0B2E">
              <w:rPr>
                <w:rStyle w:val="Hyperlink"/>
                <w:noProof/>
              </w:rPr>
              <w:t>Regulatory status</w:t>
            </w:r>
            <w:r w:rsidR="008934EF">
              <w:rPr>
                <w:noProof/>
                <w:webHidden/>
              </w:rPr>
              <w:tab/>
            </w:r>
            <w:r w:rsidR="008934EF">
              <w:rPr>
                <w:noProof/>
                <w:webHidden/>
              </w:rPr>
              <w:fldChar w:fldCharType="begin"/>
            </w:r>
            <w:r w:rsidR="008934EF">
              <w:rPr>
                <w:noProof/>
                <w:webHidden/>
              </w:rPr>
              <w:instrText xml:space="preserve"> PAGEREF _Toc482791284 \h </w:instrText>
            </w:r>
            <w:r w:rsidR="008934EF">
              <w:rPr>
                <w:noProof/>
                <w:webHidden/>
              </w:rPr>
            </w:r>
            <w:r w:rsidR="008934EF">
              <w:rPr>
                <w:noProof/>
                <w:webHidden/>
              </w:rPr>
              <w:fldChar w:fldCharType="separate"/>
            </w:r>
            <w:r>
              <w:rPr>
                <w:noProof/>
                <w:webHidden/>
              </w:rPr>
              <w:t>9</w:t>
            </w:r>
            <w:r w:rsidR="008934EF">
              <w:rPr>
                <w:noProof/>
                <w:webHidden/>
              </w:rPr>
              <w:fldChar w:fldCharType="end"/>
            </w:r>
          </w:hyperlink>
        </w:p>
        <w:p w14:paraId="03915450" w14:textId="77777777" w:rsidR="008934EF" w:rsidRDefault="009B0053">
          <w:pPr>
            <w:pStyle w:val="TOC3"/>
            <w:rPr>
              <w:rFonts w:asciiTheme="minorHAnsi" w:eastAsiaTheme="minorEastAsia" w:hAnsiTheme="minorHAnsi" w:cstheme="minorBidi"/>
              <w:noProof/>
              <w:lang w:eastAsia="en-AU"/>
            </w:rPr>
          </w:pPr>
          <w:hyperlink w:anchor="_Toc482791285" w:history="1">
            <w:r w:rsidR="008934EF" w:rsidRPr="00BB0B2E">
              <w:rPr>
                <w:rStyle w:val="Hyperlink"/>
                <w:noProof/>
              </w:rPr>
              <w:t>Product Information</w:t>
            </w:r>
            <w:r w:rsidR="008934EF">
              <w:rPr>
                <w:noProof/>
                <w:webHidden/>
              </w:rPr>
              <w:tab/>
            </w:r>
            <w:r w:rsidR="008934EF">
              <w:rPr>
                <w:noProof/>
                <w:webHidden/>
              </w:rPr>
              <w:fldChar w:fldCharType="begin"/>
            </w:r>
            <w:r w:rsidR="008934EF">
              <w:rPr>
                <w:noProof/>
                <w:webHidden/>
              </w:rPr>
              <w:instrText xml:space="preserve"> PAGEREF _Toc482791285 \h </w:instrText>
            </w:r>
            <w:r w:rsidR="008934EF">
              <w:rPr>
                <w:noProof/>
                <w:webHidden/>
              </w:rPr>
            </w:r>
            <w:r w:rsidR="008934EF">
              <w:rPr>
                <w:noProof/>
                <w:webHidden/>
              </w:rPr>
              <w:fldChar w:fldCharType="separate"/>
            </w:r>
            <w:r>
              <w:rPr>
                <w:noProof/>
                <w:webHidden/>
              </w:rPr>
              <w:t>9</w:t>
            </w:r>
            <w:r w:rsidR="008934EF">
              <w:rPr>
                <w:noProof/>
                <w:webHidden/>
              </w:rPr>
              <w:fldChar w:fldCharType="end"/>
            </w:r>
          </w:hyperlink>
        </w:p>
        <w:p w14:paraId="795C2D58" w14:textId="77777777" w:rsidR="008934EF" w:rsidRDefault="009B0053">
          <w:pPr>
            <w:pStyle w:val="TOC2"/>
            <w:rPr>
              <w:rFonts w:asciiTheme="minorHAnsi" w:eastAsiaTheme="minorEastAsia" w:hAnsiTheme="minorHAnsi" w:cstheme="minorBidi"/>
              <w:b w:val="0"/>
              <w:noProof/>
              <w:sz w:val="22"/>
              <w:lang w:eastAsia="en-AU"/>
            </w:rPr>
          </w:pPr>
          <w:hyperlink w:anchor="_Toc482791286" w:history="1">
            <w:r w:rsidR="008934EF" w:rsidRPr="00BB0B2E">
              <w:rPr>
                <w:rStyle w:val="Hyperlink"/>
                <w:noProof/>
              </w:rPr>
              <w:t>II. Quality findings</w:t>
            </w:r>
            <w:r w:rsidR="008934EF">
              <w:rPr>
                <w:noProof/>
                <w:webHidden/>
              </w:rPr>
              <w:tab/>
            </w:r>
            <w:r w:rsidR="008934EF">
              <w:rPr>
                <w:noProof/>
                <w:webHidden/>
              </w:rPr>
              <w:fldChar w:fldCharType="begin"/>
            </w:r>
            <w:r w:rsidR="008934EF">
              <w:rPr>
                <w:noProof/>
                <w:webHidden/>
              </w:rPr>
              <w:instrText xml:space="preserve"> PAGEREF _Toc482791286 \h </w:instrText>
            </w:r>
            <w:r w:rsidR="008934EF">
              <w:rPr>
                <w:noProof/>
                <w:webHidden/>
              </w:rPr>
            </w:r>
            <w:r w:rsidR="008934EF">
              <w:rPr>
                <w:noProof/>
                <w:webHidden/>
              </w:rPr>
              <w:fldChar w:fldCharType="separate"/>
            </w:r>
            <w:r>
              <w:rPr>
                <w:noProof/>
                <w:webHidden/>
              </w:rPr>
              <w:t>10</w:t>
            </w:r>
            <w:r w:rsidR="008934EF">
              <w:rPr>
                <w:noProof/>
                <w:webHidden/>
              </w:rPr>
              <w:fldChar w:fldCharType="end"/>
            </w:r>
          </w:hyperlink>
        </w:p>
        <w:p w14:paraId="60447038" w14:textId="77777777" w:rsidR="008934EF" w:rsidRDefault="009B0053">
          <w:pPr>
            <w:pStyle w:val="TOC3"/>
            <w:rPr>
              <w:rFonts w:asciiTheme="minorHAnsi" w:eastAsiaTheme="minorEastAsia" w:hAnsiTheme="minorHAnsi" w:cstheme="minorBidi"/>
              <w:noProof/>
              <w:lang w:eastAsia="en-AU"/>
            </w:rPr>
          </w:pPr>
          <w:hyperlink w:anchor="_Toc482791287" w:history="1">
            <w:r w:rsidR="008934EF" w:rsidRPr="00BB0B2E">
              <w:rPr>
                <w:rStyle w:val="Hyperlink"/>
                <w:noProof/>
              </w:rPr>
              <w:t>Drug substance (active ingredient)</w:t>
            </w:r>
            <w:r w:rsidR="008934EF">
              <w:rPr>
                <w:noProof/>
                <w:webHidden/>
              </w:rPr>
              <w:tab/>
            </w:r>
            <w:r w:rsidR="008934EF">
              <w:rPr>
                <w:noProof/>
                <w:webHidden/>
              </w:rPr>
              <w:fldChar w:fldCharType="begin"/>
            </w:r>
            <w:r w:rsidR="008934EF">
              <w:rPr>
                <w:noProof/>
                <w:webHidden/>
              </w:rPr>
              <w:instrText xml:space="preserve"> PAGEREF _Toc482791287 \h </w:instrText>
            </w:r>
            <w:r w:rsidR="008934EF">
              <w:rPr>
                <w:noProof/>
                <w:webHidden/>
              </w:rPr>
            </w:r>
            <w:r w:rsidR="008934EF">
              <w:rPr>
                <w:noProof/>
                <w:webHidden/>
              </w:rPr>
              <w:fldChar w:fldCharType="separate"/>
            </w:r>
            <w:r>
              <w:rPr>
                <w:noProof/>
                <w:webHidden/>
              </w:rPr>
              <w:t>10</w:t>
            </w:r>
            <w:r w:rsidR="008934EF">
              <w:rPr>
                <w:noProof/>
                <w:webHidden/>
              </w:rPr>
              <w:fldChar w:fldCharType="end"/>
            </w:r>
          </w:hyperlink>
        </w:p>
        <w:p w14:paraId="3C91F9DF" w14:textId="77777777" w:rsidR="008934EF" w:rsidRDefault="009B0053">
          <w:pPr>
            <w:pStyle w:val="TOC3"/>
            <w:rPr>
              <w:rFonts w:asciiTheme="minorHAnsi" w:eastAsiaTheme="minorEastAsia" w:hAnsiTheme="minorHAnsi" w:cstheme="minorBidi"/>
              <w:noProof/>
              <w:lang w:eastAsia="en-AU"/>
            </w:rPr>
          </w:pPr>
          <w:hyperlink w:anchor="_Toc482791288" w:history="1">
            <w:r w:rsidR="008934EF" w:rsidRPr="00BB0B2E">
              <w:rPr>
                <w:rStyle w:val="Hyperlink"/>
                <w:noProof/>
              </w:rPr>
              <w:t>Drug product</w:t>
            </w:r>
            <w:r w:rsidR="008934EF">
              <w:rPr>
                <w:noProof/>
                <w:webHidden/>
              </w:rPr>
              <w:tab/>
            </w:r>
            <w:r w:rsidR="008934EF">
              <w:rPr>
                <w:noProof/>
                <w:webHidden/>
              </w:rPr>
              <w:fldChar w:fldCharType="begin"/>
            </w:r>
            <w:r w:rsidR="008934EF">
              <w:rPr>
                <w:noProof/>
                <w:webHidden/>
              </w:rPr>
              <w:instrText xml:space="preserve"> PAGEREF _Toc482791288 \h </w:instrText>
            </w:r>
            <w:r w:rsidR="008934EF">
              <w:rPr>
                <w:noProof/>
                <w:webHidden/>
              </w:rPr>
            </w:r>
            <w:r w:rsidR="008934EF">
              <w:rPr>
                <w:noProof/>
                <w:webHidden/>
              </w:rPr>
              <w:fldChar w:fldCharType="separate"/>
            </w:r>
            <w:r>
              <w:rPr>
                <w:noProof/>
                <w:webHidden/>
              </w:rPr>
              <w:t>11</w:t>
            </w:r>
            <w:r w:rsidR="008934EF">
              <w:rPr>
                <w:noProof/>
                <w:webHidden/>
              </w:rPr>
              <w:fldChar w:fldCharType="end"/>
            </w:r>
          </w:hyperlink>
        </w:p>
        <w:p w14:paraId="472BBE92" w14:textId="77777777" w:rsidR="008934EF" w:rsidRDefault="009B0053">
          <w:pPr>
            <w:pStyle w:val="TOC3"/>
            <w:rPr>
              <w:rFonts w:asciiTheme="minorHAnsi" w:eastAsiaTheme="minorEastAsia" w:hAnsiTheme="minorHAnsi" w:cstheme="minorBidi"/>
              <w:noProof/>
              <w:lang w:eastAsia="en-AU"/>
            </w:rPr>
          </w:pPr>
          <w:hyperlink w:anchor="_Toc482791289" w:history="1">
            <w:r w:rsidR="008934EF" w:rsidRPr="00BB0B2E">
              <w:rPr>
                <w:rStyle w:val="Hyperlink"/>
                <w:noProof/>
              </w:rPr>
              <w:t>Quality summary and conclusions</w:t>
            </w:r>
            <w:r w:rsidR="008934EF">
              <w:rPr>
                <w:noProof/>
                <w:webHidden/>
              </w:rPr>
              <w:tab/>
            </w:r>
            <w:r w:rsidR="008934EF">
              <w:rPr>
                <w:noProof/>
                <w:webHidden/>
              </w:rPr>
              <w:fldChar w:fldCharType="begin"/>
            </w:r>
            <w:r w:rsidR="008934EF">
              <w:rPr>
                <w:noProof/>
                <w:webHidden/>
              </w:rPr>
              <w:instrText xml:space="preserve"> PAGEREF _Toc482791289 \h </w:instrText>
            </w:r>
            <w:r w:rsidR="008934EF">
              <w:rPr>
                <w:noProof/>
                <w:webHidden/>
              </w:rPr>
            </w:r>
            <w:r w:rsidR="008934EF">
              <w:rPr>
                <w:noProof/>
                <w:webHidden/>
              </w:rPr>
              <w:fldChar w:fldCharType="separate"/>
            </w:r>
            <w:r>
              <w:rPr>
                <w:noProof/>
                <w:webHidden/>
              </w:rPr>
              <w:t>12</w:t>
            </w:r>
            <w:r w:rsidR="008934EF">
              <w:rPr>
                <w:noProof/>
                <w:webHidden/>
              </w:rPr>
              <w:fldChar w:fldCharType="end"/>
            </w:r>
          </w:hyperlink>
        </w:p>
        <w:p w14:paraId="743AC9B7" w14:textId="77777777" w:rsidR="008934EF" w:rsidRDefault="009B0053">
          <w:pPr>
            <w:pStyle w:val="TOC2"/>
            <w:rPr>
              <w:rFonts w:asciiTheme="minorHAnsi" w:eastAsiaTheme="minorEastAsia" w:hAnsiTheme="minorHAnsi" w:cstheme="minorBidi"/>
              <w:b w:val="0"/>
              <w:noProof/>
              <w:sz w:val="22"/>
              <w:lang w:eastAsia="en-AU"/>
            </w:rPr>
          </w:pPr>
          <w:hyperlink w:anchor="_Toc482791290" w:history="1">
            <w:r w:rsidR="008934EF" w:rsidRPr="00BB0B2E">
              <w:rPr>
                <w:rStyle w:val="Hyperlink"/>
                <w:noProof/>
              </w:rPr>
              <w:t>III. Nonclinical findings</w:t>
            </w:r>
            <w:r w:rsidR="008934EF">
              <w:rPr>
                <w:noProof/>
                <w:webHidden/>
              </w:rPr>
              <w:tab/>
            </w:r>
            <w:r w:rsidR="008934EF">
              <w:rPr>
                <w:noProof/>
                <w:webHidden/>
              </w:rPr>
              <w:fldChar w:fldCharType="begin"/>
            </w:r>
            <w:r w:rsidR="008934EF">
              <w:rPr>
                <w:noProof/>
                <w:webHidden/>
              </w:rPr>
              <w:instrText xml:space="preserve"> PAGEREF _Toc482791290 \h </w:instrText>
            </w:r>
            <w:r w:rsidR="008934EF">
              <w:rPr>
                <w:noProof/>
                <w:webHidden/>
              </w:rPr>
            </w:r>
            <w:r w:rsidR="008934EF">
              <w:rPr>
                <w:noProof/>
                <w:webHidden/>
              </w:rPr>
              <w:fldChar w:fldCharType="separate"/>
            </w:r>
            <w:r>
              <w:rPr>
                <w:noProof/>
                <w:webHidden/>
              </w:rPr>
              <w:t>12</w:t>
            </w:r>
            <w:r w:rsidR="008934EF">
              <w:rPr>
                <w:noProof/>
                <w:webHidden/>
              </w:rPr>
              <w:fldChar w:fldCharType="end"/>
            </w:r>
          </w:hyperlink>
        </w:p>
        <w:p w14:paraId="0E597A27" w14:textId="77777777" w:rsidR="008934EF" w:rsidRDefault="009B0053">
          <w:pPr>
            <w:pStyle w:val="TOC3"/>
            <w:rPr>
              <w:rFonts w:asciiTheme="minorHAnsi" w:eastAsiaTheme="minorEastAsia" w:hAnsiTheme="minorHAnsi" w:cstheme="minorBidi"/>
              <w:noProof/>
              <w:lang w:eastAsia="en-AU"/>
            </w:rPr>
          </w:pPr>
          <w:hyperlink w:anchor="_Toc482791291" w:history="1">
            <w:r w:rsidR="008934EF" w:rsidRPr="00BB0B2E">
              <w:rPr>
                <w:rStyle w:val="Hyperlink"/>
                <w:noProof/>
              </w:rPr>
              <w:t>Introduction</w:t>
            </w:r>
            <w:r w:rsidR="008934EF">
              <w:rPr>
                <w:noProof/>
                <w:webHidden/>
              </w:rPr>
              <w:tab/>
            </w:r>
            <w:r w:rsidR="008934EF">
              <w:rPr>
                <w:noProof/>
                <w:webHidden/>
              </w:rPr>
              <w:fldChar w:fldCharType="begin"/>
            </w:r>
            <w:r w:rsidR="008934EF">
              <w:rPr>
                <w:noProof/>
                <w:webHidden/>
              </w:rPr>
              <w:instrText xml:space="preserve"> PAGEREF _Toc482791291 \h </w:instrText>
            </w:r>
            <w:r w:rsidR="008934EF">
              <w:rPr>
                <w:noProof/>
                <w:webHidden/>
              </w:rPr>
            </w:r>
            <w:r w:rsidR="008934EF">
              <w:rPr>
                <w:noProof/>
                <w:webHidden/>
              </w:rPr>
              <w:fldChar w:fldCharType="separate"/>
            </w:r>
            <w:r>
              <w:rPr>
                <w:noProof/>
                <w:webHidden/>
              </w:rPr>
              <w:t>12</w:t>
            </w:r>
            <w:r w:rsidR="008934EF">
              <w:rPr>
                <w:noProof/>
                <w:webHidden/>
              </w:rPr>
              <w:fldChar w:fldCharType="end"/>
            </w:r>
          </w:hyperlink>
        </w:p>
        <w:p w14:paraId="19AFE9A3" w14:textId="77777777" w:rsidR="008934EF" w:rsidRDefault="009B0053">
          <w:pPr>
            <w:pStyle w:val="TOC3"/>
            <w:rPr>
              <w:rFonts w:asciiTheme="minorHAnsi" w:eastAsiaTheme="minorEastAsia" w:hAnsiTheme="minorHAnsi" w:cstheme="minorBidi"/>
              <w:noProof/>
              <w:lang w:eastAsia="en-AU"/>
            </w:rPr>
          </w:pPr>
          <w:hyperlink w:anchor="_Toc482791292" w:history="1">
            <w:r w:rsidR="008934EF" w:rsidRPr="00BB0B2E">
              <w:rPr>
                <w:rStyle w:val="Hyperlink"/>
                <w:noProof/>
              </w:rPr>
              <w:t>Pharmacology</w:t>
            </w:r>
            <w:r w:rsidR="008934EF">
              <w:rPr>
                <w:noProof/>
                <w:webHidden/>
              </w:rPr>
              <w:tab/>
            </w:r>
            <w:r w:rsidR="008934EF">
              <w:rPr>
                <w:noProof/>
                <w:webHidden/>
              </w:rPr>
              <w:fldChar w:fldCharType="begin"/>
            </w:r>
            <w:r w:rsidR="008934EF">
              <w:rPr>
                <w:noProof/>
                <w:webHidden/>
              </w:rPr>
              <w:instrText xml:space="preserve"> PAGEREF _Toc482791292 \h </w:instrText>
            </w:r>
            <w:r w:rsidR="008934EF">
              <w:rPr>
                <w:noProof/>
                <w:webHidden/>
              </w:rPr>
            </w:r>
            <w:r w:rsidR="008934EF">
              <w:rPr>
                <w:noProof/>
                <w:webHidden/>
              </w:rPr>
              <w:fldChar w:fldCharType="separate"/>
            </w:r>
            <w:r>
              <w:rPr>
                <w:noProof/>
                <w:webHidden/>
              </w:rPr>
              <w:t>12</w:t>
            </w:r>
            <w:r w:rsidR="008934EF">
              <w:rPr>
                <w:noProof/>
                <w:webHidden/>
              </w:rPr>
              <w:fldChar w:fldCharType="end"/>
            </w:r>
          </w:hyperlink>
        </w:p>
        <w:p w14:paraId="0CA2BFED" w14:textId="77777777" w:rsidR="008934EF" w:rsidRDefault="009B0053">
          <w:pPr>
            <w:pStyle w:val="TOC3"/>
            <w:rPr>
              <w:rFonts w:asciiTheme="minorHAnsi" w:eastAsiaTheme="minorEastAsia" w:hAnsiTheme="minorHAnsi" w:cstheme="minorBidi"/>
              <w:noProof/>
              <w:lang w:eastAsia="en-AU"/>
            </w:rPr>
          </w:pPr>
          <w:hyperlink w:anchor="_Toc482791293" w:history="1">
            <w:r w:rsidR="008934EF" w:rsidRPr="00BB0B2E">
              <w:rPr>
                <w:rStyle w:val="Hyperlink"/>
                <w:noProof/>
              </w:rPr>
              <w:t>Pharmacokinetics</w:t>
            </w:r>
            <w:r w:rsidR="008934EF">
              <w:rPr>
                <w:noProof/>
                <w:webHidden/>
              </w:rPr>
              <w:tab/>
            </w:r>
            <w:r w:rsidR="008934EF">
              <w:rPr>
                <w:noProof/>
                <w:webHidden/>
              </w:rPr>
              <w:fldChar w:fldCharType="begin"/>
            </w:r>
            <w:r w:rsidR="008934EF">
              <w:rPr>
                <w:noProof/>
                <w:webHidden/>
              </w:rPr>
              <w:instrText xml:space="preserve"> PAGEREF _Toc482791293 \h </w:instrText>
            </w:r>
            <w:r w:rsidR="008934EF">
              <w:rPr>
                <w:noProof/>
                <w:webHidden/>
              </w:rPr>
            </w:r>
            <w:r w:rsidR="008934EF">
              <w:rPr>
                <w:noProof/>
                <w:webHidden/>
              </w:rPr>
              <w:fldChar w:fldCharType="separate"/>
            </w:r>
            <w:r>
              <w:rPr>
                <w:noProof/>
                <w:webHidden/>
              </w:rPr>
              <w:t>15</w:t>
            </w:r>
            <w:r w:rsidR="008934EF">
              <w:rPr>
                <w:noProof/>
                <w:webHidden/>
              </w:rPr>
              <w:fldChar w:fldCharType="end"/>
            </w:r>
          </w:hyperlink>
        </w:p>
        <w:p w14:paraId="5AA992EE" w14:textId="77777777" w:rsidR="008934EF" w:rsidRDefault="009B0053">
          <w:pPr>
            <w:pStyle w:val="TOC3"/>
            <w:rPr>
              <w:rFonts w:asciiTheme="minorHAnsi" w:eastAsiaTheme="minorEastAsia" w:hAnsiTheme="minorHAnsi" w:cstheme="minorBidi"/>
              <w:noProof/>
              <w:lang w:eastAsia="en-AU"/>
            </w:rPr>
          </w:pPr>
          <w:hyperlink w:anchor="_Toc482791294" w:history="1">
            <w:r w:rsidR="008934EF" w:rsidRPr="00BB0B2E">
              <w:rPr>
                <w:rStyle w:val="Hyperlink"/>
                <w:noProof/>
              </w:rPr>
              <w:t>Toxicology</w:t>
            </w:r>
            <w:r w:rsidR="008934EF">
              <w:rPr>
                <w:noProof/>
                <w:webHidden/>
              </w:rPr>
              <w:tab/>
            </w:r>
            <w:r w:rsidR="008934EF">
              <w:rPr>
                <w:noProof/>
                <w:webHidden/>
              </w:rPr>
              <w:fldChar w:fldCharType="begin"/>
            </w:r>
            <w:r w:rsidR="008934EF">
              <w:rPr>
                <w:noProof/>
                <w:webHidden/>
              </w:rPr>
              <w:instrText xml:space="preserve"> PAGEREF _Toc482791294 \h </w:instrText>
            </w:r>
            <w:r w:rsidR="008934EF">
              <w:rPr>
                <w:noProof/>
                <w:webHidden/>
              </w:rPr>
            </w:r>
            <w:r w:rsidR="008934EF">
              <w:rPr>
                <w:noProof/>
                <w:webHidden/>
              </w:rPr>
              <w:fldChar w:fldCharType="separate"/>
            </w:r>
            <w:r>
              <w:rPr>
                <w:noProof/>
                <w:webHidden/>
              </w:rPr>
              <w:t>16</w:t>
            </w:r>
            <w:r w:rsidR="008934EF">
              <w:rPr>
                <w:noProof/>
                <w:webHidden/>
              </w:rPr>
              <w:fldChar w:fldCharType="end"/>
            </w:r>
          </w:hyperlink>
        </w:p>
        <w:p w14:paraId="36769844" w14:textId="77777777" w:rsidR="008934EF" w:rsidRDefault="009B0053">
          <w:pPr>
            <w:pStyle w:val="TOC3"/>
            <w:rPr>
              <w:rFonts w:asciiTheme="minorHAnsi" w:eastAsiaTheme="minorEastAsia" w:hAnsiTheme="minorHAnsi" w:cstheme="minorBidi"/>
              <w:noProof/>
              <w:lang w:eastAsia="en-AU"/>
            </w:rPr>
          </w:pPr>
          <w:hyperlink w:anchor="_Toc482791295" w:history="1">
            <w:r w:rsidR="008934EF" w:rsidRPr="00BB0B2E">
              <w:rPr>
                <w:rStyle w:val="Hyperlink"/>
                <w:noProof/>
              </w:rPr>
              <w:t>Nonclinical summary and conclusions</w:t>
            </w:r>
            <w:r w:rsidR="008934EF">
              <w:rPr>
                <w:noProof/>
                <w:webHidden/>
              </w:rPr>
              <w:tab/>
            </w:r>
            <w:r w:rsidR="008934EF">
              <w:rPr>
                <w:noProof/>
                <w:webHidden/>
              </w:rPr>
              <w:fldChar w:fldCharType="begin"/>
            </w:r>
            <w:r w:rsidR="008934EF">
              <w:rPr>
                <w:noProof/>
                <w:webHidden/>
              </w:rPr>
              <w:instrText xml:space="preserve"> PAGEREF _Toc482791295 \h </w:instrText>
            </w:r>
            <w:r w:rsidR="008934EF">
              <w:rPr>
                <w:noProof/>
                <w:webHidden/>
              </w:rPr>
            </w:r>
            <w:r w:rsidR="008934EF">
              <w:rPr>
                <w:noProof/>
                <w:webHidden/>
              </w:rPr>
              <w:fldChar w:fldCharType="separate"/>
            </w:r>
            <w:r>
              <w:rPr>
                <w:noProof/>
                <w:webHidden/>
              </w:rPr>
              <w:t>20</w:t>
            </w:r>
            <w:r w:rsidR="008934EF">
              <w:rPr>
                <w:noProof/>
                <w:webHidden/>
              </w:rPr>
              <w:fldChar w:fldCharType="end"/>
            </w:r>
          </w:hyperlink>
        </w:p>
        <w:p w14:paraId="7EBC4071" w14:textId="77777777" w:rsidR="008934EF" w:rsidRDefault="009B0053">
          <w:pPr>
            <w:pStyle w:val="TOC2"/>
            <w:rPr>
              <w:rFonts w:asciiTheme="minorHAnsi" w:eastAsiaTheme="minorEastAsia" w:hAnsiTheme="minorHAnsi" w:cstheme="minorBidi"/>
              <w:b w:val="0"/>
              <w:noProof/>
              <w:sz w:val="22"/>
              <w:lang w:eastAsia="en-AU"/>
            </w:rPr>
          </w:pPr>
          <w:hyperlink w:anchor="_Toc482791296" w:history="1">
            <w:r w:rsidR="008934EF" w:rsidRPr="00BB0B2E">
              <w:rPr>
                <w:rStyle w:val="Hyperlink"/>
                <w:noProof/>
              </w:rPr>
              <w:t>IV. Clinical findings</w:t>
            </w:r>
            <w:r w:rsidR="008934EF">
              <w:rPr>
                <w:noProof/>
                <w:webHidden/>
              </w:rPr>
              <w:tab/>
            </w:r>
            <w:r w:rsidR="008934EF">
              <w:rPr>
                <w:noProof/>
                <w:webHidden/>
              </w:rPr>
              <w:fldChar w:fldCharType="begin"/>
            </w:r>
            <w:r w:rsidR="008934EF">
              <w:rPr>
                <w:noProof/>
                <w:webHidden/>
              </w:rPr>
              <w:instrText xml:space="preserve"> PAGEREF _Toc482791296 \h </w:instrText>
            </w:r>
            <w:r w:rsidR="008934EF">
              <w:rPr>
                <w:noProof/>
                <w:webHidden/>
              </w:rPr>
            </w:r>
            <w:r w:rsidR="008934EF">
              <w:rPr>
                <w:noProof/>
                <w:webHidden/>
              </w:rPr>
              <w:fldChar w:fldCharType="separate"/>
            </w:r>
            <w:r>
              <w:rPr>
                <w:noProof/>
                <w:webHidden/>
              </w:rPr>
              <w:t>21</w:t>
            </w:r>
            <w:r w:rsidR="008934EF">
              <w:rPr>
                <w:noProof/>
                <w:webHidden/>
              </w:rPr>
              <w:fldChar w:fldCharType="end"/>
            </w:r>
          </w:hyperlink>
        </w:p>
        <w:p w14:paraId="170123CB" w14:textId="77777777" w:rsidR="008934EF" w:rsidRDefault="009B0053">
          <w:pPr>
            <w:pStyle w:val="TOC3"/>
            <w:rPr>
              <w:rFonts w:asciiTheme="minorHAnsi" w:eastAsiaTheme="minorEastAsia" w:hAnsiTheme="minorHAnsi" w:cstheme="minorBidi"/>
              <w:noProof/>
              <w:lang w:eastAsia="en-AU"/>
            </w:rPr>
          </w:pPr>
          <w:hyperlink w:anchor="_Toc482791297" w:history="1">
            <w:r w:rsidR="008934EF" w:rsidRPr="00BB0B2E">
              <w:rPr>
                <w:rStyle w:val="Hyperlink"/>
                <w:noProof/>
              </w:rPr>
              <w:t>Introduction</w:t>
            </w:r>
            <w:r w:rsidR="008934EF">
              <w:rPr>
                <w:noProof/>
                <w:webHidden/>
              </w:rPr>
              <w:tab/>
            </w:r>
            <w:r w:rsidR="008934EF">
              <w:rPr>
                <w:noProof/>
                <w:webHidden/>
              </w:rPr>
              <w:fldChar w:fldCharType="begin"/>
            </w:r>
            <w:r w:rsidR="008934EF">
              <w:rPr>
                <w:noProof/>
                <w:webHidden/>
              </w:rPr>
              <w:instrText xml:space="preserve"> PAGEREF _Toc482791297 \h </w:instrText>
            </w:r>
            <w:r w:rsidR="008934EF">
              <w:rPr>
                <w:noProof/>
                <w:webHidden/>
              </w:rPr>
            </w:r>
            <w:r w:rsidR="008934EF">
              <w:rPr>
                <w:noProof/>
                <w:webHidden/>
              </w:rPr>
              <w:fldChar w:fldCharType="separate"/>
            </w:r>
            <w:r>
              <w:rPr>
                <w:noProof/>
                <w:webHidden/>
              </w:rPr>
              <w:t>21</w:t>
            </w:r>
            <w:r w:rsidR="008934EF">
              <w:rPr>
                <w:noProof/>
                <w:webHidden/>
              </w:rPr>
              <w:fldChar w:fldCharType="end"/>
            </w:r>
          </w:hyperlink>
        </w:p>
        <w:p w14:paraId="21C6D639" w14:textId="77777777" w:rsidR="008934EF" w:rsidRDefault="009B0053">
          <w:pPr>
            <w:pStyle w:val="TOC3"/>
            <w:rPr>
              <w:rFonts w:asciiTheme="minorHAnsi" w:eastAsiaTheme="minorEastAsia" w:hAnsiTheme="minorHAnsi" w:cstheme="minorBidi"/>
              <w:noProof/>
              <w:lang w:eastAsia="en-AU"/>
            </w:rPr>
          </w:pPr>
          <w:hyperlink w:anchor="_Toc482791298" w:history="1">
            <w:r w:rsidR="008934EF" w:rsidRPr="00BB0B2E">
              <w:rPr>
                <w:rStyle w:val="Hyperlink"/>
                <w:noProof/>
              </w:rPr>
              <w:t>Pharmacokinetics</w:t>
            </w:r>
            <w:r w:rsidR="008934EF">
              <w:rPr>
                <w:noProof/>
                <w:webHidden/>
              </w:rPr>
              <w:tab/>
            </w:r>
            <w:r w:rsidR="008934EF">
              <w:rPr>
                <w:noProof/>
                <w:webHidden/>
              </w:rPr>
              <w:fldChar w:fldCharType="begin"/>
            </w:r>
            <w:r w:rsidR="008934EF">
              <w:rPr>
                <w:noProof/>
                <w:webHidden/>
              </w:rPr>
              <w:instrText xml:space="preserve"> PAGEREF _Toc482791298 \h </w:instrText>
            </w:r>
            <w:r w:rsidR="008934EF">
              <w:rPr>
                <w:noProof/>
                <w:webHidden/>
              </w:rPr>
            </w:r>
            <w:r w:rsidR="008934EF">
              <w:rPr>
                <w:noProof/>
                <w:webHidden/>
              </w:rPr>
              <w:fldChar w:fldCharType="separate"/>
            </w:r>
            <w:r>
              <w:rPr>
                <w:noProof/>
                <w:webHidden/>
              </w:rPr>
              <w:t>22</w:t>
            </w:r>
            <w:r w:rsidR="008934EF">
              <w:rPr>
                <w:noProof/>
                <w:webHidden/>
              </w:rPr>
              <w:fldChar w:fldCharType="end"/>
            </w:r>
          </w:hyperlink>
        </w:p>
        <w:p w14:paraId="64151A61" w14:textId="77777777" w:rsidR="008934EF" w:rsidRDefault="009B0053">
          <w:pPr>
            <w:pStyle w:val="TOC3"/>
            <w:rPr>
              <w:rFonts w:asciiTheme="minorHAnsi" w:eastAsiaTheme="minorEastAsia" w:hAnsiTheme="minorHAnsi" w:cstheme="minorBidi"/>
              <w:noProof/>
              <w:lang w:eastAsia="en-AU"/>
            </w:rPr>
          </w:pPr>
          <w:hyperlink w:anchor="_Toc482791299" w:history="1">
            <w:r w:rsidR="008934EF" w:rsidRPr="00BB0B2E">
              <w:rPr>
                <w:rStyle w:val="Hyperlink"/>
                <w:noProof/>
              </w:rPr>
              <w:t>Pharmacodynamics</w:t>
            </w:r>
            <w:r w:rsidR="008934EF">
              <w:rPr>
                <w:noProof/>
                <w:webHidden/>
              </w:rPr>
              <w:tab/>
            </w:r>
            <w:r w:rsidR="008934EF">
              <w:rPr>
                <w:noProof/>
                <w:webHidden/>
              </w:rPr>
              <w:fldChar w:fldCharType="begin"/>
            </w:r>
            <w:r w:rsidR="008934EF">
              <w:rPr>
                <w:noProof/>
                <w:webHidden/>
              </w:rPr>
              <w:instrText xml:space="preserve"> PAGEREF _Toc482791299 \h </w:instrText>
            </w:r>
            <w:r w:rsidR="008934EF">
              <w:rPr>
                <w:noProof/>
                <w:webHidden/>
              </w:rPr>
            </w:r>
            <w:r w:rsidR="008934EF">
              <w:rPr>
                <w:noProof/>
                <w:webHidden/>
              </w:rPr>
              <w:fldChar w:fldCharType="separate"/>
            </w:r>
            <w:r>
              <w:rPr>
                <w:noProof/>
                <w:webHidden/>
              </w:rPr>
              <w:t>23</w:t>
            </w:r>
            <w:r w:rsidR="008934EF">
              <w:rPr>
                <w:noProof/>
                <w:webHidden/>
              </w:rPr>
              <w:fldChar w:fldCharType="end"/>
            </w:r>
          </w:hyperlink>
        </w:p>
        <w:p w14:paraId="18A1D4A1" w14:textId="77777777" w:rsidR="008934EF" w:rsidRDefault="009B0053">
          <w:pPr>
            <w:pStyle w:val="TOC3"/>
            <w:rPr>
              <w:rFonts w:asciiTheme="minorHAnsi" w:eastAsiaTheme="minorEastAsia" w:hAnsiTheme="minorHAnsi" w:cstheme="minorBidi"/>
              <w:noProof/>
              <w:lang w:eastAsia="en-AU"/>
            </w:rPr>
          </w:pPr>
          <w:hyperlink w:anchor="_Toc482791300" w:history="1">
            <w:r w:rsidR="008934EF" w:rsidRPr="00BB0B2E">
              <w:rPr>
                <w:rStyle w:val="Hyperlink"/>
                <w:noProof/>
              </w:rPr>
              <w:t>Dosage selection for the pivotal studies</w:t>
            </w:r>
            <w:r w:rsidR="008934EF">
              <w:rPr>
                <w:noProof/>
                <w:webHidden/>
              </w:rPr>
              <w:tab/>
            </w:r>
            <w:r w:rsidR="008934EF">
              <w:rPr>
                <w:noProof/>
                <w:webHidden/>
              </w:rPr>
              <w:fldChar w:fldCharType="begin"/>
            </w:r>
            <w:r w:rsidR="008934EF">
              <w:rPr>
                <w:noProof/>
                <w:webHidden/>
              </w:rPr>
              <w:instrText xml:space="preserve"> PAGEREF _Toc482791300 \h </w:instrText>
            </w:r>
            <w:r w:rsidR="008934EF">
              <w:rPr>
                <w:noProof/>
                <w:webHidden/>
              </w:rPr>
            </w:r>
            <w:r w:rsidR="008934EF">
              <w:rPr>
                <w:noProof/>
                <w:webHidden/>
              </w:rPr>
              <w:fldChar w:fldCharType="separate"/>
            </w:r>
            <w:r>
              <w:rPr>
                <w:noProof/>
                <w:webHidden/>
              </w:rPr>
              <w:t>23</w:t>
            </w:r>
            <w:r w:rsidR="008934EF">
              <w:rPr>
                <w:noProof/>
                <w:webHidden/>
              </w:rPr>
              <w:fldChar w:fldCharType="end"/>
            </w:r>
          </w:hyperlink>
        </w:p>
        <w:p w14:paraId="1366F2B7" w14:textId="77777777" w:rsidR="008934EF" w:rsidRDefault="009B0053">
          <w:pPr>
            <w:pStyle w:val="TOC3"/>
            <w:rPr>
              <w:rFonts w:asciiTheme="minorHAnsi" w:eastAsiaTheme="minorEastAsia" w:hAnsiTheme="minorHAnsi" w:cstheme="minorBidi"/>
              <w:noProof/>
              <w:lang w:eastAsia="en-AU"/>
            </w:rPr>
          </w:pPr>
          <w:hyperlink w:anchor="_Toc482791301" w:history="1">
            <w:r w:rsidR="008934EF" w:rsidRPr="00BB0B2E">
              <w:rPr>
                <w:rStyle w:val="Hyperlink"/>
                <w:noProof/>
              </w:rPr>
              <w:t>Efficacy</w:t>
            </w:r>
            <w:r w:rsidR="008934EF">
              <w:rPr>
                <w:noProof/>
                <w:webHidden/>
              </w:rPr>
              <w:tab/>
            </w:r>
            <w:r w:rsidR="008934EF">
              <w:rPr>
                <w:noProof/>
                <w:webHidden/>
              </w:rPr>
              <w:fldChar w:fldCharType="begin"/>
            </w:r>
            <w:r w:rsidR="008934EF">
              <w:rPr>
                <w:noProof/>
                <w:webHidden/>
              </w:rPr>
              <w:instrText xml:space="preserve"> PAGEREF _Toc482791301 \h </w:instrText>
            </w:r>
            <w:r w:rsidR="008934EF">
              <w:rPr>
                <w:noProof/>
                <w:webHidden/>
              </w:rPr>
            </w:r>
            <w:r w:rsidR="008934EF">
              <w:rPr>
                <w:noProof/>
                <w:webHidden/>
              </w:rPr>
              <w:fldChar w:fldCharType="separate"/>
            </w:r>
            <w:r>
              <w:rPr>
                <w:noProof/>
                <w:webHidden/>
              </w:rPr>
              <w:t>24</w:t>
            </w:r>
            <w:r w:rsidR="008934EF">
              <w:rPr>
                <w:noProof/>
                <w:webHidden/>
              </w:rPr>
              <w:fldChar w:fldCharType="end"/>
            </w:r>
          </w:hyperlink>
        </w:p>
        <w:p w14:paraId="6F7A223B" w14:textId="77777777" w:rsidR="008934EF" w:rsidRDefault="009B0053">
          <w:pPr>
            <w:pStyle w:val="TOC3"/>
            <w:rPr>
              <w:rFonts w:asciiTheme="minorHAnsi" w:eastAsiaTheme="minorEastAsia" w:hAnsiTheme="minorHAnsi" w:cstheme="minorBidi"/>
              <w:noProof/>
              <w:lang w:eastAsia="en-AU"/>
            </w:rPr>
          </w:pPr>
          <w:hyperlink w:anchor="_Toc482791302" w:history="1">
            <w:r w:rsidR="008934EF" w:rsidRPr="00BB0B2E">
              <w:rPr>
                <w:rStyle w:val="Hyperlink"/>
                <w:noProof/>
              </w:rPr>
              <w:t>Safety</w:t>
            </w:r>
            <w:r w:rsidR="008934EF">
              <w:rPr>
                <w:noProof/>
                <w:webHidden/>
              </w:rPr>
              <w:tab/>
            </w:r>
            <w:r w:rsidR="008934EF">
              <w:rPr>
                <w:noProof/>
                <w:webHidden/>
              </w:rPr>
              <w:fldChar w:fldCharType="begin"/>
            </w:r>
            <w:r w:rsidR="008934EF">
              <w:rPr>
                <w:noProof/>
                <w:webHidden/>
              </w:rPr>
              <w:instrText xml:space="preserve"> PAGEREF _Toc482791302 \h </w:instrText>
            </w:r>
            <w:r w:rsidR="008934EF">
              <w:rPr>
                <w:noProof/>
                <w:webHidden/>
              </w:rPr>
            </w:r>
            <w:r w:rsidR="008934EF">
              <w:rPr>
                <w:noProof/>
                <w:webHidden/>
              </w:rPr>
              <w:fldChar w:fldCharType="separate"/>
            </w:r>
            <w:r>
              <w:rPr>
                <w:noProof/>
                <w:webHidden/>
              </w:rPr>
              <w:t>26</w:t>
            </w:r>
            <w:r w:rsidR="008934EF">
              <w:rPr>
                <w:noProof/>
                <w:webHidden/>
              </w:rPr>
              <w:fldChar w:fldCharType="end"/>
            </w:r>
          </w:hyperlink>
        </w:p>
        <w:p w14:paraId="3B8023C6" w14:textId="77777777" w:rsidR="008934EF" w:rsidRDefault="009B0053">
          <w:pPr>
            <w:pStyle w:val="TOC3"/>
            <w:rPr>
              <w:rFonts w:asciiTheme="minorHAnsi" w:eastAsiaTheme="minorEastAsia" w:hAnsiTheme="minorHAnsi" w:cstheme="minorBidi"/>
              <w:noProof/>
              <w:lang w:eastAsia="en-AU"/>
            </w:rPr>
          </w:pPr>
          <w:hyperlink w:anchor="_Toc482791303" w:history="1">
            <w:r w:rsidR="008934EF" w:rsidRPr="00BB0B2E">
              <w:rPr>
                <w:rStyle w:val="Hyperlink"/>
                <w:noProof/>
              </w:rPr>
              <w:t>First Round Benefit-Risk Assessment</w:t>
            </w:r>
            <w:r w:rsidR="008934EF">
              <w:rPr>
                <w:noProof/>
                <w:webHidden/>
              </w:rPr>
              <w:tab/>
            </w:r>
            <w:r w:rsidR="008934EF">
              <w:rPr>
                <w:noProof/>
                <w:webHidden/>
              </w:rPr>
              <w:fldChar w:fldCharType="begin"/>
            </w:r>
            <w:r w:rsidR="008934EF">
              <w:rPr>
                <w:noProof/>
                <w:webHidden/>
              </w:rPr>
              <w:instrText xml:space="preserve"> PAGEREF _Toc482791303 \h </w:instrText>
            </w:r>
            <w:r w:rsidR="008934EF">
              <w:rPr>
                <w:noProof/>
                <w:webHidden/>
              </w:rPr>
            </w:r>
            <w:r w:rsidR="008934EF">
              <w:rPr>
                <w:noProof/>
                <w:webHidden/>
              </w:rPr>
              <w:fldChar w:fldCharType="separate"/>
            </w:r>
            <w:r>
              <w:rPr>
                <w:noProof/>
                <w:webHidden/>
              </w:rPr>
              <w:t>29</w:t>
            </w:r>
            <w:r w:rsidR="008934EF">
              <w:rPr>
                <w:noProof/>
                <w:webHidden/>
              </w:rPr>
              <w:fldChar w:fldCharType="end"/>
            </w:r>
          </w:hyperlink>
        </w:p>
        <w:p w14:paraId="3DE943F6" w14:textId="77777777" w:rsidR="008934EF" w:rsidRDefault="009B0053">
          <w:pPr>
            <w:pStyle w:val="TOC3"/>
            <w:rPr>
              <w:rFonts w:asciiTheme="minorHAnsi" w:eastAsiaTheme="minorEastAsia" w:hAnsiTheme="minorHAnsi" w:cstheme="minorBidi"/>
              <w:noProof/>
              <w:lang w:eastAsia="en-AU"/>
            </w:rPr>
          </w:pPr>
          <w:hyperlink w:anchor="_Toc482791304" w:history="1">
            <w:r w:rsidR="008934EF" w:rsidRPr="00BB0B2E">
              <w:rPr>
                <w:rStyle w:val="Hyperlink"/>
                <w:noProof/>
              </w:rPr>
              <w:t>First Round Recommendation Regarding Authorisation</w:t>
            </w:r>
            <w:r w:rsidR="008934EF">
              <w:rPr>
                <w:noProof/>
                <w:webHidden/>
              </w:rPr>
              <w:tab/>
            </w:r>
            <w:r w:rsidR="008934EF">
              <w:rPr>
                <w:noProof/>
                <w:webHidden/>
              </w:rPr>
              <w:fldChar w:fldCharType="begin"/>
            </w:r>
            <w:r w:rsidR="008934EF">
              <w:rPr>
                <w:noProof/>
                <w:webHidden/>
              </w:rPr>
              <w:instrText xml:space="preserve"> PAGEREF _Toc482791304 \h </w:instrText>
            </w:r>
            <w:r w:rsidR="008934EF">
              <w:rPr>
                <w:noProof/>
                <w:webHidden/>
              </w:rPr>
            </w:r>
            <w:r w:rsidR="008934EF">
              <w:rPr>
                <w:noProof/>
                <w:webHidden/>
              </w:rPr>
              <w:fldChar w:fldCharType="separate"/>
            </w:r>
            <w:r>
              <w:rPr>
                <w:noProof/>
                <w:webHidden/>
              </w:rPr>
              <w:t>29</w:t>
            </w:r>
            <w:r w:rsidR="008934EF">
              <w:rPr>
                <w:noProof/>
                <w:webHidden/>
              </w:rPr>
              <w:fldChar w:fldCharType="end"/>
            </w:r>
          </w:hyperlink>
        </w:p>
        <w:p w14:paraId="38E116D3" w14:textId="77777777" w:rsidR="008934EF" w:rsidRDefault="009B0053">
          <w:pPr>
            <w:pStyle w:val="TOC3"/>
            <w:rPr>
              <w:rFonts w:asciiTheme="minorHAnsi" w:eastAsiaTheme="minorEastAsia" w:hAnsiTheme="minorHAnsi" w:cstheme="minorBidi"/>
              <w:noProof/>
              <w:lang w:eastAsia="en-AU"/>
            </w:rPr>
          </w:pPr>
          <w:hyperlink w:anchor="_Toc482791305" w:history="1">
            <w:r w:rsidR="008934EF" w:rsidRPr="00BB0B2E">
              <w:rPr>
                <w:rStyle w:val="Hyperlink"/>
                <w:noProof/>
              </w:rPr>
              <w:t>Clinical Questions</w:t>
            </w:r>
            <w:r w:rsidR="008934EF">
              <w:rPr>
                <w:noProof/>
                <w:webHidden/>
              </w:rPr>
              <w:tab/>
            </w:r>
            <w:r w:rsidR="008934EF">
              <w:rPr>
                <w:noProof/>
                <w:webHidden/>
              </w:rPr>
              <w:fldChar w:fldCharType="begin"/>
            </w:r>
            <w:r w:rsidR="008934EF">
              <w:rPr>
                <w:noProof/>
                <w:webHidden/>
              </w:rPr>
              <w:instrText xml:space="preserve"> PAGEREF _Toc482791305 \h </w:instrText>
            </w:r>
            <w:r w:rsidR="008934EF">
              <w:rPr>
                <w:noProof/>
                <w:webHidden/>
              </w:rPr>
            </w:r>
            <w:r w:rsidR="008934EF">
              <w:rPr>
                <w:noProof/>
                <w:webHidden/>
              </w:rPr>
              <w:fldChar w:fldCharType="separate"/>
            </w:r>
            <w:r>
              <w:rPr>
                <w:noProof/>
                <w:webHidden/>
              </w:rPr>
              <w:t>29</w:t>
            </w:r>
            <w:r w:rsidR="008934EF">
              <w:rPr>
                <w:noProof/>
                <w:webHidden/>
              </w:rPr>
              <w:fldChar w:fldCharType="end"/>
            </w:r>
          </w:hyperlink>
        </w:p>
        <w:p w14:paraId="2E356A0E" w14:textId="77777777" w:rsidR="008934EF" w:rsidRDefault="009B0053">
          <w:pPr>
            <w:pStyle w:val="TOC3"/>
            <w:rPr>
              <w:rFonts w:asciiTheme="minorHAnsi" w:eastAsiaTheme="minorEastAsia" w:hAnsiTheme="minorHAnsi" w:cstheme="minorBidi"/>
              <w:noProof/>
              <w:lang w:eastAsia="en-AU"/>
            </w:rPr>
          </w:pPr>
          <w:hyperlink w:anchor="_Toc482791306" w:history="1">
            <w:r w:rsidR="008934EF" w:rsidRPr="00BB0B2E">
              <w:rPr>
                <w:rStyle w:val="Hyperlink"/>
                <w:noProof/>
              </w:rPr>
              <w:t>Second Round Evaluation of clinical data submitted in response to questions</w:t>
            </w:r>
            <w:r w:rsidR="008934EF">
              <w:rPr>
                <w:noProof/>
                <w:webHidden/>
              </w:rPr>
              <w:tab/>
            </w:r>
            <w:r w:rsidR="008934EF">
              <w:rPr>
                <w:noProof/>
                <w:webHidden/>
              </w:rPr>
              <w:fldChar w:fldCharType="begin"/>
            </w:r>
            <w:r w:rsidR="008934EF">
              <w:rPr>
                <w:noProof/>
                <w:webHidden/>
              </w:rPr>
              <w:instrText xml:space="preserve"> PAGEREF _Toc482791306 \h </w:instrText>
            </w:r>
            <w:r w:rsidR="008934EF">
              <w:rPr>
                <w:noProof/>
                <w:webHidden/>
              </w:rPr>
            </w:r>
            <w:r w:rsidR="008934EF">
              <w:rPr>
                <w:noProof/>
                <w:webHidden/>
              </w:rPr>
              <w:fldChar w:fldCharType="separate"/>
            </w:r>
            <w:r>
              <w:rPr>
                <w:noProof/>
                <w:webHidden/>
              </w:rPr>
              <w:t>29</w:t>
            </w:r>
            <w:r w:rsidR="008934EF">
              <w:rPr>
                <w:noProof/>
                <w:webHidden/>
              </w:rPr>
              <w:fldChar w:fldCharType="end"/>
            </w:r>
          </w:hyperlink>
        </w:p>
        <w:p w14:paraId="523266EA" w14:textId="77777777" w:rsidR="008934EF" w:rsidRDefault="009B0053">
          <w:pPr>
            <w:pStyle w:val="TOC3"/>
            <w:rPr>
              <w:rFonts w:asciiTheme="minorHAnsi" w:eastAsiaTheme="minorEastAsia" w:hAnsiTheme="minorHAnsi" w:cstheme="minorBidi"/>
              <w:noProof/>
              <w:lang w:eastAsia="en-AU"/>
            </w:rPr>
          </w:pPr>
          <w:hyperlink w:anchor="_Toc482791307" w:history="1">
            <w:r w:rsidR="008934EF" w:rsidRPr="00BB0B2E">
              <w:rPr>
                <w:rStyle w:val="Hyperlink"/>
                <w:noProof/>
              </w:rPr>
              <w:t>Second Round Benefit-Risk Assessment</w:t>
            </w:r>
            <w:r w:rsidR="008934EF">
              <w:rPr>
                <w:noProof/>
                <w:webHidden/>
              </w:rPr>
              <w:tab/>
            </w:r>
            <w:r w:rsidR="008934EF">
              <w:rPr>
                <w:noProof/>
                <w:webHidden/>
              </w:rPr>
              <w:fldChar w:fldCharType="begin"/>
            </w:r>
            <w:r w:rsidR="008934EF">
              <w:rPr>
                <w:noProof/>
                <w:webHidden/>
              </w:rPr>
              <w:instrText xml:space="preserve"> PAGEREF _Toc482791307 \h </w:instrText>
            </w:r>
            <w:r w:rsidR="008934EF">
              <w:rPr>
                <w:noProof/>
                <w:webHidden/>
              </w:rPr>
            </w:r>
            <w:r w:rsidR="008934EF">
              <w:rPr>
                <w:noProof/>
                <w:webHidden/>
              </w:rPr>
              <w:fldChar w:fldCharType="separate"/>
            </w:r>
            <w:r>
              <w:rPr>
                <w:noProof/>
                <w:webHidden/>
              </w:rPr>
              <w:t>29</w:t>
            </w:r>
            <w:r w:rsidR="008934EF">
              <w:rPr>
                <w:noProof/>
                <w:webHidden/>
              </w:rPr>
              <w:fldChar w:fldCharType="end"/>
            </w:r>
          </w:hyperlink>
        </w:p>
        <w:p w14:paraId="72A2F1F3" w14:textId="77777777" w:rsidR="008934EF" w:rsidRDefault="009B0053">
          <w:pPr>
            <w:pStyle w:val="TOC2"/>
            <w:rPr>
              <w:rFonts w:asciiTheme="minorHAnsi" w:eastAsiaTheme="minorEastAsia" w:hAnsiTheme="minorHAnsi" w:cstheme="minorBidi"/>
              <w:b w:val="0"/>
              <w:noProof/>
              <w:sz w:val="22"/>
              <w:lang w:eastAsia="en-AU"/>
            </w:rPr>
          </w:pPr>
          <w:hyperlink w:anchor="_Toc482791308" w:history="1">
            <w:r w:rsidR="008934EF" w:rsidRPr="00BB0B2E">
              <w:rPr>
                <w:rStyle w:val="Hyperlink"/>
                <w:noProof/>
              </w:rPr>
              <w:t>V. Pharmacovigilance findings</w:t>
            </w:r>
            <w:r w:rsidR="008934EF">
              <w:rPr>
                <w:noProof/>
                <w:webHidden/>
              </w:rPr>
              <w:tab/>
            </w:r>
            <w:r w:rsidR="008934EF">
              <w:rPr>
                <w:noProof/>
                <w:webHidden/>
              </w:rPr>
              <w:fldChar w:fldCharType="begin"/>
            </w:r>
            <w:r w:rsidR="008934EF">
              <w:rPr>
                <w:noProof/>
                <w:webHidden/>
              </w:rPr>
              <w:instrText xml:space="preserve"> PAGEREF _Toc482791308 \h </w:instrText>
            </w:r>
            <w:r w:rsidR="008934EF">
              <w:rPr>
                <w:noProof/>
                <w:webHidden/>
              </w:rPr>
            </w:r>
            <w:r w:rsidR="008934EF">
              <w:rPr>
                <w:noProof/>
                <w:webHidden/>
              </w:rPr>
              <w:fldChar w:fldCharType="separate"/>
            </w:r>
            <w:r>
              <w:rPr>
                <w:noProof/>
                <w:webHidden/>
              </w:rPr>
              <w:t>30</w:t>
            </w:r>
            <w:r w:rsidR="008934EF">
              <w:rPr>
                <w:noProof/>
                <w:webHidden/>
              </w:rPr>
              <w:fldChar w:fldCharType="end"/>
            </w:r>
          </w:hyperlink>
        </w:p>
        <w:p w14:paraId="7028FA66" w14:textId="77777777" w:rsidR="008934EF" w:rsidRDefault="009B0053">
          <w:pPr>
            <w:pStyle w:val="TOC3"/>
            <w:rPr>
              <w:rFonts w:asciiTheme="minorHAnsi" w:eastAsiaTheme="minorEastAsia" w:hAnsiTheme="minorHAnsi" w:cstheme="minorBidi"/>
              <w:noProof/>
              <w:lang w:eastAsia="en-AU"/>
            </w:rPr>
          </w:pPr>
          <w:hyperlink w:anchor="_Toc482791309" w:history="1">
            <w:r w:rsidR="008934EF" w:rsidRPr="00BB0B2E">
              <w:rPr>
                <w:rStyle w:val="Hyperlink"/>
                <w:noProof/>
                <w:lang w:eastAsia="en-AU"/>
              </w:rPr>
              <w:t>Risk management plan</w:t>
            </w:r>
            <w:r w:rsidR="008934EF">
              <w:rPr>
                <w:noProof/>
                <w:webHidden/>
              </w:rPr>
              <w:tab/>
            </w:r>
            <w:r w:rsidR="008934EF">
              <w:rPr>
                <w:noProof/>
                <w:webHidden/>
              </w:rPr>
              <w:fldChar w:fldCharType="begin"/>
            </w:r>
            <w:r w:rsidR="008934EF">
              <w:rPr>
                <w:noProof/>
                <w:webHidden/>
              </w:rPr>
              <w:instrText xml:space="preserve"> PAGEREF _Toc482791309 \h </w:instrText>
            </w:r>
            <w:r w:rsidR="008934EF">
              <w:rPr>
                <w:noProof/>
                <w:webHidden/>
              </w:rPr>
            </w:r>
            <w:r w:rsidR="008934EF">
              <w:rPr>
                <w:noProof/>
                <w:webHidden/>
              </w:rPr>
              <w:fldChar w:fldCharType="separate"/>
            </w:r>
            <w:r>
              <w:rPr>
                <w:noProof/>
                <w:webHidden/>
              </w:rPr>
              <w:t>30</w:t>
            </w:r>
            <w:r w:rsidR="008934EF">
              <w:rPr>
                <w:noProof/>
                <w:webHidden/>
              </w:rPr>
              <w:fldChar w:fldCharType="end"/>
            </w:r>
          </w:hyperlink>
        </w:p>
        <w:p w14:paraId="6F1B1676" w14:textId="77777777" w:rsidR="008934EF" w:rsidRDefault="009B0053">
          <w:pPr>
            <w:pStyle w:val="TOC2"/>
            <w:rPr>
              <w:rFonts w:asciiTheme="minorHAnsi" w:eastAsiaTheme="minorEastAsia" w:hAnsiTheme="minorHAnsi" w:cstheme="minorBidi"/>
              <w:b w:val="0"/>
              <w:noProof/>
              <w:sz w:val="22"/>
              <w:lang w:eastAsia="en-AU"/>
            </w:rPr>
          </w:pPr>
          <w:hyperlink w:anchor="_Toc482791310" w:history="1">
            <w:r w:rsidR="008934EF" w:rsidRPr="00BB0B2E">
              <w:rPr>
                <w:rStyle w:val="Hyperlink"/>
                <w:noProof/>
              </w:rPr>
              <w:t>VI. Overall conclusion and risk/benefit assessment</w:t>
            </w:r>
            <w:r w:rsidR="008934EF">
              <w:rPr>
                <w:noProof/>
                <w:webHidden/>
              </w:rPr>
              <w:tab/>
            </w:r>
            <w:r w:rsidR="008934EF">
              <w:rPr>
                <w:noProof/>
                <w:webHidden/>
              </w:rPr>
              <w:fldChar w:fldCharType="begin"/>
            </w:r>
            <w:r w:rsidR="008934EF">
              <w:rPr>
                <w:noProof/>
                <w:webHidden/>
              </w:rPr>
              <w:instrText xml:space="preserve"> PAGEREF _Toc482791310 \h </w:instrText>
            </w:r>
            <w:r w:rsidR="008934EF">
              <w:rPr>
                <w:noProof/>
                <w:webHidden/>
              </w:rPr>
            </w:r>
            <w:r w:rsidR="008934EF">
              <w:rPr>
                <w:noProof/>
                <w:webHidden/>
              </w:rPr>
              <w:fldChar w:fldCharType="separate"/>
            </w:r>
            <w:r>
              <w:rPr>
                <w:noProof/>
                <w:webHidden/>
              </w:rPr>
              <w:t>36</w:t>
            </w:r>
            <w:r w:rsidR="008934EF">
              <w:rPr>
                <w:noProof/>
                <w:webHidden/>
              </w:rPr>
              <w:fldChar w:fldCharType="end"/>
            </w:r>
          </w:hyperlink>
        </w:p>
        <w:p w14:paraId="7D398CFF" w14:textId="77777777" w:rsidR="008934EF" w:rsidRDefault="009B0053">
          <w:pPr>
            <w:pStyle w:val="TOC3"/>
            <w:rPr>
              <w:rFonts w:asciiTheme="minorHAnsi" w:eastAsiaTheme="minorEastAsia" w:hAnsiTheme="minorHAnsi" w:cstheme="minorBidi"/>
              <w:noProof/>
              <w:lang w:eastAsia="en-AU"/>
            </w:rPr>
          </w:pPr>
          <w:hyperlink w:anchor="_Toc482791311" w:history="1">
            <w:r w:rsidR="008934EF" w:rsidRPr="00BB0B2E">
              <w:rPr>
                <w:rStyle w:val="Hyperlink"/>
                <w:noProof/>
              </w:rPr>
              <w:t>Quality</w:t>
            </w:r>
            <w:r w:rsidR="008934EF">
              <w:rPr>
                <w:noProof/>
                <w:webHidden/>
              </w:rPr>
              <w:tab/>
            </w:r>
            <w:r w:rsidR="008934EF">
              <w:rPr>
                <w:noProof/>
                <w:webHidden/>
              </w:rPr>
              <w:fldChar w:fldCharType="begin"/>
            </w:r>
            <w:r w:rsidR="008934EF">
              <w:rPr>
                <w:noProof/>
                <w:webHidden/>
              </w:rPr>
              <w:instrText xml:space="preserve"> PAGEREF _Toc482791311 \h </w:instrText>
            </w:r>
            <w:r w:rsidR="008934EF">
              <w:rPr>
                <w:noProof/>
                <w:webHidden/>
              </w:rPr>
            </w:r>
            <w:r w:rsidR="008934EF">
              <w:rPr>
                <w:noProof/>
                <w:webHidden/>
              </w:rPr>
              <w:fldChar w:fldCharType="separate"/>
            </w:r>
            <w:r>
              <w:rPr>
                <w:noProof/>
                <w:webHidden/>
              </w:rPr>
              <w:t>36</w:t>
            </w:r>
            <w:r w:rsidR="008934EF">
              <w:rPr>
                <w:noProof/>
                <w:webHidden/>
              </w:rPr>
              <w:fldChar w:fldCharType="end"/>
            </w:r>
          </w:hyperlink>
        </w:p>
        <w:p w14:paraId="23E314A4" w14:textId="77777777" w:rsidR="008934EF" w:rsidRDefault="009B0053">
          <w:pPr>
            <w:pStyle w:val="TOC3"/>
            <w:rPr>
              <w:rFonts w:asciiTheme="minorHAnsi" w:eastAsiaTheme="minorEastAsia" w:hAnsiTheme="minorHAnsi" w:cstheme="minorBidi"/>
              <w:noProof/>
              <w:lang w:eastAsia="en-AU"/>
            </w:rPr>
          </w:pPr>
          <w:hyperlink w:anchor="_Toc482791312" w:history="1">
            <w:r w:rsidR="008934EF" w:rsidRPr="00BB0B2E">
              <w:rPr>
                <w:rStyle w:val="Hyperlink"/>
                <w:noProof/>
              </w:rPr>
              <w:t>Nonclinical</w:t>
            </w:r>
            <w:r w:rsidR="008934EF">
              <w:rPr>
                <w:noProof/>
                <w:webHidden/>
              </w:rPr>
              <w:tab/>
            </w:r>
            <w:r w:rsidR="008934EF">
              <w:rPr>
                <w:noProof/>
                <w:webHidden/>
              </w:rPr>
              <w:fldChar w:fldCharType="begin"/>
            </w:r>
            <w:r w:rsidR="008934EF">
              <w:rPr>
                <w:noProof/>
                <w:webHidden/>
              </w:rPr>
              <w:instrText xml:space="preserve"> PAGEREF _Toc482791312 \h </w:instrText>
            </w:r>
            <w:r w:rsidR="008934EF">
              <w:rPr>
                <w:noProof/>
                <w:webHidden/>
              </w:rPr>
            </w:r>
            <w:r w:rsidR="008934EF">
              <w:rPr>
                <w:noProof/>
                <w:webHidden/>
              </w:rPr>
              <w:fldChar w:fldCharType="separate"/>
            </w:r>
            <w:r>
              <w:rPr>
                <w:noProof/>
                <w:webHidden/>
              </w:rPr>
              <w:t>36</w:t>
            </w:r>
            <w:r w:rsidR="008934EF">
              <w:rPr>
                <w:noProof/>
                <w:webHidden/>
              </w:rPr>
              <w:fldChar w:fldCharType="end"/>
            </w:r>
          </w:hyperlink>
        </w:p>
        <w:p w14:paraId="599B90BF" w14:textId="77777777" w:rsidR="008934EF" w:rsidRDefault="009B0053">
          <w:pPr>
            <w:pStyle w:val="TOC3"/>
            <w:rPr>
              <w:rFonts w:asciiTheme="minorHAnsi" w:eastAsiaTheme="minorEastAsia" w:hAnsiTheme="minorHAnsi" w:cstheme="minorBidi"/>
              <w:noProof/>
              <w:lang w:eastAsia="en-AU"/>
            </w:rPr>
          </w:pPr>
          <w:hyperlink w:anchor="_Toc482791313" w:history="1">
            <w:r w:rsidR="008934EF" w:rsidRPr="00BB0B2E">
              <w:rPr>
                <w:rStyle w:val="Hyperlink"/>
                <w:noProof/>
              </w:rPr>
              <w:t>Clinical</w:t>
            </w:r>
            <w:r w:rsidR="008934EF">
              <w:rPr>
                <w:noProof/>
                <w:webHidden/>
              </w:rPr>
              <w:tab/>
            </w:r>
            <w:r w:rsidR="008934EF">
              <w:rPr>
                <w:noProof/>
                <w:webHidden/>
              </w:rPr>
              <w:fldChar w:fldCharType="begin"/>
            </w:r>
            <w:r w:rsidR="008934EF">
              <w:rPr>
                <w:noProof/>
                <w:webHidden/>
              </w:rPr>
              <w:instrText xml:space="preserve"> PAGEREF _Toc482791313 \h </w:instrText>
            </w:r>
            <w:r w:rsidR="008934EF">
              <w:rPr>
                <w:noProof/>
                <w:webHidden/>
              </w:rPr>
            </w:r>
            <w:r w:rsidR="008934EF">
              <w:rPr>
                <w:noProof/>
                <w:webHidden/>
              </w:rPr>
              <w:fldChar w:fldCharType="separate"/>
            </w:r>
            <w:r>
              <w:rPr>
                <w:noProof/>
                <w:webHidden/>
              </w:rPr>
              <w:t>37</w:t>
            </w:r>
            <w:r w:rsidR="008934EF">
              <w:rPr>
                <w:noProof/>
                <w:webHidden/>
              </w:rPr>
              <w:fldChar w:fldCharType="end"/>
            </w:r>
          </w:hyperlink>
        </w:p>
        <w:p w14:paraId="400CDFEE" w14:textId="77777777" w:rsidR="008934EF" w:rsidRDefault="009B0053">
          <w:pPr>
            <w:pStyle w:val="TOC3"/>
            <w:rPr>
              <w:rFonts w:asciiTheme="minorHAnsi" w:eastAsiaTheme="minorEastAsia" w:hAnsiTheme="minorHAnsi" w:cstheme="minorBidi"/>
              <w:noProof/>
              <w:lang w:eastAsia="en-AU"/>
            </w:rPr>
          </w:pPr>
          <w:hyperlink w:anchor="_Toc482791314" w:history="1">
            <w:r w:rsidR="008934EF" w:rsidRPr="00BB0B2E">
              <w:rPr>
                <w:rStyle w:val="Hyperlink"/>
                <w:noProof/>
                <w:lang w:eastAsia="en-AU"/>
              </w:rPr>
              <w:t>Risk management plan</w:t>
            </w:r>
            <w:r w:rsidR="008934EF">
              <w:rPr>
                <w:noProof/>
                <w:webHidden/>
              </w:rPr>
              <w:tab/>
            </w:r>
            <w:r w:rsidR="008934EF">
              <w:rPr>
                <w:noProof/>
                <w:webHidden/>
              </w:rPr>
              <w:fldChar w:fldCharType="begin"/>
            </w:r>
            <w:r w:rsidR="008934EF">
              <w:rPr>
                <w:noProof/>
                <w:webHidden/>
              </w:rPr>
              <w:instrText xml:space="preserve"> PAGEREF _Toc482791314 \h </w:instrText>
            </w:r>
            <w:r w:rsidR="008934EF">
              <w:rPr>
                <w:noProof/>
                <w:webHidden/>
              </w:rPr>
            </w:r>
            <w:r w:rsidR="008934EF">
              <w:rPr>
                <w:noProof/>
                <w:webHidden/>
              </w:rPr>
              <w:fldChar w:fldCharType="separate"/>
            </w:r>
            <w:r>
              <w:rPr>
                <w:noProof/>
                <w:webHidden/>
              </w:rPr>
              <w:t>51</w:t>
            </w:r>
            <w:r w:rsidR="008934EF">
              <w:rPr>
                <w:noProof/>
                <w:webHidden/>
              </w:rPr>
              <w:fldChar w:fldCharType="end"/>
            </w:r>
          </w:hyperlink>
        </w:p>
        <w:p w14:paraId="48F7808E" w14:textId="77777777" w:rsidR="008934EF" w:rsidRDefault="009B0053">
          <w:pPr>
            <w:pStyle w:val="TOC3"/>
            <w:rPr>
              <w:rFonts w:asciiTheme="minorHAnsi" w:eastAsiaTheme="minorEastAsia" w:hAnsiTheme="minorHAnsi" w:cstheme="minorBidi"/>
              <w:noProof/>
              <w:lang w:eastAsia="en-AU"/>
            </w:rPr>
          </w:pPr>
          <w:hyperlink w:anchor="_Toc482791315" w:history="1">
            <w:r w:rsidR="008934EF" w:rsidRPr="00BB0B2E">
              <w:rPr>
                <w:rStyle w:val="Hyperlink"/>
                <w:noProof/>
              </w:rPr>
              <w:t>Risk-benefit analysis</w:t>
            </w:r>
            <w:r w:rsidR="008934EF">
              <w:rPr>
                <w:noProof/>
                <w:webHidden/>
              </w:rPr>
              <w:tab/>
            </w:r>
            <w:r w:rsidR="008934EF">
              <w:rPr>
                <w:noProof/>
                <w:webHidden/>
              </w:rPr>
              <w:fldChar w:fldCharType="begin"/>
            </w:r>
            <w:r w:rsidR="008934EF">
              <w:rPr>
                <w:noProof/>
                <w:webHidden/>
              </w:rPr>
              <w:instrText xml:space="preserve"> PAGEREF _Toc482791315 \h </w:instrText>
            </w:r>
            <w:r w:rsidR="008934EF">
              <w:rPr>
                <w:noProof/>
                <w:webHidden/>
              </w:rPr>
            </w:r>
            <w:r w:rsidR="008934EF">
              <w:rPr>
                <w:noProof/>
                <w:webHidden/>
              </w:rPr>
              <w:fldChar w:fldCharType="separate"/>
            </w:r>
            <w:r>
              <w:rPr>
                <w:noProof/>
                <w:webHidden/>
              </w:rPr>
              <w:t>51</w:t>
            </w:r>
            <w:r w:rsidR="008934EF">
              <w:rPr>
                <w:noProof/>
                <w:webHidden/>
              </w:rPr>
              <w:fldChar w:fldCharType="end"/>
            </w:r>
          </w:hyperlink>
        </w:p>
        <w:p w14:paraId="5A0BB248" w14:textId="77777777" w:rsidR="008934EF" w:rsidRDefault="009B0053">
          <w:pPr>
            <w:pStyle w:val="TOC3"/>
            <w:rPr>
              <w:rFonts w:asciiTheme="minorHAnsi" w:eastAsiaTheme="minorEastAsia" w:hAnsiTheme="minorHAnsi" w:cstheme="minorBidi"/>
              <w:noProof/>
              <w:lang w:eastAsia="en-AU"/>
            </w:rPr>
          </w:pPr>
          <w:hyperlink w:anchor="_Toc482791316" w:history="1">
            <w:r w:rsidR="008934EF" w:rsidRPr="00BB0B2E">
              <w:rPr>
                <w:rStyle w:val="Hyperlink"/>
                <w:noProof/>
              </w:rPr>
              <w:t>Outcome</w:t>
            </w:r>
            <w:r w:rsidR="008934EF">
              <w:rPr>
                <w:noProof/>
                <w:webHidden/>
              </w:rPr>
              <w:tab/>
            </w:r>
            <w:r w:rsidR="008934EF">
              <w:rPr>
                <w:noProof/>
                <w:webHidden/>
              </w:rPr>
              <w:fldChar w:fldCharType="begin"/>
            </w:r>
            <w:r w:rsidR="008934EF">
              <w:rPr>
                <w:noProof/>
                <w:webHidden/>
              </w:rPr>
              <w:instrText xml:space="preserve"> PAGEREF _Toc482791316 \h </w:instrText>
            </w:r>
            <w:r w:rsidR="008934EF">
              <w:rPr>
                <w:noProof/>
                <w:webHidden/>
              </w:rPr>
            </w:r>
            <w:r w:rsidR="008934EF">
              <w:rPr>
                <w:noProof/>
                <w:webHidden/>
              </w:rPr>
              <w:fldChar w:fldCharType="separate"/>
            </w:r>
            <w:r>
              <w:rPr>
                <w:noProof/>
                <w:webHidden/>
              </w:rPr>
              <w:t>59</w:t>
            </w:r>
            <w:r w:rsidR="008934EF">
              <w:rPr>
                <w:noProof/>
                <w:webHidden/>
              </w:rPr>
              <w:fldChar w:fldCharType="end"/>
            </w:r>
          </w:hyperlink>
        </w:p>
        <w:p w14:paraId="0DC3672D" w14:textId="77777777" w:rsidR="008934EF" w:rsidRDefault="009B0053">
          <w:pPr>
            <w:pStyle w:val="TOC2"/>
            <w:rPr>
              <w:rFonts w:asciiTheme="minorHAnsi" w:eastAsiaTheme="minorEastAsia" w:hAnsiTheme="minorHAnsi" w:cstheme="minorBidi"/>
              <w:b w:val="0"/>
              <w:noProof/>
              <w:sz w:val="22"/>
              <w:lang w:eastAsia="en-AU"/>
            </w:rPr>
          </w:pPr>
          <w:hyperlink w:anchor="_Toc482791317" w:history="1">
            <w:r w:rsidR="008934EF" w:rsidRPr="00BB0B2E">
              <w:rPr>
                <w:rStyle w:val="Hyperlink"/>
                <w:noProof/>
              </w:rPr>
              <w:t>Attachment 1. Product Information</w:t>
            </w:r>
            <w:r w:rsidR="008934EF">
              <w:rPr>
                <w:noProof/>
                <w:webHidden/>
              </w:rPr>
              <w:tab/>
            </w:r>
            <w:r w:rsidR="008934EF">
              <w:rPr>
                <w:noProof/>
                <w:webHidden/>
              </w:rPr>
              <w:fldChar w:fldCharType="begin"/>
            </w:r>
            <w:r w:rsidR="008934EF">
              <w:rPr>
                <w:noProof/>
                <w:webHidden/>
              </w:rPr>
              <w:instrText xml:space="preserve"> PAGEREF _Toc482791317 \h </w:instrText>
            </w:r>
            <w:r w:rsidR="008934EF">
              <w:rPr>
                <w:noProof/>
                <w:webHidden/>
              </w:rPr>
            </w:r>
            <w:r w:rsidR="008934EF">
              <w:rPr>
                <w:noProof/>
                <w:webHidden/>
              </w:rPr>
              <w:fldChar w:fldCharType="separate"/>
            </w:r>
            <w:r>
              <w:rPr>
                <w:noProof/>
                <w:webHidden/>
              </w:rPr>
              <w:t>59</w:t>
            </w:r>
            <w:r w:rsidR="008934EF">
              <w:rPr>
                <w:noProof/>
                <w:webHidden/>
              </w:rPr>
              <w:fldChar w:fldCharType="end"/>
            </w:r>
          </w:hyperlink>
        </w:p>
        <w:p w14:paraId="1C59D5DC" w14:textId="77777777" w:rsidR="008934EF" w:rsidRDefault="009B0053">
          <w:pPr>
            <w:pStyle w:val="TOC2"/>
            <w:rPr>
              <w:rFonts w:asciiTheme="minorHAnsi" w:eastAsiaTheme="minorEastAsia" w:hAnsiTheme="minorHAnsi" w:cstheme="minorBidi"/>
              <w:b w:val="0"/>
              <w:noProof/>
              <w:sz w:val="22"/>
              <w:lang w:eastAsia="en-AU"/>
            </w:rPr>
          </w:pPr>
          <w:hyperlink w:anchor="_Toc482791318" w:history="1">
            <w:r w:rsidR="008934EF" w:rsidRPr="00BB0B2E">
              <w:rPr>
                <w:rStyle w:val="Hyperlink"/>
                <w:noProof/>
                <w:lang w:eastAsia="en-AU"/>
              </w:rPr>
              <w:t>Attachment 2. Extract from the Clinical Evaluation Report</w:t>
            </w:r>
            <w:r w:rsidR="008934EF">
              <w:rPr>
                <w:noProof/>
                <w:webHidden/>
              </w:rPr>
              <w:tab/>
            </w:r>
            <w:r w:rsidR="008934EF">
              <w:rPr>
                <w:noProof/>
                <w:webHidden/>
              </w:rPr>
              <w:fldChar w:fldCharType="begin"/>
            </w:r>
            <w:r w:rsidR="008934EF">
              <w:rPr>
                <w:noProof/>
                <w:webHidden/>
              </w:rPr>
              <w:instrText xml:space="preserve"> PAGEREF _Toc482791318 \h </w:instrText>
            </w:r>
            <w:r w:rsidR="008934EF">
              <w:rPr>
                <w:noProof/>
                <w:webHidden/>
              </w:rPr>
            </w:r>
            <w:r w:rsidR="008934EF">
              <w:rPr>
                <w:noProof/>
                <w:webHidden/>
              </w:rPr>
              <w:fldChar w:fldCharType="separate"/>
            </w:r>
            <w:r>
              <w:rPr>
                <w:noProof/>
                <w:webHidden/>
              </w:rPr>
              <w:t>59</w:t>
            </w:r>
            <w:r w:rsidR="008934EF">
              <w:rPr>
                <w:noProof/>
                <w:webHidden/>
              </w:rPr>
              <w:fldChar w:fldCharType="end"/>
            </w:r>
          </w:hyperlink>
        </w:p>
        <w:p w14:paraId="3D6E085A" w14:textId="77777777" w:rsidR="003A7F6C" w:rsidRPr="00B811C6" w:rsidRDefault="00DB6124" w:rsidP="00B811C6">
          <w:pPr>
            <w:pStyle w:val="TOC2"/>
          </w:pPr>
          <w:r>
            <w:fldChar w:fldCharType="end"/>
          </w:r>
        </w:p>
      </w:sdtContent>
    </w:sdt>
    <w:bookmarkStart w:id="3" w:name="_Toc314842482" w:displacedByCustomXml="prev"/>
    <w:p w14:paraId="41433DB6" w14:textId="77777777" w:rsidR="00FD119B" w:rsidRDefault="00FD119B">
      <w:pPr>
        <w:spacing w:before="0" w:after="200" w:line="0" w:lineRule="auto"/>
      </w:pPr>
      <w:r>
        <w:br w:type="page"/>
      </w:r>
    </w:p>
    <w:p w14:paraId="4BA340DD"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279128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2249"/>
        <w:gridCol w:w="6471"/>
      </w:tblGrid>
      <w:tr w:rsidR="00FD119B" w:rsidRPr="00FD119B" w14:paraId="1B1A3A7D" w14:textId="77777777" w:rsidTr="007168BF">
        <w:trPr>
          <w:cnfStyle w:val="100000000000" w:firstRow="1" w:lastRow="0" w:firstColumn="0" w:lastColumn="0" w:oddVBand="0" w:evenVBand="0" w:oddHBand="0" w:evenHBand="0" w:firstRowFirstColumn="0" w:firstRowLastColumn="0" w:lastRowFirstColumn="0" w:lastRowLastColumn="0"/>
        </w:trPr>
        <w:tc>
          <w:tcPr>
            <w:tcW w:w="2249" w:type="dxa"/>
          </w:tcPr>
          <w:p w14:paraId="50FC3EA4"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471" w:type="dxa"/>
          </w:tcPr>
          <w:p w14:paraId="77FC0A0B" w14:textId="77777777" w:rsidR="00FD119B" w:rsidRPr="00FD119B" w:rsidRDefault="00FD119B" w:rsidP="00FD119B">
            <w:pPr>
              <w:keepNext w:val="0"/>
              <w:ind w:left="0" w:right="0"/>
              <w:rPr>
                <w:szCs w:val="22"/>
                <w:lang w:eastAsia="en-US"/>
              </w:rPr>
            </w:pPr>
            <w:r w:rsidRPr="00FD119B">
              <w:rPr>
                <w:szCs w:val="22"/>
                <w:lang w:eastAsia="en-US"/>
              </w:rPr>
              <w:t>Meaning</w:t>
            </w:r>
          </w:p>
        </w:tc>
      </w:tr>
      <w:tr w:rsidR="00BD0AC6" w:rsidRPr="00FD119B" w14:paraId="7094277D" w14:textId="77777777" w:rsidTr="007168BF">
        <w:tc>
          <w:tcPr>
            <w:tcW w:w="2249" w:type="dxa"/>
          </w:tcPr>
          <w:p w14:paraId="584295DD" w14:textId="77777777" w:rsidR="00BD0AC6" w:rsidRPr="004B4BF8" w:rsidRDefault="00BD0AC6" w:rsidP="00BD0AC6">
            <w:pPr>
              <w:spacing w:line="276" w:lineRule="auto"/>
              <w:jc w:val="both"/>
              <w:rPr>
                <w:lang w:val="en-US"/>
              </w:rPr>
            </w:pPr>
            <w:r w:rsidRPr="004B4BF8">
              <w:rPr>
                <w:lang w:val="en-US"/>
              </w:rPr>
              <w:t>AASS</w:t>
            </w:r>
          </w:p>
        </w:tc>
        <w:tc>
          <w:tcPr>
            <w:tcW w:w="6471" w:type="dxa"/>
          </w:tcPr>
          <w:p w14:paraId="0D7C31EE" w14:textId="77777777" w:rsidR="00BD0AC6" w:rsidRPr="004B4BF8" w:rsidRDefault="00BD0AC6" w:rsidP="00BD0AC6">
            <w:pPr>
              <w:spacing w:line="276" w:lineRule="auto"/>
              <w:jc w:val="both"/>
              <w:rPr>
                <w:lang w:val="en-US"/>
              </w:rPr>
            </w:pPr>
            <w:r w:rsidRPr="004B4BF8">
              <w:rPr>
                <w:lang w:val="en-US"/>
              </w:rPr>
              <w:t>Average Adjusted Symptom Score</w:t>
            </w:r>
          </w:p>
        </w:tc>
      </w:tr>
      <w:tr w:rsidR="00BD0AC6" w:rsidRPr="00FD119B" w14:paraId="56B72909" w14:textId="77777777" w:rsidTr="007168BF">
        <w:tc>
          <w:tcPr>
            <w:tcW w:w="2249" w:type="dxa"/>
          </w:tcPr>
          <w:p w14:paraId="7EBBD0CE" w14:textId="77777777" w:rsidR="00BD0AC6" w:rsidRPr="004B4BF8" w:rsidRDefault="00BD0AC6" w:rsidP="00BD0AC6">
            <w:pPr>
              <w:spacing w:line="276" w:lineRule="auto"/>
              <w:jc w:val="both"/>
              <w:rPr>
                <w:lang w:val="en-US"/>
              </w:rPr>
            </w:pPr>
            <w:r w:rsidRPr="004B4BF8">
              <w:rPr>
                <w:lang w:val="en-US"/>
              </w:rPr>
              <w:t>AE</w:t>
            </w:r>
          </w:p>
        </w:tc>
        <w:tc>
          <w:tcPr>
            <w:tcW w:w="6471" w:type="dxa"/>
          </w:tcPr>
          <w:p w14:paraId="06466C58" w14:textId="77777777" w:rsidR="00BD0AC6" w:rsidRPr="004B4BF8" w:rsidRDefault="00BD0AC6" w:rsidP="00BD0AC6">
            <w:pPr>
              <w:spacing w:line="276" w:lineRule="auto"/>
              <w:jc w:val="both"/>
              <w:rPr>
                <w:lang w:val="en-US"/>
              </w:rPr>
            </w:pPr>
            <w:r w:rsidRPr="004B4BF8">
              <w:rPr>
                <w:lang w:val="en-US"/>
              </w:rPr>
              <w:t>Adverse Event</w:t>
            </w:r>
          </w:p>
        </w:tc>
      </w:tr>
      <w:tr w:rsidR="00084440" w:rsidRPr="00FD119B" w14:paraId="017002C9" w14:textId="77777777" w:rsidTr="007168BF">
        <w:tc>
          <w:tcPr>
            <w:tcW w:w="2249" w:type="dxa"/>
          </w:tcPr>
          <w:p w14:paraId="4BAE1988" w14:textId="77777777" w:rsidR="00084440" w:rsidRPr="004B4BF8" w:rsidRDefault="00084440" w:rsidP="00BD0AC6">
            <w:pPr>
              <w:spacing w:line="276" w:lineRule="auto"/>
              <w:jc w:val="both"/>
              <w:rPr>
                <w:lang w:val="en-US"/>
              </w:rPr>
            </w:pPr>
            <w:r w:rsidRPr="00113FF8">
              <w:t>AHR</w:t>
            </w:r>
          </w:p>
        </w:tc>
        <w:tc>
          <w:tcPr>
            <w:tcW w:w="6471" w:type="dxa"/>
          </w:tcPr>
          <w:p w14:paraId="71165962" w14:textId="77777777" w:rsidR="00084440" w:rsidRPr="004B4BF8" w:rsidRDefault="00084440" w:rsidP="00084440">
            <w:pPr>
              <w:spacing w:line="276" w:lineRule="auto"/>
              <w:jc w:val="both"/>
              <w:rPr>
                <w:lang w:val="en-US"/>
              </w:rPr>
            </w:pPr>
            <w:r>
              <w:t>airway hyper responsiveness</w:t>
            </w:r>
          </w:p>
        </w:tc>
      </w:tr>
      <w:tr w:rsidR="00BD0AC6" w:rsidRPr="00FD119B" w14:paraId="25DBD99D" w14:textId="77777777" w:rsidTr="007168BF">
        <w:tc>
          <w:tcPr>
            <w:tcW w:w="2249" w:type="dxa"/>
          </w:tcPr>
          <w:p w14:paraId="41278800" w14:textId="77777777" w:rsidR="00BD0AC6" w:rsidRPr="004B4BF8" w:rsidRDefault="00BD0AC6" w:rsidP="00BD0AC6">
            <w:pPr>
              <w:spacing w:line="276" w:lineRule="auto"/>
              <w:jc w:val="both"/>
              <w:rPr>
                <w:lang w:val="en-US"/>
              </w:rPr>
            </w:pPr>
            <w:r w:rsidRPr="004B4BF8">
              <w:rPr>
                <w:lang w:val="en-US"/>
              </w:rPr>
              <w:t>AIHW</w:t>
            </w:r>
          </w:p>
        </w:tc>
        <w:tc>
          <w:tcPr>
            <w:tcW w:w="6471" w:type="dxa"/>
          </w:tcPr>
          <w:p w14:paraId="24993D92" w14:textId="77777777" w:rsidR="00BD0AC6" w:rsidRPr="004B4BF8" w:rsidRDefault="00BD0AC6" w:rsidP="00BD0AC6">
            <w:pPr>
              <w:spacing w:line="276" w:lineRule="auto"/>
              <w:jc w:val="both"/>
              <w:rPr>
                <w:lang w:val="en-US"/>
              </w:rPr>
            </w:pPr>
            <w:r w:rsidRPr="004B4BF8">
              <w:rPr>
                <w:lang w:val="en-US"/>
              </w:rPr>
              <w:t>Australian Institute of Health and Welfare</w:t>
            </w:r>
          </w:p>
        </w:tc>
      </w:tr>
      <w:tr w:rsidR="00BD0AC6" w:rsidRPr="00FD119B" w14:paraId="781C8B36" w14:textId="77777777" w:rsidTr="007168BF">
        <w:tc>
          <w:tcPr>
            <w:tcW w:w="2249" w:type="dxa"/>
          </w:tcPr>
          <w:p w14:paraId="7E383220" w14:textId="77777777" w:rsidR="00BD0AC6" w:rsidRPr="004B4BF8" w:rsidRDefault="00BD0AC6" w:rsidP="00BD0AC6">
            <w:pPr>
              <w:spacing w:line="276" w:lineRule="auto"/>
              <w:jc w:val="both"/>
              <w:rPr>
                <w:lang w:val="en-US"/>
              </w:rPr>
            </w:pPr>
            <w:r w:rsidRPr="004B4BF8">
              <w:rPr>
                <w:lang w:val="en-US"/>
              </w:rPr>
              <w:t>AIT</w:t>
            </w:r>
          </w:p>
        </w:tc>
        <w:tc>
          <w:tcPr>
            <w:tcW w:w="6471" w:type="dxa"/>
          </w:tcPr>
          <w:p w14:paraId="4CE7EA83" w14:textId="77777777" w:rsidR="00BD0AC6" w:rsidRPr="004B4BF8" w:rsidRDefault="00BD0AC6" w:rsidP="00BD0AC6">
            <w:pPr>
              <w:spacing w:line="276" w:lineRule="auto"/>
              <w:jc w:val="both"/>
            </w:pPr>
            <w:r w:rsidRPr="004B4BF8">
              <w:rPr>
                <w:color w:val="000000"/>
                <w:lang w:val="en-US"/>
              </w:rPr>
              <w:t>Allergen Immunotherapy</w:t>
            </w:r>
          </w:p>
        </w:tc>
      </w:tr>
      <w:tr w:rsidR="00BD0AC6" w:rsidRPr="00FD119B" w14:paraId="594303DF" w14:textId="77777777" w:rsidTr="007168BF">
        <w:tc>
          <w:tcPr>
            <w:tcW w:w="2249" w:type="dxa"/>
          </w:tcPr>
          <w:p w14:paraId="7A159ED5" w14:textId="77777777" w:rsidR="00BD0AC6" w:rsidRPr="004B4BF8" w:rsidRDefault="00BD0AC6" w:rsidP="00BD0AC6">
            <w:pPr>
              <w:spacing w:line="276" w:lineRule="auto"/>
              <w:jc w:val="both"/>
              <w:rPr>
                <w:lang w:val="en-US"/>
              </w:rPr>
            </w:pPr>
            <w:r w:rsidRPr="004B4BF8">
              <w:rPr>
                <w:lang w:val="en-US"/>
              </w:rPr>
              <w:t>AR</w:t>
            </w:r>
          </w:p>
        </w:tc>
        <w:tc>
          <w:tcPr>
            <w:tcW w:w="6471" w:type="dxa"/>
          </w:tcPr>
          <w:p w14:paraId="2A7B5A46" w14:textId="77777777" w:rsidR="00BD0AC6" w:rsidRPr="004B4BF8" w:rsidRDefault="00BD0AC6" w:rsidP="00BD0AC6">
            <w:pPr>
              <w:spacing w:line="276" w:lineRule="auto"/>
              <w:jc w:val="both"/>
            </w:pPr>
            <w:r w:rsidRPr="004B4BF8">
              <w:t>Allergic Rhinitis</w:t>
            </w:r>
          </w:p>
        </w:tc>
      </w:tr>
      <w:tr w:rsidR="00BD0AC6" w:rsidRPr="00FD119B" w14:paraId="6622C36C" w14:textId="77777777" w:rsidTr="007168BF">
        <w:tc>
          <w:tcPr>
            <w:tcW w:w="2249" w:type="dxa"/>
          </w:tcPr>
          <w:p w14:paraId="7AF8770C" w14:textId="77777777" w:rsidR="00BD0AC6" w:rsidRPr="004B4BF8" w:rsidRDefault="00BD0AC6" w:rsidP="00BD0AC6">
            <w:pPr>
              <w:spacing w:line="276" w:lineRule="auto"/>
              <w:jc w:val="both"/>
              <w:rPr>
                <w:lang w:val="en-US"/>
              </w:rPr>
            </w:pPr>
            <w:r w:rsidRPr="004B4BF8">
              <w:rPr>
                <w:lang w:val="en-US"/>
              </w:rPr>
              <w:t>AUC</w:t>
            </w:r>
          </w:p>
        </w:tc>
        <w:tc>
          <w:tcPr>
            <w:tcW w:w="6471" w:type="dxa"/>
          </w:tcPr>
          <w:p w14:paraId="28FBFCEC" w14:textId="77777777" w:rsidR="00BD0AC6" w:rsidRPr="004B4BF8" w:rsidRDefault="00BD0AC6" w:rsidP="00BD0AC6">
            <w:pPr>
              <w:spacing w:line="276" w:lineRule="auto"/>
              <w:jc w:val="both"/>
              <w:rPr>
                <w:lang w:val="en-US"/>
              </w:rPr>
            </w:pPr>
            <w:r w:rsidRPr="004B4BF8">
              <w:rPr>
                <w:lang w:val="en-US"/>
              </w:rPr>
              <w:t>Area under the curve</w:t>
            </w:r>
          </w:p>
        </w:tc>
      </w:tr>
      <w:tr w:rsidR="00BD0AC6" w:rsidRPr="00FD119B" w14:paraId="0D364512" w14:textId="77777777" w:rsidTr="007168BF">
        <w:tc>
          <w:tcPr>
            <w:tcW w:w="2249" w:type="dxa"/>
          </w:tcPr>
          <w:p w14:paraId="5EAFF055" w14:textId="77777777" w:rsidR="00BD0AC6" w:rsidRPr="004B4BF8" w:rsidRDefault="00BD0AC6" w:rsidP="00BD0AC6">
            <w:pPr>
              <w:spacing w:line="276" w:lineRule="auto"/>
              <w:jc w:val="both"/>
              <w:rPr>
                <w:lang w:val="en-US"/>
              </w:rPr>
            </w:pPr>
            <w:r w:rsidRPr="004B4BF8">
              <w:rPr>
                <w:lang w:val="en-US"/>
              </w:rPr>
              <w:t>ANCOVA</w:t>
            </w:r>
          </w:p>
        </w:tc>
        <w:tc>
          <w:tcPr>
            <w:tcW w:w="6471" w:type="dxa"/>
          </w:tcPr>
          <w:p w14:paraId="1EA3CE83" w14:textId="77777777" w:rsidR="00BD0AC6" w:rsidRPr="004B4BF8" w:rsidRDefault="00BD0AC6" w:rsidP="00BD0AC6">
            <w:pPr>
              <w:spacing w:line="276" w:lineRule="auto"/>
              <w:jc w:val="both"/>
              <w:rPr>
                <w:lang w:val="en-US"/>
              </w:rPr>
            </w:pPr>
            <w:r w:rsidRPr="004B4BF8">
              <w:rPr>
                <w:lang w:val="en-US"/>
              </w:rPr>
              <w:t>Analysis of Covariance</w:t>
            </w:r>
          </w:p>
        </w:tc>
      </w:tr>
      <w:tr w:rsidR="00BD0AC6" w:rsidRPr="00FD119B" w14:paraId="2D55114B" w14:textId="77777777" w:rsidTr="007168BF">
        <w:tc>
          <w:tcPr>
            <w:tcW w:w="2249" w:type="dxa"/>
          </w:tcPr>
          <w:p w14:paraId="76046FF8" w14:textId="77777777" w:rsidR="00BD0AC6" w:rsidRPr="004B4BF8" w:rsidRDefault="00BD0AC6" w:rsidP="00BD0AC6">
            <w:pPr>
              <w:spacing w:line="276" w:lineRule="auto"/>
              <w:jc w:val="both"/>
              <w:rPr>
                <w:lang w:val="en-US"/>
              </w:rPr>
            </w:pPr>
            <w:r w:rsidRPr="004B4BF8">
              <w:rPr>
                <w:lang w:val="en-US"/>
              </w:rPr>
              <w:t>ARMS</w:t>
            </w:r>
          </w:p>
        </w:tc>
        <w:tc>
          <w:tcPr>
            <w:tcW w:w="6471" w:type="dxa"/>
          </w:tcPr>
          <w:p w14:paraId="23487249" w14:textId="77777777" w:rsidR="00BD0AC6" w:rsidRPr="004B4BF8" w:rsidRDefault="00BD0AC6" w:rsidP="00BD0AC6">
            <w:pPr>
              <w:spacing w:line="276" w:lineRule="auto"/>
              <w:jc w:val="both"/>
              <w:rPr>
                <w:lang w:val="en-US"/>
              </w:rPr>
            </w:pPr>
            <w:r w:rsidRPr="004B4BF8">
              <w:rPr>
                <w:lang w:val="en-US"/>
              </w:rPr>
              <w:t>Average Rescue Medication Score</w:t>
            </w:r>
          </w:p>
        </w:tc>
      </w:tr>
      <w:tr w:rsidR="00BD0AC6" w:rsidRPr="00FD119B" w14:paraId="3A108281" w14:textId="77777777" w:rsidTr="007168BF">
        <w:tc>
          <w:tcPr>
            <w:tcW w:w="2249" w:type="dxa"/>
          </w:tcPr>
          <w:p w14:paraId="33853B9F" w14:textId="77777777" w:rsidR="00BD0AC6" w:rsidRPr="004B4BF8" w:rsidRDefault="00BD0AC6" w:rsidP="00BD0AC6">
            <w:pPr>
              <w:spacing w:line="276" w:lineRule="auto"/>
              <w:jc w:val="both"/>
              <w:rPr>
                <w:lang w:val="en-US"/>
              </w:rPr>
            </w:pPr>
            <w:r w:rsidRPr="004B4BF8">
              <w:rPr>
                <w:lang w:val="en-US"/>
              </w:rPr>
              <w:t>ARTSS</w:t>
            </w:r>
          </w:p>
        </w:tc>
        <w:tc>
          <w:tcPr>
            <w:tcW w:w="6471" w:type="dxa"/>
          </w:tcPr>
          <w:p w14:paraId="194D0048" w14:textId="77777777" w:rsidR="00BD0AC6" w:rsidRPr="004B4BF8" w:rsidRDefault="00BD0AC6" w:rsidP="00BD0AC6">
            <w:pPr>
              <w:spacing w:line="276" w:lineRule="auto"/>
              <w:jc w:val="both"/>
              <w:rPr>
                <w:lang w:val="en-US"/>
              </w:rPr>
            </w:pPr>
            <w:r w:rsidRPr="004B4BF8">
              <w:rPr>
                <w:lang w:val="en-US"/>
              </w:rPr>
              <w:t>Average Rhinitis Total Symptom Score</w:t>
            </w:r>
          </w:p>
        </w:tc>
      </w:tr>
      <w:tr w:rsidR="00BD0AC6" w:rsidRPr="00FD119B" w14:paraId="558C9CF1" w14:textId="77777777" w:rsidTr="007168BF">
        <w:tc>
          <w:tcPr>
            <w:tcW w:w="2249" w:type="dxa"/>
          </w:tcPr>
          <w:p w14:paraId="266B591E" w14:textId="77777777" w:rsidR="00BD0AC6" w:rsidRPr="004B4BF8" w:rsidRDefault="00BD0AC6" w:rsidP="00BD0AC6">
            <w:pPr>
              <w:spacing w:line="276" w:lineRule="auto"/>
              <w:jc w:val="both"/>
              <w:rPr>
                <w:lang w:val="en-US"/>
              </w:rPr>
            </w:pPr>
            <w:proofErr w:type="spellStart"/>
            <w:r w:rsidRPr="004B4BF8">
              <w:rPr>
                <w:lang w:val="en-US"/>
              </w:rPr>
              <w:t>Ch</w:t>
            </w:r>
            <w:r w:rsidRPr="004B4BF8">
              <w:rPr>
                <w:vertAlign w:val="subscript"/>
                <w:lang w:val="en-US"/>
              </w:rPr>
              <w:t>BL</w:t>
            </w:r>
            <w:proofErr w:type="spellEnd"/>
          </w:p>
        </w:tc>
        <w:tc>
          <w:tcPr>
            <w:tcW w:w="6471" w:type="dxa"/>
          </w:tcPr>
          <w:p w14:paraId="7F46ADF5" w14:textId="77777777" w:rsidR="00BD0AC6" w:rsidRPr="004B4BF8" w:rsidRDefault="00BD0AC6" w:rsidP="00BD0AC6">
            <w:pPr>
              <w:spacing w:line="276" w:lineRule="auto"/>
              <w:jc w:val="both"/>
              <w:rPr>
                <w:lang w:val="en-US"/>
              </w:rPr>
            </w:pPr>
            <w:r w:rsidRPr="004B4BF8">
              <w:rPr>
                <w:lang w:val="en-US"/>
              </w:rPr>
              <w:t>Change from Baseline</w:t>
            </w:r>
          </w:p>
        </w:tc>
      </w:tr>
      <w:tr w:rsidR="00BD0AC6" w:rsidRPr="00FD119B" w14:paraId="493820FF" w14:textId="77777777" w:rsidTr="007168BF">
        <w:tc>
          <w:tcPr>
            <w:tcW w:w="2249" w:type="dxa"/>
          </w:tcPr>
          <w:p w14:paraId="0E6DBD05" w14:textId="77777777" w:rsidR="00BD0AC6" w:rsidRPr="004B4BF8" w:rsidRDefault="00BD0AC6" w:rsidP="00BD0AC6">
            <w:pPr>
              <w:spacing w:line="276" w:lineRule="auto"/>
              <w:jc w:val="both"/>
              <w:rPr>
                <w:lang w:val="en-US"/>
              </w:rPr>
            </w:pPr>
            <w:r w:rsidRPr="004B4BF8">
              <w:rPr>
                <w:lang w:val="en-US"/>
              </w:rPr>
              <w:t>CI</w:t>
            </w:r>
          </w:p>
        </w:tc>
        <w:tc>
          <w:tcPr>
            <w:tcW w:w="6471" w:type="dxa"/>
          </w:tcPr>
          <w:p w14:paraId="22F918C6" w14:textId="77777777" w:rsidR="00BD0AC6" w:rsidRPr="004B4BF8" w:rsidRDefault="00BD0AC6" w:rsidP="00BD0AC6">
            <w:pPr>
              <w:spacing w:line="276" w:lineRule="auto"/>
              <w:jc w:val="both"/>
              <w:rPr>
                <w:lang w:val="en-US"/>
              </w:rPr>
            </w:pPr>
            <w:r w:rsidRPr="004B4BF8">
              <w:rPr>
                <w:lang w:val="en-US"/>
              </w:rPr>
              <w:t>Confidence Interval</w:t>
            </w:r>
          </w:p>
        </w:tc>
      </w:tr>
      <w:tr w:rsidR="00BD0AC6" w:rsidRPr="00FD119B" w14:paraId="676F0A95" w14:textId="77777777" w:rsidTr="007168BF">
        <w:tc>
          <w:tcPr>
            <w:tcW w:w="2249" w:type="dxa"/>
          </w:tcPr>
          <w:p w14:paraId="0956B1E7" w14:textId="77777777" w:rsidR="00BD0AC6" w:rsidRPr="00084440" w:rsidRDefault="00790DE0" w:rsidP="00BD0AC6">
            <w:pPr>
              <w:spacing w:line="276" w:lineRule="auto"/>
              <w:jc w:val="both"/>
              <w:rPr>
                <w:color w:val="000000"/>
                <w:lang w:val="en-US"/>
              </w:rPr>
            </w:pPr>
            <w:proofErr w:type="spellStart"/>
            <w:r>
              <w:rPr>
                <w:color w:val="000000"/>
                <w:lang w:val="en-US"/>
              </w:rPr>
              <w:t>D.far</w:t>
            </w:r>
            <w:proofErr w:type="spellEnd"/>
          </w:p>
        </w:tc>
        <w:tc>
          <w:tcPr>
            <w:tcW w:w="6471" w:type="dxa"/>
          </w:tcPr>
          <w:p w14:paraId="5DF3A789" w14:textId="77777777" w:rsidR="00BD0AC6" w:rsidRPr="00084440" w:rsidRDefault="00BD0AC6" w:rsidP="00BD0AC6">
            <w:pPr>
              <w:spacing w:line="276" w:lineRule="auto"/>
              <w:jc w:val="both"/>
              <w:rPr>
                <w:lang w:val="en-US"/>
              </w:rPr>
            </w:pPr>
            <w:proofErr w:type="spellStart"/>
            <w:r w:rsidRPr="001A3124">
              <w:rPr>
                <w:i/>
                <w:lang w:val="en-US"/>
              </w:rPr>
              <w:t>Dermatophagoides</w:t>
            </w:r>
            <w:proofErr w:type="spellEnd"/>
            <w:r w:rsidRPr="001A3124">
              <w:rPr>
                <w:i/>
                <w:lang w:val="en-US"/>
              </w:rPr>
              <w:t xml:space="preserve"> </w:t>
            </w:r>
            <w:r w:rsidR="00084440" w:rsidRPr="001A3124">
              <w:rPr>
                <w:i/>
                <w:lang w:val="en-US"/>
              </w:rPr>
              <w:t>farina</w:t>
            </w:r>
            <w:r w:rsidR="00084440">
              <w:rPr>
                <w:lang w:val="en-US"/>
              </w:rPr>
              <w:t xml:space="preserve"> (American house dust mite)</w:t>
            </w:r>
          </w:p>
        </w:tc>
      </w:tr>
      <w:tr w:rsidR="00BD0AC6" w:rsidRPr="00FD119B" w14:paraId="78B9E52B" w14:textId="77777777" w:rsidTr="007168BF">
        <w:tc>
          <w:tcPr>
            <w:tcW w:w="2249" w:type="dxa"/>
          </w:tcPr>
          <w:p w14:paraId="29F5F1D6" w14:textId="77777777" w:rsidR="00BD0AC6" w:rsidRPr="00084440" w:rsidRDefault="00790DE0" w:rsidP="00BD0AC6">
            <w:pPr>
              <w:spacing w:line="276" w:lineRule="auto"/>
              <w:jc w:val="both"/>
              <w:rPr>
                <w:color w:val="000000"/>
                <w:lang w:val="en-US"/>
              </w:rPr>
            </w:pPr>
            <w:proofErr w:type="spellStart"/>
            <w:r>
              <w:rPr>
                <w:color w:val="000000"/>
                <w:lang w:val="en-US"/>
              </w:rPr>
              <w:t>D.pte</w:t>
            </w:r>
            <w:proofErr w:type="spellEnd"/>
          </w:p>
        </w:tc>
        <w:tc>
          <w:tcPr>
            <w:tcW w:w="6471" w:type="dxa"/>
          </w:tcPr>
          <w:p w14:paraId="5B4B744F" w14:textId="77777777" w:rsidR="00BD0AC6" w:rsidRPr="00084440" w:rsidRDefault="00BD0AC6" w:rsidP="00BD0AC6">
            <w:pPr>
              <w:spacing w:line="276" w:lineRule="auto"/>
              <w:jc w:val="both"/>
              <w:rPr>
                <w:lang w:val="en-US"/>
              </w:rPr>
            </w:pPr>
            <w:proofErr w:type="spellStart"/>
            <w:r w:rsidRPr="001A3124">
              <w:rPr>
                <w:i/>
                <w:lang w:val="en-US"/>
              </w:rPr>
              <w:t>Dermatophagoides</w:t>
            </w:r>
            <w:proofErr w:type="spellEnd"/>
            <w:r w:rsidRPr="001A3124">
              <w:rPr>
                <w:i/>
                <w:lang w:val="en-US"/>
              </w:rPr>
              <w:t xml:space="preserve"> </w:t>
            </w:r>
            <w:proofErr w:type="spellStart"/>
            <w:r w:rsidRPr="001A3124">
              <w:rPr>
                <w:i/>
                <w:lang w:val="en-US"/>
              </w:rPr>
              <w:t>pteronyssinus</w:t>
            </w:r>
            <w:proofErr w:type="spellEnd"/>
            <w:r w:rsidR="00084440">
              <w:rPr>
                <w:lang w:val="en-US"/>
              </w:rPr>
              <w:t xml:space="preserve"> (European house dust mite)</w:t>
            </w:r>
          </w:p>
        </w:tc>
      </w:tr>
      <w:tr w:rsidR="00FC57BF" w:rsidRPr="00FD119B" w14:paraId="61C5BF4F" w14:textId="77777777" w:rsidTr="007168BF">
        <w:tc>
          <w:tcPr>
            <w:tcW w:w="2249" w:type="dxa"/>
          </w:tcPr>
          <w:p w14:paraId="0E99A719" w14:textId="77777777" w:rsidR="00FC57BF" w:rsidRDefault="00FC57BF" w:rsidP="00BD0AC6">
            <w:pPr>
              <w:spacing w:line="276" w:lineRule="auto"/>
              <w:jc w:val="both"/>
              <w:rPr>
                <w:color w:val="000000"/>
                <w:lang w:val="en-US"/>
              </w:rPr>
            </w:pPr>
            <w:r w:rsidRPr="00025C15">
              <w:t>DSMB</w:t>
            </w:r>
          </w:p>
        </w:tc>
        <w:tc>
          <w:tcPr>
            <w:tcW w:w="6471" w:type="dxa"/>
          </w:tcPr>
          <w:p w14:paraId="37AC22F4" w14:textId="77777777" w:rsidR="00FC57BF" w:rsidRPr="00084440" w:rsidRDefault="00FC57BF" w:rsidP="00FC57BF">
            <w:pPr>
              <w:spacing w:line="276" w:lineRule="auto"/>
              <w:jc w:val="both"/>
              <w:rPr>
                <w:lang w:val="en-US"/>
              </w:rPr>
            </w:pPr>
            <w:r w:rsidRPr="00025C15">
              <w:t>Da</w:t>
            </w:r>
            <w:r>
              <w:t>ta and Safety Monitoring Board</w:t>
            </w:r>
          </w:p>
        </w:tc>
      </w:tr>
      <w:tr w:rsidR="00BD0AC6" w:rsidRPr="00FD119B" w14:paraId="12598C04" w14:textId="77777777" w:rsidTr="007168BF">
        <w:tc>
          <w:tcPr>
            <w:tcW w:w="2249" w:type="dxa"/>
          </w:tcPr>
          <w:p w14:paraId="7A491D47" w14:textId="77777777" w:rsidR="00BD0AC6" w:rsidRPr="004B4BF8" w:rsidRDefault="00BD0AC6" w:rsidP="00BD0AC6">
            <w:pPr>
              <w:spacing w:line="276" w:lineRule="auto"/>
              <w:jc w:val="both"/>
              <w:rPr>
                <w:lang w:val="en-US"/>
              </w:rPr>
            </w:pPr>
            <w:r w:rsidRPr="004B4BF8">
              <w:rPr>
                <w:lang w:val="en-US"/>
              </w:rPr>
              <w:t>EMA/CHMP/EWP</w:t>
            </w:r>
          </w:p>
        </w:tc>
        <w:tc>
          <w:tcPr>
            <w:tcW w:w="6471" w:type="dxa"/>
          </w:tcPr>
          <w:p w14:paraId="61F515FE" w14:textId="77777777" w:rsidR="00BD0AC6" w:rsidRPr="004B4BF8" w:rsidRDefault="00BD0AC6" w:rsidP="00BD0AC6">
            <w:pPr>
              <w:spacing w:line="276" w:lineRule="auto"/>
              <w:jc w:val="both"/>
              <w:rPr>
                <w:color w:val="000000"/>
                <w:lang w:val="en-US"/>
              </w:rPr>
            </w:pPr>
            <w:r w:rsidRPr="004B4BF8">
              <w:rPr>
                <w:lang w:val="en-US"/>
              </w:rPr>
              <w:t>European Medicines Agency’s/Committee for Medicinal Products in Human Use/Efficacy Working Party</w:t>
            </w:r>
          </w:p>
        </w:tc>
      </w:tr>
      <w:tr w:rsidR="002A0FA3" w:rsidRPr="00FD119B" w14:paraId="53165D99" w14:textId="77777777" w:rsidTr="007168BF">
        <w:tc>
          <w:tcPr>
            <w:tcW w:w="2249" w:type="dxa"/>
          </w:tcPr>
          <w:p w14:paraId="105D27A9" w14:textId="77777777" w:rsidR="002A0FA3" w:rsidRPr="004B4BF8" w:rsidRDefault="002A0FA3" w:rsidP="00BD0AC6">
            <w:pPr>
              <w:spacing w:line="276" w:lineRule="auto"/>
              <w:jc w:val="both"/>
              <w:rPr>
                <w:lang w:val="en-US"/>
              </w:rPr>
            </w:pPr>
            <w:proofErr w:type="spellStart"/>
            <w:r w:rsidRPr="00C97FF4">
              <w:t>EoE</w:t>
            </w:r>
            <w:proofErr w:type="spellEnd"/>
          </w:p>
        </w:tc>
        <w:tc>
          <w:tcPr>
            <w:tcW w:w="6471" w:type="dxa"/>
          </w:tcPr>
          <w:p w14:paraId="60C72654" w14:textId="77777777" w:rsidR="002A0FA3" w:rsidRPr="00623677" w:rsidRDefault="00623677" w:rsidP="00623677">
            <w:r>
              <w:t>Eosinophilic e</w:t>
            </w:r>
            <w:r w:rsidRPr="00623677">
              <w:t>sophagitis</w:t>
            </w:r>
          </w:p>
        </w:tc>
      </w:tr>
      <w:tr w:rsidR="00BD0AC6" w:rsidRPr="00FD119B" w14:paraId="5EA32FEE" w14:textId="77777777" w:rsidTr="007168BF">
        <w:tc>
          <w:tcPr>
            <w:tcW w:w="2249" w:type="dxa"/>
          </w:tcPr>
          <w:p w14:paraId="1C11A4CE" w14:textId="77777777" w:rsidR="00BD0AC6" w:rsidRPr="004B4BF8" w:rsidRDefault="00BD0AC6" w:rsidP="00BD0AC6">
            <w:pPr>
              <w:spacing w:line="276" w:lineRule="auto"/>
              <w:jc w:val="both"/>
              <w:rPr>
                <w:lang w:val="en-US"/>
              </w:rPr>
            </w:pPr>
            <w:r w:rsidRPr="004B4BF8">
              <w:rPr>
                <w:lang w:val="en-US"/>
              </w:rPr>
              <w:t>EU</w:t>
            </w:r>
          </w:p>
        </w:tc>
        <w:tc>
          <w:tcPr>
            <w:tcW w:w="6471" w:type="dxa"/>
          </w:tcPr>
          <w:p w14:paraId="6BEC2DBA" w14:textId="77777777" w:rsidR="00BD0AC6" w:rsidRPr="004B4BF8" w:rsidRDefault="00BD0AC6" w:rsidP="00BD0AC6">
            <w:pPr>
              <w:spacing w:line="276" w:lineRule="auto"/>
              <w:jc w:val="both"/>
              <w:rPr>
                <w:lang w:val="en-US"/>
              </w:rPr>
            </w:pPr>
            <w:r w:rsidRPr="004B4BF8">
              <w:rPr>
                <w:lang w:val="en-US"/>
              </w:rPr>
              <w:t>Europe</w:t>
            </w:r>
          </w:p>
        </w:tc>
      </w:tr>
      <w:tr w:rsidR="00BD0AC6" w:rsidRPr="00FD119B" w14:paraId="3003796F" w14:textId="77777777" w:rsidTr="007168BF">
        <w:tc>
          <w:tcPr>
            <w:tcW w:w="2249" w:type="dxa"/>
          </w:tcPr>
          <w:p w14:paraId="3572A4F0" w14:textId="77777777" w:rsidR="00BD0AC6" w:rsidRPr="004B4BF8" w:rsidRDefault="00BD0AC6" w:rsidP="00BD0AC6">
            <w:pPr>
              <w:spacing w:line="276" w:lineRule="auto"/>
              <w:jc w:val="both"/>
              <w:rPr>
                <w:lang w:val="en-US"/>
              </w:rPr>
            </w:pPr>
            <w:r w:rsidRPr="004B4BF8">
              <w:rPr>
                <w:lang w:val="en-US"/>
              </w:rPr>
              <w:t>FAS</w:t>
            </w:r>
          </w:p>
        </w:tc>
        <w:tc>
          <w:tcPr>
            <w:tcW w:w="6471" w:type="dxa"/>
          </w:tcPr>
          <w:p w14:paraId="0A2E5F1C" w14:textId="77777777" w:rsidR="00BD0AC6" w:rsidRPr="004B4BF8" w:rsidRDefault="00BD0AC6" w:rsidP="00BD0AC6">
            <w:pPr>
              <w:spacing w:line="276" w:lineRule="auto"/>
              <w:jc w:val="both"/>
              <w:rPr>
                <w:lang w:val="en-US"/>
              </w:rPr>
            </w:pPr>
            <w:r w:rsidRPr="004B4BF8">
              <w:rPr>
                <w:lang w:val="en-US"/>
              </w:rPr>
              <w:t>Full Analysis Set</w:t>
            </w:r>
          </w:p>
        </w:tc>
      </w:tr>
      <w:tr w:rsidR="00CD75B5" w:rsidRPr="00FD119B" w14:paraId="5B982443" w14:textId="77777777" w:rsidTr="007168BF">
        <w:tc>
          <w:tcPr>
            <w:tcW w:w="2249" w:type="dxa"/>
          </w:tcPr>
          <w:p w14:paraId="10565D03" w14:textId="77777777" w:rsidR="00CD75B5" w:rsidRPr="004B4BF8" w:rsidRDefault="00CD75B5" w:rsidP="00BD0AC6">
            <w:pPr>
              <w:spacing w:line="276" w:lineRule="auto"/>
              <w:jc w:val="both"/>
              <w:rPr>
                <w:lang w:val="en-US"/>
              </w:rPr>
            </w:pPr>
            <w:r w:rsidRPr="00C50DDD">
              <w:t>FASY1</w:t>
            </w:r>
          </w:p>
        </w:tc>
        <w:tc>
          <w:tcPr>
            <w:tcW w:w="6471" w:type="dxa"/>
          </w:tcPr>
          <w:p w14:paraId="5C3AECB8" w14:textId="77777777" w:rsidR="00CD75B5" w:rsidRPr="004B4BF8" w:rsidRDefault="00CD75B5" w:rsidP="00BD0AC6">
            <w:pPr>
              <w:spacing w:line="276" w:lineRule="auto"/>
              <w:jc w:val="both"/>
              <w:rPr>
                <w:lang w:val="en-US"/>
              </w:rPr>
            </w:pPr>
            <w:r w:rsidRPr="004B4BF8">
              <w:rPr>
                <w:lang w:val="en-US"/>
              </w:rPr>
              <w:t>Full Analysis Set</w:t>
            </w:r>
            <w:r>
              <w:rPr>
                <w:lang w:val="en-US"/>
              </w:rPr>
              <w:t xml:space="preserve"> Year 1</w:t>
            </w:r>
          </w:p>
        </w:tc>
      </w:tr>
      <w:tr w:rsidR="00BD0AC6" w:rsidRPr="00FD119B" w14:paraId="79954334" w14:textId="77777777" w:rsidTr="007168BF">
        <w:tc>
          <w:tcPr>
            <w:tcW w:w="2249" w:type="dxa"/>
          </w:tcPr>
          <w:p w14:paraId="76B3FAE0" w14:textId="77777777" w:rsidR="00BD0AC6" w:rsidRPr="004B4BF8" w:rsidRDefault="00BD0AC6" w:rsidP="00BD0AC6">
            <w:pPr>
              <w:spacing w:line="276" w:lineRule="auto"/>
              <w:jc w:val="both"/>
              <w:rPr>
                <w:lang w:val="en-US"/>
              </w:rPr>
            </w:pPr>
            <w:r w:rsidRPr="004B4BF8">
              <w:rPr>
                <w:lang w:val="en-US"/>
              </w:rPr>
              <w:t>FDA</w:t>
            </w:r>
          </w:p>
        </w:tc>
        <w:tc>
          <w:tcPr>
            <w:tcW w:w="6471" w:type="dxa"/>
          </w:tcPr>
          <w:p w14:paraId="71AC49B9" w14:textId="77777777" w:rsidR="00BD0AC6" w:rsidRPr="004B4BF8" w:rsidRDefault="00BD0AC6" w:rsidP="00BD0AC6">
            <w:pPr>
              <w:spacing w:line="276" w:lineRule="auto"/>
              <w:jc w:val="both"/>
              <w:rPr>
                <w:lang w:val="en-US"/>
              </w:rPr>
            </w:pPr>
            <w:r w:rsidRPr="004B4BF8">
              <w:rPr>
                <w:lang w:val="en-US"/>
              </w:rPr>
              <w:t>Food and Drug Administration (USA)</w:t>
            </w:r>
          </w:p>
        </w:tc>
      </w:tr>
      <w:tr w:rsidR="00BD0AC6" w:rsidRPr="00FD119B" w14:paraId="6CC1D276" w14:textId="77777777" w:rsidTr="007168BF">
        <w:tc>
          <w:tcPr>
            <w:tcW w:w="2249" w:type="dxa"/>
          </w:tcPr>
          <w:p w14:paraId="6E400B9D" w14:textId="77777777" w:rsidR="00BD0AC6" w:rsidRPr="004B4BF8" w:rsidRDefault="00BD0AC6" w:rsidP="00BD0AC6">
            <w:pPr>
              <w:spacing w:line="276" w:lineRule="auto"/>
              <w:jc w:val="both"/>
              <w:rPr>
                <w:lang w:val="en-US"/>
              </w:rPr>
            </w:pPr>
            <w:r w:rsidRPr="004B4BF8">
              <w:rPr>
                <w:lang w:val="en-US"/>
              </w:rPr>
              <w:t>FEV</w:t>
            </w:r>
            <w:r w:rsidRPr="004B4BF8">
              <w:rPr>
                <w:vertAlign w:val="subscript"/>
                <w:lang w:val="en-US"/>
              </w:rPr>
              <w:t>1</w:t>
            </w:r>
          </w:p>
        </w:tc>
        <w:tc>
          <w:tcPr>
            <w:tcW w:w="6471" w:type="dxa"/>
          </w:tcPr>
          <w:p w14:paraId="2A0A6B44" w14:textId="77777777" w:rsidR="00BD0AC6" w:rsidRPr="004B4BF8" w:rsidRDefault="00BD0AC6" w:rsidP="00BD0AC6">
            <w:pPr>
              <w:spacing w:line="276" w:lineRule="auto"/>
              <w:jc w:val="both"/>
              <w:rPr>
                <w:lang w:val="en-US"/>
              </w:rPr>
            </w:pPr>
            <w:r w:rsidRPr="004B4BF8">
              <w:rPr>
                <w:lang w:val="en-US"/>
              </w:rPr>
              <w:t>Forced Expiratory Volume in one second</w:t>
            </w:r>
          </w:p>
        </w:tc>
      </w:tr>
      <w:tr w:rsidR="00BD0AC6" w:rsidRPr="00FD119B" w14:paraId="7E31A49A" w14:textId="77777777" w:rsidTr="007168BF">
        <w:tc>
          <w:tcPr>
            <w:tcW w:w="2249" w:type="dxa"/>
          </w:tcPr>
          <w:p w14:paraId="62B3F300" w14:textId="77777777" w:rsidR="00BD0AC6" w:rsidRPr="004B4BF8" w:rsidRDefault="00BD0AC6" w:rsidP="00BD0AC6">
            <w:pPr>
              <w:spacing w:line="276" w:lineRule="auto"/>
              <w:jc w:val="both"/>
              <w:rPr>
                <w:lang w:val="en-US"/>
              </w:rPr>
            </w:pPr>
            <w:r w:rsidRPr="004B4BF8">
              <w:rPr>
                <w:lang w:val="en-US"/>
              </w:rPr>
              <w:lastRenderedPageBreak/>
              <w:t>GCP</w:t>
            </w:r>
          </w:p>
        </w:tc>
        <w:tc>
          <w:tcPr>
            <w:tcW w:w="6471" w:type="dxa"/>
          </w:tcPr>
          <w:p w14:paraId="2C7E23D6" w14:textId="77777777" w:rsidR="00BD0AC6" w:rsidRPr="004B4BF8" w:rsidRDefault="00BD0AC6" w:rsidP="00BD0AC6">
            <w:pPr>
              <w:spacing w:line="276" w:lineRule="auto"/>
              <w:jc w:val="both"/>
              <w:rPr>
                <w:lang w:val="en-US"/>
              </w:rPr>
            </w:pPr>
            <w:r w:rsidRPr="004B4BF8">
              <w:rPr>
                <w:lang w:val="en-US"/>
              </w:rPr>
              <w:t>Good Clinical Practice</w:t>
            </w:r>
          </w:p>
        </w:tc>
      </w:tr>
      <w:tr w:rsidR="00BD0AC6" w:rsidRPr="00FD119B" w14:paraId="6A0825DA" w14:textId="77777777" w:rsidTr="007168BF">
        <w:tc>
          <w:tcPr>
            <w:tcW w:w="2249" w:type="dxa"/>
          </w:tcPr>
          <w:p w14:paraId="51849C4F" w14:textId="77777777" w:rsidR="00BD0AC6" w:rsidRPr="004B4BF8" w:rsidRDefault="00BD0AC6" w:rsidP="00BD0AC6">
            <w:pPr>
              <w:spacing w:line="276" w:lineRule="auto"/>
              <w:jc w:val="both"/>
              <w:rPr>
                <w:lang w:val="en-US"/>
              </w:rPr>
            </w:pPr>
            <w:r w:rsidRPr="004B4BF8">
              <w:rPr>
                <w:lang w:val="en-US"/>
              </w:rPr>
              <w:t>GINA</w:t>
            </w:r>
          </w:p>
        </w:tc>
        <w:tc>
          <w:tcPr>
            <w:tcW w:w="6471" w:type="dxa"/>
          </w:tcPr>
          <w:p w14:paraId="676D5FFC" w14:textId="77777777" w:rsidR="00BD0AC6" w:rsidRPr="004B4BF8" w:rsidRDefault="00BD0AC6" w:rsidP="00BD0AC6">
            <w:pPr>
              <w:spacing w:line="276" w:lineRule="auto"/>
              <w:jc w:val="both"/>
              <w:rPr>
                <w:lang w:val="en-US"/>
              </w:rPr>
            </w:pPr>
            <w:r w:rsidRPr="004B4BF8">
              <w:rPr>
                <w:color w:val="000000"/>
              </w:rPr>
              <w:t>Global Initiative for Asthma</w:t>
            </w:r>
          </w:p>
        </w:tc>
      </w:tr>
      <w:tr w:rsidR="00084440" w:rsidRPr="00FD119B" w14:paraId="07FF1457" w14:textId="77777777" w:rsidTr="007168BF">
        <w:tc>
          <w:tcPr>
            <w:tcW w:w="2249" w:type="dxa"/>
          </w:tcPr>
          <w:p w14:paraId="55A11E32" w14:textId="77777777" w:rsidR="00084440" w:rsidRPr="004B4BF8" w:rsidRDefault="00084440" w:rsidP="00BD0AC6">
            <w:pPr>
              <w:spacing w:line="276" w:lineRule="auto"/>
              <w:jc w:val="both"/>
              <w:rPr>
                <w:lang w:val="en-US"/>
              </w:rPr>
            </w:pPr>
            <w:r w:rsidRPr="00084440">
              <w:t>GLP</w:t>
            </w:r>
          </w:p>
        </w:tc>
        <w:tc>
          <w:tcPr>
            <w:tcW w:w="6471" w:type="dxa"/>
          </w:tcPr>
          <w:p w14:paraId="211043A0" w14:textId="7A82D95D" w:rsidR="00084440" w:rsidRPr="004B4BF8" w:rsidRDefault="00E80B0B" w:rsidP="00084440">
            <w:pPr>
              <w:spacing w:line="276" w:lineRule="auto"/>
              <w:jc w:val="both"/>
              <w:rPr>
                <w:color w:val="000000"/>
              </w:rPr>
            </w:pPr>
            <w:r>
              <w:t>G</w:t>
            </w:r>
            <w:r w:rsidR="00084440">
              <w:t xml:space="preserve">ood </w:t>
            </w:r>
            <w:r>
              <w:t>L</w:t>
            </w:r>
            <w:r w:rsidR="00084440">
              <w:t xml:space="preserve">aboratory </w:t>
            </w:r>
            <w:r>
              <w:t>P</w:t>
            </w:r>
            <w:r w:rsidR="00084440">
              <w:t>ractice</w:t>
            </w:r>
          </w:p>
        </w:tc>
      </w:tr>
      <w:tr w:rsidR="00BD0AC6" w:rsidRPr="00FD119B" w14:paraId="71486D30" w14:textId="77777777" w:rsidTr="007168BF">
        <w:tc>
          <w:tcPr>
            <w:tcW w:w="2249" w:type="dxa"/>
          </w:tcPr>
          <w:p w14:paraId="5FBBFE75" w14:textId="77777777" w:rsidR="00BD0AC6" w:rsidRPr="004B4BF8" w:rsidRDefault="00BD0AC6" w:rsidP="00BD0AC6">
            <w:pPr>
              <w:spacing w:line="276" w:lineRule="auto"/>
              <w:jc w:val="both"/>
              <w:rPr>
                <w:lang w:val="en-US"/>
              </w:rPr>
            </w:pPr>
            <w:r w:rsidRPr="004B4BF8">
              <w:rPr>
                <w:lang w:val="en-US"/>
              </w:rPr>
              <w:t>HDM</w:t>
            </w:r>
          </w:p>
        </w:tc>
        <w:tc>
          <w:tcPr>
            <w:tcW w:w="6471" w:type="dxa"/>
          </w:tcPr>
          <w:p w14:paraId="4A1DB8D4" w14:textId="77777777" w:rsidR="00BD0AC6" w:rsidRPr="004B4BF8" w:rsidRDefault="00BD0AC6" w:rsidP="00BD0AC6">
            <w:pPr>
              <w:spacing w:line="276" w:lineRule="auto"/>
              <w:jc w:val="both"/>
              <w:rPr>
                <w:color w:val="000000"/>
              </w:rPr>
            </w:pPr>
            <w:r w:rsidRPr="004B4BF8">
              <w:rPr>
                <w:color w:val="000000"/>
              </w:rPr>
              <w:t>House Dust Mites</w:t>
            </w:r>
          </w:p>
        </w:tc>
      </w:tr>
      <w:tr w:rsidR="00BD0AC6" w:rsidRPr="00FD119B" w14:paraId="3A821B98" w14:textId="77777777" w:rsidTr="007168BF">
        <w:tc>
          <w:tcPr>
            <w:tcW w:w="2249" w:type="dxa"/>
          </w:tcPr>
          <w:p w14:paraId="0291B1EB" w14:textId="77777777" w:rsidR="00BD0AC6" w:rsidRPr="004B4BF8" w:rsidRDefault="00BD0AC6" w:rsidP="00BD0AC6">
            <w:pPr>
              <w:spacing w:line="276" w:lineRule="auto"/>
              <w:jc w:val="both"/>
              <w:rPr>
                <w:lang w:val="en-US"/>
              </w:rPr>
            </w:pPr>
            <w:r w:rsidRPr="004B4BF8">
              <w:rPr>
                <w:lang w:val="en-US"/>
              </w:rPr>
              <w:t>ICH</w:t>
            </w:r>
          </w:p>
        </w:tc>
        <w:tc>
          <w:tcPr>
            <w:tcW w:w="6471" w:type="dxa"/>
          </w:tcPr>
          <w:p w14:paraId="2A633201" w14:textId="77777777" w:rsidR="00BD0AC6" w:rsidRPr="004B4BF8" w:rsidRDefault="00BD0AC6" w:rsidP="00BD0AC6">
            <w:pPr>
              <w:spacing w:line="276" w:lineRule="auto"/>
              <w:jc w:val="both"/>
              <w:rPr>
                <w:lang w:val="en-US"/>
              </w:rPr>
            </w:pPr>
            <w:r w:rsidRPr="004B4BF8">
              <w:rPr>
                <w:lang w:val="en-US"/>
              </w:rPr>
              <w:t>International Conference on Harmonization</w:t>
            </w:r>
          </w:p>
        </w:tc>
      </w:tr>
      <w:tr w:rsidR="00E41885" w:rsidRPr="00FD119B" w14:paraId="1FDC9383" w14:textId="77777777" w:rsidTr="007168BF">
        <w:tc>
          <w:tcPr>
            <w:tcW w:w="2249" w:type="dxa"/>
          </w:tcPr>
          <w:p w14:paraId="2C696EC9" w14:textId="77777777" w:rsidR="00E41885" w:rsidRPr="004B4BF8" w:rsidRDefault="00E41885" w:rsidP="00BD0AC6">
            <w:pPr>
              <w:spacing w:line="276" w:lineRule="auto"/>
              <w:jc w:val="both"/>
              <w:rPr>
                <w:lang w:val="en-US"/>
              </w:rPr>
            </w:pPr>
            <w:r>
              <w:t xml:space="preserve">IFN </w:t>
            </w:r>
            <w:r w:rsidRPr="00113FF8">
              <w:t>γ</w:t>
            </w:r>
          </w:p>
        </w:tc>
        <w:tc>
          <w:tcPr>
            <w:tcW w:w="6471" w:type="dxa"/>
          </w:tcPr>
          <w:p w14:paraId="63CBE351" w14:textId="77777777" w:rsidR="00E41885" w:rsidRPr="004B4BF8" w:rsidRDefault="00E41885" w:rsidP="00E41885">
            <w:pPr>
              <w:spacing w:line="276" w:lineRule="auto"/>
              <w:jc w:val="both"/>
              <w:rPr>
                <w:lang w:val="en-US"/>
              </w:rPr>
            </w:pPr>
            <w:r>
              <w:rPr>
                <w:color w:val="000000"/>
                <w:lang w:val="en-GB"/>
              </w:rPr>
              <w:t xml:space="preserve">interferon </w:t>
            </w:r>
            <w:r w:rsidRPr="002F3D2A">
              <w:rPr>
                <w:color w:val="000000"/>
                <w:szCs w:val="22"/>
                <w:lang w:val="en-GB"/>
              </w:rPr>
              <w:t>gamma</w:t>
            </w:r>
          </w:p>
        </w:tc>
      </w:tr>
      <w:tr w:rsidR="00BD0AC6" w:rsidRPr="00FD119B" w14:paraId="13AB45A2" w14:textId="77777777" w:rsidTr="007168BF">
        <w:tc>
          <w:tcPr>
            <w:tcW w:w="2249" w:type="dxa"/>
          </w:tcPr>
          <w:p w14:paraId="6C13D072" w14:textId="77777777" w:rsidR="00BD0AC6" w:rsidRPr="004B4BF8" w:rsidRDefault="00BD0AC6" w:rsidP="00BD0AC6">
            <w:pPr>
              <w:spacing w:line="276" w:lineRule="auto"/>
              <w:jc w:val="both"/>
              <w:rPr>
                <w:lang w:val="en-US"/>
              </w:rPr>
            </w:pPr>
            <w:r w:rsidRPr="004B4BF8">
              <w:rPr>
                <w:lang w:val="en-US"/>
              </w:rPr>
              <w:t>Ig</w:t>
            </w:r>
          </w:p>
        </w:tc>
        <w:tc>
          <w:tcPr>
            <w:tcW w:w="6471" w:type="dxa"/>
          </w:tcPr>
          <w:p w14:paraId="4F3086AC" w14:textId="77777777" w:rsidR="00BD0AC6" w:rsidRPr="004B4BF8" w:rsidRDefault="00BD0AC6" w:rsidP="00BD0AC6">
            <w:pPr>
              <w:spacing w:line="276" w:lineRule="auto"/>
              <w:jc w:val="both"/>
              <w:rPr>
                <w:lang w:val="en-US"/>
              </w:rPr>
            </w:pPr>
            <w:r w:rsidRPr="004B4BF8">
              <w:rPr>
                <w:lang w:val="en-US"/>
              </w:rPr>
              <w:t>Immunoglobulin</w:t>
            </w:r>
          </w:p>
        </w:tc>
      </w:tr>
      <w:tr w:rsidR="00E41885" w:rsidRPr="00FD119B" w14:paraId="018B43B4" w14:textId="77777777" w:rsidTr="007168BF">
        <w:tc>
          <w:tcPr>
            <w:tcW w:w="2249" w:type="dxa"/>
          </w:tcPr>
          <w:p w14:paraId="2C9B26D4" w14:textId="77777777" w:rsidR="00E41885" w:rsidRPr="004B4BF8" w:rsidRDefault="00E41885" w:rsidP="00BD0AC6">
            <w:pPr>
              <w:spacing w:line="276" w:lineRule="auto"/>
              <w:jc w:val="both"/>
              <w:rPr>
                <w:lang w:val="en-US"/>
              </w:rPr>
            </w:pPr>
            <w:r>
              <w:rPr>
                <w:lang w:val="en-US"/>
              </w:rPr>
              <w:t>IL</w:t>
            </w:r>
          </w:p>
        </w:tc>
        <w:tc>
          <w:tcPr>
            <w:tcW w:w="6471" w:type="dxa"/>
          </w:tcPr>
          <w:p w14:paraId="572D57B9" w14:textId="77777777" w:rsidR="00E41885" w:rsidRPr="004B4BF8" w:rsidRDefault="00E41885" w:rsidP="00BD0AC6">
            <w:pPr>
              <w:spacing w:line="276" w:lineRule="auto"/>
              <w:jc w:val="both"/>
              <w:rPr>
                <w:lang w:val="en-US"/>
              </w:rPr>
            </w:pPr>
            <w:r>
              <w:rPr>
                <w:color w:val="000000"/>
                <w:szCs w:val="22"/>
                <w:lang w:val="en-GB"/>
              </w:rPr>
              <w:t>Interleukin</w:t>
            </w:r>
          </w:p>
        </w:tc>
      </w:tr>
      <w:tr w:rsidR="00BD0AC6" w:rsidRPr="00FD119B" w14:paraId="56E917E6" w14:textId="77777777" w:rsidTr="007168BF">
        <w:tc>
          <w:tcPr>
            <w:tcW w:w="2249" w:type="dxa"/>
          </w:tcPr>
          <w:p w14:paraId="56B10EA8" w14:textId="77777777" w:rsidR="00BD0AC6" w:rsidRPr="004B4BF8" w:rsidRDefault="00BD0AC6" w:rsidP="00BD0AC6">
            <w:pPr>
              <w:spacing w:line="276" w:lineRule="auto"/>
              <w:jc w:val="both"/>
              <w:rPr>
                <w:lang w:val="en-US"/>
              </w:rPr>
            </w:pPr>
            <w:r w:rsidRPr="004B4BF8">
              <w:rPr>
                <w:lang w:val="en-US"/>
              </w:rPr>
              <w:t>IR</w:t>
            </w:r>
          </w:p>
        </w:tc>
        <w:tc>
          <w:tcPr>
            <w:tcW w:w="6471" w:type="dxa"/>
          </w:tcPr>
          <w:p w14:paraId="618C1AB2" w14:textId="77777777" w:rsidR="00BD0AC6" w:rsidRPr="004B4BF8" w:rsidRDefault="00BD0AC6" w:rsidP="00BD0AC6">
            <w:pPr>
              <w:spacing w:line="276" w:lineRule="auto"/>
              <w:jc w:val="both"/>
              <w:rPr>
                <w:lang w:val="en-US"/>
              </w:rPr>
            </w:pPr>
            <w:r w:rsidRPr="004B4BF8">
              <w:rPr>
                <w:lang w:val="en-US"/>
              </w:rPr>
              <w:t>Index of Reactivity</w:t>
            </w:r>
          </w:p>
        </w:tc>
      </w:tr>
      <w:tr w:rsidR="00BD0AC6" w:rsidRPr="005A70BC" w14:paraId="4F192314" w14:textId="77777777" w:rsidTr="007168BF">
        <w:tc>
          <w:tcPr>
            <w:tcW w:w="2249" w:type="dxa"/>
          </w:tcPr>
          <w:p w14:paraId="4746A859" w14:textId="77777777" w:rsidR="00BD0AC6" w:rsidRPr="004B4BF8" w:rsidRDefault="00BD0AC6" w:rsidP="002A0FA3">
            <w:pPr>
              <w:tabs>
                <w:tab w:val="left" w:pos="1463"/>
              </w:tabs>
              <w:spacing w:line="276" w:lineRule="auto"/>
              <w:jc w:val="both"/>
              <w:rPr>
                <w:lang w:val="en-US"/>
              </w:rPr>
            </w:pPr>
            <w:r w:rsidRPr="004B4BF8">
              <w:rPr>
                <w:lang w:val="en-US"/>
              </w:rPr>
              <w:t>JRQLQ</w:t>
            </w:r>
          </w:p>
        </w:tc>
        <w:tc>
          <w:tcPr>
            <w:tcW w:w="6471" w:type="dxa"/>
          </w:tcPr>
          <w:p w14:paraId="7CB53758" w14:textId="77777777" w:rsidR="00BD0AC6" w:rsidRPr="004B4BF8" w:rsidRDefault="00BD0AC6" w:rsidP="00BD0AC6">
            <w:pPr>
              <w:spacing w:line="276" w:lineRule="auto"/>
              <w:jc w:val="both"/>
              <w:rPr>
                <w:lang w:val="fr-FR"/>
              </w:rPr>
            </w:pPr>
            <w:proofErr w:type="spellStart"/>
            <w:r w:rsidRPr="004B4BF8">
              <w:rPr>
                <w:lang w:val="fr-FR"/>
              </w:rPr>
              <w:t>Japanese</w:t>
            </w:r>
            <w:proofErr w:type="spellEnd"/>
            <w:r w:rsidRPr="004B4BF8">
              <w:rPr>
                <w:lang w:val="fr-FR"/>
              </w:rPr>
              <w:t xml:space="preserve"> </w:t>
            </w:r>
            <w:proofErr w:type="spellStart"/>
            <w:r w:rsidRPr="004B4BF8">
              <w:rPr>
                <w:lang w:val="fr-FR"/>
              </w:rPr>
              <w:t>Allergic</w:t>
            </w:r>
            <w:proofErr w:type="spellEnd"/>
            <w:r w:rsidRPr="004B4BF8">
              <w:rPr>
                <w:lang w:val="fr-FR"/>
              </w:rPr>
              <w:t xml:space="preserve"> </w:t>
            </w:r>
            <w:proofErr w:type="spellStart"/>
            <w:r w:rsidRPr="004B4BF8">
              <w:rPr>
                <w:lang w:val="fr-FR"/>
              </w:rPr>
              <w:t>Rhinitis</w:t>
            </w:r>
            <w:proofErr w:type="spellEnd"/>
            <w:r w:rsidRPr="004B4BF8">
              <w:rPr>
                <w:lang w:val="fr-FR"/>
              </w:rPr>
              <w:t xml:space="preserve"> Standard QOL Questionnaire</w:t>
            </w:r>
          </w:p>
        </w:tc>
      </w:tr>
      <w:tr w:rsidR="00BD0AC6" w:rsidRPr="00FD119B" w14:paraId="3ABE0774" w14:textId="77777777" w:rsidTr="007168BF">
        <w:tc>
          <w:tcPr>
            <w:tcW w:w="2249" w:type="dxa"/>
          </w:tcPr>
          <w:p w14:paraId="126396B4" w14:textId="77777777" w:rsidR="00BD0AC6" w:rsidRPr="004B4BF8" w:rsidRDefault="00BD0AC6" w:rsidP="00BD0AC6">
            <w:pPr>
              <w:spacing w:line="276" w:lineRule="auto"/>
              <w:jc w:val="both"/>
              <w:rPr>
                <w:lang w:val="en-US"/>
              </w:rPr>
            </w:pPr>
            <w:r w:rsidRPr="004B4BF8">
              <w:rPr>
                <w:lang w:val="en-US"/>
              </w:rPr>
              <w:t>LOCF</w:t>
            </w:r>
          </w:p>
        </w:tc>
        <w:tc>
          <w:tcPr>
            <w:tcW w:w="6471" w:type="dxa"/>
          </w:tcPr>
          <w:p w14:paraId="1199221A" w14:textId="77777777" w:rsidR="00BD0AC6" w:rsidRPr="004B4BF8" w:rsidRDefault="00BD0AC6" w:rsidP="00BD0AC6">
            <w:pPr>
              <w:spacing w:line="276" w:lineRule="auto"/>
              <w:jc w:val="both"/>
              <w:rPr>
                <w:lang w:val="fr-FR"/>
              </w:rPr>
            </w:pPr>
            <w:r w:rsidRPr="004B4BF8">
              <w:t>Last Observation Carried Forward</w:t>
            </w:r>
          </w:p>
        </w:tc>
      </w:tr>
      <w:tr w:rsidR="00BD0AC6" w:rsidRPr="00FD119B" w14:paraId="31DD31C5" w14:textId="77777777" w:rsidTr="007168BF">
        <w:tc>
          <w:tcPr>
            <w:tcW w:w="2249" w:type="dxa"/>
          </w:tcPr>
          <w:p w14:paraId="2730B5F9" w14:textId="77777777" w:rsidR="00BD0AC6" w:rsidRPr="004B4BF8" w:rsidRDefault="00BD0AC6" w:rsidP="00BD0AC6">
            <w:pPr>
              <w:spacing w:line="276" w:lineRule="auto"/>
              <w:jc w:val="both"/>
              <w:rPr>
                <w:lang w:val="en-US"/>
              </w:rPr>
            </w:pPr>
            <w:r w:rsidRPr="004B4BF8">
              <w:rPr>
                <w:lang w:val="en-US"/>
              </w:rPr>
              <w:t>LS</w:t>
            </w:r>
          </w:p>
        </w:tc>
        <w:tc>
          <w:tcPr>
            <w:tcW w:w="6471" w:type="dxa"/>
          </w:tcPr>
          <w:p w14:paraId="12C1DA37" w14:textId="77777777" w:rsidR="00BD0AC6" w:rsidRPr="004B4BF8" w:rsidRDefault="00BD0AC6" w:rsidP="00BD0AC6">
            <w:pPr>
              <w:spacing w:line="276" w:lineRule="auto"/>
              <w:jc w:val="both"/>
              <w:rPr>
                <w:lang w:val="en-US"/>
              </w:rPr>
            </w:pPr>
            <w:r w:rsidRPr="004B4BF8">
              <w:rPr>
                <w:lang w:val="en-US"/>
              </w:rPr>
              <w:t>Least Squares</w:t>
            </w:r>
          </w:p>
        </w:tc>
      </w:tr>
      <w:tr w:rsidR="00BD0AC6" w:rsidRPr="00FD119B" w14:paraId="3E912B9D" w14:textId="77777777" w:rsidTr="007168BF">
        <w:tc>
          <w:tcPr>
            <w:tcW w:w="2249" w:type="dxa"/>
          </w:tcPr>
          <w:p w14:paraId="0DCB187A" w14:textId="77777777" w:rsidR="00BD0AC6" w:rsidRPr="004B4BF8" w:rsidRDefault="00BD0AC6" w:rsidP="00BD0AC6">
            <w:pPr>
              <w:spacing w:line="276" w:lineRule="auto"/>
              <w:jc w:val="both"/>
              <w:rPr>
                <w:lang w:val="en-US"/>
              </w:rPr>
            </w:pPr>
            <w:r w:rsidRPr="004B4BF8">
              <w:rPr>
                <w:lang w:val="en-US"/>
              </w:rPr>
              <w:t>MMRM</w:t>
            </w:r>
          </w:p>
        </w:tc>
        <w:tc>
          <w:tcPr>
            <w:tcW w:w="6471" w:type="dxa"/>
          </w:tcPr>
          <w:p w14:paraId="4376C5DB" w14:textId="77777777" w:rsidR="00BD0AC6" w:rsidRPr="004B4BF8" w:rsidRDefault="00BD0AC6" w:rsidP="00BD0AC6">
            <w:pPr>
              <w:spacing w:line="276" w:lineRule="auto"/>
              <w:jc w:val="both"/>
              <w:rPr>
                <w:lang w:val="en-US"/>
              </w:rPr>
            </w:pPr>
            <w:r w:rsidRPr="004B4BF8">
              <w:t>Mixed-effects Model for Repeated Measures</w:t>
            </w:r>
          </w:p>
        </w:tc>
      </w:tr>
      <w:tr w:rsidR="00716D4E" w:rsidRPr="00FD119B" w14:paraId="337EEC2C" w14:textId="77777777" w:rsidTr="007168BF">
        <w:tc>
          <w:tcPr>
            <w:tcW w:w="2249" w:type="dxa"/>
          </w:tcPr>
          <w:p w14:paraId="624303B2" w14:textId="77777777" w:rsidR="00716D4E" w:rsidRPr="004B4BF8" w:rsidRDefault="00716D4E" w:rsidP="00BD0AC6">
            <w:pPr>
              <w:spacing w:line="276" w:lineRule="auto"/>
              <w:jc w:val="both"/>
              <w:rPr>
                <w:lang w:val="en-US"/>
              </w:rPr>
            </w:pPr>
            <w:r>
              <w:t>NOAEL</w:t>
            </w:r>
          </w:p>
        </w:tc>
        <w:tc>
          <w:tcPr>
            <w:tcW w:w="6471" w:type="dxa"/>
          </w:tcPr>
          <w:p w14:paraId="3FF19F74" w14:textId="77777777" w:rsidR="00716D4E" w:rsidRPr="004B4BF8" w:rsidRDefault="00716D4E" w:rsidP="00716D4E">
            <w:pPr>
              <w:spacing w:line="276" w:lineRule="auto"/>
              <w:jc w:val="both"/>
              <w:rPr>
                <w:lang w:val="en-US"/>
              </w:rPr>
            </w:pPr>
            <w:r w:rsidRPr="002F3D2A">
              <w:rPr>
                <w:color w:val="000000"/>
                <w:lang w:val="en-GB"/>
              </w:rPr>
              <w:t>no observed adverse effect level</w:t>
            </w:r>
          </w:p>
        </w:tc>
      </w:tr>
      <w:tr w:rsidR="00BD0AC6" w:rsidRPr="00FD119B" w14:paraId="3FEAAB9C" w14:textId="77777777" w:rsidTr="007168BF">
        <w:tc>
          <w:tcPr>
            <w:tcW w:w="2249" w:type="dxa"/>
          </w:tcPr>
          <w:p w14:paraId="27373551" w14:textId="77777777" w:rsidR="00BD0AC6" w:rsidRPr="004B4BF8" w:rsidRDefault="00BD0AC6" w:rsidP="00BD0AC6">
            <w:pPr>
              <w:spacing w:line="276" w:lineRule="auto"/>
              <w:jc w:val="both"/>
              <w:rPr>
                <w:lang w:val="en-US"/>
              </w:rPr>
            </w:pPr>
            <w:r w:rsidRPr="004B4BF8">
              <w:rPr>
                <w:lang w:val="en-US"/>
              </w:rPr>
              <w:t>PI</w:t>
            </w:r>
          </w:p>
        </w:tc>
        <w:tc>
          <w:tcPr>
            <w:tcW w:w="6471" w:type="dxa"/>
          </w:tcPr>
          <w:p w14:paraId="0C053C65" w14:textId="77777777" w:rsidR="00BD0AC6" w:rsidRPr="004B4BF8" w:rsidRDefault="00BD0AC6" w:rsidP="00BD0AC6">
            <w:pPr>
              <w:spacing w:line="276" w:lineRule="auto"/>
              <w:jc w:val="both"/>
              <w:rPr>
                <w:lang w:val="en-US"/>
              </w:rPr>
            </w:pPr>
            <w:r w:rsidRPr="004B4BF8">
              <w:rPr>
                <w:lang w:val="en-US"/>
              </w:rPr>
              <w:t>Product Information</w:t>
            </w:r>
          </w:p>
        </w:tc>
      </w:tr>
      <w:tr w:rsidR="0001147D" w:rsidRPr="00FD119B" w14:paraId="317477FD" w14:textId="77777777" w:rsidTr="007168BF">
        <w:tc>
          <w:tcPr>
            <w:tcW w:w="2249" w:type="dxa"/>
          </w:tcPr>
          <w:p w14:paraId="28C64D00" w14:textId="77777777" w:rsidR="0001147D" w:rsidRPr="004B4BF8" w:rsidRDefault="0001147D" w:rsidP="00BD0AC6">
            <w:pPr>
              <w:spacing w:line="276" w:lineRule="auto"/>
              <w:jc w:val="both"/>
              <w:rPr>
                <w:lang w:val="en-US"/>
              </w:rPr>
            </w:pPr>
            <w:r w:rsidRPr="0001147D">
              <w:t>PPSY1</w:t>
            </w:r>
          </w:p>
        </w:tc>
        <w:tc>
          <w:tcPr>
            <w:tcW w:w="6471" w:type="dxa"/>
          </w:tcPr>
          <w:p w14:paraId="5A84BDDC" w14:textId="77777777" w:rsidR="0001147D" w:rsidRPr="004B4BF8" w:rsidRDefault="0001147D" w:rsidP="00BD0AC6">
            <w:pPr>
              <w:spacing w:line="276" w:lineRule="auto"/>
              <w:jc w:val="both"/>
              <w:rPr>
                <w:lang w:val="en-US"/>
              </w:rPr>
            </w:pPr>
            <w:r>
              <w:rPr>
                <w:lang w:val="en-US"/>
              </w:rPr>
              <w:t>Per Protocol set Year 1</w:t>
            </w:r>
          </w:p>
        </w:tc>
      </w:tr>
      <w:tr w:rsidR="00447F2D" w:rsidRPr="00FD119B" w14:paraId="260D61E9" w14:textId="77777777" w:rsidTr="007168BF">
        <w:tc>
          <w:tcPr>
            <w:tcW w:w="2249" w:type="dxa"/>
          </w:tcPr>
          <w:p w14:paraId="5C2C014C" w14:textId="77777777" w:rsidR="00447F2D" w:rsidRPr="004B4BF8" w:rsidRDefault="00447F2D" w:rsidP="00BD0AC6">
            <w:pPr>
              <w:spacing w:line="276" w:lineRule="auto"/>
              <w:jc w:val="both"/>
              <w:rPr>
                <w:lang w:val="en-US"/>
              </w:rPr>
            </w:pPr>
            <w:r w:rsidRPr="00025C15">
              <w:t>PSCDs</w:t>
            </w:r>
          </w:p>
        </w:tc>
        <w:tc>
          <w:tcPr>
            <w:tcW w:w="6471" w:type="dxa"/>
          </w:tcPr>
          <w:p w14:paraId="1F3A9907" w14:textId="77777777" w:rsidR="00447F2D" w:rsidRPr="004B4BF8" w:rsidRDefault="00447F2D" w:rsidP="00BD0AC6">
            <w:pPr>
              <w:spacing w:line="276" w:lineRule="auto"/>
              <w:jc w:val="both"/>
              <w:rPr>
                <w:lang w:val="en-US"/>
              </w:rPr>
            </w:pPr>
            <w:r w:rsidRPr="00025C15">
              <w:t>Proportion of</w:t>
            </w:r>
            <w:r>
              <w:t xml:space="preserve"> Symptom-Controlled Days</w:t>
            </w:r>
          </w:p>
        </w:tc>
      </w:tr>
      <w:tr w:rsidR="00BD0AC6" w:rsidRPr="00FD119B" w14:paraId="0540AF94" w14:textId="77777777" w:rsidTr="007168BF">
        <w:tc>
          <w:tcPr>
            <w:tcW w:w="2249" w:type="dxa"/>
          </w:tcPr>
          <w:p w14:paraId="6A71DC3E" w14:textId="77777777" w:rsidR="00BD0AC6" w:rsidRPr="004B4BF8" w:rsidRDefault="00BD0AC6" w:rsidP="00BD0AC6">
            <w:pPr>
              <w:spacing w:line="276" w:lineRule="auto"/>
              <w:jc w:val="both"/>
              <w:rPr>
                <w:lang w:val="en-US"/>
              </w:rPr>
            </w:pPr>
            <w:r w:rsidRPr="004B4BF8">
              <w:rPr>
                <w:lang w:val="en-US"/>
              </w:rPr>
              <w:t>RMP</w:t>
            </w:r>
          </w:p>
        </w:tc>
        <w:tc>
          <w:tcPr>
            <w:tcW w:w="6471" w:type="dxa"/>
          </w:tcPr>
          <w:p w14:paraId="2D1B23FF" w14:textId="77777777" w:rsidR="00BD0AC6" w:rsidRPr="004B4BF8" w:rsidRDefault="00BD0AC6" w:rsidP="00BD0AC6">
            <w:pPr>
              <w:spacing w:line="276" w:lineRule="auto"/>
              <w:jc w:val="both"/>
              <w:rPr>
                <w:lang w:val="en-US"/>
              </w:rPr>
            </w:pPr>
            <w:r w:rsidRPr="004B4BF8">
              <w:rPr>
                <w:lang w:val="en-US"/>
              </w:rPr>
              <w:t>Risk Management Plan</w:t>
            </w:r>
          </w:p>
        </w:tc>
      </w:tr>
      <w:tr w:rsidR="00BD0AC6" w:rsidRPr="00FD119B" w14:paraId="11BE804E" w14:textId="77777777" w:rsidTr="007168BF">
        <w:tc>
          <w:tcPr>
            <w:tcW w:w="2249" w:type="dxa"/>
          </w:tcPr>
          <w:p w14:paraId="1D9C6E40" w14:textId="77777777" w:rsidR="00BD0AC6" w:rsidRPr="004B4BF8" w:rsidRDefault="00BD0AC6" w:rsidP="00BD0AC6">
            <w:pPr>
              <w:spacing w:line="276" w:lineRule="auto"/>
              <w:jc w:val="both"/>
              <w:rPr>
                <w:lang w:val="en-US"/>
              </w:rPr>
            </w:pPr>
            <w:r w:rsidRPr="004B4BF8">
              <w:rPr>
                <w:lang w:val="en-US"/>
              </w:rPr>
              <w:t>RQLQ</w:t>
            </w:r>
          </w:p>
        </w:tc>
        <w:tc>
          <w:tcPr>
            <w:tcW w:w="6471" w:type="dxa"/>
          </w:tcPr>
          <w:p w14:paraId="153E4A8B" w14:textId="77777777" w:rsidR="00BD0AC6" w:rsidRPr="004B4BF8" w:rsidRDefault="00BD0AC6" w:rsidP="00BD0AC6">
            <w:pPr>
              <w:spacing w:line="276" w:lineRule="auto"/>
              <w:jc w:val="both"/>
              <w:rPr>
                <w:lang w:val="en-US"/>
              </w:rPr>
            </w:pPr>
            <w:r w:rsidRPr="004B4BF8">
              <w:rPr>
                <w:lang w:val="en-US"/>
              </w:rPr>
              <w:t>Rhinoconjunctivitis Quality of Life Questionnaire</w:t>
            </w:r>
          </w:p>
        </w:tc>
      </w:tr>
      <w:tr w:rsidR="00BD0AC6" w:rsidRPr="00FD119B" w14:paraId="4CC031E3" w14:textId="77777777" w:rsidTr="007168BF">
        <w:tc>
          <w:tcPr>
            <w:tcW w:w="2249" w:type="dxa"/>
          </w:tcPr>
          <w:p w14:paraId="544CE097" w14:textId="77777777" w:rsidR="00BD0AC6" w:rsidRPr="004B4BF8" w:rsidRDefault="00BD0AC6" w:rsidP="00BD0AC6">
            <w:pPr>
              <w:spacing w:line="276" w:lineRule="auto"/>
              <w:jc w:val="both"/>
              <w:rPr>
                <w:lang w:val="en-US"/>
              </w:rPr>
            </w:pPr>
            <w:r w:rsidRPr="004B4BF8">
              <w:rPr>
                <w:lang w:val="en-US"/>
              </w:rPr>
              <w:t>RTSS</w:t>
            </w:r>
          </w:p>
        </w:tc>
        <w:tc>
          <w:tcPr>
            <w:tcW w:w="6471" w:type="dxa"/>
          </w:tcPr>
          <w:p w14:paraId="2450D9CC" w14:textId="77777777" w:rsidR="00BD0AC6" w:rsidRPr="004B4BF8" w:rsidRDefault="00BD0AC6" w:rsidP="00BD0AC6">
            <w:pPr>
              <w:spacing w:line="276" w:lineRule="auto"/>
              <w:jc w:val="both"/>
              <w:rPr>
                <w:lang w:val="en-US"/>
              </w:rPr>
            </w:pPr>
            <w:r w:rsidRPr="004B4BF8">
              <w:rPr>
                <w:lang w:val="en-US"/>
              </w:rPr>
              <w:t>Rhinitis Total Symptom Score</w:t>
            </w:r>
          </w:p>
        </w:tc>
      </w:tr>
      <w:tr w:rsidR="00BD0AC6" w:rsidRPr="00FD119B" w14:paraId="5E0A5F97" w14:textId="77777777" w:rsidTr="007168BF">
        <w:tc>
          <w:tcPr>
            <w:tcW w:w="2249" w:type="dxa"/>
          </w:tcPr>
          <w:p w14:paraId="0446B5F3" w14:textId="77777777" w:rsidR="00BD0AC6" w:rsidRPr="004B4BF8" w:rsidRDefault="00BD0AC6" w:rsidP="00BD0AC6">
            <w:pPr>
              <w:spacing w:line="276" w:lineRule="auto"/>
              <w:jc w:val="both"/>
              <w:rPr>
                <w:lang w:val="en-US"/>
              </w:rPr>
            </w:pPr>
            <w:r w:rsidRPr="004B4BF8">
              <w:rPr>
                <w:lang w:val="en-US"/>
              </w:rPr>
              <w:t>S-524101</w:t>
            </w:r>
          </w:p>
        </w:tc>
        <w:tc>
          <w:tcPr>
            <w:tcW w:w="6471" w:type="dxa"/>
          </w:tcPr>
          <w:p w14:paraId="27BECEA5" w14:textId="77777777" w:rsidR="00BD0AC6" w:rsidRPr="004B4BF8" w:rsidRDefault="00BD0AC6" w:rsidP="00BD0AC6">
            <w:pPr>
              <w:spacing w:line="276" w:lineRule="auto"/>
              <w:jc w:val="both"/>
              <w:rPr>
                <w:lang w:val="en-US"/>
              </w:rPr>
            </w:pPr>
            <w:r w:rsidRPr="004B4BF8">
              <w:rPr>
                <w:lang w:val="en-US"/>
              </w:rPr>
              <w:t>Sublingual tablet of house dust mite extracts</w:t>
            </w:r>
          </w:p>
        </w:tc>
      </w:tr>
      <w:tr w:rsidR="00BD0AC6" w:rsidRPr="00FD119B" w14:paraId="1E52F0EF" w14:textId="77777777" w:rsidTr="007168BF">
        <w:tc>
          <w:tcPr>
            <w:tcW w:w="2249" w:type="dxa"/>
          </w:tcPr>
          <w:p w14:paraId="4F0200EA" w14:textId="77777777" w:rsidR="00BD0AC6" w:rsidRPr="004B4BF8" w:rsidRDefault="00BD0AC6" w:rsidP="00BD0AC6">
            <w:pPr>
              <w:spacing w:line="276" w:lineRule="auto"/>
              <w:jc w:val="both"/>
              <w:rPr>
                <w:lang w:val="en-US"/>
              </w:rPr>
            </w:pPr>
            <w:r w:rsidRPr="004B4BF8">
              <w:rPr>
                <w:lang w:val="en-US"/>
              </w:rPr>
              <w:t>SC</w:t>
            </w:r>
          </w:p>
        </w:tc>
        <w:tc>
          <w:tcPr>
            <w:tcW w:w="6471" w:type="dxa"/>
          </w:tcPr>
          <w:p w14:paraId="1AEA01C7" w14:textId="77777777" w:rsidR="00BD0AC6" w:rsidRPr="004B4BF8" w:rsidRDefault="00BD0AC6" w:rsidP="00BD0AC6">
            <w:pPr>
              <w:spacing w:line="276" w:lineRule="auto"/>
              <w:jc w:val="both"/>
              <w:rPr>
                <w:lang w:val="en-US"/>
              </w:rPr>
            </w:pPr>
            <w:r w:rsidRPr="004B4BF8">
              <w:rPr>
                <w:lang w:val="en-US"/>
              </w:rPr>
              <w:t>Subcutaneous</w:t>
            </w:r>
          </w:p>
        </w:tc>
      </w:tr>
      <w:tr w:rsidR="00BD0AC6" w:rsidRPr="00FD119B" w14:paraId="42ABC7EC" w14:textId="77777777" w:rsidTr="007168BF">
        <w:tc>
          <w:tcPr>
            <w:tcW w:w="2249" w:type="dxa"/>
          </w:tcPr>
          <w:p w14:paraId="6EF1B8CB" w14:textId="77777777" w:rsidR="00BD0AC6" w:rsidRPr="004B4BF8" w:rsidRDefault="00BD0AC6" w:rsidP="00BD0AC6">
            <w:pPr>
              <w:spacing w:line="276" w:lineRule="auto"/>
              <w:jc w:val="both"/>
              <w:rPr>
                <w:lang w:val="en-US"/>
              </w:rPr>
            </w:pPr>
            <w:r w:rsidRPr="004B4BF8">
              <w:rPr>
                <w:lang w:val="en-US"/>
              </w:rPr>
              <w:t>SCIT</w:t>
            </w:r>
          </w:p>
        </w:tc>
        <w:tc>
          <w:tcPr>
            <w:tcW w:w="6471" w:type="dxa"/>
          </w:tcPr>
          <w:p w14:paraId="4A4B37E2" w14:textId="77777777" w:rsidR="00BD0AC6" w:rsidRPr="004B4BF8" w:rsidRDefault="00BD0AC6" w:rsidP="00BD0AC6">
            <w:pPr>
              <w:spacing w:line="276" w:lineRule="auto"/>
              <w:jc w:val="both"/>
              <w:rPr>
                <w:lang w:val="en-US"/>
              </w:rPr>
            </w:pPr>
            <w:r w:rsidRPr="004B4BF8">
              <w:rPr>
                <w:lang w:val="en-US"/>
              </w:rPr>
              <w:t>Subcutaneous Immunotherapy</w:t>
            </w:r>
          </w:p>
        </w:tc>
      </w:tr>
      <w:tr w:rsidR="00BD0AC6" w:rsidRPr="00FD119B" w14:paraId="2B6EBB15" w14:textId="77777777" w:rsidTr="007168BF">
        <w:tc>
          <w:tcPr>
            <w:tcW w:w="2249" w:type="dxa"/>
          </w:tcPr>
          <w:p w14:paraId="53217503" w14:textId="77777777" w:rsidR="00BD0AC6" w:rsidRPr="004B4BF8" w:rsidRDefault="00BD0AC6" w:rsidP="00BD0AC6">
            <w:pPr>
              <w:spacing w:line="276" w:lineRule="auto"/>
              <w:jc w:val="both"/>
              <w:rPr>
                <w:lang w:val="en-US"/>
              </w:rPr>
            </w:pPr>
            <w:r w:rsidRPr="004B4BF8">
              <w:rPr>
                <w:lang w:val="en-US"/>
              </w:rPr>
              <w:t>SL</w:t>
            </w:r>
          </w:p>
        </w:tc>
        <w:tc>
          <w:tcPr>
            <w:tcW w:w="6471" w:type="dxa"/>
          </w:tcPr>
          <w:p w14:paraId="4592CA7B" w14:textId="77777777" w:rsidR="00BD0AC6" w:rsidRPr="004B4BF8" w:rsidRDefault="00BD0AC6" w:rsidP="00BD0AC6">
            <w:pPr>
              <w:spacing w:line="276" w:lineRule="auto"/>
              <w:jc w:val="both"/>
              <w:rPr>
                <w:lang w:val="en-US"/>
              </w:rPr>
            </w:pPr>
            <w:r w:rsidRPr="004B4BF8">
              <w:rPr>
                <w:lang w:val="en-US"/>
              </w:rPr>
              <w:t>Sublingual</w:t>
            </w:r>
          </w:p>
        </w:tc>
      </w:tr>
      <w:tr w:rsidR="00BD0AC6" w:rsidRPr="00FD119B" w14:paraId="51E27D07" w14:textId="77777777" w:rsidTr="007168BF">
        <w:tc>
          <w:tcPr>
            <w:tcW w:w="2249" w:type="dxa"/>
          </w:tcPr>
          <w:p w14:paraId="520BEBC5" w14:textId="77777777" w:rsidR="00BD0AC6" w:rsidRPr="004B4BF8" w:rsidRDefault="00BD0AC6" w:rsidP="00BD0AC6">
            <w:pPr>
              <w:spacing w:line="276" w:lineRule="auto"/>
              <w:jc w:val="both"/>
              <w:rPr>
                <w:lang w:val="en-US"/>
              </w:rPr>
            </w:pPr>
            <w:r w:rsidRPr="004B4BF8">
              <w:rPr>
                <w:lang w:val="en-US"/>
              </w:rPr>
              <w:lastRenderedPageBreak/>
              <w:t>SLIT</w:t>
            </w:r>
          </w:p>
        </w:tc>
        <w:tc>
          <w:tcPr>
            <w:tcW w:w="6471" w:type="dxa"/>
          </w:tcPr>
          <w:p w14:paraId="2E60C7EC" w14:textId="77777777" w:rsidR="00BD0AC6" w:rsidRPr="004B4BF8" w:rsidRDefault="00BD0AC6" w:rsidP="00BD0AC6">
            <w:pPr>
              <w:spacing w:line="276" w:lineRule="auto"/>
              <w:jc w:val="both"/>
              <w:rPr>
                <w:lang w:val="en-US"/>
              </w:rPr>
            </w:pPr>
            <w:r w:rsidRPr="004B4BF8">
              <w:rPr>
                <w:lang w:val="en-US"/>
              </w:rPr>
              <w:t>Sublingual Immunotherapy</w:t>
            </w:r>
          </w:p>
        </w:tc>
      </w:tr>
      <w:tr w:rsidR="00BD0AC6" w:rsidRPr="00FD119B" w14:paraId="74B6718A" w14:textId="77777777" w:rsidTr="007168BF">
        <w:tc>
          <w:tcPr>
            <w:tcW w:w="2249" w:type="dxa"/>
          </w:tcPr>
          <w:p w14:paraId="78E35CA4" w14:textId="77777777" w:rsidR="00BD0AC6" w:rsidRPr="004B4BF8" w:rsidRDefault="00BD0AC6" w:rsidP="00BD0AC6">
            <w:pPr>
              <w:spacing w:line="276" w:lineRule="auto"/>
              <w:jc w:val="both"/>
              <w:rPr>
                <w:lang w:val="en-US"/>
              </w:rPr>
            </w:pPr>
            <w:r w:rsidRPr="004B4BF8">
              <w:rPr>
                <w:lang w:val="en-US"/>
              </w:rPr>
              <w:t>SPT</w:t>
            </w:r>
          </w:p>
        </w:tc>
        <w:tc>
          <w:tcPr>
            <w:tcW w:w="6471" w:type="dxa"/>
          </w:tcPr>
          <w:p w14:paraId="4565FD62" w14:textId="77777777" w:rsidR="00BD0AC6" w:rsidRPr="004B4BF8" w:rsidRDefault="00BD0AC6" w:rsidP="00BD0AC6">
            <w:pPr>
              <w:spacing w:line="276" w:lineRule="auto"/>
              <w:jc w:val="both"/>
              <w:rPr>
                <w:lang w:val="en-US"/>
              </w:rPr>
            </w:pPr>
            <w:r w:rsidRPr="004B4BF8">
              <w:rPr>
                <w:lang w:val="en-US"/>
              </w:rPr>
              <w:t>Skin Prick Test</w:t>
            </w:r>
          </w:p>
        </w:tc>
      </w:tr>
      <w:tr w:rsidR="00BD0AC6" w:rsidRPr="00FD119B" w14:paraId="1EBABD1E" w14:textId="77777777" w:rsidTr="007168BF">
        <w:tc>
          <w:tcPr>
            <w:tcW w:w="2249" w:type="dxa"/>
          </w:tcPr>
          <w:p w14:paraId="162EAC47" w14:textId="77777777" w:rsidR="00BD0AC6" w:rsidRPr="004B4BF8" w:rsidRDefault="00BD0AC6" w:rsidP="00BD0AC6">
            <w:pPr>
              <w:spacing w:line="276" w:lineRule="auto"/>
              <w:jc w:val="both"/>
              <w:rPr>
                <w:lang w:val="en-US"/>
              </w:rPr>
            </w:pPr>
            <w:r w:rsidRPr="004B4BF8">
              <w:rPr>
                <w:lang w:val="en-US"/>
              </w:rPr>
              <w:t>TEAE</w:t>
            </w:r>
          </w:p>
        </w:tc>
        <w:tc>
          <w:tcPr>
            <w:tcW w:w="6471" w:type="dxa"/>
          </w:tcPr>
          <w:p w14:paraId="1793DE10" w14:textId="77777777" w:rsidR="00BD0AC6" w:rsidRPr="004B4BF8" w:rsidRDefault="00623677" w:rsidP="00BD0AC6">
            <w:pPr>
              <w:spacing w:line="276" w:lineRule="auto"/>
              <w:jc w:val="both"/>
              <w:rPr>
                <w:lang w:val="en-US"/>
              </w:rPr>
            </w:pPr>
            <w:r>
              <w:rPr>
                <w:lang w:val="en-US"/>
              </w:rPr>
              <w:t xml:space="preserve">Treatment </w:t>
            </w:r>
            <w:r w:rsidR="00BD0AC6" w:rsidRPr="004B4BF8">
              <w:rPr>
                <w:lang w:val="en-US"/>
              </w:rPr>
              <w:t>Emergent Adverse Event</w:t>
            </w:r>
          </w:p>
        </w:tc>
      </w:tr>
      <w:tr w:rsidR="00E41885" w:rsidRPr="00FD119B" w14:paraId="179DB22B" w14:textId="77777777" w:rsidTr="007168BF">
        <w:tc>
          <w:tcPr>
            <w:tcW w:w="2249" w:type="dxa"/>
          </w:tcPr>
          <w:p w14:paraId="7CF5EF4D" w14:textId="77777777" w:rsidR="00E41885" w:rsidRPr="004B4BF8" w:rsidRDefault="00E41885" w:rsidP="00BD0AC6">
            <w:pPr>
              <w:spacing w:line="276" w:lineRule="auto"/>
              <w:jc w:val="both"/>
              <w:rPr>
                <w:lang w:val="en-US"/>
              </w:rPr>
            </w:pPr>
            <w:r w:rsidRPr="00113FF8">
              <w:t>TGF-</w:t>
            </w:r>
            <w:r>
              <w:t>β</w:t>
            </w:r>
          </w:p>
        </w:tc>
        <w:tc>
          <w:tcPr>
            <w:tcW w:w="6471" w:type="dxa"/>
          </w:tcPr>
          <w:p w14:paraId="01EA6126" w14:textId="77777777" w:rsidR="00E41885" w:rsidRPr="004B4BF8" w:rsidRDefault="00E41885" w:rsidP="00E41885">
            <w:pPr>
              <w:spacing w:line="276" w:lineRule="auto"/>
              <w:jc w:val="both"/>
              <w:rPr>
                <w:lang w:val="en-US"/>
              </w:rPr>
            </w:pPr>
            <w:r w:rsidRPr="002F3D2A">
              <w:rPr>
                <w:color w:val="000000"/>
                <w:lang w:val="en-GB"/>
              </w:rPr>
              <w:t>transforming growth factor</w:t>
            </w:r>
            <w:r w:rsidRPr="002F3D2A">
              <w:rPr>
                <w:color w:val="000000"/>
                <w:szCs w:val="22"/>
                <w:lang w:val="en-GB"/>
              </w:rPr>
              <w:t>-</w:t>
            </w:r>
            <w:r>
              <w:rPr>
                <w:color w:val="000000"/>
                <w:lang w:val="en-GB"/>
              </w:rPr>
              <w:t>β</w:t>
            </w:r>
          </w:p>
        </w:tc>
      </w:tr>
      <w:tr w:rsidR="00081FA1" w:rsidRPr="00FD119B" w14:paraId="53068A4A" w14:textId="77777777" w:rsidTr="007168BF">
        <w:tc>
          <w:tcPr>
            <w:tcW w:w="2249" w:type="dxa"/>
          </w:tcPr>
          <w:p w14:paraId="17C8DA6B" w14:textId="77777777" w:rsidR="00081FA1" w:rsidRPr="00113FF8" w:rsidRDefault="00081FA1" w:rsidP="00BD0AC6">
            <w:pPr>
              <w:spacing w:line="276" w:lineRule="auto"/>
              <w:jc w:val="both"/>
            </w:pPr>
            <w:r w:rsidRPr="00081FA1">
              <w:t>Th2</w:t>
            </w:r>
          </w:p>
        </w:tc>
        <w:tc>
          <w:tcPr>
            <w:tcW w:w="6471" w:type="dxa"/>
          </w:tcPr>
          <w:p w14:paraId="0F6FE73B" w14:textId="77777777" w:rsidR="00081FA1" w:rsidRPr="002F3D2A" w:rsidRDefault="00081FA1" w:rsidP="00081FA1">
            <w:pPr>
              <w:spacing w:line="276" w:lineRule="auto"/>
              <w:jc w:val="both"/>
              <w:rPr>
                <w:color w:val="000000"/>
                <w:lang w:val="en-GB"/>
              </w:rPr>
            </w:pPr>
            <w:r w:rsidRPr="002F3D2A">
              <w:rPr>
                <w:color w:val="000000"/>
                <w:szCs w:val="22"/>
                <w:lang w:val="en-GB"/>
              </w:rPr>
              <w:t>T helper 2 cells</w:t>
            </w:r>
          </w:p>
        </w:tc>
      </w:tr>
      <w:tr w:rsidR="002060D8" w:rsidRPr="00FD119B" w14:paraId="1D8BC84E" w14:textId="77777777" w:rsidTr="007168BF">
        <w:tc>
          <w:tcPr>
            <w:tcW w:w="2249" w:type="dxa"/>
          </w:tcPr>
          <w:p w14:paraId="3CF41A24" w14:textId="77777777" w:rsidR="002060D8" w:rsidRPr="00081FA1" w:rsidRDefault="008934EF" w:rsidP="00BD0AC6">
            <w:pPr>
              <w:spacing w:line="276" w:lineRule="auto"/>
              <w:jc w:val="both"/>
            </w:pPr>
            <w:r>
              <w:t>VIT</w:t>
            </w:r>
          </w:p>
        </w:tc>
        <w:tc>
          <w:tcPr>
            <w:tcW w:w="6471" w:type="dxa"/>
          </w:tcPr>
          <w:p w14:paraId="7B9BA813" w14:textId="77777777" w:rsidR="002060D8" w:rsidRPr="002060D8" w:rsidRDefault="002060D8" w:rsidP="002060D8">
            <w:r w:rsidRPr="002060D8">
              <w:t>venom immunotherapy</w:t>
            </w:r>
          </w:p>
        </w:tc>
      </w:tr>
    </w:tbl>
    <w:p w14:paraId="1690254A" w14:textId="77777777" w:rsidR="00FD119B" w:rsidRDefault="00FD119B" w:rsidP="00FD119B"/>
    <w:p w14:paraId="32F3504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B5B0603" w14:textId="77777777" w:rsidR="008E7846" w:rsidRDefault="00F53C07" w:rsidP="008E7846">
      <w:pPr>
        <w:pStyle w:val="Heading2"/>
      </w:pPr>
      <w:bookmarkStart w:id="9" w:name="_Toc482791281"/>
      <w:r>
        <w:lastRenderedPageBreak/>
        <w:t>I.</w:t>
      </w:r>
      <w:r w:rsidR="008E7846">
        <w:t xml:space="preserve"> Introduction to product submission</w:t>
      </w:r>
      <w:bookmarkEnd w:id="9"/>
      <w:bookmarkEnd w:id="0"/>
      <w:bookmarkEnd w:id="3"/>
    </w:p>
    <w:p w14:paraId="2E027B9B" w14:textId="77777777" w:rsidR="008E7846" w:rsidRDefault="008E7846" w:rsidP="008E7846">
      <w:pPr>
        <w:pStyle w:val="Heading3"/>
        <w:rPr>
          <w:lang w:eastAsia="en-AU"/>
        </w:rPr>
      </w:pPr>
      <w:bookmarkStart w:id="10" w:name="_Toc247691502"/>
      <w:bookmarkStart w:id="11" w:name="_Toc314842483"/>
      <w:bookmarkStart w:id="12" w:name="_Toc482791282"/>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14:paraId="441C6413" w14:textId="77777777" w:rsidTr="0089635C">
        <w:trPr>
          <w:trHeight w:hRule="exact" w:val="454"/>
        </w:trPr>
        <w:tc>
          <w:tcPr>
            <w:tcW w:w="2907" w:type="dxa"/>
          </w:tcPr>
          <w:p w14:paraId="304CACF8" w14:textId="77777777" w:rsidR="008E7846" w:rsidRPr="003D1E62" w:rsidRDefault="001B5C90" w:rsidP="001B5C90">
            <w:pPr>
              <w:rPr>
                <w:i/>
              </w:rPr>
            </w:pPr>
            <w:r>
              <w:rPr>
                <w:i/>
              </w:rPr>
              <w:t>Type of s</w:t>
            </w:r>
            <w:r w:rsidR="008E7846" w:rsidRPr="003D1E62">
              <w:rPr>
                <w:i/>
              </w:rPr>
              <w:t>ubmission</w:t>
            </w:r>
            <w:r>
              <w:rPr>
                <w:i/>
              </w:rPr>
              <w:t>:</w:t>
            </w:r>
          </w:p>
        </w:tc>
        <w:tc>
          <w:tcPr>
            <w:tcW w:w="6590" w:type="dxa"/>
          </w:tcPr>
          <w:p w14:paraId="089480C3" w14:textId="77777777" w:rsidR="008E7846" w:rsidRPr="003D1E62" w:rsidRDefault="00BD0AC6" w:rsidP="00BD0AC6">
            <w:r>
              <w:t>M</w:t>
            </w:r>
            <w:r w:rsidR="008E7846" w:rsidRPr="003D1E62">
              <w:t xml:space="preserve">ajor </w:t>
            </w:r>
            <w:r w:rsidR="001B5C90">
              <w:t>v</w:t>
            </w:r>
            <w:r w:rsidR="008E7846" w:rsidRPr="003D1E62">
              <w:t>ariation (</w:t>
            </w:r>
            <w:r w:rsidR="001B5C90">
              <w:t>n</w:t>
            </w:r>
            <w:r w:rsidR="008E7846" w:rsidRPr="003D1E62">
              <w:t xml:space="preserve">ew </w:t>
            </w:r>
            <w:r>
              <w:t>dosage form and new route of administration</w:t>
            </w:r>
            <w:r w:rsidR="008E7846" w:rsidRPr="003D1E62">
              <w:t>)</w:t>
            </w:r>
          </w:p>
        </w:tc>
      </w:tr>
      <w:tr w:rsidR="008E7846" w:rsidRPr="003D1E62" w14:paraId="07532AE2" w14:textId="77777777" w:rsidTr="0089635C">
        <w:trPr>
          <w:trHeight w:hRule="exact" w:val="454"/>
        </w:trPr>
        <w:tc>
          <w:tcPr>
            <w:tcW w:w="2907" w:type="dxa"/>
          </w:tcPr>
          <w:p w14:paraId="1037FF54" w14:textId="77777777" w:rsidR="008E7846" w:rsidRPr="003D1E62" w:rsidRDefault="008E7846" w:rsidP="003D1E62">
            <w:r w:rsidRPr="003D1E62">
              <w:rPr>
                <w:i/>
              </w:rPr>
              <w:t>Decision</w:t>
            </w:r>
            <w:r w:rsidRPr="003D1E62">
              <w:t>:</w:t>
            </w:r>
          </w:p>
        </w:tc>
        <w:tc>
          <w:tcPr>
            <w:tcW w:w="6590" w:type="dxa"/>
          </w:tcPr>
          <w:p w14:paraId="4F4AE57F" w14:textId="77777777" w:rsidR="008E7846" w:rsidRPr="003D1E62" w:rsidRDefault="00BD0AC6" w:rsidP="001B5C90">
            <w:r>
              <w:t>Approved</w:t>
            </w:r>
          </w:p>
        </w:tc>
      </w:tr>
      <w:tr w:rsidR="008E7846" w:rsidRPr="003D1E62" w14:paraId="59C5DB2A" w14:textId="77777777" w:rsidTr="0089635C">
        <w:trPr>
          <w:trHeight w:hRule="exact" w:val="454"/>
        </w:trPr>
        <w:tc>
          <w:tcPr>
            <w:tcW w:w="2907" w:type="dxa"/>
          </w:tcPr>
          <w:p w14:paraId="1CA0C93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14:paraId="5F54F848" w14:textId="77777777" w:rsidR="008E7846" w:rsidRPr="003D1E62" w:rsidRDefault="00955C30" w:rsidP="001B5C90">
            <w:r>
              <w:t>5 April 2016</w:t>
            </w:r>
          </w:p>
        </w:tc>
      </w:tr>
      <w:tr w:rsidR="00ED2922" w:rsidRPr="003D1E62" w14:paraId="551873EE" w14:textId="77777777" w:rsidTr="0089635C">
        <w:trPr>
          <w:trHeight w:hRule="exact" w:val="454"/>
        </w:trPr>
        <w:tc>
          <w:tcPr>
            <w:tcW w:w="2907" w:type="dxa"/>
          </w:tcPr>
          <w:p w14:paraId="1675C183" w14:textId="77777777" w:rsidR="00ED2922" w:rsidRPr="00441C3F" w:rsidRDefault="00ED2922" w:rsidP="001B5C90">
            <w:pPr>
              <w:rPr>
                <w:i/>
              </w:rPr>
            </w:pPr>
            <w:r w:rsidRPr="00441C3F">
              <w:rPr>
                <w:i/>
              </w:rPr>
              <w:t>Date of entry onto ARTG</w:t>
            </w:r>
          </w:p>
        </w:tc>
        <w:tc>
          <w:tcPr>
            <w:tcW w:w="6590" w:type="dxa"/>
          </w:tcPr>
          <w:p w14:paraId="3E8D7D9B" w14:textId="77777777" w:rsidR="00ED2922" w:rsidRPr="00441C3F" w:rsidRDefault="00955C30" w:rsidP="00EC463D">
            <w:pPr>
              <w:rPr>
                <w:i/>
              </w:rPr>
            </w:pPr>
            <w:r>
              <w:t>15 April 2016</w:t>
            </w:r>
          </w:p>
        </w:tc>
      </w:tr>
    </w:tbl>
    <w:p w14:paraId="26245C63"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0DA193B2" w14:textId="77777777" w:rsidTr="00BF1190">
        <w:tc>
          <w:tcPr>
            <w:tcW w:w="2907" w:type="dxa"/>
          </w:tcPr>
          <w:p w14:paraId="5BF8FD28" w14:textId="77777777" w:rsidR="008E7846" w:rsidRPr="00487162" w:rsidRDefault="00825A71" w:rsidP="00E45619">
            <w:pPr>
              <w:rPr>
                <w:i/>
              </w:rPr>
            </w:pPr>
            <w:r>
              <w:rPr>
                <w:i/>
              </w:rPr>
              <w:t>Active ingredients</w:t>
            </w:r>
            <w:r w:rsidR="001B5C90">
              <w:rPr>
                <w:i/>
              </w:rPr>
              <w:t>:</w:t>
            </w:r>
          </w:p>
        </w:tc>
        <w:tc>
          <w:tcPr>
            <w:tcW w:w="6307" w:type="dxa"/>
          </w:tcPr>
          <w:p w14:paraId="0C254A57" w14:textId="1B2F7380" w:rsidR="00F71163" w:rsidRPr="00487162" w:rsidRDefault="00F71163" w:rsidP="00E45619">
            <w:r>
              <w:t>American house dust mite</w:t>
            </w:r>
            <w:r w:rsidR="003E4D6D">
              <w:t xml:space="preserve"> / </w:t>
            </w:r>
            <w:r>
              <w:t>European house dust mite</w:t>
            </w:r>
          </w:p>
        </w:tc>
      </w:tr>
      <w:tr w:rsidR="008E7846" w:rsidRPr="00487162" w14:paraId="039D2032" w14:textId="77777777" w:rsidTr="00BF1190">
        <w:tc>
          <w:tcPr>
            <w:tcW w:w="2907" w:type="dxa"/>
          </w:tcPr>
          <w:p w14:paraId="0AABCDF6" w14:textId="77777777" w:rsidR="008E7846" w:rsidRPr="00487162" w:rsidRDefault="008E7846" w:rsidP="001B5C90">
            <w:pPr>
              <w:rPr>
                <w:i/>
              </w:rPr>
            </w:pPr>
            <w:r w:rsidRPr="00487162">
              <w:rPr>
                <w:i/>
              </w:rPr>
              <w:t>Product</w:t>
            </w:r>
            <w:r w:rsidR="001C6911">
              <w:rPr>
                <w:i/>
              </w:rPr>
              <w:t xml:space="preserve"> names</w:t>
            </w:r>
            <w:r w:rsidR="001B5C90">
              <w:rPr>
                <w:i/>
              </w:rPr>
              <w:t>:</w:t>
            </w:r>
          </w:p>
        </w:tc>
        <w:tc>
          <w:tcPr>
            <w:tcW w:w="6307" w:type="dxa"/>
          </w:tcPr>
          <w:p w14:paraId="7C0915FA" w14:textId="77777777" w:rsidR="008E7846" w:rsidRPr="00487162" w:rsidRDefault="00955C30" w:rsidP="00E45619">
            <w:r>
              <w:t>Actair</w:t>
            </w:r>
            <w:r w:rsidR="00487D41">
              <w:t xml:space="preserve"> initiation treatment, Actair continuation treatment</w:t>
            </w:r>
          </w:p>
        </w:tc>
      </w:tr>
      <w:tr w:rsidR="008E7846" w:rsidRPr="00487162" w14:paraId="410E175D" w14:textId="77777777" w:rsidTr="00BF1190">
        <w:tc>
          <w:tcPr>
            <w:tcW w:w="2907" w:type="dxa"/>
          </w:tcPr>
          <w:p w14:paraId="3DE8C1C1"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55DEDAB" w14:textId="08D9C750" w:rsidR="008E7846" w:rsidRDefault="00955C30" w:rsidP="00E45619">
            <w:r>
              <w:t>St</w:t>
            </w:r>
            <w:r w:rsidR="008A3FD6">
              <w:t>a</w:t>
            </w:r>
            <w:r>
              <w:t>llergenes Australia Pty Ltd</w:t>
            </w:r>
          </w:p>
          <w:p w14:paraId="1F7389D2" w14:textId="77777777" w:rsidR="00955C30" w:rsidRDefault="00955C30" w:rsidP="00E45619">
            <w:r>
              <w:t>4 Daydream Street, Building 2 Suite 2408</w:t>
            </w:r>
          </w:p>
          <w:p w14:paraId="2E7B08D1" w14:textId="77777777" w:rsidR="00955C30" w:rsidRPr="00487162" w:rsidRDefault="00955C30" w:rsidP="00E45619">
            <w:r>
              <w:t>Warriewood NSW 2102</w:t>
            </w:r>
          </w:p>
        </w:tc>
      </w:tr>
      <w:tr w:rsidR="008E7846" w:rsidRPr="00487162" w14:paraId="33BFC82A" w14:textId="77777777" w:rsidTr="00BF1190">
        <w:tc>
          <w:tcPr>
            <w:tcW w:w="2907" w:type="dxa"/>
          </w:tcPr>
          <w:p w14:paraId="54A311AB" w14:textId="77777777" w:rsidR="008E7846" w:rsidRPr="00487162" w:rsidRDefault="00955C30" w:rsidP="00E45619">
            <w:pPr>
              <w:rPr>
                <w:i/>
              </w:rPr>
            </w:pPr>
            <w:r>
              <w:rPr>
                <w:i/>
              </w:rPr>
              <w:t>Dose form</w:t>
            </w:r>
            <w:r w:rsidR="001B5C90">
              <w:rPr>
                <w:i/>
              </w:rPr>
              <w:t>:</w:t>
            </w:r>
          </w:p>
        </w:tc>
        <w:tc>
          <w:tcPr>
            <w:tcW w:w="6307" w:type="dxa"/>
          </w:tcPr>
          <w:p w14:paraId="0EE9A085" w14:textId="77777777" w:rsidR="008E7846" w:rsidRPr="00487162" w:rsidRDefault="00955C30" w:rsidP="00E45619">
            <w:r>
              <w:t>Tablet</w:t>
            </w:r>
          </w:p>
        </w:tc>
      </w:tr>
      <w:tr w:rsidR="008E7846" w:rsidRPr="00487162" w14:paraId="7EFA3DCC" w14:textId="77777777" w:rsidTr="00BF1190">
        <w:tc>
          <w:tcPr>
            <w:tcW w:w="2907" w:type="dxa"/>
          </w:tcPr>
          <w:p w14:paraId="5F6EAF6C" w14:textId="77777777" w:rsidR="008E7846" w:rsidRPr="00487162" w:rsidRDefault="00955C30" w:rsidP="00E45619">
            <w:pPr>
              <w:rPr>
                <w:i/>
              </w:rPr>
            </w:pPr>
            <w:r>
              <w:rPr>
                <w:i/>
              </w:rPr>
              <w:t>Strengths</w:t>
            </w:r>
            <w:r w:rsidR="008E7846" w:rsidRPr="00487162">
              <w:rPr>
                <w:i/>
              </w:rPr>
              <w:t xml:space="preserve">: </w:t>
            </w:r>
          </w:p>
        </w:tc>
        <w:tc>
          <w:tcPr>
            <w:tcW w:w="6307" w:type="dxa"/>
          </w:tcPr>
          <w:p w14:paraId="344CBCF8" w14:textId="77777777" w:rsidR="008E7846" w:rsidRPr="00487162" w:rsidRDefault="00955C30" w:rsidP="00955C30">
            <w:r>
              <w:t xml:space="preserve">100 IR, and 300 IR </w:t>
            </w:r>
          </w:p>
        </w:tc>
      </w:tr>
      <w:tr w:rsidR="008E7846" w:rsidRPr="00487162" w14:paraId="575CB233" w14:textId="77777777" w:rsidTr="00BF1190">
        <w:tc>
          <w:tcPr>
            <w:tcW w:w="2907" w:type="dxa"/>
          </w:tcPr>
          <w:p w14:paraId="6121B4CB" w14:textId="77777777" w:rsidR="008E7846" w:rsidRPr="00487162" w:rsidRDefault="008E7846" w:rsidP="00E45619">
            <w:pPr>
              <w:rPr>
                <w:i/>
              </w:rPr>
            </w:pPr>
            <w:r w:rsidRPr="00487162">
              <w:rPr>
                <w:i/>
              </w:rPr>
              <w:t>Container(s):</w:t>
            </w:r>
          </w:p>
        </w:tc>
        <w:tc>
          <w:tcPr>
            <w:tcW w:w="6307" w:type="dxa"/>
          </w:tcPr>
          <w:p w14:paraId="6521A8FC" w14:textId="77777777" w:rsidR="008E7846" w:rsidRPr="00487162" w:rsidRDefault="00955C30" w:rsidP="00E45619">
            <w:r>
              <w:t>Blister pack</w:t>
            </w:r>
          </w:p>
        </w:tc>
      </w:tr>
      <w:tr w:rsidR="008E7846" w:rsidRPr="00487162" w14:paraId="018AF954" w14:textId="77777777" w:rsidTr="00BF1190">
        <w:tc>
          <w:tcPr>
            <w:tcW w:w="2907" w:type="dxa"/>
          </w:tcPr>
          <w:p w14:paraId="1A2D2286" w14:textId="77777777" w:rsidR="008E7846" w:rsidRPr="00487162" w:rsidRDefault="008E7846" w:rsidP="00E45619">
            <w:pPr>
              <w:rPr>
                <w:i/>
              </w:rPr>
            </w:pPr>
            <w:r w:rsidRPr="00487162">
              <w:rPr>
                <w:i/>
              </w:rPr>
              <w:t>Pack size(s):</w:t>
            </w:r>
          </w:p>
        </w:tc>
        <w:tc>
          <w:tcPr>
            <w:tcW w:w="6307" w:type="dxa"/>
          </w:tcPr>
          <w:p w14:paraId="509239E8" w14:textId="77777777" w:rsidR="00955C30" w:rsidRDefault="00487D41" w:rsidP="00E45619">
            <w:r>
              <w:t>3, 100 IR and 88, 300 IR tablets (initiation treatment)</w:t>
            </w:r>
          </w:p>
          <w:p w14:paraId="14C46136" w14:textId="77777777" w:rsidR="00487D41" w:rsidRDefault="00487D41" w:rsidP="00E45619">
            <w:r>
              <w:t>3, 100 IR and 28, 300 IR tablets (initiation treatment)</w:t>
            </w:r>
          </w:p>
          <w:p w14:paraId="4CD2059F" w14:textId="77777777" w:rsidR="00487D41" w:rsidRDefault="00487D41" w:rsidP="00E45619">
            <w:r>
              <w:t xml:space="preserve">3, 100 IR and </w:t>
            </w:r>
            <w:r w:rsidR="001B24C8">
              <w:t>7</w:t>
            </w:r>
            <w:r>
              <w:t>, 300 IR tablets (initiation treatment)</w:t>
            </w:r>
          </w:p>
          <w:p w14:paraId="302E76A9" w14:textId="77777777" w:rsidR="00955C30" w:rsidRPr="00487162" w:rsidRDefault="00955C30" w:rsidP="00E45619">
            <w:r>
              <w:t>30, 90 tablets (300 IR, continuation treatment))</w:t>
            </w:r>
          </w:p>
        </w:tc>
      </w:tr>
      <w:tr w:rsidR="008E7846" w:rsidRPr="00487162" w14:paraId="7CE07EC5" w14:textId="77777777" w:rsidTr="00BF1190">
        <w:tc>
          <w:tcPr>
            <w:tcW w:w="2907" w:type="dxa"/>
          </w:tcPr>
          <w:p w14:paraId="4B8BCD6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D52CF1E" w14:textId="77777777" w:rsidR="008E7846" w:rsidRPr="001B24C8" w:rsidRDefault="001B24C8" w:rsidP="001B24C8">
            <w:pPr>
              <w:rPr>
                <w:rFonts w:eastAsia="MS Mincho"/>
                <w:i/>
                <w:lang w:eastAsia="ja-JP"/>
              </w:rPr>
            </w:pPr>
            <w:r w:rsidRPr="001B24C8">
              <w:rPr>
                <w:i/>
              </w:rPr>
              <w:t>Treatment of house dust mite allergic rhinitis with or without conjunctivitis in adults and adolescents over 12 years diagnosed with house dust mite allergy</w:t>
            </w:r>
          </w:p>
        </w:tc>
      </w:tr>
      <w:tr w:rsidR="008E7846" w:rsidRPr="00487162" w14:paraId="01F34B16" w14:textId="77777777" w:rsidTr="00BF1190">
        <w:tc>
          <w:tcPr>
            <w:tcW w:w="2907" w:type="dxa"/>
          </w:tcPr>
          <w:p w14:paraId="4B6C59B4" w14:textId="77777777" w:rsidR="008E7846" w:rsidRPr="00487162" w:rsidRDefault="00790DE0" w:rsidP="00E45619">
            <w:pPr>
              <w:rPr>
                <w:i/>
              </w:rPr>
            </w:pPr>
            <w:r>
              <w:rPr>
                <w:i/>
              </w:rPr>
              <w:t>Route</w:t>
            </w:r>
            <w:r w:rsidR="008E7846" w:rsidRPr="00487162">
              <w:rPr>
                <w:i/>
              </w:rPr>
              <w:t xml:space="preserve"> of administration:</w:t>
            </w:r>
          </w:p>
        </w:tc>
        <w:tc>
          <w:tcPr>
            <w:tcW w:w="6307" w:type="dxa"/>
          </w:tcPr>
          <w:p w14:paraId="16BA3E43" w14:textId="77777777" w:rsidR="008E7846" w:rsidRPr="00487162" w:rsidRDefault="00955C30" w:rsidP="00E45619">
            <w:r>
              <w:t>Sublingual</w:t>
            </w:r>
          </w:p>
        </w:tc>
      </w:tr>
      <w:tr w:rsidR="008E7846" w:rsidRPr="00487162" w14:paraId="5E16516D" w14:textId="77777777" w:rsidTr="00BF1190">
        <w:tc>
          <w:tcPr>
            <w:tcW w:w="2907" w:type="dxa"/>
          </w:tcPr>
          <w:p w14:paraId="6D944E0D" w14:textId="77777777" w:rsidR="008E7846" w:rsidRPr="00487162" w:rsidRDefault="008E7846" w:rsidP="00E45619">
            <w:pPr>
              <w:rPr>
                <w:i/>
              </w:rPr>
            </w:pPr>
            <w:r w:rsidRPr="00487162">
              <w:rPr>
                <w:i/>
              </w:rPr>
              <w:t>Dosage:</w:t>
            </w:r>
          </w:p>
        </w:tc>
        <w:tc>
          <w:tcPr>
            <w:tcW w:w="6307" w:type="dxa"/>
          </w:tcPr>
          <w:p w14:paraId="6D83385E" w14:textId="77777777" w:rsidR="008E7846" w:rsidRPr="00522D01" w:rsidRDefault="001C6911" w:rsidP="00522D01">
            <w:pPr>
              <w:autoSpaceDE w:val="0"/>
              <w:autoSpaceDN w:val="0"/>
              <w:adjustRightInd w:val="0"/>
              <w:spacing w:before="0" w:after="0" w:line="240" w:lineRule="auto"/>
              <w:rPr>
                <w:rFonts w:ascii="Times New Roman" w:eastAsiaTheme="minorHAnsi" w:hAnsi="Times New Roman"/>
              </w:rPr>
            </w:pPr>
            <w:r w:rsidRPr="00522D01">
              <w:t>The therapy is composed of an init</w:t>
            </w:r>
            <w:r w:rsidR="00522D01">
              <w:t xml:space="preserve">iation treatment (including a 3 </w:t>
            </w:r>
            <w:r w:rsidRPr="00522D01">
              <w:t>day dose</w:t>
            </w:r>
            <w:r w:rsidR="00522D01" w:rsidRPr="00522D01">
              <w:t xml:space="preserve"> escalation) and a continuation</w:t>
            </w:r>
            <w:r w:rsidR="00522D01">
              <w:t xml:space="preserve"> </w:t>
            </w:r>
            <w:r w:rsidRPr="00522D01">
              <w:t>treatment</w:t>
            </w:r>
            <w:r>
              <w:rPr>
                <w:rFonts w:ascii="Times New Roman" w:eastAsiaTheme="minorHAnsi" w:hAnsi="Times New Roman"/>
              </w:rPr>
              <w:t>.</w:t>
            </w:r>
            <w:r w:rsidR="00522D01">
              <w:rPr>
                <w:rFonts w:ascii="Times New Roman" w:eastAsiaTheme="minorHAnsi" w:hAnsi="Times New Roman"/>
              </w:rPr>
              <w:t xml:space="preserve"> For full details of dosage please see the Product Information</w:t>
            </w:r>
          </w:p>
        </w:tc>
      </w:tr>
      <w:tr w:rsidR="008E7846" w:rsidRPr="00487162" w14:paraId="54372EFB" w14:textId="77777777" w:rsidTr="00BF1190">
        <w:tc>
          <w:tcPr>
            <w:tcW w:w="2907" w:type="dxa"/>
          </w:tcPr>
          <w:p w14:paraId="193EB65D" w14:textId="77777777" w:rsidR="008E7846" w:rsidRPr="00487162" w:rsidRDefault="008E7846" w:rsidP="001B5C90">
            <w:pPr>
              <w:rPr>
                <w:i/>
              </w:rPr>
            </w:pPr>
            <w:r w:rsidRPr="00487162">
              <w:rPr>
                <w:i/>
              </w:rPr>
              <w:t xml:space="preserve">ARTG </w:t>
            </w:r>
            <w:r w:rsidR="001B5C90">
              <w:rPr>
                <w:i/>
              </w:rPr>
              <w:t>n</w:t>
            </w:r>
            <w:r w:rsidR="001B24C8">
              <w:rPr>
                <w:i/>
              </w:rPr>
              <w:t>umbers</w:t>
            </w:r>
            <w:r w:rsidR="001B5C90">
              <w:rPr>
                <w:i/>
              </w:rPr>
              <w:t>:</w:t>
            </w:r>
          </w:p>
        </w:tc>
        <w:tc>
          <w:tcPr>
            <w:tcW w:w="6307" w:type="dxa"/>
          </w:tcPr>
          <w:p w14:paraId="15E6D99E" w14:textId="77777777" w:rsidR="008E7846" w:rsidRPr="00487162" w:rsidRDefault="001B24C8" w:rsidP="00E45619">
            <w:r>
              <w:t>233470, 233471</w:t>
            </w:r>
          </w:p>
        </w:tc>
      </w:tr>
    </w:tbl>
    <w:p w14:paraId="64122FF1" w14:textId="77777777" w:rsidR="008E7846" w:rsidRDefault="008E7846" w:rsidP="008E7846">
      <w:pPr>
        <w:pStyle w:val="Heading3"/>
      </w:pPr>
      <w:bookmarkStart w:id="13" w:name="_Toc247691503"/>
      <w:bookmarkStart w:id="14" w:name="_Toc314842484"/>
      <w:bookmarkStart w:id="15" w:name="_Toc482791283"/>
      <w:r>
        <w:t>Product background</w:t>
      </w:r>
      <w:bookmarkEnd w:id="13"/>
      <w:bookmarkEnd w:id="14"/>
      <w:bookmarkEnd w:id="15"/>
    </w:p>
    <w:p w14:paraId="28C62BCF" w14:textId="25C00B93" w:rsidR="001C6911" w:rsidRDefault="00940A89" w:rsidP="00940A89">
      <w:r w:rsidRPr="00940A89">
        <w:t xml:space="preserve">This AusPAR describes the application by </w:t>
      </w:r>
      <w:r w:rsidR="001B24C8">
        <w:t>St</w:t>
      </w:r>
      <w:r w:rsidR="008A3FD6">
        <w:t>a</w:t>
      </w:r>
      <w:r w:rsidR="001B24C8">
        <w:t>llergenes Australia Pty Ltd</w:t>
      </w:r>
      <w:r w:rsidR="001B24C8" w:rsidRPr="00940A89">
        <w:t xml:space="preserve"> </w:t>
      </w:r>
      <w:r w:rsidR="001B24C8">
        <w:t>(</w:t>
      </w:r>
      <w:r w:rsidRPr="00940A89">
        <w:t>the sponsor</w:t>
      </w:r>
      <w:r w:rsidR="001B24C8">
        <w:t>)</w:t>
      </w:r>
      <w:r w:rsidRPr="00940A89">
        <w:t xml:space="preserve"> to register </w:t>
      </w:r>
      <w:r w:rsidR="001B24C8">
        <w:t>Actair</w:t>
      </w:r>
      <w:r w:rsidR="001C6911">
        <w:t xml:space="preserve"> </w:t>
      </w:r>
      <w:r w:rsidR="00923A2F">
        <w:t xml:space="preserve">initiation treatment and Actair continuation treatment </w:t>
      </w:r>
      <w:r w:rsidR="001C6911">
        <w:t>for the following indication:</w:t>
      </w:r>
    </w:p>
    <w:p w14:paraId="558B7652" w14:textId="77777777" w:rsidR="001C6911" w:rsidRDefault="001C6911" w:rsidP="001C6911">
      <w:pPr>
        <w:pStyle w:val="Default"/>
        <w:ind w:left="720"/>
      </w:pPr>
      <w:r w:rsidRPr="001B24C8">
        <w:rPr>
          <w:i/>
        </w:rPr>
        <w:lastRenderedPageBreak/>
        <w:t xml:space="preserve">Treatment of house dust mite allergic rhinitis with or without conjunctivitis in adults and adolescents </w:t>
      </w:r>
      <w:r>
        <w:rPr>
          <w:i/>
        </w:rPr>
        <w:t xml:space="preserve">and children (above the age of 5) </w:t>
      </w:r>
      <w:r w:rsidRPr="001B24C8">
        <w:rPr>
          <w:i/>
        </w:rPr>
        <w:t>diagnosed with house dust mite allergy</w:t>
      </w:r>
    </w:p>
    <w:p w14:paraId="624704A0" w14:textId="7CD8D6ED" w:rsidR="00522D01" w:rsidRDefault="00522D01" w:rsidP="00522D01">
      <w:r w:rsidRPr="00522D01">
        <w:t>This submission seeks to register a new dosage form a</w:t>
      </w:r>
      <w:r w:rsidR="003C7207">
        <w:t xml:space="preserve">nd new route of administration </w:t>
      </w:r>
      <w:r w:rsidRPr="00522D01">
        <w:t>(sublingual tablet) for a 50% mixture of allergens extracted from European house dust mites (</w:t>
      </w:r>
      <w:proofErr w:type="spellStart"/>
      <w:r w:rsidRPr="001A3124">
        <w:rPr>
          <w:i/>
        </w:rPr>
        <w:t>Der</w:t>
      </w:r>
      <w:r w:rsidR="0098487B" w:rsidRPr="001A3124">
        <w:rPr>
          <w:i/>
        </w:rPr>
        <w:t>matophagoides</w:t>
      </w:r>
      <w:proofErr w:type="spellEnd"/>
      <w:r w:rsidR="0098487B" w:rsidRPr="001A3124">
        <w:rPr>
          <w:i/>
        </w:rPr>
        <w:t xml:space="preserve"> </w:t>
      </w:r>
      <w:proofErr w:type="spellStart"/>
      <w:r w:rsidR="0098487B" w:rsidRPr="001A3124">
        <w:rPr>
          <w:i/>
        </w:rPr>
        <w:t>pteronyssinus</w:t>
      </w:r>
      <w:proofErr w:type="spellEnd"/>
      <w:r w:rsidR="0098487B">
        <w:t xml:space="preserve"> (</w:t>
      </w:r>
      <w:proofErr w:type="spellStart"/>
      <w:r w:rsidR="0098487B">
        <w:t>D</w:t>
      </w:r>
      <w:r w:rsidR="00790DE0">
        <w:t>.</w:t>
      </w:r>
      <w:r w:rsidR="0098487B">
        <w:t>p</w:t>
      </w:r>
      <w:r w:rsidRPr="00522D01">
        <w:t>te</w:t>
      </w:r>
      <w:proofErr w:type="spellEnd"/>
      <w:r w:rsidRPr="00522D01">
        <w:t>)) and American house dust mites (</w:t>
      </w:r>
      <w:proofErr w:type="spellStart"/>
      <w:r w:rsidRPr="001A3124">
        <w:rPr>
          <w:i/>
        </w:rPr>
        <w:t>Dermatophagoides</w:t>
      </w:r>
      <w:proofErr w:type="spellEnd"/>
      <w:r w:rsidRPr="001A3124">
        <w:rPr>
          <w:i/>
        </w:rPr>
        <w:t xml:space="preserve"> farina</w:t>
      </w:r>
      <w:r w:rsidRPr="00522D01">
        <w:t xml:space="preserve"> (</w:t>
      </w:r>
      <w:proofErr w:type="spellStart"/>
      <w:r w:rsidRPr="00522D01">
        <w:t>D.far</w:t>
      </w:r>
      <w:proofErr w:type="spellEnd"/>
      <w:r w:rsidRPr="00522D01">
        <w:t xml:space="preserve">)) with </w:t>
      </w:r>
      <w:r w:rsidR="00E80B0B">
        <w:t xml:space="preserve">the </w:t>
      </w:r>
      <w:r w:rsidRPr="00522D01">
        <w:t xml:space="preserve">names </w:t>
      </w:r>
      <w:r w:rsidR="00716D4E">
        <w:t>Actair</w:t>
      </w:r>
      <w:r w:rsidRPr="00522D01">
        <w:t xml:space="preserve"> </w:t>
      </w:r>
      <w:r w:rsidR="00C50DDD" w:rsidRPr="00522D01">
        <w:t>initiation t</w:t>
      </w:r>
      <w:r w:rsidRPr="00522D01">
        <w:t xml:space="preserve">reatment and </w:t>
      </w:r>
      <w:r w:rsidR="00716D4E">
        <w:t>Actair</w:t>
      </w:r>
      <w:r w:rsidRPr="00522D01">
        <w:t xml:space="preserve"> </w:t>
      </w:r>
      <w:r w:rsidR="00C50DDD" w:rsidRPr="00522D01">
        <w:t>continuation t</w:t>
      </w:r>
      <w:r w:rsidRPr="00522D01">
        <w:t>reatment.</w:t>
      </w:r>
      <w:r w:rsidR="00790DE0">
        <w:t xml:space="preserve"> The products in this document are also referred to as </w:t>
      </w:r>
      <w:r w:rsidR="00790DE0" w:rsidRPr="008022FF">
        <w:rPr>
          <w:rFonts w:asciiTheme="minorHAnsi" w:hAnsiTheme="minorHAnsi"/>
        </w:rPr>
        <w:t>Actair 100</w:t>
      </w:r>
      <w:r w:rsidR="00C50DDD">
        <w:rPr>
          <w:rFonts w:asciiTheme="minorHAnsi" w:hAnsiTheme="minorHAnsi"/>
        </w:rPr>
        <w:t> </w:t>
      </w:r>
      <w:r w:rsidR="00790DE0" w:rsidRPr="008022FF">
        <w:rPr>
          <w:rFonts w:asciiTheme="minorHAnsi" w:hAnsiTheme="minorHAnsi"/>
        </w:rPr>
        <w:t xml:space="preserve">IR </w:t>
      </w:r>
      <w:r w:rsidR="00790DE0">
        <w:rPr>
          <w:rFonts w:asciiTheme="minorHAnsi" w:hAnsiTheme="minorHAnsi"/>
        </w:rPr>
        <w:t>and Actair 300</w:t>
      </w:r>
      <w:r w:rsidR="00C50DDD">
        <w:rPr>
          <w:rFonts w:asciiTheme="minorHAnsi" w:hAnsiTheme="minorHAnsi"/>
        </w:rPr>
        <w:t xml:space="preserve"> </w:t>
      </w:r>
      <w:r w:rsidR="00790DE0">
        <w:rPr>
          <w:rFonts w:asciiTheme="minorHAnsi" w:hAnsiTheme="minorHAnsi"/>
        </w:rPr>
        <w:t>IR.</w:t>
      </w:r>
    </w:p>
    <w:p w14:paraId="598949FC" w14:textId="25BA496C" w:rsidR="00923A2F" w:rsidRPr="00522D01" w:rsidRDefault="00923A2F" w:rsidP="00522D01">
      <w:r w:rsidRPr="00522D01">
        <w:t>The active ingredients in Actair</w:t>
      </w:r>
      <w:r>
        <w:t xml:space="preserve">, European </w:t>
      </w:r>
      <w:r w:rsidR="00790DE0">
        <w:t xml:space="preserve">house dust mite </w:t>
      </w:r>
      <w:r w:rsidRPr="00522D01">
        <w:t xml:space="preserve">and American </w:t>
      </w:r>
      <w:r w:rsidR="00790DE0" w:rsidRPr="00522D01">
        <w:t xml:space="preserve">house dust mite </w:t>
      </w:r>
      <w:r w:rsidRPr="00522D01">
        <w:t xml:space="preserve">allergen extracts are currently included in the ARTG in </w:t>
      </w:r>
      <w:r w:rsidR="00E80B0B">
        <w:t xml:space="preserve">the </w:t>
      </w:r>
      <w:r w:rsidRPr="00522D01">
        <w:t xml:space="preserve">products </w:t>
      </w:r>
      <w:r>
        <w:t>A</w:t>
      </w:r>
      <w:r w:rsidRPr="00522D01">
        <w:t xml:space="preserve">lustal house dust mites extract (AUST R 132680 </w:t>
      </w:r>
      <w:r>
        <w:t xml:space="preserve">and AUST R 132725) which are freeze </w:t>
      </w:r>
      <w:r w:rsidRPr="00522D01">
        <w:t xml:space="preserve">dried allergen extracts </w:t>
      </w:r>
      <w:r>
        <w:t>for administration</w:t>
      </w:r>
      <w:r w:rsidRPr="00522D01">
        <w:t xml:space="preserve"> by subcutaneous injection.</w:t>
      </w:r>
    </w:p>
    <w:p w14:paraId="02E83CEA" w14:textId="5388D321" w:rsidR="00522D01" w:rsidRPr="00522D01" w:rsidRDefault="00522D01" w:rsidP="00522D01">
      <w:r w:rsidRPr="00522D01">
        <w:t xml:space="preserve">The sponsor has established an in-house reference standard for the measurement of total allergenic activity (as required in the </w:t>
      </w:r>
      <w:r w:rsidR="00C50DDD">
        <w:rPr>
          <w:lang w:val="en-US"/>
        </w:rPr>
        <w:t>European</w:t>
      </w:r>
      <w:r w:rsidR="00C50DDD" w:rsidRPr="00522D01">
        <w:t xml:space="preserve"> </w:t>
      </w:r>
      <w:r w:rsidR="00C50DDD">
        <w:t>(</w:t>
      </w:r>
      <w:r w:rsidRPr="00522D01">
        <w:t>EU</w:t>
      </w:r>
      <w:r w:rsidR="00C50DDD">
        <w:t>)</w:t>
      </w:r>
      <w:r w:rsidRPr="00522D01">
        <w:t xml:space="preserve"> pharmacopoeia). The potency unit used by the sponsor in this measurement is referred to as the Index of Reactivity or “IR</w:t>
      </w:r>
      <w:r w:rsidRPr="00790DE0">
        <w:t xml:space="preserve">”. The titre of an allergen extracts </w:t>
      </w:r>
      <w:r w:rsidR="00E80B0B">
        <w:t>i</w:t>
      </w:r>
      <w:r w:rsidR="00E80B0B" w:rsidRPr="00790DE0">
        <w:t xml:space="preserve">s </w:t>
      </w:r>
      <w:r w:rsidR="00790DE0" w:rsidRPr="00790DE0">
        <w:t>measured</w:t>
      </w:r>
      <w:r w:rsidRPr="00790DE0">
        <w:t xml:space="preserve"> in a skin prick test (SPT) performed with the sponsor</w:t>
      </w:r>
      <w:r w:rsidR="00E80B0B">
        <w:t>’</w:t>
      </w:r>
      <w:r w:rsidRPr="00790DE0">
        <w:t xml:space="preserve">s SPT device (the </w:t>
      </w:r>
      <w:proofErr w:type="spellStart"/>
      <w:r w:rsidRPr="00790DE0">
        <w:t>Stallerpoi</w:t>
      </w:r>
      <w:r w:rsidR="00923A2F" w:rsidRPr="00790DE0">
        <w:t>nt</w:t>
      </w:r>
      <w:proofErr w:type="spellEnd"/>
      <w:r w:rsidR="00923A2F" w:rsidRPr="00790DE0">
        <w:t>).</w:t>
      </w:r>
    </w:p>
    <w:p w14:paraId="227593DC" w14:textId="77777777" w:rsidR="00522D01" w:rsidRPr="00522D01" w:rsidRDefault="00522D01" w:rsidP="00522D01">
      <w:r w:rsidRPr="00522D01">
        <w:t xml:space="preserve">The clinical efficacy of subcutaneous immunotherapy </w:t>
      </w:r>
      <w:r w:rsidR="002954F8">
        <w:t xml:space="preserve">(SCIT) is well established for </w:t>
      </w:r>
      <w:r w:rsidRPr="00522D01">
        <w:t>allergic rhinitis</w:t>
      </w:r>
      <w:r w:rsidR="00CB2A9E">
        <w:t>.</w:t>
      </w:r>
      <w:bookmarkStart w:id="16" w:name="_Ref482100262"/>
      <w:r w:rsidR="00CB2A9E">
        <w:rPr>
          <w:rStyle w:val="FootnoteReference"/>
        </w:rPr>
        <w:footnoteReference w:id="1"/>
      </w:r>
      <w:bookmarkEnd w:id="16"/>
      <w:r w:rsidRPr="00522D01">
        <w:t xml:space="preserve"> Patients typically receive maintenance injections twice monthly or monthly for 3 to 5 years. Sublingual immunotherapy (SLIT) is an alternative to SCIT with similar efficacy and a favourable safety profile.</w:t>
      </w:r>
      <w:bookmarkStart w:id="17" w:name="_Ref481764917"/>
      <w:r w:rsidR="00CB2A9E">
        <w:rPr>
          <w:rStyle w:val="FootnoteReference"/>
        </w:rPr>
        <w:footnoteReference w:id="2"/>
      </w:r>
      <w:bookmarkEnd w:id="17"/>
      <w:r w:rsidRPr="00522D01">
        <w:t xml:space="preserve"> Patients self-administer a liquid or tablet under the tongue daily. As of 2009, approximately 45% of </w:t>
      </w:r>
      <w:r w:rsidR="00C66A1D" w:rsidRPr="004B4BF8">
        <w:rPr>
          <w:color w:val="000000"/>
          <w:lang w:val="en-US"/>
        </w:rPr>
        <w:t>allergen immunotherapy</w:t>
      </w:r>
      <w:r w:rsidR="00C66A1D" w:rsidRPr="00522D01">
        <w:t xml:space="preserve"> </w:t>
      </w:r>
      <w:r w:rsidR="00C66A1D">
        <w:t>(</w:t>
      </w:r>
      <w:r w:rsidRPr="00522D01">
        <w:t>AIT</w:t>
      </w:r>
      <w:r w:rsidR="00C66A1D">
        <w:t>)</w:t>
      </w:r>
      <w:r w:rsidRPr="00522D01">
        <w:t xml:space="preserve"> in Europe was</w:t>
      </w:r>
      <w:r w:rsidR="003C7207">
        <w:t xml:space="preserve"> SLIT</w:t>
      </w:r>
      <w:r w:rsidR="00CB2A9E">
        <w:t>.</w:t>
      </w:r>
      <w:bookmarkStart w:id="18" w:name="_Ref482100390"/>
      <w:r w:rsidR="00CB2A9E">
        <w:rPr>
          <w:rStyle w:val="FootnoteReference"/>
        </w:rPr>
        <w:footnoteReference w:id="3"/>
      </w:r>
      <w:bookmarkEnd w:id="18"/>
    </w:p>
    <w:p w14:paraId="13B610E8" w14:textId="77777777" w:rsidR="008E7846" w:rsidRPr="003F31A2" w:rsidRDefault="00386150" w:rsidP="008E7846">
      <w:pPr>
        <w:pStyle w:val="Heading3"/>
      </w:pPr>
      <w:bookmarkStart w:id="19" w:name="_Toc314842485"/>
      <w:bookmarkStart w:id="20" w:name="_Toc247691504"/>
      <w:bookmarkStart w:id="21" w:name="_Toc482791284"/>
      <w:r>
        <w:t>Regulatory s</w:t>
      </w:r>
      <w:r w:rsidR="008E7846">
        <w:t>tatus</w:t>
      </w:r>
      <w:bookmarkEnd w:id="19"/>
      <w:bookmarkEnd w:id="20"/>
      <w:bookmarkEnd w:id="21"/>
    </w:p>
    <w:p w14:paraId="4AB33E51" w14:textId="77777777" w:rsidR="00940A89" w:rsidRDefault="00940A89" w:rsidP="00940A89">
      <w:bookmarkStart w:id="22" w:name="_Toc247691505"/>
      <w:bookmarkStart w:id="23" w:name="_Toc314842486"/>
      <w:r w:rsidRPr="00940A89">
        <w:t>The product received initial registration on the Australian Register</w:t>
      </w:r>
      <w:r w:rsidR="00522D01">
        <w:t xml:space="preserve"> of Therapeutic Goods (ARTG) on 15 April 2016.</w:t>
      </w:r>
    </w:p>
    <w:p w14:paraId="596A7F71" w14:textId="77777777" w:rsidR="002954F8" w:rsidRDefault="00522D01" w:rsidP="00940A89">
      <w:r>
        <w:t xml:space="preserve">The related product </w:t>
      </w:r>
      <w:r w:rsidR="003C7207">
        <w:t>A</w:t>
      </w:r>
      <w:r w:rsidR="003C7207" w:rsidRPr="00522D01">
        <w:t xml:space="preserve">lustal house dust mites extract </w:t>
      </w:r>
      <w:r w:rsidR="003C7207">
        <w:t>(AUST R 132680</w:t>
      </w:r>
      <w:r w:rsidR="002954F8" w:rsidRPr="00522D01">
        <w:t xml:space="preserve"> </w:t>
      </w:r>
      <w:r w:rsidR="002954F8">
        <w:t>and</w:t>
      </w:r>
      <w:r w:rsidR="002954F8" w:rsidRPr="00522D01">
        <w:t xml:space="preserve"> AUST R 132725)</w:t>
      </w:r>
      <w:r w:rsidR="002954F8">
        <w:t xml:space="preserve"> have been registered since 2006.</w:t>
      </w:r>
    </w:p>
    <w:p w14:paraId="65A7FFF8" w14:textId="77777777" w:rsidR="003C7207" w:rsidRDefault="002954F8" w:rsidP="003C7207">
      <w:pPr>
        <w:pStyle w:val="Heading4"/>
      </w:pPr>
      <w:r w:rsidRPr="001C18BB">
        <w:t>Overseas status</w:t>
      </w:r>
    </w:p>
    <w:p w14:paraId="7913B8D6" w14:textId="431872D4" w:rsidR="002954F8" w:rsidRPr="00D62DF7" w:rsidRDefault="002954F8" w:rsidP="002954F8">
      <w:pPr>
        <w:rPr>
          <w:rFonts w:asciiTheme="minorHAnsi" w:hAnsiTheme="minorHAnsi"/>
        </w:rPr>
      </w:pPr>
      <w:r>
        <w:rPr>
          <w:rFonts w:asciiTheme="minorHAnsi" w:hAnsiTheme="minorHAnsi"/>
        </w:rPr>
        <w:t xml:space="preserve">The product was </w:t>
      </w:r>
      <w:r w:rsidR="00F25D96">
        <w:rPr>
          <w:rFonts w:asciiTheme="minorHAnsi" w:hAnsiTheme="minorHAnsi"/>
        </w:rPr>
        <w:t>approved</w:t>
      </w:r>
      <w:r w:rsidR="008A3FD6">
        <w:rPr>
          <w:rFonts w:asciiTheme="minorHAnsi" w:hAnsiTheme="minorHAnsi"/>
        </w:rPr>
        <w:t xml:space="preserve"> in</w:t>
      </w:r>
      <w:r>
        <w:rPr>
          <w:rFonts w:asciiTheme="minorHAnsi" w:hAnsiTheme="minorHAnsi"/>
        </w:rPr>
        <w:t xml:space="preserve"> </w:t>
      </w:r>
      <w:r w:rsidR="00F25D96">
        <w:rPr>
          <w:rFonts w:asciiTheme="minorHAnsi" w:hAnsiTheme="minorHAnsi"/>
        </w:rPr>
        <w:t xml:space="preserve">Japan (approved March 2015) and an </w:t>
      </w:r>
      <w:r>
        <w:rPr>
          <w:rFonts w:asciiTheme="minorHAnsi" w:hAnsiTheme="minorHAnsi"/>
        </w:rPr>
        <w:t xml:space="preserve">application </w:t>
      </w:r>
      <w:r w:rsidR="00F25D96">
        <w:rPr>
          <w:rFonts w:asciiTheme="minorHAnsi" w:hAnsiTheme="minorHAnsi"/>
        </w:rPr>
        <w:t xml:space="preserve">had been </w:t>
      </w:r>
      <w:r>
        <w:rPr>
          <w:rFonts w:asciiTheme="minorHAnsi" w:hAnsiTheme="minorHAnsi"/>
        </w:rPr>
        <w:t>submitted in N</w:t>
      </w:r>
      <w:r w:rsidR="00F25D96">
        <w:rPr>
          <w:rFonts w:asciiTheme="minorHAnsi" w:hAnsiTheme="minorHAnsi"/>
        </w:rPr>
        <w:t xml:space="preserve">ew </w:t>
      </w:r>
      <w:r>
        <w:rPr>
          <w:rFonts w:asciiTheme="minorHAnsi" w:hAnsiTheme="minorHAnsi"/>
        </w:rPr>
        <w:t>Z</w:t>
      </w:r>
      <w:r w:rsidR="00F25D96">
        <w:rPr>
          <w:rFonts w:asciiTheme="minorHAnsi" w:hAnsiTheme="minorHAnsi"/>
        </w:rPr>
        <w:t>ealand and South Korea</w:t>
      </w:r>
      <w:r w:rsidR="00F25D96" w:rsidRPr="00F25D96">
        <w:rPr>
          <w:rFonts w:asciiTheme="minorHAnsi" w:hAnsiTheme="minorHAnsi"/>
        </w:rPr>
        <w:t xml:space="preserve"> </w:t>
      </w:r>
      <w:r w:rsidR="00F25D96">
        <w:rPr>
          <w:rFonts w:asciiTheme="minorHAnsi" w:hAnsiTheme="minorHAnsi"/>
        </w:rPr>
        <w:t>(but not yet approved) at the time of consideration of this submission.</w:t>
      </w:r>
    </w:p>
    <w:p w14:paraId="04A6F197" w14:textId="77777777" w:rsidR="008E7846" w:rsidRDefault="008E7846" w:rsidP="00940A89">
      <w:pPr>
        <w:pStyle w:val="Heading3"/>
      </w:pPr>
      <w:bookmarkStart w:id="24" w:name="_Toc482791285"/>
      <w:r>
        <w:t>Product Information</w:t>
      </w:r>
      <w:bookmarkEnd w:id="22"/>
      <w:bookmarkEnd w:id="23"/>
      <w:bookmarkEnd w:id="24"/>
    </w:p>
    <w:p w14:paraId="138EED79" w14:textId="77777777" w:rsidR="00940A89" w:rsidRDefault="006136D7" w:rsidP="00940A89">
      <w:pPr>
        <w:rPr>
          <w:b/>
          <w:bCs/>
        </w:rPr>
      </w:pPr>
      <w:bookmarkStart w:id="25" w:name="_Toc247691506"/>
      <w:bookmarkStart w:id="26"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6D38F699" w14:textId="77777777" w:rsidR="008E7846" w:rsidRPr="003602A9" w:rsidRDefault="008E7846" w:rsidP="008E7846">
      <w:pPr>
        <w:pStyle w:val="Heading2"/>
        <w:ind w:left="-11"/>
      </w:pPr>
      <w:bookmarkStart w:id="27" w:name="_Toc482791286"/>
      <w:r>
        <w:lastRenderedPageBreak/>
        <w:t>II. Quality</w:t>
      </w:r>
      <w:bookmarkEnd w:id="1"/>
      <w:r>
        <w:t xml:space="preserve"> findings</w:t>
      </w:r>
      <w:bookmarkEnd w:id="25"/>
      <w:bookmarkEnd w:id="26"/>
      <w:bookmarkEnd w:id="27"/>
    </w:p>
    <w:p w14:paraId="3D593BE6" w14:textId="77777777" w:rsidR="008E7846" w:rsidRDefault="008E7846" w:rsidP="00940A89">
      <w:pPr>
        <w:pStyle w:val="Heading3"/>
      </w:pPr>
      <w:bookmarkStart w:id="28" w:name="_Toc247691507"/>
      <w:bookmarkStart w:id="29" w:name="_Toc314842488"/>
      <w:bookmarkStart w:id="30" w:name="_Toc482791287"/>
      <w:r w:rsidRPr="008751DC">
        <w:t xml:space="preserve">Drug </w:t>
      </w:r>
      <w:r>
        <w:t>s</w:t>
      </w:r>
      <w:r w:rsidRPr="008751DC">
        <w:t>ubstance</w:t>
      </w:r>
      <w:r>
        <w:t xml:space="preserve"> (active ingredient)</w:t>
      </w:r>
      <w:bookmarkEnd w:id="28"/>
      <w:bookmarkEnd w:id="29"/>
      <w:bookmarkEnd w:id="30"/>
    </w:p>
    <w:p w14:paraId="235BCB2F" w14:textId="77777777" w:rsidR="007B1082" w:rsidRPr="00F25D96" w:rsidRDefault="00221ADC" w:rsidP="00F25D96">
      <w:r w:rsidRPr="00F25D96">
        <w:t>The drug substances</w:t>
      </w:r>
      <w:r w:rsidR="00F25D96">
        <w:t>;</w:t>
      </w:r>
      <w:r w:rsidRPr="00F25D96">
        <w:t xml:space="preserve"> </w:t>
      </w:r>
      <w:r w:rsidR="00E3123B" w:rsidRPr="00F25D96">
        <w:t xml:space="preserve">European </w:t>
      </w:r>
      <w:r w:rsidR="00F25D96" w:rsidRPr="00F25D96">
        <w:t xml:space="preserve">house dust mite </w:t>
      </w:r>
      <w:r w:rsidR="00E3123B" w:rsidRPr="00F25D96">
        <w:t xml:space="preserve">and American </w:t>
      </w:r>
      <w:r w:rsidR="00F25D96" w:rsidRPr="00F25D96">
        <w:t xml:space="preserve">house dust mite </w:t>
      </w:r>
      <w:r w:rsidR="00E3123B" w:rsidRPr="00F25D96">
        <w:t xml:space="preserve">allergen extracts </w:t>
      </w:r>
      <w:r w:rsidRPr="00F25D96">
        <w:t xml:space="preserve">used in the new drug product formulation have previously been approved </w:t>
      </w:r>
      <w:r w:rsidR="00E3123B" w:rsidRPr="00F25D96">
        <w:t>for Alustal house dust mites extract</w:t>
      </w:r>
      <w:r w:rsidR="007B1082" w:rsidRPr="00F25D96">
        <w:t>.</w:t>
      </w:r>
    </w:p>
    <w:p w14:paraId="138EA1BE" w14:textId="77777777" w:rsidR="00E3123B" w:rsidRPr="00CB1D8E" w:rsidRDefault="00221ADC" w:rsidP="00221ADC">
      <w:r w:rsidRPr="00221ADC">
        <w:t>The drug substances used in formulation of drug product are both</w:t>
      </w:r>
      <w:r>
        <w:t xml:space="preserve"> complex mixtures of antigens. </w:t>
      </w:r>
      <w:r w:rsidRPr="00221ADC">
        <w:t>Of these two major antigens predominate in the immune reaction to the mixtures and each has</w:t>
      </w:r>
      <w:r w:rsidR="00CB1D8E">
        <w:t xml:space="preserve"> been characterised as follows.</w:t>
      </w:r>
    </w:p>
    <w:p w14:paraId="61DFBD6E" w14:textId="77777777" w:rsidR="00E3123B" w:rsidRDefault="00E3123B" w:rsidP="00CB1D8E">
      <w:pPr>
        <w:pStyle w:val="ListBullet"/>
        <w:rPr>
          <w:b/>
          <w:bCs/>
        </w:rPr>
      </w:pPr>
      <w:r>
        <w:t xml:space="preserve">The drug substance </w:t>
      </w:r>
      <w:r w:rsidR="007B1082">
        <w:t xml:space="preserve">for </w:t>
      </w:r>
      <w:r w:rsidR="00F25D96">
        <w:t>European house dust mite</w:t>
      </w:r>
      <w:r w:rsidRPr="00522D01">
        <w:t xml:space="preserve"> </w:t>
      </w:r>
      <w:r w:rsidR="0098487B">
        <w:t>(</w:t>
      </w:r>
      <w:proofErr w:type="spellStart"/>
      <w:r w:rsidR="00790DE0">
        <w:t>D.pte</w:t>
      </w:r>
      <w:proofErr w:type="spellEnd"/>
      <w:r w:rsidR="00790DE0">
        <w:t>)</w:t>
      </w:r>
      <w:r>
        <w:rPr>
          <w:lang w:val="en-GB"/>
        </w:rPr>
        <w:t xml:space="preserve"> contains</w:t>
      </w:r>
      <w:r w:rsidRPr="00575B33">
        <w:rPr>
          <w:lang w:val="en-GB"/>
        </w:rPr>
        <w:t xml:space="preserve"> two relevant allergens Der </w:t>
      </w:r>
      <w:r>
        <w:rPr>
          <w:lang w:val="en-GB"/>
        </w:rPr>
        <w:t>p 1 and Der p 2</w:t>
      </w:r>
    </w:p>
    <w:p w14:paraId="5F7302C5" w14:textId="77777777" w:rsidR="00221ADC" w:rsidRPr="00E3123B" w:rsidRDefault="007B1082" w:rsidP="00CB1D8E">
      <w:pPr>
        <w:pStyle w:val="ListBullet"/>
        <w:rPr>
          <w:b/>
        </w:rPr>
      </w:pPr>
      <w:r>
        <w:t xml:space="preserve">The drug substance for </w:t>
      </w:r>
      <w:r w:rsidR="00F25D96">
        <w:t>American house dust mite</w:t>
      </w:r>
      <w:r w:rsidR="0098487B">
        <w:t xml:space="preserve"> (</w:t>
      </w:r>
      <w:proofErr w:type="spellStart"/>
      <w:r w:rsidR="00790DE0">
        <w:t>D.far</w:t>
      </w:r>
      <w:proofErr w:type="spellEnd"/>
      <w:r w:rsidR="00790DE0">
        <w:t>)</w:t>
      </w:r>
      <w:r>
        <w:t xml:space="preserve"> </w:t>
      </w:r>
      <w:r w:rsidR="00221ADC" w:rsidRPr="00575B33">
        <w:t>contains two relevant allergens Der f 1 and Der f 2.</w:t>
      </w:r>
    </w:p>
    <w:p w14:paraId="5A3E294A" w14:textId="77777777" w:rsidR="00D21892" w:rsidRDefault="00D21892" w:rsidP="00221ADC">
      <w:r w:rsidRPr="00D21892">
        <w:t>Mites are identified visually based on morphological characters of taxonomic importance such as body size, characteristic shape and colour of body parts and hair organisation.</w:t>
      </w:r>
      <w:r>
        <w:t xml:space="preserve"> </w:t>
      </w:r>
      <w:r w:rsidR="00CB1D8E" w:rsidRPr="00221ADC">
        <w:t xml:space="preserve">Both </w:t>
      </w:r>
      <w:r w:rsidR="003C7207">
        <w:t>drug substances</w:t>
      </w:r>
      <w:r w:rsidR="004A2386">
        <w:t xml:space="preserve"> </w:t>
      </w:r>
      <w:r w:rsidR="00CB1D8E" w:rsidRPr="00221ADC">
        <w:t>contain a decontami</w:t>
      </w:r>
      <w:r w:rsidR="003C7207">
        <w:t xml:space="preserve">nated (gamma-irradiated) freeze </w:t>
      </w:r>
      <w:r w:rsidR="00CB1D8E" w:rsidRPr="00221ADC">
        <w:t>dried whole culture of mites, including mite bodies, faecal particles and spent culture medium, composed mainly of carbohydrates, proteins and glycoproteins, the latter including major and minor allergens as wel</w:t>
      </w:r>
      <w:r w:rsidR="00EB5F68">
        <w:t>l as non</w:t>
      </w:r>
      <w:r w:rsidR="00EB5F68">
        <w:noBreakHyphen/>
        <w:t>allergenic components.</w:t>
      </w:r>
    </w:p>
    <w:p w14:paraId="1DC2E10A" w14:textId="77777777" w:rsidR="00D21892" w:rsidRDefault="00CB1D8E" w:rsidP="00D21892">
      <w:r w:rsidRPr="00221ADC">
        <w:t xml:space="preserve">Since mite faeces and bodies contain different allergens known to contribute to patient sensitization, </w:t>
      </w:r>
      <w:proofErr w:type="spellStart"/>
      <w:r w:rsidRPr="00221ADC">
        <w:t>D</w:t>
      </w:r>
      <w:r w:rsidR="00790DE0">
        <w:t>.</w:t>
      </w:r>
      <w:r w:rsidRPr="00221ADC">
        <w:t>far</w:t>
      </w:r>
      <w:proofErr w:type="spellEnd"/>
      <w:r w:rsidRPr="00221ADC">
        <w:t xml:space="preserve"> and </w:t>
      </w:r>
      <w:proofErr w:type="spellStart"/>
      <w:r w:rsidRPr="00221ADC">
        <w:t>D</w:t>
      </w:r>
      <w:r w:rsidR="00790DE0">
        <w:t>.</w:t>
      </w:r>
      <w:r w:rsidRPr="00221ADC">
        <w:t>pte</w:t>
      </w:r>
      <w:proofErr w:type="spellEnd"/>
      <w:r w:rsidRPr="00221ADC">
        <w:t xml:space="preserve"> </w:t>
      </w:r>
      <w:r w:rsidR="00790DE0">
        <w:t>drug substances</w:t>
      </w:r>
      <w:r w:rsidRPr="00221ADC">
        <w:t xml:space="preserve"> used </w:t>
      </w:r>
      <w:r w:rsidR="00C50DDD" w:rsidRPr="00221ADC">
        <w:t xml:space="preserve">in </w:t>
      </w:r>
      <w:r w:rsidR="00C50DDD">
        <w:rPr>
          <w:color w:val="000000"/>
        </w:rPr>
        <w:t>House dust mites</w:t>
      </w:r>
      <w:r w:rsidR="00C50DDD" w:rsidRPr="00221ADC">
        <w:t xml:space="preserve"> </w:t>
      </w:r>
      <w:r w:rsidR="00C50DDD">
        <w:t>(</w:t>
      </w:r>
      <w:r w:rsidRPr="00221ADC">
        <w:t>HDM</w:t>
      </w:r>
      <w:r w:rsidR="00C50DDD">
        <w:t>)</w:t>
      </w:r>
      <w:r w:rsidRPr="00221ADC">
        <w:t xml:space="preserve"> sublingual tablets intended for allergen immunotherapy are made from material containing both bodies and faeces</w:t>
      </w:r>
      <w:r w:rsidR="00F552C1">
        <w:t>.</w:t>
      </w:r>
      <w:r w:rsidR="002544C7">
        <w:rPr>
          <w:rStyle w:val="FootnoteReference"/>
        </w:rPr>
        <w:footnoteReference w:id="4"/>
      </w:r>
      <w:r w:rsidR="002544C7">
        <w:t>,</w:t>
      </w:r>
      <w:r w:rsidR="002544C7">
        <w:rPr>
          <w:rStyle w:val="FootnoteReference"/>
        </w:rPr>
        <w:footnoteReference w:id="5"/>
      </w:r>
      <w:r w:rsidR="00F552C1">
        <w:t xml:space="preserve"> </w:t>
      </w:r>
      <w:r w:rsidR="00D21892" w:rsidRPr="00221ADC">
        <w:t>Analyses of purified mite components have revealed that bodies and faeces contain different profiles of allerge</w:t>
      </w:r>
      <w:r w:rsidR="00D21892">
        <w:t>ns:</w:t>
      </w:r>
    </w:p>
    <w:p w14:paraId="583FF859" w14:textId="77777777" w:rsidR="00D21892" w:rsidRDefault="00D21892" w:rsidP="00D21892">
      <w:pPr>
        <w:pStyle w:val="ListBullet"/>
      </w:pPr>
      <w:proofErr w:type="spellStart"/>
      <w:r>
        <w:t>D</w:t>
      </w:r>
      <w:r w:rsidR="00790DE0">
        <w:t>.</w:t>
      </w:r>
      <w:r>
        <w:t>far</w:t>
      </w:r>
      <w:proofErr w:type="spellEnd"/>
      <w:r w:rsidR="00F552C1">
        <w:t>;</w:t>
      </w:r>
      <w:r>
        <w:t xml:space="preserve"> </w:t>
      </w:r>
      <w:r w:rsidRPr="00221ADC">
        <w:t>Der f 1 is preferentially found within mite faecal particles, whilst Der f 2 is synthesized in the epithelium of the anterior mid-gut, secreted in the lumen with digestive materials and concentrated in the faeces</w:t>
      </w:r>
      <w:r w:rsidR="00F552C1">
        <w:t>.</w:t>
      </w:r>
      <w:r w:rsidR="00F552C1">
        <w:rPr>
          <w:rStyle w:val="FootnoteReference"/>
        </w:rPr>
        <w:footnoteReference w:id="6"/>
      </w:r>
      <w:r w:rsidR="00F552C1">
        <w:t>,</w:t>
      </w:r>
      <w:r w:rsidR="00F552C1">
        <w:rPr>
          <w:rStyle w:val="FootnoteReference"/>
        </w:rPr>
        <w:footnoteReference w:id="7"/>
      </w:r>
      <w:r w:rsidR="00F552C1">
        <w:t xml:space="preserve"> </w:t>
      </w:r>
      <w:r w:rsidRPr="00221ADC">
        <w:t>In addition, whilst faecal particles contain group 4, 5, 7, 13, 21 and 23 allergens, mite bodies contain group 3, 14, and 20 allergens</w:t>
      </w:r>
      <w:r w:rsidR="00F552C1">
        <w:t>.</w:t>
      </w:r>
      <w:r w:rsidR="00F552C1">
        <w:rPr>
          <w:rStyle w:val="FootnoteReference"/>
        </w:rPr>
        <w:footnoteReference w:id="8"/>
      </w:r>
      <w:r w:rsidR="00F552C1">
        <w:t>,</w:t>
      </w:r>
      <w:r w:rsidR="00F552C1">
        <w:rPr>
          <w:rStyle w:val="FootnoteReference"/>
        </w:rPr>
        <w:footnoteReference w:id="9"/>
      </w:r>
    </w:p>
    <w:p w14:paraId="2927659F" w14:textId="77777777" w:rsidR="00940A89" w:rsidRPr="00940A89" w:rsidRDefault="00790DE0" w:rsidP="00940A89">
      <w:pPr>
        <w:pStyle w:val="ListBullet"/>
      </w:pPr>
      <w:proofErr w:type="spellStart"/>
      <w:r>
        <w:t>D.pte</w:t>
      </w:r>
      <w:proofErr w:type="spellEnd"/>
      <w:r w:rsidR="00F552C1">
        <w:t>;</w:t>
      </w:r>
      <w:r w:rsidR="00D21892" w:rsidRPr="00221ADC">
        <w:t xml:space="preserve"> DS</w:t>
      </w:r>
      <w:r w:rsidR="00D21892">
        <w:t xml:space="preserve"> </w:t>
      </w:r>
      <w:r w:rsidR="00D21892" w:rsidRPr="00221ADC">
        <w:t>Der p 1 is preferentially found within mite faecal particles, whilst Der p 2 is associated with mite bodies, most particularly in the gut, and is present in lower quantities within faecal pellets. In addition, whilst faecal particles contain group 4, 5, 7, 13, 21 and 23 allergens, mite bodies contain</w:t>
      </w:r>
      <w:r w:rsidR="00F552C1">
        <w:t xml:space="preserve"> group 3, 14, and 20 allergens.</w:t>
      </w:r>
    </w:p>
    <w:p w14:paraId="67723ED4" w14:textId="3BEE0D1E" w:rsidR="00CB5C58" w:rsidRDefault="00CB5C58" w:rsidP="00221ADC">
      <w:bookmarkStart w:id="31" w:name="_Toc314842491"/>
      <w:r>
        <w:t>The potency of the drug substances is measured using an assay for total allergenic activity which is quantified as index of reactivity (IR) units</w:t>
      </w:r>
      <w:r w:rsidR="002A0FA3">
        <w:t xml:space="preserve">. </w:t>
      </w:r>
      <w:r w:rsidR="00CF6E2B">
        <w:rPr>
          <w:rStyle w:val="FootnoteReference"/>
        </w:rPr>
        <w:footnoteReference w:id="10"/>
      </w:r>
      <w:r w:rsidR="0098487B">
        <w:t xml:space="preserve"> Each drug substance D fa</w:t>
      </w:r>
      <w:r>
        <w:t xml:space="preserve">r and </w:t>
      </w:r>
      <w:proofErr w:type="spellStart"/>
      <w:r w:rsidR="00790DE0">
        <w:t>D.pte</w:t>
      </w:r>
      <w:proofErr w:type="spellEnd"/>
      <w:r>
        <w:t xml:space="preserve"> </w:t>
      </w:r>
      <w:r>
        <w:lastRenderedPageBreak/>
        <w:t>contain</w:t>
      </w:r>
      <w:r w:rsidR="00A0120A">
        <w:t>s</w:t>
      </w:r>
      <w:r>
        <w:t xml:space="preserve"> at least a minimum amount measured in µg/mg of the allergen Der f 1 and Der p1 respectively.</w:t>
      </w:r>
    </w:p>
    <w:p w14:paraId="24E14274" w14:textId="24302883" w:rsidR="00221ADC" w:rsidRPr="00221ADC" w:rsidRDefault="001A3124" w:rsidP="00221ADC">
      <w:r>
        <w:t>The proposed specifications:</w:t>
      </w:r>
      <w:r w:rsidR="00221ADC" w:rsidRPr="00221ADC">
        <w:t xml:space="preserve"> control identity, content, potency, purity and other biological and physical properties of the drug substance relevant to the dose form and its intended clinical use.</w:t>
      </w:r>
    </w:p>
    <w:p w14:paraId="70BF2425" w14:textId="77777777" w:rsidR="00221ADC" w:rsidRPr="00221ADC" w:rsidRDefault="00221ADC" w:rsidP="00221ADC">
      <w:r w:rsidRPr="00221ADC">
        <w:t xml:space="preserve">Appropriate validation data have been submitted in </w:t>
      </w:r>
      <w:r w:rsidR="00F552C1">
        <w:t>support of the test procedures.</w:t>
      </w:r>
    </w:p>
    <w:p w14:paraId="6FDA8EA2" w14:textId="77777777" w:rsidR="00221ADC" w:rsidRDefault="00221ADC" w:rsidP="00221ADC">
      <w:pPr>
        <w:pStyle w:val="Heading3"/>
      </w:pPr>
      <w:bookmarkStart w:id="32" w:name="_Toc247691508"/>
      <w:bookmarkStart w:id="33" w:name="_Toc314842490"/>
      <w:bookmarkStart w:id="34" w:name="_Toc482791288"/>
      <w:r w:rsidRPr="008751DC">
        <w:t xml:space="preserve">Drug </w:t>
      </w:r>
      <w:r>
        <w:t>p</w:t>
      </w:r>
      <w:r w:rsidRPr="008751DC">
        <w:t>roduct</w:t>
      </w:r>
      <w:bookmarkEnd w:id="32"/>
      <w:bookmarkEnd w:id="33"/>
      <w:bookmarkEnd w:id="34"/>
    </w:p>
    <w:p w14:paraId="2E9ECBF9" w14:textId="77777777" w:rsidR="00CB5C58" w:rsidRPr="00CA36DF" w:rsidRDefault="00CA36DF" w:rsidP="00CF6E2B">
      <w:r>
        <w:t xml:space="preserve">Table 1 shows the composition of the </w:t>
      </w:r>
      <w:r w:rsidRPr="00CA36DF">
        <w:rPr>
          <w:rFonts w:asciiTheme="minorHAnsi" w:hAnsiTheme="minorHAnsi"/>
        </w:rPr>
        <w:t>100 IR and 300 IR sublingual tablets</w:t>
      </w:r>
      <w:r>
        <w:rPr>
          <w:rFonts w:asciiTheme="minorHAnsi" w:hAnsiTheme="minorHAnsi"/>
        </w:rPr>
        <w:t>.</w:t>
      </w:r>
    </w:p>
    <w:p w14:paraId="1D03D152" w14:textId="77777777" w:rsidR="00CF6E2B" w:rsidRDefault="00CA36DF" w:rsidP="009A3348">
      <w:pPr>
        <w:pStyle w:val="Tabletitle0"/>
      </w:pPr>
      <w:bookmarkStart w:id="35" w:name="_Toc269679131"/>
      <w:bookmarkStart w:id="36" w:name="_Toc388374675"/>
      <w:r>
        <w:t xml:space="preserve">Table 1: </w:t>
      </w:r>
      <w:r w:rsidR="00CF6E2B" w:rsidRPr="0008771E">
        <w:t xml:space="preserve">Composition of 100 IR and 300 IR sublingual </w:t>
      </w:r>
      <w:bookmarkEnd w:id="35"/>
      <w:r w:rsidR="00CF6E2B" w:rsidRPr="0008771E">
        <w:t>tablets</w:t>
      </w:r>
      <w:bookmarkEnd w:id="36"/>
    </w:p>
    <w:tbl>
      <w:tblPr>
        <w:tblStyle w:val="TableTGAblue"/>
        <w:tblW w:w="0" w:type="auto"/>
        <w:tblLook w:val="04A0" w:firstRow="1" w:lastRow="0" w:firstColumn="1" w:lastColumn="0" w:noHBand="0" w:noVBand="1"/>
      </w:tblPr>
      <w:tblGrid>
        <w:gridCol w:w="1744"/>
        <w:gridCol w:w="1744"/>
        <w:gridCol w:w="1744"/>
        <w:gridCol w:w="1744"/>
        <w:gridCol w:w="1744"/>
      </w:tblGrid>
      <w:tr w:rsidR="009A3348" w14:paraId="1B46B6A5" w14:textId="77777777" w:rsidTr="005B726D">
        <w:trPr>
          <w:cnfStyle w:val="100000000000" w:firstRow="1" w:lastRow="0" w:firstColumn="0" w:lastColumn="0" w:oddVBand="0" w:evenVBand="0" w:oddHBand="0" w:evenHBand="0" w:firstRowFirstColumn="0" w:firstRowLastColumn="0" w:lastRowFirstColumn="0" w:lastRowLastColumn="0"/>
        </w:trPr>
        <w:tc>
          <w:tcPr>
            <w:tcW w:w="1744" w:type="dxa"/>
            <w:vMerge w:val="restart"/>
            <w:tcBorders>
              <w:top w:val="single" w:sz="4" w:space="0" w:color="auto"/>
              <w:left w:val="single" w:sz="4" w:space="0" w:color="auto"/>
              <w:bottom w:val="single" w:sz="4" w:space="0" w:color="auto"/>
              <w:right w:val="single" w:sz="4" w:space="0" w:color="auto"/>
            </w:tcBorders>
          </w:tcPr>
          <w:p w14:paraId="231CAC05" w14:textId="468BDE43" w:rsidR="009A3348" w:rsidRDefault="009A3348" w:rsidP="009A3348">
            <w:r w:rsidRPr="00CF6E2B">
              <w:rPr>
                <w:sz w:val="20"/>
                <w:szCs w:val="20"/>
              </w:rPr>
              <w:t>Ingredient</w:t>
            </w:r>
          </w:p>
        </w:tc>
        <w:tc>
          <w:tcPr>
            <w:tcW w:w="1744" w:type="dxa"/>
            <w:vMerge w:val="restart"/>
            <w:tcBorders>
              <w:top w:val="single" w:sz="4" w:space="0" w:color="auto"/>
              <w:left w:val="single" w:sz="4" w:space="0" w:color="auto"/>
              <w:bottom w:val="single" w:sz="4" w:space="0" w:color="auto"/>
              <w:right w:val="single" w:sz="4" w:space="0" w:color="auto"/>
            </w:tcBorders>
          </w:tcPr>
          <w:p w14:paraId="1E00107D" w14:textId="701B48EE" w:rsidR="009A3348" w:rsidRDefault="009A3348" w:rsidP="009A3348">
            <w:r w:rsidRPr="00CF6E2B">
              <w:rPr>
                <w:sz w:val="20"/>
                <w:szCs w:val="20"/>
              </w:rPr>
              <w:t>Function</w:t>
            </w:r>
          </w:p>
        </w:tc>
        <w:tc>
          <w:tcPr>
            <w:tcW w:w="1744" w:type="dxa"/>
            <w:vMerge w:val="restart"/>
            <w:tcBorders>
              <w:top w:val="single" w:sz="4" w:space="0" w:color="auto"/>
              <w:left w:val="single" w:sz="4" w:space="0" w:color="auto"/>
              <w:bottom w:val="single" w:sz="4" w:space="0" w:color="auto"/>
              <w:right w:val="single" w:sz="4" w:space="0" w:color="auto"/>
            </w:tcBorders>
          </w:tcPr>
          <w:p w14:paraId="03855FA2" w14:textId="74D3DCE0" w:rsidR="009A3348" w:rsidRDefault="009A3348" w:rsidP="009A3348">
            <w:r>
              <w:rPr>
                <w:sz w:val="20"/>
                <w:szCs w:val="20"/>
              </w:rPr>
              <w:t>R</w:t>
            </w:r>
            <w:r w:rsidRPr="00CF6E2B">
              <w:rPr>
                <w:sz w:val="20"/>
                <w:szCs w:val="20"/>
              </w:rPr>
              <w:t>eference to standards</w:t>
            </w:r>
          </w:p>
        </w:tc>
        <w:tc>
          <w:tcPr>
            <w:tcW w:w="3488" w:type="dxa"/>
            <w:gridSpan w:val="2"/>
            <w:tcBorders>
              <w:left w:val="single" w:sz="4" w:space="0" w:color="auto"/>
            </w:tcBorders>
          </w:tcPr>
          <w:p w14:paraId="11704654" w14:textId="3581EBC1" w:rsidR="009A3348" w:rsidRDefault="009A3348" w:rsidP="009A3348">
            <w:r w:rsidRPr="00CF6E2B">
              <w:rPr>
                <w:sz w:val="20"/>
                <w:szCs w:val="20"/>
              </w:rPr>
              <w:t>Quantity (mg)</w:t>
            </w:r>
          </w:p>
        </w:tc>
      </w:tr>
      <w:tr w:rsidR="009A3348" w14:paraId="72E74FAE" w14:textId="77777777" w:rsidTr="009A3348">
        <w:tc>
          <w:tcPr>
            <w:tcW w:w="1744" w:type="dxa"/>
            <w:vMerge/>
            <w:tcBorders>
              <w:top w:val="single" w:sz="4" w:space="0" w:color="auto"/>
              <w:left w:val="single" w:sz="4" w:space="0" w:color="auto"/>
              <w:bottom w:val="single" w:sz="4" w:space="0" w:color="auto"/>
              <w:right w:val="single" w:sz="4" w:space="0" w:color="auto"/>
            </w:tcBorders>
          </w:tcPr>
          <w:p w14:paraId="02D99F47" w14:textId="77777777" w:rsidR="009A3348" w:rsidRDefault="009A3348" w:rsidP="009A3348"/>
        </w:tc>
        <w:tc>
          <w:tcPr>
            <w:tcW w:w="1744" w:type="dxa"/>
            <w:vMerge/>
            <w:tcBorders>
              <w:top w:val="single" w:sz="4" w:space="0" w:color="auto"/>
              <w:left w:val="single" w:sz="4" w:space="0" w:color="auto"/>
              <w:bottom w:val="single" w:sz="4" w:space="0" w:color="auto"/>
              <w:right w:val="single" w:sz="4" w:space="0" w:color="auto"/>
            </w:tcBorders>
          </w:tcPr>
          <w:p w14:paraId="71C01745" w14:textId="77777777" w:rsidR="009A3348" w:rsidRDefault="009A3348" w:rsidP="009A3348"/>
        </w:tc>
        <w:tc>
          <w:tcPr>
            <w:tcW w:w="1744" w:type="dxa"/>
            <w:vMerge/>
            <w:tcBorders>
              <w:top w:val="single" w:sz="4" w:space="0" w:color="auto"/>
              <w:left w:val="single" w:sz="4" w:space="0" w:color="auto"/>
              <w:bottom w:val="single" w:sz="4" w:space="0" w:color="auto"/>
              <w:right w:val="single" w:sz="4" w:space="0" w:color="auto"/>
            </w:tcBorders>
          </w:tcPr>
          <w:p w14:paraId="71499FE9" w14:textId="77777777" w:rsidR="009A3348" w:rsidRDefault="009A3348" w:rsidP="009A3348"/>
        </w:tc>
        <w:tc>
          <w:tcPr>
            <w:tcW w:w="1744" w:type="dxa"/>
            <w:tcBorders>
              <w:left w:val="single" w:sz="4" w:space="0" w:color="auto"/>
            </w:tcBorders>
          </w:tcPr>
          <w:p w14:paraId="3088A95A" w14:textId="75BB8D81" w:rsidR="009A3348" w:rsidRDefault="009A3348" w:rsidP="009A3348">
            <w:r w:rsidRPr="00CF6E2B">
              <w:rPr>
                <w:sz w:val="20"/>
                <w:szCs w:val="20"/>
              </w:rPr>
              <w:t>100 IR</w:t>
            </w:r>
          </w:p>
        </w:tc>
        <w:tc>
          <w:tcPr>
            <w:tcW w:w="1744" w:type="dxa"/>
          </w:tcPr>
          <w:p w14:paraId="05D5B758" w14:textId="38BA134A" w:rsidR="009A3348" w:rsidRDefault="009A3348" w:rsidP="009A3348">
            <w:r w:rsidRPr="00CF6E2B">
              <w:rPr>
                <w:sz w:val="20"/>
                <w:szCs w:val="20"/>
              </w:rPr>
              <w:t>300 IR</w:t>
            </w:r>
          </w:p>
        </w:tc>
      </w:tr>
      <w:tr w:rsidR="009A3348" w14:paraId="1A0DBA31" w14:textId="77777777" w:rsidTr="00F911F3">
        <w:tc>
          <w:tcPr>
            <w:tcW w:w="8720" w:type="dxa"/>
            <w:gridSpan w:val="5"/>
            <w:tcBorders>
              <w:top w:val="single" w:sz="4" w:space="0" w:color="auto"/>
            </w:tcBorders>
          </w:tcPr>
          <w:p w14:paraId="1700F041" w14:textId="3A1AF347" w:rsidR="009A3348" w:rsidRDefault="009A3348" w:rsidP="009A3348">
            <w:r w:rsidRPr="00CA36DF">
              <w:rPr>
                <w:b/>
                <w:sz w:val="20"/>
                <w:szCs w:val="20"/>
              </w:rPr>
              <w:t>Drug Substances</w:t>
            </w:r>
          </w:p>
        </w:tc>
      </w:tr>
      <w:tr w:rsidR="009A3348" w14:paraId="5F24E73C" w14:textId="77777777" w:rsidTr="00F9403A">
        <w:tc>
          <w:tcPr>
            <w:tcW w:w="1744" w:type="dxa"/>
            <w:vMerge w:val="restart"/>
          </w:tcPr>
          <w:p w14:paraId="6E6A19D2" w14:textId="77777777" w:rsidR="009A3348" w:rsidRPr="00CF6E2B" w:rsidRDefault="009A3348" w:rsidP="009A3348">
            <w:pPr>
              <w:ind w:left="0" w:right="0"/>
              <w:rPr>
                <w:sz w:val="20"/>
                <w:szCs w:val="20"/>
              </w:rPr>
            </w:pPr>
            <w:proofErr w:type="spellStart"/>
            <w:r>
              <w:rPr>
                <w:sz w:val="20"/>
                <w:szCs w:val="20"/>
              </w:rPr>
              <w:t>D.pte</w:t>
            </w:r>
            <w:proofErr w:type="spellEnd"/>
            <w:r w:rsidRPr="00CF6E2B">
              <w:rPr>
                <w:sz w:val="20"/>
                <w:szCs w:val="20"/>
              </w:rPr>
              <w:t xml:space="preserve"> drug substance</w:t>
            </w:r>
          </w:p>
          <w:p w14:paraId="1BACB5B5" w14:textId="776D8A91" w:rsidR="009A3348" w:rsidRDefault="009A3348" w:rsidP="009A3348">
            <w:pPr>
              <w:ind w:left="0" w:right="0"/>
            </w:pPr>
            <w:r w:rsidRPr="00CF6E2B">
              <w:rPr>
                <w:sz w:val="20"/>
                <w:szCs w:val="20"/>
              </w:rPr>
              <w:t>(sieved freeze-dried)</w:t>
            </w:r>
          </w:p>
        </w:tc>
        <w:tc>
          <w:tcPr>
            <w:tcW w:w="1744" w:type="dxa"/>
            <w:vMerge w:val="restart"/>
          </w:tcPr>
          <w:p w14:paraId="4BC3944E" w14:textId="3A9995A6" w:rsidR="009A3348" w:rsidRDefault="009A3348" w:rsidP="009A3348">
            <w:pPr>
              <w:ind w:left="0" w:right="0"/>
            </w:pPr>
            <w:r w:rsidRPr="00CF6E2B">
              <w:rPr>
                <w:sz w:val="20"/>
                <w:szCs w:val="20"/>
              </w:rPr>
              <w:t>Drug substance</w:t>
            </w:r>
          </w:p>
        </w:tc>
        <w:tc>
          <w:tcPr>
            <w:tcW w:w="1744" w:type="dxa"/>
            <w:vMerge w:val="restart"/>
          </w:tcPr>
          <w:p w14:paraId="291D4CFA" w14:textId="0A3B4414" w:rsidR="009A3348" w:rsidRDefault="009A3348" w:rsidP="009A3348">
            <w:pPr>
              <w:ind w:left="0" w:right="0"/>
            </w:pPr>
            <w:r w:rsidRPr="00CF6E2B">
              <w:rPr>
                <w:sz w:val="20"/>
                <w:szCs w:val="20"/>
              </w:rPr>
              <w:t>In-house</w:t>
            </w:r>
          </w:p>
        </w:tc>
        <w:tc>
          <w:tcPr>
            <w:tcW w:w="3488" w:type="dxa"/>
            <w:gridSpan w:val="2"/>
          </w:tcPr>
          <w:p w14:paraId="10BA88F5" w14:textId="48678125" w:rsidR="009A3348" w:rsidRDefault="009A3348" w:rsidP="009A3348">
            <w:pPr>
              <w:ind w:left="0" w:right="0"/>
            </w:pPr>
            <w:r w:rsidRPr="00CF6E2B">
              <w:rPr>
                <w:sz w:val="20"/>
                <w:szCs w:val="20"/>
              </w:rPr>
              <w:t>Quantity equivalent to</w:t>
            </w:r>
          </w:p>
        </w:tc>
      </w:tr>
      <w:tr w:rsidR="009A3348" w14:paraId="5B10DAEE" w14:textId="77777777" w:rsidTr="009A3348">
        <w:tc>
          <w:tcPr>
            <w:tcW w:w="1744" w:type="dxa"/>
            <w:vMerge/>
          </w:tcPr>
          <w:p w14:paraId="25C7C689" w14:textId="77777777" w:rsidR="009A3348" w:rsidRDefault="009A3348" w:rsidP="009A3348">
            <w:pPr>
              <w:ind w:left="0" w:right="0"/>
            </w:pPr>
          </w:p>
        </w:tc>
        <w:tc>
          <w:tcPr>
            <w:tcW w:w="1744" w:type="dxa"/>
            <w:vMerge/>
          </w:tcPr>
          <w:p w14:paraId="7C183229" w14:textId="77777777" w:rsidR="009A3348" w:rsidRDefault="009A3348" w:rsidP="009A3348">
            <w:pPr>
              <w:ind w:left="0" w:right="0"/>
            </w:pPr>
          </w:p>
        </w:tc>
        <w:tc>
          <w:tcPr>
            <w:tcW w:w="1744" w:type="dxa"/>
            <w:vMerge/>
          </w:tcPr>
          <w:p w14:paraId="4749382B" w14:textId="77777777" w:rsidR="009A3348" w:rsidRDefault="009A3348" w:rsidP="009A3348">
            <w:pPr>
              <w:ind w:left="0" w:right="0"/>
            </w:pPr>
          </w:p>
        </w:tc>
        <w:tc>
          <w:tcPr>
            <w:tcW w:w="1744" w:type="dxa"/>
          </w:tcPr>
          <w:p w14:paraId="5EFCAB67" w14:textId="79766321" w:rsidR="009A3348" w:rsidRDefault="009A3348" w:rsidP="009A3348">
            <w:pPr>
              <w:ind w:left="0" w:right="0"/>
            </w:pPr>
            <w:r w:rsidRPr="00CF6E2B">
              <w:rPr>
                <w:sz w:val="20"/>
                <w:szCs w:val="20"/>
              </w:rPr>
              <w:t>50 IR*</w:t>
            </w:r>
          </w:p>
        </w:tc>
        <w:tc>
          <w:tcPr>
            <w:tcW w:w="1744" w:type="dxa"/>
          </w:tcPr>
          <w:p w14:paraId="1E4869D5" w14:textId="3A8628DC" w:rsidR="009A3348" w:rsidRDefault="009A3348" w:rsidP="009A3348">
            <w:pPr>
              <w:ind w:left="0" w:right="0"/>
            </w:pPr>
            <w:r w:rsidRPr="00CF6E2B">
              <w:rPr>
                <w:sz w:val="20"/>
                <w:szCs w:val="20"/>
              </w:rPr>
              <w:t>150 IR*</w:t>
            </w:r>
          </w:p>
        </w:tc>
      </w:tr>
      <w:tr w:rsidR="009A3348" w14:paraId="09564835" w14:textId="77777777" w:rsidTr="005F21AA">
        <w:tc>
          <w:tcPr>
            <w:tcW w:w="1744" w:type="dxa"/>
            <w:vMerge w:val="restart"/>
          </w:tcPr>
          <w:p w14:paraId="49D60E9B" w14:textId="77777777" w:rsidR="009A3348" w:rsidRPr="00CF6E2B" w:rsidRDefault="009A3348" w:rsidP="009A3348">
            <w:pPr>
              <w:ind w:left="0" w:right="0"/>
              <w:rPr>
                <w:sz w:val="20"/>
                <w:szCs w:val="20"/>
              </w:rPr>
            </w:pPr>
            <w:proofErr w:type="spellStart"/>
            <w:r>
              <w:rPr>
                <w:sz w:val="20"/>
                <w:szCs w:val="20"/>
              </w:rPr>
              <w:t>D.far</w:t>
            </w:r>
            <w:proofErr w:type="spellEnd"/>
            <w:r w:rsidRPr="00CF6E2B">
              <w:rPr>
                <w:sz w:val="20"/>
                <w:szCs w:val="20"/>
              </w:rPr>
              <w:t xml:space="preserve"> drug substance</w:t>
            </w:r>
          </w:p>
          <w:p w14:paraId="30ABD266" w14:textId="33FB20C8" w:rsidR="009A3348" w:rsidRDefault="009A3348" w:rsidP="009A3348">
            <w:pPr>
              <w:ind w:left="0" w:right="0"/>
            </w:pPr>
            <w:r w:rsidRPr="00CF6E2B">
              <w:rPr>
                <w:sz w:val="20"/>
                <w:szCs w:val="20"/>
              </w:rPr>
              <w:t>(sieved freeze-dried)</w:t>
            </w:r>
          </w:p>
        </w:tc>
        <w:tc>
          <w:tcPr>
            <w:tcW w:w="1744" w:type="dxa"/>
            <w:vMerge w:val="restart"/>
          </w:tcPr>
          <w:p w14:paraId="4AB36926" w14:textId="0FB8B629" w:rsidR="009A3348" w:rsidRDefault="009A3348" w:rsidP="009A3348">
            <w:pPr>
              <w:ind w:left="0" w:right="0"/>
            </w:pPr>
            <w:r w:rsidRPr="00CF6E2B">
              <w:rPr>
                <w:sz w:val="20"/>
                <w:szCs w:val="20"/>
              </w:rPr>
              <w:t>Drug substance</w:t>
            </w:r>
          </w:p>
        </w:tc>
        <w:tc>
          <w:tcPr>
            <w:tcW w:w="1744" w:type="dxa"/>
            <w:vMerge w:val="restart"/>
          </w:tcPr>
          <w:p w14:paraId="5FD5A554" w14:textId="386B45D3" w:rsidR="009A3348" w:rsidRDefault="009A3348" w:rsidP="009A3348">
            <w:pPr>
              <w:ind w:left="0" w:right="0"/>
            </w:pPr>
            <w:r w:rsidRPr="00CF6E2B">
              <w:rPr>
                <w:sz w:val="20"/>
                <w:szCs w:val="20"/>
              </w:rPr>
              <w:t>In-house</w:t>
            </w:r>
          </w:p>
        </w:tc>
        <w:tc>
          <w:tcPr>
            <w:tcW w:w="3488" w:type="dxa"/>
            <w:gridSpan w:val="2"/>
          </w:tcPr>
          <w:p w14:paraId="509899EF" w14:textId="7BBD2F3C" w:rsidR="009A3348" w:rsidRDefault="009A3348" w:rsidP="009A3348">
            <w:pPr>
              <w:ind w:left="0" w:right="0"/>
            </w:pPr>
            <w:r w:rsidRPr="00CF6E2B">
              <w:rPr>
                <w:sz w:val="20"/>
                <w:szCs w:val="20"/>
              </w:rPr>
              <w:t>Quantity equivalent to</w:t>
            </w:r>
          </w:p>
        </w:tc>
      </w:tr>
      <w:tr w:rsidR="009A3348" w14:paraId="0388F176" w14:textId="77777777" w:rsidTr="009A3348">
        <w:tc>
          <w:tcPr>
            <w:tcW w:w="1744" w:type="dxa"/>
            <w:vMerge/>
          </w:tcPr>
          <w:p w14:paraId="4E1CDFB0" w14:textId="77777777" w:rsidR="009A3348" w:rsidRDefault="009A3348" w:rsidP="009A3348">
            <w:pPr>
              <w:ind w:left="0" w:right="0"/>
            </w:pPr>
          </w:p>
        </w:tc>
        <w:tc>
          <w:tcPr>
            <w:tcW w:w="1744" w:type="dxa"/>
            <w:vMerge/>
          </w:tcPr>
          <w:p w14:paraId="44BE32E3" w14:textId="77777777" w:rsidR="009A3348" w:rsidRDefault="009A3348" w:rsidP="009A3348">
            <w:pPr>
              <w:ind w:left="0" w:right="0"/>
            </w:pPr>
          </w:p>
        </w:tc>
        <w:tc>
          <w:tcPr>
            <w:tcW w:w="1744" w:type="dxa"/>
            <w:vMerge/>
          </w:tcPr>
          <w:p w14:paraId="4FB30109" w14:textId="77777777" w:rsidR="009A3348" w:rsidRDefault="009A3348" w:rsidP="009A3348">
            <w:pPr>
              <w:ind w:left="0" w:right="0"/>
            </w:pPr>
          </w:p>
        </w:tc>
        <w:tc>
          <w:tcPr>
            <w:tcW w:w="1744" w:type="dxa"/>
          </w:tcPr>
          <w:p w14:paraId="213B968E" w14:textId="0D557360" w:rsidR="009A3348" w:rsidRDefault="009A3348" w:rsidP="009A3348">
            <w:pPr>
              <w:ind w:left="0" w:right="0"/>
            </w:pPr>
            <w:r w:rsidRPr="00CF6E2B">
              <w:rPr>
                <w:sz w:val="20"/>
                <w:szCs w:val="20"/>
              </w:rPr>
              <w:t>50 IR*</w:t>
            </w:r>
          </w:p>
        </w:tc>
        <w:tc>
          <w:tcPr>
            <w:tcW w:w="1744" w:type="dxa"/>
          </w:tcPr>
          <w:p w14:paraId="060B88BA" w14:textId="5625A7A6" w:rsidR="009A3348" w:rsidRDefault="009A3348" w:rsidP="009A3348">
            <w:pPr>
              <w:ind w:left="0" w:right="0"/>
            </w:pPr>
            <w:r w:rsidRPr="00CF6E2B">
              <w:rPr>
                <w:sz w:val="20"/>
                <w:szCs w:val="20"/>
              </w:rPr>
              <w:t>150 IR*</w:t>
            </w:r>
          </w:p>
        </w:tc>
      </w:tr>
      <w:tr w:rsidR="009A3348" w14:paraId="430938A6" w14:textId="77777777" w:rsidTr="008D0C68">
        <w:tc>
          <w:tcPr>
            <w:tcW w:w="8720" w:type="dxa"/>
            <w:gridSpan w:val="5"/>
          </w:tcPr>
          <w:p w14:paraId="368FBB17" w14:textId="5582AAB7" w:rsidR="009A3348" w:rsidRDefault="009A3348" w:rsidP="009A3348">
            <w:pPr>
              <w:ind w:left="0" w:right="0"/>
            </w:pPr>
            <w:r w:rsidRPr="00CA36DF">
              <w:rPr>
                <w:b/>
                <w:sz w:val="20"/>
                <w:szCs w:val="20"/>
              </w:rPr>
              <w:t>Excipients</w:t>
            </w:r>
          </w:p>
        </w:tc>
      </w:tr>
      <w:tr w:rsidR="009A3348" w14:paraId="2BB66F63" w14:textId="77777777" w:rsidTr="009A3348">
        <w:tc>
          <w:tcPr>
            <w:tcW w:w="1744" w:type="dxa"/>
          </w:tcPr>
          <w:p w14:paraId="09C11BCE" w14:textId="7867332E" w:rsidR="009A3348" w:rsidRPr="009A3348" w:rsidRDefault="009A3348" w:rsidP="009A3348">
            <w:pPr>
              <w:ind w:left="0" w:right="0"/>
              <w:rPr>
                <w:sz w:val="20"/>
                <w:szCs w:val="20"/>
              </w:rPr>
            </w:pPr>
            <w:r w:rsidRPr="00CF6E2B">
              <w:rPr>
                <w:sz w:val="20"/>
                <w:szCs w:val="20"/>
              </w:rPr>
              <w:t>Microcrystalline cellulose</w:t>
            </w:r>
          </w:p>
        </w:tc>
        <w:tc>
          <w:tcPr>
            <w:tcW w:w="1744" w:type="dxa"/>
          </w:tcPr>
          <w:p w14:paraId="5054691B" w14:textId="2A235CC8" w:rsidR="009A3348" w:rsidRPr="009A3348" w:rsidRDefault="009A3348" w:rsidP="009A3348">
            <w:pPr>
              <w:ind w:left="0" w:right="0"/>
              <w:rPr>
                <w:sz w:val="20"/>
                <w:szCs w:val="20"/>
              </w:rPr>
            </w:pPr>
            <w:r w:rsidRPr="00CF6E2B">
              <w:rPr>
                <w:sz w:val="20"/>
                <w:szCs w:val="20"/>
              </w:rPr>
              <w:t>Binder</w:t>
            </w:r>
          </w:p>
        </w:tc>
        <w:tc>
          <w:tcPr>
            <w:tcW w:w="1744" w:type="dxa"/>
          </w:tcPr>
          <w:p w14:paraId="5150FE49" w14:textId="29AB1BE1" w:rsidR="009A3348" w:rsidRPr="009A3348" w:rsidRDefault="009A3348" w:rsidP="009A3348">
            <w:pPr>
              <w:ind w:left="0" w:right="0"/>
              <w:rPr>
                <w:sz w:val="20"/>
                <w:szCs w:val="20"/>
              </w:rPr>
            </w:pPr>
            <w:r w:rsidRPr="00CF6E2B">
              <w:rPr>
                <w:sz w:val="20"/>
                <w:szCs w:val="20"/>
              </w:rPr>
              <w:t>USP-NF / JP / Ph. Eur.</w:t>
            </w:r>
          </w:p>
        </w:tc>
        <w:tc>
          <w:tcPr>
            <w:tcW w:w="1744" w:type="dxa"/>
          </w:tcPr>
          <w:p w14:paraId="2B380951" w14:textId="77777777" w:rsidR="009A3348" w:rsidRPr="009A3348" w:rsidRDefault="009A3348" w:rsidP="009A3348">
            <w:pPr>
              <w:ind w:left="0" w:right="0"/>
              <w:rPr>
                <w:sz w:val="20"/>
                <w:szCs w:val="20"/>
              </w:rPr>
            </w:pPr>
          </w:p>
        </w:tc>
        <w:tc>
          <w:tcPr>
            <w:tcW w:w="1744" w:type="dxa"/>
          </w:tcPr>
          <w:p w14:paraId="1FCA3741" w14:textId="77777777" w:rsidR="009A3348" w:rsidRPr="009A3348" w:rsidRDefault="009A3348" w:rsidP="009A3348">
            <w:pPr>
              <w:ind w:left="0" w:right="0"/>
              <w:rPr>
                <w:sz w:val="20"/>
                <w:szCs w:val="20"/>
              </w:rPr>
            </w:pPr>
          </w:p>
        </w:tc>
      </w:tr>
      <w:tr w:rsidR="009A3348" w14:paraId="374471CA" w14:textId="77777777" w:rsidTr="009A3348">
        <w:tc>
          <w:tcPr>
            <w:tcW w:w="1744" w:type="dxa"/>
          </w:tcPr>
          <w:p w14:paraId="4BFD2D28" w14:textId="7ADD8254" w:rsidR="009A3348" w:rsidRPr="009A3348" w:rsidRDefault="009A3348" w:rsidP="009A3348">
            <w:pPr>
              <w:ind w:left="0" w:right="0"/>
              <w:rPr>
                <w:sz w:val="20"/>
                <w:szCs w:val="20"/>
              </w:rPr>
            </w:pPr>
            <w:proofErr w:type="spellStart"/>
            <w:r w:rsidRPr="00CF6E2B">
              <w:rPr>
                <w:sz w:val="20"/>
                <w:szCs w:val="20"/>
              </w:rPr>
              <w:t>Croscarmellose</w:t>
            </w:r>
            <w:proofErr w:type="spellEnd"/>
            <w:r w:rsidRPr="00CF6E2B">
              <w:rPr>
                <w:sz w:val="20"/>
                <w:szCs w:val="20"/>
              </w:rPr>
              <w:t xml:space="preserve"> sodium</w:t>
            </w:r>
          </w:p>
        </w:tc>
        <w:tc>
          <w:tcPr>
            <w:tcW w:w="1744" w:type="dxa"/>
          </w:tcPr>
          <w:p w14:paraId="4ABA46CD" w14:textId="1EDDBC6A" w:rsidR="009A3348" w:rsidRPr="009A3348" w:rsidRDefault="009A3348" w:rsidP="009A3348">
            <w:pPr>
              <w:ind w:left="0" w:right="0"/>
              <w:rPr>
                <w:sz w:val="20"/>
                <w:szCs w:val="20"/>
              </w:rPr>
            </w:pPr>
            <w:proofErr w:type="spellStart"/>
            <w:r>
              <w:rPr>
                <w:sz w:val="20"/>
                <w:szCs w:val="20"/>
              </w:rPr>
              <w:t>Disintegrant</w:t>
            </w:r>
            <w:proofErr w:type="spellEnd"/>
          </w:p>
        </w:tc>
        <w:tc>
          <w:tcPr>
            <w:tcW w:w="1744" w:type="dxa"/>
          </w:tcPr>
          <w:p w14:paraId="673AF632" w14:textId="3B91F790" w:rsidR="009A3348" w:rsidRPr="009A3348" w:rsidRDefault="009A3348" w:rsidP="009A3348">
            <w:pPr>
              <w:ind w:left="0" w:right="0"/>
              <w:rPr>
                <w:sz w:val="20"/>
                <w:szCs w:val="20"/>
              </w:rPr>
            </w:pPr>
            <w:r w:rsidRPr="00CF6E2B">
              <w:rPr>
                <w:sz w:val="20"/>
                <w:szCs w:val="20"/>
              </w:rPr>
              <w:t>USP-NF / JP / Ph. Eur.</w:t>
            </w:r>
          </w:p>
        </w:tc>
        <w:tc>
          <w:tcPr>
            <w:tcW w:w="1744" w:type="dxa"/>
          </w:tcPr>
          <w:p w14:paraId="5C03C031" w14:textId="77777777" w:rsidR="009A3348" w:rsidRPr="009A3348" w:rsidRDefault="009A3348" w:rsidP="009A3348">
            <w:pPr>
              <w:ind w:left="0" w:right="0"/>
              <w:rPr>
                <w:sz w:val="20"/>
                <w:szCs w:val="20"/>
              </w:rPr>
            </w:pPr>
          </w:p>
        </w:tc>
        <w:tc>
          <w:tcPr>
            <w:tcW w:w="1744" w:type="dxa"/>
          </w:tcPr>
          <w:p w14:paraId="16F10473" w14:textId="77777777" w:rsidR="009A3348" w:rsidRPr="009A3348" w:rsidRDefault="009A3348" w:rsidP="009A3348">
            <w:pPr>
              <w:ind w:left="0" w:right="0"/>
              <w:rPr>
                <w:sz w:val="20"/>
                <w:szCs w:val="20"/>
              </w:rPr>
            </w:pPr>
          </w:p>
        </w:tc>
      </w:tr>
      <w:tr w:rsidR="009A3348" w14:paraId="7BC9287B" w14:textId="77777777" w:rsidTr="009A3348">
        <w:tc>
          <w:tcPr>
            <w:tcW w:w="1744" w:type="dxa"/>
          </w:tcPr>
          <w:p w14:paraId="6CDE6B28" w14:textId="69D32CF8" w:rsidR="009A3348" w:rsidRPr="009A3348" w:rsidRDefault="009A3348" w:rsidP="009A3348">
            <w:pPr>
              <w:ind w:left="0" w:right="0"/>
              <w:rPr>
                <w:sz w:val="20"/>
                <w:szCs w:val="20"/>
              </w:rPr>
            </w:pPr>
            <w:r w:rsidRPr="00CF6E2B">
              <w:rPr>
                <w:sz w:val="20"/>
                <w:szCs w:val="20"/>
              </w:rPr>
              <w:t>Colloidal anhydrous silica</w:t>
            </w:r>
          </w:p>
        </w:tc>
        <w:tc>
          <w:tcPr>
            <w:tcW w:w="1744" w:type="dxa"/>
          </w:tcPr>
          <w:p w14:paraId="2BC1D63E" w14:textId="6571283E" w:rsidR="009A3348" w:rsidRPr="009A3348" w:rsidRDefault="009A3348" w:rsidP="009A3348">
            <w:pPr>
              <w:ind w:left="0" w:right="0"/>
              <w:rPr>
                <w:sz w:val="20"/>
                <w:szCs w:val="20"/>
              </w:rPr>
            </w:pPr>
            <w:proofErr w:type="spellStart"/>
            <w:r w:rsidRPr="00CF6E2B">
              <w:rPr>
                <w:sz w:val="20"/>
                <w:szCs w:val="20"/>
              </w:rPr>
              <w:t>Glidant</w:t>
            </w:r>
            <w:proofErr w:type="spellEnd"/>
          </w:p>
        </w:tc>
        <w:tc>
          <w:tcPr>
            <w:tcW w:w="1744" w:type="dxa"/>
          </w:tcPr>
          <w:p w14:paraId="4644D3FA" w14:textId="4121BFEB" w:rsidR="009A3348" w:rsidRPr="009A3348" w:rsidRDefault="009A3348" w:rsidP="009A3348">
            <w:pPr>
              <w:ind w:left="0" w:right="0"/>
              <w:rPr>
                <w:sz w:val="20"/>
                <w:szCs w:val="20"/>
              </w:rPr>
            </w:pPr>
            <w:r w:rsidRPr="00CF6E2B">
              <w:rPr>
                <w:sz w:val="20"/>
                <w:szCs w:val="20"/>
              </w:rPr>
              <w:t>USP-NF / JP / Ph. Eur.</w:t>
            </w:r>
          </w:p>
        </w:tc>
        <w:tc>
          <w:tcPr>
            <w:tcW w:w="1744" w:type="dxa"/>
          </w:tcPr>
          <w:p w14:paraId="5984F449" w14:textId="77777777" w:rsidR="009A3348" w:rsidRPr="009A3348" w:rsidRDefault="009A3348" w:rsidP="009A3348">
            <w:pPr>
              <w:ind w:left="0" w:right="0"/>
              <w:rPr>
                <w:sz w:val="20"/>
                <w:szCs w:val="20"/>
              </w:rPr>
            </w:pPr>
          </w:p>
        </w:tc>
        <w:tc>
          <w:tcPr>
            <w:tcW w:w="1744" w:type="dxa"/>
          </w:tcPr>
          <w:p w14:paraId="5C9C85E2" w14:textId="77777777" w:rsidR="009A3348" w:rsidRPr="009A3348" w:rsidRDefault="009A3348" w:rsidP="009A3348">
            <w:pPr>
              <w:ind w:left="0" w:right="0"/>
              <w:rPr>
                <w:sz w:val="20"/>
                <w:szCs w:val="20"/>
              </w:rPr>
            </w:pPr>
          </w:p>
        </w:tc>
      </w:tr>
      <w:tr w:rsidR="009A3348" w14:paraId="70CE9E06" w14:textId="77777777" w:rsidTr="009A3348">
        <w:tc>
          <w:tcPr>
            <w:tcW w:w="1744" w:type="dxa"/>
          </w:tcPr>
          <w:p w14:paraId="3DFAE061" w14:textId="46CC7BB4" w:rsidR="009A3348" w:rsidRPr="009A3348" w:rsidRDefault="009A3348" w:rsidP="009A3348">
            <w:pPr>
              <w:ind w:left="0" w:right="0"/>
              <w:rPr>
                <w:sz w:val="20"/>
                <w:szCs w:val="20"/>
              </w:rPr>
            </w:pPr>
            <w:r w:rsidRPr="00CF6E2B">
              <w:rPr>
                <w:sz w:val="20"/>
                <w:szCs w:val="20"/>
              </w:rPr>
              <w:t>Magnesium stearate</w:t>
            </w:r>
          </w:p>
        </w:tc>
        <w:tc>
          <w:tcPr>
            <w:tcW w:w="1744" w:type="dxa"/>
          </w:tcPr>
          <w:p w14:paraId="5C7EC313" w14:textId="2DB2805C" w:rsidR="009A3348" w:rsidRPr="009A3348" w:rsidRDefault="009A3348" w:rsidP="009A3348">
            <w:pPr>
              <w:ind w:left="0" w:right="0"/>
              <w:rPr>
                <w:sz w:val="20"/>
                <w:szCs w:val="20"/>
              </w:rPr>
            </w:pPr>
            <w:r w:rsidRPr="00CF6E2B">
              <w:rPr>
                <w:sz w:val="20"/>
                <w:szCs w:val="20"/>
              </w:rPr>
              <w:t>Lubricant</w:t>
            </w:r>
          </w:p>
        </w:tc>
        <w:tc>
          <w:tcPr>
            <w:tcW w:w="1744" w:type="dxa"/>
          </w:tcPr>
          <w:p w14:paraId="060EA7F1" w14:textId="33F30657" w:rsidR="009A3348" w:rsidRPr="009A3348" w:rsidRDefault="009A3348" w:rsidP="009A3348">
            <w:pPr>
              <w:ind w:left="0" w:right="0"/>
              <w:rPr>
                <w:sz w:val="20"/>
                <w:szCs w:val="20"/>
              </w:rPr>
            </w:pPr>
            <w:r w:rsidRPr="00CF6E2B">
              <w:rPr>
                <w:sz w:val="20"/>
                <w:szCs w:val="20"/>
              </w:rPr>
              <w:t>USP-NF / JP / Ph. Eur.</w:t>
            </w:r>
          </w:p>
        </w:tc>
        <w:tc>
          <w:tcPr>
            <w:tcW w:w="1744" w:type="dxa"/>
          </w:tcPr>
          <w:p w14:paraId="7B4D7B93" w14:textId="77777777" w:rsidR="009A3348" w:rsidRPr="009A3348" w:rsidRDefault="009A3348" w:rsidP="009A3348">
            <w:pPr>
              <w:ind w:left="0" w:right="0"/>
              <w:rPr>
                <w:sz w:val="20"/>
                <w:szCs w:val="20"/>
              </w:rPr>
            </w:pPr>
          </w:p>
        </w:tc>
        <w:tc>
          <w:tcPr>
            <w:tcW w:w="1744" w:type="dxa"/>
          </w:tcPr>
          <w:p w14:paraId="668AAAFD" w14:textId="77777777" w:rsidR="009A3348" w:rsidRPr="009A3348" w:rsidRDefault="009A3348" w:rsidP="009A3348">
            <w:pPr>
              <w:ind w:left="0" w:right="0"/>
              <w:rPr>
                <w:sz w:val="20"/>
                <w:szCs w:val="20"/>
              </w:rPr>
            </w:pPr>
          </w:p>
        </w:tc>
      </w:tr>
      <w:tr w:rsidR="009A3348" w14:paraId="2F17BCCA" w14:textId="77777777" w:rsidTr="009A3348">
        <w:tc>
          <w:tcPr>
            <w:tcW w:w="1744" w:type="dxa"/>
          </w:tcPr>
          <w:p w14:paraId="3FAD4A0A" w14:textId="0D4704EF" w:rsidR="009A3348" w:rsidRPr="009A3348" w:rsidRDefault="009A3348" w:rsidP="009A3348">
            <w:pPr>
              <w:ind w:left="0" w:right="0"/>
              <w:rPr>
                <w:sz w:val="20"/>
                <w:szCs w:val="20"/>
              </w:rPr>
            </w:pPr>
            <w:r w:rsidRPr="00CF6E2B">
              <w:rPr>
                <w:sz w:val="20"/>
                <w:szCs w:val="20"/>
              </w:rPr>
              <w:t>Lactose monohydrate</w:t>
            </w:r>
          </w:p>
        </w:tc>
        <w:tc>
          <w:tcPr>
            <w:tcW w:w="1744" w:type="dxa"/>
          </w:tcPr>
          <w:p w14:paraId="75FE413D" w14:textId="789509AE" w:rsidR="009A3348" w:rsidRPr="009A3348" w:rsidRDefault="009A3348" w:rsidP="009A3348">
            <w:pPr>
              <w:ind w:left="0" w:right="0"/>
              <w:rPr>
                <w:sz w:val="20"/>
                <w:szCs w:val="20"/>
              </w:rPr>
            </w:pPr>
            <w:r w:rsidRPr="00CF6E2B">
              <w:rPr>
                <w:sz w:val="20"/>
                <w:szCs w:val="20"/>
              </w:rPr>
              <w:t>Filler</w:t>
            </w:r>
          </w:p>
        </w:tc>
        <w:tc>
          <w:tcPr>
            <w:tcW w:w="1744" w:type="dxa"/>
          </w:tcPr>
          <w:p w14:paraId="3619B8AC" w14:textId="08A155A5" w:rsidR="009A3348" w:rsidRPr="009A3348" w:rsidRDefault="009A3348" w:rsidP="009A3348">
            <w:pPr>
              <w:ind w:left="0" w:right="0"/>
              <w:rPr>
                <w:sz w:val="20"/>
                <w:szCs w:val="20"/>
              </w:rPr>
            </w:pPr>
            <w:r w:rsidRPr="00CF6E2B">
              <w:rPr>
                <w:sz w:val="20"/>
                <w:szCs w:val="20"/>
              </w:rPr>
              <w:t>USP-NF / JP / Ph. Eur.</w:t>
            </w:r>
          </w:p>
        </w:tc>
        <w:tc>
          <w:tcPr>
            <w:tcW w:w="1744" w:type="dxa"/>
          </w:tcPr>
          <w:p w14:paraId="13CE6D89" w14:textId="77777777" w:rsidR="009A3348" w:rsidRPr="009A3348" w:rsidRDefault="009A3348" w:rsidP="009A3348">
            <w:pPr>
              <w:ind w:left="0" w:right="0"/>
              <w:rPr>
                <w:sz w:val="20"/>
                <w:szCs w:val="20"/>
              </w:rPr>
            </w:pPr>
          </w:p>
        </w:tc>
        <w:tc>
          <w:tcPr>
            <w:tcW w:w="1744" w:type="dxa"/>
          </w:tcPr>
          <w:p w14:paraId="714CEC72" w14:textId="77777777" w:rsidR="009A3348" w:rsidRPr="009A3348" w:rsidRDefault="009A3348" w:rsidP="009A3348">
            <w:pPr>
              <w:ind w:left="0" w:right="0"/>
              <w:rPr>
                <w:sz w:val="20"/>
                <w:szCs w:val="20"/>
              </w:rPr>
            </w:pPr>
          </w:p>
        </w:tc>
      </w:tr>
    </w:tbl>
    <w:p w14:paraId="6452F1C3" w14:textId="77777777" w:rsidR="00CA36DF" w:rsidRDefault="00CA36DF" w:rsidP="00CA36DF">
      <w:pPr>
        <w:rPr>
          <w:rFonts w:asciiTheme="minorHAnsi" w:hAnsiTheme="minorHAnsi"/>
        </w:rPr>
      </w:pPr>
      <w:r w:rsidRPr="00E00659">
        <w:rPr>
          <w:rFonts w:asciiTheme="minorHAnsi" w:hAnsiTheme="minorHAnsi"/>
        </w:rPr>
        <w:t>The proposed specifications, which control identity, potency, purity, dose delivery and other physical, chemical and microbiological properties relevant to the clinical use of the product</w:t>
      </w:r>
      <w:r>
        <w:rPr>
          <w:rFonts w:asciiTheme="minorHAnsi" w:hAnsiTheme="minorHAnsi"/>
        </w:rPr>
        <w:t xml:space="preserve"> were reviewed and were acceptable.</w:t>
      </w:r>
    </w:p>
    <w:p w14:paraId="5D11B183" w14:textId="77777777" w:rsidR="00CA36DF" w:rsidRPr="00E00659" w:rsidRDefault="00CA36DF" w:rsidP="00CA36DF">
      <w:pPr>
        <w:rPr>
          <w:rFonts w:asciiTheme="minorHAnsi" w:hAnsiTheme="minorHAnsi"/>
        </w:rPr>
      </w:pPr>
      <w:r>
        <w:rPr>
          <w:rFonts w:asciiTheme="minorHAnsi" w:hAnsiTheme="minorHAnsi"/>
          <w:lang w:val="en-US"/>
        </w:rPr>
        <w:lastRenderedPageBreak/>
        <w:t>T</w:t>
      </w:r>
      <w:r w:rsidRPr="00BB56FF">
        <w:rPr>
          <w:rFonts w:asciiTheme="minorHAnsi" w:hAnsiTheme="minorHAnsi"/>
          <w:lang w:val="en-US"/>
        </w:rPr>
        <w:t xml:space="preserve">he results from stability studies conducted on </w:t>
      </w:r>
      <w:r w:rsidR="0098487B">
        <w:rPr>
          <w:rFonts w:asciiTheme="minorHAnsi" w:hAnsiTheme="minorHAnsi"/>
          <w:lang w:val="en-US"/>
        </w:rPr>
        <w:t>House dust mite</w:t>
      </w:r>
      <w:r w:rsidRPr="00BB56FF">
        <w:rPr>
          <w:rFonts w:asciiTheme="minorHAnsi" w:hAnsiTheme="minorHAnsi"/>
          <w:lang w:val="en-US"/>
        </w:rPr>
        <w:t xml:space="preserve"> 100 IR and 300 IR sub</w:t>
      </w:r>
      <w:r w:rsidR="0098487B">
        <w:rPr>
          <w:rFonts w:asciiTheme="minorHAnsi" w:hAnsiTheme="minorHAnsi"/>
          <w:lang w:val="en-US"/>
        </w:rPr>
        <w:t xml:space="preserve">lingual tablets from commercial </w:t>
      </w:r>
      <w:r w:rsidRPr="00BB56FF">
        <w:rPr>
          <w:rFonts w:asciiTheme="minorHAnsi" w:hAnsiTheme="minorHAnsi"/>
          <w:lang w:val="en-US"/>
        </w:rPr>
        <w:t xml:space="preserve">scale batches packaged in </w:t>
      </w:r>
      <w:proofErr w:type="spellStart"/>
      <w:r w:rsidRPr="00BB56FF">
        <w:rPr>
          <w:rFonts w:asciiTheme="minorHAnsi" w:hAnsiTheme="minorHAnsi"/>
          <w:lang w:val="en-US"/>
        </w:rPr>
        <w:t>Alu</w:t>
      </w:r>
      <w:proofErr w:type="spellEnd"/>
      <w:r w:rsidRPr="00BB56FF">
        <w:rPr>
          <w:rFonts w:asciiTheme="minorHAnsi" w:hAnsiTheme="minorHAnsi"/>
          <w:lang w:val="en-US"/>
        </w:rPr>
        <w:t>/</w:t>
      </w:r>
      <w:proofErr w:type="spellStart"/>
      <w:r w:rsidRPr="00BB56FF">
        <w:rPr>
          <w:rFonts w:asciiTheme="minorHAnsi" w:hAnsiTheme="minorHAnsi"/>
          <w:lang w:val="en-US"/>
        </w:rPr>
        <w:t>Alu</w:t>
      </w:r>
      <w:proofErr w:type="spellEnd"/>
      <w:r w:rsidRPr="00BB56FF">
        <w:rPr>
          <w:rFonts w:asciiTheme="minorHAnsi" w:hAnsiTheme="minorHAnsi"/>
          <w:lang w:val="en-US"/>
        </w:rPr>
        <w:t xml:space="preserve"> blisters support a 24 month shelf-life when stored at or b</w:t>
      </w:r>
      <w:r>
        <w:rPr>
          <w:rFonts w:asciiTheme="minorHAnsi" w:hAnsiTheme="minorHAnsi"/>
          <w:lang w:val="en-US"/>
        </w:rPr>
        <w:t>elow 30°C.</w:t>
      </w:r>
    </w:p>
    <w:p w14:paraId="0AD3C91B" w14:textId="77777777" w:rsidR="008E7846" w:rsidRPr="008751DC" w:rsidRDefault="008E7846" w:rsidP="008E7846">
      <w:pPr>
        <w:pStyle w:val="Heading3"/>
      </w:pPr>
      <w:bookmarkStart w:id="37" w:name="_Toc247691509"/>
      <w:bookmarkStart w:id="38" w:name="_Toc314842493"/>
      <w:bookmarkStart w:id="39" w:name="_Toc482791289"/>
      <w:bookmarkEnd w:id="31"/>
      <w:r>
        <w:t>Quality s</w:t>
      </w:r>
      <w:r w:rsidRPr="008751DC">
        <w:t>ummary</w:t>
      </w:r>
      <w:r>
        <w:t xml:space="preserve"> and conclusions</w:t>
      </w:r>
      <w:bookmarkEnd w:id="37"/>
      <w:bookmarkEnd w:id="38"/>
      <w:bookmarkEnd w:id="39"/>
    </w:p>
    <w:p w14:paraId="79D6D477" w14:textId="77777777" w:rsidR="00221ADC" w:rsidRPr="00221ADC" w:rsidRDefault="00221ADC" w:rsidP="00221ADC">
      <w:r w:rsidRPr="00221ADC">
        <w:t>The administrative, product usage, chemical, pharmaceutical, microbiological data submitted in support of this application have been evaluated in accordance with the Australian legislation, pharmacopoeial standards and relevant technical guidelines adopted by the TGA.</w:t>
      </w:r>
    </w:p>
    <w:p w14:paraId="41A1DA42" w14:textId="77777777" w:rsidR="00221ADC" w:rsidRPr="0098487B" w:rsidRDefault="00221ADC" w:rsidP="0098487B">
      <w:pPr>
        <w:spacing w:before="60"/>
        <w:rPr>
          <w:rFonts w:asciiTheme="minorHAnsi" w:hAnsiTheme="minorHAnsi"/>
        </w:rPr>
      </w:pPr>
      <w:r>
        <w:t xml:space="preserve">The </w:t>
      </w:r>
      <w:r w:rsidR="00CA36DF">
        <w:t>quality evaluators</w:t>
      </w:r>
      <w:r>
        <w:t xml:space="preserve"> recommend that</w:t>
      </w:r>
      <w:r w:rsidR="0098487B">
        <w:rPr>
          <w:rFonts w:asciiTheme="minorHAnsi" w:hAnsiTheme="minorHAnsi"/>
        </w:rPr>
        <w:t xml:space="preserve"> </w:t>
      </w:r>
      <w:r w:rsidRPr="008022FF">
        <w:rPr>
          <w:rFonts w:asciiTheme="minorHAnsi" w:hAnsiTheme="minorHAnsi"/>
        </w:rPr>
        <w:t>A</w:t>
      </w:r>
      <w:r w:rsidR="0098487B" w:rsidRPr="008022FF">
        <w:rPr>
          <w:rFonts w:asciiTheme="minorHAnsi" w:hAnsiTheme="minorHAnsi"/>
        </w:rPr>
        <w:t>ctair</w:t>
      </w:r>
      <w:r w:rsidRPr="008022FF">
        <w:rPr>
          <w:rFonts w:asciiTheme="minorHAnsi" w:hAnsiTheme="minorHAnsi"/>
        </w:rPr>
        <w:t xml:space="preserve"> 100</w:t>
      </w:r>
      <w:r w:rsidR="002A0FA3">
        <w:rPr>
          <w:rFonts w:asciiTheme="minorHAnsi" w:hAnsiTheme="minorHAnsi"/>
        </w:rPr>
        <w:t xml:space="preserve"> </w:t>
      </w:r>
      <w:r w:rsidRPr="008022FF">
        <w:rPr>
          <w:rFonts w:asciiTheme="minorHAnsi" w:hAnsiTheme="minorHAnsi"/>
        </w:rPr>
        <w:t xml:space="preserve">IR </w:t>
      </w:r>
      <w:r w:rsidR="00CA36DF">
        <w:rPr>
          <w:rFonts w:asciiTheme="minorHAnsi" w:hAnsiTheme="minorHAnsi"/>
        </w:rPr>
        <w:t>and</w:t>
      </w:r>
      <w:r w:rsidR="0098487B">
        <w:rPr>
          <w:rFonts w:asciiTheme="minorHAnsi" w:hAnsiTheme="minorHAnsi"/>
        </w:rPr>
        <w:t xml:space="preserve"> 300</w:t>
      </w:r>
      <w:r w:rsidR="002A0FA3">
        <w:rPr>
          <w:rFonts w:asciiTheme="minorHAnsi" w:hAnsiTheme="minorHAnsi"/>
        </w:rPr>
        <w:t xml:space="preserve"> I</w:t>
      </w:r>
      <w:r w:rsidR="0098487B">
        <w:rPr>
          <w:rFonts w:asciiTheme="minorHAnsi" w:hAnsiTheme="minorHAnsi"/>
        </w:rPr>
        <w:t>R sublingual tablets</w:t>
      </w:r>
      <w:r w:rsidR="0098487B">
        <w:t xml:space="preserve"> </w:t>
      </w:r>
      <w:r w:rsidR="00CA36DF">
        <w:t>should be approved.</w:t>
      </w:r>
    </w:p>
    <w:p w14:paraId="793EE7B8" w14:textId="77777777" w:rsidR="008E7846" w:rsidRDefault="008E7846" w:rsidP="008E7846">
      <w:pPr>
        <w:pStyle w:val="Heading2"/>
      </w:pPr>
      <w:bookmarkStart w:id="40" w:name="_Toc196046439"/>
      <w:bookmarkStart w:id="41" w:name="_Toc247691510"/>
      <w:bookmarkStart w:id="42" w:name="_Toc314842494"/>
      <w:bookmarkStart w:id="43" w:name="_Toc482791290"/>
      <w:r>
        <w:t>III. Nonclinical</w:t>
      </w:r>
      <w:bookmarkEnd w:id="40"/>
      <w:r>
        <w:t xml:space="preserve"> findings</w:t>
      </w:r>
      <w:bookmarkEnd w:id="41"/>
      <w:bookmarkEnd w:id="42"/>
      <w:bookmarkEnd w:id="43"/>
    </w:p>
    <w:p w14:paraId="7D4C8490" w14:textId="77777777" w:rsidR="008E7846" w:rsidRDefault="008E7846" w:rsidP="00940A89">
      <w:pPr>
        <w:pStyle w:val="Heading3"/>
      </w:pPr>
      <w:bookmarkStart w:id="44" w:name="_Toc247691511"/>
      <w:bookmarkStart w:id="45" w:name="_Toc314842495"/>
      <w:bookmarkStart w:id="46" w:name="_Toc482791291"/>
      <w:r>
        <w:t>Introduction</w:t>
      </w:r>
      <w:bookmarkEnd w:id="44"/>
      <w:bookmarkEnd w:id="45"/>
      <w:bookmarkEnd w:id="46"/>
    </w:p>
    <w:p w14:paraId="7B8678ED" w14:textId="668EF9D6" w:rsidR="004334C7" w:rsidRPr="00113FF8" w:rsidRDefault="00113FF8" w:rsidP="00113FF8">
      <w:r w:rsidRPr="00113FF8">
        <w:t xml:space="preserve">The overall quality of the nonclinical dossier was satisfactory. While some aspects of the primary pharmacology and pharmacodynamics were addressed using published literature the toxicity data was primarily gathered from </w:t>
      </w:r>
      <w:r w:rsidR="00A0120A">
        <w:t>Good L</w:t>
      </w:r>
      <w:r w:rsidR="00084440">
        <w:t xml:space="preserve">aboratory </w:t>
      </w:r>
      <w:r w:rsidR="00A0120A">
        <w:t>P</w:t>
      </w:r>
      <w:r w:rsidR="00A0120A" w:rsidRPr="00084440">
        <w:t xml:space="preserve">ractice </w:t>
      </w:r>
      <w:r w:rsidR="00084440" w:rsidRPr="00084440">
        <w:t>(</w:t>
      </w:r>
      <w:r w:rsidRPr="00084440">
        <w:t>GLP</w:t>
      </w:r>
      <w:r w:rsidR="00084440" w:rsidRPr="00084440">
        <w:t xml:space="preserve">) </w:t>
      </w:r>
      <w:r w:rsidRPr="00084440">
        <w:t>compliant</w:t>
      </w:r>
      <w:r w:rsidRPr="00113FF8">
        <w:t xml:space="preserve"> laboratory studies. To this end, classical secondary pharmacodynamic, safety pharmacology and pharmacokinetic studies were not conducted owing to the nature of A</w:t>
      </w:r>
      <w:r w:rsidR="00084440" w:rsidRPr="00113FF8">
        <w:t>ctair</w:t>
      </w:r>
      <w:r w:rsidRPr="00113FF8">
        <w:t xml:space="preserve"> and limited justification was also provided for omission of </w:t>
      </w:r>
      <w:r w:rsidR="00A0120A" w:rsidRPr="00113FF8">
        <w:t>carcinogen</w:t>
      </w:r>
      <w:r w:rsidR="00A0120A">
        <w:t>icity</w:t>
      </w:r>
      <w:r w:rsidR="00A0120A" w:rsidRPr="00113FF8">
        <w:t xml:space="preserve"> </w:t>
      </w:r>
      <w:r w:rsidRPr="00113FF8">
        <w:t>and some</w:t>
      </w:r>
      <w:r w:rsidR="00084440">
        <w:t xml:space="preserve"> reproductive toxicity studies.</w:t>
      </w:r>
    </w:p>
    <w:p w14:paraId="70DA1C99" w14:textId="77777777" w:rsidR="008E7846" w:rsidRDefault="008E7846" w:rsidP="008E7846">
      <w:pPr>
        <w:pStyle w:val="Heading3"/>
      </w:pPr>
      <w:bookmarkStart w:id="47" w:name="_Toc247691512"/>
      <w:bookmarkStart w:id="48" w:name="_Toc314842496"/>
      <w:bookmarkStart w:id="49" w:name="_Toc482791292"/>
      <w:r w:rsidRPr="00020030">
        <w:t>Pharmacology</w:t>
      </w:r>
      <w:bookmarkEnd w:id="47"/>
      <w:bookmarkEnd w:id="48"/>
      <w:bookmarkEnd w:id="49"/>
    </w:p>
    <w:p w14:paraId="7A880733" w14:textId="77777777" w:rsidR="00113FF8" w:rsidRPr="00113FF8" w:rsidRDefault="00084440" w:rsidP="00113FF8">
      <w:pPr>
        <w:pStyle w:val="Heading4"/>
      </w:pPr>
      <w:r>
        <w:t>Primary pharmacology</w:t>
      </w:r>
    </w:p>
    <w:p w14:paraId="4F8925D7" w14:textId="3445B5A6" w:rsidR="00113FF8" w:rsidRPr="00113FF8" w:rsidRDefault="00113FF8" w:rsidP="00113FF8">
      <w:r w:rsidRPr="00113FF8">
        <w:t>One pharmacology s</w:t>
      </w:r>
      <w:r w:rsidR="00084440">
        <w:t xml:space="preserve">tudy in the mouse model of dust </w:t>
      </w:r>
      <w:r w:rsidRPr="00113FF8">
        <w:t xml:space="preserve">mite asthma investigated the efficacy </w:t>
      </w:r>
      <w:r w:rsidRPr="0098487B">
        <w:t xml:space="preserve">of </w:t>
      </w:r>
      <w:proofErr w:type="spellStart"/>
      <w:r w:rsidR="00790DE0">
        <w:t>D.pte</w:t>
      </w:r>
      <w:proofErr w:type="spellEnd"/>
      <w:r w:rsidR="0098487B" w:rsidRPr="0098487B">
        <w:t xml:space="preserve"> and</w:t>
      </w:r>
      <w:r w:rsidR="0098487B">
        <w:t xml:space="preserve"> </w:t>
      </w:r>
      <w:proofErr w:type="spellStart"/>
      <w:r w:rsidR="00790DE0">
        <w:t>D.far</w:t>
      </w:r>
      <w:proofErr w:type="spellEnd"/>
      <w:r w:rsidRPr="00113FF8">
        <w:t xml:space="preserve"> using the oral route. The 8 week study, which used alle</w:t>
      </w:r>
      <w:r w:rsidR="00084440">
        <w:t>rgens at 2,500 </w:t>
      </w:r>
      <w:r w:rsidRPr="00113FF8">
        <w:t>IR/kg and 20</w:t>
      </w:r>
      <w:r w:rsidR="00084440">
        <w:t>,</w:t>
      </w:r>
      <w:r w:rsidRPr="00113FF8">
        <w:t>000 IR/kg twice daily, dem</w:t>
      </w:r>
      <w:r w:rsidR="00084440">
        <w:t xml:space="preserve">onstrated improved airway hyper </w:t>
      </w:r>
      <w:r w:rsidRPr="00113FF8">
        <w:t xml:space="preserve">responsiveness (AHR) compared to the control group (in response to the </w:t>
      </w:r>
      <w:proofErr w:type="spellStart"/>
      <w:r w:rsidRPr="00113FF8">
        <w:t>bronchoconstrictor</w:t>
      </w:r>
      <w:proofErr w:type="spellEnd"/>
      <w:r w:rsidRPr="00113FF8">
        <w:t xml:space="preserve">, methacholine at 100 mg/ml). While the effect of the allergens on AHR appeared dose-related, other noted improvements seen in the treatment groups, such as reduced eosinophil infiltration, reduced </w:t>
      </w:r>
      <w:r w:rsidR="00C50DDD">
        <w:rPr>
          <w:color w:val="000000"/>
          <w:lang w:val="en-GB"/>
        </w:rPr>
        <w:t>i</w:t>
      </w:r>
      <w:r w:rsidR="00BC6904" w:rsidRPr="00E41885">
        <w:rPr>
          <w:color w:val="000000"/>
          <w:lang w:val="en-GB"/>
        </w:rPr>
        <w:t>nterleukin-5 (</w:t>
      </w:r>
      <w:r w:rsidR="0098487B" w:rsidRPr="00E41885">
        <w:t>I</w:t>
      </w:r>
      <w:r w:rsidRPr="00E41885">
        <w:t>L-5</w:t>
      </w:r>
      <w:r w:rsidR="00BC6904" w:rsidRPr="00E41885">
        <w:t>)</w:t>
      </w:r>
      <w:r w:rsidRPr="00E41885">
        <w:t xml:space="preserve"> and </w:t>
      </w:r>
      <w:r w:rsidR="00C50DDD">
        <w:rPr>
          <w:color w:val="000000"/>
          <w:lang w:val="en-GB"/>
        </w:rPr>
        <w:t>i</w:t>
      </w:r>
      <w:r w:rsidR="00BC6904" w:rsidRPr="00E41885">
        <w:rPr>
          <w:color w:val="000000"/>
          <w:lang w:val="en-GB"/>
        </w:rPr>
        <w:t>nterleukin-13 (</w:t>
      </w:r>
      <w:r w:rsidRPr="00E41885">
        <w:t>IL-13</w:t>
      </w:r>
      <w:r w:rsidR="00BC6904" w:rsidRPr="00E41885">
        <w:t>)</w:t>
      </w:r>
      <w:r w:rsidRPr="00E41885">
        <w:t xml:space="preserve"> cytokine responses and increased </w:t>
      </w:r>
      <w:r w:rsidR="00BC6904" w:rsidRPr="00E41885">
        <w:t xml:space="preserve">immunoglobulin (Ig) </w:t>
      </w:r>
      <w:r w:rsidRPr="00E41885">
        <w:t xml:space="preserve">IgA in saliva did not demonstrated a dose-related response. The serum IgG1, IgG2a and </w:t>
      </w:r>
      <w:proofErr w:type="spellStart"/>
      <w:r w:rsidRPr="00E41885">
        <w:t>IgE</w:t>
      </w:r>
      <w:proofErr w:type="spellEnd"/>
      <w:r w:rsidRPr="00E41885">
        <w:t xml:space="preserve"> respo</w:t>
      </w:r>
      <w:r w:rsidRPr="00113FF8">
        <w:t xml:space="preserve">nses for both allergens were also broadly comparable between the two allergens compared to the vehicle control. The accompanying histopathology data indicated a slight attenuation of the perivascular and </w:t>
      </w:r>
      <w:proofErr w:type="spellStart"/>
      <w:r w:rsidRPr="00113FF8">
        <w:t>peribronchiolar</w:t>
      </w:r>
      <w:proofErr w:type="spellEnd"/>
      <w:r w:rsidRPr="00113FF8">
        <w:t xml:space="preserve"> inflammatory lesions of lung tissues compared to the control group. Taken together, the findings of th</w:t>
      </w:r>
      <w:r w:rsidR="00BC6904">
        <w:t xml:space="preserve">e study suggest potential for </w:t>
      </w:r>
      <w:proofErr w:type="spellStart"/>
      <w:r w:rsidR="00790DE0">
        <w:t>D.pte</w:t>
      </w:r>
      <w:proofErr w:type="spellEnd"/>
      <w:r w:rsidR="00BC6904">
        <w:t xml:space="preserve"> and </w:t>
      </w:r>
      <w:proofErr w:type="spellStart"/>
      <w:r w:rsidR="00790DE0">
        <w:t>D.far</w:t>
      </w:r>
      <w:proofErr w:type="spellEnd"/>
      <w:r w:rsidRPr="00113FF8">
        <w:t xml:space="preserve"> allergens to attenuate clinical signs associated with the murine model of chronic </w:t>
      </w:r>
      <w:r w:rsidR="00084440">
        <w:t>house dust mite induced</w:t>
      </w:r>
      <w:r w:rsidRPr="00113FF8">
        <w:t xml:space="preserve"> asthma. However, the lack of an obvious </w:t>
      </w:r>
      <w:r w:rsidR="00084440">
        <w:t>dose response</w:t>
      </w:r>
      <w:r w:rsidRPr="00113FF8">
        <w:t xml:space="preserve"> across multiple immunological and physiological p</w:t>
      </w:r>
      <w:r w:rsidR="00084440">
        <w:t>arameters remained unaddressed.</w:t>
      </w:r>
    </w:p>
    <w:p w14:paraId="5B7D7BC0" w14:textId="16137530" w:rsidR="00113FF8" w:rsidRPr="00113FF8" w:rsidRDefault="00113FF8" w:rsidP="00113FF8">
      <w:r w:rsidRPr="00113FF8">
        <w:t xml:space="preserve">In </w:t>
      </w:r>
      <w:r w:rsidR="00084440">
        <w:t>the response to TGA questions</w:t>
      </w:r>
      <w:r w:rsidRPr="00113FF8">
        <w:t xml:space="preserve">, the </w:t>
      </w:r>
      <w:r w:rsidR="00084440">
        <w:t>sponsor</w:t>
      </w:r>
      <w:r w:rsidRPr="00113FF8">
        <w:t xml:space="preserve"> provided published data on the occurren</w:t>
      </w:r>
      <w:r w:rsidR="00084440">
        <w:t xml:space="preserve">ce of dust mites in Australia, </w:t>
      </w:r>
      <w:r w:rsidRPr="00113FF8">
        <w:t xml:space="preserve">which reported that </w:t>
      </w:r>
      <w:proofErr w:type="spellStart"/>
      <w:r w:rsidR="00790DE0">
        <w:t>D.pte</w:t>
      </w:r>
      <w:proofErr w:type="spellEnd"/>
      <w:r w:rsidRPr="00113FF8">
        <w:t xml:space="preserve"> was the most abundant species in all </w:t>
      </w:r>
      <w:r w:rsidRPr="00113FF8">
        <w:lastRenderedPageBreak/>
        <w:t>locations</w:t>
      </w:r>
      <w:r w:rsidRPr="00BC6904">
        <w:rPr>
          <w:vertAlign w:val="superscript"/>
        </w:rPr>
        <w:footnoteReference w:id="11"/>
      </w:r>
      <w:r w:rsidR="001A3124" w:rsidRPr="001A3124">
        <w:rPr>
          <w:vertAlign w:val="superscript"/>
        </w:rPr>
        <w:t>,</w:t>
      </w:r>
      <w:r w:rsidR="001A3124">
        <w:t xml:space="preserve"> </w:t>
      </w:r>
      <w:r w:rsidRPr="00BC6904">
        <w:rPr>
          <w:vertAlign w:val="superscript"/>
        </w:rPr>
        <w:t>,</w:t>
      </w:r>
      <w:r w:rsidRPr="00BC6904">
        <w:rPr>
          <w:vertAlign w:val="superscript"/>
        </w:rPr>
        <w:footnoteReference w:id="12"/>
      </w:r>
      <w:r w:rsidR="00084440" w:rsidRPr="00084440">
        <w:t xml:space="preserve">. </w:t>
      </w:r>
      <w:proofErr w:type="spellStart"/>
      <w:r w:rsidR="00790DE0">
        <w:t>D.far</w:t>
      </w:r>
      <w:proofErr w:type="spellEnd"/>
      <w:r w:rsidRPr="00084440">
        <w:t xml:space="preserve"> was</w:t>
      </w:r>
      <w:r w:rsidRPr="00113FF8">
        <w:t xml:space="preserve"> found in some locatio</w:t>
      </w:r>
      <w:r w:rsidR="00084440">
        <w:t xml:space="preserve">ns, but its abundance was low. </w:t>
      </w:r>
      <w:proofErr w:type="spellStart"/>
      <w:r w:rsidRPr="00113FF8">
        <w:t>Euroglyptus</w:t>
      </w:r>
      <w:proofErr w:type="spellEnd"/>
      <w:r w:rsidRPr="00113FF8">
        <w:t xml:space="preserve"> </w:t>
      </w:r>
      <w:proofErr w:type="spellStart"/>
      <w:r w:rsidRPr="00113FF8">
        <w:t>maynei</w:t>
      </w:r>
      <w:proofErr w:type="spellEnd"/>
      <w:r w:rsidRPr="00113FF8">
        <w:t xml:space="preserve"> was also identified. Although average dust mite allergen levels were higher in humid regions, high allergen levels were measured in som</w:t>
      </w:r>
      <w:r w:rsidR="00084440">
        <w:t>e homes in dry inland regions.</w:t>
      </w:r>
    </w:p>
    <w:p w14:paraId="78015C00" w14:textId="77777777" w:rsidR="00113FF8" w:rsidRPr="00113FF8" w:rsidRDefault="00E41885" w:rsidP="00113FF8">
      <w:pPr>
        <w:pStyle w:val="Heading4"/>
      </w:pPr>
      <w:r>
        <w:t>Primary pharmacodynamics</w:t>
      </w:r>
    </w:p>
    <w:p w14:paraId="67335160" w14:textId="77777777" w:rsidR="00113FF8" w:rsidRPr="00113FF8" w:rsidRDefault="00113FF8" w:rsidP="00113FF8">
      <w:r w:rsidRPr="00113FF8">
        <w:t xml:space="preserve">The sponsor also referenced published literature to demonstrate that oral tolerance can be achieved by antigen administration (feeding, oral or sublingual) in experimental animals. A study was used to show decreased specific </w:t>
      </w:r>
      <w:proofErr w:type="spellStart"/>
      <w:r w:rsidRPr="00113FF8">
        <w:t>IgE</w:t>
      </w:r>
      <w:proofErr w:type="spellEnd"/>
      <w:r w:rsidRPr="00113FF8">
        <w:t xml:space="preserve"> when mice fed β-</w:t>
      </w:r>
      <w:proofErr w:type="spellStart"/>
      <w:r w:rsidRPr="00113FF8">
        <w:t>lactoglobulin</w:t>
      </w:r>
      <w:proofErr w:type="spellEnd"/>
      <w:r w:rsidRPr="00113FF8">
        <w:t xml:space="preserve"> or whey proteins were challenged intraperitoneally.</w:t>
      </w:r>
      <w:r w:rsidR="005F66E8">
        <w:rPr>
          <w:rStyle w:val="FootnoteReference"/>
        </w:rPr>
        <w:footnoteReference w:id="13"/>
      </w:r>
      <w:r w:rsidRPr="00113FF8">
        <w:t xml:space="preserve"> Furt</w:t>
      </w:r>
      <w:r w:rsidR="00E41885">
        <w:t xml:space="preserve">hermore, decreased IL-2 and </w:t>
      </w:r>
      <w:r w:rsidR="00E41885">
        <w:rPr>
          <w:color w:val="000000"/>
          <w:lang w:val="en-GB"/>
        </w:rPr>
        <w:t xml:space="preserve">interferon </w:t>
      </w:r>
      <w:r w:rsidR="00E41885" w:rsidRPr="002F3D2A">
        <w:rPr>
          <w:color w:val="000000"/>
          <w:lang w:val="en-GB"/>
        </w:rPr>
        <w:t>gamma</w:t>
      </w:r>
      <w:r w:rsidR="00E41885">
        <w:t xml:space="preserve"> (IFN </w:t>
      </w:r>
      <w:r w:rsidRPr="00113FF8">
        <w:t>γ</w:t>
      </w:r>
      <w:r w:rsidR="00E41885">
        <w:t>)</w:t>
      </w:r>
      <w:r w:rsidRPr="00113FF8">
        <w:t xml:space="preserve"> levels and increased IL-10 and </w:t>
      </w:r>
      <w:r w:rsidR="00E41885" w:rsidRPr="002F3D2A">
        <w:rPr>
          <w:color w:val="000000"/>
          <w:lang w:val="en-GB"/>
        </w:rPr>
        <w:t>transforming growth factor-</w:t>
      </w:r>
      <w:r w:rsidR="00E41885">
        <w:rPr>
          <w:color w:val="000000"/>
          <w:lang w:val="en-GB"/>
        </w:rPr>
        <w:t>β</w:t>
      </w:r>
      <w:r w:rsidR="00E41885" w:rsidRPr="00113FF8">
        <w:t xml:space="preserve"> </w:t>
      </w:r>
      <w:r w:rsidR="00E41885">
        <w:t>(</w:t>
      </w:r>
      <w:r w:rsidRPr="00113FF8">
        <w:t>TGF-</w:t>
      </w:r>
      <w:r w:rsidR="00E41885">
        <w:t>β)</w:t>
      </w:r>
      <w:r w:rsidRPr="00113FF8">
        <w:t xml:space="preserve"> levels were noted in the mice. A study </w:t>
      </w:r>
      <w:r w:rsidRPr="005F66E8">
        <w:t xml:space="preserve">by </w:t>
      </w:r>
      <w:proofErr w:type="spellStart"/>
      <w:r w:rsidRPr="005F66E8">
        <w:t>Lafont</w:t>
      </w:r>
      <w:proofErr w:type="spellEnd"/>
      <w:r w:rsidRPr="005F66E8">
        <w:t xml:space="preserve"> </w:t>
      </w:r>
      <w:r w:rsidRPr="00113FF8">
        <w:t>implied that oral allergen administration can suppress specific immediate hypersensitivity response to the same allergen in animals pre-sensitized to it.</w:t>
      </w:r>
      <w:r w:rsidR="005F66E8">
        <w:rPr>
          <w:rStyle w:val="FootnoteReference"/>
        </w:rPr>
        <w:footnoteReference w:id="14"/>
      </w:r>
      <w:r w:rsidRPr="00113FF8">
        <w:t xml:space="preserve"> To this end, a study by </w:t>
      </w:r>
      <w:r w:rsidRPr="00723C45">
        <w:t>Holt</w:t>
      </w:r>
      <w:r w:rsidR="00723C45" w:rsidRPr="00723C45">
        <w:rPr>
          <w:rStyle w:val="FootnoteReference"/>
        </w:rPr>
        <w:footnoteReference w:id="15"/>
      </w:r>
      <w:r w:rsidRPr="00723C45">
        <w:t xml:space="preserve"> indicated</w:t>
      </w:r>
      <w:r w:rsidRPr="00113FF8">
        <w:t xml:space="preserve"> that development of tolerance by sublingual allergen administration was independent of processes occurring in the gut as a result of swallowing the allergen; thus, suggesting that the process of sensitisation and tolerance can be achieved</w:t>
      </w:r>
      <w:r w:rsidR="00081FA1">
        <w:t xml:space="preserve"> from different routes.</w:t>
      </w:r>
    </w:p>
    <w:p w14:paraId="36C5C6F0" w14:textId="6374087B" w:rsidR="00113FF8" w:rsidRPr="00113FF8" w:rsidRDefault="00113FF8" w:rsidP="00113FF8">
      <w:r w:rsidRPr="00113FF8">
        <w:t>While the inflammatory processes initiated through allergen exposure have been elucidated to a large extent (Figure 1), the m</w:t>
      </w:r>
      <w:r w:rsidR="00081FA1">
        <w:t xml:space="preserve">echanisms underpinning allergen </w:t>
      </w:r>
      <w:r w:rsidRPr="00113FF8">
        <w:t>specific immunotherapy (AIT) remain largely uncharacterised. However, AIT has been utilised in a clinical setting for some time</w:t>
      </w:r>
      <w:r w:rsidR="00E41885">
        <w:t>.</w:t>
      </w:r>
      <w:r w:rsidRPr="00E41885">
        <w:rPr>
          <w:vertAlign w:val="superscript"/>
        </w:rPr>
        <w:footnoteReference w:id="16"/>
      </w:r>
      <w:r w:rsidRPr="00113FF8">
        <w:t xml:space="preserve"> In the case of subcutaneous immunotherapy (SCIT) it is proposed that ‘allergenic tolerance’ is mediated through the inducti</w:t>
      </w:r>
      <w:r w:rsidR="00081FA1">
        <w:t xml:space="preserve">on of FOXP3+/CD25+ regulatory T </w:t>
      </w:r>
      <w:r w:rsidRPr="00113FF8">
        <w:t>cells (</w:t>
      </w:r>
      <w:proofErr w:type="spellStart"/>
      <w:r w:rsidRPr="00113FF8">
        <w:t>Tregs</w:t>
      </w:r>
      <w:proofErr w:type="spellEnd"/>
      <w:r w:rsidRPr="00113FF8">
        <w:t>) specific to such allergens and induction of ‘blocking’ antibodies such as IgG4 and IgA2</w:t>
      </w:r>
      <w:r w:rsidR="00081FA1">
        <w:t>.</w:t>
      </w:r>
      <w:r w:rsidRPr="00081FA1">
        <w:rPr>
          <w:vertAlign w:val="superscript"/>
        </w:rPr>
        <w:footnoteReference w:id="17"/>
      </w:r>
      <w:r w:rsidRPr="00113FF8">
        <w:t xml:space="preserve"> Furthermore, it is postulated that induction of regulatory cytokines, such as TGF-β and IL-10</w:t>
      </w:r>
      <w:r w:rsidR="00081FA1">
        <w:t>,</w:t>
      </w:r>
      <w:r w:rsidRPr="00081FA1">
        <w:rPr>
          <w:vertAlign w:val="superscript"/>
        </w:rPr>
        <w:footnoteReference w:id="18"/>
      </w:r>
      <w:r w:rsidRPr="00081FA1">
        <w:rPr>
          <w:vertAlign w:val="superscript"/>
        </w:rPr>
        <w:t xml:space="preserve"> </w:t>
      </w:r>
      <w:r w:rsidRPr="00113FF8">
        <w:t xml:space="preserve">potentiates a shift from </w:t>
      </w:r>
      <w:r w:rsidR="00081FA1" w:rsidRPr="002F3D2A">
        <w:rPr>
          <w:color w:val="000000"/>
          <w:lang w:val="en-GB"/>
        </w:rPr>
        <w:t xml:space="preserve">T helper 2 </w:t>
      </w:r>
      <w:r w:rsidR="00081FA1" w:rsidRPr="00081FA1">
        <w:rPr>
          <w:color w:val="000000"/>
          <w:lang w:val="en-GB"/>
        </w:rPr>
        <w:t>cells</w:t>
      </w:r>
      <w:r w:rsidR="00081FA1" w:rsidRPr="00081FA1">
        <w:t xml:space="preserve"> (Th</w:t>
      </w:r>
      <w:r w:rsidRPr="00081FA1">
        <w:t>2</w:t>
      </w:r>
      <w:r w:rsidR="00081FA1" w:rsidRPr="00081FA1">
        <w:t>)</w:t>
      </w:r>
      <w:r w:rsidRPr="00081FA1">
        <w:t xml:space="preserve"> to</w:t>
      </w:r>
      <w:r w:rsidRPr="00113FF8">
        <w:t xml:space="preserve"> a </w:t>
      </w:r>
      <w:proofErr w:type="spellStart"/>
      <w:r w:rsidRPr="00113FF8">
        <w:t>Tregs</w:t>
      </w:r>
      <w:proofErr w:type="spellEnd"/>
      <w:r w:rsidRPr="00113FF8">
        <w:t xml:space="preserve"> or T</w:t>
      </w:r>
      <w:r w:rsidR="00081FA1">
        <w:t>h</w:t>
      </w:r>
      <w:r w:rsidRPr="00113FF8">
        <w:t>1response pattern. A similar mechanism in immune response is also postulated in sublingual immune therapy</w:t>
      </w:r>
      <w:r w:rsidR="00081FA1" w:rsidRPr="00113FF8">
        <w:t xml:space="preserve"> </w:t>
      </w:r>
      <w:r w:rsidRPr="00113FF8">
        <w:t>(Figure2)</w:t>
      </w:r>
      <w:r w:rsidR="00081FA1">
        <w:t>.</w:t>
      </w:r>
      <w:r w:rsidR="00081FA1" w:rsidRPr="00081FA1">
        <w:t xml:space="preserve"> </w:t>
      </w:r>
      <w:bookmarkStart w:id="50" w:name="_Ref481764861"/>
      <w:r w:rsidR="00081FA1" w:rsidRPr="00081FA1">
        <w:rPr>
          <w:vertAlign w:val="superscript"/>
        </w:rPr>
        <w:footnoteReference w:id="19"/>
      </w:r>
      <w:bookmarkEnd w:id="50"/>
    </w:p>
    <w:p w14:paraId="5C6DB0B7" w14:textId="71565F91" w:rsidR="00113FF8" w:rsidRPr="00113FF8" w:rsidRDefault="00113FF8" w:rsidP="00113FF8">
      <w:r w:rsidRPr="00113FF8">
        <w:t xml:space="preserve">In the submitted pharmacology study, reduced IL-5 and IL-13 cytokine levels and stabilised </w:t>
      </w:r>
      <w:proofErr w:type="spellStart"/>
      <w:r w:rsidRPr="00113FF8">
        <w:t>IgE</w:t>
      </w:r>
      <w:proofErr w:type="spellEnd"/>
      <w:r w:rsidRPr="00113FF8">
        <w:t xml:space="preserve"> levels in the treatment groups compared to that of the vehicle control group </w:t>
      </w:r>
      <w:r w:rsidR="00D9568C">
        <w:t>are</w:t>
      </w:r>
      <w:r w:rsidR="00D9568C" w:rsidRPr="00113FF8">
        <w:t xml:space="preserve"> </w:t>
      </w:r>
      <w:r w:rsidRPr="00113FF8">
        <w:t>consistent with th</w:t>
      </w:r>
      <w:r w:rsidR="00081FA1">
        <w:t xml:space="preserve">e current understanding of SLIT </w:t>
      </w:r>
      <w:r w:rsidRPr="00113FF8">
        <w:t>mediated immune response to allerge</w:t>
      </w:r>
      <w:r w:rsidR="00081FA1">
        <w:t>ns.</w:t>
      </w:r>
    </w:p>
    <w:p w14:paraId="772139EA" w14:textId="77777777" w:rsidR="00113FF8" w:rsidRPr="00113FF8" w:rsidRDefault="00113FF8" w:rsidP="00113FF8">
      <w:pPr>
        <w:pStyle w:val="FigureTitle"/>
      </w:pPr>
      <w:proofErr w:type="gramStart"/>
      <w:r w:rsidRPr="00113FF8">
        <w:lastRenderedPageBreak/>
        <w:t>Figure 1.</w:t>
      </w:r>
      <w:proofErr w:type="gramEnd"/>
      <w:r w:rsidRPr="00113FF8">
        <w:t xml:space="preserve"> Uptake of HDM allergen particles, immediate allergic reaction, and sustained inflammatory response are shown (From </w:t>
      </w:r>
      <w:r w:rsidR="00081FA1">
        <w:t>C</w:t>
      </w:r>
      <w:r w:rsidR="00081FA1" w:rsidRPr="00D405AF">
        <w:t>alderon et al</w:t>
      </w:r>
      <w:r w:rsidRPr="00081FA1">
        <w:t>., 2015</w:t>
      </w:r>
      <w:r w:rsidRPr="00113FF8">
        <w:t>)</w:t>
      </w:r>
      <w:r w:rsidR="00D405AF">
        <w:rPr>
          <w:rStyle w:val="FootnoteReference"/>
        </w:rPr>
        <w:footnoteReference w:id="20"/>
      </w:r>
      <w:r w:rsidRPr="00113FF8">
        <w:t>.</w:t>
      </w:r>
    </w:p>
    <w:p w14:paraId="50B7B341" w14:textId="77777777" w:rsidR="004334C7" w:rsidRDefault="00D405AF" w:rsidP="004334C7">
      <w:r>
        <w:rPr>
          <w:noProof/>
          <w:lang w:eastAsia="en-AU"/>
        </w:rPr>
        <w:drawing>
          <wp:inline distT="0" distB="0" distL="0" distR="0" wp14:anchorId="19732776" wp14:editId="76DE2F39">
            <wp:extent cx="5400040" cy="3640989"/>
            <wp:effectExtent l="0" t="0" r="0" b="0"/>
            <wp:docPr id="1"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640989"/>
                    </a:xfrm>
                    <a:prstGeom prst="rect">
                      <a:avLst/>
                    </a:prstGeom>
                  </pic:spPr>
                </pic:pic>
              </a:graphicData>
            </a:graphic>
          </wp:inline>
        </w:drawing>
      </w:r>
    </w:p>
    <w:p w14:paraId="32649829" w14:textId="77777777" w:rsidR="00F066E3" w:rsidRPr="00F066E3" w:rsidRDefault="00F066E3" w:rsidP="00716D4E">
      <w:pPr>
        <w:pStyle w:val="FigureTitle"/>
      </w:pPr>
      <w:r w:rsidRPr="00F066E3">
        <w:t>Figure 2 Schematic representation of the potential immune deviation leading to the beneficial effects of allergen immunother</w:t>
      </w:r>
      <w:r w:rsidR="00716D4E">
        <w:t>apy (From Yousef et al., 2010).</w:t>
      </w:r>
      <w:r w:rsidR="00716D4E">
        <w:fldChar w:fldCharType="begin"/>
      </w:r>
      <w:r w:rsidR="00716D4E">
        <w:instrText xml:space="preserve"> NOTEREF _Ref481764861 \h </w:instrText>
      </w:r>
      <w:r w:rsidR="00716D4E">
        <w:fldChar w:fldCharType="separate"/>
      </w:r>
      <w:r w:rsidR="00716D4E">
        <w:t>19</w:t>
      </w:r>
      <w:r w:rsidR="00716D4E">
        <w:fldChar w:fldCharType="end"/>
      </w:r>
      <w:r>
        <w:rPr>
          <w:noProof/>
          <w:lang w:eastAsia="en-AU"/>
        </w:rPr>
        <w:drawing>
          <wp:inline distT="0" distB="0" distL="0" distR="0" wp14:anchorId="14482814" wp14:editId="6CB3BE29">
            <wp:extent cx="5400040" cy="2737915"/>
            <wp:effectExtent l="0" t="0" r="0" b="5715"/>
            <wp:docPr id="2" name="Pictur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737915"/>
                    </a:xfrm>
                    <a:prstGeom prst="rect">
                      <a:avLst/>
                    </a:prstGeom>
                  </pic:spPr>
                </pic:pic>
              </a:graphicData>
            </a:graphic>
          </wp:inline>
        </w:drawing>
      </w:r>
    </w:p>
    <w:p w14:paraId="582E24AD" w14:textId="77777777" w:rsidR="00F066E3" w:rsidRPr="00F066E3" w:rsidRDefault="00F066E3" w:rsidP="00F066E3">
      <w:r w:rsidRPr="00F066E3">
        <w:t>The sponsor however also identified the inadequacy of current animal models used to evaluate effects of AIT</w:t>
      </w:r>
      <w:r>
        <w:t>, specifically:</w:t>
      </w:r>
    </w:p>
    <w:p w14:paraId="7D41DB22" w14:textId="77777777" w:rsidR="00F066E3" w:rsidRPr="00F066E3" w:rsidRDefault="00F066E3" w:rsidP="00F066E3">
      <w:pPr>
        <w:pStyle w:val="ListBullet"/>
      </w:pPr>
      <w:r w:rsidRPr="00F066E3">
        <w:t>The symptom scores or use of rescue medication, selected as primary and/or secondary endpoints in clinical trials are not applicable to animals to e</w:t>
      </w:r>
      <w:r>
        <w:t>valuate</w:t>
      </w:r>
      <w:r w:rsidR="00790DE0">
        <w:t xml:space="preserve"> the treatment efficacy</w:t>
      </w:r>
    </w:p>
    <w:p w14:paraId="6280A2D5" w14:textId="77777777" w:rsidR="00F066E3" w:rsidRPr="00F066E3" w:rsidRDefault="00F066E3" w:rsidP="00F066E3">
      <w:pPr>
        <w:pStyle w:val="ListBullet"/>
      </w:pPr>
      <w:r w:rsidRPr="00F066E3">
        <w:lastRenderedPageBreak/>
        <w:t>Systemic immunological changes induced by SLIT do not necessarily correlate with clinical efficacy</w:t>
      </w:r>
      <w:r w:rsidRPr="00716D4E">
        <w:rPr>
          <w:vertAlign w:val="superscript"/>
        </w:rPr>
        <w:footnoteReference w:id="21"/>
      </w:r>
      <w:r w:rsidRPr="00716D4E">
        <w:rPr>
          <w:vertAlign w:val="superscript"/>
        </w:rPr>
        <w:t>,</w:t>
      </w:r>
      <w:r w:rsidR="00716D4E" w:rsidRPr="00716D4E">
        <w:rPr>
          <w:vertAlign w:val="superscript"/>
        </w:rPr>
        <w:fldChar w:fldCharType="begin"/>
      </w:r>
      <w:r w:rsidR="00716D4E" w:rsidRPr="00716D4E">
        <w:rPr>
          <w:vertAlign w:val="superscript"/>
        </w:rPr>
        <w:instrText xml:space="preserve"> NOTEREF _Ref481764917 \h </w:instrText>
      </w:r>
      <w:r w:rsidR="00716D4E">
        <w:rPr>
          <w:vertAlign w:val="superscript"/>
        </w:rPr>
        <w:instrText xml:space="preserve"> \* MERGEFORMAT </w:instrText>
      </w:r>
      <w:r w:rsidR="00716D4E" w:rsidRPr="00716D4E">
        <w:rPr>
          <w:vertAlign w:val="superscript"/>
        </w:rPr>
      </w:r>
      <w:r w:rsidR="00716D4E" w:rsidRPr="00716D4E">
        <w:rPr>
          <w:vertAlign w:val="superscript"/>
        </w:rPr>
        <w:fldChar w:fldCharType="separate"/>
      </w:r>
      <w:r w:rsidR="00716D4E" w:rsidRPr="00716D4E">
        <w:rPr>
          <w:vertAlign w:val="superscript"/>
        </w:rPr>
        <w:t>2</w:t>
      </w:r>
      <w:r w:rsidR="00716D4E" w:rsidRPr="00716D4E">
        <w:rPr>
          <w:vertAlign w:val="superscript"/>
        </w:rPr>
        <w:fldChar w:fldCharType="end"/>
      </w:r>
      <w:r w:rsidR="00716D4E" w:rsidRPr="00716D4E">
        <w:rPr>
          <w:vertAlign w:val="superscript"/>
        </w:rPr>
        <w:t xml:space="preserve"> </w:t>
      </w:r>
      <w:r w:rsidRPr="00716D4E">
        <w:rPr>
          <w:vertAlign w:val="superscript"/>
        </w:rPr>
        <w:t>,</w:t>
      </w:r>
      <w:r w:rsidRPr="00716D4E">
        <w:rPr>
          <w:vertAlign w:val="superscript"/>
        </w:rPr>
        <w:footnoteReference w:id="22"/>
      </w:r>
    </w:p>
    <w:p w14:paraId="7BF3AC67" w14:textId="199D3BB5" w:rsidR="00F066E3" w:rsidRPr="00F066E3" w:rsidRDefault="00F066E3" w:rsidP="00F066E3">
      <w:pPr>
        <w:pStyle w:val="ListBullet"/>
      </w:pPr>
      <w:r w:rsidRPr="00F066E3">
        <w:t>Biomarkers that are predictive of, or surrogate for</w:t>
      </w:r>
      <w:r w:rsidR="00D9568C">
        <w:t>,</w:t>
      </w:r>
      <w:r w:rsidRPr="00F066E3">
        <w:t xml:space="preserve"> the clinical response to immunotherapy are not currently available in humans, </w:t>
      </w:r>
      <w:r w:rsidR="00716D4E">
        <w:t>and thus in sensitized animals.</w:t>
      </w:r>
    </w:p>
    <w:p w14:paraId="4E29E241" w14:textId="77777777" w:rsidR="00F066E3" w:rsidRPr="00F066E3" w:rsidRDefault="00F066E3" w:rsidP="00F066E3">
      <w:r w:rsidRPr="00F066E3">
        <w:t xml:space="preserve">Despite the noted shortcomings, the sponsor also measured specific IgG levels in serum during the repeat dose toxicity studies. While increases in mite-specific </w:t>
      </w:r>
      <w:proofErr w:type="spellStart"/>
      <w:r w:rsidRPr="00F066E3">
        <w:t>IgGs</w:t>
      </w:r>
      <w:proofErr w:type="spellEnd"/>
      <w:r w:rsidRPr="00F066E3">
        <w:t xml:space="preserve"> were detec</w:t>
      </w:r>
      <w:r w:rsidR="00716D4E">
        <w:t xml:space="preserve">ted in rats administered with </w:t>
      </w:r>
      <w:proofErr w:type="spellStart"/>
      <w:r w:rsidR="00790DE0">
        <w:t>D.pte</w:t>
      </w:r>
      <w:proofErr w:type="spellEnd"/>
      <w:r w:rsidR="00716D4E">
        <w:t xml:space="preserve"> and </w:t>
      </w:r>
      <w:proofErr w:type="spellStart"/>
      <w:r w:rsidR="00790DE0">
        <w:t>D.far</w:t>
      </w:r>
      <w:proofErr w:type="spellEnd"/>
      <w:r w:rsidRPr="00F066E3">
        <w:t xml:space="preserve"> in these studies, consistent with the understood mechanisms of developing tolerance, no definitive </w:t>
      </w:r>
      <w:r w:rsidR="00790DE0">
        <w:t xml:space="preserve">dose relationship </w:t>
      </w:r>
      <w:r>
        <w:t>was observed.</w:t>
      </w:r>
    </w:p>
    <w:p w14:paraId="37D9B4C0" w14:textId="77777777" w:rsidR="00F066E3" w:rsidRPr="00F066E3" w:rsidRDefault="00F066E3" w:rsidP="00F066E3">
      <w:pPr>
        <w:pStyle w:val="Heading4"/>
      </w:pPr>
      <w:r w:rsidRPr="00F066E3">
        <w:t>Secondary pharmacodynamics and safety ph</w:t>
      </w:r>
      <w:r w:rsidR="00716D4E">
        <w:t>armacology</w:t>
      </w:r>
    </w:p>
    <w:p w14:paraId="35F7FB20" w14:textId="77777777" w:rsidR="00F066E3" w:rsidRPr="00F066E3" w:rsidRDefault="00F066E3" w:rsidP="00F066E3">
      <w:r w:rsidRPr="00F066E3">
        <w:t>No secondary pharmacodynamic or safety pharmacology studies were submitted. The sponsor provided the following justification for the absence of suc</w:t>
      </w:r>
      <w:r>
        <w:t>h studies, which is acceptable:</w:t>
      </w:r>
    </w:p>
    <w:p w14:paraId="0569B825" w14:textId="77777777" w:rsidR="00F066E3" w:rsidRPr="00F066E3" w:rsidRDefault="00F066E3" w:rsidP="00F066E3">
      <w:pPr>
        <w:pStyle w:val="ListBullet"/>
      </w:pPr>
      <w:r w:rsidRPr="00F066E3">
        <w:t>Secondary pharmacodynamic studies were not submitted because the use of allergen extracts for SLIT in humans has been broadly considered as a therapy with recognized efficacy and an acceptable level of safety, for more than 20 years</w:t>
      </w:r>
      <w:r w:rsidR="00716D4E">
        <w:t xml:space="preserve"> </w:t>
      </w:r>
      <w:r w:rsidR="00716D4E" w:rsidRPr="00716D4E">
        <w:rPr>
          <w:vertAlign w:val="superscript"/>
        </w:rPr>
        <w:fldChar w:fldCharType="begin"/>
      </w:r>
      <w:r w:rsidR="00716D4E" w:rsidRPr="00716D4E">
        <w:rPr>
          <w:vertAlign w:val="superscript"/>
        </w:rPr>
        <w:instrText xml:space="preserve"> NOTEREF _Ref481764917 \h </w:instrText>
      </w:r>
      <w:r w:rsidR="00716D4E">
        <w:rPr>
          <w:vertAlign w:val="superscript"/>
        </w:rPr>
        <w:instrText xml:space="preserve"> \* MERGEFORMAT </w:instrText>
      </w:r>
      <w:r w:rsidR="00716D4E" w:rsidRPr="00716D4E">
        <w:rPr>
          <w:vertAlign w:val="superscript"/>
        </w:rPr>
      </w:r>
      <w:r w:rsidR="00716D4E" w:rsidRPr="00716D4E">
        <w:rPr>
          <w:vertAlign w:val="superscript"/>
        </w:rPr>
        <w:fldChar w:fldCharType="separate"/>
      </w:r>
      <w:r w:rsidR="00716D4E" w:rsidRPr="00716D4E">
        <w:rPr>
          <w:vertAlign w:val="superscript"/>
        </w:rPr>
        <w:t>2</w:t>
      </w:r>
      <w:r w:rsidR="00716D4E" w:rsidRPr="00716D4E">
        <w:rPr>
          <w:vertAlign w:val="superscript"/>
        </w:rPr>
        <w:fldChar w:fldCharType="end"/>
      </w:r>
    </w:p>
    <w:p w14:paraId="43CA1BCA" w14:textId="77777777" w:rsidR="00F066E3" w:rsidRPr="00F066E3" w:rsidRDefault="00F066E3" w:rsidP="00F066E3">
      <w:pPr>
        <w:pStyle w:val="ListBullet"/>
      </w:pPr>
      <w:r w:rsidRPr="00F066E3">
        <w:t>No or low tissue systemic absorption of th</w:t>
      </w:r>
      <w:r w:rsidR="00716D4E">
        <w:t>e mite extracts is anticipated</w:t>
      </w:r>
    </w:p>
    <w:p w14:paraId="3B98DEA3" w14:textId="77777777" w:rsidR="00F066E3" w:rsidRPr="00F066E3" w:rsidRDefault="00790DE0" w:rsidP="00F066E3">
      <w:pPr>
        <w:pStyle w:val="ListBullet"/>
      </w:pPr>
      <w:r>
        <w:t xml:space="preserve">The freeze </w:t>
      </w:r>
      <w:r w:rsidR="00F066E3" w:rsidRPr="00F066E3">
        <w:t>dried mite allergen extracts have been used in humans for SLIT in the form of sublingual drops for many years without relevant safety concern justifying the conduct of dedicat</w:t>
      </w:r>
      <w:r w:rsidR="00716D4E">
        <w:t>ed safety pharmacology studies.</w:t>
      </w:r>
    </w:p>
    <w:p w14:paraId="72A1ED47" w14:textId="77777777" w:rsidR="00F066E3" w:rsidRPr="004334C7" w:rsidRDefault="00F066E3" w:rsidP="004334C7">
      <w:r w:rsidRPr="00F066E3">
        <w:t>Furthermore, limited neuro-</w:t>
      </w:r>
      <w:r w:rsidR="00716D4E" w:rsidRPr="00F066E3">
        <w:t>behavioural</w:t>
      </w:r>
      <w:r w:rsidRPr="00F066E3">
        <w:t xml:space="preserve"> tests perfo</w:t>
      </w:r>
      <w:r w:rsidR="00716D4E">
        <w:t xml:space="preserve">rmed during the 26 </w:t>
      </w:r>
      <w:r w:rsidRPr="00F066E3">
        <w:t>week repeat dose toxicity study in rats also did not raise safety pharmacology issues up to the maximum dose of 2500 IR/kg/day.</w:t>
      </w:r>
    </w:p>
    <w:p w14:paraId="4918A35F" w14:textId="77777777" w:rsidR="008E7846" w:rsidRDefault="008E7846" w:rsidP="008E7846">
      <w:pPr>
        <w:pStyle w:val="Heading3"/>
      </w:pPr>
      <w:bookmarkStart w:id="51" w:name="_Toc247691513"/>
      <w:bookmarkStart w:id="52" w:name="_Toc314842497"/>
      <w:bookmarkStart w:id="53" w:name="_Toc482791293"/>
      <w:r>
        <w:t>Pharmacokinetics</w:t>
      </w:r>
      <w:bookmarkEnd w:id="51"/>
      <w:bookmarkEnd w:id="52"/>
      <w:bookmarkEnd w:id="53"/>
    </w:p>
    <w:p w14:paraId="5140409D" w14:textId="77777777" w:rsidR="00F066E3" w:rsidRPr="00F066E3" w:rsidRDefault="00F066E3" w:rsidP="00F066E3">
      <w:bookmarkStart w:id="54" w:name="_Toc247691514"/>
      <w:bookmarkStart w:id="55" w:name="_Toc314842498"/>
      <w:r w:rsidRPr="00F066E3">
        <w:t xml:space="preserve">The sponsor did not submit any pharmacokinetic studies citing the following justifications: </w:t>
      </w:r>
    </w:p>
    <w:p w14:paraId="28FB9D5B" w14:textId="77777777" w:rsidR="00F066E3" w:rsidRPr="00F066E3" w:rsidRDefault="00F066E3" w:rsidP="00F066E3">
      <w:pPr>
        <w:pStyle w:val="ListBullet"/>
      </w:pPr>
      <w:r w:rsidRPr="00F066E3">
        <w:t xml:space="preserve">Following administration by sublingual-swallow route, the proteolytic digestion in the gastrointestinal tract is assumed to be the predominant fate of mite extracts, since they consist mostly of proteins and glycoproteins. As they are large molecules, they can hardly pass through the </w:t>
      </w:r>
      <w:proofErr w:type="spellStart"/>
      <w:r w:rsidRPr="00F066E3">
        <w:t>biomembrane</w:t>
      </w:r>
      <w:proofErr w:type="spellEnd"/>
      <w:r w:rsidRPr="00F066E3">
        <w:t xml:space="preserve"> by passive diffusion. Thus the extent of systemic absorption of the mite extracts is assume</w:t>
      </w:r>
      <w:r w:rsidR="00790DE0">
        <w:t>d to be very low or negligible.</w:t>
      </w:r>
    </w:p>
    <w:p w14:paraId="57D06920" w14:textId="295B731B" w:rsidR="00F066E3" w:rsidRPr="00F066E3" w:rsidRDefault="00F066E3" w:rsidP="00F066E3">
      <w:pPr>
        <w:pStyle w:val="ListBullet"/>
      </w:pPr>
      <w:r w:rsidRPr="00F066E3">
        <w:t>The pharmacological effect of the HDM sublingual tablet is not related to blood allergen levels based on our (the sponsor</w:t>
      </w:r>
      <w:r w:rsidR="00D9568C">
        <w:t>’</w:t>
      </w:r>
      <w:r w:rsidRPr="00F066E3">
        <w:t>s) knowledge of SLIT mechanisms. The pharmacological effect is related to the capture of allergens by dendritic cells within the sublingual mucosa, and subsequent presentation to T-lymphocy</w:t>
      </w:r>
      <w:r w:rsidR="00790DE0">
        <w:t>tes in the draining lymph nodes</w:t>
      </w:r>
    </w:p>
    <w:p w14:paraId="715DCBE3" w14:textId="77777777" w:rsidR="00F066E3" w:rsidRPr="00F066E3" w:rsidRDefault="00F066E3" w:rsidP="00F066E3">
      <w:pPr>
        <w:pStyle w:val="ListBullet"/>
      </w:pPr>
      <w:r w:rsidRPr="00F066E3">
        <w:t>The mite allergen extracts consist of a multitude of constituents. Thus, standard pharmacokinetic measurements to substantiate the systemic exposure of mite extract components in animals would be technically difficult.</w:t>
      </w:r>
    </w:p>
    <w:p w14:paraId="3663A672" w14:textId="77777777" w:rsidR="00F066E3" w:rsidRPr="00F066E3" w:rsidRDefault="00F066E3" w:rsidP="00F066E3">
      <w:pPr>
        <w:pStyle w:val="ListBullet"/>
      </w:pPr>
      <w:r w:rsidRPr="00F066E3">
        <w:lastRenderedPageBreak/>
        <w:t xml:space="preserve">Limited animal data are available in the literature documenting the pharmacokinetics of allergen preparations administered via local routes. Noteworthy, for the sublingual route, the choice of animals is limited to conduct relevant studies because, unlike humans, most laboratory animals have an oral lining </w:t>
      </w:r>
      <w:r w:rsidR="00716D4E">
        <w:t>epithelium that is keratinized.</w:t>
      </w:r>
    </w:p>
    <w:p w14:paraId="27F53B4F" w14:textId="77777777" w:rsidR="00F066E3" w:rsidRPr="00F066E3" w:rsidRDefault="00F066E3" w:rsidP="00F066E3">
      <w:r w:rsidRPr="00F066E3">
        <w:t>Given the low risk of systemic exposure from allergenic extract through sublingual administration and the currently understood pharmacological mechanisms of allergic response, the absence of classical pharmacokinetic studies for A</w:t>
      </w:r>
      <w:r w:rsidR="00716D4E" w:rsidRPr="00F066E3">
        <w:t>ctair</w:t>
      </w:r>
      <w:r w:rsidR="00716D4E">
        <w:t xml:space="preserve"> is acceptable.</w:t>
      </w:r>
    </w:p>
    <w:p w14:paraId="05F0FBA7" w14:textId="77777777" w:rsidR="00F066E3" w:rsidRPr="00F066E3" w:rsidRDefault="00F066E3" w:rsidP="00F066E3">
      <w:pPr>
        <w:pStyle w:val="Heading4"/>
      </w:pPr>
      <w:r w:rsidRPr="00F066E3">
        <w:t>Ph</w:t>
      </w:r>
      <w:r w:rsidR="00790DE0">
        <w:t>armacokinetic drug interactions</w:t>
      </w:r>
    </w:p>
    <w:p w14:paraId="08F2E0C1" w14:textId="77777777" w:rsidR="00F066E3" w:rsidRPr="00F066E3" w:rsidRDefault="00F066E3" w:rsidP="00F066E3">
      <w:r w:rsidRPr="00F066E3">
        <w:t>While pharmacokinetic drug interaction studies were not performed, the sponsor noted contraindications with known beta-blockers</w:t>
      </w:r>
      <w:r w:rsidR="00790DE0">
        <w:t xml:space="preserve">. </w:t>
      </w:r>
      <w:r w:rsidRPr="00790DE0">
        <w:rPr>
          <w:vertAlign w:val="superscript"/>
        </w:rPr>
        <w:footnoteReference w:id="23"/>
      </w:r>
      <w:r w:rsidRPr="00790DE0">
        <w:rPr>
          <w:vertAlign w:val="superscript"/>
        </w:rPr>
        <w:t xml:space="preserve">, </w:t>
      </w:r>
      <w:bookmarkStart w:id="56" w:name="_Ref482100244"/>
      <w:r w:rsidRPr="00790DE0">
        <w:rPr>
          <w:vertAlign w:val="superscript"/>
        </w:rPr>
        <w:footnoteReference w:id="24"/>
      </w:r>
      <w:bookmarkEnd w:id="56"/>
    </w:p>
    <w:p w14:paraId="68A51098" w14:textId="77777777" w:rsidR="001B5C90" w:rsidRDefault="008E7846" w:rsidP="001B5C90">
      <w:pPr>
        <w:pStyle w:val="Heading3"/>
      </w:pPr>
      <w:bookmarkStart w:id="57" w:name="_Toc482791294"/>
      <w:r>
        <w:t>Toxicology</w:t>
      </w:r>
      <w:bookmarkEnd w:id="54"/>
      <w:bookmarkEnd w:id="55"/>
      <w:bookmarkEnd w:id="57"/>
    </w:p>
    <w:p w14:paraId="1F7A982C" w14:textId="77777777" w:rsidR="00F066E3" w:rsidRPr="00F066E3" w:rsidRDefault="00790DE0" w:rsidP="00F066E3">
      <w:pPr>
        <w:pStyle w:val="Heading4"/>
      </w:pPr>
      <w:r>
        <w:t>Acute toxicity</w:t>
      </w:r>
    </w:p>
    <w:p w14:paraId="3D2C9A9D" w14:textId="77777777" w:rsidR="00F066E3" w:rsidRPr="00F066E3" w:rsidRDefault="00F066E3" w:rsidP="00F066E3">
      <w:r w:rsidRPr="00F066E3">
        <w:t>The sponsor did not present any acute toxicity studies as, “repeat-dose studies (had been) conducted in rats at high dose-levels for 26 weeks by subcutaneous and oral routes”. Given the nature of the test article, long term administration and previous approval of the active ingredients for same indication</w:t>
      </w:r>
      <w:r w:rsidRPr="00790DE0">
        <w:rPr>
          <w:vertAlign w:val="superscript"/>
        </w:rPr>
        <w:footnoteReference w:id="25"/>
      </w:r>
      <w:r w:rsidRPr="00F066E3">
        <w:t xml:space="preserve">, omission of acute </w:t>
      </w:r>
      <w:r w:rsidR="00790DE0">
        <w:t>toxicity studies is acceptable.</w:t>
      </w:r>
    </w:p>
    <w:p w14:paraId="73344F93" w14:textId="77777777" w:rsidR="00F066E3" w:rsidRPr="00F066E3" w:rsidRDefault="00790DE0" w:rsidP="00F066E3">
      <w:pPr>
        <w:pStyle w:val="Heading4"/>
      </w:pPr>
      <w:r>
        <w:t>Repeat-dose toxicity</w:t>
      </w:r>
    </w:p>
    <w:p w14:paraId="38DDB2BD" w14:textId="40085629" w:rsidR="00F066E3" w:rsidRPr="00F066E3" w:rsidRDefault="00F066E3" w:rsidP="00F066E3">
      <w:r w:rsidRPr="00F066E3">
        <w:t>The sponsor presented data from three repeat dose toxicity studies in rats; one 14-day range finding study and two 26-week studies (one subcutaneous and one gavage). All studies were GLP co</w:t>
      </w:r>
      <w:r w:rsidR="00790DE0">
        <w:t xml:space="preserve">mpliant. Only one 26 </w:t>
      </w:r>
      <w:r w:rsidRPr="00F066E3">
        <w:t xml:space="preserve">week study utilised the oral route proposed for clinical application. No toxicokinetic or pharmacokinetic data for </w:t>
      </w:r>
      <w:proofErr w:type="spellStart"/>
      <w:r w:rsidRPr="00F066E3">
        <w:t>D.Pte</w:t>
      </w:r>
      <w:proofErr w:type="spellEnd"/>
      <w:r w:rsidRPr="00F066E3">
        <w:t xml:space="preserve"> or </w:t>
      </w:r>
      <w:proofErr w:type="spellStart"/>
      <w:r w:rsidRPr="00F066E3">
        <w:t>D.far</w:t>
      </w:r>
      <w:proofErr w:type="spellEnd"/>
      <w:r w:rsidRPr="00F066E3">
        <w:t xml:space="preserve"> </w:t>
      </w:r>
      <w:r w:rsidR="00D9568C">
        <w:t>were</w:t>
      </w:r>
      <w:r w:rsidR="00D9568C" w:rsidRPr="00F066E3">
        <w:t xml:space="preserve"> </w:t>
      </w:r>
      <w:r w:rsidRPr="00F066E3">
        <w:t xml:space="preserve">determined. Repeat dose studies were only performed on one rodent species and no non-rodent models were utilised. While data from non-rodent studies are also strongly preferred, given that </w:t>
      </w:r>
      <w:proofErr w:type="spellStart"/>
      <w:r w:rsidRPr="00F066E3">
        <w:t>D.Pte</w:t>
      </w:r>
      <w:proofErr w:type="spellEnd"/>
      <w:r w:rsidRPr="00F066E3">
        <w:t xml:space="preserve"> or </w:t>
      </w:r>
      <w:proofErr w:type="spellStart"/>
      <w:r w:rsidRPr="00F066E3">
        <w:t>D.far</w:t>
      </w:r>
      <w:proofErr w:type="spellEnd"/>
      <w:r w:rsidRPr="00F066E3">
        <w:t xml:space="preserve"> have been approved for use in combination subcutaneously for the same indication, absence of non-rodent repeat dose toxicity studies was not considered critical.</w:t>
      </w:r>
    </w:p>
    <w:p w14:paraId="2C1ECBB6" w14:textId="77777777" w:rsidR="00F066E3" w:rsidRPr="00F066E3" w:rsidRDefault="00790DE0" w:rsidP="00F066E3">
      <w:pPr>
        <w:pStyle w:val="Heading5"/>
      </w:pPr>
      <w:r>
        <w:t>Relative exposure</w:t>
      </w:r>
    </w:p>
    <w:p w14:paraId="3479D0CC" w14:textId="77777777" w:rsidR="00F066E3" w:rsidRPr="00F066E3" w:rsidRDefault="00F066E3" w:rsidP="00F066E3">
      <w:r w:rsidRPr="00F066E3">
        <w:t xml:space="preserve">Relative exposure calculations based on </w:t>
      </w:r>
      <w:r w:rsidR="00C50DDD">
        <w:rPr>
          <w:lang w:val="en-US"/>
        </w:rPr>
        <w:t>area under the curve</w:t>
      </w:r>
      <w:r w:rsidR="00C50DDD" w:rsidRPr="00F066E3">
        <w:t xml:space="preserve"> </w:t>
      </w:r>
      <w:r w:rsidR="00C50DDD">
        <w:t>(</w:t>
      </w:r>
      <w:r w:rsidRPr="00F066E3">
        <w:t>AUC</w:t>
      </w:r>
      <w:r w:rsidR="00C50DDD">
        <w:t>)</w:t>
      </w:r>
      <w:r w:rsidRPr="00F066E3">
        <w:t xml:space="preserve"> or </w:t>
      </w:r>
      <w:proofErr w:type="spellStart"/>
      <w:r w:rsidRPr="00F066E3">
        <w:t>C</w:t>
      </w:r>
      <w:r w:rsidRPr="00716D4E">
        <w:rPr>
          <w:vertAlign w:val="subscript"/>
        </w:rPr>
        <w:t>max</w:t>
      </w:r>
      <w:proofErr w:type="spellEnd"/>
      <w:r w:rsidRPr="00F066E3">
        <w:t xml:space="preserve"> were not possible as it was not possible to determine pharmacokinetic and/or toxicokinetic data for </w:t>
      </w:r>
      <w:r w:rsidR="00716D4E">
        <w:t>Actair</w:t>
      </w:r>
      <w:r w:rsidRPr="00F066E3">
        <w:t xml:space="preserve">. Comparison of relative exposure for the major nonclinical studies was therefore estimated based on dose/body surface area as summarised </w:t>
      </w:r>
      <w:r w:rsidRPr="00753206">
        <w:t xml:space="preserve">in Table </w:t>
      </w:r>
      <w:r w:rsidR="00716D4E" w:rsidRPr="00753206">
        <w:t>2</w:t>
      </w:r>
      <w:r w:rsidRPr="00753206">
        <w:t>. Based</w:t>
      </w:r>
      <w:r w:rsidRPr="00F066E3">
        <w:t xml:space="preserve"> on a maximum recommended clinical dose of 300 IR/day, a 6 IR/kg or 198 IR/m</w:t>
      </w:r>
      <w:r w:rsidRPr="00716D4E">
        <w:rPr>
          <w:vertAlign w:val="superscript"/>
        </w:rPr>
        <w:t>2</w:t>
      </w:r>
      <w:r w:rsidRPr="00F066E3">
        <w:t xml:space="preserve"> dose of </w:t>
      </w:r>
      <w:r w:rsidR="00716D4E">
        <w:t>Actair was calculated for a 50 </w:t>
      </w:r>
      <w:r w:rsidRPr="00F066E3">
        <w:t xml:space="preserve">kg adult/day. The values at </w:t>
      </w:r>
      <w:r w:rsidR="002A0FA3">
        <w:rPr>
          <w:color w:val="000000"/>
          <w:lang w:val="en-GB"/>
        </w:rPr>
        <w:t>no observed adverse effect level</w:t>
      </w:r>
      <w:r w:rsidR="002A0FA3" w:rsidRPr="00F066E3">
        <w:t xml:space="preserve"> </w:t>
      </w:r>
      <w:r w:rsidR="002A0FA3">
        <w:t>(</w:t>
      </w:r>
      <w:r w:rsidRPr="00F066E3">
        <w:t>NOAEL</w:t>
      </w:r>
      <w:r w:rsidR="002A0FA3">
        <w:t>)</w:t>
      </w:r>
      <w:r w:rsidRPr="00F066E3">
        <w:t xml:space="preserve"> are highlighted in bold for each study; relative exposure at NOAELs was high for all repeat dose toxicity studies. However, the relative </w:t>
      </w:r>
      <w:r w:rsidR="00716D4E">
        <w:t>immunological potency of Actair</w:t>
      </w:r>
      <w:r w:rsidRPr="00F066E3">
        <w:t xml:space="preserve"> in animals </w:t>
      </w:r>
      <w:r w:rsidR="00790DE0">
        <w:t>compared with</w:t>
      </w:r>
      <w:r w:rsidRPr="00F066E3">
        <w:t xml:space="preserve"> humans was not assessed hence the accuracy of the relative exposures is uncertain.</w:t>
      </w:r>
      <w:bookmarkStart w:id="58" w:name="Genotoxicity"/>
      <w:bookmarkStart w:id="59" w:name="Major_toxicities"/>
      <w:bookmarkStart w:id="60" w:name="Relative_exposure"/>
      <w:bookmarkEnd w:id="58"/>
      <w:bookmarkEnd w:id="59"/>
      <w:bookmarkEnd w:id="60"/>
    </w:p>
    <w:p w14:paraId="404BE71E" w14:textId="77777777" w:rsidR="00F066E3" w:rsidRPr="00F066E3" w:rsidRDefault="00F066E3" w:rsidP="00F066E3">
      <w:pPr>
        <w:pStyle w:val="TableTitle"/>
      </w:pPr>
      <w:r w:rsidRPr="00F066E3">
        <w:lastRenderedPageBreak/>
        <w:t xml:space="preserve">Table </w:t>
      </w:r>
      <w:r w:rsidR="00716D4E">
        <w:t xml:space="preserve">2: Relative exposure in repeat </w:t>
      </w:r>
      <w:r w:rsidRPr="00F066E3">
        <w:t>dose toxicity and reproductive toxicity studies</w:t>
      </w:r>
    </w:p>
    <w:tbl>
      <w:tblPr>
        <w:tblStyle w:val="TableTGAblue"/>
        <w:tblW w:w="5000" w:type="pct"/>
        <w:tblLayout w:type="fixed"/>
        <w:tblLook w:val="0020" w:firstRow="1" w:lastRow="0" w:firstColumn="0" w:lastColumn="0" w:noHBand="0" w:noVBand="0"/>
      </w:tblPr>
      <w:tblGrid>
        <w:gridCol w:w="1828"/>
        <w:gridCol w:w="1825"/>
        <w:gridCol w:w="1689"/>
        <w:gridCol w:w="1689"/>
        <w:gridCol w:w="1689"/>
      </w:tblGrid>
      <w:tr w:rsidR="00F066E3" w:rsidRPr="00967387" w14:paraId="10AD47E9" w14:textId="77777777" w:rsidTr="009F1355">
        <w:trPr>
          <w:cnfStyle w:val="100000000000" w:firstRow="1" w:lastRow="0" w:firstColumn="0" w:lastColumn="0" w:oddVBand="0" w:evenVBand="0" w:oddHBand="0" w:evenHBand="0" w:firstRowFirstColumn="0" w:firstRowLastColumn="0" w:lastRowFirstColumn="0" w:lastRowLastColumn="0"/>
          <w:trHeight w:hRule="exact" w:val="957"/>
        </w:trPr>
        <w:tc>
          <w:tcPr>
            <w:tcW w:w="1828" w:type="dxa"/>
          </w:tcPr>
          <w:p w14:paraId="3AEE4EE7" w14:textId="77777777" w:rsidR="00F066E3" w:rsidRPr="009F1355" w:rsidRDefault="00F066E3" w:rsidP="00BC53A0">
            <w:pPr>
              <w:kinsoku w:val="0"/>
              <w:overflowPunct w:val="0"/>
              <w:autoSpaceDE w:val="0"/>
              <w:autoSpaceDN w:val="0"/>
              <w:adjustRightInd w:val="0"/>
              <w:spacing w:after="0" w:line="240" w:lineRule="auto"/>
              <w:ind w:left="0" w:right="0"/>
              <w:rPr>
                <w:rFonts w:ascii="Times New Roman" w:hAnsi="Times New Roman"/>
                <w:sz w:val="24"/>
                <w:szCs w:val="24"/>
              </w:rPr>
            </w:pPr>
            <w:r w:rsidRPr="009F1355">
              <w:rPr>
                <w:rFonts w:cs="Cambria"/>
                <w:bCs/>
                <w:spacing w:val="-1"/>
                <w:sz w:val="19"/>
                <w:szCs w:val="19"/>
              </w:rPr>
              <w:t>Species</w:t>
            </w:r>
          </w:p>
        </w:tc>
        <w:tc>
          <w:tcPr>
            <w:tcW w:w="1825" w:type="dxa"/>
          </w:tcPr>
          <w:p w14:paraId="6355C810" w14:textId="2DC43F8E" w:rsidR="00595C0D" w:rsidRPr="001A3124" w:rsidRDefault="00F066E3" w:rsidP="00BC53A0">
            <w:pPr>
              <w:kinsoku w:val="0"/>
              <w:overflowPunct w:val="0"/>
              <w:autoSpaceDE w:val="0"/>
              <w:autoSpaceDN w:val="0"/>
              <w:adjustRightInd w:val="0"/>
              <w:spacing w:after="0" w:line="240" w:lineRule="auto"/>
              <w:ind w:left="0" w:right="0"/>
              <w:rPr>
                <w:rFonts w:cs="Cambria"/>
                <w:bCs/>
                <w:spacing w:val="-2"/>
                <w:sz w:val="19"/>
                <w:szCs w:val="19"/>
              </w:rPr>
            </w:pPr>
            <w:r w:rsidRPr="009F1355">
              <w:rPr>
                <w:rFonts w:cs="Cambria"/>
                <w:bCs/>
                <w:spacing w:val="-2"/>
                <w:sz w:val="19"/>
                <w:szCs w:val="19"/>
              </w:rPr>
              <w:t>Study</w:t>
            </w:r>
            <w:r w:rsidRPr="009F1355">
              <w:rPr>
                <w:rFonts w:cs="Cambria"/>
                <w:bCs/>
                <w:spacing w:val="6"/>
                <w:sz w:val="19"/>
                <w:szCs w:val="19"/>
              </w:rPr>
              <w:t xml:space="preserve"> </w:t>
            </w:r>
            <w:r w:rsidRPr="009F1355">
              <w:rPr>
                <w:rFonts w:cs="Cambria"/>
                <w:bCs/>
                <w:spacing w:val="-2"/>
                <w:sz w:val="19"/>
                <w:szCs w:val="19"/>
              </w:rPr>
              <w:t>duration</w:t>
            </w:r>
            <w:r w:rsidR="00595C0D">
              <w:rPr>
                <w:rFonts w:cs="Cambria"/>
                <w:bCs/>
                <w:spacing w:val="-2"/>
                <w:sz w:val="19"/>
                <w:szCs w:val="19"/>
              </w:rPr>
              <w:t xml:space="preserve"> [study number]</w:t>
            </w:r>
          </w:p>
        </w:tc>
        <w:tc>
          <w:tcPr>
            <w:tcW w:w="1689" w:type="dxa"/>
          </w:tcPr>
          <w:p w14:paraId="6CE8E6FA" w14:textId="77777777" w:rsidR="00F066E3" w:rsidRPr="009F1355" w:rsidRDefault="00F066E3" w:rsidP="00BC53A0">
            <w:pPr>
              <w:kinsoku w:val="0"/>
              <w:overflowPunct w:val="0"/>
              <w:autoSpaceDE w:val="0"/>
              <w:autoSpaceDN w:val="0"/>
              <w:adjustRightInd w:val="0"/>
              <w:spacing w:after="0" w:line="196" w:lineRule="exact"/>
              <w:ind w:left="0" w:right="0" w:firstLine="316"/>
              <w:rPr>
                <w:rFonts w:ascii="Times New Roman" w:hAnsi="Times New Roman"/>
                <w:sz w:val="24"/>
                <w:szCs w:val="24"/>
              </w:rPr>
            </w:pPr>
            <w:r w:rsidRPr="009F1355">
              <w:rPr>
                <w:rFonts w:cs="Cambria"/>
                <w:bCs/>
                <w:spacing w:val="-1"/>
                <w:sz w:val="19"/>
                <w:szCs w:val="19"/>
              </w:rPr>
              <w:t>Dose</w:t>
            </w:r>
            <w:r w:rsidRPr="009F1355">
              <w:rPr>
                <w:rFonts w:cs="Cambria"/>
                <w:bCs/>
                <w:spacing w:val="19"/>
                <w:w w:val="101"/>
                <w:sz w:val="19"/>
                <w:szCs w:val="19"/>
              </w:rPr>
              <w:t xml:space="preserve"> </w:t>
            </w:r>
            <w:r w:rsidRPr="009F1355">
              <w:rPr>
                <w:rFonts w:cs="Cambria"/>
                <w:bCs/>
                <w:spacing w:val="-2"/>
                <w:sz w:val="19"/>
                <w:szCs w:val="19"/>
              </w:rPr>
              <w:t>(IR/kg/day)</w:t>
            </w:r>
          </w:p>
        </w:tc>
        <w:tc>
          <w:tcPr>
            <w:tcW w:w="1689" w:type="dxa"/>
          </w:tcPr>
          <w:p w14:paraId="3DF1E481" w14:textId="77777777" w:rsidR="00F066E3" w:rsidRPr="009F1355" w:rsidRDefault="00F066E3" w:rsidP="00BC53A0">
            <w:pPr>
              <w:kinsoku w:val="0"/>
              <w:overflowPunct w:val="0"/>
              <w:autoSpaceDE w:val="0"/>
              <w:autoSpaceDN w:val="0"/>
              <w:adjustRightInd w:val="0"/>
              <w:spacing w:after="0" w:line="196" w:lineRule="exact"/>
              <w:ind w:left="0" w:right="0" w:firstLine="124"/>
              <w:rPr>
                <w:rFonts w:ascii="Times New Roman" w:hAnsi="Times New Roman"/>
                <w:sz w:val="24"/>
                <w:szCs w:val="24"/>
              </w:rPr>
            </w:pPr>
            <w:r w:rsidRPr="009F1355">
              <w:rPr>
                <w:rFonts w:cs="Cambria"/>
                <w:bCs/>
                <w:spacing w:val="-1"/>
                <w:sz w:val="19"/>
                <w:szCs w:val="19"/>
              </w:rPr>
              <w:t>Dose</w:t>
            </w:r>
            <w:r w:rsidRPr="009F1355">
              <w:rPr>
                <w:rFonts w:cs="Cambria"/>
                <w:bCs/>
                <w:spacing w:val="19"/>
                <w:w w:val="101"/>
                <w:sz w:val="19"/>
                <w:szCs w:val="19"/>
              </w:rPr>
              <w:t xml:space="preserve"> </w:t>
            </w:r>
            <w:r w:rsidRPr="009F1355">
              <w:rPr>
                <w:rFonts w:cs="Cambria"/>
                <w:bCs/>
                <w:spacing w:val="-1"/>
                <w:sz w:val="19"/>
                <w:szCs w:val="19"/>
              </w:rPr>
              <w:t>(IR/m</w:t>
            </w:r>
            <w:r w:rsidRPr="009F1355">
              <w:rPr>
                <w:rFonts w:cs="Cambria"/>
                <w:bCs/>
                <w:spacing w:val="-1"/>
                <w:position w:val="5"/>
                <w:sz w:val="12"/>
                <w:szCs w:val="12"/>
              </w:rPr>
              <w:t>2</w:t>
            </w:r>
            <w:r w:rsidRPr="009F1355">
              <w:rPr>
                <w:rFonts w:cs="Cambria"/>
                <w:bCs/>
                <w:spacing w:val="-1"/>
                <w:sz w:val="19"/>
                <w:szCs w:val="19"/>
              </w:rPr>
              <w:t>)</w:t>
            </w:r>
          </w:p>
        </w:tc>
        <w:tc>
          <w:tcPr>
            <w:tcW w:w="1689" w:type="dxa"/>
          </w:tcPr>
          <w:p w14:paraId="03D8010F" w14:textId="77777777" w:rsidR="00F066E3" w:rsidRPr="009F1355" w:rsidRDefault="00F066E3" w:rsidP="00BC53A0">
            <w:pPr>
              <w:kinsoku w:val="0"/>
              <w:overflowPunct w:val="0"/>
              <w:autoSpaceDE w:val="0"/>
              <w:autoSpaceDN w:val="0"/>
              <w:adjustRightInd w:val="0"/>
              <w:spacing w:after="0" w:line="240" w:lineRule="auto"/>
              <w:ind w:left="0" w:right="0"/>
              <w:rPr>
                <w:rFonts w:ascii="Times New Roman" w:hAnsi="Times New Roman"/>
                <w:sz w:val="24"/>
                <w:szCs w:val="24"/>
              </w:rPr>
            </w:pPr>
            <w:r w:rsidRPr="009F1355">
              <w:rPr>
                <w:rFonts w:cs="Cambria"/>
                <w:bCs/>
                <w:spacing w:val="-2"/>
                <w:sz w:val="19"/>
                <w:szCs w:val="19"/>
              </w:rPr>
              <w:t>Exposure</w:t>
            </w:r>
            <w:r w:rsidRPr="009F1355">
              <w:rPr>
                <w:rFonts w:cs="Cambria"/>
                <w:bCs/>
                <w:spacing w:val="10"/>
                <w:sz w:val="19"/>
                <w:szCs w:val="19"/>
              </w:rPr>
              <w:t xml:space="preserve"> </w:t>
            </w:r>
            <w:r w:rsidRPr="009F1355">
              <w:rPr>
                <w:rFonts w:cs="Cambria"/>
                <w:bCs/>
                <w:spacing w:val="-2"/>
                <w:sz w:val="19"/>
                <w:szCs w:val="19"/>
              </w:rPr>
              <w:t>ratio</w:t>
            </w:r>
            <w:r w:rsidRPr="009F1355">
              <w:rPr>
                <w:rFonts w:cs="Cambria"/>
                <w:bCs/>
                <w:spacing w:val="-2"/>
                <w:position w:val="5"/>
                <w:sz w:val="12"/>
                <w:szCs w:val="12"/>
              </w:rPr>
              <w:t>#</w:t>
            </w:r>
          </w:p>
        </w:tc>
      </w:tr>
      <w:tr w:rsidR="00F066E3" w:rsidRPr="00967387" w14:paraId="740AF41B" w14:textId="77777777" w:rsidTr="009F1355">
        <w:trPr>
          <w:trHeight w:hRule="exact" w:val="293"/>
        </w:trPr>
        <w:tc>
          <w:tcPr>
            <w:tcW w:w="1828" w:type="dxa"/>
            <w:vMerge w:val="restart"/>
          </w:tcPr>
          <w:p w14:paraId="0D4F04A9" w14:textId="77777777" w:rsidR="00F066E3" w:rsidRPr="00967387" w:rsidRDefault="00F066E3" w:rsidP="009F1355">
            <w:pPr>
              <w:kinsoku w:val="0"/>
              <w:overflowPunct w:val="0"/>
              <w:autoSpaceDE w:val="0"/>
              <w:autoSpaceDN w:val="0"/>
              <w:adjustRightInd w:val="0"/>
              <w:spacing w:after="0" w:line="206" w:lineRule="exact"/>
              <w:ind w:left="0" w:right="0"/>
              <w:jc w:val="center"/>
              <w:rPr>
                <w:rFonts w:cs="Cambria"/>
                <w:sz w:val="18"/>
                <w:szCs w:val="18"/>
              </w:rPr>
            </w:pPr>
            <w:r w:rsidRPr="00967387">
              <w:rPr>
                <w:rFonts w:cs="Cambria"/>
                <w:b/>
                <w:bCs/>
                <w:spacing w:val="-2"/>
                <w:sz w:val="18"/>
                <w:szCs w:val="18"/>
              </w:rPr>
              <w:t>Rat</w:t>
            </w:r>
          </w:p>
          <w:p w14:paraId="2B726D89" w14:textId="77777777" w:rsidR="00F066E3" w:rsidRPr="00967387" w:rsidRDefault="00F066E3" w:rsidP="009F1355">
            <w:pPr>
              <w:kinsoku w:val="0"/>
              <w:overflowPunct w:val="0"/>
              <w:autoSpaceDE w:val="0"/>
              <w:autoSpaceDN w:val="0"/>
              <w:adjustRightInd w:val="0"/>
              <w:spacing w:after="0" w:line="206" w:lineRule="exact"/>
              <w:ind w:left="0" w:right="0"/>
              <w:jc w:val="center"/>
              <w:rPr>
                <w:rFonts w:ascii="Times New Roman" w:hAnsi="Times New Roman"/>
                <w:sz w:val="24"/>
                <w:szCs w:val="24"/>
              </w:rPr>
            </w:pPr>
            <w:r w:rsidRPr="00967387">
              <w:rPr>
                <w:rFonts w:cs="Cambria"/>
                <w:spacing w:val="1"/>
                <w:sz w:val="18"/>
                <w:szCs w:val="18"/>
              </w:rPr>
              <w:t>(</w:t>
            </w:r>
            <w:r w:rsidRPr="00967387">
              <w:rPr>
                <w:rFonts w:cs="Cambria"/>
                <w:sz w:val="18"/>
                <w:szCs w:val="18"/>
              </w:rPr>
              <w:t>S</w:t>
            </w:r>
            <w:r w:rsidRPr="00967387">
              <w:rPr>
                <w:rFonts w:cs="Cambria"/>
                <w:spacing w:val="-6"/>
                <w:sz w:val="18"/>
                <w:szCs w:val="18"/>
              </w:rPr>
              <w:t>D</w:t>
            </w:r>
            <w:r w:rsidRPr="00967387">
              <w:rPr>
                <w:rFonts w:cs="Cambria"/>
                <w:sz w:val="18"/>
                <w:szCs w:val="18"/>
              </w:rPr>
              <w:t>)</w:t>
            </w:r>
          </w:p>
        </w:tc>
        <w:tc>
          <w:tcPr>
            <w:tcW w:w="1825" w:type="dxa"/>
            <w:vMerge w:val="restart"/>
          </w:tcPr>
          <w:p w14:paraId="5FE0E5B4" w14:textId="77777777" w:rsidR="00F066E3" w:rsidRPr="00967387" w:rsidRDefault="00F066E3" w:rsidP="009F1355">
            <w:pPr>
              <w:kinsoku w:val="0"/>
              <w:overflowPunct w:val="0"/>
              <w:autoSpaceDE w:val="0"/>
              <w:autoSpaceDN w:val="0"/>
              <w:adjustRightInd w:val="0"/>
              <w:spacing w:before="34" w:after="0" w:line="248" w:lineRule="auto"/>
              <w:ind w:left="0" w:right="0" w:firstLine="355"/>
              <w:rPr>
                <w:rFonts w:ascii="Times New Roman" w:hAnsi="Times New Roman"/>
                <w:sz w:val="24"/>
                <w:szCs w:val="24"/>
              </w:rPr>
            </w:pPr>
            <w:r w:rsidRPr="00967387">
              <w:rPr>
                <w:rFonts w:cs="Cambria"/>
                <w:spacing w:val="-1"/>
                <w:sz w:val="18"/>
                <w:szCs w:val="18"/>
              </w:rPr>
              <w:t>14</w:t>
            </w:r>
            <w:r w:rsidRPr="00967387">
              <w:rPr>
                <w:rFonts w:cs="Cambria"/>
                <w:spacing w:val="3"/>
                <w:sz w:val="18"/>
                <w:szCs w:val="18"/>
              </w:rPr>
              <w:t xml:space="preserve"> </w:t>
            </w:r>
            <w:r w:rsidRPr="00967387">
              <w:rPr>
                <w:rFonts w:cs="Cambria"/>
                <w:spacing w:val="-2"/>
                <w:sz w:val="18"/>
                <w:szCs w:val="18"/>
              </w:rPr>
              <w:t>days</w:t>
            </w:r>
            <w:r w:rsidR="009F1355">
              <w:rPr>
                <w:rFonts w:cs="Cambria"/>
                <w:spacing w:val="25"/>
                <w:w w:val="101"/>
                <w:sz w:val="18"/>
                <w:szCs w:val="18"/>
              </w:rPr>
              <w:t xml:space="preserve"> </w:t>
            </w:r>
            <w:r w:rsidR="009F1355">
              <w:rPr>
                <w:rFonts w:cs="Cambria"/>
                <w:spacing w:val="25"/>
                <w:w w:val="101"/>
                <w:sz w:val="18"/>
                <w:szCs w:val="18"/>
              </w:rPr>
              <w:br/>
            </w:r>
            <w:r w:rsidRPr="00967387">
              <w:rPr>
                <w:rFonts w:cs="Cambria"/>
                <w:spacing w:val="-1"/>
                <w:sz w:val="18"/>
                <w:szCs w:val="18"/>
              </w:rPr>
              <w:t>(repeat</w:t>
            </w:r>
            <w:r w:rsidRPr="00967387">
              <w:rPr>
                <w:rFonts w:cs="Cambria"/>
                <w:spacing w:val="5"/>
                <w:sz w:val="18"/>
                <w:szCs w:val="18"/>
              </w:rPr>
              <w:t xml:space="preserve"> </w:t>
            </w:r>
            <w:r w:rsidRPr="00967387">
              <w:rPr>
                <w:rFonts w:cs="Cambria"/>
                <w:spacing w:val="-2"/>
                <w:sz w:val="18"/>
                <w:szCs w:val="18"/>
              </w:rPr>
              <w:t>dose,</w:t>
            </w:r>
            <w:r w:rsidRPr="00967387">
              <w:rPr>
                <w:rFonts w:cs="Cambria"/>
                <w:spacing w:val="5"/>
                <w:sz w:val="18"/>
                <w:szCs w:val="18"/>
              </w:rPr>
              <w:t xml:space="preserve"> </w:t>
            </w:r>
            <w:r w:rsidRPr="00967387">
              <w:rPr>
                <w:rFonts w:cs="Cambria"/>
                <w:spacing w:val="-3"/>
                <w:sz w:val="18"/>
                <w:szCs w:val="18"/>
              </w:rPr>
              <w:t>SC)</w:t>
            </w:r>
            <w:r w:rsidRPr="00967387">
              <w:rPr>
                <w:rFonts w:cs="Cambria"/>
                <w:spacing w:val="26"/>
                <w:w w:val="101"/>
                <w:sz w:val="18"/>
                <w:szCs w:val="18"/>
              </w:rPr>
              <w:t xml:space="preserve"> </w:t>
            </w:r>
            <w:r w:rsidRPr="00967387">
              <w:rPr>
                <w:rFonts w:cs="Cambria"/>
                <w:spacing w:val="-2"/>
                <w:sz w:val="18"/>
                <w:szCs w:val="18"/>
              </w:rPr>
              <w:t>[20050324TR]</w:t>
            </w:r>
          </w:p>
        </w:tc>
        <w:tc>
          <w:tcPr>
            <w:tcW w:w="1689" w:type="dxa"/>
          </w:tcPr>
          <w:p w14:paraId="51D9086D"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500</w:t>
            </w:r>
          </w:p>
        </w:tc>
        <w:tc>
          <w:tcPr>
            <w:tcW w:w="1689" w:type="dxa"/>
          </w:tcPr>
          <w:p w14:paraId="0E2515DE"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3000</w:t>
            </w:r>
          </w:p>
        </w:tc>
        <w:tc>
          <w:tcPr>
            <w:tcW w:w="1689" w:type="dxa"/>
          </w:tcPr>
          <w:p w14:paraId="3FC49813"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15</w:t>
            </w:r>
          </w:p>
        </w:tc>
      </w:tr>
      <w:tr w:rsidR="00F066E3" w:rsidRPr="00967387" w14:paraId="5C16FF7A" w14:textId="77777777" w:rsidTr="009F1355">
        <w:trPr>
          <w:trHeight w:hRule="exact" w:val="293"/>
        </w:trPr>
        <w:tc>
          <w:tcPr>
            <w:tcW w:w="1828" w:type="dxa"/>
            <w:vMerge/>
          </w:tcPr>
          <w:p w14:paraId="63439C87"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p>
        </w:tc>
        <w:tc>
          <w:tcPr>
            <w:tcW w:w="1825" w:type="dxa"/>
            <w:vMerge/>
          </w:tcPr>
          <w:p w14:paraId="33D8D676"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p>
        </w:tc>
        <w:tc>
          <w:tcPr>
            <w:tcW w:w="1689" w:type="dxa"/>
          </w:tcPr>
          <w:p w14:paraId="20A84A88"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tcPr>
          <w:p w14:paraId="733FF8D4"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9000</w:t>
            </w:r>
          </w:p>
        </w:tc>
        <w:tc>
          <w:tcPr>
            <w:tcW w:w="1689" w:type="dxa"/>
          </w:tcPr>
          <w:p w14:paraId="7839CA68"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45</w:t>
            </w:r>
          </w:p>
        </w:tc>
      </w:tr>
      <w:tr w:rsidR="00F066E3" w:rsidRPr="00967387" w14:paraId="5C93FE13" w14:textId="77777777" w:rsidTr="009F1355">
        <w:trPr>
          <w:trHeight w:hRule="exact" w:val="382"/>
        </w:trPr>
        <w:tc>
          <w:tcPr>
            <w:tcW w:w="1828" w:type="dxa"/>
            <w:vMerge/>
          </w:tcPr>
          <w:p w14:paraId="7953C35C"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tcPr>
          <w:p w14:paraId="1D7A8AAC"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tcPr>
          <w:p w14:paraId="0126B1D8" w14:textId="77777777" w:rsidR="00F066E3" w:rsidRPr="00967387" w:rsidRDefault="00F066E3" w:rsidP="009F1355">
            <w:pPr>
              <w:kinsoku w:val="0"/>
              <w:overflowPunct w:val="0"/>
              <w:autoSpaceDE w:val="0"/>
              <w:autoSpaceDN w:val="0"/>
              <w:adjustRightInd w:val="0"/>
              <w:spacing w:before="81" w:after="0" w:line="240" w:lineRule="auto"/>
              <w:ind w:left="0" w:right="0"/>
              <w:jc w:val="center"/>
              <w:rPr>
                <w:rFonts w:ascii="Times New Roman" w:hAnsi="Times New Roman"/>
                <w:sz w:val="24"/>
                <w:szCs w:val="24"/>
              </w:rPr>
            </w:pPr>
            <w:r w:rsidRPr="00967387">
              <w:rPr>
                <w:rFonts w:cs="Cambria"/>
                <w:b/>
                <w:bCs/>
                <w:spacing w:val="-2"/>
                <w:sz w:val="18"/>
                <w:szCs w:val="18"/>
              </w:rPr>
              <w:t>2500</w:t>
            </w:r>
          </w:p>
        </w:tc>
        <w:tc>
          <w:tcPr>
            <w:tcW w:w="1689" w:type="dxa"/>
          </w:tcPr>
          <w:p w14:paraId="44815847" w14:textId="77777777" w:rsidR="00F066E3" w:rsidRPr="00967387" w:rsidRDefault="00F066E3" w:rsidP="009F1355">
            <w:pPr>
              <w:kinsoku w:val="0"/>
              <w:overflowPunct w:val="0"/>
              <w:autoSpaceDE w:val="0"/>
              <w:autoSpaceDN w:val="0"/>
              <w:adjustRightInd w:val="0"/>
              <w:spacing w:before="81" w:after="0" w:line="240" w:lineRule="auto"/>
              <w:ind w:left="0" w:right="0"/>
              <w:jc w:val="center"/>
              <w:rPr>
                <w:rFonts w:ascii="Times New Roman" w:hAnsi="Times New Roman"/>
                <w:sz w:val="24"/>
                <w:szCs w:val="24"/>
              </w:rPr>
            </w:pPr>
            <w:r w:rsidRPr="00967387">
              <w:rPr>
                <w:rFonts w:cs="Cambria"/>
                <w:b/>
                <w:bCs/>
                <w:spacing w:val="-2"/>
                <w:sz w:val="18"/>
                <w:szCs w:val="18"/>
              </w:rPr>
              <w:t>15000</w:t>
            </w:r>
          </w:p>
        </w:tc>
        <w:tc>
          <w:tcPr>
            <w:tcW w:w="1689" w:type="dxa"/>
          </w:tcPr>
          <w:p w14:paraId="31246719" w14:textId="77777777" w:rsidR="00F066E3" w:rsidRPr="00967387" w:rsidRDefault="00F066E3" w:rsidP="009F1355">
            <w:pPr>
              <w:kinsoku w:val="0"/>
              <w:overflowPunct w:val="0"/>
              <w:autoSpaceDE w:val="0"/>
              <w:autoSpaceDN w:val="0"/>
              <w:adjustRightInd w:val="0"/>
              <w:spacing w:before="81" w:after="0" w:line="240" w:lineRule="auto"/>
              <w:ind w:left="0" w:right="0"/>
              <w:jc w:val="center"/>
              <w:rPr>
                <w:rFonts w:ascii="Times New Roman" w:hAnsi="Times New Roman"/>
                <w:sz w:val="24"/>
                <w:szCs w:val="24"/>
              </w:rPr>
            </w:pPr>
            <w:r w:rsidRPr="00967387">
              <w:rPr>
                <w:rFonts w:cs="Cambria"/>
                <w:b/>
                <w:bCs/>
                <w:spacing w:val="-3"/>
                <w:sz w:val="18"/>
                <w:szCs w:val="18"/>
              </w:rPr>
              <w:t>76</w:t>
            </w:r>
          </w:p>
        </w:tc>
      </w:tr>
      <w:tr w:rsidR="00F066E3" w:rsidRPr="00967387" w14:paraId="12C09E3F" w14:textId="77777777" w:rsidTr="009F1355">
        <w:trPr>
          <w:trHeight w:hRule="exact" w:val="290"/>
        </w:trPr>
        <w:tc>
          <w:tcPr>
            <w:tcW w:w="1828" w:type="dxa"/>
            <w:vMerge/>
          </w:tcPr>
          <w:p w14:paraId="3487107F" w14:textId="77777777" w:rsidR="00F066E3" w:rsidRPr="00967387" w:rsidRDefault="00F066E3" w:rsidP="009F1355">
            <w:pPr>
              <w:kinsoku w:val="0"/>
              <w:overflowPunct w:val="0"/>
              <w:autoSpaceDE w:val="0"/>
              <w:autoSpaceDN w:val="0"/>
              <w:adjustRightInd w:val="0"/>
              <w:spacing w:before="81" w:after="0" w:line="240" w:lineRule="auto"/>
              <w:ind w:left="0" w:right="0"/>
              <w:jc w:val="center"/>
              <w:rPr>
                <w:rFonts w:ascii="Times New Roman" w:hAnsi="Times New Roman"/>
                <w:sz w:val="24"/>
                <w:szCs w:val="24"/>
              </w:rPr>
            </w:pPr>
          </w:p>
        </w:tc>
        <w:tc>
          <w:tcPr>
            <w:tcW w:w="1825" w:type="dxa"/>
            <w:vMerge w:val="restart"/>
          </w:tcPr>
          <w:p w14:paraId="3C9099B3" w14:textId="77777777" w:rsidR="00F066E3" w:rsidRPr="00967387" w:rsidRDefault="00F066E3" w:rsidP="009F1355">
            <w:pPr>
              <w:kinsoku w:val="0"/>
              <w:overflowPunct w:val="0"/>
              <w:autoSpaceDE w:val="0"/>
              <w:autoSpaceDN w:val="0"/>
              <w:adjustRightInd w:val="0"/>
              <w:spacing w:after="0" w:line="245" w:lineRule="auto"/>
              <w:ind w:left="0" w:right="0" w:firstLine="451"/>
              <w:jc w:val="center"/>
              <w:rPr>
                <w:rFonts w:ascii="Times New Roman" w:hAnsi="Times New Roman"/>
                <w:sz w:val="24"/>
                <w:szCs w:val="24"/>
              </w:rPr>
            </w:pPr>
            <w:r w:rsidRPr="00967387">
              <w:rPr>
                <w:rFonts w:cs="Cambria"/>
                <w:spacing w:val="-1"/>
                <w:sz w:val="18"/>
                <w:szCs w:val="18"/>
              </w:rPr>
              <w:t>26</w:t>
            </w:r>
            <w:r w:rsidRPr="00967387">
              <w:rPr>
                <w:rFonts w:cs="Cambria"/>
                <w:spacing w:val="4"/>
                <w:sz w:val="18"/>
                <w:szCs w:val="18"/>
              </w:rPr>
              <w:t xml:space="preserve"> </w:t>
            </w:r>
            <w:r w:rsidRPr="00967387">
              <w:rPr>
                <w:rFonts w:cs="Cambria"/>
                <w:spacing w:val="-2"/>
                <w:sz w:val="18"/>
                <w:szCs w:val="18"/>
              </w:rPr>
              <w:t>weeks</w:t>
            </w:r>
            <w:r w:rsidRPr="00967387">
              <w:rPr>
                <w:rFonts w:cs="Cambria"/>
                <w:spacing w:val="23"/>
                <w:w w:val="101"/>
                <w:sz w:val="18"/>
                <w:szCs w:val="18"/>
              </w:rPr>
              <w:t xml:space="preserve"> </w:t>
            </w:r>
            <w:r w:rsidRPr="00967387">
              <w:rPr>
                <w:rFonts w:cs="Cambria"/>
                <w:spacing w:val="-1"/>
                <w:sz w:val="18"/>
                <w:szCs w:val="18"/>
              </w:rPr>
              <w:t>(repeat</w:t>
            </w:r>
            <w:r w:rsidRPr="00967387">
              <w:rPr>
                <w:rFonts w:cs="Cambria"/>
                <w:spacing w:val="7"/>
                <w:sz w:val="18"/>
                <w:szCs w:val="18"/>
              </w:rPr>
              <w:t xml:space="preserve"> </w:t>
            </w:r>
            <w:r w:rsidRPr="00967387">
              <w:rPr>
                <w:rFonts w:cs="Cambria"/>
                <w:spacing w:val="-2"/>
                <w:sz w:val="18"/>
                <w:szCs w:val="18"/>
              </w:rPr>
              <w:t>dose,</w:t>
            </w:r>
            <w:r w:rsidRPr="00967387">
              <w:rPr>
                <w:rFonts w:cs="Cambria"/>
                <w:spacing w:val="1"/>
                <w:sz w:val="18"/>
                <w:szCs w:val="18"/>
              </w:rPr>
              <w:t xml:space="preserve"> </w:t>
            </w:r>
            <w:r w:rsidRPr="00967387">
              <w:rPr>
                <w:rFonts w:cs="Cambria"/>
                <w:spacing w:val="-3"/>
                <w:sz w:val="18"/>
                <w:szCs w:val="18"/>
              </w:rPr>
              <w:t>gavage)</w:t>
            </w:r>
            <w:r w:rsidR="009F1355">
              <w:rPr>
                <w:rFonts w:cs="Cambria"/>
                <w:spacing w:val="-3"/>
                <w:sz w:val="18"/>
                <w:szCs w:val="18"/>
              </w:rPr>
              <w:br/>
            </w:r>
            <w:r w:rsidR="009F1355" w:rsidRPr="00967387">
              <w:rPr>
                <w:rFonts w:cs="Cambria"/>
                <w:spacing w:val="-1"/>
                <w:sz w:val="18"/>
                <w:szCs w:val="18"/>
              </w:rPr>
              <w:t xml:space="preserve"> </w:t>
            </w:r>
            <w:r w:rsidRPr="00967387">
              <w:rPr>
                <w:rFonts w:cs="Cambria"/>
                <w:spacing w:val="-1"/>
                <w:sz w:val="18"/>
                <w:szCs w:val="18"/>
              </w:rPr>
              <w:t>[32065</w:t>
            </w:r>
            <w:r w:rsidRPr="00967387">
              <w:rPr>
                <w:rFonts w:cs="Cambria"/>
                <w:spacing w:val="7"/>
                <w:sz w:val="18"/>
                <w:szCs w:val="18"/>
              </w:rPr>
              <w:t xml:space="preserve"> </w:t>
            </w:r>
            <w:r w:rsidRPr="00967387">
              <w:rPr>
                <w:rFonts w:cs="Cambria"/>
                <w:spacing w:val="-3"/>
                <w:sz w:val="18"/>
                <w:szCs w:val="18"/>
              </w:rPr>
              <w:t>TCR]</w:t>
            </w:r>
          </w:p>
        </w:tc>
        <w:tc>
          <w:tcPr>
            <w:tcW w:w="1689" w:type="dxa"/>
          </w:tcPr>
          <w:p w14:paraId="12653F66" w14:textId="77777777" w:rsidR="00F066E3" w:rsidRPr="00967387" w:rsidRDefault="00F066E3" w:rsidP="009F1355">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500</w:t>
            </w:r>
          </w:p>
        </w:tc>
        <w:tc>
          <w:tcPr>
            <w:tcW w:w="1689" w:type="dxa"/>
          </w:tcPr>
          <w:p w14:paraId="513DD796" w14:textId="77777777" w:rsidR="00F066E3" w:rsidRPr="00967387" w:rsidRDefault="00F066E3" w:rsidP="009F1355">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3000</w:t>
            </w:r>
          </w:p>
        </w:tc>
        <w:tc>
          <w:tcPr>
            <w:tcW w:w="1689" w:type="dxa"/>
          </w:tcPr>
          <w:p w14:paraId="4C8483C9" w14:textId="77777777" w:rsidR="00F066E3" w:rsidRPr="00967387" w:rsidRDefault="00F066E3" w:rsidP="009F1355">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15</w:t>
            </w:r>
          </w:p>
        </w:tc>
      </w:tr>
      <w:tr w:rsidR="00F066E3" w:rsidRPr="00967387" w14:paraId="10D6AEA4" w14:textId="77777777" w:rsidTr="009F1355">
        <w:trPr>
          <w:trHeight w:hRule="exact" w:val="293"/>
        </w:trPr>
        <w:tc>
          <w:tcPr>
            <w:tcW w:w="1828" w:type="dxa"/>
            <w:vMerge/>
          </w:tcPr>
          <w:p w14:paraId="0283A3C4" w14:textId="77777777" w:rsidR="00F066E3" w:rsidRPr="00967387" w:rsidRDefault="00F066E3" w:rsidP="009F1355">
            <w:pPr>
              <w:kinsoku w:val="0"/>
              <w:overflowPunct w:val="0"/>
              <w:autoSpaceDE w:val="0"/>
              <w:autoSpaceDN w:val="0"/>
              <w:adjustRightInd w:val="0"/>
              <w:spacing w:before="34" w:after="0" w:line="240" w:lineRule="auto"/>
              <w:ind w:left="0" w:right="0"/>
              <w:jc w:val="center"/>
              <w:rPr>
                <w:rFonts w:ascii="Times New Roman" w:hAnsi="Times New Roman"/>
                <w:sz w:val="24"/>
                <w:szCs w:val="24"/>
              </w:rPr>
            </w:pPr>
          </w:p>
        </w:tc>
        <w:tc>
          <w:tcPr>
            <w:tcW w:w="1825" w:type="dxa"/>
            <w:vMerge/>
          </w:tcPr>
          <w:p w14:paraId="0F2E579E" w14:textId="77777777" w:rsidR="00F066E3" w:rsidRPr="00967387" w:rsidRDefault="00F066E3" w:rsidP="009F1355">
            <w:pPr>
              <w:kinsoku w:val="0"/>
              <w:overflowPunct w:val="0"/>
              <w:autoSpaceDE w:val="0"/>
              <w:autoSpaceDN w:val="0"/>
              <w:adjustRightInd w:val="0"/>
              <w:spacing w:before="34" w:after="0" w:line="240" w:lineRule="auto"/>
              <w:ind w:left="0" w:right="0"/>
              <w:jc w:val="center"/>
              <w:rPr>
                <w:rFonts w:ascii="Times New Roman" w:hAnsi="Times New Roman"/>
                <w:sz w:val="24"/>
                <w:szCs w:val="24"/>
              </w:rPr>
            </w:pPr>
          </w:p>
        </w:tc>
        <w:tc>
          <w:tcPr>
            <w:tcW w:w="1689" w:type="dxa"/>
          </w:tcPr>
          <w:p w14:paraId="7FE411D4"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tcPr>
          <w:p w14:paraId="6B8CE328"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9000</w:t>
            </w:r>
          </w:p>
        </w:tc>
        <w:tc>
          <w:tcPr>
            <w:tcW w:w="1689" w:type="dxa"/>
          </w:tcPr>
          <w:p w14:paraId="16F35A2A"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45</w:t>
            </w:r>
          </w:p>
        </w:tc>
      </w:tr>
      <w:tr w:rsidR="00F066E3" w:rsidRPr="00967387" w14:paraId="6BCA1D48" w14:textId="77777777" w:rsidTr="009F1355">
        <w:trPr>
          <w:trHeight w:hRule="exact" w:val="425"/>
        </w:trPr>
        <w:tc>
          <w:tcPr>
            <w:tcW w:w="1828" w:type="dxa"/>
            <w:vMerge/>
          </w:tcPr>
          <w:p w14:paraId="16F67198"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tcPr>
          <w:p w14:paraId="0770878C"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tcPr>
          <w:p w14:paraId="030CC999"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2500</w:t>
            </w:r>
          </w:p>
        </w:tc>
        <w:tc>
          <w:tcPr>
            <w:tcW w:w="1689" w:type="dxa"/>
          </w:tcPr>
          <w:p w14:paraId="1C9EADDA"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15000</w:t>
            </w:r>
          </w:p>
        </w:tc>
        <w:tc>
          <w:tcPr>
            <w:tcW w:w="1689" w:type="dxa"/>
          </w:tcPr>
          <w:p w14:paraId="0E8051AD"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3"/>
                <w:sz w:val="18"/>
                <w:szCs w:val="18"/>
              </w:rPr>
              <w:t>76</w:t>
            </w:r>
          </w:p>
        </w:tc>
      </w:tr>
      <w:tr w:rsidR="00F066E3" w:rsidRPr="00967387" w14:paraId="38F2518D" w14:textId="77777777" w:rsidTr="009F1355">
        <w:trPr>
          <w:trHeight w:hRule="exact" w:val="288"/>
        </w:trPr>
        <w:tc>
          <w:tcPr>
            <w:tcW w:w="1828" w:type="dxa"/>
            <w:vMerge/>
          </w:tcPr>
          <w:p w14:paraId="43D23F47"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val="restart"/>
          </w:tcPr>
          <w:p w14:paraId="73D264D3" w14:textId="77777777" w:rsidR="00F066E3" w:rsidRPr="00967387" w:rsidRDefault="00F066E3" w:rsidP="009F1355">
            <w:pPr>
              <w:kinsoku w:val="0"/>
              <w:overflowPunct w:val="0"/>
              <w:autoSpaceDE w:val="0"/>
              <w:autoSpaceDN w:val="0"/>
              <w:adjustRightInd w:val="0"/>
              <w:spacing w:before="118" w:after="0" w:line="237" w:lineRule="auto"/>
              <w:ind w:left="0" w:right="0" w:hanging="1"/>
              <w:jc w:val="center"/>
              <w:rPr>
                <w:rFonts w:ascii="Times New Roman" w:hAnsi="Times New Roman"/>
                <w:sz w:val="24"/>
                <w:szCs w:val="24"/>
              </w:rPr>
            </w:pPr>
            <w:r w:rsidRPr="00967387">
              <w:rPr>
                <w:rFonts w:cs="Cambria"/>
                <w:spacing w:val="-1"/>
                <w:sz w:val="18"/>
                <w:szCs w:val="18"/>
              </w:rPr>
              <w:t>26</w:t>
            </w:r>
            <w:r w:rsidRPr="00967387">
              <w:rPr>
                <w:rFonts w:cs="Cambria"/>
                <w:spacing w:val="4"/>
                <w:sz w:val="18"/>
                <w:szCs w:val="18"/>
              </w:rPr>
              <w:t xml:space="preserve"> </w:t>
            </w:r>
            <w:r w:rsidRPr="00967387">
              <w:rPr>
                <w:rFonts w:cs="Cambria"/>
                <w:spacing w:val="-2"/>
                <w:sz w:val="18"/>
                <w:szCs w:val="18"/>
              </w:rPr>
              <w:t>weeks</w:t>
            </w:r>
            <w:r w:rsidRPr="00967387">
              <w:rPr>
                <w:rFonts w:cs="Cambria"/>
                <w:spacing w:val="23"/>
                <w:w w:val="101"/>
                <w:sz w:val="18"/>
                <w:szCs w:val="18"/>
              </w:rPr>
              <w:t xml:space="preserve"> </w:t>
            </w:r>
            <w:r w:rsidRPr="00967387">
              <w:rPr>
                <w:rFonts w:cs="Cambria"/>
                <w:spacing w:val="-1"/>
                <w:sz w:val="18"/>
                <w:szCs w:val="18"/>
              </w:rPr>
              <w:t>(repeat</w:t>
            </w:r>
            <w:r w:rsidRPr="00967387">
              <w:rPr>
                <w:rFonts w:cs="Cambria"/>
                <w:spacing w:val="5"/>
                <w:sz w:val="18"/>
                <w:szCs w:val="18"/>
              </w:rPr>
              <w:t xml:space="preserve"> </w:t>
            </w:r>
            <w:r w:rsidRPr="00967387">
              <w:rPr>
                <w:rFonts w:cs="Cambria"/>
                <w:spacing w:val="-2"/>
                <w:sz w:val="18"/>
                <w:szCs w:val="18"/>
              </w:rPr>
              <w:t>dose,</w:t>
            </w:r>
            <w:r w:rsidRPr="00967387">
              <w:rPr>
                <w:rFonts w:cs="Cambria"/>
                <w:spacing w:val="5"/>
                <w:sz w:val="18"/>
                <w:szCs w:val="18"/>
              </w:rPr>
              <w:t xml:space="preserve"> </w:t>
            </w:r>
            <w:r w:rsidRPr="00967387">
              <w:rPr>
                <w:rFonts w:cs="Cambria"/>
                <w:spacing w:val="-3"/>
                <w:sz w:val="18"/>
                <w:szCs w:val="18"/>
              </w:rPr>
              <w:t>SC)</w:t>
            </w:r>
            <w:r w:rsidRPr="00967387">
              <w:rPr>
                <w:rFonts w:cs="Cambria"/>
                <w:spacing w:val="26"/>
                <w:w w:val="101"/>
                <w:sz w:val="18"/>
                <w:szCs w:val="18"/>
              </w:rPr>
              <w:t xml:space="preserve"> </w:t>
            </w:r>
            <w:r w:rsidRPr="00967387">
              <w:rPr>
                <w:rFonts w:cs="Cambria"/>
                <w:spacing w:val="-2"/>
                <w:sz w:val="18"/>
                <w:szCs w:val="18"/>
              </w:rPr>
              <w:t>[20050326TRB]</w:t>
            </w:r>
          </w:p>
        </w:tc>
        <w:tc>
          <w:tcPr>
            <w:tcW w:w="1689" w:type="dxa"/>
          </w:tcPr>
          <w:p w14:paraId="6972F147"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500</w:t>
            </w:r>
          </w:p>
        </w:tc>
        <w:tc>
          <w:tcPr>
            <w:tcW w:w="1689" w:type="dxa"/>
          </w:tcPr>
          <w:p w14:paraId="799F3018"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3000</w:t>
            </w:r>
          </w:p>
        </w:tc>
        <w:tc>
          <w:tcPr>
            <w:tcW w:w="1689" w:type="dxa"/>
          </w:tcPr>
          <w:p w14:paraId="6B04F9DC"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15</w:t>
            </w:r>
          </w:p>
        </w:tc>
      </w:tr>
      <w:tr w:rsidR="00F066E3" w:rsidRPr="00967387" w14:paraId="405BBA70" w14:textId="77777777" w:rsidTr="009F1355">
        <w:trPr>
          <w:trHeight w:hRule="exact" w:val="293"/>
        </w:trPr>
        <w:tc>
          <w:tcPr>
            <w:tcW w:w="1828" w:type="dxa"/>
            <w:vMerge/>
          </w:tcPr>
          <w:p w14:paraId="432F65F7"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825" w:type="dxa"/>
            <w:vMerge/>
          </w:tcPr>
          <w:p w14:paraId="0C67831C"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689" w:type="dxa"/>
          </w:tcPr>
          <w:p w14:paraId="7A1D7C7F"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tcPr>
          <w:p w14:paraId="583DFE3C"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9000</w:t>
            </w:r>
          </w:p>
        </w:tc>
        <w:tc>
          <w:tcPr>
            <w:tcW w:w="1689" w:type="dxa"/>
          </w:tcPr>
          <w:p w14:paraId="5D4F256D"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45</w:t>
            </w:r>
          </w:p>
        </w:tc>
      </w:tr>
      <w:tr w:rsidR="00F066E3" w:rsidRPr="00967387" w14:paraId="567128C7" w14:textId="77777777" w:rsidTr="009F1355">
        <w:trPr>
          <w:trHeight w:hRule="exact" w:val="326"/>
        </w:trPr>
        <w:tc>
          <w:tcPr>
            <w:tcW w:w="1828" w:type="dxa"/>
            <w:vMerge/>
          </w:tcPr>
          <w:p w14:paraId="1A0C2D7C"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tcPr>
          <w:p w14:paraId="6039BCDF"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tcPr>
          <w:p w14:paraId="220F9426"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2500</w:t>
            </w:r>
          </w:p>
        </w:tc>
        <w:tc>
          <w:tcPr>
            <w:tcW w:w="1689" w:type="dxa"/>
          </w:tcPr>
          <w:p w14:paraId="4AB3472D"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15000</w:t>
            </w:r>
          </w:p>
        </w:tc>
        <w:tc>
          <w:tcPr>
            <w:tcW w:w="1689" w:type="dxa"/>
          </w:tcPr>
          <w:p w14:paraId="5ABE6D3A" w14:textId="77777777" w:rsidR="00F066E3" w:rsidRPr="00967387" w:rsidRDefault="00F066E3" w:rsidP="009F1355">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3"/>
                <w:sz w:val="18"/>
                <w:szCs w:val="18"/>
              </w:rPr>
              <w:t>76</w:t>
            </w:r>
          </w:p>
        </w:tc>
      </w:tr>
      <w:tr w:rsidR="00F066E3" w:rsidRPr="00967387" w14:paraId="1E5EA40B" w14:textId="77777777" w:rsidTr="009F1355">
        <w:trPr>
          <w:trHeight w:hRule="exact" w:val="357"/>
        </w:trPr>
        <w:tc>
          <w:tcPr>
            <w:tcW w:w="1828" w:type="dxa"/>
          </w:tcPr>
          <w:p w14:paraId="4E364AE9" w14:textId="77777777" w:rsidR="00F066E3" w:rsidRPr="00967387" w:rsidRDefault="00F066E3" w:rsidP="009F1355">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b/>
                <w:bCs/>
                <w:spacing w:val="-1"/>
                <w:sz w:val="18"/>
                <w:szCs w:val="18"/>
              </w:rPr>
              <w:t>Human</w:t>
            </w:r>
          </w:p>
        </w:tc>
        <w:tc>
          <w:tcPr>
            <w:tcW w:w="1825" w:type="dxa"/>
          </w:tcPr>
          <w:p w14:paraId="13E4A6B6" w14:textId="77777777" w:rsidR="00F066E3" w:rsidRPr="00967387" w:rsidRDefault="00F066E3" w:rsidP="009F1355">
            <w:pPr>
              <w:kinsoku w:val="0"/>
              <w:overflowPunct w:val="0"/>
              <w:autoSpaceDE w:val="0"/>
              <w:autoSpaceDN w:val="0"/>
              <w:adjustRightInd w:val="0"/>
              <w:spacing w:before="29" w:after="0" w:line="240" w:lineRule="auto"/>
              <w:ind w:left="0" w:right="0"/>
              <w:rPr>
                <w:rFonts w:ascii="Times New Roman" w:hAnsi="Times New Roman"/>
                <w:sz w:val="24"/>
                <w:szCs w:val="24"/>
              </w:rPr>
            </w:pPr>
            <w:r w:rsidRPr="00967387">
              <w:rPr>
                <w:rFonts w:cs="Cambria"/>
                <w:spacing w:val="-2"/>
                <w:sz w:val="18"/>
                <w:szCs w:val="18"/>
              </w:rPr>
              <w:t>steady</w:t>
            </w:r>
            <w:r w:rsidRPr="00967387">
              <w:rPr>
                <w:rFonts w:cs="Cambria"/>
                <w:spacing w:val="6"/>
                <w:sz w:val="18"/>
                <w:szCs w:val="18"/>
              </w:rPr>
              <w:t xml:space="preserve"> </w:t>
            </w:r>
            <w:r w:rsidRPr="00967387">
              <w:rPr>
                <w:rFonts w:cs="Cambria"/>
                <w:spacing w:val="-2"/>
                <w:sz w:val="18"/>
                <w:szCs w:val="18"/>
              </w:rPr>
              <w:t>state</w:t>
            </w:r>
          </w:p>
        </w:tc>
        <w:tc>
          <w:tcPr>
            <w:tcW w:w="1689" w:type="dxa"/>
          </w:tcPr>
          <w:p w14:paraId="45DC5455"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z w:val="18"/>
                <w:szCs w:val="18"/>
              </w:rPr>
              <w:t>6</w:t>
            </w:r>
          </w:p>
        </w:tc>
        <w:tc>
          <w:tcPr>
            <w:tcW w:w="1689" w:type="dxa"/>
          </w:tcPr>
          <w:p w14:paraId="309C0DE8" w14:textId="77777777" w:rsidR="00F066E3" w:rsidRPr="00967387" w:rsidRDefault="00F066E3" w:rsidP="009F1355">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198</w:t>
            </w:r>
          </w:p>
        </w:tc>
        <w:tc>
          <w:tcPr>
            <w:tcW w:w="1689" w:type="dxa"/>
          </w:tcPr>
          <w:p w14:paraId="6DCE4CA1" w14:textId="77777777" w:rsidR="00F066E3" w:rsidRPr="00967387" w:rsidRDefault="00F066E3" w:rsidP="009F1355">
            <w:pPr>
              <w:kinsoku w:val="0"/>
              <w:overflowPunct w:val="0"/>
              <w:autoSpaceDE w:val="0"/>
              <w:autoSpaceDN w:val="0"/>
              <w:adjustRightInd w:val="0"/>
              <w:spacing w:before="39" w:after="0" w:line="240" w:lineRule="auto"/>
              <w:ind w:left="0" w:right="0"/>
              <w:jc w:val="center"/>
              <w:rPr>
                <w:rFonts w:ascii="Times New Roman" w:hAnsi="Times New Roman"/>
                <w:sz w:val="24"/>
                <w:szCs w:val="24"/>
              </w:rPr>
            </w:pPr>
            <w:r w:rsidRPr="00967387">
              <w:rPr>
                <w:rFonts w:cs="Cambria"/>
                <w:sz w:val="18"/>
                <w:szCs w:val="18"/>
              </w:rPr>
              <w:t>–</w:t>
            </w:r>
          </w:p>
        </w:tc>
      </w:tr>
    </w:tbl>
    <w:p w14:paraId="2FC7EEAC" w14:textId="4205DD4A" w:rsidR="009F1355" w:rsidRPr="009F1355" w:rsidRDefault="009F1355" w:rsidP="009F1355">
      <w:pPr>
        <w:pStyle w:val="TableDescription"/>
      </w:pPr>
      <w:r w:rsidRPr="009F1355">
        <w:t># = estimated based on body surface area assuming conversion factor of 6 for rat and 50 kg individual.</w:t>
      </w:r>
      <w:r w:rsidR="002A0FA3">
        <w:t xml:space="preserve"> SC = </w:t>
      </w:r>
      <w:r w:rsidR="002A0FA3">
        <w:rPr>
          <w:lang w:val="en-US"/>
        </w:rPr>
        <w:t>subcutaneous</w:t>
      </w:r>
      <w:r w:rsidR="00D9568C">
        <w:rPr>
          <w:lang w:val="en-US"/>
        </w:rPr>
        <w:t>; SD = Sprague Dawley</w:t>
      </w:r>
    </w:p>
    <w:p w14:paraId="241C0A90" w14:textId="77777777" w:rsidR="009F1355" w:rsidRPr="009F1355" w:rsidRDefault="009F1355" w:rsidP="009F1355">
      <w:pPr>
        <w:pStyle w:val="Heading5"/>
      </w:pPr>
      <w:r>
        <w:t>Major toxicities</w:t>
      </w:r>
    </w:p>
    <w:p w14:paraId="62CDF420" w14:textId="1ADE40B5" w:rsidR="009F1355" w:rsidRPr="009F1355" w:rsidRDefault="00716D4E" w:rsidP="009F1355">
      <w:r>
        <w:t>Actair</w:t>
      </w:r>
      <w:r w:rsidR="009F1355" w:rsidRPr="009F1355">
        <w:t xml:space="preserve"> was well tolerated in all repeat dose toxicity studies, with NOAEL established at the high dose in all studies. This represented a relative exposure of </w:t>
      </w:r>
      <w:r w:rsidR="00790DE0">
        <w:t xml:space="preserve">76 </w:t>
      </w:r>
      <w:r w:rsidR="009F1355" w:rsidRPr="009F1355">
        <w:t>fold</w:t>
      </w:r>
      <w:r w:rsidR="00790DE0">
        <w:t xml:space="preserve"> of that of the clinical dose (b</w:t>
      </w:r>
      <w:r w:rsidR="009F1355" w:rsidRPr="009F1355">
        <w:t>ased on IR/m</w:t>
      </w:r>
      <w:r w:rsidR="009F1355" w:rsidRPr="00790DE0">
        <w:rPr>
          <w:vertAlign w:val="superscript"/>
        </w:rPr>
        <w:t>2</w:t>
      </w:r>
      <w:r w:rsidR="00790DE0">
        <w:t xml:space="preserve">). In the 26 </w:t>
      </w:r>
      <w:r w:rsidR="009F1355" w:rsidRPr="009F1355">
        <w:t xml:space="preserve">week study with </w:t>
      </w:r>
      <w:r w:rsidR="00790DE0">
        <w:t>per oral</w:t>
      </w:r>
      <w:r w:rsidR="009F1355" w:rsidRPr="009F1355">
        <w:t xml:space="preserve"> admini</w:t>
      </w:r>
      <w:r w:rsidR="00790DE0">
        <w:t xml:space="preserve">stration, no major test article </w:t>
      </w:r>
      <w:r w:rsidR="009F1355" w:rsidRPr="009F1355">
        <w:t xml:space="preserve">related, clinically relevant toxicities were identified. In this study, the most notable gross pathology was enlargement of ears which was also confirmed by presence of auricular </w:t>
      </w:r>
      <w:proofErr w:type="spellStart"/>
      <w:r w:rsidR="009F1355" w:rsidRPr="009F1355">
        <w:t>chondropathy</w:t>
      </w:r>
      <w:proofErr w:type="spellEnd"/>
      <w:r w:rsidR="009F1355" w:rsidRPr="009F1355">
        <w:t xml:space="preserve"> in the histopatholog</w:t>
      </w:r>
      <w:r w:rsidR="00790DE0">
        <w:t>ical analysis. In the second 26 </w:t>
      </w:r>
      <w:r w:rsidR="009F1355" w:rsidRPr="009F1355">
        <w:t>week subcutaneous administration study, with the exceptio</w:t>
      </w:r>
      <w:r w:rsidR="00790DE0">
        <w:t xml:space="preserve">n of oedema at the site of test </w:t>
      </w:r>
      <w:r w:rsidR="009F1355" w:rsidRPr="009F1355">
        <w:t xml:space="preserve">article, no other clinical signs were reported. Microscopic analysis showed </w:t>
      </w:r>
      <w:proofErr w:type="spellStart"/>
      <w:r w:rsidR="009F1355" w:rsidRPr="009F1355">
        <w:t>neofibrosis</w:t>
      </w:r>
      <w:proofErr w:type="spellEnd"/>
      <w:r w:rsidR="009F1355" w:rsidRPr="009F1355">
        <w:t xml:space="preserve"> with focal haemorrhage on the injection sites, often </w:t>
      </w:r>
      <w:r w:rsidR="00595C0D">
        <w:t>with a</w:t>
      </w:r>
      <w:r w:rsidR="009F1355" w:rsidRPr="009F1355">
        <w:t xml:space="preserve"> necrotic </w:t>
      </w:r>
      <w:proofErr w:type="spellStart"/>
      <w:r w:rsidR="009F1355" w:rsidRPr="009F1355">
        <w:t>polymorphonuclear</w:t>
      </w:r>
      <w:proofErr w:type="spellEnd"/>
      <w:r w:rsidR="009F1355" w:rsidRPr="009F1355">
        <w:t xml:space="preserve"> leucocyte core of cells.</w:t>
      </w:r>
    </w:p>
    <w:p w14:paraId="121B6A36" w14:textId="77777777" w:rsidR="009F1355" w:rsidRPr="009F1355" w:rsidRDefault="009F1355" w:rsidP="009F1355">
      <w:pPr>
        <w:pStyle w:val="Heading4"/>
      </w:pPr>
      <w:r>
        <w:t>Genotoxicity</w:t>
      </w:r>
    </w:p>
    <w:p w14:paraId="40C65363" w14:textId="77777777" w:rsidR="009F1355" w:rsidRPr="009F1355" w:rsidRDefault="009F1355" w:rsidP="009F1355">
      <w:r w:rsidRPr="009F1355">
        <w:t xml:space="preserve">The genotoxicity of </w:t>
      </w:r>
      <w:r w:rsidR="00716D4E">
        <w:t>Actair</w:t>
      </w:r>
      <w:r w:rsidRPr="009F1355">
        <w:t xml:space="preserve"> was investigated using bacterial reverse mutation assays and in vitro mammalian gene mutation assays. Of the eight genotoxicity studies, the two bacterial reverse mutation assays and one each of the micronucleus/ TK locus assays were GLP compliant. The concentrations used were adequate and the assays were validated with appropriate positive and negativ</w:t>
      </w:r>
      <w:r w:rsidR="00790DE0">
        <w:t>e controls.</w:t>
      </w:r>
    </w:p>
    <w:p w14:paraId="1379D888" w14:textId="5B65231D" w:rsidR="009F1355" w:rsidRPr="009F1355" w:rsidRDefault="009F1355" w:rsidP="009F1355">
      <w:r w:rsidRPr="009F1355">
        <w:t xml:space="preserve">The bacterial mutagenesis assays initially suggested positivity for mutagenic potential. Subsequent modifications to the mutagenic assay protocol suggested the positive results were likely due to proteins, peptides, free amino acids and materials containing or capable of releasing amino acids which can interfere with the assay and that </w:t>
      </w:r>
      <w:proofErr w:type="spellStart"/>
      <w:r w:rsidRPr="009F1355">
        <w:t>D.Pte</w:t>
      </w:r>
      <w:proofErr w:type="spellEnd"/>
      <w:r w:rsidRPr="009F1355">
        <w:t xml:space="preserve"> and </w:t>
      </w:r>
      <w:proofErr w:type="spellStart"/>
      <w:r w:rsidRPr="009F1355">
        <w:t>D.far</w:t>
      </w:r>
      <w:proofErr w:type="spellEnd"/>
      <w:r w:rsidRPr="009F1355">
        <w:t xml:space="preserve"> were unlikely to be mutagenic in the assay. Indeed, similar observations were noted with other sublingual allergen extracts where impurities gave rise to false positive genotoxicity from the bacterial reverse mutation assay</w:t>
      </w:r>
      <w:r w:rsidR="00790DE0">
        <w:t>.</w:t>
      </w:r>
      <w:r w:rsidRPr="00790DE0">
        <w:rPr>
          <w:vertAlign w:val="superscript"/>
        </w:rPr>
        <w:footnoteReference w:id="26"/>
      </w:r>
    </w:p>
    <w:p w14:paraId="44748B89" w14:textId="77777777" w:rsidR="009F1355" w:rsidRPr="009F1355" w:rsidRDefault="009F1355" w:rsidP="009F1355">
      <w:r w:rsidRPr="009F1355">
        <w:t xml:space="preserve">While a statistically significant increase in mutation frequency was noted in two thymidine kinase locus assays, a biologically significant threshold was not achieved. No genotoxic effect was observed for </w:t>
      </w:r>
      <w:proofErr w:type="spellStart"/>
      <w:r w:rsidRPr="009F1355">
        <w:t>D.Pte</w:t>
      </w:r>
      <w:proofErr w:type="spellEnd"/>
      <w:r w:rsidRPr="009F1355">
        <w:t xml:space="preserve"> or </w:t>
      </w:r>
      <w:proofErr w:type="spellStart"/>
      <w:r w:rsidRPr="009F1355">
        <w:t>D.far</w:t>
      </w:r>
      <w:proofErr w:type="spellEnd"/>
      <w:r w:rsidRPr="009F1355">
        <w:t xml:space="preserve"> in the mammalian micronucleus assay.</w:t>
      </w:r>
    </w:p>
    <w:p w14:paraId="4619CE1A" w14:textId="77777777" w:rsidR="009F1355" w:rsidRPr="009F1355" w:rsidRDefault="009F1355" w:rsidP="009F1355">
      <w:r w:rsidRPr="009F1355">
        <w:lastRenderedPageBreak/>
        <w:t xml:space="preserve">Taken together, genotoxicity assays were in line with relevant </w:t>
      </w:r>
      <w:r w:rsidR="00C50DDD">
        <w:rPr>
          <w:lang w:val="en-US"/>
        </w:rPr>
        <w:t>International Conference on Harmonization</w:t>
      </w:r>
      <w:r w:rsidR="00C50DDD" w:rsidRPr="009F1355">
        <w:t xml:space="preserve"> </w:t>
      </w:r>
      <w:r w:rsidR="00C50DDD">
        <w:t>(</w:t>
      </w:r>
      <w:r w:rsidRPr="009F1355">
        <w:t>ICH</w:t>
      </w:r>
      <w:r w:rsidR="00C50DDD">
        <w:t>)</w:t>
      </w:r>
      <w:r w:rsidRPr="009F1355">
        <w:t xml:space="preserve"> guidelines and </w:t>
      </w:r>
      <w:r w:rsidR="00716D4E">
        <w:t>Actair</w:t>
      </w:r>
      <w:r w:rsidRPr="009F1355">
        <w:t xml:space="preserve"> appears unlikely to possess significant genotoxic potential.</w:t>
      </w:r>
    </w:p>
    <w:p w14:paraId="67049249" w14:textId="77777777" w:rsidR="009F1355" w:rsidRPr="009F1355" w:rsidRDefault="00753206" w:rsidP="009F1355">
      <w:pPr>
        <w:pStyle w:val="Heading4"/>
      </w:pPr>
      <w:r>
        <w:t>Carcinogenicity</w:t>
      </w:r>
    </w:p>
    <w:p w14:paraId="356CE85E" w14:textId="77777777" w:rsidR="009F1355" w:rsidRPr="009F1355" w:rsidRDefault="009F1355" w:rsidP="009F1355">
      <w:r w:rsidRPr="009F1355">
        <w:t>No carcinogenicity studies were submitted by the sponsor citing the following justific</w:t>
      </w:r>
      <w:r w:rsidR="00790DE0">
        <w:t>ation:</w:t>
      </w:r>
    </w:p>
    <w:p w14:paraId="2E1B1C91" w14:textId="77777777" w:rsidR="009F1355" w:rsidRPr="009F1355" w:rsidRDefault="009F1355" w:rsidP="009F1355">
      <w:pPr>
        <w:pStyle w:val="ListBullet"/>
      </w:pPr>
      <w:r w:rsidRPr="009F1355">
        <w:t xml:space="preserve">The absence of histopathological lesions related to the mite extracts on tissues after oral and subcutaneous administration to </w:t>
      </w:r>
      <w:r>
        <w:t>rats over 26 weeks;</w:t>
      </w:r>
    </w:p>
    <w:p w14:paraId="6123A5EA" w14:textId="77777777" w:rsidR="009F1355" w:rsidRPr="009F1355" w:rsidRDefault="009F1355" w:rsidP="009F1355">
      <w:pPr>
        <w:pStyle w:val="ListBullet"/>
      </w:pPr>
      <w:r w:rsidRPr="009F1355">
        <w:t>The ab</w:t>
      </w:r>
      <w:r w:rsidR="00790DE0">
        <w:t>sence of in vitro genotoxicity;</w:t>
      </w:r>
    </w:p>
    <w:p w14:paraId="2FA0E789" w14:textId="77777777" w:rsidR="009F1355" w:rsidRPr="009F1355" w:rsidRDefault="009F1355" w:rsidP="009F1355">
      <w:pPr>
        <w:pStyle w:val="ListBullet"/>
      </w:pPr>
      <w:r w:rsidRPr="009F1355">
        <w:t>The assumed absence or minimal systemic exposure of the mite extracts af</w:t>
      </w:r>
      <w:r w:rsidR="00790DE0">
        <w:t>ter sublingual administration.</w:t>
      </w:r>
    </w:p>
    <w:p w14:paraId="4ADF5154" w14:textId="77777777" w:rsidR="009F1355" w:rsidRPr="009F1355" w:rsidRDefault="009F1355" w:rsidP="009F1355">
      <w:r w:rsidRPr="009F1355">
        <w:t xml:space="preserve">While the histopathological data from the repeat dose toxicity studies and the negative genotoxicity data are encouraging, given the proposed one year treatment for </w:t>
      </w:r>
      <w:r w:rsidR="00716D4E">
        <w:t>Actair</w:t>
      </w:r>
      <w:r w:rsidRPr="009F1355">
        <w:t xml:space="preserve"> and increased dose form compared to A</w:t>
      </w:r>
      <w:r w:rsidR="00790DE0" w:rsidRPr="009F1355">
        <w:t>lustal</w:t>
      </w:r>
      <w:r w:rsidRPr="009F1355">
        <w:t xml:space="preserve"> injection, submission of carcinogenicity studies would</w:t>
      </w:r>
      <w:r w:rsidR="00790DE0">
        <w:t xml:space="preserve"> have been strongly preferred.</w:t>
      </w:r>
    </w:p>
    <w:p w14:paraId="743FE631" w14:textId="77777777" w:rsidR="009F1355" w:rsidRPr="009F1355" w:rsidRDefault="009F1355" w:rsidP="009F1355">
      <w:pPr>
        <w:pStyle w:val="Heading4"/>
      </w:pPr>
      <w:r>
        <w:t>Reproductive toxicity</w:t>
      </w:r>
    </w:p>
    <w:p w14:paraId="526EEE78" w14:textId="77777777" w:rsidR="00790DE0" w:rsidRDefault="009F1355" w:rsidP="009F1355">
      <w:r w:rsidRPr="009F1355">
        <w:t xml:space="preserve">Reproductive toxicity studies only encompassed two embryofetal development studies in rats and rabbits and two juvenile development studies in rats and dogs. The studies were all GLP compliant. In the </w:t>
      </w:r>
      <w:r w:rsidR="00790DE0" w:rsidRPr="009F1355">
        <w:t>embryofetal</w:t>
      </w:r>
      <w:r w:rsidRPr="009F1355">
        <w:t xml:space="preserve"> development studies, rats were treated on GD6-17, and rabbits on GD6-18. No fertility or peri-postnatal study was conducted. It was possible to gather limited fertility data </w:t>
      </w:r>
      <w:r>
        <w:t>from the rat juvenile studies</w:t>
      </w:r>
      <w:r w:rsidR="00790DE0">
        <w:t>.</w:t>
      </w:r>
    </w:p>
    <w:p w14:paraId="04BF576D" w14:textId="5200F4B0" w:rsidR="00790DE0" w:rsidRDefault="00716D4E" w:rsidP="009F1355">
      <w:r>
        <w:t>Actair</w:t>
      </w:r>
      <w:r w:rsidR="009F1355" w:rsidRPr="009F1355">
        <w:t xml:space="preserve"> did not appear to negatively impact embryofetal or juvenile development at the maximum dose (2500 IR/kg/day) in any of the tested species with regards to mortality, body weight gain, maternal clinical signs and litter values, including fetal body weight and sex ratios (See </w:t>
      </w:r>
      <w:r w:rsidR="00595C0D">
        <w:t>T</w:t>
      </w:r>
      <w:r w:rsidR="009F1355" w:rsidRPr="009F1355">
        <w:t xml:space="preserve">able </w:t>
      </w:r>
      <w:r w:rsidR="003138F8">
        <w:t xml:space="preserve">3 </w:t>
      </w:r>
      <w:r w:rsidR="009F1355" w:rsidRPr="009F1355">
        <w:t>below). Fetal malformations and variations were also within historical range for both species with the exception of incomplete frontal ossification in rats, which was greater than historical control at 2500 IR/kg/day</w:t>
      </w:r>
      <w:r w:rsidR="00790DE0">
        <w:t>.</w:t>
      </w:r>
    </w:p>
    <w:p w14:paraId="3B899E4E" w14:textId="77777777" w:rsidR="009F1355" w:rsidRPr="009F1355" w:rsidRDefault="00716D4E" w:rsidP="009F1355">
      <w:r>
        <w:t>Actair</w:t>
      </w:r>
      <w:r w:rsidR="009F1355" w:rsidRPr="009F1355">
        <w:t xml:space="preserve"> was also well tolerated in juvenile studies in doses up to 2500 IR/kg/day up to postnatal day 80 (in rats) and 28 (in dogs). In rats, no impact on mortality, clinical signs, body weight gain, long bone growth, cliff avoidance, tooth eruption and auditory canal opening were observed. Increased activity levels which were not statistically significant were noted at 2500 IR/kg/day and a delay in mean eye opening time was also noted for the same test group compared to the control group. No functional problems were however detected when tested for pupillary reflex and visual stimulus response. The biological significance of these observations remains unclear. Reproductive data suggest there was no impact on fertility following treatment at juvenile stages.</w:t>
      </w:r>
    </w:p>
    <w:p w14:paraId="298AE889" w14:textId="77777777" w:rsidR="009F1355" w:rsidRPr="009F1355" w:rsidRDefault="009F1355" w:rsidP="009F1355">
      <w:r w:rsidRPr="009F1355">
        <w:t>In beagles, a high rate of mortality was noted (generally within the first five days of treatment) in all treatment groups compared to controls (</w:t>
      </w:r>
      <w:r w:rsidR="00790DE0">
        <w:t>compared with</w:t>
      </w:r>
      <w:r w:rsidRPr="009F1355">
        <w:t xml:space="preserve"> </w:t>
      </w:r>
      <w:r w:rsidR="003E4F85">
        <w:t xml:space="preserve">≥ </w:t>
      </w:r>
      <w:r w:rsidRPr="009F1355">
        <w:t xml:space="preserve">4/test group compared to 1 in the control group). There was no </w:t>
      </w:r>
      <w:r w:rsidR="00790DE0">
        <w:t xml:space="preserve">dose relationship </w:t>
      </w:r>
      <w:r w:rsidRPr="009F1355">
        <w:t>associated with the mortalities. The sponsor highlighted elevated postnatal mortality as a natural occurrence in beagles, and in the absence of any other adverse clinical signs, effects on body weight or ophthalmological parameters, the deaths were considered to be stochastic events</w:t>
      </w:r>
      <w:r>
        <w:t xml:space="preserve"> rather than </w:t>
      </w:r>
      <w:r w:rsidR="00790DE0">
        <w:t>treatment related</w:t>
      </w:r>
      <w:r>
        <w:t>.</w:t>
      </w:r>
    </w:p>
    <w:p w14:paraId="51078D36" w14:textId="77777777" w:rsidR="009F1355" w:rsidRPr="009F1355" w:rsidRDefault="009F1355" w:rsidP="009F1355">
      <w:r w:rsidRPr="009F1355">
        <w:t xml:space="preserve">The potential transfer of </w:t>
      </w:r>
      <w:r w:rsidR="00716D4E">
        <w:t>Actair</w:t>
      </w:r>
      <w:r w:rsidRPr="009F1355">
        <w:t xml:space="preserve"> to offspring across the placenta or during lactation was not investigated, but is considered unlikely. Therefore, </w:t>
      </w:r>
      <w:r w:rsidR="00716D4E">
        <w:t>Actair</w:t>
      </w:r>
      <w:r w:rsidRPr="009F1355">
        <w:t xml:space="preserve"> was considered to be well tolerated in the two embryofetal and juvenile development studies with high exposure ratios compared to the proposed clinical dose.</w:t>
      </w:r>
      <w:bookmarkStart w:id="61" w:name="bookmark0"/>
      <w:bookmarkStart w:id="62" w:name="Paediatric_use"/>
      <w:bookmarkStart w:id="63" w:name="Local_tolerance"/>
      <w:bookmarkStart w:id="64" w:name="Pregnancy_classification_B2"/>
      <w:bookmarkEnd w:id="61"/>
      <w:bookmarkEnd w:id="62"/>
      <w:bookmarkEnd w:id="63"/>
      <w:bookmarkEnd w:id="64"/>
    </w:p>
    <w:p w14:paraId="29C1285C" w14:textId="77777777" w:rsidR="009F1355" w:rsidRPr="009F1355" w:rsidRDefault="003138F8" w:rsidP="009F1355">
      <w:pPr>
        <w:pStyle w:val="TableTitle"/>
      </w:pPr>
      <w:r>
        <w:lastRenderedPageBreak/>
        <w:t>Table 3:</w:t>
      </w:r>
      <w:r w:rsidR="009F1355">
        <w:t xml:space="preserve"> </w:t>
      </w:r>
      <w:r w:rsidR="00790DE0">
        <w:t>Relative exposure;</w:t>
      </w:r>
      <w:r w:rsidR="009F1355" w:rsidRPr="009F1355">
        <w:t xml:space="preserve"> reproductive toxicity studies</w:t>
      </w:r>
    </w:p>
    <w:tbl>
      <w:tblPr>
        <w:tblStyle w:val="TableTGAblue"/>
        <w:tblW w:w="5000" w:type="pct"/>
        <w:jc w:val="center"/>
        <w:tblLayout w:type="fixed"/>
        <w:tblLook w:val="0020" w:firstRow="1" w:lastRow="0" w:firstColumn="0" w:lastColumn="0" w:noHBand="0" w:noVBand="0"/>
      </w:tblPr>
      <w:tblGrid>
        <w:gridCol w:w="1828"/>
        <w:gridCol w:w="1825"/>
        <w:gridCol w:w="1689"/>
        <w:gridCol w:w="1689"/>
        <w:gridCol w:w="1689"/>
      </w:tblGrid>
      <w:tr w:rsidR="009F1355" w:rsidRPr="00967387" w14:paraId="09FF898E" w14:textId="77777777" w:rsidTr="003655EA">
        <w:trPr>
          <w:cnfStyle w:val="100000000000" w:firstRow="1" w:lastRow="0" w:firstColumn="0" w:lastColumn="0" w:oddVBand="0" w:evenVBand="0" w:oddHBand="0" w:evenHBand="0" w:firstRowFirstColumn="0" w:firstRowLastColumn="0" w:lastRowFirstColumn="0" w:lastRowLastColumn="0"/>
          <w:trHeight w:val="682"/>
          <w:jc w:val="center"/>
        </w:trPr>
        <w:tc>
          <w:tcPr>
            <w:tcW w:w="1828" w:type="dxa"/>
            <w:vAlign w:val="center"/>
          </w:tcPr>
          <w:p w14:paraId="72361FCB" w14:textId="77777777" w:rsidR="009F1355" w:rsidRPr="009F1355" w:rsidRDefault="009F1355" w:rsidP="003655EA">
            <w:pPr>
              <w:kinsoku w:val="0"/>
              <w:overflowPunct w:val="0"/>
              <w:autoSpaceDE w:val="0"/>
              <w:autoSpaceDN w:val="0"/>
              <w:adjustRightInd w:val="0"/>
              <w:spacing w:before="121" w:after="0" w:line="240" w:lineRule="auto"/>
              <w:ind w:left="0" w:right="0"/>
              <w:jc w:val="center"/>
              <w:rPr>
                <w:rFonts w:ascii="Times New Roman" w:hAnsi="Times New Roman"/>
                <w:sz w:val="24"/>
                <w:szCs w:val="24"/>
              </w:rPr>
            </w:pPr>
            <w:r w:rsidRPr="009F1355">
              <w:rPr>
                <w:rFonts w:cs="Cambria"/>
                <w:bCs/>
                <w:spacing w:val="-1"/>
                <w:sz w:val="19"/>
                <w:szCs w:val="19"/>
              </w:rPr>
              <w:t>Species</w:t>
            </w:r>
          </w:p>
        </w:tc>
        <w:tc>
          <w:tcPr>
            <w:tcW w:w="1825" w:type="dxa"/>
            <w:vAlign w:val="center"/>
          </w:tcPr>
          <w:p w14:paraId="216EAECD" w14:textId="77777777" w:rsidR="009F1355" w:rsidRPr="009F1355" w:rsidRDefault="009F1355" w:rsidP="003655EA">
            <w:pPr>
              <w:kinsoku w:val="0"/>
              <w:overflowPunct w:val="0"/>
              <w:autoSpaceDE w:val="0"/>
              <w:autoSpaceDN w:val="0"/>
              <w:adjustRightInd w:val="0"/>
              <w:spacing w:before="130" w:after="0" w:line="240" w:lineRule="auto"/>
              <w:ind w:left="0" w:right="0"/>
              <w:jc w:val="center"/>
              <w:rPr>
                <w:rFonts w:ascii="Times New Roman" w:hAnsi="Times New Roman"/>
                <w:sz w:val="24"/>
                <w:szCs w:val="24"/>
              </w:rPr>
            </w:pPr>
            <w:r w:rsidRPr="009F1355">
              <w:rPr>
                <w:rFonts w:cs="Cambria"/>
                <w:bCs/>
                <w:spacing w:val="-3"/>
                <w:sz w:val="19"/>
                <w:szCs w:val="19"/>
              </w:rPr>
              <w:t>Study</w:t>
            </w:r>
          </w:p>
        </w:tc>
        <w:tc>
          <w:tcPr>
            <w:tcW w:w="1689" w:type="dxa"/>
            <w:vAlign w:val="center"/>
          </w:tcPr>
          <w:p w14:paraId="2E34B249" w14:textId="77777777" w:rsidR="009F1355" w:rsidRPr="009F1355" w:rsidRDefault="009F1355" w:rsidP="003655EA">
            <w:pPr>
              <w:kinsoku w:val="0"/>
              <w:overflowPunct w:val="0"/>
              <w:autoSpaceDE w:val="0"/>
              <w:autoSpaceDN w:val="0"/>
              <w:adjustRightInd w:val="0"/>
              <w:spacing w:before="63" w:after="0" w:line="196" w:lineRule="exact"/>
              <w:ind w:left="0" w:right="0" w:firstLine="316"/>
              <w:jc w:val="center"/>
              <w:rPr>
                <w:rFonts w:ascii="Times New Roman" w:hAnsi="Times New Roman"/>
                <w:sz w:val="24"/>
                <w:szCs w:val="24"/>
              </w:rPr>
            </w:pPr>
            <w:r w:rsidRPr="009F1355">
              <w:rPr>
                <w:rFonts w:cs="Cambria"/>
                <w:bCs/>
                <w:spacing w:val="-1"/>
                <w:sz w:val="19"/>
                <w:szCs w:val="19"/>
              </w:rPr>
              <w:t>Dose</w:t>
            </w:r>
            <w:r w:rsidRPr="009F1355">
              <w:rPr>
                <w:rFonts w:cs="Cambria"/>
                <w:bCs/>
                <w:spacing w:val="19"/>
                <w:w w:val="101"/>
                <w:sz w:val="19"/>
                <w:szCs w:val="19"/>
              </w:rPr>
              <w:t xml:space="preserve"> </w:t>
            </w:r>
            <w:r w:rsidRPr="009F1355">
              <w:rPr>
                <w:rFonts w:cs="Cambria"/>
                <w:bCs/>
                <w:spacing w:val="-2"/>
                <w:sz w:val="19"/>
                <w:szCs w:val="19"/>
              </w:rPr>
              <w:t>(IR/kg/day)</w:t>
            </w:r>
          </w:p>
        </w:tc>
        <w:tc>
          <w:tcPr>
            <w:tcW w:w="1689" w:type="dxa"/>
            <w:vAlign w:val="center"/>
          </w:tcPr>
          <w:p w14:paraId="36A85CC2" w14:textId="77777777" w:rsidR="009F1355" w:rsidRPr="009F1355" w:rsidRDefault="009F1355" w:rsidP="003655EA">
            <w:pPr>
              <w:kinsoku w:val="0"/>
              <w:overflowPunct w:val="0"/>
              <w:autoSpaceDE w:val="0"/>
              <w:autoSpaceDN w:val="0"/>
              <w:adjustRightInd w:val="0"/>
              <w:spacing w:before="63" w:after="0" w:line="196" w:lineRule="exact"/>
              <w:ind w:left="0" w:right="0" w:firstLine="124"/>
              <w:jc w:val="center"/>
              <w:rPr>
                <w:rFonts w:ascii="Times New Roman" w:hAnsi="Times New Roman"/>
                <w:sz w:val="24"/>
                <w:szCs w:val="24"/>
              </w:rPr>
            </w:pPr>
            <w:r w:rsidRPr="009F1355">
              <w:rPr>
                <w:rFonts w:cs="Cambria"/>
                <w:bCs/>
                <w:spacing w:val="-1"/>
                <w:sz w:val="19"/>
                <w:szCs w:val="19"/>
              </w:rPr>
              <w:t>Dose</w:t>
            </w:r>
            <w:r w:rsidRPr="009F1355">
              <w:rPr>
                <w:rFonts w:cs="Cambria"/>
                <w:bCs/>
                <w:spacing w:val="19"/>
                <w:w w:val="101"/>
                <w:sz w:val="19"/>
                <w:szCs w:val="19"/>
              </w:rPr>
              <w:t xml:space="preserve"> </w:t>
            </w:r>
            <w:r w:rsidRPr="009F1355">
              <w:rPr>
                <w:rFonts w:cs="Cambria"/>
                <w:bCs/>
                <w:spacing w:val="-1"/>
                <w:sz w:val="19"/>
                <w:szCs w:val="19"/>
              </w:rPr>
              <w:t>(IR/m</w:t>
            </w:r>
            <w:r w:rsidRPr="009F1355">
              <w:rPr>
                <w:rFonts w:cs="Cambria"/>
                <w:bCs/>
                <w:spacing w:val="-1"/>
                <w:position w:val="5"/>
                <w:sz w:val="12"/>
                <w:szCs w:val="12"/>
              </w:rPr>
              <w:t>2</w:t>
            </w:r>
            <w:r w:rsidRPr="009F1355">
              <w:rPr>
                <w:rFonts w:cs="Cambria"/>
                <w:bCs/>
                <w:spacing w:val="-1"/>
                <w:sz w:val="19"/>
                <w:szCs w:val="19"/>
              </w:rPr>
              <w:t>)</w:t>
            </w:r>
          </w:p>
        </w:tc>
        <w:tc>
          <w:tcPr>
            <w:tcW w:w="1689" w:type="dxa"/>
            <w:vAlign w:val="center"/>
          </w:tcPr>
          <w:p w14:paraId="73FB47D4" w14:textId="77777777" w:rsidR="009F1355" w:rsidRPr="009F1355" w:rsidRDefault="009F1355" w:rsidP="003655EA">
            <w:pPr>
              <w:kinsoku w:val="0"/>
              <w:overflowPunct w:val="0"/>
              <w:autoSpaceDE w:val="0"/>
              <w:autoSpaceDN w:val="0"/>
              <w:adjustRightInd w:val="0"/>
              <w:spacing w:before="130" w:after="0" w:line="240" w:lineRule="auto"/>
              <w:ind w:left="0" w:right="0"/>
              <w:jc w:val="center"/>
              <w:rPr>
                <w:rFonts w:ascii="Times New Roman" w:hAnsi="Times New Roman"/>
                <w:sz w:val="24"/>
                <w:szCs w:val="24"/>
              </w:rPr>
            </w:pPr>
            <w:r w:rsidRPr="009F1355">
              <w:rPr>
                <w:rFonts w:cs="Cambria"/>
                <w:bCs/>
                <w:spacing w:val="-2"/>
                <w:sz w:val="19"/>
                <w:szCs w:val="19"/>
              </w:rPr>
              <w:t>Exposure</w:t>
            </w:r>
            <w:r w:rsidRPr="009F1355">
              <w:rPr>
                <w:rFonts w:cs="Cambria"/>
                <w:bCs/>
                <w:spacing w:val="10"/>
                <w:sz w:val="19"/>
                <w:szCs w:val="19"/>
              </w:rPr>
              <w:t xml:space="preserve"> </w:t>
            </w:r>
            <w:r w:rsidRPr="009F1355">
              <w:rPr>
                <w:rFonts w:cs="Cambria"/>
                <w:bCs/>
                <w:spacing w:val="-2"/>
                <w:sz w:val="19"/>
                <w:szCs w:val="19"/>
              </w:rPr>
              <w:t>ratio</w:t>
            </w:r>
            <w:r w:rsidRPr="009F1355">
              <w:rPr>
                <w:rFonts w:cs="Cambria"/>
                <w:bCs/>
                <w:spacing w:val="-2"/>
                <w:position w:val="5"/>
                <w:sz w:val="12"/>
                <w:szCs w:val="12"/>
              </w:rPr>
              <w:t>#</w:t>
            </w:r>
          </w:p>
        </w:tc>
      </w:tr>
      <w:tr w:rsidR="009F1355" w:rsidRPr="00967387" w14:paraId="7B1EAC4D" w14:textId="77777777" w:rsidTr="003655EA">
        <w:trPr>
          <w:trHeight w:hRule="exact" w:val="293"/>
          <w:jc w:val="center"/>
        </w:trPr>
        <w:tc>
          <w:tcPr>
            <w:tcW w:w="1828" w:type="dxa"/>
            <w:vMerge w:val="restart"/>
            <w:vAlign w:val="center"/>
          </w:tcPr>
          <w:p w14:paraId="2B4CB1AD" w14:textId="77777777" w:rsidR="009F1355" w:rsidRPr="00967387" w:rsidRDefault="009F1355" w:rsidP="003655EA">
            <w:pPr>
              <w:kinsoku w:val="0"/>
              <w:overflowPunct w:val="0"/>
              <w:autoSpaceDE w:val="0"/>
              <w:autoSpaceDN w:val="0"/>
              <w:adjustRightInd w:val="0"/>
              <w:spacing w:after="0" w:line="206" w:lineRule="exact"/>
              <w:ind w:left="0" w:right="0"/>
              <w:jc w:val="center"/>
              <w:rPr>
                <w:rFonts w:cs="Cambria"/>
                <w:sz w:val="18"/>
                <w:szCs w:val="18"/>
              </w:rPr>
            </w:pPr>
            <w:r w:rsidRPr="00967387">
              <w:rPr>
                <w:rFonts w:cs="Cambria"/>
                <w:b/>
                <w:bCs/>
                <w:spacing w:val="-2"/>
                <w:sz w:val="18"/>
                <w:szCs w:val="18"/>
              </w:rPr>
              <w:t>Rat</w:t>
            </w:r>
          </w:p>
          <w:p w14:paraId="38491051" w14:textId="77777777" w:rsidR="009F1355" w:rsidRPr="00967387" w:rsidRDefault="009F1355" w:rsidP="003655EA">
            <w:pPr>
              <w:kinsoku w:val="0"/>
              <w:overflowPunct w:val="0"/>
              <w:autoSpaceDE w:val="0"/>
              <w:autoSpaceDN w:val="0"/>
              <w:adjustRightInd w:val="0"/>
              <w:spacing w:after="0" w:line="206" w:lineRule="exact"/>
              <w:ind w:left="0" w:right="0"/>
              <w:jc w:val="center"/>
              <w:rPr>
                <w:rFonts w:ascii="Times New Roman" w:hAnsi="Times New Roman"/>
                <w:sz w:val="24"/>
                <w:szCs w:val="24"/>
              </w:rPr>
            </w:pPr>
            <w:r w:rsidRPr="00967387">
              <w:rPr>
                <w:rFonts w:cs="Cambria"/>
                <w:spacing w:val="-3"/>
                <w:sz w:val="18"/>
                <w:szCs w:val="18"/>
              </w:rPr>
              <w:t>(SD)</w:t>
            </w:r>
          </w:p>
        </w:tc>
        <w:tc>
          <w:tcPr>
            <w:tcW w:w="1825" w:type="dxa"/>
            <w:vMerge w:val="restart"/>
            <w:vAlign w:val="center"/>
          </w:tcPr>
          <w:p w14:paraId="6603BE6D" w14:textId="77777777" w:rsidR="009F1355" w:rsidRPr="00967387" w:rsidRDefault="009F1355" w:rsidP="003655EA">
            <w:pPr>
              <w:kinsoku w:val="0"/>
              <w:overflowPunct w:val="0"/>
              <w:autoSpaceDE w:val="0"/>
              <w:autoSpaceDN w:val="0"/>
              <w:adjustRightInd w:val="0"/>
              <w:spacing w:before="108" w:after="0" w:line="237" w:lineRule="auto"/>
              <w:ind w:left="0" w:right="0" w:firstLine="4"/>
              <w:jc w:val="center"/>
              <w:rPr>
                <w:rFonts w:ascii="Times New Roman" w:hAnsi="Times New Roman"/>
                <w:sz w:val="24"/>
                <w:szCs w:val="24"/>
              </w:rPr>
            </w:pPr>
            <w:r w:rsidRPr="00967387">
              <w:rPr>
                <w:rFonts w:cs="Cambria"/>
                <w:spacing w:val="-2"/>
                <w:sz w:val="18"/>
                <w:szCs w:val="18"/>
              </w:rPr>
              <w:t>Embryofetal</w:t>
            </w:r>
            <w:r w:rsidRPr="00967387">
              <w:rPr>
                <w:rFonts w:cs="Cambria"/>
                <w:spacing w:val="28"/>
                <w:w w:val="101"/>
                <w:sz w:val="18"/>
                <w:szCs w:val="18"/>
              </w:rPr>
              <w:t xml:space="preserve"> </w:t>
            </w:r>
            <w:r w:rsidRPr="00967387">
              <w:rPr>
                <w:rFonts w:cs="Cambria"/>
                <w:spacing w:val="-2"/>
                <w:sz w:val="18"/>
                <w:szCs w:val="18"/>
              </w:rPr>
              <w:t>development</w:t>
            </w:r>
            <w:r w:rsidRPr="00967387">
              <w:rPr>
                <w:rFonts w:cs="Cambria"/>
                <w:spacing w:val="22"/>
                <w:w w:val="101"/>
                <w:sz w:val="18"/>
                <w:szCs w:val="18"/>
              </w:rPr>
              <w:t xml:space="preserve"> </w:t>
            </w:r>
            <w:r w:rsidR="003655EA">
              <w:rPr>
                <w:rFonts w:cs="Cambria"/>
                <w:spacing w:val="22"/>
                <w:w w:val="101"/>
                <w:sz w:val="18"/>
                <w:szCs w:val="18"/>
              </w:rPr>
              <w:br/>
            </w:r>
            <w:r w:rsidRPr="00967387">
              <w:rPr>
                <w:rFonts w:cs="Cambria"/>
                <w:spacing w:val="-2"/>
                <w:sz w:val="18"/>
                <w:szCs w:val="18"/>
              </w:rPr>
              <w:t>(GD6-17)</w:t>
            </w:r>
          </w:p>
        </w:tc>
        <w:tc>
          <w:tcPr>
            <w:tcW w:w="1689" w:type="dxa"/>
            <w:vAlign w:val="center"/>
          </w:tcPr>
          <w:p w14:paraId="38AD54FB" w14:textId="77777777" w:rsidR="009F1355" w:rsidRPr="00967387" w:rsidRDefault="009F1355" w:rsidP="003655EA">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300</w:t>
            </w:r>
          </w:p>
        </w:tc>
        <w:tc>
          <w:tcPr>
            <w:tcW w:w="1689" w:type="dxa"/>
            <w:vAlign w:val="center"/>
          </w:tcPr>
          <w:p w14:paraId="6CA204E9" w14:textId="77777777" w:rsidR="009F1355" w:rsidRPr="00967387" w:rsidRDefault="009F1355" w:rsidP="003655EA">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pacing w:val="-1"/>
                <w:sz w:val="18"/>
                <w:szCs w:val="18"/>
              </w:rPr>
              <w:t>1800</w:t>
            </w:r>
          </w:p>
        </w:tc>
        <w:tc>
          <w:tcPr>
            <w:tcW w:w="1689" w:type="dxa"/>
            <w:vAlign w:val="center"/>
          </w:tcPr>
          <w:p w14:paraId="1EA355C8" w14:textId="77777777" w:rsidR="009F1355" w:rsidRPr="00967387" w:rsidRDefault="009F1355" w:rsidP="003655EA">
            <w:pPr>
              <w:kinsoku w:val="0"/>
              <w:overflowPunct w:val="0"/>
              <w:autoSpaceDE w:val="0"/>
              <w:autoSpaceDN w:val="0"/>
              <w:adjustRightInd w:val="0"/>
              <w:spacing w:before="24" w:after="0" w:line="240" w:lineRule="auto"/>
              <w:ind w:left="0" w:right="0"/>
              <w:jc w:val="center"/>
              <w:rPr>
                <w:rFonts w:ascii="Times New Roman" w:hAnsi="Times New Roman"/>
                <w:sz w:val="24"/>
                <w:szCs w:val="24"/>
              </w:rPr>
            </w:pPr>
            <w:r w:rsidRPr="00967387">
              <w:rPr>
                <w:rFonts w:cs="Cambria"/>
                <w:sz w:val="18"/>
                <w:szCs w:val="18"/>
              </w:rPr>
              <w:t>9</w:t>
            </w:r>
          </w:p>
        </w:tc>
      </w:tr>
      <w:tr w:rsidR="009F1355" w:rsidRPr="00967387" w14:paraId="7E1E5F8E" w14:textId="77777777" w:rsidTr="003655EA">
        <w:trPr>
          <w:trHeight w:hRule="exact" w:val="293"/>
          <w:jc w:val="center"/>
        </w:trPr>
        <w:tc>
          <w:tcPr>
            <w:tcW w:w="1828" w:type="dxa"/>
            <w:vMerge/>
            <w:vAlign w:val="center"/>
          </w:tcPr>
          <w:p w14:paraId="62C4ED39" w14:textId="77777777" w:rsidR="009F1355" w:rsidRPr="00967387" w:rsidRDefault="009F1355" w:rsidP="003655EA">
            <w:pPr>
              <w:kinsoku w:val="0"/>
              <w:overflowPunct w:val="0"/>
              <w:autoSpaceDE w:val="0"/>
              <w:autoSpaceDN w:val="0"/>
              <w:adjustRightInd w:val="0"/>
              <w:spacing w:before="24" w:after="0" w:line="240" w:lineRule="auto"/>
              <w:ind w:left="0" w:right="0"/>
              <w:jc w:val="center"/>
              <w:rPr>
                <w:rFonts w:ascii="Times New Roman" w:hAnsi="Times New Roman"/>
                <w:sz w:val="24"/>
                <w:szCs w:val="24"/>
              </w:rPr>
            </w:pPr>
          </w:p>
        </w:tc>
        <w:tc>
          <w:tcPr>
            <w:tcW w:w="1825" w:type="dxa"/>
            <w:vMerge/>
            <w:vAlign w:val="center"/>
          </w:tcPr>
          <w:p w14:paraId="37CD893C" w14:textId="77777777" w:rsidR="009F1355" w:rsidRPr="00967387" w:rsidRDefault="009F1355" w:rsidP="003655EA">
            <w:pPr>
              <w:kinsoku w:val="0"/>
              <w:overflowPunct w:val="0"/>
              <w:autoSpaceDE w:val="0"/>
              <w:autoSpaceDN w:val="0"/>
              <w:adjustRightInd w:val="0"/>
              <w:spacing w:before="24" w:after="0" w:line="240" w:lineRule="auto"/>
              <w:ind w:left="0" w:right="0"/>
              <w:jc w:val="center"/>
              <w:rPr>
                <w:rFonts w:ascii="Times New Roman" w:hAnsi="Times New Roman"/>
                <w:sz w:val="24"/>
                <w:szCs w:val="24"/>
              </w:rPr>
            </w:pPr>
          </w:p>
        </w:tc>
        <w:tc>
          <w:tcPr>
            <w:tcW w:w="1689" w:type="dxa"/>
            <w:vAlign w:val="center"/>
          </w:tcPr>
          <w:p w14:paraId="6316A15B"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vAlign w:val="center"/>
          </w:tcPr>
          <w:p w14:paraId="763902BC"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9000</w:t>
            </w:r>
          </w:p>
        </w:tc>
        <w:tc>
          <w:tcPr>
            <w:tcW w:w="1689" w:type="dxa"/>
            <w:vAlign w:val="center"/>
          </w:tcPr>
          <w:p w14:paraId="042AEEF8"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45</w:t>
            </w:r>
          </w:p>
        </w:tc>
      </w:tr>
      <w:tr w:rsidR="009F1355" w:rsidRPr="00967387" w14:paraId="610FE928" w14:textId="77777777" w:rsidTr="00790DE0">
        <w:trPr>
          <w:trHeight w:hRule="exact" w:val="342"/>
          <w:jc w:val="center"/>
        </w:trPr>
        <w:tc>
          <w:tcPr>
            <w:tcW w:w="1828" w:type="dxa"/>
            <w:vMerge/>
            <w:vAlign w:val="center"/>
          </w:tcPr>
          <w:p w14:paraId="6E44C504"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vAlign w:val="center"/>
          </w:tcPr>
          <w:p w14:paraId="5F472329"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vAlign w:val="center"/>
          </w:tcPr>
          <w:p w14:paraId="471CCDB6"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2500</w:t>
            </w:r>
          </w:p>
        </w:tc>
        <w:tc>
          <w:tcPr>
            <w:tcW w:w="1689" w:type="dxa"/>
            <w:vAlign w:val="center"/>
          </w:tcPr>
          <w:p w14:paraId="370C9596"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15000</w:t>
            </w:r>
          </w:p>
        </w:tc>
        <w:tc>
          <w:tcPr>
            <w:tcW w:w="1689" w:type="dxa"/>
            <w:vAlign w:val="center"/>
          </w:tcPr>
          <w:p w14:paraId="78D3667E"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3"/>
                <w:sz w:val="18"/>
                <w:szCs w:val="18"/>
              </w:rPr>
              <w:t>76</w:t>
            </w:r>
          </w:p>
        </w:tc>
      </w:tr>
      <w:tr w:rsidR="009F1355" w:rsidRPr="00967387" w14:paraId="13BA8AEA" w14:textId="77777777" w:rsidTr="003655EA">
        <w:trPr>
          <w:trHeight w:hRule="exact" w:val="290"/>
          <w:jc w:val="center"/>
        </w:trPr>
        <w:tc>
          <w:tcPr>
            <w:tcW w:w="1828" w:type="dxa"/>
            <w:vMerge w:val="restart"/>
            <w:vAlign w:val="center"/>
          </w:tcPr>
          <w:p w14:paraId="3A708743" w14:textId="77777777" w:rsidR="009F1355" w:rsidRPr="00967387" w:rsidRDefault="009F1355" w:rsidP="003655EA">
            <w:pPr>
              <w:kinsoku w:val="0"/>
              <w:overflowPunct w:val="0"/>
              <w:autoSpaceDE w:val="0"/>
              <w:autoSpaceDN w:val="0"/>
              <w:adjustRightInd w:val="0"/>
              <w:spacing w:after="0" w:line="206" w:lineRule="exact"/>
              <w:ind w:left="0" w:right="0"/>
              <w:jc w:val="center"/>
              <w:rPr>
                <w:rFonts w:cs="Cambria"/>
                <w:sz w:val="18"/>
                <w:szCs w:val="18"/>
              </w:rPr>
            </w:pPr>
            <w:r w:rsidRPr="00967387">
              <w:rPr>
                <w:rFonts w:cs="Cambria"/>
                <w:b/>
                <w:bCs/>
                <w:spacing w:val="-2"/>
                <w:sz w:val="18"/>
                <w:szCs w:val="18"/>
              </w:rPr>
              <w:t>Rabbit</w:t>
            </w:r>
          </w:p>
          <w:p w14:paraId="0A01E61E" w14:textId="77777777" w:rsidR="009F1355" w:rsidRPr="00967387" w:rsidRDefault="009F1355" w:rsidP="003655EA">
            <w:pPr>
              <w:kinsoku w:val="0"/>
              <w:overflowPunct w:val="0"/>
              <w:autoSpaceDE w:val="0"/>
              <w:autoSpaceDN w:val="0"/>
              <w:adjustRightInd w:val="0"/>
              <w:spacing w:after="0" w:line="206" w:lineRule="exact"/>
              <w:ind w:left="0" w:right="0"/>
              <w:jc w:val="center"/>
              <w:rPr>
                <w:rFonts w:ascii="Times New Roman" w:hAnsi="Times New Roman"/>
                <w:sz w:val="24"/>
                <w:szCs w:val="24"/>
              </w:rPr>
            </w:pPr>
            <w:r w:rsidRPr="00967387">
              <w:rPr>
                <w:rFonts w:cs="Cambria"/>
                <w:spacing w:val="-2"/>
                <w:sz w:val="18"/>
                <w:szCs w:val="18"/>
              </w:rPr>
              <w:t>(NZW)</w:t>
            </w:r>
          </w:p>
        </w:tc>
        <w:tc>
          <w:tcPr>
            <w:tcW w:w="1825" w:type="dxa"/>
            <w:vMerge w:val="restart"/>
            <w:vAlign w:val="center"/>
          </w:tcPr>
          <w:p w14:paraId="05E5B909" w14:textId="77777777" w:rsidR="009F1355" w:rsidRPr="00967387" w:rsidRDefault="009F1355" w:rsidP="003655EA">
            <w:pPr>
              <w:kinsoku w:val="0"/>
              <w:overflowPunct w:val="0"/>
              <w:autoSpaceDE w:val="0"/>
              <w:autoSpaceDN w:val="0"/>
              <w:adjustRightInd w:val="0"/>
              <w:spacing w:before="118" w:after="0" w:line="237" w:lineRule="auto"/>
              <w:ind w:left="0" w:right="0" w:firstLine="4"/>
              <w:jc w:val="center"/>
              <w:rPr>
                <w:rFonts w:ascii="Times New Roman" w:hAnsi="Times New Roman"/>
                <w:sz w:val="24"/>
                <w:szCs w:val="24"/>
              </w:rPr>
            </w:pPr>
            <w:r w:rsidRPr="00967387">
              <w:rPr>
                <w:rFonts w:cs="Cambria"/>
                <w:spacing w:val="-2"/>
                <w:sz w:val="18"/>
                <w:szCs w:val="18"/>
              </w:rPr>
              <w:t>Embryofetal</w:t>
            </w:r>
            <w:r w:rsidRPr="00967387">
              <w:rPr>
                <w:rFonts w:cs="Cambria"/>
                <w:spacing w:val="28"/>
                <w:w w:val="101"/>
                <w:sz w:val="18"/>
                <w:szCs w:val="18"/>
              </w:rPr>
              <w:t xml:space="preserve"> </w:t>
            </w:r>
            <w:r w:rsidRPr="00967387">
              <w:rPr>
                <w:rFonts w:cs="Cambria"/>
                <w:spacing w:val="-2"/>
                <w:sz w:val="18"/>
                <w:szCs w:val="18"/>
              </w:rPr>
              <w:t>development</w:t>
            </w:r>
            <w:r w:rsidRPr="00967387">
              <w:rPr>
                <w:rFonts w:cs="Cambria"/>
                <w:spacing w:val="22"/>
                <w:w w:val="101"/>
                <w:sz w:val="18"/>
                <w:szCs w:val="18"/>
              </w:rPr>
              <w:t xml:space="preserve"> </w:t>
            </w:r>
            <w:r w:rsidR="003655EA">
              <w:rPr>
                <w:rFonts w:cs="Cambria"/>
                <w:spacing w:val="22"/>
                <w:w w:val="101"/>
                <w:sz w:val="18"/>
                <w:szCs w:val="18"/>
              </w:rPr>
              <w:br/>
            </w:r>
            <w:r w:rsidRPr="00967387">
              <w:rPr>
                <w:rFonts w:cs="Cambria"/>
                <w:spacing w:val="-2"/>
                <w:sz w:val="18"/>
                <w:szCs w:val="18"/>
              </w:rPr>
              <w:t>(GD6-18)</w:t>
            </w:r>
          </w:p>
        </w:tc>
        <w:tc>
          <w:tcPr>
            <w:tcW w:w="1689" w:type="dxa"/>
            <w:vAlign w:val="center"/>
          </w:tcPr>
          <w:p w14:paraId="58F84138"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300</w:t>
            </w:r>
          </w:p>
        </w:tc>
        <w:tc>
          <w:tcPr>
            <w:tcW w:w="1689" w:type="dxa"/>
            <w:vAlign w:val="center"/>
          </w:tcPr>
          <w:p w14:paraId="46EAEEF7"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4500</w:t>
            </w:r>
          </w:p>
        </w:tc>
        <w:tc>
          <w:tcPr>
            <w:tcW w:w="1689" w:type="dxa"/>
            <w:vAlign w:val="center"/>
          </w:tcPr>
          <w:p w14:paraId="3DDE499B"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1"/>
                <w:sz w:val="18"/>
                <w:szCs w:val="18"/>
              </w:rPr>
              <w:t>23</w:t>
            </w:r>
          </w:p>
        </w:tc>
      </w:tr>
      <w:tr w:rsidR="009F1355" w:rsidRPr="00967387" w14:paraId="381E8FD0" w14:textId="77777777" w:rsidTr="003655EA">
        <w:trPr>
          <w:trHeight w:hRule="exact" w:val="293"/>
          <w:jc w:val="center"/>
        </w:trPr>
        <w:tc>
          <w:tcPr>
            <w:tcW w:w="1828" w:type="dxa"/>
            <w:vMerge/>
            <w:vAlign w:val="center"/>
          </w:tcPr>
          <w:p w14:paraId="766FF10C"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p>
        </w:tc>
        <w:tc>
          <w:tcPr>
            <w:tcW w:w="1825" w:type="dxa"/>
            <w:vMerge/>
            <w:vAlign w:val="center"/>
          </w:tcPr>
          <w:p w14:paraId="3F7F427C"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p>
        </w:tc>
        <w:tc>
          <w:tcPr>
            <w:tcW w:w="1689" w:type="dxa"/>
            <w:vAlign w:val="center"/>
          </w:tcPr>
          <w:p w14:paraId="102662E5"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vAlign w:val="center"/>
          </w:tcPr>
          <w:p w14:paraId="2BACA87C"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22500</w:t>
            </w:r>
          </w:p>
        </w:tc>
        <w:tc>
          <w:tcPr>
            <w:tcW w:w="1689" w:type="dxa"/>
            <w:vAlign w:val="center"/>
          </w:tcPr>
          <w:p w14:paraId="19C866DB"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113</w:t>
            </w:r>
          </w:p>
        </w:tc>
      </w:tr>
      <w:tr w:rsidR="009F1355" w:rsidRPr="00967387" w14:paraId="61776D7B" w14:textId="77777777" w:rsidTr="003655EA">
        <w:trPr>
          <w:trHeight w:hRule="exact" w:val="298"/>
          <w:jc w:val="center"/>
        </w:trPr>
        <w:tc>
          <w:tcPr>
            <w:tcW w:w="1828" w:type="dxa"/>
            <w:vMerge/>
            <w:vAlign w:val="center"/>
          </w:tcPr>
          <w:p w14:paraId="077FF782"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vAlign w:val="center"/>
          </w:tcPr>
          <w:p w14:paraId="5346DAA4"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vAlign w:val="center"/>
          </w:tcPr>
          <w:p w14:paraId="603EAA0E"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2500</w:t>
            </w:r>
          </w:p>
        </w:tc>
        <w:tc>
          <w:tcPr>
            <w:tcW w:w="1689" w:type="dxa"/>
            <w:vAlign w:val="center"/>
          </w:tcPr>
          <w:p w14:paraId="5F0ECB2D"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37500</w:t>
            </w:r>
          </w:p>
        </w:tc>
        <w:tc>
          <w:tcPr>
            <w:tcW w:w="1689" w:type="dxa"/>
            <w:vAlign w:val="center"/>
          </w:tcPr>
          <w:p w14:paraId="5595735C"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1"/>
                <w:sz w:val="18"/>
                <w:szCs w:val="18"/>
              </w:rPr>
              <w:t>189</w:t>
            </w:r>
          </w:p>
        </w:tc>
      </w:tr>
      <w:tr w:rsidR="009F1355" w:rsidRPr="00967387" w14:paraId="2AA89D99" w14:textId="77777777" w:rsidTr="003655EA">
        <w:trPr>
          <w:trHeight w:hRule="exact" w:val="288"/>
          <w:jc w:val="center"/>
        </w:trPr>
        <w:tc>
          <w:tcPr>
            <w:tcW w:w="1828" w:type="dxa"/>
            <w:vMerge w:val="restart"/>
            <w:vAlign w:val="center"/>
          </w:tcPr>
          <w:p w14:paraId="3DAFF873" w14:textId="77777777" w:rsidR="009F1355" w:rsidRPr="00967387" w:rsidRDefault="009F1355" w:rsidP="003655EA">
            <w:pPr>
              <w:kinsoku w:val="0"/>
              <w:overflowPunct w:val="0"/>
              <w:autoSpaceDE w:val="0"/>
              <w:autoSpaceDN w:val="0"/>
              <w:adjustRightInd w:val="0"/>
              <w:spacing w:after="0" w:line="206" w:lineRule="exact"/>
              <w:ind w:left="0" w:right="0"/>
              <w:jc w:val="center"/>
              <w:rPr>
                <w:rFonts w:cs="Cambria"/>
                <w:sz w:val="18"/>
                <w:szCs w:val="18"/>
              </w:rPr>
            </w:pPr>
            <w:r w:rsidRPr="00967387">
              <w:rPr>
                <w:rFonts w:cs="Cambria"/>
                <w:b/>
                <w:bCs/>
                <w:spacing w:val="-2"/>
                <w:sz w:val="18"/>
                <w:szCs w:val="18"/>
              </w:rPr>
              <w:t>Rat</w:t>
            </w:r>
          </w:p>
          <w:p w14:paraId="22DB3BC8" w14:textId="77777777" w:rsidR="009F1355" w:rsidRPr="00967387" w:rsidRDefault="009F1355" w:rsidP="003655EA">
            <w:pPr>
              <w:kinsoku w:val="0"/>
              <w:overflowPunct w:val="0"/>
              <w:autoSpaceDE w:val="0"/>
              <w:autoSpaceDN w:val="0"/>
              <w:adjustRightInd w:val="0"/>
              <w:spacing w:after="0" w:line="206" w:lineRule="exact"/>
              <w:ind w:left="0" w:right="0"/>
              <w:jc w:val="center"/>
              <w:rPr>
                <w:rFonts w:ascii="Times New Roman" w:hAnsi="Times New Roman"/>
                <w:sz w:val="24"/>
                <w:szCs w:val="24"/>
              </w:rPr>
            </w:pPr>
            <w:r w:rsidRPr="00967387">
              <w:rPr>
                <w:rFonts w:cs="Cambria"/>
                <w:spacing w:val="-3"/>
                <w:sz w:val="18"/>
                <w:szCs w:val="18"/>
              </w:rPr>
              <w:t>(SD)</w:t>
            </w:r>
          </w:p>
        </w:tc>
        <w:tc>
          <w:tcPr>
            <w:tcW w:w="1825" w:type="dxa"/>
            <w:vMerge w:val="restart"/>
            <w:vAlign w:val="center"/>
          </w:tcPr>
          <w:p w14:paraId="4F911FA1" w14:textId="77777777" w:rsidR="009F1355" w:rsidRPr="00967387" w:rsidRDefault="009F1355" w:rsidP="003655EA">
            <w:pPr>
              <w:kinsoku w:val="0"/>
              <w:overflowPunct w:val="0"/>
              <w:autoSpaceDE w:val="0"/>
              <w:autoSpaceDN w:val="0"/>
              <w:adjustRightInd w:val="0"/>
              <w:spacing w:after="0" w:line="245" w:lineRule="auto"/>
              <w:ind w:left="0" w:right="0" w:firstLine="177"/>
              <w:jc w:val="center"/>
              <w:rPr>
                <w:rFonts w:ascii="Times New Roman" w:hAnsi="Times New Roman"/>
                <w:sz w:val="24"/>
                <w:szCs w:val="24"/>
              </w:rPr>
            </w:pPr>
            <w:r w:rsidRPr="00967387">
              <w:rPr>
                <w:rFonts w:cs="Cambria"/>
                <w:spacing w:val="-2"/>
                <w:sz w:val="18"/>
                <w:szCs w:val="18"/>
              </w:rPr>
              <w:t>Juvenile</w:t>
            </w:r>
            <w:r w:rsidRPr="00967387">
              <w:rPr>
                <w:rFonts w:cs="Cambria"/>
                <w:spacing w:val="22"/>
                <w:w w:val="101"/>
                <w:sz w:val="18"/>
                <w:szCs w:val="18"/>
              </w:rPr>
              <w:t xml:space="preserve"> </w:t>
            </w:r>
            <w:r w:rsidRPr="00967387">
              <w:rPr>
                <w:rFonts w:cs="Cambria"/>
                <w:spacing w:val="-2"/>
                <w:sz w:val="18"/>
                <w:szCs w:val="18"/>
              </w:rPr>
              <w:t>development</w:t>
            </w:r>
          </w:p>
        </w:tc>
        <w:tc>
          <w:tcPr>
            <w:tcW w:w="1689" w:type="dxa"/>
            <w:vAlign w:val="center"/>
          </w:tcPr>
          <w:p w14:paraId="0D773144"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300</w:t>
            </w:r>
          </w:p>
        </w:tc>
        <w:tc>
          <w:tcPr>
            <w:tcW w:w="1689" w:type="dxa"/>
            <w:vAlign w:val="center"/>
          </w:tcPr>
          <w:p w14:paraId="30A9C603"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1800</w:t>
            </w:r>
          </w:p>
        </w:tc>
        <w:tc>
          <w:tcPr>
            <w:tcW w:w="1689" w:type="dxa"/>
            <w:vAlign w:val="center"/>
          </w:tcPr>
          <w:p w14:paraId="7C1E1F6D"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z w:val="18"/>
                <w:szCs w:val="18"/>
              </w:rPr>
              <w:t>9</w:t>
            </w:r>
          </w:p>
        </w:tc>
      </w:tr>
      <w:tr w:rsidR="009F1355" w:rsidRPr="00967387" w14:paraId="1E87D10F" w14:textId="77777777" w:rsidTr="003655EA">
        <w:trPr>
          <w:trHeight w:hRule="exact" w:val="293"/>
          <w:jc w:val="center"/>
        </w:trPr>
        <w:tc>
          <w:tcPr>
            <w:tcW w:w="1828" w:type="dxa"/>
            <w:vMerge/>
            <w:vAlign w:val="center"/>
          </w:tcPr>
          <w:p w14:paraId="21B2B9F2"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825" w:type="dxa"/>
            <w:vMerge/>
            <w:vAlign w:val="center"/>
          </w:tcPr>
          <w:p w14:paraId="609437B4"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689" w:type="dxa"/>
            <w:vAlign w:val="center"/>
          </w:tcPr>
          <w:p w14:paraId="3129D679"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vAlign w:val="center"/>
          </w:tcPr>
          <w:p w14:paraId="2D15B0E2"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9000</w:t>
            </w:r>
          </w:p>
        </w:tc>
        <w:tc>
          <w:tcPr>
            <w:tcW w:w="1689" w:type="dxa"/>
            <w:vAlign w:val="center"/>
          </w:tcPr>
          <w:p w14:paraId="342F882C"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45</w:t>
            </w:r>
          </w:p>
        </w:tc>
      </w:tr>
      <w:tr w:rsidR="009F1355" w:rsidRPr="00967387" w14:paraId="163BAB86" w14:textId="77777777" w:rsidTr="003655EA">
        <w:trPr>
          <w:trHeight w:hRule="exact" w:val="298"/>
          <w:jc w:val="center"/>
        </w:trPr>
        <w:tc>
          <w:tcPr>
            <w:tcW w:w="1828" w:type="dxa"/>
            <w:vMerge/>
            <w:vAlign w:val="center"/>
          </w:tcPr>
          <w:p w14:paraId="5B6BF474"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vAlign w:val="center"/>
          </w:tcPr>
          <w:p w14:paraId="578DF555"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vAlign w:val="center"/>
          </w:tcPr>
          <w:p w14:paraId="7C09ACFF"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2500</w:t>
            </w:r>
          </w:p>
        </w:tc>
        <w:tc>
          <w:tcPr>
            <w:tcW w:w="1689" w:type="dxa"/>
            <w:vAlign w:val="center"/>
          </w:tcPr>
          <w:p w14:paraId="1A3E9ACA"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15000</w:t>
            </w:r>
          </w:p>
        </w:tc>
        <w:tc>
          <w:tcPr>
            <w:tcW w:w="1689" w:type="dxa"/>
            <w:vAlign w:val="center"/>
          </w:tcPr>
          <w:p w14:paraId="6EC4FD70"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3"/>
                <w:sz w:val="18"/>
                <w:szCs w:val="18"/>
              </w:rPr>
              <w:t>76</w:t>
            </w:r>
          </w:p>
        </w:tc>
      </w:tr>
      <w:tr w:rsidR="009F1355" w:rsidRPr="00967387" w14:paraId="14D6A9F6" w14:textId="77777777" w:rsidTr="003655EA">
        <w:trPr>
          <w:trHeight w:hRule="exact" w:val="288"/>
          <w:jc w:val="center"/>
        </w:trPr>
        <w:tc>
          <w:tcPr>
            <w:tcW w:w="1828" w:type="dxa"/>
            <w:vMerge w:val="restart"/>
            <w:vAlign w:val="center"/>
          </w:tcPr>
          <w:p w14:paraId="0A2FF4A5" w14:textId="77777777" w:rsidR="009F1355" w:rsidRPr="00967387" w:rsidRDefault="009F1355" w:rsidP="003655EA">
            <w:pPr>
              <w:kinsoku w:val="0"/>
              <w:overflowPunct w:val="0"/>
              <w:autoSpaceDE w:val="0"/>
              <w:autoSpaceDN w:val="0"/>
              <w:adjustRightInd w:val="0"/>
              <w:spacing w:after="0" w:line="272" w:lineRule="auto"/>
              <w:ind w:left="0" w:right="0" w:firstLine="172"/>
              <w:jc w:val="center"/>
              <w:rPr>
                <w:rFonts w:ascii="Times New Roman" w:hAnsi="Times New Roman"/>
                <w:sz w:val="24"/>
                <w:szCs w:val="24"/>
              </w:rPr>
            </w:pPr>
            <w:r w:rsidRPr="003138F8">
              <w:rPr>
                <w:rFonts w:cs="Cambria"/>
                <w:b/>
                <w:spacing w:val="-1"/>
                <w:sz w:val="18"/>
                <w:szCs w:val="18"/>
              </w:rPr>
              <w:t>Dog</w:t>
            </w:r>
            <w:r w:rsidRPr="003138F8">
              <w:rPr>
                <w:rFonts w:cs="Cambria"/>
                <w:b/>
                <w:spacing w:val="21"/>
                <w:w w:val="101"/>
                <w:sz w:val="18"/>
                <w:szCs w:val="18"/>
              </w:rPr>
              <w:t xml:space="preserve"> </w:t>
            </w:r>
            <w:r w:rsidRPr="00967387">
              <w:rPr>
                <w:rFonts w:cs="Cambria"/>
                <w:spacing w:val="-2"/>
                <w:sz w:val="18"/>
                <w:szCs w:val="18"/>
              </w:rPr>
              <w:t>(Beagle)</w:t>
            </w:r>
          </w:p>
        </w:tc>
        <w:tc>
          <w:tcPr>
            <w:tcW w:w="1825" w:type="dxa"/>
            <w:vMerge w:val="restart"/>
            <w:vAlign w:val="center"/>
          </w:tcPr>
          <w:p w14:paraId="6CC923EC" w14:textId="77777777" w:rsidR="009F1355" w:rsidRPr="00967387" w:rsidRDefault="009F1355" w:rsidP="003655EA">
            <w:pPr>
              <w:kinsoku w:val="0"/>
              <w:overflowPunct w:val="0"/>
              <w:autoSpaceDE w:val="0"/>
              <w:autoSpaceDN w:val="0"/>
              <w:adjustRightInd w:val="0"/>
              <w:spacing w:after="0" w:line="245" w:lineRule="auto"/>
              <w:ind w:left="0" w:right="0" w:firstLine="177"/>
              <w:jc w:val="center"/>
              <w:rPr>
                <w:rFonts w:ascii="Times New Roman" w:hAnsi="Times New Roman"/>
                <w:sz w:val="24"/>
                <w:szCs w:val="24"/>
              </w:rPr>
            </w:pPr>
            <w:r w:rsidRPr="00967387">
              <w:rPr>
                <w:rFonts w:cs="Cambria"/>
                <w:spacing w:val="-2"/>
                <w:sz w:val="18"/>
                <w:szCs w:val="18"/>
              </w:rPr>
              <w:t>Juvenile</w:t>
            </w:r>
            <w:r w:rsidRPr="00967387">
              <w:rPr>
                <w:rFonts w:cs="Cambria"/>
                <w:spacing w:val="22"/>
                <w:w w:val="101"/>
                <w:sz w:val="18"/>
                <w:szCs w:val="18"/>
              </w:rPr>
              <w:t xml:space="preserve"> </w:t>
            </w:r>
            <w:r w:rsidRPr="00967387">
              <w:rPr>
                <w:rFonts w:cs="Cambria"/>
                <w:spacing w:val="-2"/>
                <w:sz w:val="18"/>
                <w:szCs w:val="18"/>
              </w:rPr>
              <w:t>development</w:t>
            </w:r>
          </w:p>
        </w:tc>
        <w:tc>
          <w:tcPr>
            <w:tcW w:w="1689" w:type="dxa"/>
            <w:vAlign w:val="center"/>
          </w:tcPr>
          <w:p w14:paraId="7B740799"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300</w:t>
            </w:r>
          </w:p>
        </w:tc>
        <w:tc>
          <w:tcPr>
            <w:tcW w:w="1689" w:type="dxa"/>
            <w:vAlign w:val="center"/>
          </w:tcPr>
          <w:p w14:paraId="2D5463F5"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6000</w:t>
            </w:r>
          </w:p>
        </w:tc>
        <w:tc>
          <w:tcPr>
            <w:tcW w:w="1689" w:type="dxa"/>
            <w:vAlign w:val="center"/>
          </w:tcPr>
          <w:p w14:paraId="198B6CB9"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30</w:t>
            </w:r>
          </w:p>
        </w:tc>
      </w:tr>
      <w:tr w:rsidR="009F1355" w:rsidRPr="00967387" w14:paraId="612373F6" w14:textId="77777777" w:rsidTr="003655EA">
        <w:trPr>
          <w:trHeight w:hRule="exact" w:val="293"/>
          <w:jc w:val="center"/>
        </w:trPr>
        <w:tc>
          <w:tcPr>
            <w:tcW w:w="1828" w:type="dxa"/>
            <w:vMerge/>
            <w:vAlign w:val="center"/>
          </w:tcPr>
          <w:p w14:paraId="0A42F10D"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825" w:type="dxa"/>
            <w:vMerge/>
            <w:vAlign w:val="center"/>
          </w:tcPr>
          <w:p w14:paraId="4526396B"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p>
        </w:tc>
        <w:tc>
          <w:tcPr>
            <w:tcW w:w="1689" w:type="dxa"/>
            <w:vAlign w:val="center"/>
          </w:tcPr>
          <w:p w14:paraId="66759277"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1500</w:t>
            </w:r>
          </w:p>
        </w:tc>
        <w:tc>
          <w:tcPr>
            <w:tcW w:w="1689" w:type="dxa"/>
            <w:vAlign w:val="center"/>
          </w:tcPr>
          <w:p w14:paraId="4780BBD7"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30000</w:t>
            </w:r>
          </w:p>
        </w:tc>
        <w:tc>
          <w:tcPr>
            <w:tcW w:w="1689" w:type="dxa"/>
            <w:vAlign w:val="center"/>
          </w:tcPr>
          <w:p w14:paraId="30B3146D"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spacing w:val="-1"/>
                <w:sz w:val="18"/>
                <w:szCs w:val="18"/>
              </w:rPr>
              <w:t>151</w:t>
            </w:r>
          </w:p>
        </w:tc>
      </w:tr>
      <w:tr w:rsidR="009F1355" w:rsidRPr="00967387" w14:paraId="0CD58F45" w14:textId="77777777" w:rsidTr="003655EA">
        <w:trPr>
          <w:trHeight w:hRule="exact" w:val="322"/>
          <w:jc w:val="center"/>
        </w:trPr>
        <w:tc>
          <w:tcPr>
            <w:tcW w:w="1828" w:type="dxa"/>
            <w:vMerge/>
            <w:vAlign w:val="center"/>
          </w:tcPr>
          <w:p w14:paraId="28248075"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825" w:type="dxa"/>
            <w:vMerge/>
            <w:vAlign w:val="center"/>
          </w:tcPr>
          <w:p w14:paraId="1B60C50C"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p>
        </w:tc>
        <w:tc>
          <w:tcPr>
            <w:tcW w:w="1689" w:type="dxa"/>
            <w:vAlign w:val="center"/>
          </w:tcPr>
          <w:p w14:paraId="6A742E34"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2500</w:t>
            </w:r>
          </w:p>
        </w:tc>
        <w:tc>
          <w:tcPr>
            <w:tcW w:w="1689" w:type="dxa"/>
            <w:vAlign w:val="center"/>
          </w:tcPr>
          <w:p w14:paraId="061D80B9"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2"/>
                <w:sz w:val="18"/>
                <w:szCs w:val="18"/>
              </w:rPr>
              <w:t>50000</w:t>
            </w:r>
          </w:p>
        </w:tc>
        <w:tc>
          <w:tcPr>
            <w:tcW w:w="1689" w:type="dxa"/>
            <w:vAlign w:val="center"/>
          </w:tcPr>
          <w:p w14:paraId="34DFE80A" w14:textId="77777777" w:rsidR="009F1355" w:rsidRPr="00967387" w:rsidRDefault="009F1355" w:rsidP="003655EA">
            <w:pPr>
              <w:kinsoku w:val="0"/>
              <w:overflowPunct w:val="0"/>
              <w:autoSpaceDE w:val="0"/>
              <w:autoSpaceDN w:val="0"/>
              <w:adjustRightInd w:val="0"/>
              <w:spacing w:before="37" w:after="0" w:line="240" w:lineRule="auto"/>
              <w:ind w:left="0" w:right="0"/>
              <w:jc w:val="center"/>
              <w:rPr>
                <w:rFonts w:ascii="Times New Roman" w:hAnsi="Times New Roman"/>
                <w:sz w:val="24"/>
                <w:szCs w:val="24"/>
              </w:rPr>
            </w:pPr>
            <w:r w:rsidRPr="00967387">
              <w:rPr>
                <w:rFonts w:cs="Cambria"/>
                <w:b/>
                <w:bCs/>
                <w:spacing w:val="-1"/>
                <w:sz w:val="18"/>
                <w:szCs w:val="18"/>
              </w:rPr>
              <w:t>252</w:t>
            </w:r>
          </w:p>
        </w:tc>
      </w:tr>
      <w:tr w:rsidR="009F1355" w:rsidRPr="00967387" w14:paraId="01A557F0" w14:textId="77777777" w:rsidTr="003655EA">
        <w:trPr>
          <w:trHeight w:hRule="exact" w:val="350"/>
          <w:jc w:val="center"/>
        </w:trPr>
        <w:tc>
          <w:tcPr>
            <w:tcW w:w="1828" w:type="dxa"/>
            <w:vAlign w:val="center"/>
          </w:tcPr>
          <w:p w14:paraId="77E5F00D"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b/>
                <w:bCs/>
                <w:spacing w:val="-1"/>
                <w:sz w:val="18"/>
                <w:szCs w:val="18"/>
              </w:rPr>
              <w:t>Human</w:t>
            </w:r>
          </w:p>
        </w:tc>
        <w:tc>
          <w:tcPr>
            <w:tcW w:w="1825" w:type="dxa"/>
            <w:vAlign w:val="center"/>
          </w:tcPr>
          <w:p w14:paraId="4B372672" w14:textId="77777777" w:rsidR="009F1355" w:rsidRPr="00967387" w:rsidRDefault="009F1355" w:rsidP="003655EA">
            <w:pPr>
              <w:kinsoku w:val="0"/>
              <w:overflowPunct w:val="0"/>
              <w:autoSpaceDE w:val="0"/>
              <w:autoSpaceDN w:val="0"/>
              <w:adjustRightInd w:val="0"/>
              <w:spacing w:before="34" w:after="0" w:line="240" w:lineRule="auto"/>
              <w:ind w:left="0" w:right="0"/>
              <w:jc w:val="center"/>
              <w:rPr>
                <w:rFonts w:ascii="Times New Roman" w:hAnsi="Times New Roman"/>
                <w:sz w:val="24"/>
                <w:szCs w:val="24"/>
              </w:rPr>
            </w:pPr>
            <w:r w:rsidRPr="00967387">
              <w:rPr>
                <w:rFonts w:cs="Cambria"/>
                <w:spacing w:val="-2"/>
                <w:sz w:val="18"/>
                <w:szCs w:val="18"/>
              </w:rPr>
              <w:t>steady</w:t>
            </w:r>
            <w:r w:rsidRPr="00967387">
              <w:rPr>
                <w:rFonts w:cs="Cambria"/>
                <w:spacing w:val="6"/>
                <w:sz w:val="18"/>
                <w:szCs w:val="18"/>
              </w:rPr>
              <w:t xml:space="preserve"> </w:t>
            </w:r>
            <w:r w:rsidRPr="00967387">
              <w:rPr>
                <w:rFonts w:cs="Cambria"/>
                <w:spacing w:val="-2"/>
                <w:sz w:val="18"/>
                <w:szCs w:val="18"/>
              </w:rPr>
              <w:t>state</w:t>
            </w:r>
          </w:p>
        </w:tc>
        <w:tc>
          <w:tcPr>
            <w:tcW w:w="1689" w:type="dxa"/>
            <w:vAlign w:val="center"/>
          </w:tcPr>
          <w:p w14:paraId="1DCAC9D8"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z w:val="18"/>
                <w:szCs w:val="18"/>
              </w:rPr>
              <w:t>6</w:t>
            </w:r>
          </w:p>
        </w:tc>
        <w:tc>
          <w:tcPr>
            <w:tcW w:w="1689" w:type="dxa"/>
            <w:vAlign w:val="center"/>
          </w:tcPr>
          <w:p w14:paraId="07AE2290" w14:textId="77777777" w:rsidR="009F1355" w:rsidRPr="00967387" w:rsidRDefault="009F1355" w:rsidP="003655EA">
            <w:pPr>
              <w:kinsoku w:val="0"/>
              <w:overflowPunct w:val="0"/>
              <w:autoSpaceDE w:val="0"/>
              <w:autoSpaceDN w:val="0"/>
              <w:adjustRightInd w:val="0"/>
              <w:spacing w:before="29" w:after="0" w:line="240" w:lineRule="auto"/>
              <w:ind w:left="0" w:right="0"/>
              <w:jc w:val="center"/>
              <w:rPr>
                <w:rFonts w:ascii="Times New Roman" w:hAnsi="Times New Roman"/>
                <w:sz w:val="24"/>
                <w:szCs w:val="24"/>
              </w:rPr>
            </w:pPr>
            <w:r w:rsidRPr="00967387">
              <w:rPr>
                <w:rFonts w:cs="Cambria"/>
                <w:spacing w:val="-1"/>
                <w:sz w:val="18"/>
                <w:szCs w:val="18"/>
              </w:rPr>
              <w:t>198</w:t>
            </w:r>
          </w:p>
        </w:tc>
        <w:tc>
          <w:tcPr>
            <w:tcW w:w="1689" w:type="dxa"/>
            <w:vAlign w:val="center"/>
          </w:tcPr>
          <w:p w14:paraId="3E709F8A" w14:textId="77777777" w:rsidR="009F1355" w:rsidRPr="00967387" w:rsidRDefault="009F1355" w:rsidP="003655EA">
            <w:pPr>
              <w:kinsoku w:val="0"/>
              <w:overflowPunct w:val="0"/>
              <w:autoSpaceDE w:val="0"/>
              <w:autoSpaceDN w:val="0"/>
              <w:adjustRightInd w:val="0"/>
              <w:spacing w:before="44" w:after="0" w:line="240" w:lineRule="auto"/>
              <w:ind w:left="0" w:right="0"/>
              <w:jc w:val="center"/>
              <w:rPr>
                <w:rFonts w:ascii="Times New Roman" w:hAnsi="Times New Roman"/>
                <w:sz w:val="24"/>
                <w:szCs w:val="24"/>
              </w:rPr>
            </w:pPr>
            <w:r w:rsidRPr="00967387">
              <w:rPr>
                <w:rFonts w:cs="Cambria"/>
                <w:sz w:val="18"/>
                <w:szCs w:val="18"/>
              </w:rPr>
              <w:t>–</w:t>
            </w:r>
          </w:p>
        </w:tc>
      </w:tr>
    </w:tbl>
    <w:p w14:paraId="3F2B4DC2" w14:textId="77777777" w:rsidR="003655EA" w:rsidRPr="003655EA" w:rsidRDefault="003655EA" w:rsidP="003655EA">
      <w:pPr>
        <w:pStyle w:val="TableDescription"/>
      </w:pPr>
      <w:r w:rsidRPr="003655EA">
        <w:t># = estimated based on body surface area assuming conversion factor of 6 for rat,15 for rabbit and 20 for dog</w:t>
      </w:r>
      <w:r w:rsidR="004A2386">
        <w:t xml:space="preserve"> </w:t>
      </w:r>
      <w:r w:rsidRPr="003655EA">
        <w:t>and 50 kg individual.</w:t>
      </w:r>
    </w:p>
    <w:p w14:paraId="7B52CE76" w14:textId="77777777" w:rsidR="003655EA" w:rsidRPr="003655EA" w:rsidRDefault="00790DE0" w:rsidP="003655EA">
      <w:pPr>
        <w:pStyle w:val="Heading5"/>
      </w:pPr>
      <w:r>
        <w:t>Pregnancy classification</w:t>
      </w:r>
    </w:p>
    <w:p w14:paraId="32C77902" w14:textId="77777777" w:rsidR="00790DE0" w:rsidRDefault="003655EA" w:rsidP="003655EA">
      <w:r w:rsidRPr="003655EA">
        <w:t>Antigen preparations for desensitisation are usually exempted from pregnancy classification</w:t>
      </w:r>
      <w:r w:rsidRPr="00790DE0">
        <w:rPr>
          <w:vertAlign w:val="superscript"/>
        </w:rPr>
        <w:footnoteReference w:id="27"/>
      </w:r>
      <w:r w:rsidR="00790DE0">
        <w:t>. However, based on non</w:t>
      </w:r>
      <w:r w:rsidRPr="003655EA">
        <w:t>clinical data from the embryofetal development studies, the proposed B2</w:t>
      </w:r>
      <w:r>
        <w:t xml:space="preserve"> classification</w:t>
      </w:r>
      <w:r w:rsidR="003B55CD">
        <w:rPr>
          <w:rStyle w:val="FootnoteReference"/>
        </w:rPr>
        <w:footnoteReference w:id="28"/>
      </w:r>
      <w:r>
        <w:t xml:space="preserve"> is acceptable</w:t>
      </w:r>
      <w:r w:rsidR="00790DE0">
        <w:t>.</w:t>
      </w:r>
    </w:p>
    <w:p w14:paraId="297A0A2F" w14:textId="77777777" w:rsidR="003655EA" w:rsidRPr="003655EA" w:rsidRDefault="00790DE0" w:rsidP="003655EA">
      <w:pPr>
        <w:pStyle w:val="Heading4"/>
      </w:pPr>
      <w:r>
        <w:t>Local tolerance</w:t>
      </w:r>
    </w:p>
    <w:p w14:paraId="49E5795A" w14:textId="77777777" w:rsidR="00790DE0" w:rsidRDefault="003655EA" w:rsidP="003655EA">
      <w:r w:rsidRPr="003655EA">
        <w:t>One local tolerance study investigated effect of sublingual administration using the ha</w:t>
      </w:r>
      <w:r w:rsidR="00790DE0">
        <w:t xml:space="preserve">mster cheek pouch model. The 28 </w:t>
      </w:r>
      <w:r w:rsidRPr="003655EA">
        <w:t xml:space="preserve">day study, which used doses up to 500 </w:t>
      </w:r>
      <w:proofErr w:type="gramStart"/>
      <w:r w:rsidRPr="003655EA">
        <w:t>IR/day</w:t>
      </w:r>
      <w:proofErr w:type="gramEnd"/>
      <w:r w:rsidRPr="003655EA">
        <w:t xml:space="preserve"> showed no </w:t>
      </w:r>
      <w:r w:rsidR="00790DE0">
        <w:t>treatment related</w:t>
      </w:r>
      <w:r w:rsidRPr="003655EA">
        <w:t xml:space="preserve"> adverse histopathological or irritation observations. While weight loss was noted in all female treatment groups and acanthosis or hyperkeratosis was observed in cheek pouches of both sexes, no dose relationship was observed, and was thus considered not </w:t>
      </w:r>
      <w:r w:rsidR="00716D4E">
        <w:t>Actair</w:t>
      </w:r>
      <w:r w:rsidR="00790DE0">
        <w:t xml:space="preserve"> </w:t>
      </w:r>
      <w:r>
        <w:t>related</w:t>
      </w:r>
      <w:r w:rsidR="00790DE0">
        <w:t>.</w:t>
      </w:r>
    </w:p>
    <w:p w14:paraId="036D4817" w14:textId="77777777" w:rsidR="003655EA" w:rsidRPr="003655EA" w:rsidRDefault="003B55CD" w:rsidP="003655EA">
      <w:pPr>
        <w:pStyle w:val="Heading4"/>
      </w:pPr>
      <w:r>
        <w:t>Paediatric use</w:t>
      </w:r>
    </w:p>
    <w:p w14:paraId="12735E65" w14:textId="77777777" w:rsidR="003655EA" w:rsidRPr="003655EA" w:rsidRDefault="00716D4E" w:rsidP="003655EA">
      <w:r>
        <w:t>Actair</w:t>
      </w:r>
      <w:r w:rsidR="003655EA" w:rsidRPr="003655EA">
        <w:t xml:space="preserve"> was well tolerated in juvenile development studies in rats and dogs up to 76 and 252 times the clinical dose, respectively (see </w:t>
      </w:r>
      <w:r w:rsidR="003138F8">
        <w:t>Table 3</w:t>
      </w:r>
      <w:r w:rsidR="003655EA" w:rsidRPr="003655EA">
        <w:t xml:space="preserve">). The animals were administered </w:t>
      </w:r>
      <w:proofErr w:type="spellStart"/>
      <w:r w:rsidR="003655EA" w:rsidRPr="003655EA">
        <w:t>D.Pte</w:t>
      </w:r>
      <w:proofErr w:type="spellEnd"/>
      <w:r w:rsidR="003655EA" w:rsidRPr="003655EA">
        <w:t xml:space="preserve"> and </w:t>
      </w:r>
      <w:proofErr w:type="spellStart"/>
      <w:r w:rsidR="003655EA" w:rsidRPr="003655EA">
        <w:t>D.far</w:t>
      </w:r>
      <w:proofErr w:type="spellEnd"/>
      <w:r w:rsidR="003655EA" w:rsidRPr="003655EA">
        <w:t xml:space="preserve"> allergen extrac</w:t>
      </w:r>
      <w:r w:rsidR="003B55CD">
        <w:t xml:space="preserve">ts orally from postnatal Day 10 to 80 in rats and 1 to </w:t>
      </w:r>
      <w:r w:rsidR="003655EA" w:rsidRPr="003655EA">
        <w:t>28 in dogs. Given the relative similarities in early immune system development in rodents, canines and humans</w:t>
      </w:r>
      <w:r w:rsidR="003655EA" w:rsidRPr="003B55CD">
        <w:rPr>
          <w:vertAlign w:val="superscript"/>
        </w:rPr>
        <w:footnoteReference w:id="29"/>
      </w:r>
      <w:r w:rsidR="003655EA" w:rsidRPr="003655EA">
        <w:t xml:space="preserve">, no significant safety concerns are anticipated with paediatric administration of </w:t>
      </w:r>
      <w:r>
        <w:t>Actair</w:t>
      </w:r>
      <w:r w:rsidR="003655EA" w:rsidRPr="003655EA">
        <w:t xml:space="preserve"> (for ages </w:t>
      </w:r>
      <w:r w:rsidR="003E4F85">
        <w:t xml:space="preserve">≥ </w:t>
      </w:r>
      <w:r w:rsidR="003655EA" w:rsidRPr="003655EA">
        <w:t>5 years).</w:t>
      </w:r>
    </w:p>
    <w:p w14:paraId="6EF8F978" w14:textId="77777777" w:rsidR="008E7846" w:rsidRDefault="008E7846" w:rsidP="008E7846">
      <w:pPr>
        <w:pStyle w:val="Heading3"/>
      </w:pPr>
      <w:bookmarkStart w:id="65" w:name="_Toc247691515"/>
      <w:bookmarkStart w:id="66" w:name="_Toc314842499"/>
      <w:bookmarkStart w:id="67" w:name="_Toc482791295"/>
      <w:r>
        <w:lastRenderedPageBreak/>
        <w:t>Nonclinical summary and conclusions</w:t>
      </w:r>
      <w:bookmarkEnd w:id="65"/>
      <w:bookmarkEnd w:id="66"/>
      <w:bookmarkEnd w:id="67"/>
    </w:p>
    <w:p w14:paraId="608753F2" w14:textId="77777777" w:rsidR="00113FF8" w:rsidRPr="00113FF8" w:rsidRDefault="00113FF8" w:rsidP="00113FF8">
      <w:pPr>
        <w:pStyle w:val="Heading4"/>
      </w:pPr>
      <w:r>
        <w:t>Summary</w:t>
      </w:r>
    </w:p>
    <w:p w14:paraId="42AC65B9" w14:textId="77777777" w:rsidR="00790DE0" w:rsidRDefault="00221ADC" w:rsidP="00113FF8">
      <w:pPr>
        <w:pStyle w:val="ListBullet"/>
      </w:pPr>
      <w:r w:rsidRPr="00221ADC">
        <w:t>A</w:t>
      </w:r>
      <w:r w:rsidRPr="00501507">
        <w:t xml:space="preserve"> </w:t>
      </w:r>
      <w:r w:rsidRPr="00221ADC">
        <w:t xml:space="preserve">single study using the mouse model of dust mite-asthma was used to demonstrate clinical efficacy for </w:t>
      </w:r>
      <w:r w:rsidR="00716D4E">
        <w:t>Actair</w:t>
      </w:r>
      <w:r w:rsidRPr="00221ADC">
        <w:t xml:space="preserve"> (PO) consistent with currently understood SLIT-mediated</w:t>
      </w:r>
      <w:r w:rsidR="00113FF8">
        <w:t xml:space="preserve"> immune response to allergens</w:t>
      </w:r>
      <w:r w:rsidR="00790DE0">
        <w:t>.</w:t>
      </w:r>
    </w:p>
    <w:p w14:paraId="6AC738E1" w14:textId="77777777" w:rsidR="00221ADC" w:rsidRPr="00221ADC" w:rsidRDefault="00221ADC" w:rsidP="00113FF8">
      <w:pPr>
        <w:pStyle w:val="ListBullet"/>
      </w:pPr>
      <w:r w:rsidRPr="00221ADC">
        <w:t>No specific secondary pharmacodynamic, safety pharmacology or pharmaco</w:t>
      </w:r>
      <w:r>
        <w:t>kinetic studies were submitted.</w:t>
      </w:r>
    </w:p>
    <w:p w14:paraId="77DE054C" w14:textId="77777777" w:rsidR="00790DE0" w:rsidRDefault="00221ADC" w:rsidP="00113FF8">
      <w:pPr>
        <w:pStyle w:val="ListBullet"/>
      </w:pPr>
      <w:r w:rsidRPr="00221ADC">
        <w:t>No acute toxicity studies were submitted</w:t>
      </w:r>
      <w:r w:rsidR="00790DE0">
        <w:t>.</w:t>
      </w:r>
    </w:p>
    <w:p w14:paraId="1B7E34AA" w14:textId="77777777" w:rsidR="00790DE0" w:rsidRDefault="00221ADC" w:rsidP="00113FF8">
      <w:pPr>
        <w:pStyle w:val="ListBullet"/>
      </w:pPr>
      <w:r w:rsidRPr="00221ADC">
        <w:t xml:space="preserve">In three repeat dose toxicity studies in rats (up to 26 weeks), no </w:t>
      </w:r>
      <w:r w:rsidR="00716D4E">
        <w:t>Actair</w:t>
      </w:r>
      <w:r w:rsidRPr="00221ADC">
        <w:t>-related systemic toxiciti</w:t>
      </w:r>
      <w:r w:rsidR="00753206">
        <w:t xml:space="preserve">es were noted in doses up to 76 </w:t>
      </w:r>
      <w:r w:rsidRPr="00221ADC">
        <w:t xml:space="preserve">times the clinical exposure with </w:t>
      </w:r>
      <w:r w:rsidR="00753206">
        <w:t>oral</w:t>
      </w:r>
      <w:r w:rsidRPr="00221ADC">
        <w:t xml:space="preserve"> administration</w:t>
      </w:r>
      <w:r w:rsidR="00790DE0">
        <w:t>.</w:t>
      </w:r>
    </w:p>
    <w:p w14:paraId="53B72191" w14:textId="77777777" w:rsidR="00790DE0" w:rsidRDefault="00221ADC" w:rsidP="00113FF8">
      <w:pPr>
        <w:pStyle w:val="ListBullet"/>
      </w:pPr>
      <w:r w:rsidRPr="00221ADC">
        <w:t xml:space="preserve">No </w:t>
      </w:r>
      <w:r w:rsidR="00716D4E">
        <w:t>Actair</w:t>
      </w:r>
      <w:r w:rsidR="00753206">
        <w:t xml:space="preserve"> </w:t>
      </w:r>
      <w:r w:rsidRPr="00221ADC">
        <w:t>related genotoxic effects were noted in a panel of in vitro studies with potential exposures significantly greater than that of the proposed clinical dose. It was however noted that proteins, peptides, free amino acids and materials containing or capable of releasing amino acids contained within the extract were interfering with the assays and potentially giving rise to false positive readings (particularly in the bacterial reverse mutation study)</w:t>
      </w:r>
      <w:r w:rsidR="00790DE0">
        <w:t>.</w:t>
      </w:r>
    </w:p>
    <w:p w14:paraId="338FA047" w14:textId="77777777" w:rsidR="00790DE0" w:rsidRDefault="00221ADC" w:rsidP="00113FF8">
      <w:pPr>
        <w:pStyle w:val="ListBullet"/>
      </w:pPr>
      <w:r w:rsidRPr="00221ADC">
        <w:t>No carcinogenicity studies were submitted, although warranted</w:t>
      </w:r>
      <w:r w:rsidR="00790DE0">
        <w:t>.</w:t>
      </w:r>
    </w:p>
    <w:p w14:paraId="28048D26" w14:textId="77777777" w:rsidR="00790DE0" w:rsidRDefault="00221ADC" w:rsidP="00113FF8">
      <w:pPr>
        <w:pStyle w:val="ListBullet"/>
      </w:pPr>
      <w:r w:rsidRPr="00221ADC">
        <w:t xml:space="preserve">No </w:t>
      </w:r>
      <w:r w:rsidR="00716D4E">
        <w:t>Actair</w:t>
      </w:r>
      <w:r w:rsidRPr="00221ADC">
        <w:t>-related toxicities were observed in embryofetal and juvenile development studies in rats, rabbits</w:t>
      </w:r>
      <w:r w:rsidR="00753206">
        <w:t xml:space="preserve"> and dogs at exposures up to 76, 189</w:t>
      </w:r>
      <w:r w:rsidRPr="00221ADC">
        <w:t xml:space="preserve"> and 252 times greater than the clinical exposure, respectively</w:t>
      </w:r>
      <w:r w:rsidR="00790DE0">
        <w:t>.</w:t>
      </w:r>
    </w:p>
    <w:p w14:paraId="51A7BDF9" w14:textId="77777777" w:rsidR="00790DE0" w:rsidRDefault="00753206" w:rsidP="00113FF8">
      <w:pPr>
        <w:pStyle w:val="ListBullet"/>
      </w:pPr>
      <w:r>
        <w:t xml:space="preserve">In a 28 </w:t>
      </w:r>
      <w:r w:rsidR="00221ADC" w:rsidRPr="00221ADC">
        <w:t>day local toxicity study in hamsters, no local irritation was noted for doses up 500 IR/day when administered to the hamster cheek pouch</w:t>
      </w:r>
      <w:r w:rsidR="00790DE0">
        <w:t>.</w:t>
      </w:r>
    </w:p>
    <w:p w14:paraId="2B2FEB20" w14:textId="77777777" w:rsidR="00113FF8" w:rsidRPr="00113FF8" w:rsidRDefault="00113FF8" w:rsidP="00113FF8">
      <w:pPr>
        <w:pStyle w:val="Heading4"/>
      </w:pPr>
      <w:r>
        <w:t>Conclusions and recommendation</w:t>
      </w:r>
    </w:p>
    <w:p w14:paraId="685BF327" w14:textId="77777777" w:rsidR="00113FF8" w:rsidRPr="00113FF8" w:rsidRDefault="00113FF8" w:rsidP="00113FF8">
      <w:r w:rsidRPr="00113FF8">
        <w:t>A number of limitations were id</w:t>
      </w:r>
      <w:r w:rsidR="00753206">
        <w:t>entified during the assessment:</w:t>
      </w:r>
    </w:p>
    <w:p w14:paraId="2A8C18C7" w14:textId="77777777" w:rsidR="00790DE0" w:rsidRDefault="00113FF8" w:rsidP="00113FF8">
      <w:pPr>
        <w:pStyle w:val="ListBullet"/>
      </w:pPr>
      <w:r w:rsidRPr="00113FF8">
        <w:t>In most studies, including pivotal repeat dose toxicity studies and reproductive toxicity studies, gavage was utilised as route of administration. It is however a limited approximation of the proposed sublingual route of clinical administration</w:t>
      </w:r>
      <w:r w:rsidR="00790DE0">
        <w:t>.</w:t>
      </w:r>
    </w:p>
    <w:p w14:paraId="5B9F5C90" w14:textId="77777777" w:rsidR="00790DE0" w:rsidRDefault="00113FF8" w:rsidP="00113FF8">
      <w:pPr>
        <w:pStyle w:val="ListBullet"/>
      </w:pPr>
      <w:r w:rsidRPr="00113FF8">
        <w:t>Repeat dose toxicity studies were only conducted in one rodent species, which potentially compromised the legitimacy of the safety data</w:t>
      </w:r>
      <w:r w:rsidR="00790DE0">
        <w:t>.</w:t>
      </w:r>
    </w:p>
    <w:p w14:paraId="0BAEEB17" w14:textId="77777777" w:rsidR="00790DE0" w:rsidRDefault="00113FF8" w:rsidP="00113FF8">
      <w:pPr>
        <w:pStyle w:val="ListBullet"/>
      </w:pPr>
      <w:r w:rsidRPr="00113FF8">
        <w:t xml:space="preserve">No carcinogenicity studies were conducted using </w:t>
      </w:r>
      <w:r w:rsidR="00716D4E">
        <w:t>Actair</w:t>
      </w:r>
      <w:r w:rsidRPr="00113FF8">
        <w:t>, although warranted</w:t>
      </w:r>
      <w:r w:rsidR="00790DE0">
        <w:t>.</w:t>
      </w:r>
    </w:p>
    <w:p w14:paraId="507D7E9D" w14:textId="77777777" w:rsidR="00790DE0" w:rsidRDefault="00113FF8" w:rsidP="00113FF8">
      <w:pPr>
        <w:pStyle w:val="ListBullet"/>
      </w:pPr>
      <w:r w:rsidRPr="00113FF8">
        <w:t xml:space="preserve">No dedicated fertility and pre/postnatal development studies were performed using </w:t>
      </w:r>
      <w:r w:rsidR="00716D4E">
        <w:t>Actair</w:t>
      </w:r>
      <w:r w:rsidR="00790DE0">
        <w:t>.</w:t>
      </w:r>
    </w:p>
    <w:p w14:paraId="796F1BC8" w14:textId="77777777" w:rsidR="00790DE0" w:rsidRDefault="00113FF8" w:rsidP="00113FF8">
      <w:r w:rsidRPr="00113FF8">
        <w:t>While some stu</w:t>
      </w:r>
      <w:r>
        <w:t>dies necessary for a robust non</w:t>
      </w:r>
      <w:r w:rsidRPr="00113FF8">
        <w:t xml:space="preserve">clinical evaluation were lacking, given the historical clinical experience with the dust mite allergen extracts utilised in this study, there are no nonclinical objections to the registration of </w:t>
      </w:r>
      <w:r w:rsidR="00716D4E">
        <w:t>Actair</w:t>
      </w:r>
      <w:r w:rsidR="00790DE0">
        <w:t>.</w:t>
      </w:r>
    </w:p>
    <w:p w14:paraId="3689C430" w14:textId="77777777" w:rsidR="00221ADC" w:rsidRPr="00221ADC" w:rsidRDefault="00113FF8" w:rsidP="00221ADC">
      <w:r w:rsidRPr="00113FF8">
        <w:t xml:space="preserve">The </w:t>
      </w:r>
      <w:r>
        <w:t>nonclinical evaluator also made recommendations relating to the</w:t>
      </w:r>
      <w:r w:rsidR="003655EA">
        <w:t xml:space="preserve"> risk management plan (RMP) and</w:t>
      </w:r>
      <w:r>
        <w:t xml:space="preserve"> PI but these are beyond the scope of the AusPAR.</w:t>
      </w:r>
    </w:p>
    <w:p w14:paraId="5E383B14" w14:textId="77777777" w:rsidR="008E7846" w:rsidRPr="00254787" w:rsidRDefault="008E7846" w:rsidP="008E7846">
      <w:pPr>
        <w:pStyle w:val="Heading2"/>
      </w:pPr>
      <w:bookmarkStart w:id="68" w:name="_Toc196046462"/>
      <w:bookmarkStart w:id="69" w:name="_Toc247691516"/>
      <w:bookmarkStart w:id="70" w:name="_Toc314842500"/>
      <w:bookmarkStart w:id="71" w:name="_Toc482791296"/>
      <w:bookmarkStart w:id="72" w:name="_Toc163441353"/>
      <w:bookmarkStart w:id="73" w:name="_Toc163441348"/>
      <w:r>
        <w:lastRenderedPageBreak/>
        <w:t xml:space="preserve">IV. </w:t>
      </w:r>
      <w:r w:rsidRPr="00254787">
        <w:t>Clinical</w:t>
      </w:r>
      <w:bookmarkEnd w:id="68"/>
      <w:r>
        <w:t xml:space="preserve"> </w:t>
      </w:r>
      <w:r w:rsidR="003A7F6C">
        <w:t>f</w:t>
      </w:r>
      <w:r>
        <w:t>indings</w:t>
      </w:r>
      <w:bookmarkEnd w:id="69"/>
      <w:bookmarkEnd w:id="70"/>
      <w:bookmarkEnd w:id="71"/>
    </w:p>
    <w:p w14:paraId="2E3F5FB5" w14:textId="77777777" w:rsidR="00C80137" w:rsidRDefault="00C80137" w:rsidP="00990864">
      <w:pPr>
        <w:keepNext/>
      </w:pPr>
      <w:bookmarkStart w:id="7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0477CBE" w14:textId="77777777" w:rsidR="008E7846" w:rsidRDefault="008E7846" w:rsidP="008E7846">
      <w:pPr>
        <w:pStyle w:val="Heading3"/>
      </w:pPr>
      <w:bookmarkStart w:id="75" w:name="_Toc247691517"/>
      <w:bookmarkStart w:id="76" w:name="_Toc314842501"/>
      <w:bookmarkStart w:id="77" w:name="_Toc482791297"/>
      <w:r w:rsidRPr="00254787">
        <w:t>Introduction</w:t>
      </w:r>
      <w:bookmarkEnd w:id="74"/>
      <w:bookmarkEnd w:id="75"/>
      <w:bookmarkEnd w:id="76"/>
      <w:bookmarkEnd w:id="77"/>
    </w:p>
    <w:p w14:paraId="618964A1" w14:textId="77777777" w:rsidR="00605AD4" w:rsidRDefault="00605AD4" w:rsidP="00605AD4">
      <w:pPr>
        <w:pStyle w:val="Heading4"/>
      </w:pPr>
      <w:bookmarkStart w:id="78" w:name="_Toc196046464"/>
      <w:bookmarkStart w:id="79" w:name="_Toc247691518"/>
      <w:bookmarkStart w:id="80" w:name="_Toc314842502"/>
      <w:r w:rsidRPr="00605AD4">
        <w:t xml:space="preserve">Clinical </w:t>
      </w:r>
      <w:r w:rsidR="00EF59DC">
        <w:t>r</w:t>
      </w:r>
      <w:r w:rsidRPr="00605AD4">
        <w:t>ationale</w:t>
      </w:r>
    </w:p>
    <w:p w14:paraId="6EE66BFF" w14:textId="09B7E606" w:rsidR="00A11BA1" w:rsidRPr="004F2F9F" w:rsidRDefault="00A11BA1" w:rsidP="00A11BA1">
      <w:r w:rsidRPr="004F2F9F">
        <w:t xml:space="preserve">Allergic rhinitis (AR) is a chronic disorder of the upper airways that is caused by allergen exposure and the resulting </w:t>
      </w:r>
      <w:proofErr w:type="spellStart"/>
      <w:r w:rsidRPr="004F2F9F">
        <w:t>IgE</w:t>
      </w:r>
      <w:proofErr w:type="spellEnd"/>
      <w:r w:rsidRPr="004F2F9F">
        <w:t xml:space="preserve"> mediated inflammation of the nose and to a less extent, the eyes (allergic rhinoconjunctivitis). Symptoms include sneezing, runny nose, nasal itching and nasal congestion. Untreated or inadequately treated AR can cause sleep disturbance, daytime fatigue and somnolence as well as depressed mood, irritability, and behavioural problems. Patients affected by AR are also at increased risk for the development of asthma. AR is a worldwide disease affecting over 500 million people including approximately 3.1 million </w:t>
      </w:r>
      <w:proofErr w:type="gramStart"/>
      <w:r w:rsidRPr="004F2F9F">
        <w:t>Australians</w:t>
      </w:r>
      <w:r w:rsidR="00753206">
        <w:t>.</w:t>
      </w:r>
      <w:r w:rsidR="00753206">
        <w:rPr>
          <w:rStyle w:val="FootnoteReference"/>
        </w:rPr>
        <w:footnoteReference w:id="30"/>
      </w:r>
      <w:r w:rsidR="00753206">
        <w:t>,</w:t>
      </w:r>
      <w:proofErr w:type="gramEnd"/>
      <w:r w:rsidR="00753206">
        <w:rPr>
          <w:rStyle w:val="FootnoteReference"/>
        </w:rPr>
        <w:footnoteReference w:id="31"/>
      </w:r>
    </w:p>
    <w:p w14:paraId="18CA0AFA" w14:textId="77777777" w:rsidR="00A11BA1" w:rsidRPr="004F2F9F" w:rsidRDefault="00A11BA1" w:rsidP="00A11BA1">
      <w:r w:rsidRPr="004F2F9F">
        <w:t>Current treatment options for AR are allergen avoidance, symptomatic pharmacotherapy, and allergen specific immunotherapy. However, mite avoidance measures are not generally effective. Symptomatic treatment options include antihistamines, intranasal corticosteroids, and leukotriene modifiers. These provide temporary relief from allergy symptoms but are not effective in all patients and are not disease modifying. In addition, pharmacotherapy may be associated with significant side effects such as sedative and anticholinergic effects for antihistamines, dryness and epistaxis for intranasal corticosteroids and neuropsychiatric reactions for leukotriene modifiers.</w:t>
      </w:r>
    </w:p>
    <w:p w14:paraId="1A13DDAF" w14:textId="72A81917" w:rsidR="00753206" w:rsidRDefault="00A11BA1" w:rsidP="00A11BA1">
      <w:r w:rsidRPr="004F2F9F">
        <w:t>Allergen specific immunotherapy (AIT) is a therapeutic option for patients whose symptoms are not adequately controlled by avoidance measures or medications, those experiencing unacceptable adverse effects of medications, or those who wish to reduce the long term use of medications. The primary therapeutic goals of AIT include reducing symptoms, reducing medication use, and improving allergy related quality of life. The evidence is strong that AIT achieves these goals and can be disease modifying, with benefits persisting in many patients for several years after treatment discontinuation</w:t>
      </w:r>
      <w:r w:rsidR="00753206">
        <w:t>.</w:t>
      </w:r>
      <w:r w:rsidR="00595C0D" w:rsidRPr="001A3124">
        <w:rPr>
          <w:vertAlign w:val="superscript"/>
        </w:rPr>
        <w:fldChar w:fldCharType="begin"/>
      </w:r>
      <w:r w:rsidR="00595C0D" w:rsidRPr="001A3124">
        <w:rPr>
          <w:vertAlign w:val="superscript"/>
        </w:rPr>
        <w:instrText xml:space="preserve"> NOTEREF _Ref482100262 \h </w:instrText>
      </w:r>
      <w:r w:rsidR="00595C0D">
        <w:rPr>
          <w:vertAlign w:val="superscript"/>
        </w:rPr>
        <w:instrText xml:space="preserve"> \* MERGEFORMAT </w:instrText>
      </w:r>
      <w:r w:rsidR="00595C0D" w:rsidRPr="001A3124">
        <w:rPr>
          <w:vertAlign w:val="superscript"/>
        </w:rPr>
      </w:r>
      <w:r w:rsidR="00595C0D" w:rsidRPr="001A3124">
        <w:rPr>
          <w:vertAlign w:val="superscript"/>
        </w:rPr>
        <w:fldChar w:fldCharType="separate"/>
      </w:r>
      <w:r w:rsidR="00595C0D" w:rsidRPr="001A3124">
        <w:rPr>
          <w:vertAlign w:val="superscript"/>
        </w:rPr>
        <w:t>1</w:t>
      </w:r>
      <w:r w:rsidR="00595C0D" w:rsidRPr="001A3124">
        <w:rPr>
          <w:vertAlign w:val="superscript"/>
        </w:rPr>
        <w:fldChar w:fldCharType="end"/>
      </w:r>
      <w:r w:rsidR="00595C0D">
        <w:rPr>
          <w:vertAlign w:val="superscript"/>
        </w:rPr>
        <w:t xml:space="preserve">, </w:t>
      </w:r>
      <w:r w:rsidR="00753206" w:rsidRPr="00753206">
        <w:rPr>
          <w:vertAlign w:val="superscript"/>
        </w:rPr>
        <w:fldChar w:fldCharType="begin"/>
      </w:r>
      <w:r w:rsidR="00753206" w:rsidRPr="00753206">
        <w:rPr>
          <w:vertAlign w:val="superscript"/>
        </w:rPr>
        <w:instrText xml:space="preserve"> NOTEREF _Ref482100244 \h </w:instrText>
      </w:r>
      <w:r w:rsidR="00753206">
        <w:rPr>
          <w:vertAlign w:val="superscript"/>
        </w:rPr>
        <w:instrText xml:space="preserve"> \* MERGEFORMAT </w:instrText>
      </w:r>
      <w:r w:rsidR="00753206" w:rsidRPr="00753206">
        <w:rPr>
          <w:vertAlign w:val="superscript"/>
        </w:rPr>
      </w:r>
      <w:r w:rsidR="00753206" w:rsidRPr="00753206">
        <w:rPr>
          <w:vertAlign w:val="superscript"/>
        </w:rPr>
        <w:fldChar w:fldCharType="separate"/>
      </w:r>
      <w:r w:rsidR="00753206" w:rsidRPr="00753206">
        <w:rPr>
          <w:vertAlign w:val="superscript"/>
        </w:rPr>
        <w:t>24</w:t>
      </w:r>
      <w:r w:rsidR="00753206" w:rsidRPr="00753206">
        <w:rPr>
          <w:vertAlign w:val="superscript"/>
        </w:rPr>
        <w:fldChar w:fldCharType="end"/>
      </w:r>
      <w:r w:rsidR="00753206" w:rsidRPr="00753206">
        <w:rPr>
          <w:vertAlign w:val="superscript"/>
        </w:rPr>
        <w:t>,</w:t>
      </w:r>
    </w:p>
    <w:p w14:paraId="072C3348" w14:textId="77777777" w:rsidR="00A11BA1" w:rsidRPr="004F2F9F" w:rsidRDefault="00A11BA1" w:rsidP="00A11BA1">
      <w:r w:rsidRPr="004F2F9F">
        <w:t>The clinical efficacy</w:t>
      </w:r>
      <w:r w:rsidR="002A0FA3">
        <w:t xml:space="preserve"> of SCIT</w:t>
      </w:r>
      <w:r w:rsidRPr="004F2F9F">
        <w:t xml:space="preserve"> is well established for rhinitis</w:t>
      </w:r>
      <w:r w:rsidR="00753206">
        <w:t>.</w:t>
      </w:r>
      <w:r w:rsidR="00753206" w:rsidRPr="00753206">
        <w:rPr>
          <w:vertAlign w:val="superscript"/>
        </w:rPr>
        <w:fldChar w:fldCharType="begin"/>
      </w:r>
      <w:r w:rsidR="00753206" w:rsidRPr="00753206">
        <w:rPr>
          <w:vertAlign w:val="superscript"/>
        </w:rPr>
        <w:instrText xml:space="preserve"> NOTEREF _Ref482100262 \h </w:instrText>
      </w:r>
      <w:r w:rsidR="00753206">
        <w:rPr>
          <w:vertAlign w:val="superscript"/>
        </w:rPr>
        <w:instrText xml:space="preserve"> \* MERGEFORMAT </w:instrText>
      </w:r>
      <w:r w:rsidR="00753206" w:rsidRPr="00753206">
        <w:rPr>
          <w:vertAlign w:val="superscript"/>
        </w:rPr>
      </w:r>
      <w:r w:rsidR="00753206" w:rsidRPr="00753206">
        <w:rPr>
          <w:vertAlign w:val="superscript"/>
        </w:rPr>
        <w:fldChar w:fldCharType="separate"/>
      </w:r>
      <w:r w:rsidR="00753206" w:rsidRPr="00753206">
        <w:rPr>
          <w:vertAlign w:val="superscript"/>
        </w:rPr>
        <w:t>1</w:t>
      </w:r>
      <w:r w:rsidR="00753206" w:rsidRPr="00753206">
        <w:rPr>
          <w:vertAlign w:val="superscript"/>
        </w:rPr>
        <w:fldChar w:fldCharType="end"/>
      </w:r>
      <w:r w:rsidRPr="004F2F9F">
        <w:t xml:space="preserve"> Patients typically receive injections twice monthly or monthly for 3 to 5 years. However, despite the documented benefits of SCIT, less than 5% of the US population with AR, asthma, or both receive this potentially disease modifying treatment. This limited uptake of SCIT is likely due to the risk of near fatal or fatal anaphylaxis as well as the discomfit and inconvenience of frequent injections.</w:t>
      </w:r>
    </w:p>
    <w:p w14:paraId="45B8072E" w14:textId="77777777" w:rsidR="00A11BA1" w:rsidRPr="00A11BA1" w:rsidRDefault="00A11BA1" w:rsidP="00A11BA1">
      <w:r w:rsidRPr="004F2F9F">
        <w:t>Sublingual immunotherapy (SLIT) is an alternative to SCIT with similar efficacy and a favourable safety profile</w:t>
      </w:r>
      <w:r w:rsidR="00753206">
        <w:t>.</w:t>
      </w:r>
      <w:r w:rsidR="00753206" w:rsidRPr="00753206">
        <w:rPr>
          <w:vertAlign w:val="superscript"/>
        </w:rPr>
        <w:fldChar w:fldCharType="begin"/>
      </w:r>
      <w:r w:rsidR="00753206" w:rsidRPr="00753206">
        <w:rPr>
          <w:vertAlign w:val="superscript"/>
        </w:rPr>
        <w:instrText xml:space="preserve"> NOTEREF _Ref481764917 \h </w:instrText>
      </w:r>
      <w:r w:rsidR="00753206">
        <w:rPr>
          <w:vertAlign w:val="superscript"/>
        </w:rPr>
        <w:instrText xml:space="preserve"> \* MERGEFORMAT </w:instrText>
      </w:r>
      <w:r w:rsidR="00753206" w:rsidRPr="00753206">
        <w:rPr>
          <w:vertAlign w:val="superscript"/>
        </w:rPr>
      </w:r>
      <w:r w:rsidR="00753206" w:rsidRPr="00753206">
        <w:rPr>
          <w:vertAlign w:val="superscript"/>
        </w:rPr>
        <w:fldChar w:fldCharType="separate"/>
      </w:r>
      <w:r w:rsidR="00753206" w:rsidRPr="00753206">
        <w:rPr>
          <w:vertAlign w:val="superscript"/>
        </w:rPr>
        <w:t>2</w:t>
      </w:r>
      <w:r w:rsidR="00753206" w:rsidRPr="00753206">
        <w:rPr>
          <w:vertAlign w:val="superscript"/>
        </w:rPr>
        <w:fldChar w:fldCharType="end"/>
      </w:r>
      <w:r w:rsidRPr="00F70A33">
        <w:t xml:space="preserve"> Patients self-administer a liquid or tablet under the tongue daily for periods ranging from 3 to 5 years. As of 2009, approximately 45% of AIT in Europe was SLIT</w:t>
      </w:r>
      <w:r w:rsidR="00753206">
        <w:t>.</w:t>
      </w:r>
      <w:r w:rsidR="00753206" w:rsidRPr="00753206">
        <w:rPr>
          <w:vertAlign w:val="superscript"/>
        </w:rPr>
        <w:fldChar w:fldCharType="begin"/>
      </w:r>
      <w:r w:rsidR="00753206" w:rsidRPr="00753206">
        <w:rPr>
          <w:vertAlign w:val="superscript"/>
        </w:rPr>
        <w:instrText xml:space="preserve"> NOTEREF _Ref482100390 \h </w:instrText>
      </w:r>
      <w:r w:rsidR="00753206">
        <w:rPr>
          <w:vertAlign w:val="superscript"/>
        </w:rPr>
        <w:instrText xml:space="preserve"> \* MERGEFORMAT </w:instrText>
      </w:r>
      <w:r w:rsidR="00753206" w:rsidRPr="00753206">
        <w:rPr>
          <w:vertAlign w:val="superscript"/>
        </w:rPr>
      </w:r>
      <w:r w:rsidR="00753206" w:rsidRPr="00753206">
        <w:rPr>
          <w:vertAlign w:val="superscript"/>
        </w:rPr>
        <w:fldChar w:fldCharType="separate"/>
      </w:r>
      <w:r w:rsidR="00753206" w:rsidRPr="00753206">
        <w:rPr>
          <w:vertAlign w:val="superscript"/>
        </w:rPr>
        <w:t>3</w:t>
      </w:r>
      <w:r w:rsidR="00753206" w:rsidRPr="00753206">
        <w:rPr>
          <w:vertAlign w:val="superscript"/>
        </w:rPr>
        <w:fldChar w:fldCharType="end"/>
      </w:r>
    </w:p>
    <w:p w14:paraId="3FF84820" w14:textId="77777777" w:rsidR="00605AD4" w:rsidRDefault="00605AD4" w:rsidP="00605AD4">
      <w:pPr>
        <w:pStyle w:val="Heading4"/>
      </w:pPr>
      <w:r w:rsidRPr="00605AD4">
        <w:t>Contents of the clinical dossier</w:t>
      </w:r>
    </w:p>
    <w:p w14:paraId="32F3DA5A" w14:textId="77777777" w:rsidR="00A11BA1" w:rsidRPr="004F2F9F" w:rsidRDefault="00A11BA1" w:rsidP="00A11BA1">
      <w:r w:rsidRPr="004F2F9F">
        <w:t>The clinical dossier comprised a development program consisting of a dose finding study and efficacy and tolerability studies.</w:t>
      </w:r>
    </w:p>
    <w:p w14:paraId="500C89A8" w14:textId="77777777" w:rsidR="00A11BA1" w:rsidRPr="004F2F9F" w:rsidRDefault="00A11BA1" w:rsidP="00990864">
      <w:pPr>
        <w:keepNext/>
      </w:pPr>
      <w:r w:rsidRPr="004F2F9F">
        <w:lastRenderedPageBreak/>
        <w:t>The submission contained the following clinical information:</w:t>
      </w:r>
    </w:p>
    <w:p w14:paraId="0C09DF81" w14:textId="272AD9B3" w:rsidR="00A11BA1" w:rsidRPr="004F2F9F" w:rsidRDefault="00A11BA1" w:rsidP="00A11BA1">
      <w:pPr>
        <w:pStyle w:val="ListBullet"/>
      </w:pPr>
      <w:r w:rsidRPr="004F2F9F">
        <w:t xml:space="preserve">No </w:t>
      </w:r>
      <w:r w:rsidR="00595C0D" w:rsidRPr="004F2F9F">
        <w:t>P</w:t>
      </w:r>
      <w:r w:rsidR="00595C0D">
        <w:t>harmacokinetic</w:t>
      </w:r>
      <w:r w:rsidRPr="004F2F9F">
        <w:t>/</w:t>
      </w:r>
      <w:r w:rsidR="00595C0D" w:rsidRPr="004F2F9F">
        <w:t>P</w:t>
      </w:r>
      <w:r w:rsidR="00595C0D">
        <w:t>harmacodynamic</w:t>
      </w:r>
      <w:r w:rsidR="00595C0D" w:rsidRPr="004F2F9F">
        <w:t xml:space="preserve"> </w:t>
      </w:r>
      <w:r w:rsidRPr="004F2F9F">
        <w:t>studies</w:t>
      </w:r>
    </w:p>
    <w:p w14:paraId="71D019CC" w14:textId="77777777" w:rsidR="00A11BA1" w:rsidRPr="004F2F9F" w:rsidRDefault="00A11BA1" w:rsidP="00A11BA1">
      <w:pPr>
        <w:pStyle w:val="ListBullet"/>
      </w:pPr>
      <w:r w:rsidRPr="004F2F9F">
        <w:t>7 studies in Section 5.3.51 Controlled trials. These studies comprised</w:t>
      </w:r>
    </w:p>
    <w:p w14:paraId="577AA151" w14:textId="77777777" w:rsidR="00A11BA1" w:rsidRPr="004F2F9F" w:rsidRDefault="00A11BA1" w:rsidP="00A11BA1">
      <w:pPr>
        <w:pStyle w:val="ListBullet"/>
      </w:pPr>
      <w:r w:rsidRPr="004F2F9F">
        <w:t xml:space="preserve">1 x clinical pharmacology </w:t>
      </w:r>
      <w:r>
        <w:t>Stud</w:t>
      </w:r>
      <w:r w:rsidRPr="004F2F9F">
        <w:t>y (V067.10) that provided dose f</w:t>
      </w:r>
      <w:r>
        <w:t>inding and pharmacodynamic data</w:t>
      </w:r>
    </w:p>
    <w:p w14:paraId="168B8428" w14:textId="77777777" w:rsidR="00A11BA1" w:rsidRPr="004F2F9F" w:rsidRDefault="00A11BA1" w:rsidP="00A11BA1">
      <w:pPr>
        <w:pStyle w:val="ListBullet"/>
      </w:pPr>
      <w:r w:rsidRPr="004F2F9F">
        <w:t xml:space="preserve">2 x pivotal efficacy/safety </w:t>
      </w:r>
      <w:r>
        <w:t>Stud</w:t>
      </w:r>
      <w:r w:rsidRPr="004F2F9F">
        <w:t>ies (V057.07,</w:t>
      </w:r>
      <w:r>
        <w:t xml:space="preserve"> </w:t>
      </w:r>
      <w:r w:rsidRPr="004F2F9F">
        <w:t>and 1207D1731)</w:t>
      </w:r>
    </w:p>
    <w:p w14:paraId="0159C34F" w14:textId="77777777" w:rsidR="00A11BA1" w:rsidRPr="004F2F9F" w:rsidRDefault="00A11BA1" w:rsidP="00A11BA1">
      <w:pPr>
        <w:pStyle w:val="ListBullet"/>
      </w:pPr>
      <w:r w:rsidRPr="004F2F9F">
        <w:t>1 x other study in children (V064.08)</w:t>
      </w:r>
    </w:p>
    <w:p w14:paraId="6BA659D4" w14:textId="77777777" w:rsidR="00A11BA1" w:rsidRPr="004F2F9F" w:rsidRDefault="00A11BA1" w:rsidP="00A11BA1">
      <w:pPr>
        <w:pStyle w:val="ListBullet"/>
      </w:pPr>
      <w:r w:rsidRPr="004F2F9F">
        <w:t xml:space="preserve">3 x other safety and tolerability </w:t>
      </w:r>
      <w:r>
        <w:t>Stud</w:t>
      </w:r>
      <w:r w:rsidRPr="004F2F9F">
        <w:t>ies (V03</w:t>
      </w:r>
      <w:r>
        <w:t>6.04F, 1109D1711 and V073.13).</w:t>
      </w:r>
    </w:p>
    <w:p w14:paraId="67D119B1" w14:textId="77777777" w:rsidR="00A11BA1" w:rsidRPr="004F2F9F" w:rsidRDefault="00A11BA1" w:rsidP="00A11BA1">
      <w:r w:rsidRPr="004F2F9F">
        <w:t>The 5 studies numbered VOXX were conducted by the sponsor of the product Stallergenes S.A. while the other 2 studies were conducted by the Japanese partner company Shionogi and Co Ltd.</w:t>
      </w:r>
    </w:p>
    <w:p w14:paraId="5BD39475" w14:textId="77777777" w:rsidR="00A11BA1" w:rsidRPr="00A11BA1" w:rsidRDefault="00A11BA1" w:rsidP="00A11BA1">
      <w:pPr>
        <w:pStyle w:val="ListBullet"/>
      </w:pPr>
      <w:r w:rsidRPr="00A11BA1">
        <w:t>Clinical Overview, Summary of Clinical Efficacy, Summary of Clinical Safety and literature references.</w:t>
      </w:r>
    </w:p>
    <w:p w14:paraId="5EF341B1" w14:textId="77777777" w:rsidR="00605AD4" w:rsidRDefault="00605AD4" w:rsidP="00605AD4">
      <w:pPr>
        <w:pStyle w:val="Heading4"/>
      </w:pPr>
      <w:r w:rsidRPr="00605AD4">
        <w:t>Paediatric data</w:t>
      </w:r>
    </w:p>
    <w:p w14:paraId="352C0070" w14:textId="77777777" w:rsidR="00A11BA1" w:rsidRDefault="00A11BA1" w:rsidP="00A11BA1">
      <w:r w:rsidRPr="004F2F9F">
        <w:t>The submission included paediatric efficacy and safety data.</w:t>
      </w:r>
    </w:p>
    <w:p w14:paraId="74199A0F" w14:textId="77777777" w:rsidR="00BF782B" w:rsidRDefault="00BF782B" w:rsidP="00BF782B">
      <w:pPr>
        <w:pStyle w:val="Heading4"/>
      </w:pPr>
      <w:r>
        <w:t>Guidelines</w:t>
      </w:r>
    </w:p>
    <w:p w14:paraId="15381555" w14:textId="2F4F67E1" w:rsidR="00BF782B" w:rsidRPr="00BF782B" w:rsidRDefault="004A2386" w:rsidP="00BF782B">
      <w:proofErr w:type="gramStart"/>
      <w:r>
        <w:t xml:space="preserve">EU </w:t>
      </w:r>
      <w:r w:rsidRPr="00637F09">
        <w:t xml:space="preserve">Guideline on the Clinical Development of Products for Specific Immunotherapy for the Treatment of </w:t>
      </w:r>
      <w:r>
        <w:t>A</w:t>
      </w:r>
      <w:r w:rsidRPr="00637F09">
        <w:t>llergic Diseases.</w:t>
      </w:r>
      <w:proofErr w:type="gramEnd"/>
      <w:r>
        <w:t xml:space="preserve"> </w:t>
      </w:r>
      <w:proofErr w:type="gramStart"/>
      <w:r w:rsidRPr="00637F09">
        <w:t>CHMP/EWP/</w:t>
      </w:r>
      <w:r>
        <w:t xml:space="preserve"> </w:t>
      </w:r>
      <w:r w:rsidRPr="00637F09">
        <w:t>18504/</w:t>
      </w:r>
      <w:r>
        <w:t xml:space="preserve"> </w:t>
      </w:r>
      <w:r w:rsidRPr="00637F09">
        <w:t>2006</w:t>
      </w:r>
      <w:r w:rsidR="007D102D">
        <w:t>.</w:t>
      </w:r>
      <w:proofErr w:type="gramEnd"/>
    </w:p>
    <w:p w14:paraId="2397164D" w14:textId="77777777" w:rsidR="00605AD4" w:rsidRDefault="00605AD4" w:rsidP="00605AD4">
      <w:pPr>
        <w:pStyle w:val="Heading4"/>
      </w:pPr>
      <w:r w:rsidRPr="00605AD4">
        <w:t>Good clinical practice</w:t>
      </w:r>
    </w:p>
    <w:p w14:paraId="763F5931" w14:textId="77777777" w:rsidR="00A11BA1" w:rsidRPr="004F2F9F" w:rsidRDefault="00A11BA1" w:rsidP="00A11BA1">
      <w:bookmarkStart w:id="81" w:name="_Toc241374282"/>
      <w:r w:rsidRPr="004F2F9F">
        <w:t xml:space="preserve">The clinical study reports (CSR) state that all studies were conducted and written informed consent obtained in accordance with the ethical principles of the 5th Declaration of Helsinki and any amendments (World Medical Association General Assembly, Tokyo 2004) that were in place when the study started, the </w:t>
      </w:r>
      <w:r w:rsidR="00C50DDD">
        <w:t>ICH</w:t>
      </w:r>
      <w:r w:rsidRPr="004F2F9F">
        <w:t xml:space="preserve"> and Good Clinical Practice (GCP) guidelines (CPMP/ICH/135/95, and the explanatory notes and comments, CPMP/768/97), the European Union’s Commission Directives (2001/20/EC, 04 April 2001 and 2005/28/EC, 08 April 2005) as well as the requirements of national drug and data protection laws and other applicable regulatory requirements.</w:t>
      </w:r>
      <w:bookmarkEnd w:id="81"/>
    </w:p>
    <w:p w14:paraId="774DA91B" w14:textId="77777777" w:rsidR="00A11BA1" w:rsidRPr="00A11BA1" w:rsidRDefault="00A11BA1" w:rsidP="00A11BA1">
      <w:r w:rsidRPr="004F2F9F">
        <w:t>For the studies conducted in Japan the CSR states that the studies were conducted in compliance with the Ministry of Health, Labour, and Welfare Ordinance No. 24 (Feb 29, 2008) Standards for Implementation of Clinical Studies on Drugs (Good Clinical Practice [GCP]).</w:t>
      </w:r>
    </w:p>
    <w:p w14:paraId="795D57D5" w14:textId="77777777" w:rsidR="008E7846" w:rsidRDefault="008E7846" w:rsidP="00605AD4">
      <w:pPr>
        <w:pStyle w:val="Heading3"/>
      </w:pPr>
      <w:bookmarkStart w:id="82" w:name="_Toc482791298"/>
      <w:r w:rsidRPr="00254787">
        <w:t>Pharmacokinetics</w:t>
      </w:r>
      <w:bookmarkEnd w:id="72"/>
      <w:bookmarkEnd w:id="78"/>
      <w:bookmarkEnd w:id="79"/>
      <w:bookmarkEnd w:id="80"/>
      <w:bookmarkEnd w:id="82"/>
    </w:p>
    <w:p w14:paraId="0CFF7D4B" w14:textId="77777777" w:rsidR="00605AD4" w:rsidRDefault="00605AD4" w:rsidP="00605AD4">
      <w:pPr>
        <w:pStyle w:val="Heading4"/>
      </w:pPr>
      <w:r>
        <w:t>Studies</w:t>
      </w:r>
      <w:r w:rsidR="00A11BA1">
        <w:t xml:space="preserve"> providing pharmacokinetic data</w:t>
      </w:r>
    </w:p>
    <w:p w14:paraId="407663EA" w14:textId="77777777" w:rsidR="00A11BA1" w:rsidRPr="00B01A5F" w:rsidRDefault="00A11BA1" w:rsidP="00A11BA1">
      <w:r w:rsidRPr="00B01A5F">
        <w:t>In line with the EU Guideline on the clinical development of products for specific immunotherapy for the treatment of allergic diseases:</w:t>
      </w:r>
    </w:p>
    <w:p w14:paraId="18E3CE4B" w14:textId="77777777" w:rsidR="00A11BA1" w:rsidRPr="00A11BA1" w:rsidRDefault="00A11BA1" w:rsidP="00A11BA1">
      <w:pPr>
        <w:rPr>
          <w:i/>
        </w:rPr>
      </w:pPr>
      <w:r w:rsidRPr="00A11BA1">
        <w:rPr>
          <w:i/>
        </w:rPr>
        <w:t>“Pharmacokinetic studies are not possible for products of specific immunotherapy. During specific immunotherapy usually plasma concentrations of the active substance are not measurable, due to the nature of the product.”</w:t>
      </w:r>
    </w:p>
    <w:p w14:paraId="766DD541" w14:textId="77777777" w:rsidR="00605AD4" w:rsidRDefault="00605AD4" w:rsidP="00605AD4">
      <w:pPr>
        <w:pStyle w:val="Heading4"/>
      </w:pPr>
      <w:r>
        <w:lastRenderedPageBreak/>
        <w:t>Evaluator’s conclusions on pharmacokinetics</w:t>
      </w:r>
    </w:p>
    <w:p w14:paraId="6E9B1FCA" w14:textId="77777777" w:rsidR="00A11BA1" w:rsidRPr="00A11BA1" w:rsidRDefault="00A11BA1" w:rsidP="00A11BA1">
      <w:r w:rsidRPr="00B01A5F">
        <w:t>No data relevant to PK was provided in the submission. This is accepted g</w:t>
      </w:r>
      <w:r w:rsidR="00317EA6">
        <w:t>iven the nature of the product.</w:t>
      </w:r>
    </w:p>
    <w:p w14:paraId="501F67EA" w14:textId="77777777" w:rsidR="008E7846" w:rsidRDefault="008E7846" w:rsidP="008E7846">
      <w:pPr>
        <w:pStyle w:val="Heading3"/>
      </w:pPr>
      <w:bookmarkStart w:id="83" w:name="_Toc196046481"/>
      <w:bookmarkStart w:id="84" w:name="_Toc247691520"/>
      <w:bookmarkStart w:id="85" w:name="_Toc314842503"/>
      <w:bookmarkStart w:id="86" w:name="_Toc482791299"/>
      <w:r w:rsidRPr="00254787">
        <w:t>Pharmacodynamics</w:t>
      </w:r>
      <w:bookmarkEnd w:id="73"/>
      <w:bookmarkEnd w:id="83"/>
      <w:bookmarkEnd w:id="84"/>
      <w:bookmarkEnd w:id="85"/>
      <w:bookmarkEnd w:id="86"/>
    </w:p>
    <w:p w14:paraId="5FE26CA0" w14:textId="77777777" w:rsidR="00605AD4" w:rsidRDefault="00605AD4" w:rsidP="00605AD4">
      <w:pPr>
        <w:pStyle w:val="Heading4"/>
      </w:pPr>
      <w:r>
        <w:t>Studies providing pharmacodynamic data</w:t>
      </w:r>
    </w:p>
    <w:p w14:paraId="0C6E1031" w14:textId="77777777" w:rsidR="00317EA6" w:rsidRDefault="00317EA6" w:rsidP="00317EA6">
      <w:r w:rsidRPr="00B01A5F">
        <w:t xml:space="preserve">Summaries of the pharmacodynamic studies </w:t>
      </w:r>
      <w:r>
        <w:t xml:space="preserve">were provided in the </w:t>
      </w:r>
      <w:r w:rsidR="003138F8">
        <w:t>clinical evaluation report</w:t>
      </w:r>
      <w:r w:rsidRPr="003138F8">
        <w:t xml:space="preserve">. Table </w:t>
      </w:r>
      <w:r w:rsidR="003138F8" w:rsidRPr="003138F8">
        <w:t>4</w:t>
      </w:r>
      <w:r w:rsidRPr="003138F8">
        <w:t xml:space="preserve"> shows</w:t>
      </w:r>
      <w:r w:rsidRPr="00B01A5F">
        <w:t xml:space="preserve"> the studies relating to each pharmacodynamic topic and the location of each study summary.</w:t>
      </w:r>
    </w:p>
    <w:p w14:paraId="756FE803" w14:textId="77777777" w:rsidR="00317EA6" w:rsidRPr="00B01A5F" w:rsidRDefault="00317EA6" w:rsidP="00317EA6">
      <w:pPr>
        <w:pStyle w:val="Tabletitle0"/>
      </w:pPr>
      <w:bookmarkStart w:id="87" w:name="_Ref269985397"/>
      <w:bookmarkStart w:id="88" w:name="_Toc417806364"/>
      <w:r w:rsidRPr="003138F8">
        <w:t xml:space="preserve">Table </w:t>
      </w:r>
      <w:bookmarkEnd w:id="87"/>
      <w:r w:rsidR="003138F8" w:rsidRPr="003138F8">
        <w:t>4</w:t>
      </w:r>
      <w:r w:rsidRPr="003138F8">
        <w:t>: Submitted</w:t>
      </w:r>
      <w:r w:rsidRPr="00B01A5F">
        <w:t xml:space="preserve"> pharmacodynamic studies</w:t>
      </w:r>
      <w:bookmarkEnd w:id="88"/>
    </w:p>
    <w:tbl>
      <w:tblPr>
        <w:tblStyle w:val="TableTGAblue"/>
        <w:tblW w:w="8561" w:type="dxa"/>
        <w:tblLayout w:type="fixed"/>
        <w:tblLook w:val="04A0" w:firstRow="1" w:lastRow="0" w:firstColumn="1" w:lastColumn="0" w:noHBand="0" w:noVBand="1"/>
      </w:tblPr>
      <w:tblGrid>
        <w:gridCol w:w="2093"/>
        <w:gridCol w:w="1701"/>
        <w:gridCol w:w="1843"/>
        <w:gridCol w:w="2924"/>
      </w:tblGrid>
      <w:tr w:rsidR="00317EA6" w:rsidRPr="00B01A5F" w14:paraId="601C87D4" w14:textId="77777777" w:rsidTr="00790DE0">
        <w:trPr>
          <w:cnfStyle w:val="100000000000" w:firstRow="1" w:lastRow="0" w:firstColumn="0" w:lastColumn="0" w:oddVBand="0" w:evenVBand="0" w:oddHBand="0" w:evenHBand="0" w:firstRowFirstColumn="0" w:firstRowLastColumn="0" w:lastRowFirstColumn="0" w:lastRowLastColumn="0"/>
        </w:trPr>
        <w:tc>
          <w:tcPr>
            <w:tcW w:w="2093" w:type="dxa"/>
          </w:tcPr>
          <w:p w14:paraId="6124AE7A" w14:textId="77777777" w:rsidR="00317EA6" w:rsidRPr="00B01A5F" w:rsidRDefault="00317EA6" w:rsidP="00790DE0">
            <w:pPr>
              <w:ind w:left="0" w:right="0"/>
              <w:rPr>
                <w:sz w:val="20"/>
                <w:szCs w:val="20"/>
              </w:rPr>
            </w:pPr>
            <w:r w:rsidRPr="00B01A5F">
              <w:rPr>
                <w:sz w:val="20"/>
                <w:szCs w:val="20"/>
              </w:rPr>
              <w:t>PD Topic</w:t>
            </w:r>
          </w:p>
        </w:tc>
        <w:tc>
          <w:tcPr>
            <w:tcW w:w="1701" w:type="dxa"/>
          </w:tcPr>
          <w:p w14:paraId="57467408" w14:textId="77777777" w:rsidR="00317EA6" w:rsidRPr="00B01A5F" w:rsidRDefault="00317EA6" w:rsidP="00790DE0">
            <w:pPr>
              <w:ind w:left="0" w:right="0"/>
              <w:rPr>
                <w:sz w:val="20"/>
                <w:szCs w:val="20"/>
              </w:rPr>
            </w:pPr>
            <w:r w:rsidRPr="00B01A5F">
              <w:rPr>
                <w:sz w:val="20"/>
                <w:szCs w:val="20"/>
              </w:rPr>
              <w:t>Subtopic</w:t>
            </w:r>
          </w:p>
        </w:tc>
        <w:tc>
          <w:tcPr>
            <w:tcW w:w="1843" w:type="dxa"/>
          </w:tcPr>
          <w:p w14:paraId="44DE3E75" w14:textId="77777777" w:rsidR="00317EA6" w:rsidRPr="00B01A5F" w:rsidRDefault="00317EA6" w:rsidP="00790DE0">
            <w:pPr>
              <w:ind w:left="0" w:right="0"/>
              <w:rPr>
                <w:sz w:val="20"/>
                <w:szCs w:val="20"/>
              </w:rPr>
            </w:pPr>
            <w:r w:rsidRPr="00B01A5F">
              <w:rPr>
                <w:sz w:val="20"/>
                <w:szCs w:val="20"/>
              </w:rPr>
              <w:t>Study ID</w:t>
            </w:r>
          </w:p>
        </w:tc>
        <w:tc>
          <w:tcPr>
            <w:tcW w:w="2924" w:type="dxa"/>
          </w:tcPr>
          <w:p w14:paraId="1D0EE965" w14:textId="77777777" w:rsidR="00317EA6" w:rsidRPr="00B01A5F" w:rsidRDefault="00317EA6" w:rsidP="00790DE0">
            <w:pPr>
              <w:ind w:left="0" w:right="0"/>
              <w:rPr>
                <w:sz w:val="20"/>
                <w:szCs w:val="20"/>
              </w:rPr>
            </w:pPr>
            <w:r w:rsidRPr="00B01A5F">
              <w:rPr>
                <w:sz w:val="20"/>
                <w:szCs w:val="20"/>
              </w:rPr>
              <w:t>Primary Aim</w:t>
            </w:r>
          </w:p>
        </w:tc>
      </w:tr>
      <w:tr w:rsidR="00317EA6" w:rsidRPr="00B01A5F" w14:paraId="2FE9BB01" w14:textId="77777777" w:rsidTr="00790DE0">
        <w:tc>
          <w:tcPr>
            <w:tcW w:w="2093" w:type="dxa"/>
            <w:vMerge w:val="restart"/>
          </w:tcPr>
          <w:p w14:paraId="4193BC70" w14:textId="77777777" w:rsidR="00317EA6" w:rsidRPr="00B01A5F" w:rsidRDefault="00317EA6" w:rsidP="00790DE0">
            <w:pPr>
              <w:ind w:left="0" w:right="0"/>
              <w:rPr>
                <w:sz w:val="20"/>
                <w:szCs w:val="20"/>
              </w:rPr>
            </w:pPr>
            <w:r w:rsidRPr="00B01A5F">
              <w:rPr>
                <w:sz w:val="20"/>
                <w:szCs w:val="20"/>
              </w:rPr>
              <w:t>Primary Pharmacology</w:t>
            </w:r>
          </w:p>
        </w:tc>
        <w:tc>
          <w:tcPr>
            <w:tcW w:w="1701" w:type="dxa"/>
          </w:tcPr>
          <w:p w14:paraId="5BB0E828" w14:textId="77777777" w:rsidR="00317EA6" w:rsidRPr="00B01A5F" w:rsidRDefault="00317EA6" w:rsidP="00790DE0">
            <w:pPr>
              <w:ind w:left="0" w:right="0"/>
              <w:rPr>
                <w:sz w:val="20"/>
                <w:szCs w:val="20"/>
              </w:rPr>
            </w:pPr>
            <w:r w:rsidRPr="00B01A5F">
              <w:rPr>
                <w:sz w:val="20"/>
                <w:szCs w:val="20"/>
              </w:rPr>
              <w:t>Effect on Immunological markers</w:t>
            </w:r>
          </w:p>
        </w:tc>
        <w:tc>
          <w:tcPr>
            <w:tcW w:w="1843" w:type="dxa"/>
          </w:tcPr>
          <w:p w14:paraId="2CC72DB6" w14:textId="77777777" w:rsidR="00317EA6" w:rsidRPr="00B01A5F" w:rsidRDefault="00317EA6" w:rsidP="00790DE0">
            <w:pPr>
              <w:ind w:left="0" w:right="0"/>
              <w:rPr>
                <w:sz w:val="20"/>
                <w:szCs w:val="20"/>
              </w:rPr>
            </w:pPr>
            <w:r w:rsidRPr="00B01A5F">
              <w:rPr>
                <w:sz w:val="20"/>
                <w:szCs w:val="20"/>
              </w:rPr>
              <w:t>VO67.10</w:t>
            </w:r>
          </w:p>
        </w:tc>
        <w:tc>
          <w:tcPr>
            <w:tcW w:w="2924" w:type="dxa"/>
          </w:tcPr>
          <w:p w14:paraId="70315729" w14:textId="77777777" w:rsidR="00317EA6" w:rsidRPr="00B01A5F" w:rsidRDefault="00317EA6" w:rsidP="00790DE0">
            <w:pPr>
              <w:ind w:left="0" w:right="0"/>
              <w:rPr>
                <w:sz w:val="20"/>
                <w:szCs w:val="20"/>
              </w:rPr>
            </w:pPr>
            <w:r w:rsidRPr="00B01A5F">
              <w:rPr>
                <w:sz w:val="20"/>
                <w:szCs w:val="20"/>
              </w:rPr>
              <w:t>Dose Ranging</w:t>
            </w:r>
          </w:p>
        </w:tc>
      </w:tr>
      <w:tr w:rsidR="00317EA6" w:rsidRPr="00B01A5F" w14:paraId="174A39E2" w14:textId="77777777" w:rsidTr="00790DE0">
        <w:tc>
          <w:tcPr>
            <w:tcW w:w="2093" w:type="dxa"/>
            <w:vMerge/>
          </w:tcPr>
          <w:p w14:paraId="34B7D9A0" w14:textId="77777777" w:rsidR="00317EA6" w:rsidRPr="00B01A5F" w:rsidRDefault="00317EA6" w:rsidP="00790DE0">
            <w:pPr>
              <w:ind w:left="0" w:right="0"/>
              <w:rPr>
                <w:sz w:val="20"/>
                <w:szCs w:val="20"/>
              </w:rPr>
            </w:pPr>
          </w:p>
        </w:tc>
        <w:tc>
          <w:tcPr>
            <w:tcW w:w="1701" w:type="dxa"/>
          </w:tcPr>
          <w:p w14:paraId="0C2494D0" w14:textId="77777777" w:rsidR="00317EA6" w:rsidRPr="00B01A5F" w:rsidRDefault="00317EA6" w:rsidP="00790DE0">
            <w:pPr>
              <w:ind w:left="0" w:right="0"/>
              <w:rPr>
                <w:sz w:val="20"/>
                <w:szCs w:val="20"/>
              </w:rPr>
            </w:pPr>
          </w:p>
        </w:tc>
        <w:tc>
          <w:tcPr>
            <w:tcW w:w="1843" w:type="dxa"/>
          </w:tcPr>
          <w:p w14:paraId="726DA030" w14:textId="77777777" w:rsidR="00317EA6" w:rsidRPr="00B01A5F" w:rsidRDefault="00317EA6" w:rsidP="00790DE0">
            <w:pPr>
              <w:ind w:left="0" w:right="0"/>
              <w:rPr>
                <w:sz w:val="20"/>
                <w:szCs w:val="20"/>
              </w:rPr>
            </w:pPr>
            <w:r w:rsidRPr="00B01A5F">
              <w:rPr>
                <w:sz w:val="20"/>
                <w:szCs w:val="20"/>
              </w:rPr>
              <w:t>VO57.07</w:t>
            </w:r>
          </w:p>
        </w:tc>
        <w:tc>
          <w:tcPr>
            <w:tcW w:w="2924" w:type="dxa"/>
          </w:tcPr>
          <w:p w14:paraId="72A74D37" w14:textId="77777777" w:rsidR="00317EA6" w:rsidRPr="00B01A5F" w:rsidRDefault="00317EA6" w:rsidP="00790DE0">
            <w:pPr>
              <w:ind w:left="0" w:right="0"/>
              <w:rPr>
                <w:sz w:val="20"/>
                <w:szCs w:val="20"/>
              </w:rPr>
            </w:pPr>
            <w:r w:rsidRPr="00B01A5F">
              <w:rPr>
                <w:sz w:val="20"/>
                <w:szCs w:val="20"/>
              </w:rPr>
              <w:t>Efficacy &amp; Safety in adults</w:t>
            </w:r>
          </w:p>
        </w:tc>
      </w:tr>
      <w:tr w:rsidR="00317EA6" w:rsidRPr="00B01A5F" w14:paraId="138BE686" w14:textId="77777777" w:rsidTr="00790DE0">
        <w:tc>
          <w:tcPr>
            <w:tcW w:w="2093" w:type="dxa"/>
            <w:vMerge/>
          </w:tcPr>
          <w:p w14:paraId="159B532B" w14:textId="77777777" w:rsidR="00317EA6" w:rsidRPr="00B01A5F" w:rsidRDefault="00317EA6" w:rsidP="00790DE0">
            <w:pPr>
              <w:ind w:left="0" w:right="0"/>
              <w:rPr>
                <w:sz w:val="20"/>
                <w:szCs w:val="20"/>
              </w:rPr>
            </w:pPr>
          </w:p>
        </w:tc>
        <w:tc>
          <w:tcPr>
            <w:tcW w:w="1701" w:type="dxa"/>
          </w:tcPr>
          <w:p w14:paraId="02D257B7" w14:textId="77777777" w:rsidR="00317EA6" w:rsidRPr="00B01A5F" w:rsidRDefault="00317EA6" w:rsidP="00790DE0">
            <w:pPr>
              <w:ind w:left="0" w:right="0"/>
              <w:rPr>
                <w:sz w:val="20"/>
                <w:szCs w:val="20"/>
              </w:rPr>
            </w:pPr>
          </w:p>
        </w:tc>
        <w:tc>
          <w:tcPr>
            <w:tcW w:w="1843" w:type="dxa"/>
          </w:tcPr>
          <w:p w14:paraId="5A7BB8B5" w14:textId="77777777" w:rsidR="00317EA6" w:rsidRPr="00B01A5F" w:rsidRDefault="00317EA6" w:rsidP="00790DE0">
            <w:pPr>
              <w:ind w:left="0" w:right="0"/>
              <w:rPr>
                <w:sz w:val="20"/>
                <w:szCs w:val="20"/>
              </w:rPr>
            </w:pPr>
            <w:r w:rsidRPr="00B01A5F">
              <w:rPr>
                <w:sz w:val="20"/>
                <w:szCs w:val="20"/>
              </w:rPr>
              <w:t>VO36.04F</w:t>
            </w:r>
          </w:p>
        </w:tc>
        <w:tc>
          <w:tcPr>
            <w:tcW w:w="2924" w:type="dxa"/>
          </w:tcPr>
          <w:p w14:paraId="5769DE8F" w14:textId="77777777" w:rsidR="00317EA6" w:rsidRPr="00B01A5F" w:rsidRDefault="00317EA6" w:rsidP="00790DE0">
            <w:pPr>
              <w:ind w:left="0" w:right="0"/>
              <w:rPr>
                <w:sz w:val="20"/>
                <w:szCs w:val="20"/>
              </w:rPr>
            </w:pPr>
            <w:r w:rsidRPr="00B01A5F">
              <w:rPr>
                <w:sz w:val="20"/>
                <w:szCs w:val="20"/>
              </w:rPr>
              <w:t>Safety</w:t>
            </w:r>
          </w:p>
        </w:tc>
      </w:tr>
      <w:tr w:rsidR="00317EA6" w:rsidRPr="00B01A5F" w14:paraId="33141717" w14:textId="77777777" w:rsidTr="00790DE0">
        <w:tc>
          <w:tcPr>
            <w:tcW w:w="2093" w:type="dxa"/>
            <w:vMerge/>
          </w:tcPr>
          <w:p w14:paraId="79175C99" w14:textId="77777777" w:rsidR="00317EA6" w:rsidRPr="00B01A5F" w:rsidRDefault="00317EA6" w:rsidP="00790DE0">
            <w:pPr>
              <w:ind w:left="0" w:right="0"/>
              <w:rPr>
                <w:sz w:val="20"/>
                <w:szCs w:val="20"/>
              </w:rPr>
            </w:pPr>
          </w:p>
        </w:tc>
        <w:tc>
          <w:tcPr>
            <w:tcW w:w="1701" w:type="dxa"/>
          </w:tcPr>
          <w:p w14:paraId="10484316" w14:textId="77777777" w:rsidR="00317EA6" w:rsidRPr="00B01A5F" w:rsidRDefault="00317EA6" w:rsidP="00790DE0">
            <w:pPr>
              <w:ind w:left="0" w:right="0"/>
              <w:rPr>
                <w:sz w:val="20"/>
                <w:szCs w:val="20"/>
              </w:rPr>
            </w:pPr>
          </w:p>
        </w:tc>
        <w:tc>
          <w:tcPr>
            <w:tcW w:w="1843" w:type="dxa"/>
          </w:tcPr>
          <w:p w14:paraId="3F424CE1" w14:textId="77777777" w:rsidR="00317EA6" w:rsidRPr="00B01A5F" w:rsidRDefault="00317EA6" w:rsidP="00790DE0">
            <w:pPr>
              <w:ind w:left="0" w:right="0"/>
              <w:rPr>
                <w:sz w:val="20"/>
                <w:szCs w:val="20"/>
              </w:rPr>
            </w:pPr>
            <w:r w:rsidRPr="00B01A5F">
              <w:rPr>
                <w:sz w:val="20"/>
                <w:szCs w:val="20"/>
              </w:rPr>
              <w:t>VO64.08</w:t>
            </w:r>
          </w:p>
        </w:tc>
        <w:tc>
          <w:tcPr>
            <w:tcW w:w="2924" w:type="dxa"/>
          </w:tcPr>
          <w:p w14:paraId="6D8C1BD1" w14:textId="77777777" w:rsidR="00317EA6" w:rsidRPr="00B01A5F" w:rsidRDefault="00317EA6" w:rsidP="00790DE0">
            <w:pPr>
              <w:ind w:left="0" w:right="0"/>
              <w:rPr>
                <w:sz w:val="20"/>
                <w:szCs w:val="20"/>
              </w:rPr>
            </w:pPr>
            <w:r w:rsidRPr="00B01A5F">
              <w:rPr>
                <w:sz w:val="20"/>
                <w:szCs w:val="20"/>
              </w:rPr>
              <w:t>Efficacy &amp; Safety in Children</w:t>
            </w:r>
          </w:p>
        </w:tc>
      </w:tr>
      <w:tr w:rsidR="00317EA6" w:rsidRPr="00B01A5F" w14:paraId="75DD8E54" w14:textId="77777777" w:rsidTr="00790DE0">
        <w:tc>
          <w:tcPr>
            <w:tcW w:w="2093" w:type="dxa"/>
            <w:vMerge/>
          </w:tcPr>
          <w:p w14:paraId="24C69211" w14:textId="77777777" w:rsidR="00317EA6" w:rsidRPr="00B01A5F" w:rsidRDefault="00317EA6" w:rsidP="00790DE0">
            <w:pPr>
              <w:ind w:left="0" w:right="0"/>
              <w:rPr>
                <w:sz w:val="20"/>
                <w:szCs w:val="20"/>
              </w:rPr>
            </w:pPr>
          </w:p>
        </w:tc>
        <w:tc>
          <w:tcPr>
            <w:tcW w:w="1701" w:type="dxa"/>
          </w:tcPr>
          <w:p w14:paraId="70DE5F4E" w14:textId="77777777" w:rsidR="00317EA6" w:rsidRPr="00B01A5F" w:rsidRDefault="00317EA6" w:rsidP="00790DE0">
            <w:pPr>
              <w:ind w:left="0" w:right="0"/>
              <w:rPr>
                <w:sz w:val="20"/>
                <w:szCs w:val="20"/>
              </w:rPr>
            </w:pPr>
          </w:p>
        </w:tc>
        <w:tc>
          <w:tcPr>
            <w:tcW w:w="1843" w:type="dxa"/>
          </w:tcPr>
          <w:p w14:paraId="1DFB17F8" w14:textId="77777777" w:rsidR="00317EA6" w:rsidRPr="00B01A5F" w:rsidRDefault="00317EA6" w:rsidP="00790DE0">
            <w:pPr>
              <w:ind w:left="0" w:right="0"/>
              <w:rPr>
                <w:sz w:val="20"/>
                <w:szCs w:val="20"/>
              </w:rPr>
            </w:pPr>
            <w:r w:rsidRPr="00B01A5F">
              <w:rPr>
                <w:sz w:val="20"/>
                <w:szCs w:val="20"/>
              </w:rPr>
              <w:t>VO73.13</w:t>
            </w:r>
          </w:p>
        </w:tc>
        <w:tc>
          <w:tcPr>
            <w:tcW w:w="2924" w:type="dxa"/>
          </w:tcPr>
          <w:p w14:paraId="44D33679" w14:textId="77777777" w:rsidR="00317EA6" w:rsidRPr="00B01A5F" w:rsidRDefault="00317EA6" w:rsidP="00790DE0">
            <w:pPr>
              <w:ind w:left="0" w:right="0"/>
              <w:rPr>
                <w:sz w:val="20"/>
                <w:szCs w:val="20"/>
              </w:rPr>
            </w:pPr>
            <w:r w:rsidRPr="00B01A5F">
              <w:rPr>
                <w:sz w:val="20"/>
                <w:szCs w:val="20"/>
              </w:rPr>
              <w:t>Safety</w:t>
            </w:r>
          </w:p>
        </w:tc>
      </w:tr>
      <w:tr w:rsidR="00317EA6" w:rsidRPr="00B01A5F" w14:paraId="4B4B7A62" w14:textId="77777777" w:rsidTr="00790DE0">
        <w:tc>
          <w:tcPr>
            <w:tcW w:w="2093" w:type="dxa"/>
            <w:vMerge/>
          </w:tcPr>
          <w:p w14:paraId="4FAA2C91" w14:textId="77777777" w:rsidR="00317EA6" w:rsidRPr="00B01A5F" w:rsidRDefault="00317EA6" w:rsidP="00790DE0">
            <w:pPr>
              <w:ind w:left="0" w:right="0"/>
              <w:rPr>
                <w:sz w:val="20"/>
                <w:szCs w:val="20"/>
              </w:rPr>
            </w:pPr>
          </w:p>
        </w:tc>
        <w:tc>
          <w:tcPr>
            <w:tcW w:w="1701" w:type="dxa"/>
          </w:tcPr>
          <w:p w14:paraId="4E7CA0D9" w14:textId="77777777" w:rsidR="00317EA6" w:rsidRPr="00B01A5F" w:rsidRDefault="00317EA6" w:rsidP="00790DE0">
            <w:pPr>
              <w:ind w:left="0" w:right="0"/>
              <w:rPr>
                <w:sz w:val="20"/>
                <w:szCs w:val="20"/>
              </w:rPr>
            </w:pPr>
          </w:p>
        </w:tc>
        <w:tc>
          <w:tcPr>
            <w:tcW w:w="1843" w:type="dxa"/>
          </w:tcPr>
          <w:p w14:paraId="1E338D6F" w14:textId="77777777" w:rsidR="00317EA6" w:rsidRPr="00B01A5F" w:rsidRDefault="00317EA6" w:rsidP="00790DE0">
            <w:pPr>
              <w:ind w:left="0" w:right="0"/>
              <w:rPr>
                <w:sz w:val="20"/>
                <w:szCs w:val="20"/>
              </w:rPr>
            </w:pPr>
            <w:r w:rsidRPr="00B01A5F">
              <w:rPr>
                <w:sz w:val="20"/>
                <w:szCs w:val="20"/>
              </w:rPr>
              <w:t>1109D1711</w:t>
            </w:r>
          </w:p>
        </w:tc>
        <w:tc>
          <w:tcPr>
            <w:tcW w:w="2924" w:type="dxa"/>
          </w:tcPr>
          <w:p w14:paraId="3AC5A4AE" w14:textId="77777777" w:rsidR="00317EA6" w:rsidRPr="00B01A5F" w:rsidRDefault="00317EA6" w:rsidP="00790DE0">
            <w:pPr>
              <w:ind w:left="0" w:right="0"/>
              <w:rPr>
                <w:sz w:val="20"/>
                <w:szCs w:val="20"/>
              </w:rPr>
            </w:pPr>
            <w:r w:rsidRPr="00B01A5F">
              <w:rPr>
                <w:sz w:val="20"/>
                <w:szCs w:val="20"/>
              </w:rPr>
              <w:t>Safety</w:t>
            </w:r>
          </w:p>
        </w:tc>
      </w:tr>
      <w:tr w:rsidR="00317EA6" w:rsidRPr="00B01A5F" w14:paraId="5D50B75D" w14:textId="77777777" w:rsidTr="00790DE0">
        <w:tc>
          <w:tcPr>
            <w:tcW w:w="2093" w:type="dxa"/>
            <w:vMerge/>
          </w:tcPr>
          <w:p w14:paraId="29A2CCE8" w14:textId="77777777" w:rsidR="00317EA6" w:rsidRPr="00B01A5F" w:rsidRDefault="00317EA6" w:rsidP="00790DE0">
            <w:pPr>
              <w:ind w:left="0" w:right="0"/>
              <w:rPr>
                <w:sz w:val="20"/>
                <w:szCs w:val="20"/>
              </w:rPr>
            </w:pPr>
          </w:p>
        </w:tc>
        <w:tc>
          <w:tcPr>
            <w:tcW w:w="1701" w:type="dxa"/>
          </w:tcPr>
          <w:p w14:paraId="659BA8CF" w14:textId="77777777" w:rsidR="00317EA6" w:rsidRPr="00B01A5F" w:rsidRDefault="00317EA6" w:rsidP="00790DE0">
            <w:pPr>
              <w:ind w:left="0" w:right="0"/>
              <w:rPr>
                <w:sz w:val="20"/>
                <w:szCs w:val="20"/>
              </w:rPr>
            </w:pPr>
          </w:p>
        </w:tc>
        <w:tc>
          <w:tcPr>
            <w:tcW w:w="1843" w:type="dxa"/>
          </w:tcPr>
          <w:p w14:paraId="1FA806CF" w14:textId="77777777" w:rsidR="00317EA6" w:rsidRPr="00B01A5F" w:rsidRDefault="00317EA6" w:rsidP="00790DE0">
            <w:pPr>
              <w:ind w:left="0" w:right="0"/>
              <w:rPr>
                <w:sz w:val="20"/>
                <w:szCs w:val="20"/>
              </w:rPr>
            </w:pPr>
            <w:r w:rsidRPr="00B01A5F">
              <w:rPr>
                <w:sz w:val="20"/>
                <w:szCs w:val="20"/>
              </w:rPr>
              <w:t>1207D1731</w:t>
            </w:r>
          </w:p>
        </w:tc>
        <w:tc>
          <w:tcPr>
            <w:tcW w:w="2924" w:type="dxa"/>
          </w:tcPr>
          <w:p w14:paraId="0C1A0579" w14:textId="77777777" w:rsidR="00317EA6" w:rsidRPr="00B01A5F" w:rsidRDefault="00317EA6" w:rsidP="00790DE0">
            <w:pPr>
              <w:ind w:left="0" w:right="0"/>
              <w:rPr>
                <w:sz w:val="20"/>
                <w:szCs w:val="20"/>
              </w:rPr>
            </w:pPr>
            <w:r w:rsidRPr="00B01A5F">
              <w:rPr>
                <w:sz w:val="20"/>
                <w:szCs w:val="20"/>
              </w:rPr>
              <w:t>Efficacy &amp; Safety in Adults</w:t>
            </w:r>
          </w:p>
        </w:tc>
      </w:tr>
    </w:tbl>
    <w:p w14:paraId="7C9764C4" w14:textId="77777777" w:rsidR="00317EA6" w:rsidRDefault="00317EA6" w:rsidP="00317EA6">
      <w:r w:rsidRPr="003E03E6">
        <w:t>None of the pharmacodynamic studies had deficiencies that excluded their results from consideration.</w:t>
      </w:r>
    </w:p>
    <w:p w14:paraId="5701A851" w14:textId="77777777" w:rsidR="00317EA6" w:rsidRPr="00317EA6" w:rsidRDefault="00317EA6" w:rsidP="00317EA6">
      <w:r>
        <w:t>For detail of the evaluation of the pharmacodynamics please see Attachment 2.</w:t>
      </w:r>
    </w:p>
    <w:p w14:paraId="75A301AA" w14:textId="77777777" w:rsidR="00605AD4" w:rsidRDefault="00605AD4" w:rsidP="00605AD4">
      <w:pPr>
        <w:pStyle w:val="Heading4"/>
      </w:pPr>
      <w:r>
        <w:t>Evaluator’s conclusions on pharmacodynamics</w:t>
      </w:r>
    </w:p>
    <w:p w14:paraId="0983D996" w14:textId="77777777" w:rsidR="00317EA6" w:rsidRPr="00317EA6" w:rsidRDefault="00317EA6" w:rsidP="00317EA6">
      <w:r w:rsidRPr="003E03E6">
        <w:t>The sponsor has made efforts to document the effect of treatment on the immunological markers in each of the clinical studies as required by the EU guideline. The results are confused by the inconsistency in the reporting in the submission with the tendency to overstate the results from the individual studies in the summaries. The results however tend to suggest an immunological activity of the doses of HDM tablets in patients with HDM associated allergic rhinitis.</w:t>
      </w:r>
    </w:p>
    <w:p w14:paraId="223F08AA" w14:textId="77777777" w:rsidR="008E7846" w:rsidRDefault="00605AD4" w:rsidP="00605AD4">
      <w:pPr>
        <w:pStyle w:val="Heading3"/>
      </w:pPr>
      <w:bookmarkStart w:id="89" w:name="_Toc482791300"/>
      <w:r>
        <w:t>Dosage selection for the pivotal studies</w:t>
      </w:r>
      <w:bookmarkEnd w:id="89"/>
    </w:p>
    <w:p w14:paraId="673C2BEF" w14:textId="77777777" w:rsidR="00317EA6" w:rsidRDefault="00317EA6" w:rsidP="00317EA6">
      <w:pPr>
        <w:pStyle w:val="Comment"/>
        <w:rPr>
          <w:lang w:eastAsia="ja-JP"/>
        </w:rPr>
      </w:pPr>
      <w:r w:rsidRPr="003E03E6">
        <w:rPr>
          <w:b/>
        </w:rPr>
        <w:t>Comment:</w:t>
      </w:r>
      <w:r>
        <w:t xml:space="preserve"> The dose selection of 300 IR or 500 IR is not clearly explained in the study reports or the summaries.</w:t>
      </w:r>
    </w:p>
    <w:p w14:paraId="0A6E6949" w14:textId="23D9ABC4" w:rsidR="00317EA6" w:rsidRPr="003E03E6" w:rsidRDefault="00317EA6" w:rsidP="00317EA6">
      <w:r w:rsidRPr="003E03E6">
        <w:t xml:space="preserve">The sponsor has established an in-house reference standard for the measurement of total allergenic activity (as required in the EU guideline and EU pharmacopoeia). The potency unit used by the sponsor in this measurement is referred to as the index of reactivity or “IR”. The titre of an allergen extracts corresponds to 100 IR/mL when, in a skin prick test </w:t>
      </w:r>
      <w:r w:rsidRPr="003E03E6">
        <w:lastRenderedPageBreak/>
        <w:t>(SPT) performed with the sponsor</w:t>
      </w:r>
      <w:r w:rsidR="00595C0D">
        <w:t>’</w:t>
      </w:r>
      <w:r w:rsidRPr="003E03E6">
        <w:t xml:space="preserve">s SPT device (the </w:t>
      </w:r>
      <w:proofErr w:type="spellStart"/>
      <w:r w:rsidRPr="003E03E6">
        <w:t>Stallerpoint</w:t>
      </w:r>
      <w:proofErr w:type="spellEnd"/>
      <w:r w:rsidRPr="003E03E6">
        <w:t>)</w:t>
      </w:r>
      <w:r w:rsidR="00A769E2">
        <w:t>;i</w:t>
      </w:r>
      <w:r w:rsidRPr="003E03E6">
        <w:t xml:space="preserve">n 30 subjects sensitised to the allergen in question, the extract produces a wheal measuring 7 mm in diameter (geometric mean). Skin reactivity in these subjects is simultaneously demonstrated by a positive response to a prick test with 9% codeine phosphate or 10 mg/mL histamine </w:t>
      </w:r>
      <w:proofErr w:type="spellStart"/>
      <w:r w:rsidRPr="003E03E6">
        <w:t>dihydrochloride</w:t>
      </w:r>
      <w:proofErr w:type="spellEnd"/>
      <w:r w:rsidRPr="003E03E6">
        <w:t>.</w:t>
      </w:r>
    </w:p>
    <w:p w14:paraId="48C9D9DB" w14:textId="77777777" w:rsidR="00317EA6" w:rsidRPr="003E03E6" w:rsidRDefault="00317EA6" w:rsidP="00317EA6">
      <w:r w:rsidRPr="003E03E6">
        <w:t xml:space="preserve">The selection of doses was based on previous experience with sublingual immunotherapy (sublingual solution, </w:t>
      </w:r>
      <w:proofErr w:type="spellStart"/>
      <w:r w:rsidRPr="003E03E6">
        <w:t>Staloral</w:t>
      </w:r>
      <w:proofErr w:type="spellEnd"/>
      <w:r w:rsidRPr="003E03E6">
        <w:t>) reported in the literature. Clinical data with this formulation indicated that doses of SLIT with HDM extracts up to 300 IR/day have been well tolerated.</w:t>
      </w:r>
    </w:p>
    <w:p w14:paraId="02B77337" w14:textId="77777777" w:rsidR="00317EA6" w:rsidRPr="003E03E6" w:rsidRDefault="00317EA6" w:rsidP="00317EA6">
      <w:r w:rsidRPr="003E03E6">
        <w:t xml:space="preserve">In the Phase </w:t>
      </w:r>
      <w:r>
        <w:t>I</w:t>
      </w:r>
      <w:r w:rsidRPr="003E03E6">
        <w:t xml:space="preserve"> </w:t>
      </w:r>
      <w:r>
        <w:t>Stud</w:t>
      </w:r>
      <w:r w:rsidRPr="003E03E6">
        <w:t xml:space="preserve">y V036.04 incremental doses of SLIT with HDM extracts up to 500 IR and immediate repeated high dose administration of SLIT 300 IR and 500 IR was studied. </w:t>
      </w:r>
      <w:r>
        <w:t>Three out of five</w:t>
      </w:r>
      <w:r w:rsidRPr="003E03E6">
        <w:t xml:space="preserve"> patients included in the immediate 500 IR dose withdrew due to</w:t>
      </w:r>
      <w:r w:rsidR="00C50DDD" w:rsidRPr="003E03E6">
        <w:t xml:space="preserve"> </w:t>
      </w:r>
      <w:r w:rsidR="00C50DDD">
        <w:rPr>
          <w:lang w:val="en-US"/>
        </w:rPr>
        <w:t>adverse events</w:t>
      </w:r>
      <w:r w:rsidR="00C50DDD" w:rsidRPr="003E03E6">
        <w:t xml:space="preserve"> </w:t>
      </w:r>
      <w:r w:rsidR="00C50DDD">
        <w:t>(</w:t>
      </w:r>
      <w:r w:rsidRPr="003E03E6">
        <w:t>AEs</w:t>
      </w:r>
      <w:r w:rsidR="00C50DDD">
        <w:t>)</w:t>
      </w:r>
      <w:r w:rsidRPr="003E03E6">
        <w:t xml:space="preserve"> related to treatment indicating that this dose was not considered acceptable. No patients withdrew from the dose escalation to 500 IR suggesting that a longer escalation phase was better tolerated.</w:t>
      </w:r>
    </w:p>
    <w:p w14:paraId="52CBB17D" w14:textId="1450E368" w:rsidR="00317EA6" w:rsidRPr="003E03E6" w:rsidRDefault="00317EA6" w:rsidP="00317EA6">
      <w:r w:rsidRPr="003E03E6">
        <w:t xml:space="preserve">A </w:t>
      </w:r>
      <w:r>
        <w:t>dose response</w:t>
      </w:r>
      <w:r w:rsidRPr="003E03E6">
        <w:t xml:space="preserve"> in efficacy was observed across the 100 IR to 500 IR dose range in Study VO67.10</w:t>
      </w:r>
      <w:r w:rsidR="007D102D">
        <w:t>.</w:t>
      </w:r>
    </w:p>
    <w:p w14:paraId="6B64DE34" w14:textId="77777777" w:rsidR="00317EA6" w:rsidRPr="00317EA6" w:rsidRDefault="00317EA6" w:rsidP="00317EA6">
      <w:r w:rsidRPr="003E03E6">
        <w:t>In the pivotal efficacy studies 2 doses were tested 300 IR and 500 IR. In the study in children only the 300 IR dose was tested. The 300 IR dose was chosen as the recommended dose as it was the minimum effective dose in the studies.</w:t>
      </w:r>
    </w:p>
    <w:p w14:paraId="17AD60E9" w14:textId="77777777"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482791301"/>
      <w:r w:rsidRPr="00254787">
        <w:t>Efficacy</w:t>
      </w:r>
      <w:bookmarkEnd w:id="90"/>
      <w:bookmarkEnd w:id="91"/>
      <w:bookmarkEnd w:id="92"/>
      <w:bookmarkEnd w:id="93"/>
      <w:bookmarkEnd w:id="94"/>
    </w:p>
    <w:p w14:paraId="716B9366" w14:textId="77777777" w:rsidR="00605AD4" w:rsidRDefault="00605AD4" w:rsidP="00605AD4">
      <w:pPr>
        <w:pStyle w:val="Heading4"/>
      </w:pPr>
      <w:bookmarkStart w:id="95" w:name="_Toc184439992"/>
      <w:bookmarkStart w:id="96" w:name="_Toc184440279"/>
      <w:bookmarkStart w:id="97" w:name="_Toc184444657"/>
      <w:bookmarkStart w:id="98" w:name="_Toc196046487"/>
      <w:r>
        <w:t>Studies providing efficacy data</w:t>
      </w:r>
    </w:p>
    <w:p w14:paraId="47029834" w14:textId="77777777" w:rsidR="00992222" w:rsidRPr="00992222" w:rsidRDefault="00992222" w:rsidP="00992222">
      <w:pPr>
        <w:pStyle w:val="Heading5"/>
      </w:pPr>
      <w:r>
        <w:t>Pivotal efficacy studies</w:t>
      </w:r>
    </w:p>
    <w:p w14:paraId="4995EF50" w14:textId="77777777" w:rsidR="00992222" w:rsidRPr="00992222" w:rsidRDefault="00992222" w:rsidP="00992222">
      <w:pPr>
        <w:pStyle w:val="Heading6"/>
      </w:pPr>
      <w:bookmarkStart w:id="99" w:name="_Ref243301615"/>
      <w:bookmarkStart w:id="100" w:name="_Ref271040927"/>
      <w:bookmarkStart w:id="101" w:name="_Ref271040932"/>
      <w:bookmarkStart w:id="102" w:name="_Toc272414653"/>
      <w:bookmarkStart w:id="103" w:name="_Toc290846275"/>
      <w:bookmarkStart w:id="104" w:name="_Ref417549428"/>
      <w:bookmarkStart w:id="105" w:name="_Toc417736291"/>
      <w:r w:rsidRPr="00992222">
        <w:t xml:space="preserve">Study </w:t>
      </w:r>
      <w:bookmarkEnd w:id="99"/>
      <w:bookmarkEnd w:id="100"/>
      <w:bookmarkEnd w:id="101"/>
      <w:bookmarkEnd w:id="102"/>
      <w:bookmarkEnd w:id="103"/>
      <w:r w:rsidRPr="00992222">
        <w:t>VO57.07</w:t>
      </w:r>
      <w:bookmarkEnd w:id="104"/>
      <w:bookmarkEnd w:id="105"/>
    </w:p>
    <w:p w14:paraId="180AA389" w14:textId="77777777" w:rsidR="00992222" w:rsidRPr="00992222" w:rsidRDefault="00992222" w:rsidP="00992222">
      <w:r w:rsidRPr="00992222">
        <w:t xml:space="preserve">A randomised, double blind, placebo </w:t>
      </w:r>
      <w:r w:rsidR="00753206" w:rsidRPr="00992222">
        <w:t>controlled</w:t>
      </w:r>
      <w:r w:rsidRPr="00992222">
        <w:t xml:space="preserve"> multi-national Phase II / III Study of the safety and efficacy of two doses of </w:t>
      </w:r>
      <w:r w:rsidR="002A0FA3">
        <w:t>SLIT</w:t>
      </w:r>
      <w:r w:rsidR="00753206">
        <w:t xml:space="preserve"> administered as allergen </w:t>
      </w:r>
      <w:r w:rsidRPr="00992222">
        <w:t>based tablets once daily to adult patients suffering from house dust mite allergic rhinitis.</w:t>
      </w:r>
    </w:p>
    <w:p w14:paraId="6B307F95" w14:textId="77777777" w:rsidR="00992222" w:rsidRPr="00992222" w:rsidRDefault="00992222" w:rsidP="00992222">
      <w:pPr>
        <w:pStyle w:val="Heading6"/>
      </w:pPr>
      <w:bookmarkStart w:id="106" w:name="_Toc290846276"/>
      <w:bookmarkStart w:id="107" w:name="_Ref417551551"/>
      <w:bookmarkStart w:id="108" w:name="_Toc417736292"/>
      <w:r w:rsidRPr="00992222">
        <w:t xml:space="preserve">Study </w:t>
      </w:r>
      <w:bookmarkEnd w:id="106"/>
      <w:r w:rsidRPr="00992222">
        <w:t>1207D1731</w:t>
      </w:r>
      <w:bookmarkEnd w:id="107"/>
      <w:bookmarkEnd w:id="108"/>
    </w:p>
    <w:p w14:paraId="3E9B558A" w14:textId="77777777" w:rsidR="00992222" w:rsidRPr="00992222" w:rsidRDefault="00992222" w:rsidP="00992222">
      <w:r w:rsidRPr="00992222">
        <w:t xml:space="preserve">A Phase II/III Study of </w:t>
      </w:r>
      <w:r w:rsidR="003138F8">
        <w:rPr>
          <w:lang w:val="en-US"/>
        </w:rPr>
        <w:t>sublingual tablet of house dust mite extracts</w:t>
      </w:r>
      <w:r w:rsidR="003138F8" w:rsidRPr="00992222">
        <w:t xml:space="preserve"> </w:t>
      </w:r>
      <w:r w:rsidR="003138F8">
        <w:t>(</w:t>
      </w:r>
      <w:r w:rsidRPr="00992222">
        <w:t>S-524101</w:t>
      </w:r>
      <w:r w:rsidR="003138F8">
        <w:t>)</w:t>
      </w:r>
      <w:r w:rsidRPr="00992222">
        <w:t xml:space="preserve"> in patients wi</w:t>
      </w:r>
      <w:r w:rsidR="00753206">
        <w:t>th perennial allergic rhinitis.</w:t>
      </w:r>
    </w:p>
    <w:p w14:paraId="682D63E0" w14:textId="77777777" w:rsidR="00992222" w:rsidRPr="004E4D20" w:rsidRDefault="00992222" w:rsidP="00992222">
      <w:pPr>
        <w:pStyle w:val="Heading5"/>
      </w:pPr>
      <w:bookmarkStart w:id="109" w:name="_Ref271037188"/>
      <w:bookmarkStart w:id="110" w:name="_Ref271037210"/>
      <w:bookmarkStart w:id="111" w:name="_Toc272414655"/>
      <w:bookmarkStart w:id="112" w:name="_Toc290846277"/>
      <w:bookmarkStart w:id="113" w:name="_Toc417736293"/>
      <w:bookmarkStart w:id="114" w:name="_Toc241374311"/>
      <w:bookmarkStart w:id="115" w:name="_Ref243294291"/>
      <w:r w:rsidRPr="004E4D20">
        <w:t>Other efficacy studies</w:t>
      </w:r>
      <w:bookmarkEnd w:id="109"/>
      <w:bookmarkEnd w:id="110"/>
      <w:bookmarkEnd w:id="111"/>
      <w:bookmarkEnd w:id="112"/>
      <w:bookmarkEnd w:id="113"/>
    </w:p>
    <w:p w14:paraId="305D72ED" w14:textId="77777777" w:rsidR="00992222" w:rsidRPr="004E4D20" w:rsidRDefault="00992222" w:rsidP="00992222">
      <w:pPr>
        <w:pStyle w:val="Heading6"/>
      </w:pPr>
      <w:bookmarkStart w:id="116" w:name="_Ref417551477"/>
      <w:bookmarkStart w:id="117" w:name="_Toc417736294"/>
      <w:bookmarkEnd w:id="114"/>
      <w:bookmarkEnd w:id="115"/>
      <w:r w:rsidRPr="004E4D20">
        <w:t>Study V064.08</w:t>
      </w:r>
      <w:bookmarkEnd w:id="116"/>
      <w:bookmarkEnd w:id="117"/>
    </w:p>
    <w:p w14:paraId="0C0EACD1" w14:textId="77777777" w:rsidR="00992222" w:rsidRPr="004E4D20" w:rsidRDefault="00992222" w:rsidP="00992222">
      <w:r w:rsidRPr="004E4D20">
        <w:t>A randomised, double blind, placebo controlled, multinational, Phase III Trial to assess the efficacy and safety of 300</w:t>
      </w:r>
      <w:r w:rsidR="002A0FA3">
        <w:t xml:space="preserve"> </w:t>
      </w:r>
      <w:r w:rsidRPr="004E4D20">
        <w:t xml:space="preserve">IR </w:t>
      </w:r>
      <w:r w:rsidR="002A0FA3">
        <w:t>SLIT</w:t>
      </w:r>
      <w:r w:rsidRPr="004E4D20">
        <w:t xml:space="preserve"> administered as allergen based tablets once daily to adolescents and children above the age of 5 years, suffering from hou</w:t>
      </w:r>
      <w:r>
        <w:t>se dust mite allergic rhinitis.</w:t>
      </w:r>
    </w:p>
    <w:p w14:paraId="2A0882AD" w14:textId="77777777" w:rsidR="00992222" w:rsidRPr="00992222" w:rsidRDefault="00992222" w:rsidP="00992222">
      <w:r>
        <w:t>Fur the details of the evaluation of the above studies please see Attachment 2.</w:t>
      </w:r>
    </w:p>
    <w:p w14:paraId="2389FBE5" w14:textId="77777777" w:rsidR="008E7846" w:rsidRDefault="00605AD4" w:rsidP="00605AD4">
      <w:pPr>
        <w:pStyle w:val="Heading4"/>
      </w:pPr>
      <w:r>
        <w:t>Evaluator’s conclusions on efficacy</w:t>
      </w:r>
    </w:p>
    <w:p w14:paraId="7F9139E2" w14:textId="77777777" w:rsidR="00992222" w:rsidRPr="0086273F" w:rsidRDefault="00992222" w:rsidP="00992222">
      <w:r w:rsidRPr="0086273F">
        <w:t>The efficacy of HDM allergen extract is dependent on the</w:t>
      </w:r>
      <w:r>
        <w:t xml:space="preserve"> results of 2 pivotal studies; </w:t>
      </w:r>
      <w:r w:rsidRPr="0086273F">
        <w:t xml:space="preserve">VO57.07 </w:t>
      </w:r>
      <w:r>
        <w:t>which included only adults (18 to</w:t>
      </w:r>
      <w:r w:rsidRPr="0086273F">
        <w:t xml:space="preserve"> 50 years) and Study 1207D1731 which included both</w:t>
      </w:r>
      <w:r>
        <w:t xml:space="preserve"> adults and adolescents aged 12 to </w:t>
      </w:r>
      <w:r w:rsidRPr="0086273F">
        <w:t>65 years. In these studies there was statistically significant superiority for both the 300 IR and 500 IR tablets compared to placebo. The difference between the 2 treatments groups was</w:t>
      </w:r>
      <w:r>
        <w:t xml:space="preserve"> not statistically significant.</w:t>
      </w:r>
    </w:p>
    <w:p w14:paraId="01668E10" w14:textId="77777777" w:rsidR="00992222" w:rsidRPr="0086273F" w:rsidRDefault="00992222" w:rsidP="00992222">
      <w:r w:rsidRPr="0086273F">
        <w:lastRenderedPageBreak/>
        <w:t xml:space="preserve">The dedicated paediatric </w:t>
      </w:r>
      <w:r>
        <w:t xml:space="preserve">Study VO64.08 (5 to </w:t>
      </w:r>
      <w:r w:rsidRPr="0086273F">
        <w:t xml:space="preserve">17 years) </w:t>
      </w:r>
      <w:r w:rsidR="00753206">
        <w:t>found no difference between 300 </w:t>
      </w:r>
      <w:r w:rsidRPr="0086273F">
        <w:t>IR and placebo. The study was stopped after the end of the first year of treatment due to the subjects not being sufficiently symptomatic to enable assessment of the efficacy of HDM tablets.</w:t>
      </w:r>
    </w:p>
    <w:p w14:paraId="5664B222" w14:textId="77777777" w:rsidR="00992222" w:rsidRPr="0086273F" w:rsidRDefault="00992222" w:rsidP="00992222">
      <w:r w:rsidRPr="0086273F">
        <w:t xml:space="preserve">The sponsor claims that the efficacy of the product in children and adolescents is demonstrated from the results of </w:t>
      </w:r>
      <w:r>
        <w:t>Stud</w:t>
      </w:r>
      <w:r w:rsidRPr="0086273F">
        <w:t>y 1207D1731. The mean age was 30 ± 11 years and the median age was 30 years. The breakdown of the ages cohorts presented in the study report is as follows.</w:t>
      </w:r>
    </w:p>
    <w:p w14:paraId="7012B6A4" w14:textId="77777777" w:rsidR="00992222" w:rsidRPr="0086273F" w:rsidRDefault="00992222" w:rsidP="00992222">
      <w:pPr>
        <w:pStyle w:val="Tabletitle0"/>
      </w:pPr>
      <w:bookmarkStart w:id="118" w:name="_Toc417806384"/>
      <w:r w:rsidRPr="0086273F">
        <w:t xml:space="preserve">Table </w:t>
      </w:r>
      <w:r w:rsidR="003138F8">
        <w:t>5</w:t>
      </w:r>
      <w:r>
        <w:t xml:space="preserve">: </w:t>
      </w:r>
      <w:r w:rsidRPr="0086273F">
        <w:t>Study 1207D1731: Age cohorts</w:t>
      </w:r>
      <w:bookmarkEnd w:id="118"/>
    </w:p>
    <w:p w14:paraId="18F5934A" w14:textId="77777777" w:rsidR="00992222" w:rsidRDefault="00992222" w:rsidP="00992222">
      <w:r>
        <w:rPr>
          <w:noProof/>
          <w:lang w:eastAsia="en-AU"/>
        </w:rPr>
        <w:drawing>
          <wp:inline distT="0" distB="0" distL="0" distR="0" wp14:anchorId="4E671D78" wp14:editId="64E276B5">
            <wp:extent cx="5400040" cy="896545"/>
            <wp:effectExtent l="0" t="0" r="0" b="0"/>
            <wp:docPr id="3" name="Picture 3" descr="Table 5: Study 1207D1731: Age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896545"/>
                    </a:xfrm>
                    <a:prstGeom prst="rect">
                      <a:avLst/>
                    </a:prstGeom>
                  </pic:spPr>
                </pic:pic>
              </a:graphicData>
            </a:graphic>
          </wp:inline>
        </w:drawing>
      </w:r>
    </w:p>
    <w:p w14:paraId="20202BF7" w14:textId="5682FA41" w:rsidR="00992222" w:rsidRPr="0086273F" w:rsidRDefault="00992222" w:rsidP="00992222">
      <w:r w:rsidRPr="0086273F">
        <w:t>A subgroup analys</w:t>
      </w:r>
      <w:r>
        <w:t>is in the adolescents (aged 12 to</w:t>
      </w:r>
      <w:r w:rsidRPr="0086273F">
        <w:t xml:space="preserve"> </w:t>
      </w:r>
      <w:r>
        <w:t xml:space="preserve">&lt; </w:t>
      </w:r>
      <w:r w:rsidRPr="0086273F">
        <w:t xml:space="preserve">18 years) was referenced in the summary of clinical efficacy. </w:t>
      </w:r>
      <w:r w:rsidRPr="001A3124">
        <w:rPr>
          <w:strike/>
        </w:rPr>
        <w:t>This is not included in the study report</w:t>
      </w:r>
      <w:r w:rsidRPr="0086273F">
        <w:t>.</w:t>
      </w:r>
      <w:r w:rsidR="00110B12">
        <w:t xml:space="preserve"> </w:t>
      </w:r>
      <w:r w:rsidR="00A54290">
        <w:t xml:space="preserve">A </w:t>
      </w:r>
      <w:r w:rsidRPr="0086273F">
        <w:t>conclusion of a statistically significant difference between 500 IR and 300 IR compared to placebo</w:t>
      </w:r>
      <w:r w:rsidR="00A54290">
        <w:t xml:space="preserve"> is given</w:t>
      </w:r>
      <w:r w:rsidRPr="0086273F">
        <w:t xml:space="preserve">. The treatment effect of the 500 IR group was estimated as the difference in </w:t>
      </w:r>
      <w:r w:rsidR="002A0FA3">
        <w:rPr>
          <w:lang w:val="en-US"/>
        </w:rPr>
        <w:t>least squares</w:t>
      </w:r>
      <w:r w:rsidR="002A0FA3" w:rsidRPr="0086273F">
        <w:t xml:space="preserve"> </w:t>
      </w:r>
      <w:r w:rsidR="002A0FA3">
        <w:t>(</w:t>
      </w:r>
      <w:r w:rsidRPr="0086273F">
        <w:t>LS</w:t>
      </w:r>
      <w:r w:rsidR="002A0FA3">
        <w:t>)</w:t>
      </w:r>
      <w:r w:rsidRPr="0086273F">
        <w:t xml:space="preserve"> means of - 1.88 (95% CI: -2.84, -0.93), corresponding to a relative LS mean difference compared to placebo of -24.8% and the treatment effect of the 300 IR group was estimated as the difference in LS mean of -2.04 (</w:t>
      </w:r>
      <w:r w:rsidR="005A70BC">
        <w:t>9</w:t>
      </w:r>
      <w:r w:rsidRPr="0086273F">
        <w:t>5% CI: -3.01, -1.08), corresponding to a relative LS mean difference compared to placebo of -26.9%.</w:t>
      </w:r>
    </w:p>
    <w:p w14:paraId="0D437169" w14:textId="77777777" w:rsidR="00992222" w:rsidRPr="0086273F" w:rsidRDefault="00992222" w:rsidP="00992222">
      <w:r>
        <w:t xml:space="preserve">There were no children (aged 5 to </w:t>
      </w:r>
      <w:r w:rsidRPr="0086273F">
        <w:t>12 years) in this study and so the efficacy in this popul</w:t>
      </w:r>
      <w:r>
        <w:t>ation has not been established.</w:t>
      </w:r>
    </w:p>
    <w:p w14:paraId="6F6271FA" w14:textId="77777777" w:rsidR="00992222" w:rsidRPr="0086273F" w:rsidRDefault="00992222" w:rsidP="00992222">
      <w:r w:rsidRPr="0086273F">
        <w:t>The EU guideline is clear about the need to establish the efficacy in children and adolescents:</w:t>
      </w:r>
    </w:p>
    <w:p w14:paraId="2EBB83CD" w14:textId="77777777" w:rsidR="00992222" w:rsidRPr="0086273F" w:rsidRDefault="00992222" w:rsidP="00992222">
      <w:pPr>
        <w:ind w:left="720"/>
      </w:pPr>
      <w:r w:rsidRPr="0086273F">
        <w:t>“The efficacy of products for specific immunotherapy has to be evaluated in special trials in the paediatric population and not in combined trials with paediatric population and adults. Adolescents and adults can be investigated as a combined population.”</w:t>
      </w:r>
    </w:p>
    <w:p w14:paraId="6ABC0C3D" w14:textId="554ACEBC" w:rsidR="00992222" w:rsidRPr="0086273F" w:rsidRDefault="00992222" w:rsidP="00992222">
      <w:r w:rsidRPr="0086273F">
        <w:t xml:space="preserve">Study VO64.08 does establish the safety of the product in children and adolescents. It would have been preferable to have been able to fully evaluate the subgroup analysis for the full study outcomes but the </w:t>
      </w:r>
      <w:r w:rsidR="006E6DEF">
        <w:t xml:space="preserve">change in </w:t>
      </w:r>
      <w:r w:rsidR="007168BF">
        <w:rPr>
          <w:lang w:val="en-US"/>
        </w:rPr>
        <w:t>average adjusted symptom score</w:t>
      </w:r>
      <w:r w:rsidR="007168BF" w:rsidRPr="0086273F">
        <w:t xml:space="preserve"> </w:t>
      </w:r>
      <w:r w:rsidR="007168BF">
        <w:t>(</w:t>
      </w:r>
      <w:r w:rsidRPr="0086273F">
        <w:t>AASS</w:t>
      </w:r>
      <w:r w:rsidR="007168BF">
        <w:t>)</w:t>
      </w:r>
      <w:r w:rsidRPr="0086273F">
        <w:t xml:space="preserve"> has been shown to be statistically significant for the adolescent population. The efficacy has not been established.</w:t>
      </w:r>
    </w:p>
    <w:p w14:paraId="4B2E65EA" w14:textId="1804A317" w:rsidR="00992222" w:rsidRPr="00992222" w:rsidRDefault="00992222" w:rsidP="00992222">
      <w:r w:rsidRPr="0086273F">
        <w:t>There is also a concern about the dose which was used in the studies. The doses selected for</w:t>
      </w:r>
      <w:r w:rsidR="007D102D">
        <w:t xml:space="preserve"> </w:t>
      </w:r>
      <w:r w:rsidRPr="0086273F">
        <w:t xml:space="preserve">study were 300 IR and 500 IR. The selection of these doses is not explained other than as an extrapolation from another sublingual solution product </w:t>
      </w:r>
      <w:proofErr w:type="spellStart"/>
      <w:r w:rsidRPr="0086273F">
        <w:t>Staloral</w:t>
      </w:r>
      <w:proofErr w:type="spellEnd"/>
      <w:r w:rsidRPr="0086273F">
        <w:t xml:space="preserve"> made by the same sponsor. No details are given about </w:t>
      </w:r>
      <w:proofErr w:type="spellStart"/>
      <w:r w:rsidRPr="0086273F">
        <w:t>Staloral</w:t>
      </w:r>
      <w:proofErr w:type="spellEnd"/>
      <w:r w:rsidRPr="0086273F">
        <w:t xml:space="preserve"> other than to say in </w:t>
      </w:r>
      <w:r>
        <w:t>one</w:t>
      </w:r>
      <w:r w:rsidRPr="0086273F">
        <w:t xml:space="preserve"> section of the clinical overview that it is extemporaneously compounded and has been used for decades in Australia and in another part that is contains the same antigens as </w:t>
      </w:r>
      <w:r>
        <w:t>Actair</w:t>
      </w:r>
      <w:r w:rsidRPr="0086273F">
        <w:t xml:space="preserve"> and that it has been used by over 432,000 patients. It is unclear whether the product has been evaluated for efficacy and safety and how the doses recommended were determined. There is some justification for the choice of 300 IR over 500 IR. Both doses are effective but the 300 IR has a better safety profile than the 500 IR but it is not proven that this is the minimum effective dose. The 100 IR dose is clearly less effective but no doses between</w:t>
      </w:r>
      <w:r>
        <w:t xml:space="preserve"> 100 IR and 300 IR were tested.</w:t>
      </w:r>
    </w:p>
    <w:p w14:paraId="4E088F1C" w14:textId="77777777" w:rsidR="008E7846" w:rsidRPr="002E238E" w:rsidRDefault="008E7846" w:rsidP="008E7846">
      <w:pPr>
        <w:pStyle w:val="Heading3"/>
      </w:pPr>
      <w:bookmarkStart w:id="119" w:name="_Toc163441378"/>
      <w:bookmarkStart w:id="120" w:name="_Toc196046495"/>
      <w:bookmarkStart w:id="121" w:name="_Toc247691522"/>
      <w:bookmarkStart w:id="122" w:name="_Toc314842505"/>
      <w:bookmarkStart w:id="123" w:name="_Toc482791302"/>
      <w:bookmarkEnd w:id="95"/>
      <w:bookmarkEnd w:id="96"/>
      <w:bookmarkEnd w:id="97"/>
      <w:bookmarkEnd w:id="98"/>
      <w:r w:rsidRPr="002E238E">
        <w:lastRenderedPageBreak/>
        <w:t>Safety</w:t>
      </w:r>
      <w:bookmarkEnd w:id="119"/>
      <w:bookmarkEnd w:id="120"/>
      <w:bookmarkEnd w:id="121"/>
      <w:bookmarkEnd w:id="122"/>
      <w:bookmarkEnd w:id="123"/>
    </w:p>
    <w:p w14:paraId="3966FB7D" w14:textId="77777777" w:rsidR="00605AD4" w:rsidRDefault="00605AD4" w:rsidP="00605AD4">
      <w:pPr>
        <w:pStyle w:val="Heading4"/>
      </w:pPr>
      <w:bookmarkStart w:id="124" w:name="_Toc247691524"/>
      <w:bookmarkStart w:id="125" w:name="_Toc314842508"/>
      <w:bookmarkStart w:id="126" w:name="_Toc196046504"/>
      <w:bookmarkStart w:id="127" w:name="_Toc163441390"/>
      <w:r w:rsidRPr="00605AD4">
        <w:t>Studies providing safety data</w:t>
      </w:r>
    </w:p>
    <w:p w14:paraId="3ECACDD7" w14:textId="77777777" w:rsidR="00992222" w:rsidRPr="006376F5" w:rsidRDefault="00992222" w:rsidP="00846070">
      <w:pPr>
        <w:pStyle w:val="Heading5"/>
      </w:pPr>
      <w:r w:rsidRPr="006376F5">
        <w:t>Pivotal efficacy studies</w:t>
      </w:r>
    </w:p>
    <w:p w14:paraId="05478C5F" w14:textId="77777777" w:rsidR="00992222" w:rsidRPr="006376F5" w:rsidRDefault="00992222" w:rsidP="00992222">
      <w:r w:rsidRPr="006376F5">
        <w:t>In the pivotal efficacy studies, the following safety data were collected:</w:t>
      </w:r>
    </w:p>
    <w:p w14:paraId="24E0D521" w14:textId="77777777" w:rsidR="00992222" w:rsidRPr="00992222" w:rsidRDefault="00992222" w:rsidP="00992222">
      <w:pPr>
        <w:pStyle w:val="ListBullet"/>
      </w:pPr>
      <w:r w:rsidRPr="00992222">
        <w:t>General adverse events (AEs) were assessed by specifically monitoring for, or asking about any adverse events using a non-leading question at each visit.</w:t>
      </w:r>
    </w:p>
    <w:p w14:paraId="605D2ACD" w14:textId="77777777" w:rsidR="00992222" w:rsidRPr="00992222" w:rsidRDefault="00992222" w:rsidP="00992222">
      <w:pPr>
        <w:pStyle w:val="ListBullet"/>
      </w:pPr>
      <w:r w:rsidRPr="00992222">
        <w:t>AEs of particular interest, including anaphylactic shock/severe anaphylactic reactions, severe laryngopharyngeal disorders and autoimmune disorders, were assessed by review of the AE database.</w:t>
      </w:r>
    </w:p>
    <w:p w14:paraId="713FF62D" w14:textId="77777777" w:rsidR="00992222" w:rsidRPr="00992222" w:rsidRDefault="00992222" w:rsidP="00992222">
      <w:pPr>
        <w:pStyle w:val="ListBullet"/>
      </w:pPr>
      <w:r w:rsidRPr="00992222">
        <w:t xml:space="preserve">Laboratory tests, including Haematology: haemoglobin, haematocrit, red blood cells (RBC), platelets, white blood cells (WBC), differential counts (neutrophils, basophils, eosinophils, monocytes, lymphocytes). Biochemistry: Aspartate aminotransferase (AST), alanine aminotransferase (ALT), alkaline phosphatase (ALP), total bilirubin, gamma </w:t>
      </w:r>
      <w:proofErr w:type="spellStart"/>
      <w:r w:rsidRPr="00992222">
        <w:t>glutamyltransferase</w:t>
      </w:r>
      <w:proofErr w:type="spellEnd"/>
      <w:r w:rsidRPr="00992222">
        <w:t xml:space="preserve"> (GGT), lactate dehydrogenase (LDH), total protein, albumin, urea, and creatinine, were performed at enrolment, end of treatment phase and end of observation phase.</w:t>
      </w:r>
    </w:p>
    <w:p w14:paraId="3DD41848" w14:textId="77777777" w:rsidR="00992222" w:rsidRPr="00992222" w:rsidRDefault="00992222" w:rsidP="00992222">
      <w:pPr>
        <w:pStyle w:val="ListBullet"/>
      </w:pPr>
      <w:r w:rsidRPr="00992222">
        <w:t>Physical examination; including vital signs (systolic and diastolic blood pressure (BP) and pulse rate) were assessed at each study visit.</w:t>
      </w:r>
    </w:p>
    <w:p w14:paraId="0CB4466B" w14:textId="77777777" w:rsidR="00846070" w:rsidRPr="006376F5" w:rsidRDefault="00846070" w:rsidP="00846070">
      <w:pPr>
        <w:pStyle w:val="Heading5"/>
      </w:pPr>
      <w:r w:rsidRPr="006376F5">
        <w:t>Dose-response and non-pivotal efficacy studies</w:t>
      </w:r>
    </w:p>
    <w:p w14:paraId="7AFE3C8D" w14:textId="77777777" w:rsidR="00992222" w:rsidRPr="00992222" w:rsidRDefault="00846070" w:rsidP="00992222">
      <w:r w:rsidRPr="006376F5">
        <w:t xml:space="preserve">The </w:t>
      </w:r>
      <w:r>
        <w:t>dose response</w:t>
      </w:r>
      <w:r w:rsidRPr="006376F5">
        <w:t xml:space="preserve"> and safety and tolerability studies summaries </w:t>
      </w:r>
      <w:r>
        <w:t xml:space="preserve">were provided. </w:t>
      </w:r>
      <w:r w:rsidRPr="006376F5">
        <w:t>They provided the same data as</w:t>
      </w:r>
      <w:r>
        <w:t xml:space="preserve"> for the pivotal studies above.</w:t>
      </w:r>
    </w:p>
    <w:p w14:paraId="0665EA95" w14:textId="77777777" w:rsidR="00605AD4" w:rsidRDefault="00605AD4" w:rsidP="00605AD4">
      <w:pPr>
        <w:pStyle w:val="Heading4"/>
      </w:pPr>
      <w:r w:rsidRPr="00605AD4">
        <w:t>Patient exposure</w:t>
      </w:r>
    </w:p>
    <w:p w14:paraId="0EE50543" w14:textId="31E9D372" w:rsidR="00846070" w:rsidRPr="006376F5" w:rsidRDefault="00846070" w:rsidP="00846070">
      <w:r w:rsidRPr="006376F5">
        <w:t xml:space="preserve">2,407 patients were exposed to HDM </w:t>
      </w:r>
      <w:r w:rsidR="006E6DEF">
        <w:t xml:space="preserve">extract </w:t>
      </w:r>
      <w:r w:rsidRPr="006376F5">
        <w:t>tablet or placebo: 1,571 (1,182 adults, 261 adolescents and 128 child</w:t>
      </w:r>
      <w:r w:rsidR="00753206">
        <w:t xml:space="preserve">ren) were exposed to HDM tablet as shown in Tables </w:t>
      </w:r>
      <w:r w:rsidR="003138F8">
        <w:t>6 and 7</w:t>
      </w:r>
      <w:r w:rsidR="00753206">
        <w:t>.</w:t>
      </w:r>
    </w:p>
    <w:p w14:paraId="0307987C" w14:textId="77777777" w:rsidR="00846070" w:rsidRPr="006376F5" w:rsidRDefault="00846070" w:rsidP="00846070">
      <w:pPr>
        <w:pStyle w:val="Tabletitle0"/>
      </w:pPr>
      <w:bookmarkStart w:id="128" w:name="_Toc417806385"/>
      <w:r w:rsidRPr="003138F8">
        <w:lastRenderedPageBreak/>
        <w:t xml:space="preserve">Table </w:t>
      </w:r>
      <w:r w:rsidR="003138F8" w:rsidRPr="003138F8">
        <w:t>6</w:t>
      </w:r>
      <w:r w:rsidRPr="003138F8">
        <w:t>: Exposure to</w:t>
      </w:r>
      <w:r w:rsidRPr="006376F5">
        <w:t xml:space="preserve"> HDM extract and placebo in clinical studies</w:t>
      </w:r>
      <w:bookmarkEnd w:id="128"/>
    </w:p>
    <w:tbl>
      <w:tblPr>
        <w:tblStyle w:val="TableTGAblue"/>
        <w:tblW w:w="4831" w:type="pct"/>
        <w:tblLook w:val="04A0" w:firstRow="1" w:lastRow="0" w:firstColumn="1" w:lastColumn="0" w:noHBand="0" w:noVBand="1"/>
      </w:tblPr>
      <w:tblGrid>
        <w:gridCol w:w="2235"/>
        <w:gridCol w:w="1417"/>
        <w:gridCol w:w="1276"/>
        <w:gridCol w:w="1134"/>
        <w:gridCol w:w="1276"/>
        <w:gridCol w:w="1087"/>
      </w:tblGrid>
      <w:tr w:rsidR="00846070" w:rsidRPr="006376F5" w14:paraId="542AACB3" w14:textId="77777777" w:rsidTr="0057009B">
        <w:trPr>
          <w:cnfStyle w:val="100000000000" w:firstRow="1" w:lastRow="0" w:firstColumn="0" w:lastColumn="0" w:oddVBand="0" w:evenVBand="0" w:oddHBand="0" w:evenHBand="0" w:firstRowFirstColumn="0" w:firstRowLastColumn="0" w:lastRowFirstColumn="0" w:lastRowLastColumn="0"/>
          <w:trHeight w:val="169"/>
        </w:trPr>
        <w:tc>
          <w:tcPr>
            <w:tcW w:w="2167" w:type="pct"/>
            <w:gridSpan w:val="2"/>
          </w:tcPr>
          <w:p w14:paraId="557188EA" w14:textId="77777777" w:rsidR="00846070" w:rsidRPr="006376F5" w:rsidRDefault="00846070" w:rsidP="00790DE0">
            <w:pPr>
              <w:ind w:left="0" w:right="0"/>
              <w:rPr>
                <w:sz w:val="20"/>
                <w:szCs w:val="20"/>
              </w:rPr>
            </w:pPr>
            <w:r w:rsidRPr="006376F5">
              <w:rPr>
                <w:sz w:val="20"/>
                <w:szCs w:val="20"/>
              </w:rPr>
              <w:t>Rhinitis program</w:t>
            </w:r>
          </w:p>
        </w:tc>
        <w:tc>
          <w:tcPr>
            <w:tcW w:w="757" w:type="pct"/>
            <w:vMerge w:val="restart"/>
          </w:tcPr>
          <w:p w14:paraId="7F9E57DE" w14:textId="77777777" w:rsidR="00846070" w:rsidRPr="006376F5" w:rsidRDefault="00846070" w:rsidP="00790DE0">
            <w:pPr>
              <w:ind w:left="0" w:right="0"/>
              <w:rPr>
                <w:sz w:val="20"/>
                <w:szCs w:val="20"/>
              </w:rPr>
            </w:pPr>
            <w:r w:rsidRPr="006376F5">
              <w:rPr>
                <w:sz w:val="20"/>
                <w:szCs w:val="20"/>
              </w:rPr>
              <w:t>Duration</w:t>
            </w:r>
          </w:p>
        </w:tc>
        <w:tc>
          <w:tcPr>
            <w:tcW w:w="673" w:type="pct"/>
            <w:vMerge w:val="restart"/>
          </w:tcPr>
          <w:p w14:paraId="789DCED7" w14:textId="77777777" w:rsidR="00846070" w:rsidRPr="006376F5" w:rsidRDefault="00846070" w:rsidP="00790DE0">
            <w:pPr>
              <w:ind w:left="0" w:right="0"/>
              <w:rPr>
                <w:sz w:val="20"/>
                <w:szCs w:val="20"/>
              </w:rPr>
            </w:pPr>
            <w:r w:rsidRPr="006376F5">
              <w:rPr>
                <w:sz w:val="20"/>
                <w:szCs w:val="20"/>
              </w:rPr>
              <w:t>Active</w:t>
            </w:r>
            <w:r>
              <w:rPr>
                <w:sz w:val="20"/>
                <w:szCs w:val="20"/>
              </w:rPr>
              <w:t xml:space="preserve"> </w:t>
            </w:r>
            <w:r w:rsidRPr="006376F5">
              <w:rPr>
                <w:sz w:val="20"/>
                <w:szCs w:val="20"/>
              </w:rPr>
              <w:t>(n)</w:t>
            </w:r>
          </w:p>
        </w:tc>
        <w:tc>
          <w:tcPr>
            <w:tcW w:w="757" w:type="pct"/>
            <w:vMerge w:val="restart"/>
          </w:tcPr>
          <w:p w14:paraId="5914FD39" w14:textId="77777777" w:rsidR="00846070" w:rsidRPr="006376F5" w:rsidRDefault="00846070" w:rsidP="00790DE0">
            <w:pPr>
              <w:ind w:left="0" w:right="0"/>
              <w:rPr>
                <w:sz w:val="20"/>
                <w:szCs w:val="20"/>
              </w:rPr>
            </w:pPr>
            <w:r w:rsidRPr="006376F5">
              <w:rPr>
                <w:sz w:val="20"/>
                <w:szCs w:val="20"/>
              </w:rPr>
              <w:t>Placebo</w:t>
            </w:r>
            <w:r>
              <w:rPr>
                <w:sz w:val="20"/>
                <w:szCs w:val="20"/>
              </w:rPr>
              <w:t xml:space="preserve"> </w:t>
            </w:r>
            <w:r w:rsidRPr="006376F5">
              <w:rPr>
                <w:sz w:val="20"/>
                <w:szCs w:val="20"/>
              </w:rPr>
              <w:t>(n)</w:t>
            </w:r>
          </w:p>
        </w:tc>
        <w:tc>
          <w:tcPr>
            <w:tcW w:w="645" w:type="pct"/>
            <w:vMerge w:val="restart"/>
          </w:tcPr>
          <w:p w14:paraId="15435BEF" w14:textId="77777777" w:rsidR="00846070" w:rsidRPr="006376F5" w:rsidRDefault="00846070" w:rsidP="00790DE0">
            <w:pPr>
              <w:ind w:left="0" w:right="0"/>
              <w:rPr>
                <w:sz w:val="20"/>
                <w:szCs w:val="20"/>
              </w:rPr>
            </w:pPr>
            <w:r w:rsidRPr="006376F5">
              <w:rPr>
                <w:sz w:val="20"/>
                <w:szCs w:val="20"/>
              </w:rPr>
              <w:t>Total</w:t>
            </w:r>
          </w:p>
        </w:tc>
      </w:tr>
      <w:tr w:rsidR="00846070" w:rsidRPr="006376F5" w14:paraId="462502A7" w14:textId="77777777" w:rsidTr="0057009B">
        <w:trPr>
          <w:trHeight w:val="168"/>
        </w:trPr>
        <w:tc>
          <w:tcPr>
            <w:tcW w:w="1326" w:type="pct"/>
          </w:tcPr>
          <w:p w14:paraId="043036CF" w14:textId="77777777" w:rsidR="00846070" w:rsidRPr="006376F5" w:rsidRDefault="00846070" w:rsidP="00790DE0">
            <w:pPr>
              <w:keepNext/>
              <w:ind w:left="0" w:right="0"/>
              <w:rPr>
                <w:sz w:val="20"/>
                <w:szCs w:val="20"/>
              </w:rPr>
            </w:pPr>
            <w:r w:rsidRPr="006376F5">
              <w:rPr>
                <w:sz w:val="20"/>
                <w:szCs w:val="20"/>
              </w:rPr>
              <w:t>Population</w:t>
            </w:r>
          </w:p>
        </w:tc>
        <w:tc>
          <w:tcPr>
            <w:tcW w:w="841" w:type="pct"/>
          </w:tcPr>
          <w:p w14:paraId="48B34644" w14:textId="77777777" w:rsidR="00846070" w:rsidRPr="006376F5" w:rsidRDefault="00846070" w:rsidP="00790DE0">
            <w:pPr>
              <w:keepNext/>
              <w:ind w:left="0" w:right="0"/>
              <w:rPr>
                <w:sz w:val="20"/>
                <w:szCs w:val="20"/>
              </w:rPr>
            </w:pPr>
            <w:r w:rsidRPr="006376F5">
              <w:rPr>
                <w:sz w:val="20"/>
                <w:szCs w:val="20"/>
              </w:rPr>
              <w:t>Study</w:t>
            </w:r>
          </w:p>
        </w:tc>
        <w:tc>
          <w:tcPr>
            <w:tcW w:w="757" w:type="pct"/>
            <w:vMerge/>
          </w:tcPr>
          <w:p w14:paraId="209B78D8" w14:textId="77777777" w:rsidR="00846070" w:rsidRPr="006376F5" w:rsidRDefault="00846070" w:rsidP="00790DE0">
            <w:pPr>
              <w:keepNext/>
              <w:ind w:left="0" w:right="0"/>
              <w:rPr>
                <w:sz w:val="20"/>
                <w:szCs w:val="20"/>
              </w:rPr>
            </w:pPr>
          </w:p>
        </w:tc>
        <w:tc>
          <w:tcPr>
            <w:tcW w:w="673" w:type="pct"/>
            <w:vMerge/>
          </w:tcPr>
          <w:p w14:paraId="0777BDA8" w14:textId="77777777" w:rsidR="00846070" w:rsidRPr="006376F5" w:rsidRDefault="00846070" w:rsidP="00790DE0">
            <w:pPr>
              <w:keepNext/>
              <w:ind w:left="0" w:right="0"/>
              <w:rPr>
                <w:sz w:val="20"/>
                <w:szCs w:val="20"/>
              </w:rPr>
            </w:pPr>
          </w:p>
        </w:tc>
        <w:tc>
          <w:tcPr>
            <w:tcW w:w="757" w:type="pct"/>
            <w:vMerge/>
          </w:tcPr>
          <w:p w14:paraId="17B37893" w14:textId="77777777" w:rsidR="00846070" w:rsidRPr="006376F5" w:rsidRDefault="00846070" w:rsidP="00790DE0">
            <w:pPr>
              <w:keepNext/>
              <w:ind w:left="0" w:right="0"/>
              <w:rPr>
                <w:sz w:val="20"/>
                <w:szCs w:val="20"/>
              </w:rPr>
            </w:pPr>
          </w:p>
        </w:tc>
        <w:tc>
          <w:tcPr>
            <w:tcW w:w="645" w:type="pct"/>
            <w:vMerge/>
          </w:tcPr>
          <w:p w14:paraId="5B256F20" w14:textId="77777777" w:rsidR="00846070" w:rsidRPr="006376F5" w:rsidRDefault="00846070" w:rsidP="00790DE0">
            <w:pPr>
              <w:keepNext/>
              <w:ind w:left="0" w:right="0"/>
              <w:rPr>
                <w:sz w:val="20"/>
                <w:szCs w:val="20"/>
              </w:rPr>
            </w:pPr>
          </w:p>
        </w:tc>
      </w:tr>
      <w:tr w:rsidR="00846070" w:rsidRPr="006376F5" w14:paraId="2E7925B7" w14:textId="77777777" w:rsidTr="0057009B">
        <w:trPr>
          <w:trHeight w:val="472"/>
        </w:trPr>
        <w:tc>
          <w:tcPr>
            <w:tcW w:w="1326" w:type="pct"/>
            <w:vMerge w:val="restart"/>
          </w:tcPr>
          <w:p w14:paraId="14E3AD51" w14:textId="77777777" w:rsidR="00846070" w:rsidRPr="006376F5" w:rsidRDefault="00846070" w:rsidP="00790DE0">
            <w:pPr>
              <w:keepNext/>
              <w:ind w:left="0" w:right="0"/>
              <w:rPr>
                <w:sz w:val="20"/>
                <w:szCs w:val="20"/>
              </w:rPr>
            </w:pPr>
            <w:r w:rsidRPr="006376F5">
              <w:rPr>
                <w:sz w:val="20"/>
                <w:szCs w:val="20"/>
              </w:rPr>
              <w:t>Adults</w:t>
            </w:r>
          </w:p>
        </w:tc>
        <w:tc>
          <w:tcPr>
            <w:tcW w:w="841" w:type="pct"/>
          </w:tcPr>
          <w:p w14:paraId="7D7CBE6F" w14:textId="77777777" w:rsidR="00846070" w:rsidRPr="006376F5" w:rsidRDefault="00846070" w:rsidP="00790DE0">
            <w:pPr>
              <w:keepNext/>
              <w:ind w:left="0" w:right="0"/>
              <w:rPr>
                <w:sz w:val="20"/>
                <w:szCs w:val="20"/>
              </w:rPr>
            </w:pPr>
            <w:r w:rsidRPr="006376F5">
              <w:rPr>
                <w:sz w:val="20"/>
                <w:szCs w:val="20"/>
              </w:rPr>
              <w:t>VO36.04F</w:t>
            </w:r>
          </w:p>
        </w:tc>
        <w:tc>
          <w:tcPr>
            <w:tcW w:w="757" w:type="pct"/>
          </w:tcPr>
          <w:p w14:paraId="35A2A980" w14:textId="77777777" w:rsidR="00846070" w:rsidRPr="006376F5" w:rsidRDefault="00846070" w:rsidP="00790DE0">
            <w:pPr>
              <w:keepNext/>
              <w:ind w:left="0" w:right="0"/>
              <w:rPr>
                <w:sz w:val="20"/>
                <w:szCs w:val="20"/>
              </w:rPr>
            </w:pPr>
            <w:r w:rsidRPr="006376F5">
              <w:rPr>
                <w:sz w:val="20"/>
                <w:szCs w:val="20"/>
              </w:rPr>
              <w:t>10 days</w:t>
            </w:r>
          </w:p>
        </w:tc>
        <w:tc>
          <w:tcPr>
            <w:tcW w:w="673" w:type="pct"/>
          </w:tcPr>
          <w:p w14:paraId="3C4D7309" w14:textId="77777777" w:rsidR="00846070" w:rsidRPr="006376F5" w:rsidRDefault="00846070" w:rsidP="00790DE0">
            <w:pPr>
              <w:keepNext/>
              <w:ind w:left="0" w:right="0"/>
              <w:rPr>
                <w:sz w:val="20"/>
                <w:szCs w:val="20"/>
              </w:rPr>
            </w:pPr>
            <w:r w:rsidRPr="006376F5">
              <w:rPr>
                <w:sz w:val="20"/>
                <w:szCs w:val="20"/>
              </w:rPr>
              <w:t>23</w:t>
            </w:r>
          </w:p>
        </w:tc>
        <w:tc>
          <w:tcPr>
            <w:tcW w:w="757" w:type="pct"/>
          </w:tcPr>
          <w:p w14:paraId="0242EA74" w14:textId="77777777" w:rsidR="00846070" w:rsidRPr="006376F5" w:rsidRDefault="00846070" w:rsidP="00790DE0">
            <w:pPr>
              <w:keepNext/>
              <w:ind w:left="0" w:right="0"/>
              <w:rPr>
                <w:sz w:val="20"/>
                <w:szCs w:val="20"/>
              </w:rPr>
            </w:pPr>
            <w:r w:rsidRPr="006376F5">
              <w:rPr>
                <w:sz w:val="20"/>
                <w:szCs w:val="20"/>
              </w:rPr>
              <w:t>8</w:t>
            </w:r>
          </w:p>
        </w:tc>
        <w:tc>
          <w:tcPr>
            <w:tcW w:w="645" w:type="pct"/>
          </w:tcPr>
          <w:p w14:paraId="5C2910DF" w14:textId="77777777" w:rsidR="00846070" w:rsidRPr="006376F5" w:rsidRDefault="00846070" w:rsidP="00790DE0">
            <w:pPr>
              <w:keepNext/>
              <w:ind w:left="0" w:right="0"/>
              <w:rPr>
                <w:sz w:val="20"/>
                <w:szCs w:val="20"/>
              </w:rPr>
            </w:pPr>
            <w:r w:rsidRPr="006376F5">
              <w:rPr>
                <w:sz w:val="20"/>
                <w:szCs w:val="20"/>
              </w:rPr>
              <w:t>31</w:t>
            </w:r>
          </w:p>
        </w:tc>
      </w:tr>
      <w:tr w:rsidR="00846070" w:rsidRPr="006376F5" w14:paraId="7AE4BBF9" w14:textId="77777777" w:rsidTr="0057009B">
        <w:trPr>
          <w:trHeight w:val="140"/>
        </w:trPr>
        <w:tc>
          <w:tcPr>
            <w:tcW w:w="1326" w:type="pct"/>
            <w:vMerge/>
          </w:tcPr>
          <w:p w14:paraId="78A89AC5" w14:textId="77777777" w:rsidR="00846070" w:rsidRPr="006376F5" w:rsidRDefault="00846070" w:rsidP="00790DE0">
            <w:pPr>
              <w:keepNext/>
              <w:ind w:left="0" w:right="0"/>
              <w:rPr>
                <w:sz w:val="20"/>
                <w:szCs w:val="20"/>
              </w:rPr>
            </w:pPr>
          </w:p>
        </w:tc>
        <w:tc>
          <w:tcPr>
            <w:tcW w:w="841" w:type="pct"/>
          </w:tcPr>
          <w:p w14:paraId="774667BB" w14:textId="77777777" w:rsidR="00846070" w:rsidRPr="006376F5" w:rsidRDefault="00846070" w:rsidP="00790DE0">
            <w:pPr>
              <w:keepNext/>
              <w:ind w:left="0" w:right="0"/>
              <w:rPr>
                <w:sz w:val="20"/>
                <w:szCs w:val="20"/>
              </w:rPr>
            </w:pPr>
            <w:r w:rsidRPr="006376F5">
              <w:rPr>
                <w:sz w:val="20"/>
                <w:szCs w:val="20"/>
              </w:rPr>
              <w:t>VO57.07</w:t>
            </w:r>
          </w:p>
        </w:tc>
        <w:tc>
          <w:tcPr>
            <w:tcW w:w="757" w:type="pct"/>
          </w:tcPr>
          <w:p w14:paraId="63066DFD"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08B662E6" w14:textId="77777777" w:rsidR="00846070" w:rsidRPr="006376F5" w:rsidRDefault="00846070" w:rsidP="00790DE0">
            <w:pPr>
              <w:keepNext/>
              <w:ind w:left="0" w:right="0"/>
              <w:rPr>
                <w:sz w:val="20"/>
                <w:szCs w:val="20"/>
              </w:rPr>
            </w:pPr>
            <w:r w:rsidRPr="006376F5">
              <w:rPr>
                <w:sz w:val="20"/>
                <w:szCs w:val="20"/>
              </w:rPr>
              <w:t>339</w:t>
            </w:r>
          </w:p>
        </w:tc>
        <w:tc>
          <w:tcPr>
            <w:tcW w:w="757" w:type="pct"/>
          </w:tcPr>
          <w:p w14:paraId="57FCB8D1" w14:textId="77777777" w:rsidR="00846070" w:rsidRPr="006376F5" w:rsidRDefault="00846070" w:rsidP="00790DE0">
            <w:pPr>
              <w:keepNext/>
              <w:ind w:left="0" w:right="0"/>
              <w:rPr>
                <w:sz w:val="20"/>
                <w:szCs w:val="20"/>
              </w:rPr>
            </w:pPr>
            <w:r w:rsidRPr="006376F5">
              <w:rPr>
                <w:sz w:val="20"/>
                <w:szCs w:val="20"/>
              </w:rPr>
              <w:t>170</w:t>
            </w:r>
          </w:p>
        </w:tc>
        <w:tc>
          <w:tcPr>
            <w:tcW w:w="645" w:type="pct"/>
          </w:tcPr>
          <w:p w14:paraId="154B0AA9" w14:textId="77777777" w:rsidR="00846070" w:rsidRPr="006376F5" w:rsidRDefault="00846070" w:rsidP="00790DE0">
            <w:pPr>
              <w:keepNext/>
              <w:ind w:left="0" w:right="0"/>
              <w:rPr>
                <w:sz w:val="20"/>
                <w:szCs w:val="20"/>
              </w:rPr>
            </w:pPr>
            <w:r w:rsidRPr="006376F5">
              <w:rPr>
                <w:sz w:val="20"/>
                <w:szCs w:val="20"/>
              </w:rPr>
              <w:t>509</w:t>
            </w:r>
          </w:p>
        </w:tc>
      </w:tr>
      <w:tr w:rsidR="00846070" w:rsidRPr="006376F5" w14:paraId="32581ABD" w14:textId="77777777" w:rsidTr="0057009B">
        <w:trPr>
          <w:trHeight w:val="140"/>
        </w:trPr>
        <w:tc>
          <w:tcPr>
            <w:tcW w:w="1326" w:type="pct"/>
            <w:vMerge/>
          </w:tcPr>
          <w:p w14:paraId="340C43B5" w14:textId="77777777" w:rsidR="00846070" w:rsidRPr="006376F5" w:rsidRDefault="00846070" w:rsidP="00790DE0">
            <w:pPr>
              <w:keepNext/>
              <w:ind w:left="0" w:right="0"/>
              <w:rPr>
                <w:sz w:val="20"/>
                <w:szCs w:val="20"/>
              </w:rPr>
            </w:pPr>
          </w:p>
        </w:tc>
        <w:tc>
          <w:tcPr>
            <w:tcW w:w="841" w:type="pct"/>
          </w:tcPr>
          <w:p w14:paraId="558E4128" w14:textId="77777777" w:rsidR="00846070" w:rsidRPr="006376F5" w:rsidRDefault="00846070" w:rsidP="00790DE0">
            <w:pPr>
              <w:keepNext/>
              <w:ind w:left="0" w:right="0"/>
              <w:rPr>
                <w:sz w:val="20"/>
                <w:szCs w:val="20"/>
              </w:rPr>
            </w:pPr>
            <w:r w:rsidRPr="006376F5">
              <w:rPr>
                <w:sz w:val="20"/>
                <w:szCs w:val="20"/>
              </w:rPr>
              <w:t>VO67.10</w:t>
            </w:r>
          </w:p>
        </w:tc>
        <w:tc>
          <w:tcPr>
            <w:tcW w:w="757" w:type="pct"/>
          </w:tcPr>
          <w:p w14:paraId="4D668388" w14:textId="77777777" w:rsidR="00846070" w:rsidRPr="006376F5" w:rsidRDefault="00846070" w:rsidP="00790DE0">
            <w:pPr>
              <w:keepNext/>
              <w:ind w:left="0" w:right="0"/>
              <w:rPr>
                <w:sz w:val="20"/>
                <w:szCs w:val="20"/>
              </w:rPr>
            </w:pPr>
            <w:r w:rsidRPr="006376F5">
              <w:rPr>
                <w:sz w:val="20"/>
                <w:szCs w:val="20"/>
              </w:rPr>
              <w:t>6 months</w:t>
            </w:r>
          </w:p>
        </w:tc>
        <w:tc>
          <w:tcPr>
            <w:tcW w:w="673" w:type="pct"/>
          </w:tcPr>
          <w:p w14:paraId="70D0D6BD" w14:textId="77777777" w:rsidR="00846070" w:rsidRPr="006376F5" w:rsidRDefault="00846070" w:rsidP="00790DE0">
            <w:pPr>
              <w:keepNext/>
              <w:ind w:left="0" w:right="0"/>
              <w:rPr>
                <w:sz w:val="20"/>
                <w:szCs w:val="20"/>
              </w:rPr>
            </w:pPr>
            <w:r w:rsidRPr="006376F5">
              <w:rPr>
                <w:sz w:val="20"/>
                <w:szCs w:val="20"/>
              </w:rPr>
              <w:t>268</w:t>
            </w:r>
          </w:p>
        </w:tc>
        <w:tc>
          <w:tcPr>
            <w:tcW w:w="757" w:type="pct"/>
          </w:tcPr>
          <w:p w14:paraId="16CB04CD" w14:textId="77777777" w:rsidR="00846070" w:rsidRPr="006376F5" w:rsidRDefault="00846070" w:rsidP="00790DE0">
            <w:pPr>
              <w:keepNext/>
              <w:ind w:left="0" w:right="0"/>
              <w:rPr>
                <w:sz w:val="20"/>
                <w:szCs w:val="20"/>
              </w:rPr>
            </w:pPr>
            <w:r w:rsidRPr="006376F5">
              <w:rPr>
                <w:sz w:val="20"/>
                <w:szCs w:val="20"/>
              </w:rPr>
              <w:t>87</w:t>
            </w:r>
          </w:p>
        </w:tc>
        <w:tc>
          <w:tcPr>
            <w:tcW w:w="645" w:type="pct"/>
          </w:tcPr>
          <w:p w14:paraId="0583F4EF" w14:textId="77777777" w:rsidR="00846070" w:rsidRPr="006376F5" w:rsidRDefault="00846070" w:rsidP="00790DE0">
            <w:pPr>
              <w:keepNext/>
              <w:ind w:left="0" w:right="0"/>
              <w:rPr>
                <w:sz w:val="20"/>
                <w:szCs w:val="20"/>
              </w:rPr>
            </w:pPr>
            <w:r w:rsidRPr="006376F5">
              <w:rPr>
                <w:sz w:val="20"/>
                <w:szCs w:val="20"/>
              </w:rPr>
              <w:t>355</w:t>
            </w:r>
          </w:p>
        </w:tc>
      </w:tr>
      <w:tr w:rsidR="00846070" w:rsidRPr="006376F5" w14:paraId="1908DB97" w14:textId="77777777" w:rsidTr="0057009B">
        <w:trPr>
          <w:trHeight w:val="140"/>
        </w:trPr>
        <w:tc>
          <w:tcPr>
            <w:tcW w:w="1326" w:type="pct"/>
            <w:vMerge/>
          </w:tcPr>
          <w:p w14:paraId="79069B0D" w14:textId="77777777" w:rsidR="00846070" w:rsidRPr="006376F5" w:rsidRDefault="00846070" w:rsidP="00790DE0">
            <w:pPr>
              <w:keepNext/>
              <w:ind w:left="0" w:right="0"/>
              <w:rPr>
                <w:sz w:val="20"/>
                <w:szCs w:val="20"/>
              </w:rPr>
            </w:pPr>
          </w:p>
        </w:tc>
        <w:tc>
          <w:tcPr>
            <w:tcW w:w="841" w:type="pct"/>
          </w:tcPr>
          <w:p w14:paraId="0D772C20" w14:textId="77777777" w:rsidR="00846070" w:rsidRPr="006376F5" w:rsidRDefault="00846070" w:rsidP="00790DE0">
            <w:pPr>
              <w:keepNext/>
              <w:ind w:left="0" w:right="0"/>
              <w:rPr>
                <w:sz w:val="20"/>
                <w:szCs w:val="20"/>
              </w:rPr>
            </w:pPr>
            <w:r w:rsidRPr="006376F5">
              <w:rPr>
                <w:sz w:val="20"/>
                <w:szCs w:val="20"/>
              </w:rPr>
              <w:t>1109D1711</w:t>
            </w:r>
          </w:p>
        </w:tc>
        <w:tc>
          <w:tcPr>
            <w:tcW w:w="757" w:type="pct"/>
          </w:tcPr>
          <w:p w14:paraId="2FE47868" w14:textId="77777777" w:rsidR="00846070" w:rsidRPr="006376F5" w:rsidRDefault="00846070" w:rsidP="00790DE0">
            <w:pPr>
              <w:keepNext/>
              <w:ind w:left="0" w:right="0"/>
              <w:rPr>
                <w:sz w:val="20"/>
                <w:szCs w:val="20"/>
              </w:rPr>
            </w:pPr>
            <w:r w:rsidRPr="006376F5">
              <w:rPr>
                <w:sz w:val="20"/>
                <w:szCs w:val="20"/>
              </w:rPr>
              <w:t>14 days</w:t>
            </w:r>
          </w:p>
        </w:tc>
        <w:tc>
          <w:tcPr>
            <w:tcW w:w="673" w:type="pct"/>
          </w:tcPr>
          <w:p w14:paraId="6AEBEAC5" w14:textId="77777777" w:rsidR="00846070" w:rsidRPr="006376F5" w:rsidRDefault="00846070" w:rsidP="00790DE0">
            <w:pPr>
              <w:keepNext/>
              <w:ind w:left="0" w:right="0"/>
              <w:rPr>
                <w:sz w:val="20"/>
                <w:szCs w:val="20"/>
              </w:rPr>
            </w:pPr>
            <w:r w:rsidRPr="006376F5">
              <w:rPr>
                <w:sz w:val="20"/>
                <w:szCs w:val="20"/>
              </w:rPr>
              <w:t>27</w:t>
            </w:r>
          </w:p>
        </w:tc>
        <w:tc>
          <w:tcPr>
            <w:tcW w:w="757" w:type="pct"/>
          </w:tcPr>
          <w:p w14:paraId="779A8239" w14:textId="77777777" w:rsidR="00846070" w:rsidRPr="006376F5" w:rsidRDefault="00846070" w:rsidP="00790DE0">
            <w:pPr>
              <w:keepNext/>
              <w:ind w:left="0" w:right="0"/>
              <w:rPr>
                <w:sz w:val="20"/>
                <w:szCs w:val="20"/>
              </w:rPr>
            </w:pPr>
            <w:r w:rsidRPr="006376F5">
              <w:rPr>
                <w:sz w:val="20"/>
                <w:szCs w:val="20"/>
              </w:rPr>
              <w:t>9</w:t>
            </w:r>
          </w:p>
        </w:tc>
        <w:tc>
          <w:tcPr>
            <w:tcW w:w="645" w:type="pct"/>
          </w:tcPr>
          <w:p w14:paraId="7D82ABE1" w14:textId="77777777" w:rsidR="00846070" w:rsidRPr="006376F5" w:rsidRDefault="00846070" w:rsidP="00790DE0">
            <w:pPr>
              <w:keepNext/>
              <w:ind w:left="0" w:right="0"/>
              <w:rPr>
                <w:sz w:val="20"/>
                <w:szCs w:val="20"/>
              </w:rPr>
            </w:pPr>
            <w:r w:rsidRPr="006376F5">
              <w:rPr>
                <w:sz w:val="20"/>
                <w:szCs w:val="20"/>
              </w:rPr>
              <w:t>36</w:t>
            </w:r>
          </w:p>
        </w:tc>
      </w:tr>
      <w:tr w:rsidR="00846070" w:rsidRPr="006376F5" w14:paraId="5C5ECF90" w14:textId="77777777" w:rsidTr="0057009B">
        <w:trPr>
          <w:trHeight w:val="460"/>
        </w:trPr>
        <w:tc>
          <w:tcPr>
            <w:tcW w:w="1326" w:type="pct"/>
          </w:tcPr>
          <w:p w14:paraId="03DCE549" w14:textId="77777777" w:rsidR="00846070" w:rsidRPr="006376F5" w:rsidRDefault="00846070" w:rsidP="00790DE0">
            <w:pPr>
              <w:keepNext/>
              <w:ind w:left="0" w:right="0"/>
              <w:rPr>
                <w:sz w:val="20"/>
                <w:szCs w:val="20"/>
              </w:rPr>
            </w:pPr>
            <w:r w:rsidRPr="006376F5">
              <w:rPr>
                <w:sz w:val="20"/>
                <w:szCs w:val="20"/>
              </w:rPr>
              <w:t>Adults and adolescents</w:t>
            </w:r>
          </w:p>
        </w:tc>
        <w:tc>
          <w:tcPr>
            <w:tcW w:w="841" w:type="pct"/>
          </w:tcPr>
          <w:p w14:paraId="4C54C230" w14:textId="77777777" w:rsidR="00846070" w:rsidRPr="006376F5" w:rsidRDefault="00846070" w:rsidP="00790DE0">
            <w:pPr>
              <w:keepNext/>
              <w:ind w:left="0" w:right="0"/>
              <w:rPr>
                <w:sz w:val="20"/>
                <w:szCs w:val="20"/>
              </w:rPr>
            </w:pPr>
            <w:r w:rsidRPr="006376F5">
              <w:rPr>
                <w:sz w:val="20"/>
                <w:szCs w:val="20"/>
              </w:rPr>
              <w:t>1207D1731</w:t>
            </w:r>
          </w:p>
        </w:tc>
        <w:tc>
          <w:tcPr>
            <w:tcW w:w="757" w:type="pct"/>
          </w:tcPr>
          <w:p w14:paraId="6AAA8CC4"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2BE73989" w14:textId="77777777" w:rsidR="00846070" w:rsidRPr="006376F5" w:rsidRDefault="00846070" w:rsidP="00790DE0">
            <w:pPr>
              <w:keepNext/>
              <w:ind w:left="0" w:right="0"/>
              <w:rPr>
                <w:sz w:val="20"/>
                <w:szCs w:val="20"/>
              </w:rPr>
            </w:pPr>
            <w:r w:rsidRPr="006376F5">
              <w:rPr>
                <w:sz w:val="20"/>
                <w:szCs w:val="20"/>
              </w:rPr>
              <w:t>646</w:t>
            </w:r>
          </w:p>
        </w:tc>
        <w:tc>
          <w:tcPr>
            <w:tcW w:w="757" w:type="pct"/>
          </w:tcPr>
          <w:p w14:paraId="6096F9AF" w14:textId="77777777" w:rsidR="00846070" w:rsidRPr="006376F5" w:rsidRDefault="00846070" w:rsidP="00790DE0">
            <w:pPr>
              <w:keepNext/>
              <w:ind w:left="0" w:right="0"/>
              <w:rPr>
                <w:sz w:val="20"/>
                <w:szCs w:val="20"/>
              </w:rPr>
            </w:pPr>
            <w:r w:rsidRPr="006376F5">
              <w:rPr>
                <w:sz w:val="20"/>
                <w:szCs w:val="20"/>
              </w:rPr>
              <w:t>322</w:t>
            </w:r>
          </w:p>
        </w:tc>
        <w:tc>
          <w:tcPr>
            <w:tcW w:w="645" w:type="pct"/>
          </w:tcPr>
          <w:p w14:paraId="1AF5A244" w14:textId="77777777" w:rsidR="00846070" w:rsidRPr="006376F5" w:rsidRDefault="00846070" w:rsidP="00790DE0">
            <w:pPr>
              <w:keepNext/>
              <w:ind w:left="0" w:right="0"/>
              <w:rPr>
                <w:sz w:val="20"/>
                <w:szCs w:val="20"/>
              </w:rPr>
            </w:pPr>
            <w:r w:rsidRPr="006376F5">
              <w:rPr>
                <w:sz w:val="20"/>
                <w:szCs w:val="20"/>
              </w:rPr>
              <w:t>968</w:t>
            </w:r>
          </w:p>
        </w:tc>
      </w:tr>
      <w:tr w:rsidR="00846070" w:rsidRPr="006376F5" w14:paraId="3A458774" w14:textId="77777777" w:rsidTr="0057009B">
        <w:trPr>
          <w:trHeight w:val="1056"/>
        </w:trPr>
        <w:tc>
          <w:tcPr>
            <w:tcW w:w="1326" w:type="pct"/>
          </w:tcPr>
          <w:p w14:paraId="3C4D9E61" w14:textId="77777777" w:rsidR="00846070" w:rsidRPr="006376F5" w:rsidRDefault="00846070" w:rsidP="00790DE0">
            <w:pPr>
              <w:keepNext/>
              <w:ind w:left="0" w:right="0"/>
              <w:rPr>
                <w:sz w:val="20"/>
                <w:szCs w:val="20"/>
              </w:rPr>
            </w:pPr>
            <w:r w:rsidRPr="006376F5">
              <w:rPr>
                <w:sz w:val="20"/>
                <w:szCs w:val="20"/>
              </w:rPr>
              <w:t>Subpopulation:</w:t>
            </w:r>
          </w:p>
          <w:p w14:paraId="08C1CBA1" w14:textId="77777777" w:rsidR="00846070" w:rsidRPr="006376F5" w:rsidRDefault="00846070" w:rsidP="00790DE0">
            <w:pPr>
              <w:keepNext/>
              <w:ind w:left="0" w:right="0"/>
              <w:rPr>
                <w:sz w:val="20"/>
                <w:szCs w:val="20"/>
              </w:rPr>
            </w:pPr>
            <w:r w:rsidRPr="006376F5">
              <w:rPr>
                <w:sz w:val="20"/>
                <w:szCs w:val="20"/>
              </w:rPr>
              <w:t xml:space="preserve">adolescents </w:t>
            </w:r>
            <w:r w:rsidR="003E4F85">
              <w:rPr>
                <w:sz w:val="20"/>
                <w:szCs w:val="20"/>
              </w:rPr>
              <w:t xml:space="preserve">≥ </w:t>
            </w:r>
            <w:r w:rsidRPr="006376F5">
              <w:rPr>
                <w:sz w:val="20"/>
                <w:szCs w:val="20"/>
              </w:rPr>
              <w:t xml:space="preserve">12 and </w:t>
            </w:r>
            <w:r>
              <w:rPr>
                <w:sz w:val="20"/>
                <w:szCs w:val="20"/>
              </w:rPr>
              <w:t xml:space="preserve">&lt; </w:t>
            </w:r>
            <w:r w:rsidRPr="006376F5">
              <w:rPr>
                <w:sz w:val="20"/>
                <w:szCs w:val="20"/>
              </w:rPr>
              <w:t>18 years old</w:t>
            </w:r>
          </w:p>
        </w:tc>
        <w:tc>
          <w:tcPr>
            <w:tcW w:w="841" w:type="pct"/>
          </w:tcPr>
          <w:p w14:paraId="0DAD918B" w14:textId="77777777" w:rsidR="00846070" w:rsidRPr="006376F5" w:rsidRDefault="00846070" w:rsidP="00790DE0">
            <w:pPr>
              <w:keepNext/>
              <w:ind w:left="0" w:right="0"/>
              <w:rPr>
                <w:sz w:val="20"/>
                <w:szCs w:val="20"/>
              </w:rPr>
            </w:pPr>
            <w:r w:rsidRPr="006376F5">
              <w:rPr>
                <w:sz w:val="20"/>
                <w:szCs w:val="20"/>
              </w:rPr>
              <w:t>1207D1731</w:t>
            </w:r>
          </w:p>
        </w:tc>
        <w:tc>
          <w:tcPr>
            <w:tcW w:w="757" w:type="pct"/>
          </w:tcPr>
          <w:p w14:paraId="56B541DC"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02AC6FE4" w14:textId="77777777" w:rsidR="00846070" w:rsidRPr="006376F5" w:rsidRDefault="00846070" w:rsidP="00790DE0">
            <w:pPr>
              <w:keepNext/>
              <w:ind w:left="0" w:right="0"/>
              <w:rPr>
                <w:sz w:val="20"/>
                <w:szCs w:val="20"/>
              </w:rPr>
            </w:pPr>
            <w:r w:rsidRPr="006376F5">
              <w:rPr>
                <w:sz w:val="20"/>
                <w:szCs w:val="20"/>
              </w:rPr>
              <w:t>121</w:t>
            </w:r>
          </w:p>
        </w:tc>
        <w:tc>
          <w:tcPr>
            <w:tcW w:w="757" w:type="pct"/>
          </w:tcPr>
          <w:p w14:paraId="2C4D1E93" w14:textId="77777777" w:rsidR="00846070" w:rsidRPr="006376F5" w:rsidRDefault="00846070" w:rsidP="00790DE0">
            <w:pPr>
              <w:keepNext/>
              <w:ind w:left="0" w:right="0"/>
              <w:rPr>
                <w:sz w:val="20"/>
                <w:szCs w:val="20"/>
              </w:rPr>
            </w:pPr>
            <w:r w:rsidRPr="006376F5">
              <w:rPr>
                <w:sz w:val="20"/>
                <w:szCs w:val="20"/>
              </w:rPr>
              <w:t>60</w:t>
            </w:r>
          </w:p>
        </w:tc>
        <w:tc>
          <w:tcPr>
            <w:tcW w:w="645" w:type="pct"/>
          </w:tcPr>
          <w:p w14:paraId="259AAF58" w14:textId="77777777" w:rsidR="00846070" w:rsidRPr="006376F5" w:rsidRDefault="00846070" w:rsidP="00790DE0">
            <w:pPr>
              <w:keepNext/>
              <w:ind w:left="0" w:right="0"/>
              <w:rPr>
                <w:sz w:val="20"/>
                <w:szCs w:val="20"/>
              </w:rPr>
            </w:pPr>
            <w:r w:rsidRPr="006376F5">
              <w:rPr>
                <w:sz w:val="20"/>
                <w:szCs w:val="20"/>
              </w:rPr>
              <w:t>181</w:t>
            </w:r>
          </w:p>
        </w:tc>
      </w:tr>
      <w:tr w:rsidR="00846070" w:rsidRPr="006376F5" w14:paraId="45AC363A" w14:textId="77777777" w:rsidTr="0057009B">
        <w:trPr>
          <w:trHeight w:val="1044"/>
        </w:trPr>
        <w:tc>
          <w:tcPr>
            <w:tcW w:w="1326" w:type="pct"/>
          </w:tcPr>
          <w:p w14:paraId="186A47BB" w14:textId="77777777" w:rsidR="00846070" w:rsidRPr="006376F5" w:rsidRDefault="00846070" w:rsidP="00790DE0">
            <w:pPr>
              <w:keepNext/>
              <w:ind w:left="0" w:right="0"/>
              <w:rPr>
                <w:sz w:val="20"/>
                <w:szCs w:val="20"/>
              </w:rPr>
            </w:pPr>
            <w:r w:rsidRPr="006376F5">
              <w:rPr>
                <w:sz w:val="20"/>
                <w:szCs w:val="20"/>
              </w:rPr>
              <w:t>Subpopulation:</w:t>
            </w:r>
          </w:p>
          <w:p w14:paraId="404E9B90" w14:textId="77777777" w:rsidR="00846070" w:rsidRPr="006376F5" w:rsidRDefault="00846070" w:rsidP="00790DE0">
            <w:pPr>
              <w:keepNext/>
              <w:ind w:left="0" w:right="0"/>
              <w:rPr>
                <w:sz w:val="20"/>
                <w:szCs w:val="20"/>
              </w:rPr>
            </w:pPr>
            <w:r w:rsidRPr="006376F5">
              <w:rPr>
                <w:sz w:val="20"/>
                <w:szCs w:val="20"/>
              </w:rPr>
              <w:t xml:space="preserve">Adults </w:t>
            </w:r>
            <w:r w:rsidR="003E4F85">
              <w:rPr>
                <w:sz w:val="20"/>
                <w:szCs w:val="20"/>
              </w:rPr>
              <w:t xml:space="preserve">≥ </w:t>
            </w:r>
            <w:r w:rsidRPr="006376F5">
              <w:rPr>
                <w:sz w:val="20"/>
                <w:szCs w:val="20"/>
              </w:rPr>
              <w:t xml:space="preserve">18 and </w:t>
            </w:r>
            <w:r>
              <w:rPr>
                <w:sz w:val="20"/>
                <w:szCs w:val="20"/>
              </w:rPr>
              <w:t xml:space="preserve">&lt; </w:t>
            </w:r>
            <w:r w:rsidRPr="006376F5">
              <w:rPr>
                <w:sz w:val="20"/>
                <w:szCs w:val="20"/>
              </w:rPr>
              <w:t>65 years old</w:t>
            </w:r>
          </w:p>
        </w:tc>
        <w:tc>
          <w:tcPr>
            <w:tcW w:w="841" w:type="pct"/>
          </w:tcPr>
          <w:p w14:paraId="22B2B9DB" w14:textId="77777777" w:rsidR="00846070" w:rsidRPr="006376F5" w:rsidRDefault="00846070" w:rsidP="00790DE0">
            <w:pPr>
              <w:keepNext/>
              <w:ind w:left="0" w:right="0"/>
              <w:rPr>
                <w:sz w:val="20"/>
                <w:szCs w:val="20"/>
              </w:rPr>
            </w:pPr>
            <w:r w:rsidRPr="006376F5">
              <w:rPr>
                <w:sz w:val="20"/>
                <w:szCs w:val="20"/>
              </w:rPr>
              <w:t>1207D1731</w:t>
            </w:r>
          </w:p>
        </w:tc>
        <w:tc>
          <w:tcPr>
            <w:tcW w:w="757" w:type="pct"/>
          </w:tcPr>
          <w:p w14:paraId="3D90D888"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78CFA84D" w14:textId="77777777" w:rsidR="00846070" w:rsidRPr="006376F5" w:rsidRDefault="00846070" w:rsidP="00790DE0">
            <w:pPr>
              <w:keepNext/>
              <w:ind w:left="0" w:right="0"/>
              <w:rPr>
                <w:sz w:val="20"/>
                <w:szCs w:val="20"/>
              </w:rPr>
            </w:pPr>
            <w:r w:rsidRPr="006376F5">
              <w:rPr>
                <w:sz w:val="20"/>
                <w:szCs w:val="20"/>
              </w:rPr>
              <w:t>525</w:t>
            </w:r>
          </w:p>
        </w:tc>
        <w:tc>
          <w:tcPr>
            <w:tcW w:w="757" w:type="pct"/>
          </w:tcPr>
          <w:p w14:paraId="51789C70" w14:textId="77777777" w:rsidR="00846070" w:rsidRPr="006376F5" w:rsidRDefault="00846070" w:rsidP="00790DE0">
            <w:pPr>
              <w:keepNext/>
              <w:ind w:left="0" w:right="0"/>
              <w:rPr>
                <w:sz w:val="20"/>
                <w:szCs w:val="20"/>
              </w:rPr>
            </w:pPr>
            <w:r w:rsidRPr="006376F5">
              <w:rPr>
                <w:sz w:val="20"/>
                <w:szCs w:val="20"/>
              </w:rPr>
              <w:t>262</w:t>
            </w:r>
          </w:p>
        </w:tc>
        <w:tc>
          <w:tcPr>
            <w:tcW w:w="645" w:type="pct"/>
          </w:tcPr>
          <w:p w14:paraId="1B16684E" w14:textId="77777777" w:rsidR="00846070" w:rsidRPr="006376F5" w:rsidRDefault="00846070" w:rsidP="00790DE0">
            <w:pPr>
              <w:keepNext/>
              <w:ind w:left="0" w:right="0"/>
              <w:rPr>
                <w:sz w:val="20"/>
                <w:szCs w:val="20"/>
              </w:rPr>
            </w:pPr>
            <w:r w:rsidRPr="006376F5">
              <w:rPr>
                <w:sz w:val="20"/>
                <w:szCs w:val="20"/>
              </w:rPr>
              <w:t>787</w:t>
            </w:r>
          </w:p>
        </w:tc>
      </w:tr>
      <w:tr w:rsidR="00846070" w:rsidRPr="006376F5" w14:paraId="2C17D9C8" w14:textId="77777777" w:rsidTr="0057009B">
        <w:trPr>
          <w:trHeight w:val="472"/>
        </w:trPr>
        <w:tc>
          <w:tcPr>
            <w:tcW w:w="1326" w:type="pct"/>
          </w:tcPr>
          <w:p w14:paraId="7AA92A41" w14:textId="77777777" w:rsidR="00846070" w:rsidRPr="006376F5" w:rsidRDefault="00846070" w:rsidP="00790DE0">
            <w:pPr>
              <w:keepNext/>
              <w:ind w:left="0" w:right="0"/>
              <w:rPr>
                <w:sz w:val="20"/>
                <w:szCs w:val="20"/>
              </w:rPr>
            </w:pPr>
            <w:r w:rsidRPr="006376F5">
              <w:rPr>
                <w:sz w:val="20"/>
                <w:szCs w:val="20"/>
              </w:rPr>
              <w:t>Adolescents</w:t>
            </w:r>
          </w:p>
        </w:tc>
        <w:tc>
          <w:tcPr>
            <w:tcW w:w="841" w:type="pct"/>
          </w:tcPr>
          <w:p w14:paraId="46C701FD" w14:textId="77777777" w:rsidR="00846070" w:rsidRPr="006376F5" w:rsidRDefault="00846070" w:rsidP="00790DE0">
            <w:pPr>
              <w:keepNext/>
              <w:ind w:left="0" w:right="0"/>
              <w:rPr>
                <w:sz w:val="20"/>
                <w:szCs w:val="20"/>
              </w:rPr>
            </w:pPr>
            <w:r w:rsidRPr="006376F5">
              <w:rPr>
                <w:sz w:val="20"/>
                <w:szCs w:val="20"/>
              </w:rPr>
              <w:t>VO73.13</w:t>
            </w:r>
          </w:p>
        </w:tc>
        <w:tc>
          <w:tcPr>
            <w:tcW w:w="757" w:type="pct"/>
          </w:tcPr>
          <w:p w14:paraId="5BA422D9" w14:textId="77777777" w:rsidR="00846070" w:rsidRPr="006376F5" w:rsidRDefault="00846070" w:rsidP="00790DE0">
            <w:pPr>
              <w:keepNext/>
              <w:ind w:left="0" w:right="0"/>
              <w:rPr>
                <w:sz w:val="20"/>
                <w:szCs w:val="20"/>
              </w:rPr>
            </w:pPr>
            <w:r w:rsidRPr="006376F5">
              <w:rPr>
                <w:sz w:val="20"/>
                <w:szCs w:val="20"/>
              </w:rPr>
              <w:t>10 days</w:t>
            </w:r>
          </w:p>
        </w:tc>
        <w:tc>
          <w:tcPr>
            <w:tcW w:w="673" w:type="pct"/>
          </w:tcPr>
          <w:p w14:paraId="42D9B3CD" w14:textId="77777777" w:rsidR="00846070" w:rsidRPr="006376F5" w:rsidRDefault="00846070" w:rsidP="00790DE0">
            <w:pPr>
              <w:keepNext/>
              <w:ind w:left="0" w:right="0"/>
              <w:rPr>
                <w:sz w:val="20"/>
                <w:szCs w:val="20"/>
              </w:rPr>
            </w:pPr>
            <w:r w:rsidRPr="006376F5">
              <w:rPr>
                <w:sz w:val="20"/>
                <w:szCs w:val="20"/>
              </w:rPr>
              <w:t>27</w:t>
            </w:r>
          </w:p>
        </w:tc>
        <w:tc>
          <w:tcPr>
            <w:tcW w:w="757" w:type="pct"/>
          </w:tcPr>
          <w:p w14:paraId="34D39890" w14:textId="77777777" w:rsidR="00846070" w:rsidRPr="006376F5" w:rsidRDefault="00846070" w:rsidP="00790DE0">
            <w:pPr>
              <w:keepNext/>
              <w:ind w:left="0" w:right="0"/>
              <w:rPr>
                <w:sz w:val="20"/>
                <w:szCs w:val="20"/>
              </w:rPr>
            </w:pPr>
            <w:r w:rsidRPr="006376F5">
              <w:rPr>
                <w:sz w:val="20"/>
                <w:szCs w:val="20"/>
              </w:rPr>
              <w:t>10</w:t>
            </w:r>
          </w:p>
        </w:tc>
        <w:tc>
          <w:tcPr>
            <w:tcW w:w="645" w:type="pct"/>
          </w:tcPr>
          <w:p w14:paraId="3490A507" w14:textId="77777777" w:rsidR="00846070" w:rsidRPr="006376F5" w:rsidRDefault="00846070" w:rsidP="00790DE0">
            <w:pPr>
              <w:keepNext/>
              <w:ind w:left="0" w:right="0"/>
              <w:rPr>
                <w:sz w:val="20"/>
                <w:szCs w:val="20"/>
              </w:rPr>
            </w:pPr>
            <w:r w:rsidRPr="006376F5">
              <w:rPr>
                <w:sz w:val="20"/>
                <w:szCs w:val="20"/>
              </w:rPr>
              <w:t>37</w:t>
            </w:r>
          </w:p>
        </w:tc>
      </w:tr>
      <w:tr w:rsidR="00846070" w:rsidRPr="006376F5" w14:paraId="1851B3FD" w14:textId="77777777" w:rsidTr="0057009B">
        <w:trPr>
          <w:trHeight w:val="696"/>
        </w:trPr>
        <w:tc>
          <w:tcPr>
            <w:tcW w:w="1326" w:type="pct"/>
          </w:tcPr>
          <w:p w14:paraId="2A0A9823" w14:textId="77777777" w:rsidR="00846070" w:rsidRPr="006376F5" w:rsidRDefault="00846070" w:rsidP="00790DE0">
            <w:pPr>
              <w:keepNext/>
              <w:ind w:left="0" w:right="0"/>
              <w:rPr>
                <w:sz w:val="20"/>
                <w:szCs w:val="20"/>
              </w:rPr>
            </w:pPr>
            <w:r w:rsidRPr="006376F5">
              <w:rPr>
                <w:sz w:val="20"/>
                <w:szCs w:val="20"/>
              </w:rPr>
              <w:t>Adolescents and children</w:t>
            </w:r>
          </w:p>
        </w:tc>
        <w:tc>
          <w:tcPr>
            <w:tcW w:w="841" w:type="pct"/>
          </w:tcPr>
          <w:p w14:paraId="737B3F51" w14:textId="77777777" w:rsidR="00846070" w:rsidRPr="006376F5" w:rsidRDefault="00846070" w:rsidP="00790DE0">
            <w:pPr>
              <w:keepNext/>
              <w:ind w:left="0" w:right="0"/>
              <w:rPr>
                <w:sz w:val="20"/>
                <w:szCs w:val="20"/>
              </w:rPr>
            </w:pPr>
            <w:r w:rsidRPr="006376F5">
              <w:rPr>
                <w:sz w:val="20"/>
                <w:szCs w:val="20"/>
              </w:rPr>
              <w:t>VO64.08</w:t>
            </w:r>
          </w:p>
        </w:tc>
        <w:tc>
          <w:tcPr>
            <w:tcW w:w="757" w:type="pct"/>
          </w:tcPr>
          <w:p w14:paraId="5A390700"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58CE7F83" w14:textId="77777777" w:rsidR="00846070" w:rsidRPr="006376F5" w:rsidRDefault="00846070" w:rsidP="00790DE0">
            <w:pPr>
              <w:keepNext/>
              <w:ind w:left="0" w:right="0"/>
              <w:rPr>
                <w:sz w:val="20"/>
                <w:szCs w:val="20"/>
              </w:rPr>
            </w:pPr>
            <w:r w:rsidRPr="006376F5">
              <w:rPr>
                <w:sz w:val="20"/>
                <w:szCs w:val="20"/>
              </w:rPr>
              <w:t>241</w:t>
            </w:r>
          </w:p>
        </w:tc>
        <w:tc>
          <w:tcPr>
            <w:tcW w:w="757" w:type="pct"/>
          </w:tcPr>
          <w:p w14:paraId="04FEAFBE" w14:textId="77777777" w:rsidR="00846070" w:rsidRPr="006376F5" w:rsidRDefault="00846070" w:rsidP="00790DE0">
            <w:pPr>
              <w:keepNext/>
              <w:ind w:left="0" w:right="0"/>
              <w:rPr>
                <w:sz w:val="20"/>
                <w:szCs w:val="20"/>
              </w:rPr>
            </w:pPr>
            <w:r w:rsidRPr="006376F5">
              <w:rPr>
                <w:sz w:val="20"/>
                <w:szCs w:val="20"/>
              </w:rPr>
              <w:t>230</w:t>
            </w:r>
          </w:p>
        </w:tc>
        <w:tc>
          <w:tcPr>
            <w:tcW w:w="645" w:type="pct"/>
          </w:tcPr>
          <w:p w14:paraId="39A8B5C2" w14:textId="77777777" w:rsidR="00846070" w:rsidRPr="006376F5" w:rsidRDefault="00846070" w:rsidP="00790DE0">
            <w:pPr>
              <w:keepNext/>
              <w:ind w:left="0" w:right="0"/>
              <w:rPr>
                <w:sz w:val="20"/>
                <w:szCs w:val="20"/>
              </w:rPr>
            </w:pPr>
            <w:r w:rsidRPr="006376F5">
              <w:rPr>
                <w:sz w:val="20"/>
                <w:szCs w:val="20"/>
              </w:rPr>
              <w:t>471</w:t>
            </w:r>
          </w:p>
        </w:tc>
      </w:tr>
      <w:tr w:rsidR="00846070" w:rsidRPr="006376F5" w14:paraId="32BAD7BE" w14:textId="77777777" w:rsidTr="0057009B">
        <w:trPr>
          <w:trHeight w:val="1044"/>
        </w:trPr>
        <w:tc>
          <w:tcPr>
            <w:tcW w:w="1326" w:type="pct"/>
          </w:tcPr>
          <w:p w14:paraId="1172A297" w14:textId="77777777" w:rsidR="00846070" w:rsidRPr="006376F5" w:rsidRDefault="00846070" w:rsidP="00790DE0">
            <w:pPr>
              <w:keepNext/>
              <w:ind w:left="0" w:right="0"/>
              <w:rPr>
                <w:sz w:val="20"/>
                <w:szCs w:val="20"/>
              </w:rPr>
            </w:pPr>
            <w:r w:rsidRPr="006376F5">
              <w:rPr>
                <w:sz w:val="20"/>
                <w:szCs w:val="20"/>
              </w:rPr>
              <w:t>Subpopulation:</w:t>
            </w:r>
          </w:p>
          <w:p w14:paraId="75D43EBD" w14:textId="77777777" w:rsidR="00846070" w:rsidRPr="006376F5" w:rsidRDefault="00846070" w:rsidP="00790DE0">
            <w:pPr>
              <w:keepNext/>
              <w:ind w:left="0" w:right="0"/>
              <w:rPr>
                <w:sz w:val="20"/>
                <w:szCs w:val="20"/>
              </w:rPr>
            </w:pPr>
            <w:r w:rsidRPr="006376F5">
              <w:rPr>
                <w:sz w:val="20"/>
                <w:szCs w:val="20"/>
              </w:rPr>
              <w:t xml:space="preserve">children </w:t>
            </w:r>
            <w:r w:rsidR="003E4F85">
              <w:rPr>
                <w:sz w:val="20"/>
                <w:szCs w:val="20"/>
              </w:rPr>
              <w:t xml:space="preserve">≥ </w:t>
            </w:r>
            <w:r w:rsidRPr="006376F5">
              <w:rPr>
                <w:sz w:val="20"/>
                <w:szCs w:val="20"/>
              </w:rPr>
              <w:t>5 and</w:t>
            </w:r>
            <w:r w:rsidR="004A2386">
              <w:rPr>
                <w:sz w:val="20"/>
                <w:szCs w:val="20"/>
              </w:rPr>
              <w:t xml:space="preserve"> </w:t>
            </w:r>
            <w:r>
              <w:rPr>
                <w:sz w:val="20"/>
                <w:szCs w:val="20"/>
              </w:rPr>
              <w:t xml:space="preserve">≤ </w:t>
            </w:r>
            <w:r w:rsidRPr="006376F5">
              <w:rPr>
                <w:sz w:val="20"/>
                <w:szCs w:val="20"/>
              </w:rPr>
              <w:t>11 years old</w:t>
            </w:r>
          </w:p>
        </w:tc>
        <w:tc>
          <w:tcPr>
            <w:tcW w:w="841" w:type="pct"/>
          </w:tcPr>
          <w:p w14:paraId="6A77C83A" w14:textId="77777777" w:rsidR="00846070" w:rsidRPr="006376F5" w:rsidRDefault="00846070" w:rsidP="00790DE0">
            <w:pPr>
              <w:keepNext/>
              <w:ind w:left="0" w:right="0"/>
              <w:rPr>
                <w:sz w:val="20"/>
                <w:szCs w:val="20"/>
              </w:rPr>
            </w:pPr>
            <w:r w:rsidRPr="006376F5">
              <w:rPr>
                <w:sz w:val="20"/>
                <w:szCs w:val="20"/>
              </w:rPr>
              <w:t>VO64.08</w:t>
            </w:r>
          </w:p>
        </w:tc>
        <w:tc>
          <w:tcPr>
            <w:tcW w:w="757" w:type="pct"/>
          </w:tcPr>
          <w:p w14:paraId="104944BF"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65DF0789" w14:textId="77777777" w:rsidR="00846070" w:rsidRPr="006376F5" w:rsidRDefault="00846070" w:rsidP="00790DE0">
            <w:pPr>
              <w:keepNext/>
              <w:ind w:left="0" w:right="0"/>
              <w:rPr>
                <w:sz w:val="20"/>
                <w:szCs w:val="20"/>
              </w:rPr>
            </w:pPr>
            <w:r w:rsidRPr="006376F5">
              <w:rPr>
                <w:sz w:val="20"/>
                <w:szCs w:val="20"/>
              </w:rPr>
              <w:t>128</w:t>
            </w:r>
          </w:p>
        </w:tc>
        <w:tc>
          <w:tcPr>
            <w:tcW w:w="757" w:type="pct"/>
          </w:tcPr>
          <w:p w14:paraId="3830FCCB" w14:textId="77777777" w:rsidR="00846070" w:rsidRPr="006376F5" w:rsidRDefault="00846070" w:rsidP="00790DE0">
            <w:pPr>
              <w:keepNext/>
              <w:ind w:left="0" w:right="0"/>
              <w:rPr>
                <w:sz w:val="20"/>
                <w:szCs w:val="20"/>
              </w:rPr>
            </w:pPr>
            <w:r w:rsidRPr="006376F5">
              <w:rPr>
                <w:sz w:val="20"/>
                <w:szCs w:val="20"/>
              </w:rPr>
              <w:t>118</w:t>
            </w:r>
          </w:p>
        </w:tc>
        <w:tc>
          <w:tcPr>
            <w:tcW w:w="645" w:type="pct"/>
          </w:tcPr>
          <w:p w14:paraId="4A5ED269" w14:textId="77777777" w:rsidR="00846070" w:rsidRPr="006376F5" w:rsidRDefault="00846070" w:rsidP="00790DE0">
            <w:pPr>
              <w:keepNext/>
              <w:ind w:left="0" w:right="0"/>
              <w:rPr>
                <w:sz w:val="20"/>
                <w:szCs w:val="20"/>
              </w:rPr>
            </w:pPr>
            <w:r w:rsidRPr="006376F5">
              <w:rPr>
                <w:sz w:val="20"/>
                <w:szCs w:val="20"/>
              </w:rPr>
              <w:t>246</w:t>
            </w:r>
          </w:p>
        </w:tc>
      </w:tr>
      <w:tr w:rsidR="00846070" w:rsidRPr="006376F5" w14:paraId="6D3F8425" w14:textId="77777777" w:rsidTr="0057009B">
        <w:trPr>
          <w:trHeight w:val="1056"/>
        </w:trPr>
        <w:tc>
          <w:tcPr>
            <w:tcW w:w="1326" w:type="pct"/>
          </w:tcPr>
          <w:p w14:paraId="44F36672" w14:textId="77777777" w:rsidR="00846070" w:rsidRPr="006376F5" w:rsidRDefault="00846070" w:rsidP="00790DE0">
            <w:pPr>
              <w:keepNext/>
              <w:ind w:left="0" w:right="0"/>
              <w:rPr>
                <w:sz w:val="20"/>
                <w:szCs w:val="20"/>
              </w:rPr>
            </w:pPr>
            <w:r w:rsidRPr="006376F5">
              <w:rPr>
                <w:sz w:val="20"/>
                <w:szCs w:val="20"/>
              </w:rPr>
              <w:t>Subpopulation:</w:t>
            </w:r>
          </w:p>
          <w:p w14:paraId="48ADF5C3" w14:textId="77777777" w:rsidR="00846070" w:rsidRPr="006376F5" w:rsidRDefault="00846070" w:rsidP="00790DE0">
            <w:pPr>
              <w:keepNext/>
              <w:ind w:left="0" w:right="0"/>
              <w:rPr>
                <w:sz w:val="20"/>
                <w:szCs w:val="20"/>
              </w:rPr>
            </w:pPr>
            <w:r w:rsidRPr="006376F5">
              <w:rPr>
                <w:sz w:val="20"/>
                <w:szCs w:val="20"/>
              </w:rPr>
              <w:t xml:space="preserve">adolescents </w:t>
            </w:r>
            <w:r w:rsidR="003E4F85">
              <w:rPr>
                <w:sz w:val="20"/>
                <w:szCs w:val="20"/>
              </w:rPr>
              <w:t xml:space="preserve">≥ </w:t>
            </w:r>
            <w:r w:rsidRPr="006376F5">
              <w:rPr>
                <w:sz w:val="20"/>
                <w:szCs w:val="20"/>
              </w:rPr>
              <w:t>12 and</w:t>
            </w:r>
            <w:r w:rsidR="004A2386">
              <w:rPr>
                <w:sz w:val="20"/>
                <w:szCs w:val="20"/>
              </w:rPr>
              <w:t xml:space="preserve"> </w:t>
            </w:r>
            <w:r>
              <w:rPr>
                <w:sz w:val="20"/>
                <w:szCs w:val="20"/>
              </w:rPr>
              <w:t xml:space="preserve">≤ </w:t>
            </w:r>
            <w:r w:rsidRPr="006376F5">
              <w:rPr>
                <w:sz w:val="20"/>
                <w:szCs w:val="20"/>
              </w:rPr>
              <w:t>17 years old</w:t>
            </w:r>
          </w:p>
        </w:tc>
        <w:tc>
          <w:tcPr>
            <w:tcW w:w="841" w:type="pct"/>
          </w:tcPr>
          <w:p w14:paraId="54BA0537" w14:textId="77777777" w:rsidR="00846070" w:rsidRPr="006376F5" w:rsidRDefault="00846070" w:rsidP="00790DE0">
            <w:pPr>
              <w:keepNext/>
              <w:ind w:left="0" w:right="0"/>
              <w:rPr>
                <w:sz w:val="20"/>
                <w:szCs w:val="20"/>
              </w:rPr>
            </w:pPr>
            <w:r w:rsidRPr="006376F5">
              <w:rPr>
                <w:sz w:val="20"/>
                <w:szCs w:val="20"/>
              </w:rPr>
              <w:t>VO64.08</w:t>
            </w:r>
          </w:p>
        </w:tc>
        <w:tc>
          <w:tcPr>
            <w:tcW w:w="757" w:type="pct"/>
          </w:tcPr>
          <w:p w14:paraId="7F6704D7" w14:textId="77777777" w:rsidR="00846070" w:rsidRPr="006376F5" w:rsidRDefault="00846070" w:rsidP="00790DE0">
            <w:pPr>
              <w:keepNext/>
              <w:ind w:left="0" w:right="0"/>
              <w:rPr>
                <w:sz w:val="20"/>
                <w:szCs w:val="20"/>
              </w:rPr>
            </w:pPr>
            <w:r w:rsidRPr="006376F5">
              <w:rPr>
                <w:sz w:val="20"/>
                <w:szCs w:val="20"/>
              </w:rPr>
              <w:t>12 months</w:t>
            </w:r>
          </w:p>
        </w:tc>
        <w:tc>
          <w:tcPr>
            <w:tcW w:w="673" w:type="pct"/>
          </w:tcPr>
          <w:p w14:paraId="2E31A198" w14:textId="77777777" w:rsidR="00846070" w:rsidRPr="006376F5" w:rsidRDefault="00846070" w:rsidP="00790DE0">
            <w:pPr>
              <w:keepNext/>
              <w:ind w:left="0" w:right="0"/>
              <w:rPr>
                <w:sz w:val="20"/>
                <w:szCs w:val="20"/>
              </w:rPr>
            </w:pPr>
            <w:r w:rsidRPr="006376F5">
              <w:rPr>
                <w:sz w:val="20"/>
                <w:szCs w:val="20"/>
              </w:rPr>
              <w:t>113</w:t>
            </w:r>
          </w:p>
        </w:tc>
        <w:tc>
          <w:tcPr>
            <w:tcW w:w="757" w:type="pct"/>
          </w:tcPr>
          <w:p w14:paraId="411116DD" w14:textId="77777777" w:rsidR="00846070" w:rsidRPr="006376F5" w:rsidRDefault="00846070" w:rsidP="00790DE0">
            <w:pPr>
              <w:keepNext/>
              <w:ind w:left="0" w:right="0"/>
              <w:rPr>
                <w:sz w:val="20"/>
                <w:szCs w:val="20"/>
              </w:rPr>
            </w:pPr>
            <w:r w:rsidRPr="006376F5">
              <w:rPr>
                <w:sz w:val="20"/>
                <w:szCs w:val="20"/>
              </w:rPr>
              <w:t>112</w:t>
            </w:r>
          </w:p>
        </w:tc>
        <w:tc>
          <w:tcPr>
            <w:tcW w:w="645" w:type="pct"/>
          </w:tcPr>
          <w:p w14:paraId="47A70389" w14:textId="77777777" w:rsidR="00846070" w:rsidRPr="006376F5" w:rsidRDefault="00846070" w:rsidP="00790DE0">
            <w:pPr>
              <w:keepNext/>
              <w:ind w:left="0" w:right="0"/>
              <w:rPr>
                <w:sz w:val="20"/>
                <w:szCs w:val="20"/>
              </w:rPr>
            </w:pPr>
            <w:r w:rsidRPr="006376F5">
              <w:rPr>
                <w:sz w:val="20"/>
                <w:szCs w:val="20"/>
              </w:rPr>
              <w:t>225</w:t>
            </w:r>
          </w:p>
        </w:tc>
      </w:tr>
      <w:tr w:rsidR="00846070" w:rsidRPr="006376F5" w14:paraId="6C8C2744" w14:textId="77777777" w:rsidTr="0057009B">
        <w:trPr>
          <w:trHeight w:val="472"/>
        </w:trPr>
        <w:tc>
          <w:tcPr>
            <w:tcW w:w="2167" w:type="pct"/>
            <w:gridSpan w:val="2"/>
          </w:tcPr>
          <w:p w14:paraId="38BD766E" w14:textId="77777777" w:rsidR="00846070" w:rsidRPr="006376F5" w:rsidRDefault="00846070" w:rsidP="00790DE0">
            <w:pPr>
              <w:keepNext/>
              <w:ind w:left="0" w:right="0"/>
              <w:rPr>
                <w:sz w:val="20"/>
                <w:szCs w:val="20"/>
              </w:rPr>
            </w:pPr>
            <w:r w:rsidRPr="006376F5">
              <w:rPr>
                <w:sz w:val="20"/>
                <w:szCs w:val="20"/>
              </w:rPr>
              <w:t>Total</w:t>
            </w:r>
          </w:p>
        </w:tc>
        <w:tc>
          <w:tcPr>
            <w:tcW w:w="757" w:type="pct"/>
          </w:tcPr>
          <w:p w14:paraId="57751E85" w14:textId="77777777" w:rsidR="00846070" w:rsidRPr="006376F5" w:rsidRDefault="00846070" w:rsidP="00790DE0">
            <w:pPr>
              <w:keepNext/>
              <w:ind w:left="0" w:right="0"/>
              <w:rPr>
                <w:sz w:val="20"/>
                <w:szCs w:val="20"/>
              </w:rPr>
            </w:pPr>
          </w:p>
        </w:tc>
        <w:tc>
          <w:tcPr>
            <w:tcW w:w="673" w:type="pct"/>
          </w:tcPr>
          <w:p w14:paraId="4320B5E0" w14:textId="77777777" w:rsidR="00846070" w:rsidRPr="006376F5" w:rsidRDefault="00846070" w:rsidP="00790DE0">
            <w:pPr>
              <w:keepNext/>
              <w:ind w:left="0" w:right="0"/>
              <w:rPr>
                <w:sz w:val="20"/>
                <w:szCs w:val="20"/>
              </w:rPr>
            </w:pPr>
            <w:r w:rsidRPr="006376F5">
              <w:rPr>
                <w:sz w:val="20"/>
                <w:szCs w:val="20"/>
              </w:rPr>
              <w:t>1,571</w:t>
            </w:r>
          </w:p>
        </w:tc>
        <w:tc>
          <w:tcPr>
            <w:tcW w:w="757" w:type="pct"/>
          </w:tcPr>
          <w:p w14:paraId="58EE18E2" w14:textId="77777777" w:rsidR="00846070" w:rsidRPr="006376F5" w:rsidRDefault="00846070" w:rsidP="00790DE0">
            <w:pPr>
              <w:keepNext/>
              <w:ind w:left="0" w:right="0"/>
              <w:rPr>
                <w:sz w:val="20"/>
                <w:szCs w:val="20"/>
              </w:rPr>
            </w:pPr>
            <w:r w:rsidRPr="006376F5">
              <w:rPr>
                <w:sz w:val="20"/>
                <w:szCs w:val="20"/>
              </w:rPr>
              <w:t>836</w:t>
            </w:r>
          </w:p>
        </w:tc>
        <w:tc>
          <w:tcPr>
            <w:tcW w:w="645" w:type="pct"/>
          </w:tcPr>
          <w:p w14:paraId="413D6D05" w14:textId="77777777" w:rsidR="00846070" w:rsidRPr="006376F5" w:rsidRDefault="00846070" w:rsidP="00790DE0">
            <w:pPr>
              <w:keepNext/>
              <w:ind w:left="0" w:right="0"/>
              <w:rPr>
                <w:sz w:val="20"/>
                <w:szCs w:val="20"/>
              </w:rPr>
            </w:pPr>
            <w:r w:rsidRPr="006376F5">
              <w:rPr>
                <w:sz w:val="20"/>
                <w:szCs w:val="20"/>
              </w:rPr>
              <w:t>2,407</w:t>
            </w:r>
          </w:p>
        </w:tc>
      </w:tr>
    </w:tbl>
    <w:p w14:paraId="57CB3C5C" w14:textId="77777777" w:rsidR="00846070" w:rsidRDefault="00846070" w:rsidP="00846070">
      <w:pPr>
        <w:pStyle w:val="TableDescription"/>
        <w:rPr>
          <w:lang w:eastAsia="ja-JP"/>
        </w:rPr>
      </w:pPr>
      <w:r w:rsidRPr="006376F5">
        <w:t>n</w:t>
      </w:r>
      <w:r>
        <w:t xml:space="preserve"> = </w:t>
      </w:r>
      <w:r w:rsidRPr="006376F5">
        <w:t>Number of patients exposed</w:t>
      </w:r>
      <w:r>
        <w:t xml:space="preserve"> </w:t>
      </w:r>
      <w:r w:rsidRPr="0075550B">
        <w:rPr>
          <w:rFonts w:eastAsiaTheme="minorHAnsi"/>
          <w:sz w:val="16"/>
          <w:szCs w:val="16"/>
          <w:lang w:val="en-US"/>
        </w:rPr>
        <w:t xml:space="preserve">Source: </w:t>
      </w:r>
      <w:r>
        <w:rPr>
          <w:rFonts w:eastAsiaTheme="minorHAnsi"/>
          <w:sz w:val="16"/>
          <w:szCs w:val="16"/>
          <w:lang w:val="en-US"/>
        </w:rPr>
        <w:t>Module 2.7.4 Table 2.7.4-7 (amended) (</w:t>
      </w:r>
      <w:r w:rsidRPr="0075550B">
        <w:rPr>
          <w:rFonts w:eastAsiaTheme="minorHAnsi"/>
          <w:sz w:val="16"/>
          <w:szCs w:val="16"/>
          <w:lang w:val="en-US"/>
        </w:rPr>
        <w:t xml:space="preserve">Study VO36.04F CSR Table 12.1; </w:t>
      </w:r>
      <w:r>
        <w:rPr>
          <w:rFonts w:eastAsiaTheme="minorHAnsi"/>
          <w:sz w:val="16"/>
          <w:szCs w:val="16"/>
          <w:lang w:val="en-US"/>
        </w:rPr>
        <w:t>S</w:t>
      </w:r>
      <w:r w:rsidRPr="0075550B">
        <w:rPr>
          <w:rFonts w:eastAsiaTheme="minorHAnsi"/>
          <w:sz w:val="16"/>
          <w:szCs w:val="16"/>
          <w:lang w:val="en-US"/>
        </w:rPr>
        <w:t>tudy VO57.07</w:t>
      </w:r>
      <w:r>
        <w:rPr>
          <w:rFonts w:eastAsiaTheme="minorHAnsi"/>
          <w:sz w:val="16"/>
          <w:szCs w:val="16"/>
          <w:lang w:val="en-US"/>
        </w:rPr>
        <w:t xml:space="preserve"> CSR</w:t>
      </w:r>
      <w:r w:rsidRPr="0075550B">
        <w:rPr>
          <w:rFonts w:eastAsiaTheme="minorHAnsi"/>
          <w:sz w:val="16"/>
          <w:szCs w:val="16"/>
          <w:lang w:val="en-US"/>
        </w:rPr>
        <w:t xml:space="preserve"> Table 14.1.1/1a; </w:t>
      </w:r>
      <w:r>
        <w:rPr>
          <w:rFonts w:eastAsiaTheme="minorHAnsi"/>
          <w:sz w:val="16"/>
          <w:szCs w:val="16"/>
          <w:lang w:val="en-US"/>
        </w:rPr>
        <w:t>S</w:t>
      </w:r>
      <w:r w:rsidRPr="0075550B">
        <w:rPr>
          <w:rFonts w:eastAsiaTheme="minorHAnsi"/>
          <w:sz w:val="16"/>
          <w:szCs w:val="16"/>
          <w:lang w:val="en-US"/>
        </w:rPr>
        <w:t>tudy VO67.10</w:t>
      </w:r>
      <w:r>
        <w:rPr>
          <w:rFonts w:eastAsiaTheme="minorHAnsi"/>
          <w:sz w:val="16"/>
          <w:szCs w:val="16"/>
          <w:lang w:val="en-US"/>
        </w:rPr>
        <w:t xml:space="preserve"> CSR</w:t>
      </w:r>
      <w:r w:rsidRPr="0075550B">
        <w:rPr>
          <w:rFonts w:eastAsiaTheme="minorHAnsi"/>
          <w:sz w:val="16"/>
          <w:szCs w:val="16"/>
          <w:lang w:val="en-US"/>
        </w:rPr>
        <w:t xml:space="preserve"> Table 14.1.1.1b; </w:t>
      </w:r>
      <w:r>
        <w:rPr>
          <w:rFonts w:eastAsiaTheme="minorHAnsi"/>
          <w:sz w:val="16"/>
          <w:szCs w:val="16"/>
          <w:lang w:val="en-US"/>
        </w:rPr>
        <w:t>S</w:t>
      </w:r>
      <w:r w:rsidRPr="0075550B">
        <w:rPr>
          <w:rFonts w:eastAsiaTheme="minorHAnsi"/>
          <w:sz w:val="16"/>
          <w:szCs w:val="16"/>
          <w:lang w:val="en-US"/>
        </w:rPr>
        <w:t>tudy 1109D1711</w:t>
      </w:r>
      <w:r>
        <w:rPr>
          <w:rFonts w:eastAsiaTheme="minorHAnsi"/>
          <w:sz w:val="16"/>
          <w:szCs w:val="16"/>
          <w:lang w:val="en-US"/>
        </w:rPr>
        <w:t xml:space="preserve"> CSR</w:t>
      </w:r>
      <w:r w:rsidRPr="0075550B">
        <w:rPr>
          <w:rFonts w:eastAsiaTheme="minorHAnsi"/>
          <w:sz w:val="16"/>
          <w:szCs w:val="16"/>
          <w:lang w:val="en-US"/>
        </w:rPr>
        <w:t xml:space="preserve"> Table 12.1-1; </w:t>
      </w:r>
      <w:r>
        <w:rPr>
          <w:rFonts w:eastAsiaTheme="minorHAnsi"/>
          <w:sz w:val="16"/>
          <w:szCs w:val="16"/>
          <w:lang w:val="en-US"/>
        </w:rPr>
        <w:t>S</w:t>
      </w:r>
      <w:r w:rsidRPr="0075550B">
        <w:rPr>
          <w:rFonts w:eastAsiaTheme="minorHAnsi"/>
          <w:sz w:val="16"/>
          <w:szCs w:val="16"/>
          <w:lang w:val="en-US"/>
        </w:rPr>
        <w:t>tudy 1207D1731</w:t>
      </w:r>
      <w:r>
        <w:rPr>
          <w:rFonts w:eastAsiaTheme="minorHAnsi"/>
          <w:sz w:val="16"/>
          <w:szCs w:val="16"/>
          <w:lang w:val="en-US"/>
        </w:rPr>
        <w:t xml:space="preserve"> CSR </w:t>
      </w:r>
      <w:r w:rsidRPr="0075550B">
        <w:rPr>
          <w:rFonts w:eastAsiaTheme="minorHAnsi"/>
          <w:sz w:val="16"/>
          <w:szCs w:val="16"/>
          <w:lang w:val="en-US"/>
        </w:rPr>
        <w:t xml:space="preserve">Table 1-2 and Table 1-3.3; </w:t>
      </w:r>
      <w:r>
        <w:rPr>
          <w:rFonts w:eastAsiaTheme="minorHAnsi"/>
          <w:sz w:val="16"/>
          <w:szCs w:val="16"/>
          <w:lang w:val="en-US"/>
        </w:rPr>
        <w:t>S</w:t>
      </w:r>
      <w:r w:rsidRPr="0075550B">
        <w:rPr>
          <w:rFonts w:eastAsiaTheme="minorHAnsi"/>
          <w:sz w:val="16"/>
          <w:szCs w:val="16"/>
          <w:lang w:val="en-US"/>
        </w:rPr>
        <w:t>tudy VO73.13</w:t>
      </w:r>
      <w:r>
        <w:rPr>
          <w:rFonts w:eastAsiaTheme="minorHAnsi"/>
          <w:sz w:val="16"/>
          <w:szCs w:val="16"/>
          <w:lang w:val="en-US"/>
        </w:rPr>
        <w:t xml:space="preserve"> CSR </w:t>
      </w:r>
      <w:r w:rsidRPr="0075550B">
        <w:rPr>
          <w:rFonts w:eastAsiaTheme="minorHAnsi"/>
          <w:sz w:val="16"/>
          <w:szCs w:val="16"/>
          <w:lang w:val="en-US"/>
        </w:rPr>
        <w:t xml:space="preserve">Table 14.1.1-2; </w:t>
      </w:r>
      <w:r>
        <w:rPr>
          <w:rFonts w:eastAsiaTheme="minorHAnsi"/>
          <w:sz w:val="16"/>
          <w:szCs w:val="16"/>
          <w:lang w:val="en-US"/>
        </w:rPr>
        <w:t>S</w:t>
      </w:r>
      <w:r w:rsidRPr="0075550B">
        <w:rPr>
          <w:rFonts w:eastAsiaTheme="minorHAnsi"/>
          <w:sz w:val="16"/>
          <w:szCs w:val="16"/>
          <w:lang w:val="en-US"/>
        </w:rPr>
        <w:t>tudy VO64.08</w:t>
      </w:r>
      <w:r>
        <w:rPr>
          <w:rFonts w:eastAsiaTheme="minorHAnsi"/>
          <w:sz w:val="16"/>
          <w:szCs w:val="16"/>
          <w:lang w:val="en-US"/>
        </w:rPr>
        <w:t xml:space="preserve"> CSR</w:t>
      </w:r>
      <w:r w:rsidRPr="0075550B">
        <w:rPr>
          <w:rFonts w:eastAsiaTheme="minorHAnsi"/>
          <w:sz w:val="16"/>
          <w:szCs w:val="16"/>
          <w:lang w:val="en-US"/>
        </w:rPr>
        <w:t xml:space="preserve"> Table 14.1.1.5a and </w:t>
      </w:r>
      <w:r w:rsidRPr="0075550B">
        <w:rPr>
          <w:rFonts w:eastAsiaTheme="minorHAnsi"/>
          <w:sz w:val="16"/>
          <w:szCs w:val="16"/>
        </w:rPr>
        <w:t>Table 14.1.2.1.1a</w:t>
      </w:r>
      <w:r>
        <w:rPr>
          <w:rFonts w:eastAsiaTheme="minorHAnsi"/>
          <w:sz w:val="16"/>
          <w:szCs w:val="16"/>
        </w:rPr>
        <w:t>)</w:t>
      </w:r>
    </w:p>
    <w:p w14:paraId="2AD77B8D" w14:textId="77777777" w:rsidR="00846070" w:rsidRPr="006376F5" w:rsidRDefault="00846070" w:rsidP="00846070">
      <w:pPr>
        <w:pStyle w:val="Tabletitle0"/>
      </w:pPr>
      <w:bookmarkStart w:id="129" w:name="_Ref272765193"/>
      <w:bookmarkStart w:id="130" w:name="_Toc269112508"/>
      <w:bookmarkStart w:id="131" w:name="_Toc417806386"/>
      <w:r w:rsidRPr="006376F5">
        <w:lastRenderedPageBreak/>
        <w:t xml:space="preserve">Table </w:t>
      </w:r>
      <w:bookmarkEnd w:id="129"/>
      <w:r w:rsidR="003138F8">
        <w:t>7</w:t>
      </w:r>
      <w:r>
        <w:t xml:space="preserve">: </w:t>
      </w:r>
      <w:r w:rsidRPr="006376F5">
        <w:t>Maximum dose patients received</w:t>
      </w:r>
      <w:bookmarkEnd w:id="130"/>
      <w:bookmarkEnd w:id="131"/>
    </w:p>
    <w:tbl>
      <w:tblPr>
        <w:tblStyle w:val="TableTGAblue"/>
        <w:tblW w:w="4863" w:type="pct"/>
        <w:tblLook w:val="04A0" w:firstRow="1" w:lastRow="0" w:firstColumn="1" w:lastColumn="0" w:noHBand="0" w:noVBand="1"/>
      </w:tblPr>
      <w:tblGrid>
        <w:gridCol w:w="1247"/>
        <w:gridCol w:w="1235"/>
        <w:gridCol w:w="684"/>
        <w:gridCol w:w="684"/>
        <w:gridCol w:w="695"/>
        <w:gridCol w:w="689"/>
        <w:gridCol w:w="689"/>
        <w:gridCol w:w="690"/>
        <w:gridCol w:w="907"/>
        <w:gridCol w:w="27"/>
        <w:gridCol w:w="919"/>
        <w:gridCol w:w="15"/>
      </w:tblGrid>
      <w:tr w:rsidR="00846070" w:rsidRPr="006376F5" w14:paraId="706B2129" w14:textId="77777777" w:rsidTr="00846070">
        <w:trPr>
          <w:cnfStyle w:val="100000000000" w:firstRow="1" w:lastRow="0" w:firstColumn="0" w:lastColumn="0" w:oddVBand="0" w:evenVBand="0" w:oddHBand="0" w:evenHBand="0" w:firstRowFirstColumn="0" w:firstRowLastColumn="0" w:lastRowFirstColumn="0" w:lastRowLastColumn="0"/>
          <w:trHeight w:val="274"/>
        </w:trPr>
        <w:tc>
          <w:tcPr>
            <w:tcW w:w="1463" w:type="pct"/>
            <w:gridSpan w:val="2"/>
          </w:tcPr>
          <w:p w14:paraId="27AB99CE" w14:textId="77777777" w:rsidR="00846070" w:rsidRPr="006376F5" w:rsidRDefault="00846070" w:rsidP="00790DE0">
            <w:pPr>
              <w:ind w:left="0" w:right="0"/>
              <w:rPr>
                <w:sz w:val="20"/>
                <w:szCs w:val="20"/>
              </w:rPr>
            </w:pPr>
            <w:r w:rsidRPr="006376F5">
              <w:rPr>
                <w:sz w:val="20"/>
                <w:szCs w:val="20"/>
              </w:rPr>
              <w:t>Rhinitis program</w:t>
            </w:r>
          </w:p>
        </w:tc>
        <w:tc>
          <w:tcPr>
            <w:tcW w:w="3537" w:type="pct"/>
            <w:gridSpan w:val="10"/>
          </w:tcPr>
          <w:p w14:paraId="7D38358B" w14:textId="77777777" w:rsidR="00846070" w:rsidRPr="006376F5" w:rsidRDefault="00846070" w:rsidP="00790DE0">
            <w:pPr>
              <w:ind w:left="0" w:right="0"/>
              <w:rPr>
                <w:sz w:val="20"/>
                <w:szCs w:val="20"/>
              </w:rPr>
            </w:pPr>
            <w:r w:rsidRPr="006376F5">
              <w:rPr>
                <w:sz w:val="20"/>
                <w:szCs w:val="20"/>
              </w:rPr>
              <w:t>Maximum dose</w:t>
            </w:r>
          </w:p>
        </w:tc>
      </w:tr>
      <w:tr w:rsidR="00846070" w:rsidRPr="006376F5" w14:paraId="7E61B981" w14:textId="77777777" w:rsidTr="00846070">
        <w:trPr>
          <w:trHeight w:val="274"/>
        </w:trPr>
        <w:tc>
          <w:tcPr>
            <w:tcW w:w="1463" w:type="pct"/>
            <w:gridSpan w:val="2"/>
          </w:tcPr>
          <w:p w14:paraId="58E411E9" w14:textId="77777777" w:rsidR="00846070" w:rsidRPr="006376F5" w:rsidRDefault="00846070" w:rsidP="00790DE0">
            <w:pPr>
              <w:keepNext/>
              <w:ind w:left="0" w:right="0"/>
              <w:rPr>
                <w:sz w:val="20"/>
                <w:szCs w:val="20"/>
              </w:rPr>
            </w:pPr>
          </w:p>
        </w:tc>
        <w:tc>
          <w:tcPr>
            <w:tcW w:w="404" w:type="pct"/>
          </w:tcPr>
          <w:p w14:paraId="409006C3" w14:textId="77777777" w:rsidR="00846070" w:rsidRPr="006376F5" w:rsidRDefault="00846070" w:rsidP="00790DE0">
            <w:pPr>
              <w:keepNext/>
              <w:ind w:left="0" w:right="0"/>
              <w:rPr>
                <w:sz w:val="20"/>
                <w:szCs w:val="20"/>
              </w:rPr>
            </w:pPr>
            <w:r w:rsidRPr="006376F5">
              <w:rPr>
                <w:sz w:val="20"/>
                <w:szCs w:val="20"/>
              </w:rPr>
              <w:t>100 IR</w:t>
            </w:r>
          </w:p>
          <w:p w14:paraId="70604EFD" w14:textId="77777777" w:rsidR="00846070" w:rsidRPr="006376F5" w:rsidRDefault="00846070" w:rsidP="00790DE0">
            <w:pPr>
              <w:keepNext/>
              <w:ind w:left="0" w:right="0"/>
              <w:rPr>
                <w:sz w:val="20"/>
                <w:szCs w:val="20"/>
              </w:rPr>
            </w:pPr>
            <w:r w:rsidRPr="006376F5">
              <w:rPr>
                <w:sz w:val="20"/>
                <w:szCs w:val="20"/>
              </w:rPr>
              <w:t>(n)</w:t>
            </w:r>
          </w:p>
        </w:tc>
        <w:tc>
          <w:tcPr>
            <w:tcW w:w="403" w:type="pct"/>
          </w:tcPr>
          <w:p w14:paraId="39C32C2F" w14:textId="77777777" w:rsidR="00846070" w:rsidRPr="006376F5" w:rsidRDefault="00846070" w:rsidP="00790DE0">
            <w:pPr>
              <w:keepNext/>
              <w:ind w:left="0" w:right="0"/>
              <w:rPr>
                <w:sz w:val="20"/>
                <w:szCs w:val="20"/>
              </w:rPr>
            </w:pPr>
            <w:r w:rsidRPr="006376F5">
              <w:rPr>
                <w:sz w:val="20"/>
                <w:szCs w:val="20"/>
              </w:rPr>
              <w:t>200 IR</w:t>
            </w:r>
          </w:p>
          <w:p w14:paraId="0F82CCB0" w14:textId="77777777" w:rsidR="00846070" w:rsidRPr="006376F5" w:rsidRDefault="00846070" w:rsidP="00790DE0">
            <w:pPr>
              <w:keepNext/>
              <w:ind w:left="0" w:right="0"/>
              <w:rPr>
                <w:sz w:val="20"/>
                <w:szCs w:val="20"/>
              </w:rPr>
            </w:pPr>
            <w:r w:rsidRPr="006376F5">
              <w:rPr>
                <w:sz w:val="20"/>
                <w:szCs w:val="20"/>
              </w:rPr>
              <w:t>(n)</w:t>
            </w:r>
          </w:p>
        </w:tc>
        <w:tc>
          <w:tcPr>
            <w:tcW w:w="410" w:type="pct"/>
          </w:tcPr>
          <w:p w14:paraId="27F32599" w14:textId="77777777" w:rsidR="00846070" w:rsidRPr="006376F5" w:rsidRDefault="00846070" w:rsidP="00790DE0">
            <w:pPr>
              <w:keepNext/>
              <w:ind w:left="0" w:right="0"/>
              <w:rPr>
                <w:sz w:val="20"/>
                <w:szCs w:val="20"/>
              </w:rPr>
            </w:pPr>
            <w:r w:rsidRPr="006376F5">
              <w:rPr>
                <w:sz w:val="20"/>
                <w:szCs w:val="20"/>
              </w:rPr>
              <w:t>300 IR</w:t>
            </w:r>
          </w:p>
          <w:p w14:paraId="35F6381F" w14:textId="77777777" w:rsidR="00846070" w:rsidRPr="006376F5" w:rsidRDefault="00846070" w:rsidP="00790DE0">
            <w:pPr>
              <w:keepNext/>
              <w:ind w:left="0" w:right="0"/>
              <w:rPr>
                <w:sz w:val="20"/>
                <w:szCs w:val="20"/>
              </w:rPr>
            </w:pPr>
            <w:r w:rsidRPr="006376F5">
              <w:rPr>
                <w:sz w:val="20"/>
                <w:szCs w:val="20"/>
              </w:rPr>
              <w:t>(n)</w:t>
            </w:r>
          </w:p>
        </w:tc>
        <w:tc>
          <w:tcPr>
            <w:tcW w:w="406" w:type="pct"/>
          </w:tcPr>
          <w:p w14:paraId="41D3D96C" w14:textId="77777777" w:rsidR="00846070" w:rsidRPr="006376F5" w:rsidRDefault="00846070" w:rsidP="00790DE0">
            <w:pPr>
              <w:keepNext/>
              <w:ind w:left="0" w:right="0"/>
              <w:rPr>
                <w:sz w:val="20"/>
                <w:szCs w:val="20"/>
              </w:rPr>
            </w:pPr>
            <w:r w:rsidRPr="006376F5">
              <w:rPr>
                <w:sz w:val="20"/>
                <w:szCs w:val="20"/>
              </w:rPr>
              <w:t>400 IR</w:t>
            </w:r>
          </w:p>
          <w:p w14:paraId="7748EE1B" w14:textId="77777777" w:rsidR="00846070" w:rsidRPr="006376F5" w:rsidRDefault="00846070" w:rsidP="00790DE0">
            <w:pPr>
              <w:keepNext/>
              <w:ind w:left="0" w:right="0"/>
              <w:rPr>
                <w:sz w:val="20"/>
                <w:szCs w:val="20"/>
              </w:rPr>
            </w:pPr>
            <w:r w:rsidRPr="006376F5">
              <w:rPr>
                <w:sz w:val="20"/>
                <w:szCs w:val="20"/>
              </w:rPr>
              <w:t>(n)</w:t>
            </w:r>
          </w:p>
        </w:tc>
        <w:tc>
          <w:tcPr>
            <w:tcW w:w="406" w:type="pct"/>
          </w:tcPr>
          <w:p w14:paraId="43E374E6" w14:textId="77777777" w:rsidR="00846070" w:rsidRPr="006376F5" w:rsidRDefault="00846070" w:rsidP="00790DE0">
            <w:pPr>
              <w:keepNext/>
              <w:ind w:left="0" w:right="0"/>
              <w:rPr>
                <w:sz w:val="20"/>
                <w:szCs w:val="20"/>
              </w:rPr>
            </w:pPr>
            <w:r w:rsidRPr="006376F5">
              <w:rPr>
                <w:sz w:val="20"/>
                <w:szCs w:val="20"/>
              </w:rPr>
              <w:t>500 IR</w:t>
            </w:r>
          </w:p>
          <w:p w14:paraId="08087566" w14:textId="77777777" w:rsidR="00846070" w:rsidRPr="006376F5" w:rsidRDefault="00846070" w:rsidP="00790DE0">
            <w:pPr>
              <w:keepNext/>
              <w:ind w:left="0" w:right="0"/>
              <w:rPr>
                <w:sz w:val="20"/>
                <w:szCs w:val="20"/>
              </w:rPr>
            </w:pPr>
            <w:r w:rsidRPr="006376F5">
              <w:rPr>
                <w:sz w:val="20"/>
                <w:szCs w:val="20"/>
              </w:rPr>
              <w:t>(n)</w:t>
            </w:r>
          </w:p>
        </w:tc>
        <w:tc>
          <w:tcPr>
            <w:tcW w:w="407" w:type="pct"/>
          </w:tcPr>
          <w:p w14:paraId="478C755D" w14:textId="77777777" w:rsidR="00846070" w:rsidRPr="006376F5" w:rsidRDefault="00846070" w:rsidP="00790DE0">
            <w:pPr>
              <w:keepNext/>
              <w:ind w:left="0" w:right="0"/>
              <w:rPr>
                <w:sz w:val="20"/>
                <w:szCs w:val="20"/>
              </w:rPr>
            </w:pPr>
            <w:r w:rsidRPr="006376F5">
              <w:rPr>
                <w:sz w:val="20"/>
                <w:szCs w:val="20"/>
              </w:rPr>
              <w:t>800 IR</w:t>
            </w:r>
          </w:p>
          <w:p w14:paraId="727F4A2C" w14:textId="77777777" w:rsidR="00846070" w:rsidRPr="006376F5" w:rsidRDefault="00846070" w:rsidP="00790DE0">
            <w:pPr>
              <w:keepNext/>
              <w:ind w:left="0" w:right="0"/>
              <w:rPr>
                <w:sz w:val="20"/>
                <w:szCs w:val="20"/>
              </w:rPr>
            </w:pPr>
            <w:r w:rsidRPr="006376F5">
              <w:rPr>
                <w:sz w:val="20"/>
                <w:szCs w:val="20"/>
              </w:rPr>
              <w:t>(n)</w:t>
            </w:r>
          </w:p>
        </w:tc>
        <w:tc>
          <w:tcPr>
            <w:tcW w:w="551" w:type="pct"/>
            <w:gridSpan w:val="2"/>
          </w:tcPr>
          <w:p w14:paraId="184D6E93" w14:textId="77777777" w:rsidR="00846070" w:rsidRPr="006376F5" w:rsidRDefault="00846070" w:rsidP="00790DE0">
            <w:pPr>
              <w:keepNext/>
              <w:ind w:left="0" w:right="0"/>
              <w:rPr>
                <w:sz w:val="20"/>
                <w:szCs w:val="20"/>
              </w:rPr>
            </w:pPr>
            <w:r w:rsidRPr="006376F5">
              <w:rPr>
                <w:sz w:val="20"/>
                <w:szCs w:val="20"/>
              </w:rPr>
              <w:t>1,000 IR</w:t>
            </w:r>
          </w:p>
          <w:p w14:paraId="6D97C927" w14:textId="77777777" w:rsidR="00846070" w:rsidRPr="006376F5" w:rsidRDefault="00846070" w:rsidP="00790DE0">
            <w:pPr>
              <w:keepNext/>
              <w:ind w:left="0" w:right="0"/>
              <w:rPr>
                <w:sz w:val="20"/>
                <w:szCs w:val="20"/>
              </w:rPr>
            </w:pPr>
            <w:r w:rsidRPr="006376F5">
              <w:rPr>
                <w:sz w:val="20"/>
                <w:szCs w:val="20"/>
              </w:rPr>
              <w:t>(n)</w:t>
            </w:r>
          </w:p>
        </w:tc>
        <w:tc>
          <w:tcPr>
            <w:tcW w:w="551" w:type="pct"/>
            <w:gridSpan w:val="2"/>
          </w:tcPr>
          <w:p w14:paraId="730CCF81" w14:textId="77777777" w:rsidR="00846070" w:rsidRPr="006376F5" w:rsidRDefault="00846070" w:rsidP="00790DE0">
            <w:pPr>
              <w:keepNext/>
              <w:ind w:left="0" w:right="0"/>
              <w:rPr>
                <w:sz w:val="20"/>
                <w:szCs w:val="20"/>
              </w:rPr>
            </w:pPr>
            <w:r w:rsidRPr="006376F5">
              <w:rPr>
                <w:sz w:val="20"/>
                <w:szCs w:val="20"/>
              </w:rPr>
              <w:t>1,500 IR</w:t>
            </w:r>
          </w:p>
          <w:p w14:paraId="4D818F42" w14:textId="77777777" w:rsidR="00846070" w:rsidRPr="006376F5" w:rsidRDefault="00846070" w:rsidP="00790DE0">
            <w:pPr>
              <w:keepNext/>
              <w:ind w:left="0" w:right="0"/>
              <w:rPr>
                <w:sz w:val="20"/>
                <w:szCs w:val="20"/>
              </w:rPr>
            </w:pPr>
            <w:r w:rsidRPr="006376F5">
              <w:rPr>
                <w:sz w:val="20"/>
                <w:szCs w:val="20"/>
              </w:rPr>
              <w:t>(n)</w:t>
            </w:r>
          </w:p>
        </w:tc>
      </w:tr>
      <w:tr w:rsidR="00846070" w:rsidRPr="006376F5" w14:paraId="7C1B4662" w14:textId="77777777" w:rsidTr="00846070">
        <w:trPr>
          <w:trHeight w:val="274"/>
        </w:trPr>
        <w:tc>
          <w:tcPr>
            <w:tcW w:w="735" w:type="pct"/>
            <w:vMerge w:val="restart"/>
          </w:tcPr>
          <w:p w14:paraId="0616849A" w14:textId="77777777" w:rsidR="00846070" w:rsidRPr="006376F5" w:rsidRDefault="00846070" w:rsidP="00790DE0">
            <w:pPr>
              <w:keepNext/>
              <w:ind w:left="0" w:right="0"/>
              <w:rPr>
                <w:sz w:val="20"/>
                <w:szCs w:val="20"/>
              </w:rPr>
            </w:pPr>
            <w:r w:rsidRPr="006376F5">
              <w:rPr>
                <w:sz w:val="20"/>
                <w:szCs w:val="20"/>
              </w:rPr>
              <w:t>Adults</w:t>
            </w:r>
          </w:p>
        </w:tc>
        <w:tc>
          <w:tcPr>
            <w:tcW w:w="728" w:type="pct"/>
          </w:tcPr>
          <w:p w14:paraId="28E9A971" w14:textId="77777777" w:rsidR="00846070" w:rsidRPr="006376F5" w:rsidRDefault="00846070" w:rsidP="00790DE0">
            <w:pPr>
              <w:keepNext/>
              <w:ind w:left="0" w:right="0"/>
              <w:rPr>
                <w:sz w:val="20"/>
                <w:szCs w:val="20"/>
              </w:rPr>
            </w:pPr>
            <w:r w:rsidRPr="006376F5">
              <w:rPr>
                <w:sz w:val="20"/>
                <w:szCs w:val="20"/>
              </w:rPr>
              <w:t>VO36.04F</w:t>
            </w:r>
          </w:p>
        </w:tc>
        <w:tc>
          <w:tcPr>
            <w:tcW w:w="404" w:type="pct"/>
          </w:tcPr>
          <w:p w14:paraId="27160EF2" w14:textId="77777777" w:rsidR="00846070" w:rsidRPr="006376F5" w:rsidRDefault="00846070" w:rsidP="00790DE0">
            <w:pPr>
              <w:keepNext/>
              <w:ind w:left="0" w:right="0"/>
              <w:rPr>
                <w:sz w:val="20"/>
                <w:szCs w:val="20"/>
              </w:rPr>
            </w:pPr>
            <w:r w:rsidRPr="006376F5">
              <w:rPr>
                <w:sz w:val="20"/>
                <w:szCs w:val="20"/>
              </w:rPr>
              <w:t>-</w:t>
            </w:r>
          </w:p>
        </w:tc>
        <w:tc>
          <w:tcPr>
            <w:tcW w:w="403" w:type="pct"/>
          </w:tcPr>
          <w:p w14:paraId="14482AEA" w14:textId="77777777" w:rsidR="00846070" w:rsidRPr="006376F5" w:rsidRDefault="00846070" w:rsidP="00790DE0">
            <w:pPr>
              <w:keepNext/>
              <w:ind w:left="0" w:right="0"/>
              <w:rPr>
                <w:sz w:val="20"/>
                <w:szCs w:val="20"/>
              </w:rPr>
            </w:pPr>
            <w:r w:rsidRPr="006376F5">
              <w:rPr>
                <w:sz w:val="20"/>
                <w:szCs w:val="20"/>
              </w:rPr>
              <w:t>1</w:t>
            </w:r>
          </w:p>
        </w:tc>
        <w:tc>
          <w:tcPr>
            <w:tcW w:w="410" w:type="pct"/>
          </w:tcPr>
          <w:p w14:paraId="2FA3140C" w14:textId="77777777" w:rsidR="00846070" w:rsidRPr="006376F5" w:rsidRDefault="00846070" w:rsidP="00790DE0">
            <w:pPr>
              <w:keepNext/>
              <w:ind w:left="0" w:right="0"/>
              <w:rPr>
                <w:sz w:val="20"/>
                <w:szCs w:val="20"/>
              </w:rPr>
            </w:pPr>
            <w:r w:rsidRPr="006376F5">
              <w:rPr>
                <w:sz w:val="20"/>
                <w:szCs w:val="20"/>
              </w:rPr>
              <w:t>7</w:t>
            </w:r>
          </w:p>
        </w:tc>
        <w:tc>
          <w:tcPr>
            <w:tcW w:w="406" w:type="pct"/>
          </w:tcPr>
          <w:p w14:paraId="1E44DD50" w14:textId="77777777" w:rsidR="00846070" w:rsidRPr="006376F5" w:rsidRDefault="00846070" w:rsidP="00790DE0">
            <w:pPr>
              <w:keepNext/>
              <w:ind w:left="0" w:right="0"/>
              <w:rPr>
                <w:sz w:val="20"/>
                <w:szCs w:val="20"/>
              </w:rPr>
            </w:pPr>
            <w:r w:rsidRPr="006376F5">
              <w:rPr>
                <w:sz w:val="20"/>
                <w:szCs w:val="20"/>
              </w:rPr>
              <w:t>-</w:t>
            </w:r>
          </w:p>
        </w:tc>
        <w:tc>
          <w:tcPr>
            <w:tcW w:w="406" w:type="pct"/>
          </w:tcPr>
          <w:p w14:paraId="52EB0E71" w14:textId="77777777" w:rsidR="00846070" w:rsidRPr="006376F5" w:rsidRDefault="00846070" w:rsidP="00790DE0">
            <w:pPr>
              <w:keepNext/>
              <w:ind w:left="0" w:right="0"/>
              <w:rPr>
                <w:sz w:val="20"/>
                <w:szCs w:val="20"/>
              </w:rPr>
            </w:pPr>
            <w:r w:rsidRPr="006376F5">
              <w:rPr>
                <w:sz w:val="20"/>
                <w:szCs w:val="20"/>
              </w:rPr>
              <w:t>15</w:t>
            </w:r>
          </w:p>
        </w:tc>
        <w:tc>
          <w:tcPr>
            <w:tcW w:w="407" w:type="pct"/>
          </w:tcPr>
          <w:p w14:paraId="1E95F0BA"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7940C3B8"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44A153DE"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08D95E96" w14:textId="77777777" w:rsidTr="00846070">
        <w:trPr>
          <w:trHeight w:val="274"/>
        </w:trPr>
        <w:tc>
          <w:tcPr>
            <w:tcW w:w="735" w:type="pct"/>
            <w:vMerge/>
          </w:tcPr>
          <w:p w14:paraId="3D681C88" w14:textId="77777777" w:rsidR="00846070" w:rsidRPr="006376F5" w:rsidRDefault="00846070" w:rsidP="00790DE0">
            <w:pPr>
              <w:keepNext/>
              <w:ind w:left="0" w:right="0"/>
              <w:rPr>
                <w:sz w:val="20"/>
                <w:szCs w:val="20"/>
              </w:rPr>
            </w:pPr>
          </w:p>
        </w:tc>
        <w:tc>
          <w:tcPr>
            <w:tcW w:w="728" w:type="pct"/>
          </w:tcPr>
          <w:p w14:paraId="5E1B5BDB" w14:textId="77777777" w:rsidR="00846070" w:rsidRPr="006376F5" w:rsidRDefault="00846070" w:rsidP="00790DE0">
            <w:pPr>
              <w:keepNext/>
              <w:ind w:left="0" w:right="0"/>
              <w:rPr>
                <w:sz w:val="20"/>
                <w:szCs w:val="20"/>
              </w:rPr>
            </w:pPr>
            <w:r w:rsidRPr="006376F5">
              <w:rPr>
                <w:sz w:val="20"/>
                <w:szCs w:val="20"/>
              </w:rPr>
              <w:t>VO57.07</w:t>
            </w:r>
          </w:p>
        </w:tc>
        <w:tc>
          <w:tcPr>
            <w:tcW w:w="404" w:type="pct"/>
          </w:tcPr>
          <w:p w14:paraId="5A9FC137" w14:textId="77777777" w:rsidR="00846070" w:rsidRPr="006376F5" w:rsidRDefault="00846070" w:rsidP="00790DE0">
            <w:pPr>
              <w:keepNext/>
              <w:ind w:left="0" w:right="0"/>
              <w:rPr>
                <w:sz w:val="20"/>
                <w:szCs w:val="20"/>
              </w:rPr>
            </w:pPr>
            <w:r w:rsidRPr="006376F5">
              <w:rPr>
                <w:sz w:val="20"/>
                <w:szCs w:val="20"/>
              </w:rPr>
              <w:t>1</w:t>
            </w:r>
          </w:p>
        </w:tc>
        <w:tc>
          <w:tcPr>
            <w:tcW w:w="403" w:type="pct"/>
          </w:tcPr>
          <w:p w14:paraId="3DC440F5" w14:textId="77777777" w:rsidR="00846070" w:rsidRPr="006376F5" w:rsidRDefault="00846070" w:rsidP="00790DE0">
            <w:pPr>
              <w:keepNext/>
              <w:ind w:left="0" w:right="0"/>
              <w:rPr>
                <w:sz w:val="20"/>
                <w:szCs w:val="20"/>
              </w:rPr>
            </w:pPr>
            <w:r w:rsidRPr="006376F5">
              <w:rPr>
                <w:sz w:val="20"/>
                <w:szCs w:val="20"/>
              </w:rPr>
              <w:t>-</w:t>
            </w:r>
          </w:p>
        </w:tc>
        <w:tc>
          <w:tcPr>
            <w:tcW w:w="410" w:type="pct"/>
          </w:tcPr>
          <w:p w14:paraId="2CFCD903" w14:textId="77777777" w:rsidR="00846070" w:rsidRPr="006376F5" w:rsidRDefault="00846070" w:rsidP="00790DE0">
            <w:pPr>
              <w:keepNext/>
              <w:ind w:left="0" w:right="0"/>
              <w:rPr>
                <w:sz w:val="20"/>
                <w:szCs w:val="20"/>
              </w:rPr>
            </w:pPr>
            <w:r w:rsidRPr="006376F5">
              <w:rPr>
                <w:sz w:val="20"/>
                <w:szCs w:val="20"/>
              </w:rPr>
              <w:t>170</w:t>
            </w:r>
          </w:p>
        </w:tc>
        <w:tc>
          <w:tcPr>
            <w:tcW w:w="406" w:type="pct"/>
          </w:tcPr>
          <w:p w14:paraId="7B1E120A" w14:textId="77777777" w:rsidR="00846070" w:rsidRPr="006376F5" w:rsidRDefault="00846070" w:rsidP="00790DE0">
            <w:pPr>
              <w:keepNext/>
              <w:ind w:left="0" w:right="0"/>
              <w:rPr>
                <w:sz w:val="20"/>
                <w:szCs w:val="20"/>
              </w:rPr>
            </w:pPr>
            <w:r w:rsidRPr="006376F5">
              <w:rPr>
                <w:sz w:val="20"/>
                <w:szCs w:val="20"/>
              </w:rPr>
              <w:t>-</w:t>
            </w:r>
          </w:p>
        </w:tc>
        <w:tc>
          <w:tcPr>
            <w:tcW w:w="406" w:type="pct"/>
          </w:tcPr>
          <w:p w14:paraId="4BA7148D" w14:textId="77777777" w:rsidR="00846070" w:rsidRPr="006376F5" w:rsidRDefault="00846070" w:rsidP="00790DE0">
            <w:pPr>
              <w:keepNext/>
              <w:ind w:left="0" w:right="0"/>
              <w:rPr>
                <w:sz w:val="20"/>
                <w:szCs w:val="20"/>
              </w:rPr>
            </w:pPr>
            <w:r w:rsidRPr="006376F5">
              <w:rPr>
                <w:sz w:val="20"/>
                <w:szCs w:val="20"/>
              </w:rPr>
              <w:t>168</w:t>
            </w:r>
          </w:p>
        </w:tc>
        <w:tc>
          <w:tcPr>
            <w:tcW w:w="407" w:type="pct"/>
          </w:tcPr>
          <w:p w14:paraId="63CC3612"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2C432A01"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27AF3D8F"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67B6B8BE" w14:textId="77777777" w:rsidTr="00846070">
        <w:trPr>
          <w:trHeight w:val="274"/>
        </w:trPr>
        <w:tc>
          <w:tcPr>
            <w:tcW w:w="735" w:type="pct"/>
            <w:vMerge/>
          </w:tcPr>
          <w:p w14:paraId="160E467C" w14:textId="77777777" w:rsidR="00846070" w:rsidRPr="006376F5" w:rsidRDefault="00846070" w:rsidP="00790DE0">
            <w:pPr>
              <w:keepNext/>
              <w:ind w:left="0" w:right="0"/>
              <w:rPr>
                <w:sz w:val="20"/>
                <w:szCs w:val="20"/>
              </w:rPr>
            </w:pPr>
          </w:p>
        </w:tc>
        <w:tc>
          <w:tcPr>
            <w:tcW w:w="728" w:type="pct"/>
          </w:tcPr>
          <w:p w14:paraId="3CB2BA0B" w14:textId="77777777" w:rsidR="00846070" w:rsidRPr="006376F5" w:rsidRDefault="00846070" w:rsidP="00790DE0">
            <w:pPr>
              <w:keepNext/>
              <w:ind w:left="0" w:right="0"/>
              <w:rPr>
                <w:sz w:val="20"/>
                <w:szCs w:val="20"/>
              </w:rPr>
            </w:pPr>
            <w:r w:rsidRPr="006376F5">
              <w:rPr>
                <w:sz w:val="20"/>
                <w:szCs w:val="20"/>
              </w:rPr>
              <w:t>VO67.10</w:t>
            </w:r>
          </w:p>
        </w:tc>
        <w:tc>
          <w:tcPr>
            <w:tcW w:w="404" w:type="pct"/>
          </w:tcPr>
          <w:p w14:paraId="2F981E46" w14:textId="77777777" w:rsidR="00846070" w:rsidRPr="006376F5" w:rsidRDefault="00846070" w:rsidP="00790DE0">
            <w:pPr>
              <w:keepNext/>
              <w:ind w:left="0" w:right="0"/>
              <w:rPr>
                <w:sz w:val="20"/>
                <w:szCs w:val="20"/>
              </w:rPr>
            </w:pPr>
            <w:r w:rsidRPr="006376F5">
              <w:rPr>
                <w:sz w:val="20"/>
                <w:szCs w:val="20"/>
              </w:rPr>
              <w:t>92</w:t>
            </w:r>
          </w:p>
        </w:tc>
        <w:tc>
          <w:tcPr>
            <w:tcW w:w="403" w:type="pct"/>
          </w:tcPr>
          <w:p w14:paraId="79CE3AF1" w14:textId="77777777" w:rsidR="00846070" w:rsidRPr="006376F5" w:rsidRDefault="00846070" w:rsidP="00790DE0">
            <w:pPr>
              <w:keepNext/>
              <w:ind w:left="0" w:right="0"/>
              <w:rPr>
                <w:sz w:val="20"/>
                <w:szCs w:val="20"/>
              </w:rPr>
            </w:pPr>
            <w:r w:rsidRPr="006376F5">
              <w:rPr>
                <w:sz w:val="20"/>
                <w:szCs w:val="20"/>
              </w:rPr>
              <w:t>-</w:t>
            </w:r>
          </w:p>
        </w:tc>
        <w:tc>
          <w:tcPr>
            <w:tcW w:w="410" w:type="pct"/>
          </w:tcPr>
          <w:p w14:paraId="77B835BF" w14:textId="77777777" w:rsidR="00846070" w:rsidRPr="006376F5" w:rsidRDefault="00846070" w:rsidP="00790DE0">
            <w:pPr>
              <w:keepNext/>
              <w:ind w:left="0" w:right="0"/>
              <w:rPr>
                <w:sz w:val="20"/>
                <w:szCs w:val="20"/>
              </w:rPr>
            </w:pPr>
            <w:r w:rsidRPr="006376F5">
              <w:rPr>
                <w:sz w:val="20"/>
                <w:szCs w:val="20"/>
              </w:rPr>
              <w:t>86</w:t>
            </w:r>
          </w:p>
        </w:tc>
        <w:tc>
          <w:tcPr>
            <w:tcW w:w="406" w:type="pct"/>
          </w:tcPr>
          <w:p w14:paraId="70F2C683" w14:textId="77777777" w:rsidR="00846070" w:rsidRPr="006376F5" w:rsidRDefault="00846070" w:rsidP="00790DE0">
            <w:pPr>
              <w:keepNext/>
              <w:ind w:left="0" w:right="0"/>
              <w:rPr>
                <w:sz w:val="20"/>
                <w:szCs w:val="20"/>
              </w:rPr>
            </w:pPr>
            <w:r w:rsidRPr="006376F5">
              <w:rPr>
                <w:sz w:val="20"/>
                <w:szCs w:val="20"/>
              </w:rPr>
              <w:t>-</w:t>
            </w:r>
          </w:p>
        </w:tc>
        <w:tc>
          <w:tcPr>
            <w:tcW w:w="406" w:type="pct"/>
          </w:tcPr>
          <w:p w14:paraId="2CB67F9C" w14:textId="77777777" w:rsidR="00846070" w:rsidRPr="006376F5" w:rsidRDefault="00846070" w:rsidP="00790DE0">
            <w:pPr>
              <w:keepNext/>
              <w:ind w:left="0" w:right="0"/>
              <w:rPr>
                <w:sz w:val="20"/>
                <w:szCs w:val="20"/>
              </w:rPr>
            </w:pPr>
            <w:r w:rsidRPr="006376F5">
              <w:rPr>
                <w:sz w:val="20"/>
                <w:szCs w:val="20"/>
              </w:rPr>
              <w:t>90</w:t>
            </w:r>
          </w:p>
        </w:tc>
        <w:tc>
          <w:tcPr>
            <w:tcW w:w="407" w:type="pct"/>
          </w:tcPr>
          <w:p w14:paraId="704A4C6D"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6D62D9BF"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044860D0"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3CDCE235" w14:textId="77777777" w:rsidTr="00846070">
        <w:trPr>
          <w:trHeight w:val="274"/>
        </w:trPr>
        <w:tc>
          <w:tcPr>
            <w:tcW w:w="735" w:type="pct"/>
            <w:vMerge/>
          </w:tcPr>
          <w:p w14:paraId="67DA3F2A" w14:textId="77777777" w:rsidR="00846070" w:rsidRPr="006376F5" w:rsidRDefault="00846070" w:rsidP="00790DE0">
            <w:pPr>
              <w:keepNext/>
              <w:ind w:left="0" w:right="0"/>
              <w:rPr>
                <w:sz w:val="20"/>
                <w:szCs w:val="20"/>
              </w:rPr>
            </w:pPr>
          </w:p>
        </w:tc>
        <w:tc>
          <w:tcPr>
            <w:tcW w:w="728" w:type="pct"/>
          </w:tcPr>
          <w:p w14:paraId="3AB62EE9" w14:textId="77777777" w:rsidR="00846070" w:rsidRPr="006376F5" w:rsidRDefault="00846070" w:rsidP="00790DE0">
            <w:pPr>
              <w:keepNext/>
              <w:ind w:left="0" w:right="0"/>
              <w:rPr>
                <w:sz w:val="20"/>
                <w:szCs w:val="20"/>
              </w:rPr>
            </w:pPr>
            <w:r w:rsidRPr="006376F5">
              <w:rPr>
                <w:sz w:val="20"/>
                <w:szCs w:val="20"/>
              </w:rPr>
              <w:t>1109D1711</w:t>
            </w:r>
          </w:p>
        </w:tc>
        <w:tc>
          <w:tcPr>
            <w:tcW w:w="404" w:type="pct"/>
          </w:tcPr>
          <w:p w14:paraId="7A3275C3" w14:textId="77777777" w:rsidR="00846070" w:rsidRPr="006376F5" w:rsidRDefault="00846070" w:rsidP="00790DE0">
            <w:pPr>
              <w:keepNext/>
              <w:ind w:left="0" w:right="0"/>
              <w:rPr>
                <w:sz w:val="20"/>
                <w:szCs w:val="20"/>
              </w:rPr>
            </w:pPr>
            <w:r w:rsidRPr="006376F5">
              <w:rPr>
                <w:sz w:val="20"/>
                <w:szCs w:val="20"/>
              </w:rPr>
              <w:t>9</w:t>
            </w:r>
          </w:p>
        </w:tc>
        <w:tc>
          <w:tcPr>
            <w:tcW w:w="403" w:type="pct"/>
          </w:tcPr>
          <w:p w14:paraId="7CDCA0DD" w14:textId="77777777" w:rsidR="00846070" w:rsidRPr="006376F5" w:rsidRDefault="00846070" w:rsidP="00790DE0">
            <w:pPr>
              <w:keepNext/>
              <w:ind w:left="0" w:right="0"/>
              <w:rPr>
                <w:sz w:val="20"/>
                <w:szCs w:val="20"/>
              </w:rPr>
            </w:pPr>
            <w:r w:rsidRPr="006376F5">
              <w:rPr>
                <w:sz w:val="20"/>
                <w:szCs w:val="20"/>
              </w:rPr>
              <w:t>-</w:t>
            </w:r>
          </w:p>
        </w:tc>
        <w:tc>
          <w:tcPr>
            <w:tcW w:w="410" w:type="pct"/>
          </w:tcPr>
          <w:p w14:paraId="37143532" w14:textId="77777777" w:rsidR="00846070" w:rsidRPr="006376F5" w:rsidRDefault="00846070" w:rsidP="00790DE0">
            <w:pPr>
              <w:keepNext/>
              <w:ind w:left="0" w:right="0"/>
              <w:rPr>
                <w:sz w:val="20"/>
                <w:szCs w:val="20"/>
              </w:rPr>
            </w:pPr>
            <w:r w:rsidRPr="006376F5">
              <w:rPr>
                <w:sz w:val="20"/>
                <w:szCs w:val="20"/>
              </w:rPr>
              <w:t>9</w:t>
            </w:r>
          </w:p>
        </w:tc>
        <w:tc>
          <w:tcPr>
            <w:tcW w:w="406" w:type="pct"/>
          </w:tcPr>
          <w:p w14:paraId="1D49A332" w14:textId="77777777" w:rsidR="00846070" w:rsidRPr="006376F5" w:rsidRDefault="00846070" w:rsidP="00790DE0">
            <w:pPr>
              <w:keepNext/>
              <w:ind w:left="0" w:right="0"/>
              <w:rPr>
                <w:sz w:val="20"/>
                <w:szCs w:val="20"/>
              </w:rPr>
            </w:pPr>
            <w:r w:rsidRPr="006376F5">
              <w:rPr>
                <w:sz w:val="20"/>
                <w:szCs w:val="20"/>
              </w:rPr>
              <w:t>-</w:t>
            </w:r>
          </w:p>
        </w:tc>
        <w:tc>
          <w:tcPr>
            <w:tcW w:w="406" w:type="pct"/>
          </w:tcPr>
          <w:p w14:paraId="2D067B73" w14:textId="77777777" w:rsidR="00846070" w:rsidRPr="006376F5" w:rsidRDefault="00846070" w:rsidP="00790DE0">
            <w:pPr>
              <w:keepNext/>
              <w:ind w:left="0" w:right="0"/>
              <w:rPr>
                <w:sz w:val="20"/>
                <w:szCs w:val="20"/>
              </w:rPr>
            </w:pPr>
            <w:r w:rsidRPr="006376F5">
              <w:rPr>
                <w:sz w:val="20"/>
                <w:szCs w:val="20"/>
              </w:rPr>
              <w:t>9</w:t>
            </w:r>
          </w:p>
        </w:tc>
        <w:tc>
          <w:tcPr>
            <w:tcW w:w="407" w:type="pct"/>
          </w:tcPr>
          <w:p w14:paraId="6CBAACC9"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50839C32"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640C09B2"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358874F5" w14:textId="77777777" w:rsidTr="00846070">
        <w:trPr>
          <w:trHeight w:val="274"/>
        </w:trPr>
        <w:tc>
          <w:tcPr>
            <w:tcW w:w="735" w:type="pct"/>
          </w:tcPr>
          <w:p w14:paraId="00DEDE5B" w14:textId="77777777" w:rsidR="00846070" w:rsidRPr="006376F5" w:rsidRDefault="00846070" w:rsidP="00790DE0">
            <w:pPr>
              <w:keepNext/>
              <w:ind w:left="0" w:right="0"/>
              <w:rPr>
                <w:sz w:val="20"/>
                <w:szCs w:val="20"/>
              </w:rPr>
            </w:pPr>
            <w:r w:rsidRPr="006376F5">
              <w:rPr>
                <w:sz w:val="20"/>
                <w:szCs w:val="20"/>
              </w:rPr>
              <w:t>Adults and adolescents</w:t>
            </w:r>
          </w:p>
        </w:tc>
        <w:tc>
          <w:tcPr>
            <w:tcW w:w="728" w:type="pct"/>
          </w:tcPr>
          <w:p w14:paraId="0104E709" w14:textId="77777777" w:rsidR="00846070" w:rsidRPr="006376F5" w:rsidRDefault="00846070" w:rsidP="00790DE0">
            <w:pPr>
              <w:keepNext/>
              <w:ind w:left="0" w:right="0"/>
              <w:rPr>
                <w:sz w:val="20"/>
                <w:szCs w:val="20"/>
              </w:rPr>
            </w:pPr>
            <w:r w:rsidRPr="006376F5">
              <w:rPr>
                <w:sz w:val="20"/>
                <w:szCs w:val="20"/>
              </w:rPr>
              <w:t>1207D1731</w:t>
            </w:r>
          </w:p>
        </w:tc>
        <w:tc>
          <w:tcPr>
            <w:tcW w:w="404" w:type="pct"/>
          </w:tcPr>
          <w:p w14:paraId="341FEA8F" w14:textId="77777777" w:rsidR="00846070" w:rsidRPr="006376F5" w:rsidRDefault="00846070" w:rsidP="00790DE0">
            <w:pPr>
              <w:keepNext/>
              <w:ind w:left="0" w:right="0"/>
              <w:rPr>
                <w:sz w:val="20"/>
                <w:szCs w:val="20"/>
                <w:highlight w:val="yellow"/>
              </w:rPr>
            </w:pPr>
            <w:r w:rsidRPr="006376F5">
              <w:rPr>
                <w:sz w:val="20"/>
                <w:szCs w:val="20"/>
              </w:rPr>
              <w:t>-</w:t>
            </w:r>
          </w:p>
        </w:tc>
        <w:tc>
          <w:tcPr>
            <w:tcW w:w="403" w:type="pct"/>
          </w:tcPr>
          <w:p w14:paraId="47764E52" w14:textId="77777777" w:rsidR="00846070" w:rsidRPr="006376F5" w:rsidRDefault="00846070" w:rsidP="00790DE0">
            <w:pPr>
              <w:keepNext/>
              <w:ind w:left="0" w:right="0"/>
              <w:rPr>
                <w:sz w:val="20"/>
                <w:szCs w:val="20"/>
                <w:highlight w:val="yellow"/>
              </w:rPr>
            </w:pPr>
            <w:r w:rsidRPr="006376F5">
              <w:rPr>
                <w:sz w:val="20"/>
                <w:szCs w:val="20"/>
              </w:rPr>
              <w:t>1</w:t>
            </w:r>
          </w:p>
        </w:tc>
        <w:tc>
          <w:tcPr>
            <w:tcW w:w="410" w:type="pct"/>
          </w:tcPr>
          <w:p w14:paraId="20A76D3B" w14:textId="77777777" w:rsidR="00846070" w:rsidRPr="006376F5" w:rsidRDefault="00846070" w:rsidP="00790DE0">
            <w:pPr>
              <w:keepNext/>
              <w:ind w:left="0" w:right="0"/>
              <w:rPr>
                <w:sz w:val="20"/>
                <w:szCs w:val="20"/>
                <w:highlight w:val="yellow"/>
              </w:rPr>
            </w:pPr>
            <w:r w:rsidRPr="006376F5">
              <w:rPr>
                <w:sz w:val="20"/>
                <w:szCs w:val="20"/>
              </w:rPr>
              <w:t>322</w:t>
            </w:r>
          </w:p>
        </w:tc>
        <w:tc>
          <w:tcPr>
            <w:tcW w:w="406" w:type="pct"/>
          </w:tcPr>
          <w:p w14:paraId="52162C86" w14:textId="77777777" w:rsidR="00846070" w:rsidRPr="006376F5" w:rsidRDefault="00846070" w:rsidP="00790DE0">
            <w:pPr>
              <w:keepNext/>
              <w:ind w:left="0" w:right="0"/>
              <w:rPr>
                <w:sz w:val="20"/>
                <w:szCs w:val="20"/>
              </w:rPr>
            </w:pPr>
            <w:r w:rsidRPr="006376F5">
              <w:rPr>
                <w:sz w:val="20"/>
                <w:szCs w:val="20"/>
              </w:rPr>
              <w:t>3</w:t>
            </w:r>
          </w:p>
        </w:tc>
        <w:tc>
          <w:tcPr>
            <w:tcW w:w="406" w:type="pct"/>
          </w:tcPr>
          <w:p w14:paraId="37B70472" w14:textId="77777777" w:rsidR="00846070" w:rsidRPr="006376F5" w:rsidRDefault="00846070" w:rsidP="00790DE0">
            <w:pPr>
              <w:keepNext/>
              <w:ind w:left="0" w:right="0"/>
              <w:rPr>
                <w:sz w:val="20"/>
                <w:szCs w:val="20"/>
                <w:highlight w:val="yellow"/>
              </w:rPr>
            </w:pPr>
            <w:r w:rsidRPr="006376F5">
              <w:rPr>
                <w:sz w:val="20"/>
                <w:szCs w:val="20"/>
              </w:rPr>
              <w:t>320</w:t>
            </w:r>
          </w:p>
        </w:tc>
        <w:tc>
          <w:tcPr>
            <w:tcW w:w="407" w:type="pct"/>
          </w:tcPr>
          <w:p w14:paraId="0332553F"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3CFCFE78"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50BB1E5B"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29DB9E0E" w14:textId="77777777" w:rsidTr="00846070">
        <w:trPr>
          <w:trHeight w:val="274"/>
        </w:trPr>
        <w:tc>
          <w:tcPr>
            <w:tcW w:w="735" w:type="pct"/>
          </w:tcPr>
          <w:p w14:paraId="4EFBA40F" w14:textId="77777777" w:rsidR="00846070" w:rsidRPr="006376F5" w:rsidRDefault="00846070" w:rsidP="00790DE0">
            <w:pPr>
              <w:keepNext/>
              <w:ind w:left="0" w:right="0"/>
              <w:rPr>
                <w:sz w:val="20"/>
                <w:szCs w:val="20"/>
              </w:rPr>
            </w:pPr>
            <w:r w:rsidRPr="006376F5">
              <w:rPr>
                <w:sz w:val="20"/>
                <w:szCs w:val="20"/>
              </w:rPr>
              <w:t>Adolescents</w:t>
            </w:r>
          </w:p>
        </w:tc>
        <w:tc>
          <w:tcPr>
            <w:tcW w:w="728" w:type="pct"/>
          </w:tcPr>
          <w:p w14:paraId="26D1B11D" w14:textId="77777777" w:rsidR="00846070" w:rsidRPr="006376F5" w:rsidRDefault="00846070" w:rsidP="00790DE0">
            <w:pPr>
              <w:keepNext/>
              <w:ind w:left="0" w:right="0"/>
              <w:rPr>
                <w:sz w:val="20"/>
                <w:szCs w:val="20"/>
              </w:rPr>
            </w:pPr>
            <w:r w:rsidRPr="006376F5">
              <w:rPr>
                <w:sz w:val="20"/>
                <w:szCs w:val="20"/>
              </w:rPr>
              <w:t>VO73.13</w:t>
            </w:r>
          </w:p>
        </w:tc>
        <w:tc>
          <w:tcPr>
            <w:tcW w:w="404" w:type="pct"/>
          </w:tcPr>
          <w:p w14:paraId="55845AF5" w14:textId="77777777" w:rsidR="00846070" w:rsidRPr="006376F5" w:rsidRDefault="00846070" w:rsidP="00790DE0">
            <w:pPr>
              <w:keepNext/>
              <w:ind w:left="0" w:right="0"/>
              <w:rPr>
                <w:sz w:val="20"/>
                <w:szCs w:val="20"/>
              </w:rPr>
            </w:pPr>
            <w:r w:rsidRPr="006376F5">
              <w:rPr>
                <w:sz w:val="20"/>
                <w:szCs w:val="20"/>
              </w:rPr>
              <w:t>-</w:t>
            </w:r>
          </w:p>
        </w:tc>
        <w:tc>
          <w:tcPr>
            <w:tcW w:w="403" w:type="pct"/>
          </w:tcPr>
          <w:p w14:paraId="51A25666" w14:textId="77777777" w:rsidR="00846070" w:rsidRPr="006376F5" w:rsidRDefault="00846070" w:rsidP="00790DE0">
            <w:pPr>
              <w:keepNext/>
              <w:ind w:left="0" w:right="0"/>
              <w:rPr>
                <w:sz w:val="20"/>
                <w:szCs w:val="20"/>
              </w:rPr>
            </w:pPr>
            <w:r w:rsidRPr="006376F5">
              <w:rPr>
                <w:sz w:val="20"/>
                <w:szCs w:val="20"/>
              </w:rPr>
              <w:t>-</w:t>
            </w:r>
          </w:p>
        </w:tc>
        <w:tc>
          <w:tcPr>
            <w:tcW w:w="410" w:type="pct"/>
          </w:tcPr>
          <w:p w14:paraId="5BD96863" w14:textId="77777777" w:rsidR="00846070" w:rsidRPr="006376F5" w:rsidRDefault="00846070" w:rsidP="00790DE0">
            <w:pPr>
              <w:keepNext/>
              <w:ind w:left="0" w:right="0"/>
              <w:rPr>
                <w:sz w:val="20"/>
                <w:szCs w:val="20"/>
                <w:highlight w:val="yellow"/>
              </w:rPr>
            </w:pPr>
            <w:r w:rsidRPr="006376F5">
              <w:rPr>
                <w:sz w:val="20"/>
                <w:szCs w:val="20"/>
              </w:rPr>
              <w:t>-</w:t>
            </w:r>
          </w:p>
        </w:tc>
        <w:tc>
          <w:tcPr>
            <w:tcW w:w="406" w:type="pct"/>
          </w:tcPr>
          <w:p w14:paraId="3E8675EE" w14:textId="77777777" w:rsidR="00846070" w:rsidRPr="006376F5" w:rsidRDefault="00846070" w:rsidP="00790DE0">
            <w:pPr>
              <w:keepNext/>
              <w:ind w:left="0" w:right="0"/>
              <w:rPr>
                <w:sz w:val="20"/>
                <w:szCs w:val="20"/>
              </w:rPr>
            </w:pPr>
          </w:p>
        </w:tc>
        <w:tc>
          <w:tcPr>
            <w:tcW w:w="406" w:type="pct"/>
          </w:tcPr>
          <w:p w14:paraId="47670EBE" w14:textId="77777777" w:rsidR="00846070" w:rsidRPr="006376F5" w:rsidRDefault="00846070" w:rsidP="00790DE0">
            <w:pPr>
              <w:keepNext/>
              <w:ind w:left="0" w:right="0"/>
              <w:rPr>
                <w:sz w:val="20"/>
                <w:szCs w:val="20"/>
                <w:highlight w:val="yellow"/>
              </w:rPr>
            </w:pPr>
            <w:r w:rsidRPr="006376F5">
              <w:rPr>
                <w:sz w:val="20"/>
                <w:szCs w:val="20"/>
              </w:rPr>
              <w:t>9</w:t>
            </w:r>
          </w:p>
        </w:tc>
        <w:tc>
          <w:tcPr>
            <w:tcW w:w="407" w:type="pct"/>
          </w:tcPr>
          <w:p w14:paraId="57AD5C59"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30BCAD8E" w14:textId="77777777" w:rsidR="00846070" w:rsidRPr="006376F5" w:rsidRDefault="00846070" w:rsidP="00790DE0">
            <w:pPr>
              <w:keepNext/>
              <w:ind w:left="0" w:right="0"/>
              <w:rPr>
                <w:sz w:val="20"/>
                <w:szCs w:val="20"/>
                <w:highlight w:val="yellow"/>
              </w:rPr>
            </w:pPr>
            <w:r w:rsidRPr="006376F5">
              <w:rPr>
                <w:sz w:val="20"/>
                <w:szCs w:val="20"/>
              </w:rPr>
              <w:t>9</w:t>
            </w:r>
          </w:p>
        </w:tc>
        <w:tc>
          <w:tcPr>
            <w:tcW w:w="551" w:type="pct"/>
            <w:gridSpan w:val="2"/>
          </w:tcPr>
          <w:p w14:paraId="515AF7A7" w14:textId="77777777" w:rsidR="00846070" w:rsidRPr="006376F5" w:rsidRDefault="00846070" w:rsidP="00790DE0">
            <w:pPr>
              <w:keepNext/>
              <w:ind w:left="0" w:right="0"/>
              <w:rPr>
                <w:sz w:val="20"/>
                <w:szCs w:val="20"/>
                <w:highlight w:val="yellow"/>
              </w:rPr>
            </w:pPr>
            <w:r w:rsidRPr="006376F5">
              <w:rPr>
                <w:sz w:val="20"/>
                <w:szCs w:val="20"/>
              </w:rPr>
              <w:t>9</w:t>
            </w:r>
          </w:p>
        </w:tc>
      </w:tr>
      <w:tr w:rsidR="00846070" w:rsidRPr="006376F5" w14:paraId="245722FD" w14:textId="77777777" w:rsidTr="00846070">
        <w:trPr>
          <w:trHeight w:val="274"/>
        </w:trPr>
        <w:tc>
          <w:tcPr>
            <w:tcW w:w="735" w:type="pct"/>
          </w:tcPr>
          <w:p w14:paraId="694B5780" w14:textId="77777777" w:rsidR="00846070" w:rsidRPr="006376F5" w:rsidRDefault="00846070" w:rsidP="00790DE0">
            <w:pPr>
              <w:keepNext/>
              <w:ind w:left="0" w:right="0"/>
              <w:rPr>
                <w:sz w:val="20"/>
                <w:szCs w:val="20"/>
              </w:rPr>
            </w:pPr>
            <w:r w:rsidRPr="006376F5">
              <w:rPr>
                <w:sz w:val="20"/>
                <w:szCs w:val="20"/>
              </w:rPr>
              <w:t>Children and adolescents</w:t>
            </w:r>
          </w:p>
        </w:tc>
        <w:tc>
          <w:tcPr>
            <w:tcW w:w="728" w:type="pct"/>
          </w:tcPr>
          <w:p w14:paraId="0A68B03B" w14:textId="77777777" w:rsidR="00846070" w:rsidRPr="006376F5" w:rsidRDefault="00846070" w:rsidP="00790DE0">
            <w:pPr>
              <w:keepNext/>
              <w:ind w:left="0" w:right="0"/>
              <w:rPr>
                <w:sz w:val="20"/>
                <w:szCs w:val="20"/>
              </w:rPr>
            </w:pPr>
            <w:r w:rsidRPr="006376F5">
              <w:rPr>
                <w:sz w:val="20"/>
                <w:szCs w:val="20"/>
              </w:rPr>
              <w:t>VO64.08</w:t>
            </w:r>
          </w:p>
        </w:tc>
        <w:tc>
          <w:tcPr>
            <w:tcW w:w="404" w:type="pct"/>
          </w:tcPr>
          <w:p w14:paraId="6D3D7C08" w14:textId="77777777" w:rsidR="00846070" w:rsidRPr="006376F5" w:rsidRDefault="00846070" w:rsidP="00790DE0">
            <w:pPr>
              <w:keepNext/>
              <w:ind w:left="0" w:right="0"/>
              <w:rPr>
                <w:sz w:val="20"/>
                <w:szCs w:val="20"/>
              </w:rPr>
            </w:pPr>
            <w:r w:rsidRPr="006376F5">
              <w:rPr>
                <w:sz w:val="20"/>
                <w:szCs w:val="20"/>
              </w:rPr>
              <w:t>1</w:t>
            </w:r>
          </w:p>
        </w:tc>
        <w:tc>
          <w:tcPr>
            <w:tcW w:w="403" w:type="pct"/>
          </w:tcPr>
          <w:p w14:paraId="6ACC2C60" w14:textId="77777777" w:rsidR="00846070" w:rsidRPr="006376F5" w:rsidRDefault="00846070" w:rsidP="00790DE0">
            <w:pPr>
              <w:keepNext/>
              <w:ind w:left="0" w:right="0"/>
              <w:rPr>
                <w:sz w:val="20"/>
                <w:szCs w:val="20"/>
              </w:rPr>
            </w:pPr>
            <w:r w:rsidRPr="006376F5">
              <w:rPr>
                <w:sz w:val="20"/>
                <w:szCs w:val="20"/>
              </w:rPr>
              <w:t>1</w:t>
            </w:r>
          </w:p>
        </w:tc>
        <w:tc>
          <w:tcPr>
            <w:tcW w:w="410" w:type="pct"/>
          </w:tcPr>
          <w:p w14:paraId="35CF4740" w14:textId="77777777" w:rsidR="00846070" w:rsidRPr="006376F5" w:rsidRDefault="00846070" w:rsidP="00790DE0">
            <w:pPr>
              <w:keepNext/>
              <w:ind w:left="0" w:right="0"/>
              <w:rPr>
                <w:sz w:val="20"/>
                <w:szCs w:val="20"/>
              </w:rPr>
            </w:pPr>
            <w:r w:rsidRPr="006376F5">
              <w:rPr>
                <w:sz w:val="20"/>
                <w:szCs w:val="20"/>
              </w:rPr>
              <w:t>239</w:t>
            </w:r>
          </w:p>
        </w:tc>
        <w:tc>
          <w:tcPr>
            <w:tcW w:w="406" w:type="pct"/>
          </w:tcPr>
          <w:p w14:paraId="6BED3D23" w14:textId="77777777" w:rsidR="00846070" w:rsidRPr="006376F5" w:rsidRDefault="00846070" w:rsidP="00790DE0">
            <w:pPr>
              <w:keepNext/>
              <w:ind w:left="0" w:right="0"/>
              <w:rPr>
                <w:sz w:val="20"/>
                <w:szCs w:val="20"/>
              </w:rPr>
            </w:pPr>
            <w:r w:rsidRPr="006376F5">
              <w:rPr>
                <w:sz w:val="20"/>
                <w:szCs w:val="20"/>
              </w:rPr>
              <w:t>-</w:t>
            </w:r>
          </w:p>
        </w:tc>
        <w:tc>
          <w:tcPr>
            <w:tcW w:w="406" w:type="pct"/>
          </w:tcPr>
          <w:p w14:paraId="074F4E38" w14:textId="77777777" w:rsidR="00846070" w:rsidRPr="006376F5" w:rsidRDefault="00846070" w:rsidP="00790DE0">
            <w:pPr>
              <w:keepNext/>
              <w:ind w:left="0" w:right="0"/>
              <w:rPr>
                <w:sz w:val="20"/>
                <w:szCs w:val="20"/>
              </w:rPr>
            </w:pPr>
            <w:r w:rsidRPr="006376F5">
              <w:rPr>
                <w:sz w:val="20"/>
                <w:szCs w:val="20"/>
              </w:rPr>
              <w:t>-</w:t>
            </w:r>
          </w:p>
        </w:tc>
        <w:tc>
          <w:tcPr>
            <w:tcW w:w="407" w:type="pct"/>
          </w:tcPr>
          <w:p w14:paraId="08788068"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11E2C2E4" w14:textId="77777777" w:rsidR="00846070" w:rsidRPr="006376F5" w:rsidRDefault="00846070" w:rsidP="00790DE0">
            <w:pPr>
              <w:keepNext/>
              <w:ind w:left="0" w:right="0"/>
              <w:rPr>
                <w:sz w:val="20"/>
                <w:szCs w:val="20"/>
              </w:rPr>
            </w:pPr>
            <w:r w:rsidRPr="006376F5">
              <w:rPr>
                <w:sz w:val="20"/>
                <w:szCs w:val="20"/>
              </w:rPr>
              <w:t>-</w:t>
            </w:r>
          </w:p>
        </w:tc>
        <w:tc>
          <w:tcPr>
            <w:tcW w:w="551" w:type="pct"/>
            <w:gridSpan w:val="2"/>
          </w:tcPr>
          <w:p w14:paraId="435B65A4" w14:textId="77777777" w:rsidR="00846070" w:rsidRPr="006376F5" w:rsidRDefault="00846070" w:rsidP="00790DE0">
            <w:pPr>
              <w:keepNext/>
              <w:ind w:left="0" w:right="0"/>
              <w:rPr>
                <w:sz w:val="20"/>
                <w:szCs w:val="20"/>
              </w:rPr>
            </w:pPr>
            <w:r w:rsidRPr="006376F5">
              <w:rPr>
                <w:sz w:val="20"/>
                <w:szCs w:val="20"/>
              </w:rPr>
              <w:t>-</w:t>
            </w:r>
          </w:p>
        </w:tc>
      </w:tr>
      <w:tr w:rsidR="00846070" w:rsidRPr="006376F5" w14:paraId="60A64256" w14:textId="77777777" w:rsidTr="00846070">
        <w:trPr>
          <w:gridAfter w:val="1"/>
          <w:wAfter w:w="8" w:type="pct"/>
          <w:trHeight w:val="274"/>
        </w:trPr>
        <w:tc>
          <w:tcPr>
            <w:tcW w:w="1463" w:type="pct"/>
            <w:gridSpan w:val="2"/>
          </w:tcPr>
          <w:p w14:paraId="3DE618A8" w14:textId="77777777" w:rsidR="00846070" w:rsidRPr="006376F5" w:rsidRDefault="00846070" w:rsidP="00790DE0">
            <w:pPr>
              <w:keepNext/>
              <w:ind w:left="0" w:right="0"/>
              <w:rPr>
                <w:sz w:val="20"/>
                <w:szCs w:val="20"/>
              </w:rPr>
            </w:pPr>
            <w:r w:rsidRPr="006376F5">
              <w:rPr>
                <w:sz w:val="20"/>
                <w:szCs w:val="20"/>
              </w:rPr>
              <w:t>Total</w:t>
            </w:r>
          </w:p>
        </w:tc>
        <w:tc>
          <w:tcPr>
            <w:tcW w:w="404" w:type="pct"/>
          </w:tcPr>
          <w:p w14:paraId="3F4CA937" w14:textId="77777777" w:rsidR="00846070" w:rsidRPr="006376F5" w:rsidRDefault="00846070" w:rsidP="00790DE0">
            <w:pPr>
              <w:keepNext/>
              <w:ind w:left="0" w:right="0"/>
              <w:rPr>
                <w:sz w:val="20"/>
                <w:szCs w:val="20"/>
                <w:highlight w:val="yellow"/>
              </w:rPr>
            </w:pPr>
            <w:r w:rsidRPr="006376F5">
              <w:rPr>
                <w:sz w:val="20"/>
                <w:szCs w:val="20"/>
              </w:rPr>
              <w:t>103</w:t>
            </w:r>
          </w:p>
        </w:tc>
        <w:tc>
          <w:tcPr>
            <w:tcW w:w="403" w:type="pct"/>
          </w:tcPr>
          <w:p w14:paraId="7B04880E" w14:textId="77777777" w:rsidR="00846070" w:rsidRPr="006376F5" w:rsidRDefault="00846070" w:rsidP="00790DE0">
            <w:pPr>
              <w:keepNext/>
              <w:ind w:left="0" w:right="0"/>
              <w:rPr>
                <w:sz w:val="20"/>
                <w:szCs w:val="20"/>
              </w:rPr>
            </w:pPr>
            <w:r w:rsidRPr="006376F5">
              <w:rPr>
                <w:sz w:val="20"/>
                <w:szCs w:val="20"/>
              </w:rPr>
              <w:t>3</w:t>
            </w:r>
          </w:p>
        </w:tc>
        <w:tc>
          <w:tcPr>
            <w:tcW w:w="410" w:type="pct"/>
          </w:tcPr>
          <w:p w14:paraId="77E4828F" w14:textId="77777777" w:rsidR="00846070" w:rsidRPr="006376F5" w:rsidRDefault="00846070" w:rsidP="00790DE0">
            <w:pPr>
              <w:keepNext/>
              <w:ind w:left="0" w:right="0"/>
              <w:rPr>
                <w:sz w:val="20"/>
                <w:szCs w:val="20"/>
              </w:rPr>
            </w:pPr>
            <w:r w:rsidRPr="006376F5">
              <w:rPr>
                <w:sz w:val="20"/>
                <w:szCs w:val="20"/>
              </w:rPr>
              <w:t>833</w:t>
            </w:r>
          </w:p>
        </w:tc>
        <w:tc>
          <w:tcPr>
            <w:tcW w:w="406" w:type="pct"/>
          </w:tcPr>
          <w:p w14:paraId="1471A35C" w14:textId="77777777" w:rsidR="00846070" w:rsidRPr="006376F5" w:rsidRDefault="00846070" w:rsidP="00790DE0">
            <w:pPr>
              <w:keepNext/>
              <w:ind w:left="0" w:right="0"/>
              <w:rPr>
                <w:sz w:val="20"/>
                <w:szCs w:val="20"/>
              </w:rPr>
            </w:pPr>
            <w:r w:rsidRPr="006376F5">
              <w:rPr>
                <w:sz w:val="20"/>
                <w:szCs w:val="20"/>
              </w:rPr>
              <w:t>3</w:t>
            </w:r>
          </w:p>
        </w:tc>
        <w:tc>
          <w:tcPr>
            <w:tcW w:w="406" w:type="pct"/>
          </w:tcPr>
          <w:p w14:paraId="6694BA31" w14:textId="77777777" w:rsidR="00846070" w:rsidRPr="006376F5" w:rsidRDefault="00846070" w:rsidP="00790DE0">
            <w:pPr>
              <w:keepNext/>
              <w:ind w:left="0" w:right="0"/>
              <w:rPr>
                <w:sz w:val="20"/>
                <w:szCs w:val="20"/>
              </w:rPr>
            </w:pPr>
            <w:r w:rsidRPr="006376F5">
              <w:rPr>
                <w:sz w:val="20"/>
                <w:szCs w:val="20"/>
              </w:rPr>
              <w:t>611</w:t>
            </w:r>
          </w:p>
        </w:tc>
        <w:tc>
          <w:tcPr>
            <w:tcW w:w="407" w:type="pct"/>
          </w:tcPr>
          <w:p w14:paraId="72B7C55C" w14:textId="77777777" w:rsidR="00846070" w:rsidRPr="006376F5" w:rsidRDefault="00846070" w:rsidP="00790DE0">
            <w:pPr>
              <w:keepNext/>
              <w:ind w:left="0" w:right="0"/>
              <w:rPr>
                <w:sz w:val="20"/>
                <w:szCs w:val="20"/>
              </w:rPr>
            </w:pPr>
            <w:r w:rsidRPr="006376F5">
              <w:rPr>
                <w:sz w:val="20"/>
                <w:szCs w:val="20"/>
              </w:rPr>
              <w:t>0</w:t>
            </w:r>
          </w:p>
        </w:tc>
        <w:tc>
          <w:tcPr>
            <w:tcW w:w="535" w:type="pct"/>
          </w:tcPr>
          <w:p w14:paraId="0F1B5947" w14:textId="77777777" w:rsidR="00846070" w:rsidRPr="006376F5" w:rsidRDefault="00846070" w:rsidP="00790DE0">
            <w:pPr>
              <w:keepNext/>
              <w:ind w:left="0" w:right="0"/>
              <w:rPr>
                <w:sz w:val="20"/>
                <w:szCs w:val="20"/>
              </w:rPr>
            </w:pPr>
            <w:r w:rsidRPr="006376F5">
              <w:rPr>
                <w:sz w:val="20"/>
                <w:szCs w:val="20"/>
              </w:rPr>
              <w:t>9</w:t>
            </w:r>
          </w:p>
        </w:tc>
        <w:tc>
          <w:tcPr>
            <w:tcW w:w="558" w:type="pct"/>
            <w:gridSpan w:val="2"/>
          </w:tcPr>
          <w:p w14:paraId="273CC034" w14:textId="77777777" w:rsidR="00846070" w:rsidRPr="006376F5" w:rsidRDefault="00846070" w:rsidP="00790DE0">
            <w:pPr>
              <w:keepNext/>
              <w:ind w:left="0" w:right="0"/>
              <w:rPr>
                <w:sz w:val="20"/>
                <w:szCs w:val="20"/>
              </w:rPr>
            </w:pPr>
            <w:r w:rsidRPr="006376F5">
              <w:rPr>
                <w:sz w:val="20"/>
                <w:szCs w:val="20"/>
              </w:rPr>
              <w:t>9</w:t>
            </w:r>
          </w:p>
        </w:tc>
      </w:tr>
    </w:tbl>
    <w:p w14:paraId="654BC6F7" w14:textId="77777777" w:rsidR="00846070" w:rsidRPr="00846070" w:rsidRDefault="00846070" w:rsidP="00846070">
      <w:pPr>
        <w:pStyle w:val="TableDescription"/>
        <w:rPr>
          <w:lang w:val="en-US"/>
        </w:rPr>
      </w:pPr>
      <w:r w:rsidRPr="00A40A1C">
        <w:rPr>
          <w:lang w:val="en-US"/>
        </w:rPr>
        <w:t>IR</w:t>
      </w:r>
      <w:r>
        <w:rPr>
          <w:lang w:val="en-US"/>
        </w:rPr>
        <w:t xml:space="preserve"> = </w:t>
      </w:r>
      <w:r w:rsidRPr="00A40A1C">
        <w:rPr>
          <w:lang w:val="en-US"/>
        </w:rPr>
        <w:t>Index of Reactivity; n</w:t>
      </w:r>
      <w:r>
        <w:rPr>
          <w:lang w:val="en-US"/>
        </w:rPr>
        <w:t xml:space="preserve"> = </w:t>
      </w:r>
      <w:r w:rsidRPr="00A40A1C">
        <w:rPr>
          <w:lang w:val="en-US"/>
        </w:rPr>
        <w:t>Number of patients exposed</w:t>
      </w:r>
      <w:r>
        <w:rPr>
          <w:lang w:val="en-US"/>
        </w:rPr>
        <w:t xml:space="preserve"> </w:t>
      </w:r>
      <w:r w:rsidRPr="00A40A1C">
        <w:rPr>
          <w:lang w:val="en-US"/>
        </w:rPr>
        <w:t>Source:</w:t>
      </w:r>
      <w:r>
        <w:rPr>
          <w:lang w:val="en-US"/>
        </w:rPr>
        <w:t xml:space="preserve"> Module 2.7.4 Table 2.7.4-8 (S</w:t>
      </w:r>
      <w:r w:rsidRPr="00A40A1C">
        <w:rPr>
          <w:lang w:val="en-US"/>
        </w:rPr>
        <w:t>tudy VO36.04F</w:t>
      </w:r>
      <w:r>
        <w:rPr>
          <w:lang w:val="en-US"/>
        </w:rPr>
        <w:t xml:space="preserve"> CSR </w:t>
      </w:r>
      <w:r w:rsidRPr="00A40A1C">
        <w:rPr>
          <w:lang w:val="en-US"/>
        </w:rPr>
        <w:t xml:space="preserve">Table 12.1; </w:t>
      </w:r>
      <w:r>
        <w:rPr>
          <w:lang w:val="en-US"/>
        </w:rPr>
        <w:t>S</w:t>
      </w:r>
      <w:r w:rsidRPr="00A40A1C">
        <w:rPr>
          <w:lang w:val="en-US"/>
        </w:rPr>
        <w:t>tudy VO57.07</w:t>
      </w:r>
      <w:r>
        <w:rPr>
          <w:lang w:val="en-US"/>
        </w:rPr>
        <w:t xml:space="preserve"> CSR</w:t>
      </w:r>
      <w:r w:rsidRPr="00A40A1C">
        <w:rPr>
          <w:lang w:val="en-US"/>
        </w:rPr>
        <w:t xml:space="preserve"> Listing 16.2.5/5a; </w:t>
      </w:r>
      <w:r>
        <w:rPr>
          <w:lang w:val="en-US"/>
        </w:rPr>
        <w:t>S</w:t>
      </w:r>
      <w:r w:rsidRPr="00A40A1C">
        <w:rPr>
          <w:lang w:val="en-US"/>
        </w:rPr>
        <w:t>tudy VO67.10</w:t>
      </w:r>
      <w:r>
        <w:rPr>
          <w:lang w:val="en-US"/>
        </w:rPr>
        <w:t xml:space="preserve"> CSR </w:t>
      </w:r>
      <w:r w:rsidRPr="00A40A1C">
        <w:rPr>
          <w:lang w:val="en-US"/>
        </w:rPr>
        <w:t xml:space="preserve">Listing 16.2.1.3b; </w:t>
      </w:r>
      <w:r>
        <w:rPr>
          <w:lang w:val="en-US"/>
        </w:rPr>
        <w:t>S</w:t>
      </w:r>
      <w:r w:rsidRPr="00A40A1C">
        <w:rPr>
          <w:lang w:val="en-US"/>
        </w:rPr>
        <w:t>tudy 1109D1711</w:t>
      </w:r>
      <w:r>
        <w:rPr>
          <w:lang w:val="en-US"/>
        </w:rPr>
        <w:t xml:space="preserve"> CSR </w:t>
      </w:r>
      <w:r w:rsidRPr="00A40A1C">
        <w:rPr>
          <w:lang w:val="en-US"/>
        </w:rPr>
        <w:t xml:space="preserve">Section 12.1; </w:t>
      </w:r>
      <w:r>
        <w:rPr>
          <w:lang w:val="en-US"/>
        </w:rPr>
        <w:t>St</w:t>
      </w:r>
      <w:r w:rsidRPr="00A40A1C">
        <w:rPr>
          <w:lang w:val="en-US"/>
        </w:rPr>
        <w:t>udy 1207D1731</w:t>
      </w:r>
      <w:r>
        <w:rPr>
          <w:lang w:val="en-US"/>
        </w:rPr>
        <w:t xml:space="preserve"> CSR</w:t>
      </w:r>
      <w:r w:rsidRPr="00A40A1C">
        <w:rPr>
          <w:lang w:val="en-US"/>
        </w:rPr>
        <w:t xml:space="preserve"> Listing 1-1.1</w:t>
      </w:r>
      <w:r>
        <w:rPr>
          <w:lang w:val="en-US"/>
        </w:rPr>
        <w:t>, S</w:t>
      </w:r>
      <w:r w:rsidRPr="00A40A1C">
        <w:rPr>
          <w:lang w:val="en-US"/>
        </w:rPr>
        <w:t>tudy VO73.13</w:t>
      </w:r>
      <w:r>
        <w:rPr>
          <w:lang w:val="en-US"/>
        </w:rPr>
        <w:t xml:space="preserve"> CSR</w:t>
      </w:r>
      <w:r w:rsidRPr="00A40A1C">
        <w:rPr>
          <w:lang w:val="en-US"/>
        </w:rPr>
        <w:t xml:space="preserve"> Listing 16.2.5-1</w:t>
      </w:r>
      <w:r>
        <w:rPr>
          <w:lang w:val="en-US"/>
        </w:rPr>
        <w:t>, S</w:t>
      </w:r>
      <w:r w:rsidRPr="00A40A1C">
        <w:rPr>
          <w:lang w:val="en-US"/>
        </w:rPr>
        <w:t>tudy VO64.08</w:t>
      </w:r>
      <w:r>
        <w:rPr>
          <w:lang w:val="en-US"/>
        </w:rPr>
        <w:t xml:space="preserve"> CSR</w:t>
      </w:r>
      <w:r w:rsidRPr="00A40A1C">
        <w:rPr>
          <w:lang w:val="en-US"/>
        </w:rPr>
        <w:t xml:space="preserve"> Listing 16.2.5.1a</w:t>
      </w:r>
      <w:r>
        <w:rPr>
          <w:lang w:val="en-US"/>
        </w:rPr>
        <w:t>)</w:t>
      </w:r>
    </w:p>
    <w:p w14:paraId="271CD6E3" w14:textId="77777777" w:rsidR="00605AD4" w:rsidRPr="00846070" w:rsidRDefault="00846070" w:rsidP="00605AD4">
      <w:pPr>
        <w:pStyle w:val="Heading4"/>
        <w:rPr>
          <w:b w:val="0"/>
        </w:rPr>
      </w:pPr>
      <w:r w:rsidRPr="00846070">
        <w:rPr>
          <w:b w:val="0"/>
        </w:rPr>
        <w:t>For further details relating to the evaluation of the safety aspects please see Attachment 2.</w:t>
      </w:r>
    </w:p>
    <w:p w14:paraId="186C7E2F" w14:textId="77777777" w:rsidR="00605AD4" w:rsidRDefault="00605AD4" w:rsidP="00605AD4">
      <w:pPr>
        <w:pStyle w:val="Heading4"/>
      </w:pPr>
      <w:r w:rsidRPr="00605AD4">
        <w:t>Post</w:t>
      </w:r>
      <w:r w:rsidR="00753206">
        <w:t>-</w:t>
      </w:r>
      <w:r w:rsidRPr="00605AD4">
        <w:t>marketing data</w:t>
      </w:r>
    </w:p>
    <w:p w14:paraId="1531A200" w14:textId="77777777" w:rsidR="00846070" w:rsidRPr="00846070" w:rsidRDefault="00846070" w:rsidP="00846070">
      <w:r w:rsidRPr="000931B9">
        <w:t>Not applicable as the product is not commerc</w:t>
      </w:r>
      <w:r>
        <w:t>ially available in any country.</w:t>
      </w:r>
    </w:p>
    <w:p w14:paraId="2C209412" w14:textId="77777777" w:rsidR="00605AD4" w:rsidRPr="00605AD4" w:rsidRDefault="00605AD4" w:rsidP="00605AD4">
      <w:pPr>
        <w:pStyle w:val="Heading4"/>
      </w:pPr>
      <w:r w:rsidRPr="00605AD4">
        <w:t>Evaluator’s conclusions on safety</w:t>
      </w:r>
    </w:p>
    <w:p w14:paraId="78DD479C" w14:textId="77777777" w:rsidR="00846070" w:rsidRPr="000931B9" w:rsidRDefault="00846070" w:rsidP="00846070">
      <w:r w:rsidRPr="000931B9">
        <w:t xml:space="preserve">Overall the safety of </w:t>
      </w:r>
      <w:r>
        <w:t>Actair</w:t>
      </w:r>
      <w:r w:rsidRPr="000931B9">
        <w:t xml:space="preserve"> is consistent in the clinical studies. No systemic toxicity has been seen and there were no reports of anaphylactic shock, anaphylaxis or use of adrenaline. The most frequent adverse events were application site reactions such as oral pruritus and throat irritation. Most were mild or moderate severity and were generally reported in the first weeks of treatment but in some cases were significant and led to some patients discontinuing therapy.</w:t>
      </w:r>
    </w:p>
    <w:p w14:paraId="5C111A0A" w14:textId="72618B63" w:rsidR="00846070" w:rsidRPr="000931B9" w:rsidRDefault="00846070" w:rsidP="00846070">
      <w:r w:rsidRPr="000931B9">
        <w:t>The safety profile</w:t>
      </w:r>
      <w:r w:rsidR="006E6DEF">
        <w:t>s</w:t>
      </w:r>
      <w:r w:rsidRPr="000931B9">
        <w:t xml:space="preserve"> in children and adolescents were similar to that seen in adults.</w:t>
      </w:r>
    </w:p>
    <w:p w14:paraId="1720E0E7" w14:textId="77777777" w:rsidR="00605AD4" w:rsidRPr="00605AD4" w:rsidRDefault="00605AD4" w:rsidP="00605AD4">
      <w:pPr>
        <w:pStyle w:val="Heading3"/>
        <w:rPr>
          <w:rFonts w:eastAsia="Cambria"/>
        </w:rPr>
      </w:pPr>
      <w:bookmarkStart w:id="132" w:name="_Toc482791303"/>
      <w:r w:rsidRPr="00605AD4">
        <w:rPr>
          <w:rFonts w:eastAsia="Cambria"/>
        </w:rPr>
        <w:lastRenderedPageBreak/>
        <w:t>First Round Benefit-Risk Assessment</w:t>
      </w:r>
      <w:bookmarkEnd w:id="132"/>
    </w:p>
    <w:p w14:paraId="6360CDA4" w14:textId="77777777" w:rsidR="00605AD4" w:rsidRDefault="00605AD4" w:rsidP="00605AD4">
      <w:pPr>
        <w:pStyle w:val="Heading4"/>
      </w:pPr>
      <w:r w:rsidRPr="00605AD4">
        <w:t>First round assessment of benefits</w:t>
      </w:r>
    </w:p>
    <w:p w14:paraId="13BDF09C" w14:textId="77777777" w:rsidR="00846070" w:rsidRPr="000931B9" w:rsidRDefault="00846070" w:rsidP="00990864">
      <w:pPr>
        <w:keepNext/>
      </w:pPr>
      <w:r w:rsidRPr="000931B9">
        <w:t xml:space="preserve">The benefits of </w:t>
      </w:r>
      <w:r>
        <w:t>Actair</w:t>
      </w:r>
      <w:r w:rsidRPr="000931B9">
        <w:t xml:space="preserve"> in the proposed usage are:</w:t>
      </w:r>
    </w:p>
    <w:p w14:paraId="78C456F4" w14:textId="77777777" w:rsidR="00846070" w:rsidRPr="00846070" w:rsidRDefault="00846070" w:rsidP="00846070">
      <w:pPr>
        <w:pStyle w:val="ListBullet"/>
      </w:pPr>
      <w:r w:rsidRPr="00846070">
        <w:t>Statistically significant efficacy compared to placebo in improving symptoms of HDM allergy. 500 IR and 300 IR were equally efficacious in adults and adolescents with no difference between the treatments</w:t>
      </w:r>
    </w:p>
    <w:p w14:paraId="1F48B705" w14:textId="77777777" w:rsidR="00846070" w:rsidRPr="00846070" w:rsidRDefault="00846070" w:rsidP="00846070">
      <w:pPr>
        <w:pStyle w:val="ListBullet"/>
      </w:pPr>
      <w:r w:rsidRPr="00846070">
        <w:t xml:space="preserve">Efficacy at the end of 12 months of treatment in adults is maintained over </w:t>
      </w:r>
      <w:r>
        <w:t>a treatment free follow up year</w:t>
      </w:r>
      <w:r w:rsidR="00753206">
        <w:t>.</w:t>
      </w:r>
    </w:p>
    <w:p w14:paraId="43A1EF57" w14:textId="77777777" w:rsidR="00605AD4" w:rsidRDefault="00605AD4" w:rsidP="00605AD4">
      <w:pPr>
        <w:pStyle w:val="Heading4"/>
      </w:pPr>
      <w:r w:rsidRPr="00605AD4">
        <w:t>First round assessment of risks</w:t>
      </w:r>
    </w:p>
    <w:p w14:paraId="3667C31C" w14:textId="77777777" w:rsidR="00846070" w:rsidRPr="000931B9" w:rsidRDefault="00846070" w:rsidP="00846070">
      <w:r w:rsidRPr="000931B9">
        <w:t xml:space="preserve">The risks of </w:t>
      </w:r>
      <w:r>
        <w:t>Actair</w:t>
      </w:r>
      <w:r w:rsidRPr="000931B9">
        <w:t xml:space="preserve"> in the proposed usage are:</w:t>
      </w:r>
    </w:p>
    <w:p w14:paraId="45B4CF3B" w14:textId="77777777" w:rsidR="00846070" w:rsidRPr="00846070" w:rsidRDefault="00846070" w:rsidP="00846070">
      <w:pPr>
        <w:pStyle w:val="ListBullet"/>
      </w:pPr>
      <w:r w:rsidRPr="00846070">
        <w:t>Application site adverse reactions are very common</w:t>
      </w:r>
    </w:p>
    <w:p w14:paraId="447EDDE7" w14:textId="77777777" w:rsidR="00846070" w:rsidRPr="00846070" w:rsidRDefault="00846070" w:rsidP="00846070">
      <w:pPr>
        <w:pStyle w:val="ListBullet"/>
      </w:pPr>
      <w:r w:rsidRPr="00846070">
        <w:t>Efficacy in children (aged 5 to 11 y</w:t>
      </w:r>
      <w:r>
        <w:t>ears) has not been demonstrated</w:t>
      </w:r>
      <w:r w:rsidR="00753206">
        <w:t>.</w:t>
      </w:r>
    </w:p>
    <w:p w14:paraId="5213CE18" w14:textId="77777777" w:rsidR="00605AD4" w:rsidRPr="00605AD4" w:rsidRDefault="00605AD4" w:rsidP="00605AD4">
      <w:pPr>
        <w:pStyle w:val="Heading4"/>
      </w:pPr>
      <w:r w:rsidRPr="00605AD4">
        <w:t>First round assessment of benefit-risk balance</w:t>
      </w:r>
    </w:p>
    <w:p w14:paraId="5CD64D21" w14:textId="77777777" w:rsidR="00605AD4" w:rsidRPr="00605AD4" w:rsidRDefault="00846070" w:rsidP="00605AD4">
      <w:r w:rsidRPr="000931B9">
        <w:t xml:space="preserve">The benefit-risk balance of </w:t>
      </w:r>
      <w:r>
        <w:t>Actair</w:t>
      </w:r>
      <w:r w:rsidRPr="000931B9">
        <w:t>, given the proposed usage, is favourable</w:t>
      </w:r>
      <w:r>
        <w:t>.</w:t>
      </w:r>
    </w:p>
    <w:p w14:paraId="2459BFBC" w14:textId="77777777" w:rsidR="00605AD4" w:rsidRPr="00605AD4" w:rsidRDefault="00605AD4" w:rsidP="00605AD4">
      <w:pPr>
        <w:pStyle w:val="Heading3"/>
        <w:rPr>
          <w:rFonts w:eastAsia="Cambria"/>
        </w:rPr>
      </w:pPr>
      <w:bookmarkStart w:id="133" w:name="_Toc482791304"/>
      <w:r w:rsidRPr="00605AD4">
        <w:rPr>
          <w:rFonts w:eastAsia="Cambria"/>
        </w:rPr>
        <w:t>First Round Recommendation Regarding Authorisation</w:t>
      </w:r>
      <w:bookmarkEnd w:id="133"/>
    </w:p>
    <w:p w14:paraId="221D537C" w14:textId="77777777" w:rsidR="00605AD4" w:rsidRPr="00605AD4" w:rsidRDefault="00846070" w:rsidP="00605AD4">
      <w:r w:rsidRPr="000931B9">
        <w:t xml:space="preserve">Based on the clinical data presented it is recommended that </w:t>
      </w:r>
      <w:r>
        <w:t>Actair</w:t>
      </w:r>
      <w:r w:rsidRPr="000931B9">
        <w:t xml:space="preserve"> be approved but for the modified indication of only for adults and adolescents aged </w:t>
      </w:r>
      <w:r>
        <w:t xml:space="preserve">&gt; </w:t>
      </w:r>
      <w:r w:rsidRPr="000931B9">
        <w:t>12 years.</w:t>
      </w:r>
    </w:p>
    <w:p w14:paraId="5A187AC3" w14:textId="77777777" w:rsidR="00605AD4" w:rsidRPr="00605AD4" w:rsidRDefault="00605AD4" w:rsidP="00605AD4">
      <w:pPr>
        <w:pStyle w:val="Heading3"/>
        <w:rPr>
          <w:rFonts w:eastAsia="Cambria"/>
        </w:rPr>
      </w:pPr>
      <w:bookmarkStart w:id="134" w:name="_Toc482791305"/>
      <w:r w:rsidRPr="00605AD4">
        <w:rPr>
          <w:rFonts w:eastAsia="Cambria"/>
        </w:rPr>
        <w:t>Clinical Questions</w:t>
      </w:r>
      <w:bookmarkEnd w:id="134"/>
    </w:p>
    <w:p w14:paraId="782A65F3" w14:textId="77777777" w:rsidR="00605AD4" w:rsidRPr="00605AD4" w:rsidRDefault="00846070" w:rsidP="00605AD4">
      <w:pPr>
        <w:rPr>
          <w:lang w:eastAsia="ja-JP"/>
        </w:rPr>
      </w:pPr>
      <w:r>
        <w:rPr>
          <w:lang w:eastAsia="ja-JP"/>
        </w:rPr>
        <w:t>No questions relating to matters other than the PI and CMI were raised in this evaluation.</w:t>
      </w:r>
    </w:p>
    <w:p w14:paraId="0D9616B0" w14:textId="77777777" w:rsidR="00605AD4" w:rsidRPr="00605AD4" w:rsidRDefault="00605AD4" w:rsidP="00605AD4">
      <w:pPr>
        <w:pStyle w:val="Heading3"/>
        <w:rPr>
          <w:rFonts w:eastAsia="Cambria"/>
        </w:rPr>
      </w:pPr>
      <w:bookmarkStart w:id="135" w:name="_Toc482791306"/>
      <w:r w:rsidRPr="00605AD4">
        <w:rPr>
          <w:rFonts w:eastAsia="Cambria"/>
        </w:rPr>
        <w:t>Second Round Evaluation of clinical data submitted in response to questions</w:t>
      </w:r>
      <w:bookmarkEnd w:id="135"/>
    </w:p>
    <w:p w14:paraId="51F117B5" w14:textId="77777777" w:rsidR="006136D7" w:rsidRPr="00605AD4" w:rsidRDefault="006136D7" w:rsidP="006136D7">
      <w:r>
        <w:t>For details of the sponsor’s responses and the evaluation of these responses please see Attachment 2.</w:t>
      </w:r>
    </w:p>
    <w:p w14:paraId="29275651" w14:textId="77777777" w:rsidR="00605AD4" w:rsidRPr="00605AD4" w:rsidRDefault="00605AD4" w:rsidP="00546154">
      <w:pPr>
        <w:pStyle w:val="Heading3"/>
        <w:rPr>
          <w:rFonts w:eastAsia="Cambria"/>
        </w:rPr>
      </w:pPr>
      <w:bookmarkStart w:id="136" w:name="_Toc482791307"/>
      <w:r w:rsidRPr="00605AD4">
        <w:rPr>
          <w:rFonts w:eastAsia="Cambria"/>
        </w:rPr>
        <w:t>Second Round Benefit-Risk Assessment</w:t>
      </w:r>
      <w:bookmarkEnd w:id="136"/>
    </w:p>
    <w:p w14:paraId="652739EA" w14:textId="77777777" w:rsidR="00846070" w:rsidRPr="00846070" w:rsidRDefault="00846070" w:rsidP="00846070">
      <w:pPr>
        <w:pStyle w:val="Heading4"/>
      </w:pPr>
      <w:bookmarkStart w:id="137" w:name="_Toc272414709"/>
      <w:bookmarkStart w:id="138" w:name="_Toc290846349"/>
      <w:bookmarkStart w:id="139" w:name="_Toc417736324"/>
      <w:bookmarkStart w:id="140" w:name="_Toc430959554"/>
      <w:r w:rsidRPr="00846070">
        <w:t>Second round assessment of benefits</w:t>
      </w:r>
      <w:bookmarkEnd w:id="137"/>
      <w:bookmarkEnd w:id="138"/>
      <w:bookmarkEnd w:id="139"/>
    </w:p>
    <w:p w14:paraId="2CE5B3B4" w14:textId="77777777" w:rsidR="00846070" w:rsidRPr="00846070" w:rsidRDefault="00846070" w:rsidP="00846070">
      <w:r w:rsidRPr="00846070">
        <w:t>No new clinical information was submitted in response to questions. Accordingly, the risks of Actair are unchanged from those identified in the first round assessment of benefits.</w:t>
      </w:r>
    </w:p>
    <w:p w14:paraId="032BD73D" w14:textId="77777777" w:rsidR="00846070" w:rsidRPr="00846070" w:rsidRDefault="00846070" w:rsidP="00846070">
      <w:pPr>
        <w:pStyle w:val="Heading4"/>
      </w:pPr>
      <w:bookmarkStart w:id="141" w:name="_Toc272414710"/>
      <w:bookmarkStart w:id="142" w:name="_Toc290846350"/>
      <w:bookmarkStart w:id="143" w:name="_Toc417736325"/>
      <w:r w:rsidRPr="00846070">
        <w:t>Second round assessment of risks</w:t>
      </w:r>
      <w:bookmarkEnd w:id="141"/>
      <w:bookmarkEnd w:id="142"/>
      <w:bookmarkEnd w:id="143"/>
    </w:p>
    <w:p w14:paraId="43ECE047" w14:textId="77777777" w:rsidR="00846070" w:rsidRPr="00846070" w:rsidRDefault="00846070" w:rsidP="00846070">
      <w:r w:rsidRPr="00846070">
        <w:t>No new clinical information was submitted in response to questions. Accordingly, the risks of Actair are unchanged from those identified the first round assessment of risks</w:t>
      </w:r>
      <w:proofErr w:type="gramStart"/>
      <w:r w:rsidRPr="00846070">
        <w:t>..</w:t>
      </w:r>
      <w:proofErr w:type="gramEnd"/>
    </w:p>
    <w:p w14:paraId="7164E892" w14:textId="77777777" w:rsidR="00846070" w:rsidRPr="00846070" w:rsidRDefault="00846070" w:rsidP="00846070">
      <w:pPr>
        <w:pStyle w:val="Heading4"/>
      </w:pPr>
      <w:bookmarkStart w:id="144" w:name="_Toc272414711"/>
      <w:bookmarkStart w:id="145" w:name="_Toc290846351"/>
      <w:bookmarkStart w:id="146" w:name="_Toc417736326"/>
      <w:r w:rsidRPr="00846070">
        <w:lastRenderedPageBreak/>
        <w:t>Second round assessment of benefit-risk balance</w:t>
      </w:r>
      <w:bookmarkEnd w:id="144"/>
      <w:bookmarkEnd w:id="145"/>
      <w:bookmarkEnd w:id="146"/>
    </w:p>
    <w:p w14:paraId="473B25A5" w14:textId="77777777" w:rsidR="00846070" w:rsidRPr="00846070" w:rsidRDefault="00846070" w:rsidP="00846070">
      <w:r w:rsidRPr="00846070">
        <w:t>The benefit-risk balance of Actair, given the proposed indications for use in adults and adolescents aged &gt; 12 years, is favourable.</w:t>
      </w:r>
    </w:p>
    <w:p w14:paraId="4320077A" w14:textId="77777777" w:rsidR="00846070" w:rsidRPr="00846070" w:rsidRDefault="00846070" w:rsidP="00846070">
      <w:pPr>
        <w:pStyle w:val="Heading4"/>
      </w:pPr>
      <w:r w:rsidRPr="00846070">
        <w:t>Second round recommendation regarding authorisation</w:t>
      </w:r>
      <w:bookmarkEnd w:id="140"/>
    </w:p>
    <w:p w14:paraId="3ECBB9AC" w14:textId="77777777" w:rsidR="00605AD4" w:rsidRPr="00605AD4" w:rsidRDefault="00846070" w:rsidP="00546154">
      <w:r w:rsidRPr="00846070">
        <w:t>Authorisation is recommended, given the proposed indications for use in adults and adolescents aged &gt; 12 years.</w:t>
      </w:r>
    </w:p>
    <w:p w14:paraId="289ED9F9" w14:textId="77777777" w:rsidR="008E7846" w:rsidRPr="00E41208" w:rsidRDefault="008E7846" w:rsidP="00546154">
      <w:pPr>
        <w:pStyle w:val="Heading2"/>
      </w:pPr>
      <w:bookmarkStart w:id="147" w:name="_Toc482791308"/>
      <w:r w:rsidRPr="00E41208">
        <w:t xml:space="preserve">V. Pharmacovigilance </w:t>
      </w:r>
      <w:r>
        <w:t>f</w:t>
      </w:r>
      <w:r w:rsidRPr="00E41208">
        <w:t>indings</w:t>
      </w:r>
      <w:bookmarkEnd w:id="124"/>
      <w:bookmarkEnd w:id="125"/>
      <w:bookmarkEnd w:id="147"/>
    </w:p>
    <w:p w14:paraId="711CDACE" w14:textId="77777777" w:rsidR="008E7846" w:rsidRDefault="00386150" w:rsidP="008E7846">
      <w:pPr>
        <w:pStyle w:val="Heading3"/>
        <w:rPr>
          <w:lang w:eastAsia="en-AU"/>
        </w:rPr>
      </w:pPr>
      <w:bookmarkStart w:id="148" w:name="_Toc247691526"/>
      <w:bookmarkStart w:id="149" w:name="_Toc314842509"/>
      <w:bookmarkStart w:id="150" w:name="_Toc482791309"/>
      <w:r>
        <w:rPr>
          <w:lang w:eastAsia="en-AU"/>
        </w:rPr>
        <w:t>Risk m</w:t>
      </w:r>
      <w:r w:rsidR="008E7846">
        <w:rPr>
          <w:lang w:eastAsia="en-AU"/>
        </w:rPr>
        <w:t xml:space="preserve">anagement </w:t>
      </w:r>
      <w:r>
        <w:rPr>
          <w:lang w:eastAsia="en-AU"/>
        </w:rPr>
        <w:t>p</w:t>
      </w:r>
      <w:r w:rsidR="008E7846">
        <w:rPr>
          <w:lang w:eastAsia="en-AU"/>
        </w:rPr>
        <w:t>lan</w:t>
      </w:r>
      <w:bookmarkEnd w:id="148"/>
      <w:bookmarkEnd w:id="149"/>
      <w:bookmarkEnd w:id="150"/>
    </w:p>
    <w:p w14:paraId="7B02F742" w14:textId="04F16DC5" w:rsidR="008E7846" w:rsidRDefault="008E7846" w:rsidP="008E7846">
      <w:pPr>
        <w:rPr>
          <w:lang w:eastAsia="en-AU"/>
        </w:rPr>
      </w:pPr>
      <w:r>
        <w:rPr>
          <w:lang w:eastAsia="en-AU"/>
        </w:rPr>
        <w:t>The sponsor submitted a Risk Management Plan</w:t>
      </w:r>
      <w:r w:rsidR="006F25B8">
        <w:rPr>
          <w:lang w:eastAsia="en-AU"/>
        </w:rPr>
        <w:t xml:space="preserve"> </w:t>
      </w:r>
      <w:r w:rsidR="00B87915">
        <w:rPr>
          <w:kern w:val="2"/>
          <w:sz w:val="24"/>
          <w:szCs w:val="24"/>
        </w:rPr>
        <w:t xml:space="preserve">AUS-RMP version 1 </w:t>
      </w:r>
      <w:r>
        <w:rPr>
          <w:lang w:eastAsia="en-AU"/>
        </w:rPr>
        <w:t xml:space="preserve">which was reviewed by the </w:t>
      </w:r>
      <w:r w:rsidR="006E6DEF">
        <w:rPr>
          <w:lang w:eastAsia="en-AU"/>
        </w:rPr>
        <w:t xml:space="preserve">Risk Management Plan </w:t>
      </w:r>
      <w:r w:rsidR="00753206">
        <w:rPr>
          <w:lang w:eastAsia="en-AU"/>
        </w:rPr>
        <w:t>(</w:t>
      </w:r>
      <w:r w:rsidR="00FC1FCA">
        <w:rPr>
          <w:lang w:eastAsia="en-AU"/>
        </w:rPr>
        <w:t>RMP</w:t>
      </w:r>
      <w:r w:rsidR="00753206">
        <w:rPr>
          <w:lang w:eastAsia="en-AU"/>
        </w:rPr>
        <w:t>)</w:t>
      </w:r>
      <w:r w:rsidR="00FC1FCA">
        <w:rPr>
          <w:lang w:eastAsia="en-AU"/>
        </w:rPr>
        <w:t xml:space="preserve"> evaluator.</w:t>
      </w:r>
    </w:p>
    <w:p w14:paraId="3BD4AADE" w14:textId="77777777" w:rsidR="008E7846" w:rsidRDefault="003A7F6C" w:rsidP="008E7846">
      <w:pPr>
        <w:pStyle w:val="Heading4"/>
        <w:rPr>
          <w:lang w:eastAsia="en-AU"/>
        </w:rPr>
      </w:pPr>
      <w:r>
        <w:rPr>
          <w:lang w:eastAsia="en-AU"/>
        </w:rPr>
        <w:t>Safety s</w:t>
      </w:r>
      <w:r w:rsidR="008E7846">
        <w:rPr>
          <w:lang w:eastAsia="en-AU"/>
        </w:rPr>
        <w:t>pecification</w:t>
      </w:r>
    </w:p>
    <w:p w14:paraId="68ABE548"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3138F8">
        <w:rPr>
          <w:lang w:eastAsia="en-AU"/>
        </w:rPr>
        <w:t>cerns which are shown at Table 8</w:t>
      </w:r>
      <w:r>
        <w:rPr>
          <w:lang w:eastAsia="en-AU"/>
        </w:rPr>
        <w:t>.</w:t>
      </w:r>
    </w:p>
    <w:p w14:paraId="2587E4CF" w14:textId="77777777" w:rsidR="00B87915" w:rsidRDefault="003138F8" w:rsidP="00B87915">
      <w:pPr>
        <w:pStyle w:val="TableTitle"/>
        <w:rPr>
          <w:lang w:eastAsia="en-AU"/>
        </w:rPr>
      </w:pPr>
      <w:r>
        <w:rPr>
          <w:lang w:eastAsia="en-AU"/>
        </w:rPr>
        <w:t>Table 8:</w:t>
      </w:r>
      <w:r w:rsidR="00B87915">
        <w:rPr>
          <w:lang w:eastAsia="en-AU"/>
        </w:rPr>
        <w:t xml:space="preserve"> Summary of ongoing safety concerns</w:t>
      </w:r>
    </w:p>
    <w:tbl>
      <w:tblPr>
        <w:tblStyle w:val="TableTGAblue"/>
        <w:tblW w:w="0" w:type="auto"/>
        <w:tblLook w:val="04A0" w:firstRow="1" w:lastRow="0" w:firstColumn="1" w:lastColumn="0" w:noHBand="0" w:noVBand="1"/>
      </w:tblPr>
      <w:tblGrid>
        <w:gridCol w:w="3369"/>
        <w:gridCol w:w="5351"/>
      </w:tblGrid>
      <w:tr w:rsidR="00782EB4" w:rsidRPr="005D4253" w14:paraId="5F055304" w14:textId="77777777" w:rsidTr="00E3123B">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69619105" w14:textId="77777777" w:rsidR="00782EB4" w:rsidRPr="005D4253" w:rsidRDefault="00782EB4" w:rsidP="005D4253">
            <w:r w:rsidRPr="005D4253">
              <w:t>Summary of safety concerns</w:t>
            </w:r>
          </w:p>
        </w:tc>
      </w:tr>
      <w:tr w:rsidR="00B87915" w:rsidRPr="005D4253" w14:paraId="0D228E57" w14:textId="77777777" w:rsidTr="00782EB4">
        <w:tc>
          <w:tcPr>
            <w:tcW w:w="3369" w:type="dxa"/>
          </w:tcPr>
          <w:p w14:paraId="6A4EB75D" w14:textId="77777777" w:rsidR="00B87915" w:rsidRPr="005D4253" w:rsidRDefault="00782EB4" w:rsidP="005D4253">
            <w:r w:rsidRPr="005D4253">
              <w:t>Important identified risks</w:t>
            </w:r>
          </w:p>
        </w:tc>
        <w:tc>
          <w:tcPr>
            <w:tcW w:w="5351" w:type="dxa"/>
          </w:tcPr>
          <w:p w14:paraId="68DD4EBD" w14:textId="77777777" w:rsidR="00B87915" w:rsidRPr="005D4253" w:rsidRDefault="00782EB4" w:rsidP="005D4253">
            <w:r w:rsidRPr="005D4253">
              <w:t>Severe laryngopharyngeal reactions</w:t>
            </w:r>
          </w:p>
        </w:tc>
      </w:tr>
      <w:tr w:rsidR="00B87915" w:rsidRPr="005D4253" w14:paraId="63475C7E" w14:textId="77777777" w:rsidTr="00782EB4">
        <w:tc>
          <w:tcPr>
            <w:tcW w:w="3369" w:type="dxa"/>
          </w:tcPr>
          <w:p w14:paraId="01BB65BE" w14:textId="77777777" w:rsidR="00B87915" w:rsidRPr="005D4253" w:rsidRDefault="00782EB4" w:rsidP="005D4253">
            <w:r w:rsidRPr="005D4253">
              <w:t>Important potential risks</w:t>
            </w:r>
          </w:p>
        </w:tc>
        <w:tc>
          <w:tcPr>
            <w:tcW w:w="5351" w:type="dxa"/>
          </w:tcPr>
          <w:p w14:paraId="0D3ADE1A" w14:textId="77777777" w:rsidR="00B87915" w:rsidRPr="005D4253" w:rsidRDefault="00782EB4" w:rsidP="005D4253">
            <w:r w:rsidRPr="005D4253">
              <w:t>Severe anaphylactic reactions/ anaphylactic shock</w:t>
            </w:r>
          </w:p>
          <w:p w14:paraId="26674824" w14:textId="77777777" w:rsidR="00782EB4" w:rsidRPr="005D4253" w:rsidRDefault="00782EB4" w:rsidP="005D4253">
            <w:r w:rsidRPr="005D4253">
              <w:t>Autoimmune disorders</w:t>
            </w:r>
          </w:p>
        </w:tc>
      </w:tr>
      <w:tr w:rsidR="00B87915" w:rsidRPr="005D4253" w14:paraId="0DDDDE47" w14:textId="77777777" w:rsidTr="00782EB4">
        <w:tc>
          <w:tcPr>
            <w:tcW w:w="3369" w:type="dxa"/>
          </w:tcPr>
          <w:p w14:paraId="43B42D0B" w14:textId="77777777" w:rsidR="00B87915" w:rsidRPr="005D4253" w:rsidRDefault="00782EB4" w:rsidP="005D4253">
            <w:r w:rsidRPr="005D4253">
              <w:t>Missing information</w:t>
            </w:r>
          </w:p>
        </w:tc>
        <w:tc>
          <w:tcPr>
            <w:tcW w:w="5351" w:type="dxa"/>
          </w:tcPr>
          <w:p w14:paraId="7230EA4A" w14:textId="77777777" w:rsidR="00B87915" w:rsidRPr="005D4253" w:rsidRDefault="00782EB4" w:rsidP="005D4253">
            <w:r w:rsidRPr="005D4253">
              <w:t>Lack of clinical data on:</w:t>
            </w:r>
          </w:p>
          <w:p w14:paraId="59991D48" w14:textId="77777777" w:rsidR="00782EB4" w:rsidRPr="005D4253" w:rsidRDefault="00782EB4" w:rsidP="005D4253">
            <w:pPr>
              <w:pStyle w:val="ListBullet"/>
            </w:pPr>
            <w:r w:rsidRPr="005D4253">
              <w:t>Exposure during pregnancy</w:t>
            </w:r>
          </w:p>
          <w:p w14:paraId="62052B7F" w14:textId="77777777" w:rsidR="00782EB4" w:rsidRPr="005D4253" w:rsidRDefault="00782EB4" w:rsidP="005D4253">
            <w:pPr>
              <w:pStyle w:val="ListBullet"/>
            </w:pPr>
            <w:r w:rsidRPr="005D4253">
              <w:t>Patients older than 65 years</w:t>
            </w:r>
          </w:p>
          <w:p w14:paraId="7B6286E4" w14:textId="77777777" w:rsidR="00782EB4" w:rsidRPr="005D4253" w:rsidRDefault="00782EB4" w:rsidP="005D4253">
            <w:pPr>
              <w:pStyle w:val="ListBullet"/>
            </w:pPr>
            <w:r w:rsidRPr="005D4253">
              <w:t>Patients less than 5 years</w:t>
            </w:r>
          </w:p>
        </w:tc>
      </w:tr>
    </w:tbl>
    <w:p w14:paraId="3E7AB05F"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03CD10D8" w14:textId="2757BF96" w:rsidR="00782EB4" w:rsidRPr="00782EB4" w:rsidRDefault="00782EB4" w:rsidP="00782EB4">
      <w:r w:rsidRPr="00782EB4">
        <w:t>The sponsor has proposed routine pharmacovigilance</w:t>
      </w:r>
      <w:r w:rsidR="001A3124">
        <w:rPr>
          <w:rStyle w:val="FootnoteReference"/>
        </w:rPr>
        <w:footnoteReference w:id="32"/>
      </w:r>
      <w:r w:rsidRPr="00782EB4">
        <w:t xml:space="preserve"> to monitor all the safety concerns. This includes documentation of the reported cases using specific forms for the important identified risk of ‘severe laryngopharyngeal reactions’ and the important potential risk ‘severe anaphylactic reactions/anaphylactic shock’. No additional pharma</w:t>
      </w:r>
      <w:r w:rsidR="00753206">
        <w:t>covigilance has been proposed.</w:t>
      </w:r>
    </w:p>
    <w:p w14:paraId="6D0BEA42" w14:textId="77777777" w:rsidR="008E7846" w:rsidRDefault="008E7846" w:rsidP="008E7846">
      <w:pPr>
        <w:pStyle w:val="Heading4"/>
        <w:rPr>
          <w:lang w:eastAsia="en-AU"/>
        </w:rPr>
      </w:pPr>
      <w:r>
        <w:rPr>
          <w:lang w:eastAsia="en-AU"/>
        </w:rPr>
        <w:lastRenderedPageBreak/>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7D26E43A" w14:textId="0383823D" w:rsidR="00790DE0" w:rsidRDefault="00782EB4" w:rsidP="00782EB4">
      <w:pPr>
        <w:rPr>
          <w:rFonts w:asciiTheme="minorHAnsi" w:hAnsiTheme="minorHAnsi"/>
        </w:rPr>
      </w:pPr>
      <w:bookmarkStart w:id="151" w:name="_Toc247691527"/>
      <w:r>
        <w:rPr>
          <w:rFonts w:asciiTheme="minorHAnsi" w:hAnsiTheme="minorHAnsi"/>
        </w:rPr>
        <w:t>The sponsor proposes routine risk minimisation activities</w:t>
      </w:r>
      <w:r w:rsidR="001A3124">
        <w:rPr>
          <w:rStyle w:val="FootnoteReference"/>
          <w:rFonts w:asciiTheme="minorHAnsi" w:hAnsiTheme="minorHAnsi"/>
        </w:rPr>
        <w:footnoteReference w:id="33"/>
      </w:r>
      <w:r>
        <w:rPr>
          <w:rFonts w:asciiTheme="minorHAnsi" w:hAnsiTheme="minorHAnsi"/>
        </w:rPr>
        <w:t xml:space="preserve"> to mitigate all the safety concerns. No additional risk minimisation is considered necessary by the sponsor</w:t>
      </w:r>
      <w:r w:rsidR="00790DE0">
        <w:rPr>
          <w:rFonts w:asciiTheme="minorHAnsi" w:hAnsiTheme="minorHAnsi"/>
        </w:rPr>
        <w:t>.</w:t>
      </w:r>
    </w:p>
    <w:p w14:paraId="580E87D2" w14:textId="77777777" w:rsidR="006F25B8" w:rsidRDefault="006F25B8" w:rsidP="006F25B8">
      <w:pPr>
        <w:pStyle w:val="Heading4"/>
        <w:rPr>
          <w:lang w:eastAsia="en-AU"/>
        </w:rPr>
      </w:pPr>
      <w:r w:rsidRPr="006F25B8">
        <w:rPr>
          <w:lang w:eastAsia="en-AU"/>
        </w:rPr>
        <w:t>Reconciliation of is</w:t>
      </w:r>
      <w:r w:rsidR="00BF782B">
        <w:rPr>
          <w:lang w:eastAsia="en-AU"/>
        </w:rPr>
        <w:t>sues outlined in the RMP report</w:t>
      </w:r>
    </w:p>
    <w:p w14:paraId="407D5BC8" w14:textId="77777777" w:rsidR="006F25B8" w:rsidRDefault="006F25B8" w:rsidP="006F25B8">
      <w:pPr>
        <w:rPr>
          <w:lang w:eastAsia="en-AU"/>
        </w:rPr>
      </w:pPr>
      <w:r w:rsidRPr="003138F8">
        <w:rPr>
          <w:lang w:eastAsia="en-AU"/>
        </w:rPr>
        <w:t xml:space="preserve">Table </w:t>
      </w:r>
      <w:r w:rsidR="003138F8" w:rsidRPr="003138F8">
        <w:rPr>
          <w:lang w:eastAsia="en-AU"/>
        </w:rPr>
        <w:t>9</w:t>
      </w:r>
      <w:r w:rsidRPr="003138F8">
        <w:rPr>
          <w:lang w:eastAsia="en-AU"/>
        </w:rPr>
        <w:t xml:space="preserve"> summarises the first</w:t>
      </w:r>
      <w:r>
        <w:rPr>
          <w:lang w:eastAsia="en-AU"/>
        </w:rPr>
        <w:t xml:space="preserve"> round evaluation of the RMP, the sponsor’s responses to issues raised and the </w:t>
      </w:r>
      <w:r w:rsidR="00BF782B">
        <w:rPr>
          <w:lang w:eastAsia="en-AU"/>
        </w:rPr>
        <w:t>RMP evaluator’s</w:t>
      </w:r>
      <w:r>
        <w:rPr>
          <w:lang w:eastAsia="en-AU"/>
        </w:rPr>
        <w:t xml:space="preserve"> evaluat</w:t>
      </w:r>
      <w:r w:rsidR="00782EB4">
        <w:rPr>
          <w:lang w:eastAsia="en-AU"/>
        </w:rPr>
        <w:t>ion of the sponsor’s responses.</w:t>
      </w:r>
    </w:p>
    <w:p w14:paraId="2436CEFD" w14:textId="77777777" w:rsidR="00BF782B" w:rsidRDefault="00BF782B" w:rsidP="00BF782B">
      <w:pPr>
        <w:pStyle w:val="Tabletitle0"/>
        <w:rPr>
          <w:lang w:eastAsia="en-AU"/>
        </w:rPr>
      </w:pPr>
      <w:r w:rsidRPr="003138F8">
        <w:rPr>
          <w:lang w:eastAsia="en-AU"/>
        </w:rPr>
        <w:t xml:space="preserve">Table </w:t>
      </w:r>
      <w:r w:rsidR="003138F8" w:rsidRPr="003138F8">
        <w:rPr>
          <w:lang w:eastAsia="en-AU"/>
        </w:rPr>
        <w:t>9:</w:t>
      </w:r>
      <w:r w:rsidRPr="003138F8">
        <w:rPr>
          <w:lang w:eastAsia="en-AU"/>
        </w:rPr>
        <w:t xml:space="preserve"> Reconciliation</w:t>
      </w:r>
      <w:r>
        <w:rPr>
          <w:lang w:eastAsia="en-AU"/>
        </w:rPr>
        <w:t xml:space="preserve"> of issues outlined in the first round RMP evaluation</w:t>
      </w:r>
    </w:p>
    <w:tbl>
      <w:tblPr>
        <w:tblStyle w:val="TableTGAblue"/>
        <w:tblW w:w="5000" w:type="pct"/>
        <w:tblLayout w:type="fixed"/>
        <w:tblLook w:val="04A0" w:firstRow="1" w:lastRow="0" w:firstColumn="1" w:lastColumn="0" w:noHBand="0" w:noVBand="1"/>
      </w:tblPr>
      <w:tblGrid>
        <w:gridCol w:w="2906"/>
        <w:gridCol w:w="2907"/>
        <w:gridCol w:w="2907"/>
      </w:tblGrid>
      <w:tr w:rsidR="004C2373" w:rsidRPr="00BF782B" w14:paraId="380CB43E" w14:textId="77777777" w:rsidTr="00BF782B">
        <w:trPr>
          <w:cnfStyle w:val="100000000000" w:firstRow="1" w:lastRow="0" w:firstColumn="0" w:lastColumn="0" w:oddVBand="0" w:evenVBand="0" w:oddHBand="0" w:evenHBand="0" w:firstRowFirstColumn="0" w:firstRowLastColumn="0" w:lastRowFirstColumn="0" w:lastRowLastColumn="0"/>
          <w:cantSplit/>
        </w:trPr>
        <w:tc>
          <w:tcPr>
            <w:tcW w:w="1666" w:type="pct"/>
            <w:noWrap/>
          </w:tcPr>
          <w:p w14:paraId="65AF96C0" w14:textId="77777777" w:rsidR="004C2373" w:rsidRPr="00BF782B" w:rsidRDefault="004C2373" w:rsidP="00BF782B">
            <w:pPr>
              <w:ind w:left="0" w:right="0"/>
              <w:rPr>
                <w:sz w:val="20"/>
                <w:szCs w:val="20"/>
              </w:rPr>
            </w:pPr>
            <w:r w:rsidRPr="00BF782B">
              <w:rPr>
                <w:sz w:val="20"/>
                <w:szCs w:val="20"/>
              </w:rPr>
              <w:t>Recommendation in RMP evaluation report</w:t>
            </w:r>
          </w:p>
        </w:tc>
        <w:tc>
          <w:tcPr>
            <w:tcW w:w="1667" w:type="pct"/>
            <w:noWrap/>
          </w:tcPr>
          <w:p w14:paraId="1C373199" w14:textId="77777777" w:rsidR="004C2373" w:rsidRPr="00BF782B" w:rsidRDefault="004C2373" w:rsidP="00BF782B">
            <w:pPr>
              <w:ind w:left="0" w:right="0"/>
              <w:rPr>
                <w:sz w:val="20"/>
                <w:szCs w:val="20"/>
              </w:rPr>
            </w:pPr>
            <w:r w:rsidRPr="00BF782B">
              <w:rPr>
                <w:sz w:val="20"/>
                <w:szCs w:val="20"/>
              </w:rPr>
              <w:t>Sponsor’s response</w:t>
            </w:r>
          </w:p>
        </w:tc>
        <w:tc>
          <w:tcPr>
            <w:tcW w:w="1667" w:type="pct"/>
            <w:noWrap/>
          </w:tcPr>
          <w:p w14:paraId="0C767900" w14:textId="77777777" w:rsidR="004C2373" w:rsidRPr="00BF782B" w:rsidRDefault="004C2373" w:rsidP="00BF782B">
            <w:pPr>
              <w:ind w:left="0" w:right="0"/>
              <w:rPr>
                <w:sz w:val="20"/>
                <w:szCs w:val="20"/>
              </w:rPr>
            </w:pPr>
            <w:r w:rsidRPr="00BF782B">
              <w:rPr>
                <w:sz w:val="20"/>
                <w:szCs w:val="20"/>
              </w:rPr>
              <w:t>RMP evaluator’s comment</w:t>
            </w:r>
          </w:p>
        </w:tc>
      </w:tr>
      <w:tr w:rsidR="004C2373" w:rsidRPr="00BF782B" w14:paraId="290E7469" w14:textId="77777777" w:rsidTr="00BF782B">
        <w:trPr>
          <w:cantSplit/>
        </w:trPr>
        <w:tc>
          <w:tcPr>
            <w:tcW w:w="1666" w:type="pct"/>
            <w:noWrap/>
          </w:tcPr>
          <w:p w14:paraId="5A6B6DB0" w14:textId="77777777" w:rsidR="004C2373" w:rsidRPr="00BF782B" w:rsidRDefault="004C2373" w:rsidP="00BF782B">
            <w:pPr>
              <w:ind w:left="0" w:right="0"/>
              <w:rPr>
                <w:sz w:val="20"/>
                <w:szCs w:val="20"/>
              </w:rPr>
            </w:pPr>
            <w:r w:rsidRPr="00BF782B">
              <w:rPr>
                <w:sz w:val="20"/>
                <w:szCs w:val="20"/>
              </w:rPr>
              <w:t>Safety considerations may be raised by the non-clinical and clinical evaluators through the</w:t>
            </w:r>
            <w:r w:rsidR="00BF782B" w:rsidRPr="00BF782B">
              <w:rPr>
                <w:sz w:val="20"/>
                <w:szCs w:val="20"/>
              </w:rPr>
              <w:t xml:space="preserve"> TGA’s</w:t>
            </w:r>
            <w:r w:rsidRPr="00BF782B">
              <w:rPr>
                <w:sz w:val="20"/>
                <w:szCs w:val="20"/>
              </w:rPr>
              <w:t xml:space="preserve"> consolidated request </w:t>
            </w:r>
            <w:r w:rsidR="00BF782B" w:rsidRPr="00BF782B">
              <w:rPr>
                <w:sz w:val="20"/>
                <w:szCs w:val="20"/>
              </w:rPr>
              <w:t xml:space="preserve">for information </w:t>
            </w:r>
            <w:r w:rsidRPr="00BF782B">
              <w:rPr>
                <w:sz w:val="20"/>
                <w:szCs w:val="20"/>
              </w:rPr>
              <w:t xml:space="preserve">and/or the </w:t>
            </w:r>
            <w:r w:rsidR="00BF782B" w:rsidRPr="00BF782B">
              <w:rPr>
                <w:sz w:val="20"/>
                <w:szCs w:val="20"/>
              </w:rPr>
              <w:t>n</w:t>
            </w:r>
            <w:r w:rsidRPr="00BF782B">
              <w:rPr>
                <w:sz w:val="20"/>
                <w:szCs w:val="20"/>
              </w:rPr>
              <w:t xml:space="preserve">onclinical and </w:t>
            </w:r>
            <w:r w:rsidR="00BF782B" w:rsidRPr="00BF782B">
              <w:rPr>
                <w:sz w:val="20"/>
                <w:szCs w:val="20"/>
              </w:rPr>
              <w:t>c</w:t>
            </w:r>
            <w:r w:rsidRPr="00BF782B">
              <w:rPr>
                <w:sz w:val="20"/>
                <w:szCs w:val="20"/>
              </w:rPr>
              <w:t xml:space="preserve">linical </w:t>
            </w:r>
            <w:r w:rsidR="00BF782B" w:rsidRPr="00BF782B">
              <w:rPr>
                <w:sz w:val="20"/>
                <w:szCs w:val="20"/>
              </w:rPr>
              <w:t xml:space="preserve">evaluation reports </w:t>
            </w:r>
            <w:r w:rsidRPr="00BF782B">
              <w:rPr>
                <w:sz w:val="20"/>
                <w:szCs w:val="20"/>
              </w:rPr>
              <w:t>respectivel</w:t>
            </w:r>
            <w:r w:rsidR="00BF782B" w:rsidRPr="00BF782B">
              <w:rPr>
                <w:sz w:val="20"/>
                <w:szCs w:val="20"/>
              </w:rPr>
              <w:t>y.</w:t>
            </w:r>
            <w:r w:rsidRPr="00BF782B">
              <w:rPr>
                <w:sz w:val="20"/>
                <w:szCs w:val="20"/>
              </w:rPr>
              <w:t xml:space="preserve"> It is important to ensure that the information provided in response to these includes a consideration of the relevance for the </w:t>
            </w:r>
            <w:r w:rsidR="00BF782B" w:rsidRPr="00BF782B">
              <w:rPr>
                <w:sz w:val="20"/>
                <w:szCs w:val="20"/>
              </w:rPr>
              <w:t>RMP</w:t>
            </w:r>
            <w:r w:rsidRPr="00BF782B">
              <w:rPr>
                <w:sz w:val="20"/>
                <w:szCs w:val="20"/>
              </w:rPr>
              <w:t xml:space="preserve">, and any specific information needed to </w:t>
            </w:r>
            <w:r w:rsidR="00BF782B" w:rsidRPr="00BF782B">
              <w:rPr>
                <w:sz w:val="20"/>
                <w:szCs w:val="20"/>
              </w:rPr>
              <w:t xml:space="preserve">address this issue in the RMP. </w:t>
            </w:r>
            <w:r w:rsidRPr="00BF782B">
              <w:rPr>
                <w:sz w:val="20"/>
                <w:szCs w:val="20"/>
              </w:rPr>
              <w:t>For any safety considerations so raised, the sponsor should provide information that is relevant and necessary to address the issue in the RMP.</w:t>
            </w:r>
          </w:p>
        </w:tc>
        <w:tc>
          <w:tcPr>
            <w:tcW w:w="1667" w:type="pct"/>
            <w:noWrap/>
          </w:tcPr>
          <w:p w14:paraId="665BD77F" w14:textId="77777777" w:rsidR="004C2373" w:rsidRPr="00BF782B" w:rsidRDefault="004C2373" w:rsidP="00BF782B">
            <w:pPr>
              <w:ind w:left="0" w:right="0"/>
              <w:rPr>
                <w:sz w:val="20"/>
                <w:szCs w:val="20"/>
              </w:rPr>
            </w:pPr>
            <w:r w:rsidRPr="00BF782B">
              <w:rPr>
                <w:sz w:val="20"/>
                <w:szCs w:val="20"/>
              </w:rPr>
              <w:t xml:space="preserve">No additional safety </w:t>
            </w:r>
            <w:r w:rsidR="00BF782B" w:rsidRPr="00BF782B">
              <w:rPr>
                <w:sz w:val="20"/>
                <w:szCs w:val="20"/>
              </w:rPr>
              <w:t>concerns were raised by the non</w:t>
            </w:r>
            <w:r w:rsidRPr="00BF782B">
              <w:rPr>
                <w:sz w:val="20"/>
                <w:szCs w:val="20"/>
              </w:rPr>
              <w:t>clinical and clinical evaluators that impact upon the RMP</w:t>
            </w:r>
          </w:p>
          <w:p w14:paraId="6C6705D1" w14:textId="77777777" w:rsidR="004C2373" w:rsidRPr="00BF782B" w:rsidRDefault="00BF782B" w:rsidP="00BF782B">
            <w:pPr>
              <w:ind w:left="0" w:right="0"/>
              <w:rPr>
                <w:sz w:val="20"/>
                <w:szCs w:val="20"/>
              </w:rPr>
            </w:pPr>
            <w:r w:rsidRPr="00BF782B">
              <w:rPr>
                <w:sz w:val="20"/>
                <w:szCs w:val="20"/>
              </w:rPr>
              <w:t>Additional information:</w:t>
            </w:r>
          </w:p>
          <w:p w14:paraId="4757053B" w14:textId="77777777" w:rsidR="004C2373" w:rsidRPr="00BF782B" w:rsidRDefault="004C2373" w:rsidP="00BF782B">
            <w:pPr>
              <w:ind w:left="0" w:right="0"/>
              <w:rPr>
                <w:sz w:val="20"/>
                <w:szCs w:val="20"/>
              </w:rPr>
            </w:pPr>
            <w:r w:rsidRPr="00BF782B">
              <w:rPr>
                <w:sz w:val="20"/>
                <w:szCs w:val="20"/>
              </w:rPr>
              <w:t xml:space="preserve">Since the time of submission of the Australian dossier, the product </w:t>
            </w:r>
            <w:r w:rsidR="00716D4E" w:rsidRPr="00BF782B">
              <w:rPr>
                <w:sz w:val="20"/>
                <w:szCs w:val="20"/>
              </w:rPr>
              <w:t>Actair</w:t>
            </w:r>
            <w:r w:rsidRPr="00BF782B">
              <w:rPr>
                <w:sz w:val="20"/>
                <w:szCs w:val="20"/>
              </w:rPr>
              <w:t xml:space="preserve"> has received market authorization in Japan on</w:t>
            </w:r>
            <w:r w:rsidR="004A2386">
              <w:rPr>
                <w:sz w:val="20"/>
                <w:szCs w:val="20"/>
              </w:rPr>
              <w:t xml:space="preserve"> </w:t>
            </w:r>
            <w:r w:rsidR="00BF782B" w:rsidRPr="00BF782B">
              <w:rPr>
                <w:sz w:val="20"/>
                <w:szCs w:val="20"/>
              </w:rPr>
              <w:t>26 March</w:t>
            </w:r>
            <w:r w:rsidRPr="00BF782B">
              <w:rPr>
                <w:sz w:val="20"/>
                <w:szCs w:val="20"/>
              </w:rPr>
              <w:t xml:space="preserve"> 2015. A copy of the English translation of the approved Japanese </w:t>
            </w:r>
            <w:proofErr w:type="spellStart"/>
            <w:r w:rsidRPr="00BF782B">
              <w:rPr>
                <w:sz w:val="20"/>
                <w:szCs w:val="20"/>
              </w:rPr>
              <w:t>SmPC</w:t>
            </w:r>
            <w:proofErr w:type="spellEnd"/>
            <w:r w:rsidRPr="00BF782B">
              <w:rPr>
                <w:sz w:val="20"/>
                <w:szCs w:val="20"/>
              </w:rPr>
              <w:t xml:space="preserve"> is provided. The approved indication is “</w:t>
            </w:r>
            <w:proofErr w:type="spellStart"/>
            <w:r w:rsidRPr="00BF782B">
              <w:rPr>
                <w:i/>
                <w:sz w:val="20"/>
                <w:szCs w:val="20"/>
              </w:rPr>
              <w:t>Desenstization</w:t>
            </w:r>
            <w:proofErr w:type="spellEnd"/>
            <w:r w:rsidRPr="00BF782B">
              <w:rPr>
                <w:i/>
                <w:sz w:val="20"/>
                <w:szCs w:val="20"/>
              </w:rPr>
              <w:t xml:space="preserve"> therapy for allergic rhinitis due to mite antigens” with approval for use in Adults and Children from 12 years of age and over”.</w:t>
            </w:r>
          </w:p>
        </w:tc>
        <w:tc>
          <w:tcPr>
            <w:tcW w:w="1667" w:type="pct"/>
            <w:noWrap/>
          </w:tcPr>
          <w:p w14:paraId="70708E42" w14:textId="77777777" w:rsidR="004C2373" w:rsidRPr="00BF782B" w:rsidRDefault="004C2373" w:rsidP="00BF782B">
            <w:pPr>
              <w:ind w:left="0" w:right="0"/>
              <w:rPr>
                <w:sz w:val="20"/>
                <w:szCs w:val="20"/>
              </w:rPr>
            </w:pPr>
            <w:r w:rsidRPr="00BF782B">
              <w:rPr>
                <w:sz w:val="20"/>
                <w:szCs w:val="20"/>
              </w:rPr>
              <w:t>The sponsor’s response is satisfactory. The evaluator has noted the additional regulatory information provided by the sponsor regarding the recent market authorisation granted in Japan.</w:t>
            </w:r>
          </w:p>
        </w:tc>
      </w:tr>
      <w:tr w:rsidR="004C2373" w:rsidRPr="00BF782B" w14:paraId="2D46693F" w14:textId="77777777" w:rsidTr="00BF782B">
        <w:trPr>
          <w:cantSplit/>
        </w:trPr>
        <w:tc>
          <w:tcPr>
            <w:tcW w:w="1666" w:type="pct"/>
            <w:noWrap/>
          </w:tcPr>
          <w:p w14:paraId="2A94B27E" w14:textId="77777777" w:rsidR="004C2373" w:rsidRPr="00BF782B" w:rsidRDefault="004C2373" w:rsidP="00BF782B">
            <w:pPr>
              <w:ind w:left="0" w:right="0"/>
              <w:rPr>
                <w:sz w:val="20"/>
                <w:szCs w:val="20"/>
              </w:rPr>
            </w:pPr>
            <w:r w:rsidRPr="00BF782B">
              <w:rPr>
                <w:sz w:val="20"/>
                <w:szCs w:val="20"/>
              </w:rPr>
              <w:t>The sponsor should include the date on which the AUS-RMP was finalised in the document. If available, data lock</w:t>
            </w:r>
            <w:r w:rsidR="00BF782B" w:rsidRPr="00BF782B">
              <w:rPr>
                <w:sz w:val="20"/>
                <w:szCs w:val="20"/>
              </w:rPr>
              <w:t xml:space="preserve"> point should also be included.</w:t>
            </w:r>
          </w:p>
        </w:tc>
        <w:tc>
          <w:tcPr>
            <w:tcW w:w="1667" w:type="pct"/>
            <w:noWrap/>
          </w:tcPr>
          <w:p w14:paraId="25905727" w14:textId="77777777" w:rsidR="004C2373" w:rsidRPr="00BF782B" w:rsidRDefault="004C2373" w:rsidP="00BF782B">
            <w:pPr>
              <w:ind w:left="0" w:right="0"/>
              <w:rPr>
                <w:sz w:val="20"/>
                <w:szCs w:val="20"/>
              </w:rPr>
            </w:pPr>
            <w:r w:rsidRPr="00BF782B">
              <w:rPr>
                <w:sz w:val="20"/>
                <w:szCs w:val="20"/>
              </w:rPr>
              <w:t xml:space="preserve">The data lock point date of </w:t>
            </w:r>
            <w:r w:rsidR="00BF782B" w:rsidRPr="00BF782B">
              <w:rPr>
                <w:sz w:val="20"/>
                <w:szCs w:val="20"/>
              </w:rPr>
              <w:t>14</w:t>
            </w:r>
            <w:r w:rsidRPr="00BF782B">
              <w:rPr>
                <w:sz w:val="20"/>
                <w:szCs w:val="20"/>
              </w:rPr>
              <w:t xml:space="preserve"> January 2015 has been included as well as the date of release of this version</w:t>
            </w:r>
            <w:r w:rsidR="00BF782B" w:rsidRPr="00BF782B">
              <w:rPr>
                <w:sz w:val="20"/>
                <w:szCs w:val="20"/>
              </w:rPr>
              <w:t xml:space="preserve"> 1.0 of the RMP, being the 22 </w:t>
            </w:r>
            <w:r w:rsidRPr="00BF782B">
              <w:rPr>
                <w:sz w:val="20"/>
                <w:szCs w:val="20"/>
              </w:rPr>
              <w:t>July 2015.</w:t>
            </w:r>
          </w:p>
        </w:tc>
        <w:tc>
          <w:tcPr>
            <w:tcW w:w="1667" w:type="pct"/>
            <w:noWrap/>
          </w:tcPr>
          <w:p w14:paraId="2D6C42AB" w14:textId="77777777" w:rsidR="004C2373" w:rsidRPr="00BF782B" w:rsidRDefault="004C2373" w:rsidP="00BF782B">
            <w:pPr>
              <w:ind w:left="0" w:right="0"/>
              <w:rPr>
                <w:sz w:val="20"/>
                <w:szCs w:val="20"/>
              </w:rPr>
            </w:pPr>
            <w:r w:rsidRPr="00BF782B">
              <w:rPr>
                <w:sz w:val="20"/>
                <w:szCs w:val="20"/>
              </w:rPr>
              <w:t>The sponsor’s response is satisfactory. To distinguish the updated version from the original version, the new version should be version 2.0</w:t>
            </w:r>
          </w:p>
        </w:tc>
      </w:tr>
      <w:tr w:rsidR="004C2373" w:rsidRPr="00BF782B" w14:paraId="4568B245" w14:textId="77777777" w:rsidTr="00BF782B">
        <w:trPr>
          <w:cantSplit/>
        </w:trPr>
        <w:tc>
          <w:tcPr>
            <w:tcW w:w="1666" w:type="pct"/>
            <w:noWrap/>
          </w:tcPr>
          <w:p w14:paraId="01406889" w14:textId="77777777" w:rsidR="004C2373" w:rsidRPr="00BF782B" w:rsidRDefault="004C2373" w:rsidP="00BF782B">
            <w:pPr>
              <w:ind w:left="0" w:right="0"/>
              <w:rPr>
                <w:sz w:val="20"/>
                <w:szCs w:val="20"/>
              </w:rPr>
            </w:pPr>
            <w:r w:rsidRPr="00BF782B">
              <w:rPr>
                <w:sz w:val="20"/>
                <w:szCs w:val="20"/>
              </w:rPr>
              <w:lastRenderedPageBreak/>
              <w:t>The sponsor has advised that patients with severe, uncontrolled or unstable asthma, concomitant use of beta blockers, and patients with severe immune deficiency or malignancies have been excluded from its clinical trials. As the draft PI document already includes these patient groups under ‘contraindications’, it is acceptable that no further measures are planned for these safety concerns. Nonetheless, they should still be included in the list of safety concerns.</w:t>
            </w:r>
          </w:p>
        </w:tc>
        <w:tc>
          <w:tcPr>
            <w:tcW w:w="1667" w:type="pct"/>
            <w:noWrap/>
          </w:tcPr>
          <w:p w14:paraId="1EF710A9" w14:textId="77777777" w:rsidR="004C2373" w:rsidRPr="00BF782B" w:rsidRDefault="004C2373" w:rsidP="00BF782B">
            <w:pPr>
              <w:ind w:left="0" w:right="0"/>
              <w:rPr>
                <w:sz w:val="20"/>
                <w:szCs w:val="20"/>
                <w:highlight w:val="yellow"/>
              </w:rPr>
            </w:pPr>
            <w:r w:rsidRPr="00BF782B">
              <w:rPr>
                <w:sz w:val="20"/>
                <w:szCs w:val="20"/>
              </w:rPr>
              <w:t xml:space="preserve">The above recommendations have been incorporated into the Summary of Safety concerns, Section Part II: Module SVIII. Other consequential changes throughout the RMP have also been made. Please refer to the annotated copy of the RMP provided in </w:t>
            </w:r>
            <w:r w:rsidR="00BF782B" w:rsidRPr="00BF782B">
              <w:rPr>
                <w:sz w:val="20"/>
                <w:szCs w:val="20"/>
              </w:rPr>
              <w:t>the response.</w:t>
            </w:r>
          </w:p>
        </w:tc>
        <w:tc>
          <w:tcPr>
            <w:tcW w:w="1667" w:type="pct"/>
            <w:noWrap/>
          </w:tcPr>
          <w:p w14:paraId="0746E26A" w14:textId="77777777" w:rsidR="004C2373" w:rsidRPr="00BF782B" w:rsidRDefault="004C2373" w:rsidP="00BF782B">
            <w:pPr>
              <w:ind w:left="0" w:right="0"/>
              <w:rPr>
                <w:sz w:val="20"/>
                <w:szCs w:val="20"/>
              </w:rPr>
            </w:pPr>
            <w:r w:rsidRPr="00BF782B">
              <w:rPr>
                <w:sz w:val="20"/>
                <w:szCs w:val="20"/>
              </w:rPr>
              <w:t>The evaluator has noted the relevant updates to the ‘Summary of the safety concerns’ in the AUS-RMP. The sponsor’s response is satisfactory.</w:t>
            </w:r>
          </w:p>
        </w:tc>
      </w:tr>
      <w:tr w:rsidR="004C2373" w:rsidRPr="00BF782B" w14:paraId="08673D36" w14:textId="77777777" w:rsidTr="00BF782B">
        <w:trPr>
          <w:cantSplit/>
        </w:trPr>
        <w:tc>
          <w:tcPr>
            <w:tcW w:w="1666" w:type="pct"/>
            <w:noWrap/>
          </w:tcPr>
          <w:p w14:paraId="5C8BD446" w14:textId="77777777" w:rsidR="004C2373" w:rsidRPr="00BF782B" w:rsidRDefault="004C2373" w:rsidP="00BF782B">
            <w:pPr>
              <w:ind w:left="0" w:right="0"/>
              <w:rPr>
                <w:sz w:val="20"/>
                <w:szCs w:val="20"/>
              </w:rPr>
            </w:pPr>
            <w:r w:rsidRPr="00BF782B">
              <w:rPr>
                <w:sz w:val="20"/>
                <w:szCs w:val="20"/>
              </w:rPr>
              <w:t xml:space="preserve">The sponsor has advised that ‘there are no data on possible risks of simultaneous immunotherapy with other allergens during treatment with </w:t>
            </w:r>
            <w:r w:rsidR="00716D4E" w:rsidRPr="00BF782B">
              <w:rPr>
                <w:sz w:val="20"/>
                <w:szCs w:val="20"/>
              </w:rPr>
              <w:t>Actair</w:t>
            </w:r>
            <w:r w:rsidRPr="00BF782B">
              <w:rPr>
                <w:sz w:val="20"/>
                <w:szCs w:val="20"/>
              </w:rPr>
              <w:t>’. This should also be included as missing information.</w:t>
            </w:r>
          </w:p>
        </w:tc>
        <w:tc>
          <w:tcPr>
            <w:tcW w:w="1667" w:type="pct"/>
            <w:noWrap/>
          </w:tcPr>
          <w:p w14:paraId="7B5B636F" w14:textId="77777777" w:rsidR="004C2373" w:rsidRPr="00BF782B" w:rsidRDefault="004C2373" w:rsidP="00BF782B">
            <w:pPr>
              <w:ind w:left="0" w:right="0"/>
              <w:rPr>
                <w:sz w:val="20"/>
                <w:szCs w:val="20"/>
              </w:rPr>
            </w:pPr>
            <w:r w:rsidRPr="00BF782B">
              <w:rPr>
                <w:sz w:val="20"/>
                <w:szCs w:val="20"/>
              </w:rPr>
              <w:t>The above recommendation has been incorporated in Section Part II: Module SVIII - Summary of Safety concerns, under Missing Information. Other consequential changes throughout the RMP have also been made. Please refer to the annotated copy of the RMP provided.</w:t>
            </w:r>
          </w:p>
        </w:tc>
        <w:tc>
          <w:tcPr>
            <w:tcW w:w="1667" w:type="pct"/>
            <w:noWrap/>
          </w:tcPr>
          <w:p w14:paraId="7C0289A3" w14:textId="77777777" w:rsidR="004C2373" w:rsidRPr="00BF782B" w:rsidRDefault="004C2373" w:rsidP="00BF782B">
            <w:pPr>
              <w:ind w:left="0" w:right="0"/>
              <w:rPr>
                <w:sz w:val="20"/>
                <w:szCs w:val="20"/>
              </w:rPr>
            </w:pPr>
            <w:r w:rsidRPr="00BF782B">
              <w:rPr>
                <w:sz w:val="20"/>
                <w:szCs w:val="20"/>
              </w:rPr>
              <w:t>The evaluator has noted the relevant update to the ‘Summary of the safety concerns’ in the AUS-RMP. The sponsor’s response is satisfactory.</w:t>
            </w:r>
          </w:p>
        </w:tc>
      </w:tr>
      <w:tr w:rsidR="004C2373" w:rsidRPr="00BF782B" w14:paraId="4A88BA22" w14:textId="77777777" w:rsidTr="00BF782B">
        <w:trPr>
          <w:cantSplit/>
        </w:trPr>
        <w:tc>
          <w:tcPr>
            <w:tcW w:w="1666" w:type="pct"/>
            <w:noWrap/>
          </w:tcPr>
          <w:p w14:paraId="7BA3F1FE" w14:textId="77777777" w:rsidR="004C2373" w:rsidRPr="00BF782B" w:rsidRDefault="004C2373" w:rsidP="00BF782B">
            <w:pPr>
              <w:ind w:left="0" w:right="0"/>
              <w:rPr>
                <w:sz w:val="20"/>
                <w:szCs w:val="20"/>
              </w:rPr>
            </w:pPr>
            <w:r w:rsidRPr="00BF782B">
              <w:rPr>
                <w:sz w:val="20"/>
                <w:szCs w:val="20"/>
              </w:rPr>
              <w:t>The pharmacovigilance and risk minimisation sections should be updated accordingly to provide plans for managing these safety issues.</w:t>
            </w:r>
          </w:p>
        </w:tc>
        <w:tc>
          <w:tcPr>
            <w:tcW w:w="1667" w:type="pct"/>
            <w:noWrap/>
          </w:tcPr>
          <w:p w14:paraId="5B879203" w14:textId="77777777" w:rsidR="004C2373" w:rsidRPr="00BF782B" w:rsidRDefault="004C2373" w:rsidP="00BF782B">
            <w:pPr>
              <w:ind w:left="0" w:right="0"/>
              <w:rPr>
                <w:sz w:val="20"/>
                <w:szCs w:val="20"/>
              </w:rPr>
            </w:pPr>
            <w:r w:rsidRPr="00BF782B">
              <w:rPr>
                <w:sz w:val="20"/>
                <w:szCs w:val="20"/>
              </w:rPr>
              <w:t xml:space="preserve">The relevant sections of the RMP have been updated as a consequence of the changes referred to </w:t>
            </w:r>
            <w:r w:rsidR="00BF782B" w:rsidRPr="00BF782B">
              <w:rPr>
                <w:sz w:val="20"/>
                <w:szCs w:val="20"/>
              </w:rPr>
              <w:t>above</w:t>
            </w:r>
            <w:r w:rsidRPr="00BF782B">
              <w:rPr>
                <w:sz w:val="20"/>
                <w:szCs w:val="20"/>
              </w:rPr>
              <w:t>. Please refer to the annotated copy of the RMP provided.</w:t>
            </w:r>
          </w:p>
        </w:tc>
        <w:tc>
          <w:tcPr>
            <w:tcW w:w="1667" w:type="pct"/>
            <w:noWrap/>
          </w:tcPr>
          <w:p w14:paraId="7AF956ED" w14:textId="77777777" w:rsidR="004C2373" w:rsidRPr="00BF782B" w:rsidRDefault="004C2373" w:rsidP="00BF782B">
            <w:pPr>
              <w:ind w:left="0" w:right="0"/>
              <w:rPr>
                <w:sz w:val="20"/>
                <w:szCs w:val="20"/>
              </w:rPr>
            </w:pPr>
            <w:r w:rsidRPr="00BF782B">
              <w:rPr>
                <w:sz w:val="20"/>
                <w:szCs w:val="20"/>
              </w:rPr>
              <w:t>The sponsor’s response is satisfactory.</w:t>
            </w:r>
          </w:p>
        </w:tc>
      </w:tr>
      <w:tr w:rsidR="004C2373" w:rsidRPr="00BF782B" w14:paraId="5C6A977C" w14:textId="77777777" w:rsidTr="00BF782B">
        <w:trPr>
          <w:cantSplit/>
        </w:trPr>
        <w:tc>
          <w:tcPr>
            <w:tcW w:w="1666" w:type="pct"/>
            <w:noWrap/>
          </w:tcPr>
          <w:p w14:paraId="7A5983E3" w14:textId="7E40B2C5" w:rsidR="004C2373" w:rsidRPr="00BF782B" w:rsidRDefault="004C2373" w:rsidP="00BF782B">
            <w:pPr>
              <w:ind w:left="0" w:right="0"/>
              <w:rPr>
                <w:sz w:val="20"/>
                <w:szCs w:val="20"/>
              </w:rPr>
            </w:pPr>
            <w:r w:rsidRPr="00BF782B">
              <w:rPr>
                <w:sz w:val="20"/>
                <w:szCs w:val="20"/>
              </w:rPr>
              <w:t>The sponsor is expected to analyse all the reported events of ‘severe laryngopharyngeal reactions’ and ‘severe anaphylactic reactions/anaphylactic shock’ in the PSURs. Specific consideration should be given to patient history of previous systemic reactions to allergen immunotherapy and concomitant use of simultaneous immunotherapy with other allergens.</w:t>
            </w:r>
            <w:r w:rsidR="00132754">
              <w:rPr>
                <w:rStyle w:val="FootnoteReference"/>
                <w:sz w:val="20"/>
                <w:szCs w:val="20"/>
              </w:rPr>
              <w:footnoteReference w:id="34"/>
            </w:r>
          </w:p>
        </w:tc>
        <w:tc>
          <w:tcPr>
            <w:tcW w:w="1667" w:type="pct"/>
            <w:noWrap/>
          </w:tcPr>
          <w:p w14:paraId="57259DFD" w14:textId="77777777" w:rsidR="004C2373" w:rsidRPr="00BF782B" w:rsidRDefault="004C2373" w:rsidP="00BF782B">
            <w:pPr>
              <w:ind w:left="0" w:right="0"/>
              <w:rPr>
                <w:sz w:val="20"/>
                <w:szCs w:val="20"/>
              </w:rPr>
            </w:pPr>
            <w:r w:rsidRPr="00BF782B">
              <w:rPr>
                <w:sz w:val="20"/>
                <w:szCs w:val="20"/>
              </w:rPr>
              <w:t xml:space="preserve">The relevant sections of the RMP have been updated as a consequence of the changes referred to </w:t>
            </w:r>
            <w:r w:rsidR="00BF782B" w:rsidRPr="00BF782B">
              <w:rPr>
                <w:sz w:val="20"/>
                <w:szCs w:val="20"/>
              </w:rPr>
              <w:t>above</w:t>
            </w:r>
            <w:r w:rsidRPr="00BF782B">
              <w:rPr>
                <w:sz w:val="20"/>
                <w:szCs w:val="20"/>
              </w:rPr>
              <w:t xml:space="preserve"> and those sections impacting on the above comments. Please refer to the annotated copy of the RMP provided.</w:t>
            </w:r>
          </w:p>
        </w:tc>
        <w:tc>
          <w:tcPr>
            <w:tcW w:w="1667" w:type="pct"/>
            <w:noWrap/>
          </w:tcPr>
          <w:p w14:paraId="592ADCEF" w14:textId="77777777" w:rsidR="004C2373" w:rsidRPr="00BF782B" w:rsidRDefault="004C2373" w:rsidP="00BF782B">
            <w:pPr>
              <w:ind w:left="0" w:right="0"/>
              <w:rPr>
                <w:sz w:val="20"/>
                <w:szCs w:val="20"/>
              </w:rPr>
            </w:pPr>
            <w:r w:rsidRPr="00BF782B">
              <w:rPr>
                <w:sz w:val="20"/>
                <w:szCs w:val="20"/>
              </w:rPr>
              <w:t>The evaluator has noted the updates to the ‘Pharmacovigilance plan’ in the AUS-RMP. The sponsor’s response is satisfactory.</w:t>
            </w:r>
          </w:p>
        </w:tc>
      </w:tr>
      <w:tr w:rsidR="004C2373" w:rsidRPr="00BF782B" w14:paraId="57173A2B" w14:textId="77777777" w:rsidTr="00BF782B">
        <w:trPr>
          <w:cantSplit/>
        </w:trPr>
        <w:tc>
          <w:tcPr>
            <w:tcW w:w="1666" w:type="pct"/>
            <w:noWrap/>
          </w:tcPr>
          <w:p w14:paraId="00426803" w14:textId="77777777" w:rsidR="004C2373" w:rsidRPr="00BF782B" w:rsidRDefault="004C2373" w:rsidP="00BF782B">
            <w:pPr>
              <w:ind w:left="0" w:right="0"/>
              <w:rPr>
                <w:sz w:val="20"/>
                <w:szCs w:val="20"/>
              </w:rPr>
            </w:pPr>
            <w:r w:rsidRPr="00BF782B">
              <w:rPr>
                <w:sz w:val="20"/>
                <w:szCs w:val="20"/>
              </w:rPr>
              <w:lastRenderedPageBreak/>
              <w:t xml:space="preserve">The sponsor is required to provide clarification on the following wording: ‘Four cases of overdose up to 1000 IR for up to 28 days have been reported in patients receiving HDM sublingual tablets: one patient receiving 100 IR, one receiving 300 IR and 2 receiving 500 IR.’ It appears that receiving </w:t>
            </w:r>
            <w:r w:rsidR="002A0FA3">
              <w:rPr>
                <w:sz w:val="20"/>
                <w:szCs w:val="20"/>
              </w:rPr>
              <w:t>100 IR and 300 </w:t>
            </w:r>
            <w:r w:rsidRPr="00BF782B">
              <w:rPr>
                <w:sz w:val="20"/>
                <w:szCs w:val="20"/>
              </w:rPr>
              <w:t>IR are not overdose and none of the cases received 1000 IR.</w:t>
            </w:r>
          </w:p>
        </w:tc>
        <w:tc>
          <w:tcPr>
            <w:tcW w:w="1667" w:type="pct"/>
            <w:noWrap/>
          </w:tcPr>
          <w:p w14:paraId="0E9CE727" w14:textId="77777777" w:rsidR="004C2373" w:rsidRPr="00BF782B" w:rsidRDefault="004C2373" w:rsidP="00BF782B">
            <w:pPr>
              <w:ind w:left="0" w:right="0"/>
              <w:rPr>
                <w:sz w:val="20"/>
                <w:szCs w:val="20"/>
              </w:rPr>
            </w:pPr>
            <w:r w:rsidRPr="00BF782B">
              <w:rPr>
                <w:sz w:val="20"/>
                <w:szCs w:val="20"/>
              </w:rPr>
              <w:t xml:space="preserve">In the </w:t>
            </w:r>
            <w:r w:rsidR="00716D4E" w:rsidRPr="00BF782B">
              <w:rPr>
                <w:sz w:val="20"/>
                <w:szCs w:val="20"/>
              </w:rPr>
              <w:t>Actair</w:t>
            </w:r>
            <w:r w:rsidRPr="00BF782B">
              <w:rPr>
                <w:sz w:val="20"/>
                <w:szCs w:val="20"/>
              </w:rPr>
              <w:t xml:space="preserve"> DSURs </w:t>
            </w:r>
            <w:r w:rsidR="00716D4E" w:rsidRPr="00BF782B">
              <w:rPr>
                <w:sz w:val="20"/>
                <w:szCs w:val="20"/>
              </w:rPr>
              <w:t>Actair</w:t>
            </w:r>
            <w:r w:rsidRPr="00BF782B">
              <w:rPr>
                <w:sz w:val="20"/>
                <w:szCs w:val="20"/>
              </w:rPr>
              <w:t>(referred to as STG320) for the periods 2010-2011 and 2011-2012 the following overdoses were reported as occurred in the active arm of the V067.10 study:</w:t>
            </w:r>
          </w:p>
          <w:p w14:paraId="345C6F27" w14:textId="77777777" w:rsidR="004C2373" w:rsidRPr="00BF782B" w:rsidRDefault="004C2373" w:rsidP="00BF782B">
            <w:pPr>
              <w:ind w:left="0" w:right="0"/>
              <w:rPr>
                <w:sz w:val="20"/>
                <w:szCs w:val="20"/>
              </w:rPr>
            </w:pPr>
            <w:r w:rsidRPr="00BF782B">
              <w:rPr>
                <w:sz w:val="20"/>
                <w:szCs w:val="20"/>
              </w:rPr>
              <w:t xml:space="preserve">Patient </w:t>
            </w:r>
            <w:r w:rsidR="00BF782B" w:rsidRPr="00BF782B">
              <w:rPr>
                <w:sz w:val="20"/>
                <w:szCs w:val="20"/>
              </w:rPr>
              <w:t>[information redacted]</w:t>
            </w:r>
            <w:r w:rsidRPr="00BF782B">
              <w:rPr>
                <w:sz w:val="20"/>
                <w:szCs w:val="20"/>
              </w:rPr>
              <w:t xml:space="preserve"> (group: 500 IR)</w:t>
            </w:r>
            <w:proofErr w:type="gramStart"/>
            <w:r w:rsidR="00BF782B" w:rsidRPr="00BF782B">
              <w:rPr>
                <w:sz w:val="20"/>
                <w:szCs w:val="20"/>
              </w:rPr>
              <w:t>:</w:t>
            </w:r>
            <w:proofErr w:type="gramEnd"/>
            <w:r w:rsidR="00BF782B" w:rsidRPr="00BF782B">
              <w:rPr>
                <w:sz w:val="20"/>
                <w:szCs w:val="20"/>
              </w:rPr>
              <w:br/>
            </w:r>
            <w:r w:rsidRPr="00BF782B">
              <w:rPr>
                <w:sz w:val="20"/>
                <w:szCs w:val="20"/>
              </w:rPr>
              <w:t>After the initiation treatment phase of 8 days, the patient continued taking twice the full dose per day during 21 days by mistake.</w:t>
            </w:r>
          </w:p>
          <w:p w14:paraId="592104EA" w14:textId="77777777" w:rsidR="004C2373" w:rsidRPr="00BF782B" w:rsidRDefault="00BF782B" w:rsidP="00BF782B">
            <w:pPr>
              <w:ind w:left="0" w:right="0"/>
              <w:rPr>
                <w:sz w:val="20"/>
                <w:szCs w:val="20"/>
              </w:rPr>
            </w:pPr>
            <w:r w:rsidRPr="00BF782B">
              <w:rPr>
                <w:sz w:val="20"/>
                <w:szCs w:val="20"/>
              </w:rPr>
              <w:t xml:space="preserve">Patient [information redacted] </w:t>
            </w:r>
            <w:r w:rsidR="004C2373" w:rsidRPr="00BF782B">
              <w:rPr>
                <w:sz w:val="20"/>
                <w:szCs w:val="20"/>
              </w:rPr>
              <w:t>(group: 500 IR)</w:t>
            </w:r>
            <w:r w:rsidRPr="00BF782B">
              <w:rPr>
                <w:sz w:val="20"/>
                <w:szCs w:val="20"/>
              </w:rPr>
              <w:br/>
            </w:r>
            <w:r w:rsidR="004C2373" w:rsidRPr="00BF782B">
              <w:rPr>
                <w:sz w:val="20"/>
                <w:szCs w:val="20"/>
              </w:rPr>
              <w:t>After the initiation treatment phase of 8 days, the pa</w:t>
            </w:r>
            <w:r w:rsidRPr="00BF782B">
              <w:rPr>
                <w:sz w:val="20"/>
                <w:szCs w:val="20"/>
              </w:rPr>
              <w:t xml:space="preserve">tient took 80 tablets over a 20 </w:t>
            </w:r>
            <w:r w:rsidR="004C2373" w:rsidRPr="00BF782B">
              <w:rPr>
                <w:sz w:val="20"/>
                <w:szCs w:val="20"/>
              </w:rPr>
              <w:t>day period (from D</w:t>
            </w:r>
            <w:r w:rsidRPr="00BF782B">
              <w:rPr>
                <w:sz w:val="20"/>
                <w:szCs w:val="20"/>
              </w:rPr>
              <w:t xml:space="preserve">ay </w:t>
            </w:r>
            <w:r w:rsidR="004C2373" w:rsidRPr="00BF782B">
              <w:rPr>
                <w:sz w:val="20"/>
                <w:szCs w:val="20"/>
              </w:rPr>
              <w:t>9 to D</w:t>
            </w:r>
            <w:r w:rsidRPr="00BF782B">
              <w:rPr>
                <w:sz w:val="20"/>
                <w:szCs w:val="20"/>
              </w:rPr>
              <w:t xml:space="preserve">ay </w:t>
            </w:r>
            <w:r w:rsidR="004C2373" w:rsidRPr="00BF782B">
              <w:rPr>
                <w:sz w:val="20"/>
                <w:szCs w:val="20"/>
              </w:rPr>
              <w:t>29) instead of 20 tablets (1 tablet daily). Number of tablets taken each day was unknown and patient was unable to confirm on which days additional tablets were taken.</w:t>
            </w:r>
          </w:p>
          <w:p w14:paraId="62C65794" w14:textId="77777777" w:rsidR="004C2373" w:rsidRPr="00BF782B" w:rsidRDefault="00BF782B" w:rsidP="00BF782B">
            <w:pPr>
              <w:ind w:left="0" w:right="0"/>
              <w:rPr>
                <w:sz w:val="20"/>
                <w:szCs w:val="20"/>
              </w:rPr>
            </w:pPr>
            <w:r w:rsidRPr="00BF782B">
              <w:rPr>
                <w:sz w:val="20"/>
                <w:szCs w:val="20"/>
              </w:rPr>
              <w:t xml:space="preserve">Patient [information redacted] </w:t>
            </w:r>
            <w:r w:rsidR="004C2373" w:rsidRPr="00BF782B">
              <w:rPr>
                <w:sz w:val="20"/>
                <w:szCs w:val="20"/>
              </w:rPr>
              <w:t>(group: 300 IR)</w:t>
            </w:r>
            <w:r w:rsidRPr="00BF782B">
              <w:rPr>
                <w:sz w:val="20"/>
                <w:szCs w:val="20"/>
              </w:rPr>
              <w:br/>
            </w:r>
            <w:r w:rsidR="004C2373" w:rsidRPr="00BF782B">
              <w:rPr>
                <w:sz w:val="20"/>
                <w:szCs w:val="20"/>
              </w:rPr>
              <w:t>This patient continued by mistake taking 2 tablets daily instead of 1 tablet daily during 1 week from D</w:t>
            </w:r>
            <w:r w:rsidRPr="00BF782B">
              <w:rPr>
                <w:sz w:val="20"/>
                <w:szCs w:val="20"/>
              </w:rPr>
              <w:t xml:space="preserve">ay </w:t>
            </w:r>
            <w:r w:rsidR="004C2373" w:rsidRPr="00BF782B">
              <w:rPr>
                <w:sz w:val="20"/>
                <w:szCs w:val="20"/>
              </w:rPr>
              <w:t>9 to D</w:t>
            </w:r>
            <w:r w:rsidRPr="00BF782B">
              <w:rPr>
                <w:sz w:val="20"/>
                <w:szCs w:val="20"/>
              </w:rPr>
              <w:t xml:space="preserve">ay </w:t>
            </w:r>
            <w:r w:rsidR="004C2373" w:rsidRPr="00BF782B">
              <w:rPr>
                <w:sz w:val="20"/>
                <w:szCs w:val="20"/>
              </w:rPr>
              <w:t>15 after the initiation treatment phase of 8 days.</w:t>
            </w:r>
          </w:p>
          <w:p w14:paraId="6E1AA90C" w14:textId="77777777" w:rsidR="004C2373" w:rsidRPr="00BF782B" w:rsidRDefault="00BF782B" w:rsidP="00BF782B">
            <w:pPr>
              <w:ind w:left="0" w:right="0"/>
              <w:rPr>
                <w:sz w:val="20"/>
                <w:szCs w:val="20"/>
              </w:rPr>
            </w:pPr>
            <w:r w:rsidRPr="00BF782B">
              <w:rPr>
                <w:sz w:val="20"/>
                <w:szCs w:val="20"/>
              </w:rPr>
              <w:t xml:space="preserve">Patient [information redacted] </w:t>
            </w:r>
            <w:r w:rsidR="004C2373" w:rsidRPr="00BF782B">
              <w:rPr>
                <w:sz w:val="20"/>
                <w:szCs w:val="20"/>
              </w:rPr>
              <w:t>(group: 100 IR)</w:t>
            </w:r>
            <w:r w:rsidRPr="00BF782B">
              <w:rPr>
                <w:sz w:val="20"/>
                <w:szCs w:val="20"/>
              </w:rPr>
              <w:br/>
            </w:r>
            <w:r w:rsidR="004C2373" w:rsidRPr="00BF782B">
              <w:rPr>
                <w:sz w:val="20"/>
                <w:szCs w:val="20"/>
              </w:rPr>
              <w:t>For an unknown reason between D</w:t>
            </w:r>
            <w:r w:rsidRPr="00BF782B">
              <w:rPr>
                <w:sz w:val="20"/>
                <w:szCs w:val="20"/>
              </w:rPr>
              <w:t xml:space="preserve">ay </w:t>
            </w:r>
            <w:r w:rsidR="004C2373" w:rsidRPr="00BF782B">
              <w:rPr>
                <w:sz w:val="20"/>
                <w:szCs w:val="20"/>
              </w:rPr>
              <w:t>37 and D</w:t>
            </w:r>
            <w:r w:rsidRPr="00BF782B">
              <w:rPr>
                <w:sz w:val="20"/>
                <w:szCs w:val="20"/>
              </w:rPr>
              <w:t>ay </w:t>
            </w:r>
            <w:r w:rsidR="004C2373" w:rsidRPr="00BF782B">
              <w:rPr>
                <w:sz w:val="20"/>
                <w:szCs w:val="20"/>
              </w:rPr>
              <w:t>64, during 9 days</w:t>
            </w:r>
            <w:r w:rsidR="004C2373" w:rsidRPr="00BF782B" w:rsidDel="00192F63">
              <w:rPr>
                <w:sz w:val="20"/>
                <w:szCs w:val="20"/>
              </w:rPr>
              <w:t xml:space="preserve"> </w:t>
            </w:r>
            <w:r w:rsidR="004C2373" w:rsidRPr="00BF782B">
              <w:rPr>
                <w:sz w:val="20"/>
                <w:szCs w:val="20"/>
              </w:rPr>
              <w:t>(unspecified days) the patient took 2 tablets daily instead of 1 daily.</w:t>
            </w:r>
          </w:p>
        </w:tc>
        <w:tc>
          <w:tcPr>
            <w:tcW w:w="1667" w:type="pct"/>
            <w:noWrap/>
          </w:tcPr>
          <w:p w14:paraId="0FD41ADD" w14:textId="77777777" w:rsidR="004C2373" w:rsidRPr="00BF782B" w:rsidRDefault="004C2373" w:rsidP="00BF782B">
            <w:pPr>
              <w:ind w:left="0" w:right="0"/>
              <w:rPr>
                <w:sz w:val="20"/>
                <w:szCs w:val="20"/>
              </w:rPr>
            </w:pPr>
            <w:r w:rsidRPr="00BF782B">
              <w:rPr>
                <w:sz w:val="20"/>
                <w:szCs w:val="20"/>
              </w:rPr>
              <w:t>The sponsor’s response is satisfactory. Routine risk minimisation through PI and CMI as proposed by the sponsor is considered sufficient at this stage.</w:t>
            </w:r>
          </w:p>
        </w:tc>
      </w:tr>
      <w:tr w:rsidR="004C2373" w:rsidRPr="00BF782B" w14:paraId="680A66AA" w14:textId="77777777" w:rsidTr="00BF782B">
        <w:trPr>
          <w:cantSplit/>
        </w:trPr>
        <w:tc>
          <w:tcPr>
            <w:tcW w:w="1666" w:type="pct"/>
            <w:noWrap/>
          </w:tcPr>
          <w:p w14:paraId="311F7211" w14:textId="77777777" w:rsidR="004C2373" w:rsidRPr="00BF782B" w:rsidRDefault="004C2373" w:rsidP="00BF782B">
            <w:pPr>
              <w:ind w:left="0" w:right="0"/>
              <w:rPr>
                <w:sz w:val="20"/>
                <w:szCs w:val="20"/>
              </w:rPr>
            </w:pPr>
            <w:r w:rsidRPr="00BF782B">
              <w:rPr>
                <w:sz w:val="20"/>
                <w:szCs w:val="20"/>
              </w:rPr>
              <w:lastRenderedPageBreak/>
              <w:t xml:space="preserve">The evaluator has noted the following advice in the draft PI: ‘Clinical experience on immunotherapy with </w:t>
            </w:r>
            <w:r w:rsidR="00716D4E" w:rsidRPr="00BF782B">
              <w:rPr>
                <w:sz w:val="20"/>
                <w:szCs w:val="20"/>
              </w:rPr>
              <w:t>Actair</w:t>
            </w:r>
            <w:r w:rsidRPr="00BF782B">
              <w:rPr>
                <w:sz w:val="20"/>
                <w:szCs w:val="20"/>
              </w:rPr>
              <w:t xml:space="preserve"> in patients older than 65 years is lacking.’ This is considered routine risk minimisation through labelling. The sponsor should include this labelling advice in the relevant part of ‘V.1 Risk minimisation measures</w:t>
            </w:r>
            <w:r w:rsidR="00342CF5" w:rsidRPr="00BF782B">
              <w:rPr>
                <w:sz w:val="20"/>
                <w:szCs w:val="20"/>
              </w:rPr>
              <w:t xml:space="preserve"> by safety concern’ in the RMP.</w:t>
            </w:r>
          </w:p>
        </w:tc>
        <w:tc>
          <w:tcPr>
            <w:tcW w:w="1667" w:type="pct"/>
            <w:noWrap/>
          </w:tcPr>
          <w:p w14:paraId="1E67C5FA" w14:textId="77777777" w:rsidR="004C2373" w:rsidRPr="00BF782B" w:rsidRDefault="004C2373" w:rsidP="00BF782B">
            <w:pPr>
              <w:ind w:left="0" w:right="0"/>
              <w:rPr>
                <w:sz w:val="20"/>
                <w:szCs w:val="20"/>
              </w:rPr>
            </w:pPr>
            <w:r w:rsidRPr="00BF782B">
              <w:rPr>
                <w:sz w:val="20"/>
                <w:szCs w:val="20"/>
              </w:rPr>
              <w:t>The relevant section of the RMP has been updated to include the reference to labelling and the inclusion of the information within the PI. Please refer to the annotated copy of the RMP provided.</w:t>
            </w:r>
          </w:p>
        </w:tc>
        <w:tc>
          <w:tcPr>
            <w:tcW w:w="1667" w:type="pct"/>
            <w:noWrap/>
          </w:tcPr>
          <w:p w14:paraId="0E22CC75" w14:textId="77777777" w:rsidR="004C2373" w:rsidRPr="00BF782B" w:rsidRDefault="004C2373" w:rsidP="00BF782B">
            <w:pPr>
              <w:ind w:left="0" w:right="0"/>
              <w:rPr>
                <w:sz w:val="20"/>
                <w:szCs w:val="20"/>
              </w:rPr>
            </w:pPr>
            <w:r w:rsidRPr="00BF782B">
              <w:rPr>
                <w:sz w:val="20"/>
                <w:szCs w:val="20"/>
              </w:rPr>
              <w:t>The evaluator has noted the update to the ‘Risk minimisation measures by safety concern’ in the AUS-RMP. The spon</w:t>
            </w:r>
            <w:r w:rsidR="00342CF5" w:rsidRPr="00BF782B">
              <w:rPr>
                <w:sz w:val="20"/>
                <w:szCs w:val="20"/>
              </w:rPr>
              <w:t>sor’s response is satisfactory.</w:t>
            </w:r>
          </w:p>
        </w:tc>
      </w:tr>
      <w:tr w:rsidR="004C2373" w:rsidRPr="00BF782B" w14:paraId="5233E3CF" w14:textId="77777777" w:rsidTr="00BF782B">
        <w:trPr>
          <w:cantSplit/>
        </w:trPr>
        <w:tc>
          <w:tcPr>
            <w:tcW w:w="1666" w:type="pct"/>
            <w:noWrap/>
          </w:tcPr>
          <w:p w14:paraId="72117081" w14:textId="77777777" w:rsidR="004C2373" w:rsidRPr="00BF782B" w:rsidRDefault="004C2373" w:rsidP="00BF782B">
            <w:pPr>
              <w:ind w:left="0" w:right="0"/>
              <w:rPr>
                <w:sz w:val="20"/>
                <w:szCs w:val="20"/>
              </w:rPr>
            </w:pPr>
            <w:r w:rsidRPr="00BF782B">
              <w:rPr>
                <w:sz w:val="20"/>
                <w:szCs w:val="20"/>
              </w:rPr>
              <w:t>As the product comes in two different strengths, the sponsor should explain what measures are in place to avoid mix</w:t>
            </w:r>
            <w:r w:rsidR="00342CF5" w:rsidRPr="00BF782B">
              <w:rPr>
                <w:sz w:val="20"/>
                <w:szCs w:val="20"/>
              </w:rPr>
              <w:t>ing up of different strengths.</w:t>
            </w:r>
          </w:p>
        </w:tc>
        <w:tc>
          <w:tcPr>
            <w:tcW w:w="1667" w:type="pct"/>
            <w:noWrap/>
          </w:tcPr>
          <w:p w14:paraId="22160285" w14:textId="77777777" w:rsidR="004C2373" w:rsidRPr="00BF782B" w:rsidRDefault="004C2373" w:rsidP="00BF782B">
            <w:pPr>
              <w:ind w:left="0" w:right="0"/>
              <w:rPr>
                <w:sz w:val="20"/>
                <w:szCs w:val="20"/>
              </w:rPr>
            </w:pPr>
            <w:r w:rsidRPr="00BF782B">
              <w:rPr>
                <w:sz w:val="20"/>
                <w:szCs w:val="20"/>
              </w:rPr>
              <w:t xml:space="preserve">The two different strengths are presented in separate blisters each of which is labelled specifically with the tablet strength i.e. 100 IR or 300 </w:t>
            </w:r>
            <w:proofErr w:type="gramStart"/>
            <w:r w:rsidRPr="00BF782B">
              <w:rPr>
                <w:sz w:val="20"/>
                <w:szCs w:val="20"/>
              </w:rPr>
              <w:t>IR,</w:t>
            </w:r>
            <w:proofErr w:type="gramEnd"/>
            <w:r w:rsidRPr="00BF782B">
              <w:rPr>
                <w:sz w:val="20"/>
                <w:szCs w:val="20"/>
              </w:rPr>
              <w:t xml:space="preserve"> therefore there is no possibility of getting the two different strengths mixed up. Furthermore, the 100 IR tablets are used only on days 1 and 2, while the 300 IR tablets are used from days 3 onwards. This is also clearly marked on the blister labels. Finally each tablet is marked individually such that the 100 IR tablet</w:t>
            </w:r>
            <w:r w:rsidR="002A0FA3">
              <w:rPr>
                <w:sz w:val="20"/>
                <w:szCs w:val="20"/>
              </w:rPr>
              <w:t xml:space="preserve"> is marked with 100 and the 300 </w:t>
            </w:r>
            <w:r w:rsidRPr="00BF782B">
              <w:rPr>
                <w:sz w:val="20"/>
                <w:szCs w:val="20"/>
              </w:rPr>
              <w:t>IR tablet is marked with 300.</w:t>
            </w:r>
          </w:p>
        </w:tc>
        <w:tc>
          <w:tcPr>
            <w:tcW w:w="1667" w:type="pct"/>
            <w:noWrap/>
          </w:tcPr>
          <w:p w14:paraId="416B7352" w14:textId="77777777" w:rsidR="004C2373" w:rsidRPr="00BF782B" w:rsidRDefault="004C2373" w:rsidP="00BF782B">
            <w:pPr>
              <w:ind w:left="0" w:right="0"/>
              <w:rPr>
                <w:sz w:val="20"/>
                <w:szCs w:val="20"/>
              </w:rPr>
            </w:pPr>
            <w:r w:rsidRPr="00BF782B">
              <w:rPr>
                <w:sz w:val="20"/>
                <w:szCs w:val="20"/>
              </w:rPr>
              <w:t>The spon</w:t>
            </w:r>
            <w:r w:rsidR="00342CF5" w:rsidRPr="00BF782B">
              <w:rPr>
                <w:sz w:val="20"/>
                <w:szCs w:val="20"/>
              </w:rPr>
              <w:t>sor’s response is satisfactory.</w:t>
            </w:r>
          </w:p>
        </w:tc>
      </w:tr>
      <w:tr w:rsidR="004C2373" w:rsidRPr="00BF782B" w14:paraId="3466174D" w14:textId="77777777" w:rsidTr="00BF782B">
        <w:trPr>
          <w:cantSplit/>
        </w:trPr>
        <w:tc>
          <w:tcPr>
            <w:tcW w:w="1666" w:type="pct"/>
            <w:noWrap/>
          </w:tcPr>
          <w:p w14:paraId="2BB75FEE" w14:textId="77777777" w:rsidR="004C2373" w:rsidRPr="00BF782B" w:rsidRDefault="004C2373" w:rsidP="00BF782B">
            <w:pPr>
              <w:ind w:left="0" w:right="0"/>
              <w:rPr>
                <w:sz w:val="20"/>
                <w:szCs w:val="20"/>
              </w:rPr>
            </w:pPr>
            <w:r w:rsidRPr="00BF782B">
              <w:rPr>
                <w:sz w:val="20"/>
                <w:szCs w:val="20"/>
              </w:rPr>
              <w:lastRenderedPageBreak/>
              <w:t xml:space="preserve">In regard to the proposed routine risk minimisation activities, it is recommended to the Delegate that the draft consumer medicine information </w:t>
            </w:r>
            <w:r w:rsidR="00342CF5" w:rsidRPr="00BF782B">
              <w:rPr>
                <w:sz w:val="20"/>
                <w:szCs w:val="20"/>
              </w:rPr>
              <w:t>document be revised as follows:</w:t>
            </w:r>
          </w:p>
          <w:p w14:paraId="34E7FE3C" w14:textId="77777777" w:rsidR="004C2373" w:rsidRPr="00BF782B" w:rsidRDefault="004C2373" w:rsidP="00BF782B">
            <w:pPr>
              <w:ind w:left="0" w:right="0"/>
              <w:rPr>
                <w:sz w:val="20"/>
                <w:szCs w:val="20"/>
              </w:rPr>
            </w:pPr>
            <w:r w:rsidRPr="00BF782B">
              <w:rPr>
                <w:sz w:val="20"/>
                <w:szCs w:val="20"/>
              </w:rPr>
              <w:t>Considering the product is administered chronically in home settings after the first dose, the CMI should provide advice on situations when treatment might have to be withheld or patients must consult the doctor before continuing treatment. Examples of such situations are oropharyngeal infection or inflamma</w:t>
            </w:r>
            <w:r w:rsidR="00BF782B">
              <w:rPr>
                <w:sz w:val="20"/>
                <w:szCs w:val="20"/>
              </w:rPr>
              <w:t>tion, asthma exacerbation.</w:t>
            </w:r>
          </w:p>
          <w:p w14:paraId="4311164B" w14:textId="77777777" w:rsidR="004C2373" w:rsidRPr="00BF782B" w:rsidRDefault="004C2373" w:rsidP="00BF782B">
            <w:pPr>
              <w:ind w:left="0" w:right="0"/>
              <w:rPr>
                <w:sz w:val="20"/>
                <w:szCs w:val="20"/>
              </w:rPr>
            </w:pPr>
            <w:r w:rsidRPr="00BF782B">
              <w:rPr>
                <w:sz w:val="20"/>
                <w:szCs w:val="20"/>
              </w:rPr>
              <w:t>The following advice on resuming treatment after interruption should be added: ‘If you interrupted the treatment for longer than 7 days, you should ask your doctor before restart treatment.’</w:t>
            </w:r>
          </w:p>
        </w:tc>
        <w:tc>
          <w:tcPr>
            <w:tcW w:w="1667" w:type="pct"/>
            <w:noWrap/>
          </w:tcPr>
          <w:p w14:paraId="01911491" w14:textId="77777777" w:rsidR="004C2373" w:rsidRPr="00BF782B" w:rsidRDefault="004C2373" w:rsidP="00BF782B">
            <w:pPr>
              <w:ind w:left="0" w:right="0"/>
              <w:rPr>
                <w:sz w:val="20"/>
                <w:szCs w:val="20"/>
              </w:rPr>
            </w:pPr>
            <w:r w:rsidRPr="00BF782B">
              <w:rPr>
                <w:sz w:val="20"/>
                <w:szCs w:val="20"/>
              </w:rPr>
              <w:t>The CMI has been updated to include the recommendations suggested by the TGA. The amendments to the CMI are as follows. The page numbers refer to the annotated CMI.</w:t>
            </w:r>
          </w:p>
          <w:p w14:paraId="35CE9F92" w14:textId="77777777" w:rsidR="004C2373" w:rsidRPr="00BF782B" w:rsidRDefault="00BF782B" w:rsidP="00BF782B">
            <w:pPr>
              <w:ind w:left="0" w:right="0"/>
              <w:rPr>
                <w:sz w:val="20"/>
                <w:szCs w:val="20"/>
              </w:rPr>
            </w:pPr>
            <w:r>
              <w:rPr>
                <w:sz w:val="20"/>
                <w:szCs w:val="20"/>
              </w:rPr>
              <w:t>(</w:t>
            </w:r>
            <w:proofErr w:type="spellStart"/>
            <w:r>
              <w:rPr>
                <w:sz w:val="20"/>
                <w:szCs w:val="20"/>
              </w:rPr>
              <w:t>i</w:t>
            </w:r>
            <w:proofErr w:type="spellEnd"/>
            <w:r>
              <w:rPr>
                <w:sz w:val="20"/>
                <w:szCs w:val="20"/>
              </w:rPr>
              <w:t xml:space="preserve">) </w:t>
            </w:r>
            <w:r w:rsidR="004C2373" w:rsidRPr="00BF782B">
              <w:rPr>
                <w:sz w:val="20"/>
                <w:szCs w:val="20"/>
              </w:rPr>
              <w:t>Page 4, under the section If you stop taking Actair: the</w:t>
            </w:r>
            <w:r w:rsidR="00342CF5" w:rsidRPr="00BF782B">
              <w:rPr>
                <w:sz w:val="20"/>
                <w:szCs w:val="20"/>
              </w:rPr>
              <w:t xml:space="preserve"> following text has been added</w:t>
            </w:r>
            <w:proofErr w:type="gramStart"/>
            <w:r w:rsidR="00342CF5" w:rsidRPr="00BF782B">
              <w:rPr>
                <w:sz w:val="20"/>
                <w:szCs w:val="20"/>
              </w:rPr>
              <w:t>:</w:t>
            </w:r>
            <w:proofErr w:type="gramEnd"/>
            <w:r>
              <w:rPr>
                <w:sz w:val="20"/>
                <w:szCs w:val="20"/>
              </w:rPr>
              <w:br/>
            </w:r>
            <w:r w:rsidR="004C2373" w:rsidRPr="00BF782B">
              <w:rPr>
                <w:sz w:val="20"/>
                <w:szCs w:val="20"/>
              </w:rPr>
              <w:t>“If you interrupt treatment for longer than 7 days, you should ask your doctor before restarting treatment”.</w:t>
            </w:r>
          </w:p>
          <w:p w14:paraId="52CC73EA" w14:textId="51C21D8C" w:rsidR="004C2373" w:rsidRPr="00BF782B" w:rsidRDefault="00BF782B" w:rsidP="00BF782B">
            <w:pPr>
              <w:ind w:left="0" w:right="0"/>
              <w:rPr>
                <w:sz w:val="20"/>
                <w:szCs w:val="20"/>
              </w:rPr>
            </w:pPr>
            <w:r>
              <w:rPr>
                <w:sz w:val="20"/>
                <w:szCs w:val="20"/>
              </w:rPr>
              <w:t xml:space="preserve">(ii) </w:t>
            </w:r>
            <w:r w:rsidR="004C2373" w:rsidRPr="00BF782B">
              <w:rPr>
                <w:sz w:val="20"/>
                <w:szCs w:val="20"/>
              </w:rPr>
              <w:t>Page 4, under the section While you are receiving Actair: the</w:t>
            </w:r>
            <w:r w:rsidR="00342CF5" w:rsidRPr="00BF782B">
              <w:rPr>
                <w:sz w:val="20"/>
                <w:szCs w:val="20"/>
              </w:rPr>
              <w:t xml:space="preserve"> following text has been added</w:t>
            </w:r>
            <w:proofErr w:type="gramStart"/>
            <w:r w:rsidR="00342CF5" w:rsidRPr="00BF782B">
              <w:rPr>
                <w:sz w:val="20"/>
                <w:szCs w:val="20"/>
              </w:rPr>
              <w:t>:</w:t>
            </w:r>
            <w:proofErr w:type="gramEnd"/>
            <w:r>
              <w:rPr>
                <w:sz w:val="20"/>
                <w:szCs w:val="20"/>
              </w:rPr>
              <w:br/>
            </w:r>
            <w:r w:rsidR="004C2373" w:rsidRPr="00BF782B">
              <w:rPr>
                <w:sz w:val="20"/>
                <w:szCs w:val="20"/>
              </w:rPr>
              <w:t>“If you experience any infection or inflammation in the mouth or if you experience an increase in symptoms related to asthma or allergies, ask your doctor for advice before continuing treatment with Actair”.</w:t>
            </w:r>
          </w:p>
          <w:p w14:paraId="0887AF14" w14:textId="77777777" w:rsidR="004C2373" w:rsidRPr="00BF782B" w:rsidRDefault="004C2373" w:rsidP="00BF782B">
            <w:pPr>
              <w:ind w:left="0" w:right="0"/>
              <w:rPr>
                <w:sz w:val="20"/>
                <w:szCs w:val="20"/>
              </w:rPr>
            </w:pPr>
            <w:r w:rsidRPr="00BF782B">
              <w:rPr>
                <w:sz w:val="20"/>
                <w:szCs w:val="20"/>
              </w:rPr>
              <w:t>The annotated and clean copies of the CMI are provided.</w:t>
            </w:r>
          </w:p>
        </w:tc>
        <w:tc>
          <w:tcPr>
            <w:tcW w:w="1667" w:type="pct"/>
            <w:noWrap/>
          </w:tcPr>
          <w:p w14:paraId="5854484A" w14:textId="77777777" w:rsidR="004C2373" w:rsidRPr="00BF782B" w:rsidRDefault="004C2373" w:rsidP="00BF782B">
            <w:pPr>
              <w:ind w:left="0" w:right="0"/>
              <w:rPr>
                <w:sz w:val="20"/>
                <w:szCs w:val="20"/>
              </w:rPr>
            </w:pPr>
            <w:r w:rsidRPr="00BF782B">
              <w:rPr>
                <w:sz w:val="20"/>
                <w:szCs w:val="20"/>
              </w:rPr>
              <w:t>The sponsor’s response is noted. The recommendations on CMI remai</w:t>
            </w:r>
            <w:r w:rsidR="00342CF5" w:rsidRPr="00BF782B">
              <w:rPr>
                <w:sz w:val="20"/>
                <w:szCs w:val="20"/>
              </w:rPr>
              <w:t>n for Delegate’s consideration.</w:t>
            </w:r>
          </w:p>
        </w:tc>
      </w:tr>
    </w:tbl>
    <w:p w14:paraId="3A0BAF35"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6D4D4B5C" w14:textId="77777777" w:rsidR="00342CF5" w:rsidRPr="00342CF5" w:rsidRDefault="00342CF5" w:rsidP="00342CF5">
      <w:bookmarkStart w:id="152" w:name="_Toc314842510"/>
      <w:r w:rsidRPr="00342CF5">
        <w:t>The sponsor has adequately addressed most of the issues identified in the fir</w:t>
      </w:r>
      <w:r w:rsidR="00BF782B">
        <w:t>st round RMP evaluation report.</w:t>
      </w:r>
    </w:p>
    <w:p w14:paraId="4950F0B9" w14:textId="77777777" w:rsidR="00342CF5" w:rsidRPr="00342CF5" w:rsidRDefault="00342CF5" w:rsidP="00342CF5">
      <w:r>
        <w:t>The only outstanding issue is:</w:t>
      </w:r>
    </w:p>
    <w:p w14:paraId="412FBD0D" w14:textId="77777777" w:rsidR="00342CF5" w:rsidRDefault="00342CF5" w:rsidP="00342CF5">
      <w:r w:rsidRPr="00342CF5">
        <w:t>To distinguish the updated version from the original version 1.0, the new version should be version 2.0</w:t>
      </w:r>
      <w:r>
        <w:t>.</w:t>
      </w:r>
    </w:p>
    <w:p w14:paraId="5F747F60" w14:textId="77777777" w:rsidR="00342CF5" w:rsidRPr="00BF782B" w:rsidRDefault="00342CF5" w:rsidP="00BF782B">
      <w:pPr>
        <w:ind w:left="720"/>
        <w:rPr>
          <w:rFonts w:asciiTheme="minorHAnsi" w:hAnsiTheme="minorHAnsi"/>
          <w:kern w:val="2"/>
        </w:rPr>
      </w:pPr>
      <w:r>
        <w:rPr>
          <w:rFonts w:asciiTheme="minorHAnsi" w:hAnsiTheme="minorHAnsi"/>
          <w:kern w:val="2"/>
        </w:rPr>
        <w:t xml:space="preserve">The </w:t>
      </w:r>
      <w:r w:rsidRPr="002D7689">
        <w:rPr>
          <w:rFonts w:asciiTheme="minorHAnsi" w:hAnsiTheme="minorHAnsi"/>
          <w:kern w:val="2"/>
        </w:rPr>
        <w:t xml:space="preserve">AUS-RMP version 1 evaluated during the first round </w:t>
      </w:r>
      <w:r>
        <w:rPr>
          <w:rFonts w:asciiTheme="minorHAnsi" w:hAnsiTheme="minorHAnsi"/>
          <w:kern w:val="2"/>
        </w:rPr>
        <w:t>was</w:t>
      </w:r>
      <w:r w:rsidRPr="002D7689">
        <w:rPr>
          <w:rFonts w:asciiTheme="minorHAnsi" w:hAnsiTheme="minorHAnsi"/>
          <w:kern w:val="2"/>
        </w:rPr>
        <w:t xml:space="preserve"> superseded by an updated AUS-RMP version 1 dated 23 July 2015 (data lock point 14 January 2015)</w:t>
      </w:r>
      <w:r w:rsidR="0057009B">
        <w:rPr>
          <w:rFonts w:asciiTheme="minorHAnsi" w:hAnsiTheme="minorHAnsi"/>
          <w:kern w:val="2"/>
        </w:rPr>
        <w:t>.</w:t>
      </w:r>
    </w:p>
    <w:p w14:paraId="1347760C" w14:textId="77777777" w:rsidR="00342CF5" w:rsidRPr="00342CF5" w:rsidRDefault="00342CF5" w:rsidP="00342CF5">
      <w:pPr>
        <w:pStyle w:val="Heading5"/>
      </w:pPr>
      <w:r w:rsidRPr="00342CF5">
        <w:t>Advice from the Advisory Committee on the Safety of Medicines (ACSOM)</w:t>
      </w:r>
    </w:p>
    <w:p w14:paraId="37885A9D" w14:textId="77777777" w:rsidR="00342CF5" w:rsidRPr="00342CF5" w:rsidRDefault="00342CF5" w:rsidP="00342CF5">
      <w:r w:rsidRPr="00342CF5">
        <w:t>ACSOM advice was not sought for this submission.</w:t>
      </w:r>
    </w:p>
    <w:p w14:paraId="050911FB" w14:textId="77777777" w:rsidR="00342CF5" w:rsidRPr="00342CF5" w:rsidRDefault="00342CF5" w:rsidP="00342CF5">
      <w:pPr>
        <w:pStyle w:val="Heading5"/>
      </w:pPr>
      <w:r w:rsidRPr="00342CF5">
        <w:t>Suggested wording</w:t>
      </w:r>
      <w:r w:rsidR="005D4253">
        <w:t xml:space="preserve"> for conditions of registration</w:t>
      </w:r>
    </w:p>
    <w:p w14:paraId="48036E99" w14:textId="77777777" w:rsidR="00342CF5" w:rsidRPr="00342CF5" w:rsidRDefault="00342CF5" w:rsidP="00342CF5">
      <w:r w:rsidRPr="00342CF5">
        <w:t>RMP</w:t>
      </w:r>
    </w:p>
    <w:p w14:paraId="46B6C810" w14:textId="77777777" w:rsidR="00342CF5" w:rsidRPr="00342CF5" w:rsidRDefault="00342CF5" w:rsidP="00342CF5">
      <w:r w:rsidRPr="00342CF5">
        <w:t>Any changes to which the sponsor agreed become part of the risk management system, whether they are included in the currently available version of the RMP document, or not included, inadvertently or otherwise.</w:t>
      </w:r>
    </w:p>
    <w:p w14:paraId="6D25D78A" w14:textId="77777777" w:rsidR="00342CF5" w:rsidRPr="00342CF5" w:rsidRDefault="00342CF5" w:rsidP="00BF782B">
      <w:pPr>
        <w:keepNext/>
      </w:pPr>
      <w:r w:rsidRPr="00342CF5">
        <w:lastRenderedPageBreak/>
        <w:t>The suggested wording is:</w:t>
      </w:r>
    </w:p>
    <w:p w14:paraId="5FCABF25" w14:textId="77777777" w:rsidR="00342CF5" w:rsidRPr="00342CF5" w:rsidRDefault="00342CF5" w:rsidP="00342CF5">
      <w:pPr>
        <w:ind w:left="720"/>
      </w:pPr>
      <w:r w:rsidRPr="00342CF5">
        <w:t>Implement AUS-RMP version 2.0 dated 23 July 2015 (data lock point 14 January 2015) and any future updates as a condition of registration.</w:t>
      </w:r>
    </w:p>
    <w:p w14:paraId="0013CB95" w14:textId="77777777" w:rsidR="008E7846" w:rsidRPr="00792A32" w:rsidRDefault="008E7846" w:rsidP="008E7846">
      <w:pPr>
        <w:pStyle w:val="Heading2"/>
      </w:pPr>
      <w:bookmarkStart w:id="153" w:name="_Toc48279131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6"/>
      <w:bookmarkEnd w:id="151"/>
      <w:bookmarkEnd w:id="152"/>
      <w:bookmarkEnd w:id="153"/>
    </w:p>
    <w:p w14:paraId="1275BE24" w14:textId="77777777" w:rsidR="008E7846" w:rsidRDefault="008E7846" w:rsidP="008E7846">
      <w:bookmarkStart w:id="154" w:name="_Toc247691528"/>
      <w:r>
        <w:t xml:space="preserve">The submission was summarised in the following </w:t>
      </w:r>
      <w:r w:rsidRPr="00EF5C48">
        <w:t xml:space="preserve">Delegate’s </w:t>
      </w:r>
      <w:r>
        <w:t>overview</w:t>
      </w:r>
      <w:r w:rsidRPr="00EF5C48">
        <w:t xml:space="preserve"> and recommendation</w:t>
      </w:r>
      <w:r>
        <w:t>s:</w:t>
      </w:r>
    </w:p>
    <w:p w14:paraId="4A0C2898" w14:textId="77777777" w:rsidR="008E7846" w:rsidRDefault="008E7846" w:rsidP="008E7846">
      <w:pPr>
        <w:pStyle w:val="Heading3"/>
      </w:pPr>
      <w:bookmarkStart w:id="155" w:name="_Toc314842511"/>
      <w:bookmarkStart w:id="156" w:name="_Toc482791311"/>
      <w:r>
        <w:t>Quality</w:t>
      </w:r>
      <w:bookmarkEnd w:id="154"/>
      <w:bookmarkEnd w:id="155"/>
      <w:bookmarkEnd w:id="156"/>
    </w:p>
    <w:p w14:paraId="4F7E3B95" w14:textId="77777777" w:rsidR="00790DE0" w:rsidRDefault="00025C15" w:rsidP="00025C15">
      <w:r w:rsidRPr="00025C15">
        <w:t xml:space="preserve">The drug substances are extracts of the house dust mites </w:t>
      </w:r>
      <w:proofErr w:type="spellStart"/>
      <w:r w:rsidRPr="001A3124">
        <w:rPr>
          <w:i/>
        </w:rPr>
        <w:t>Dermatophagoides</w:t>
      </w:r>
      <w:proofErr w:type="spellEnd"/>
      <w:r w:rsidRPr="001A3124">
        <w:rPr>
          <w:i/>
        </w:rPr>
        <w:t xml:space="preserve"> </w:t>
      </w:r>
      <w:proofErr w:type="spellStart"/>
      <w:r w:rsidRPr="001A3124">
        <w:rPr>
          <w:i/>
        </w:rPr>
        <w:t>farinae</w:t>
      </w:r>
      <w:proofErr w:type="spellEnd"/>
      <w:r w:rsidRPr="00025C15">
        <w:t xml:space="preserve"> (</w:t>
      </w:r>
      <w:proofErr w:type="spellStart"/>
      <w:r w:rsidR="00790DE0">
        <w:t>D.far</w:t>
      </w:r>
      <w:proofErr w:type="spellEnd"/>
      <w:r w:rsidRPr="00025C15">
        <w:t xml:space="preserve">) and </w:t>
      </w:r>
      <w:proofErr w:type="spellStart"/>
      <w:r w:rsidRPr="001A3124">
        <w:rPr>
          <w:i/>
        </w:rPr>
        <w:t>Dermatophagoides</w:t>
      </w:r>
      <w:proofErr w:type="spellEnd"/>
      <w:r w:rsidRPr="001A3124">
        <w:rPr>
          <w:i/>
        </w:rPr>
        <w:t xml:space="preserve"> </w:t>
      </w:r>
      <w:proofErr w:type="spellStart"/>
      <w:r w:rsidRPr="001A3124">
        <w:rPr>
          <w:i/>
        </w:rPr>
        <w:t>pteronyssinus</w:t>
      </w:r>
      <w:proofErr w:type="spellEnd"/>
      <w:r w:rsidRPr="00025C15">
        <w:t xml:space="preserve"> (</w:t>
      </w:r>
      <w:proofErr w:type="spellStart"/>
      <w:r w:rsidRPr="00025C15">
        <w:t>D</w:t>
      </w:r>
      <w:r w:rsidR="00BF782B">
        <w:t>.</w:t>
      </w:r>
      <w:r w:rsidRPr="00025C15">
        <w:t>pte</w:t>
      </w:r>
      <w:proofErr w:type="spellEnd"/>
      <w:r w:rsidRPr="00025C15">
        <w:t xml:space="preserve">), which have been purified, </w:t>
      </w:r>
      <w:r w:rsidR="00DE5CDE">
        <w:t xml:space="preserve">freeze </w:t>
      </w:r>
      <w:r w:rsidRPr="00025C15">
        <w:t>dried and sieved then compounded in HDM sublingual tablets. Both drug substances contain a decontami</w:t>
      </w:r>
      <w:r w:rsidR="00DE5CDE">
        <w:t xml:space="preserve">nated (gamma </w:t>
      </w:r>
      <w:r w:rsidR="00BF782B">
        <w:t xml:space="preserve">irradiated) freeze </w:t>
      </w:r>
      <w:r w:rsidRPr="00025C15">
        <w:t xml:space="preserve">dried whole culture of mites, including mite bodies, faecal particles and spent culture medium, composed mainly of carbohydrates, proteins and glycoproteins, the latter including major and minor allergens as well as </w:t>
      </w:r>
      <w:r w:rsidR="00DE5CDE" w:rsidRPr="00025C15">
        <w:t>non-allergenic</w:t>
      </w:r>
      <w:r w:rsidRPr="00025C15">
        <w:t xml:space="preserve"> components</w:t>
      </w:r>
      <w:r w:rsidR="00790DE0">
        <w:t>.</w:t>
      </w:r>
    </w:p>
    <w:p w14:paraId="38C0AE21" w14:textId="77777777" w:rsidR="00025C15" w:rsidRPr="00025C15" w:rsidRDefault="00025C15" w:rsidP="00025C15">
      <w:r w:rsidRPr="00025C15">
        <w:t>The administrative, product usage, chemical, pharmaceutical, microbiological data submitted in support of this application have been evaluated in accordance with the Australian legislation, pharmacopoeial standards and relevant technical guidelines adopted by the TGA.</w:t>
      </w:r>
    </w:p>
    <w:p w14:paraId="52E4EA26" w14:textId="77777777" w:rsidR="00025C15" w:rsidRPr="00025C15" w:rsidRDefault="00025C15" w:rsidP="00025C15">
      <w:r w:rsidRPr="00025C15">
        <w:t xml:space="preserve">The </w:t>
      </w:r>
      <w:r w:rsidR="00BF782B">
        <w:t xml:space="preserve">quality evaluator(s) recommend that </w:t>
      </w:r>
      <w:r w:rsidR="00716D4E">
        <w:t>Actair</w:t>
      </w:r>
      <w:r w:rsidRPr="00025C15">
        <w:t xml:space="preserve"> 100</w:t>
      </w:r>
      <w:r w:rsidR="002A0FA3">
        <w:t xml:space="preserve"> </w:t>
      </w:r>
      <w:r w:rsidRPr="00025C15">
        <w:t xml:space="preserve">IR </w:t>
      </w:r>
      <w:r w:rsidR="00BF782B">
        <w:t>and</w:t>
      </w:r>
      <w:r w:rsidRPr="00025C15">
        <w:t xml:space="preserve"> 300</w:t>
      </w:r>
      <w:r w:rsidR="002A0FA3">
        <w:t xml:space="preserve"> </w:t>
      </w:r>
      <w:r w:rsidRPr="00025C15">
        <w:t>IR sublingual tablets should be approved.</w:t>
      </w:r>
    </w:p>
    <w:p w14:paraId="32F79C8E" w14:textId="77777777" w:rsidR="00025C15" w:rsidRDefault="008E7846" w:rsidP="00025C15">
      <w:pPr>
        <w:pStyle w:val="Heading3"/>
      </w:pPr>
      <w:bookmarkStart w:id="157" w:name="_Toc314842512"/>
      <w:bookmarkStart w:id="158" w:name="_Toc482791312"/>
      <w:r>
        <w:t>Nonclinical</w:t>
      </w:r>
      <w:bookmarkEnd w:id="157"/>
      <w:bookmarkEnd w:id="158"/>
    </w:p>
    <w:p w14:paraId="603DCAE0" w14:textId="77777777" w:rsidR="00025C15" w:rsidRPr="00025C15" w:rsidRDefault="00025C15" w:rsidP="00025C15">
      <w:r w:rsidRPr="00025C15">
        <w:t xml:space="preserve">A single study using the mouse model of dust mite-asthma was used to demonstrate clinical efficacy for </w:t>
      </w:r>
      <w:r w:rsidR="00716D4E">
        <w:t>Actair</w:t>
      </w:r>
      <w:r w:rsidRPr="00025C15">
        <w:t xml:space="preserve"> (PO) consistent</w:t>
      </w:r>
      <w:r w:rsidR="002A0FA3">
        <w:t xml:space="preserve"> with currently understood SLIT </w:t>
      </w:r>
      <w:r w:rsidRPr="00025C15">
        <w:t xml:space="preserve">mediated immune response to allergens. No specific secondary pharmacodynamic, safety pharmacology or pharmacokinetic studies were submitted. No acute toxicity studies were submitted. In three repeat dose toxicity studies in rats (up to 26 weeks), no </w:t>
      </w:r>
      <w:r w:rsidR="00716D4E">
        <w:t>Actair</w:t>
      </w:r>
      <w:r w:rsidRPr="00025C15">
        <w:t>-related systemic toxiciti</w:t>
      </w:r>
      <w:r w:rsidR="00BF782B">
        <w:t xml:space="preserve">es were noted in doses up to 76 </w:t>
      </w:r>
      <w:r w:rsidRPr="00025C15">
        <w:t xml:space="preserve">times the clinical exposure with PO administration. No </w:t>
      </w:r>
      <w:r w:rsidR="00716D4E">
        <w:t>Actair</w:t>
      </w:r>
      <w:r w:rsidRPr="00025C15">
        <w:t xml:space="preserve">-related genotoxic effects were noted in a panel of in vitro studies with potential exposures significantly greater than that of the proposed clinical dose. No </w:t>
      </w:r>
      <w:r w:rsidR="00716D4E">
        <w:t>Actair</w:t>
      </w:r>
      <w:r w:rsidRPr="00025C15">
        <w:t>-related toxicities were observed in embryofetal and juvenile development studies in rats, rabbits and dogs at exposures significantly greater than the proposed clinical dose. In a 28-day local toxicity study in hamsters, no local irritation was noted for doses up 500 IR/day when administered to the hamster cheek pouch.</w:t>
      </w:r>
    </w:p>
    <w:p w14:paraId="3D9CE4AB" w14:textId="77777777" w:rsidR="00025C15" w:rsidRPr="00025C15" w:rsidRDefault="00025C15" w:rsidP="00025C15">
      <w:r w:rsidRPr="00025C15">
        <w:t>A number of limitations were id</w:t>
      </w:r>
      <w:r w:rsidR="00BF782B">
        <w:t>entified during the assessment:</w:t>
      </w:r>
    </w:p>
    <w:p w14:paraId="46FD402C" w14:textId="77777777" w:rsidR="00790DE0" w:rsidRDefault="00025C15" w:rsidP="00BF782B">
      <w:pPr>
        <w:pStyle w:val="ListBullet"/>
      </w:pPr>
      <w:r w:rsidRPr="00025C15">
        <w:t>In most studies, including pivotal repeat dose toxicity studies and reproductive toxicity studies, gavage was utilised as route of administration. It is however a limited approximation of the proposed sublingual route of clinical administration</w:t>
      </w:r>
      <w:r w:rsidR="00790DE0">
        <w:t>.</w:t>
      </w:r>
    </w:p>
    <w:p w14:paraId="7C93BFD5" w14:textId="77777777" w:rsidR="00790DE0" w:rsidRDefault="00025C15" w:rsidP="00BF782B">
      <w:pPr>
        <w:pStyle w:val="ListBullet"/>
      </w:pPr>
      <w:r w:rsidRPr="00025C15">
        <w:t>Repeat dose toxicity studies were only conducted in one rodent species, which potentially compromised the legitimacy of the safety data</w:t>
      </w:r>
      <w:r w:rsidR="00790DE0">
        <w:t>.</w:t>
      </w:r>
    </w:p>
    <w:p w14:paraId="4B334524" w14:textId="77777777" w:rsidR="00790DE0" w:rsidRDefault="00025C15" w:rsidP="00BF782B">
      <w:pPr>
        <w:pStyle w:val="ListBullet"/>
      </w:pPr>
      <w:r w:rsidRPr="00025C15">
        <w:t xml:space="preserve">No carcinogenicity studies were conducted using </w:t>
      </w:r>
      <w:r w:rsidR="00716D4E">
        <w:t>Actair</w:t>
      </w:r>
      <w:r w:rsidRPr="00025C15">
        <w:t>, although warranted</w:t>
      </w:r>
      <w:r w:rsidR="00790DE0">
        <w:t>.</w:t>
      </w:r>
    </w:p>
    <w:p w14:paraId="08F04C2D" w14:textId="77777777" w:rsidR="00790DE0" w:rsidRDefault="00025C15" w:rsidP="00BF782B">
      <w:pPr>
        <w:pStyle w:val="ListBullet"/>
      </w:pPr>
      <w:r w:rsidRPr="00025C15">
        <w:t xml:space="preserve">No dedicated fertility and pre/postnatal development studies were performed using </w:t>
      </w:r>
      <w:r w:rsidR="00716D4E">
        <w:t>Actair</w:t>
      </w:r>
      <w:r w:rsidR="00790DE0">
        <w:t>.</w:t>
      </w:r>
    </w:p>
    <w:p w14:paraId="05A70283" w14:textId="77777777" w:rsidR="00790DE0" w:rsidRDefault="00025C15" w:rsidP="008E7846">
      <w:r w:rsidRPr="00025C15">
        <w:lastRenderedPageBreak/>
        <w:t xml:space="preserve">Given the historical clinical experience with the dust mite allergen extracts utilised in this study, there are no nonclinical objections to the registration of </w:t>
      </w:r>
      <w:r w:rsidR="00716D4E">
        <w:t>Actair</w:t>
      </w:r>
      <w:r w:rsidR="00790DE0">
        <w:t>.</w:t>
      </w:r>
    </w:p>
    <w:p w14:paraId="73181CD9" w14:textId="77777777" w:rsidR="008E7846" w:rsidRDefault="008E7846" w:rsidP="008E7846">
      <w:pPr>
        <w:pStyle w:val="Heading3"/>
      </w:pPr>
      <w:bookmarkStart w:id="159" w:name="_Toc247691530"/>
      <w:bookmarkStart w:id="160" w:name="_Toc314842513"/>
      <w:bookmarkStart w:id="161" w:name="_Toc482791313"/>
      <w:r>
        <w:t>Clinical</w:t>
      </w:r>
      <w:bookmarkEnd w:id="159"/>
      <w:bookmarkEnd w:id="160"/>
      <w:bookmarkEnd w:id="161"/>
    </w:p>
    <w:p w14:paraId="7F17B90C" w14:textId="77777777" w:rsidR="00BF782B" w:rsidRDefault="00BF782B" w:rsidP="00BF782B">
      <w:pPr>
        <w:pStyle w:val="Heading4"/>
      </w:pPr>
      <w:bookmarkStart w:id="162" w:name="_Toc314842514"/>
      <w:r>
        <w:t>Pharmacology</w:t>
      </w:r>
    </w:p>
    <w:p w14:paraId="4C230A41" w14:textId="77777777" w:rsidR="00790DE0" w:rsidRDefault="00025C15" w:rsidP="00025C15">
      <w:r w:rsidRPr="00025C15">
        <w:t>No PK studies were conducted. During specific immunotherapy plasma concentrations of the active substance are usually not measurable</w:t>
      </w:r>
      <w:r w:rsidR="00790DE0">
        <w:t>.</w:t>
      </w:r>
    </w:p>
    <w:p w14:paraId="774D340E" w14:textId="77777777" w:rsidR="00790DE0" w:rsidRDefault="00025C15" w:rsidP="00025C15">
      <w:r w:rsidRPr="00025C15">
        <w:t>As recommended in the EU guideline</w:t>
      </w:r>
      <w:r w:rsidR="004A2386">
        <w:t xml:space="preserve">, </w:t>
      </w:r>
      <w:r w:rsidR="004A2386">
        <w:rPr>
          <w:rStyle w:val="FootnoteReference"/>
        </w:rPr>
        <w:footnoteReference w:id="35"/>
      </w:r>
      <w:r w:rsidRPr="00025C15">
        <w:t xml:space="preserve"> an alternative to classical PD </w:t>
      </w:r>
      <w:r w:rsidR="004A2386" w:rsidRPr="00025C15">
        <w:t>studies</w:t>
      </w:r>
      <w:r w:rsidRPr="00025C15">
        <w:t xml:space="preserve"> is to evaluate the changes in immunological markers in order to document the effect of treatment on the immune system. Therefore</w:t>
      </w:r>
      <w:r w:rsidR="004A2386">
        <w:t xml:space="preserve"> changes in the </w:t>
      </w:r>
      <w:proofErr w:type="spellStart"/>
      <w:r w:rsidR="004A2386">
        <w:t>D.pte</w:t>
      </w:r>
      <w:proofErr w:type="spellEnd"/>
      <w:r w:rsidR="004A2386">
        <w:t xml:space="preserve"> and </w:t>
      </w:r>
      <w:proofErr w:type="spellStart"/>
      <w:r w:rsidR="004A2386">
        <w:t>D.</w:t>
      </w:r>
      <w:r w:rsidRPr="00025C15">
        <w:t>far</w:t>
      </w:r>
      <w:proofErr w:type="spellEnd"/>
      <w:r w:rsidRPr="00025C15">
        <w:t xml:space="preserve"> specific serum </w:t>
      </w:r>
      <w:proofErr w:type="spellStart"/>
      <w:r w:rsidRPr="00025C15">
        <w:t>IgE</w:t>
      </w:r>
      <w:proofErr w:type="spellEnd"/>
      <w:r w:rsidRPr="00025C15">
        <w:t xml:space="preserve"> and IgG4 were evaluated in the efficacy and safety clinical trials. In addition the cutaneous reactiv</w:t>
      </w:r>
      <w:r w:rsidR="004A2386">
        <w:t xml:space="preserve">ity to allergen solutions of </w:t>
      </w:r>
      <w:proofErr w:type="spellStart"/>
      <w:r w:rsidR="004A2386">
        <w:t>D.pte</w:t>
      </w:r>
      <w:proofErr w:type="spellEnd"/>
      <w:r w:rsidR="004A2386">
        <w:t xml:space="preserve"> and </w:t>
      </w:r>
      <w:proofErr w:type="spellStart"/>
      <w:r w:rsidR="004A2386">
        <w:t>D.</w:t>
      </w:r>
      <w:r w:rsidRPr="00025C15">
        <w:t>far</w:t>
      </w:r>
      <w:proofErr w:type="spellEnd"/>
      <w:r w:rsidRPr="00025C15">
        <w:t xml:space="preserve"> was assessed by </w:t>
      </w:r>
      <w:r w:rsidR="00623677">
        <w:t>SPT</w:t>
      </w:r>
      <w:r w:rsidRPr="00025C15">
        <w:t>. The cutaneous reactiv</w:t>
      </w:r>
      <w:r w:rsidR="004A2386">
        <w:t xml:space="preserve">ity to allergen solutions of </w:t>
      </w:r>
      <w:proofErr w:type="spellStart"/>
      <w:r w:rsidR="004A2386">
        <w:t>D.pte</w:t>
      </w:r>
      <w:proofErr w:type="spellEnd"/>
      <w:r w:rsidR="004A2386">
        <w:t xml:space="preserve"> and </w:t>
      </w:r>
      <w:proofErr w:type="spellStart"/>
      <w:r w:rsidR="004A2386">
        <w:t>D.</w:t>
      </w:r>
      <w:r w:rsidRPr="00025C15">
        <w:t>far</w:t>
      </w:r>
      <w:proofErr w:type="spellEnd"/>
      <w:r w:rsidRPr="00025C15">
        <w:t xml:space="preserve"> is reflected in the diameter of the wheal induced by the SPT and provides evidence of sensitisation to these allergens. In the studies with a treatment period of 6 to 12 months the ratio (end of treatmen</w:t>
      </w:r>
      <w:r w:rsidR="004A2386">
        <w:t xml:space="preserve">t period/baseline) of </w:t>
      </w:r>
      <w:proofErr w:type="spellStart"/>
      <w:r w:rsidR="004A2386">
        <w:t>D.</w:t>
      </w:r>
      <w:r w:rsidRPr="00025C15">
        <w:t>pte</w:t>
      </w:r>
      <w:proofErr w:type="spellEnd"/>
      <w:r w:rsidRPr="00025C15">
        <w:t xml:space="preserve"> and </w:t>
      </w:r>
      <w:proofErr w:type="spellStart"/>
      <w:r w:rsidR="003E4F85">
        <w:t>D.far</w:t>
      </w:r>
      <w:proofErr w:type="spellEnd"/>
      <w:r w:rsidRPr="00025C15">
        <w:t xml:space="preserve"> specific serum </w:t>
      </w:r>
      <w:proofErr w:type="spellStart"/>
      <w:r w:rsidRPr="00025C15">
        <w:t>IgE</w:t>
      </w:r>
      <w:proofErr w:type="spellEnd"/>
      <w:r w:rsidRPr="00025C15">
        <w:t xml:space="preserve"> was generally higher in the active groups then in the placebo groups as shown </w:t>
      </w:r>
      <w:r w:rsidRPr="003138F8">
        <w:t xml:space="preserve">in Table </w:t>
      </w:r>
      <w:r w:rsidR="003138F8" w:rsidRPr="003138F8">
        <w:t>10</w:t>
      </w:r>
      <w:r w:rsidRPr="003138F8">
        <w:t>. Serum</w:t>
      </w:r>
      <w:r w:rsidRPr="00025C15">
        <w:t xml:space="preserve"> IgG4 was consistently higher in the active groups than in the placebo groups as </w:t>
      </w:r>
      <w:r w:rsidRPr="003138F8">
        <w:t xml:space="preserve">shown in Table </w:t>
      </w:r>
      <w:r w:rsidR="003138F8" w:rsidRPr="003138F8">
        <w:t>11</w:t>
      </w:r>
      <w:r w:rsidRPr="003138F8">
        <w:t>. In the</w:t>
      </w:r>
      <w:r w:rsidRPr="00025C15">
        <w:t xml:space="preserve"> longer studies with a treatment periods of 6 to 12 months, the decrease from baseline in mean SPT wheal diameter was larger in the active groups than in the placebo groups, as shown </w:t>
      </w:r>
      <w:r w:rsidRPr="003138F8">
        <w:t xml:space="preserve">in Table </w:t>
      </w:r>
      <w:r w:rsidR="003138F8" w:rsidRPr="003138F8">
        <w:t>12</w:t>
      </w:r>
      <w:r w:rsidRPr="003138F8">
        <w:t>.</w:t>
      </w:r>
      <w:r w:rsidRPr="00025C15">
        <w:t xml:space="preserve"> Conclusions on pharmacodynamics are confounded by inconsistent reporting in the submission. The results tend to suggest immunological activity of the doses of HDM tablets in patients with HDM associated allergic rhinitis</w:t>
      </w:r>
      <w:r w:rsidR="00790DE0">
        <w:t>.</w:t>
      </w:r>
    </w:p>
    <w:p w14:paraId="67D2F21F" w14:textId="77777777" w:rsidR="00DE5CDE" w:rsidRPr="00DE5CDE" w:rsidRDefault="00DE5CDE" w:rsidP="00DE5CDE">
      <w:pPr>
        <w:pStyle w:val="TableTitle"/>
      </w:pPr>
      <w:r w:rsidRPr="003138F8">
        <w:t xml:space="preserve">Table </w:t>
      </w:r>
      <w:r w:rsidR="003138F8" w:rsidRPr="003138F8">
        <w:t>10</w:t>
      </w:r>
      <w:r w:rsidR="003138F8">
        <w:t>:</w:t>
      </w:r>
      <w:r w:rsidRPr="00DE5CDE">
        <w:t xml:space="preserve"> Endpoint/Baseline ratio of the </w:t>
      </w:r>
      <w:r w:rsidRPr="001A3124">
        <w:rPr>
          <w:i/>
        </w:rPr>
        <w:t>D. </w:t>
      </w:r>
      <w:proofErr w:type="spellStart"/>
      <w:r w:rsidRPr="001A3124">
        <w:rPr>
          <w:i/>
        </w:rPr>
        <w:t>pteronyssinus</w:t>
      </w:r>
      <w:proofErr w:type="spellEnd"/>
      <w:r w:rsidRPr="00DE5CDE">
        <w:t xml:space="preserve"> and </w:t>
      </w:r>
      <w:r w:rsidRPr="001A3124">
        <w:rPr>
          <w:i/>
        </w:rPr>
        <w:t>D. </w:t>
      </w:r>
      <w:proofErr w:type="spellStart"/>
      <w:r w:rsidRPr="001A3124">
        <w:rPr>
          <w:i/>
        </w:rPr>
        <w:t>farinae</w:t>
      </w:r>
      <w:proofErr w:type="spellEnd"/>
      <w:r w:rsidRPr="00DE5CDE">
        <w:t xml:space="preserve"> specific serum </w:t>
      </w:r>
      <w:proofErr w:type="spellStart"/>
      <w:r w:rsidRPr="00DE5CDE">
        <w:t>IgE</w:t>
      </w:r>
      <w:proofErr w:type="spellEnd"/>
      <w:r w:rsidRPr="00DE5CDE">
        <w:t xml:space="preserve"> (primary analysis set)</w:t>
      </w:r>
    </w:p>
    <w:p w14:paraId="229F84FA" w14:textId="77777777" w:rsidR="00DE5CDE" w:rsidRDefault="00147C98" w:rsidP="00025C15">
      <w:r>
        <w:rPr>
          <w:noProof/>
          <w:lang w:eastAsia="en-AU"/>
        </w:rPr>
        <w:drawing>
          <wp:inline distT="0" distB="0" distL="0" distR="0" wp14:anchorId="5EF0F018" wp14:editId="5C37A99A">
            <wp:extent cx="5400040" cy="1810975"/>
            <wp:effectExtent l="0" t="0" r="0" b="0"/>
            <wp:docPr id="4" name="Picture 4" descr="Table 10: Endpoint/Baseline ratio of the D. pteronyssinus and D. farinae specific serum IgE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1810975"/>
                    </a:xfrm>
                    <a:prstGeom prst="rect">
                      <a:avLst/>
                    </a:prstGeom>
                  </pic:spPr>
                </pic:pic>
              </a:graphicData>
            </a:graphic>
          </wp:inline>
        </w:drawing>
      </w:r>
    </w:p>
    <w:p w14:paraId="5CBD2C02" w14:textId="77777777" w:rsidR="00147C98" w:rsidRDefault="00147C98" w:rsidP="00147C98">
      <w:pPr>
        <w:pStyle w:val="Tabletitle0"/>
      </w:pPr>
      <w:r w:rsidRPr="003138F8">
        <w:lastRenderedPageBreak/>
        <w:t xml:space="preserve">Table </w:t>
      </w:r>
      <w:r w:rsidR="003138F8" w:rsidRPr="003138F8">
        <w:t>11:</w:t>
      </w:r>
      <w:r w:rsidRPr="00147C98">
        <w:t xml:space="preserve"> </w:t>
      </w:r>
      <w:r>
        <w:t xml:space="preserve">Endpoint/Baseline ratio of the </w:t>
      </w:r>
      <w:r w:rsidRPr="001A3124">
        <w:rPr>
          <w:i/>
        </w:rPr>
        <w:t>D. </w:t>
      </w:r>
      <w:proofErr w:type="spellStart"/>
      <w:r w:rsidRPr="001A3124">
        <w:rPr>
          <w:i/>
        </w:rPr>
        <w:t>pteronyssinus</w:t>
      </w:r>
      <w:proofErr w:type="spellEnd"/>
      <w:r w:rsidRPr="003138F8">
        <w:t xml:space="preserve"> and </w:t>
      </w:r>
      <w:r w:rsidRPr="001A3124">
        <w:rPr>
          <w:i/>
        </w:rPr>
        <w:t>D. </w:t>
      </w:r>
      <w:proofErr w:type="spellStart"/>
      <w:r w:rsidRPr="001A3124">
        <w:rPr>
          <w:i/>
        </w:rPr>
        <w:t>farinae</w:t>
      </w:r>
      <w:proofErr w:type="spellEnd"/>
      <w:r w:rsidRPr="003138F8">
        <w:t xml:space="preserve"> specific</w:t>
      </w:r>
      <w:r>
        <w:t xml:space="preserve"> serum IgG</w:t>
      </w:r>
      <w:r w:rsidRPr="00D2531F">
        <w:rPr>
          <w:vertAlign w:val="subscript"/>
        </w:rPr>
        <w:t>4</w:t>
      </w:r>
      <w:r>
        <w:t xml:space="preserve"> (primary analysis set)</w:t>
      </w:r>
    </w:p>
    <w:p w14:paraId="604E239D" w14:textId="77777777" w:rsidR="00147C98" w:rsidRDefault="00147C98" w:rsidP="00025C15">
      <w:r>
        <w:rPr>
          <w:noProof/>
          <w:lang w:eastAsia="en-AU"/>
        </w:rPr>
        <w:drawing>
          <wp:inline distT="0" distB="0" distL="0" distR="0" wp14:anchorId="5E724D77" wp14:editId="6212A3DF">
            <wp:extent cx="5400040" cy="1786744"/>
            <wp:effectExtent l="0" t="0" r="0" b="4445"/>
            <wp:docPr id="5" name="Picture 5" descr="Table 11: Endpoint/Baseline ratio of the D. pteronyssinus and D. farinae specific serum IgG4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786744"/>
                    </a:xfrm>
                    <a:prstGeom prst="rect">
                      <a:avLst/>
                    </a:prstGeom>
                  </pic:spPr>
                </pic:pic>
              </a:graphicData>
            </a:graphic>
          </wp:inline>
        </w:drawing>
      </w:r>
    </w:p>
    <w:p w14:paraId="30B9248A" w14:textId="77777777" w:rsidR="00147C98" w:rsidRPr="00147C98" w:rsidRDefault="00147C98" w:rsidP="00147C98">
      <w:pPr>
        <w:pStyle w:val="Tabletitle0"/>
      </w:pPr>
      <w:r w:rsidRPr="003138F8">
        <w:t xml:space="preserve">Table </w:t>
      </w:r>
      <w:r w:rsidR="003138F8" w:rsidRPr="003138F8">
        <w:t>12:</w:t>
      </w:r>
      <w:r w:rsidRPr="003138F8">
        <w:t xml:space="preserve"> Endpoint change from Baseline of the SPT </w:t>
      </w:r>
      <w:r w:rsidR="003138F8" w:rsidRPr="003138F8">
        <w:t>wheal d</w:t>
      </w:r>
      <w:r w:rsidRPr="003138F8">
        <w:t>iameter (mm) for the primary period (</w:t>
      </w:r>
      <w:r w:rsidRPr="00147C98">
        <w:t>primary analysis set)</w:t>
      </w:r>
    </w:p>
    <w:p w14:paraId="49BB8831" w14:textId="77777777" w:rsidR="00147C98" w:rsidRDefault="00147C98" w:rsidP="00025C15">
      <w:r>
        <w:rPr>
          <w:noProof/>
          <w:lang w:eastAsia="en-AU"/>
        </w:rPr>
        <w:drawing>
          <wp:inline distT="0" distB="0" distL="0" distR="0" wp14:anchorId="00259375" wp14:editId="3C96A321">
            <wp:extent cx="5400040" cy="1729628"/>
            <wp:effectExtent l="0" t="0" r="0" b="4445"/>
            <wp:docPr id="6" name="Picture 6" descr="Table 12: Endpoint change from Baseline of the SPT wheal diameter (mm) for the primary period (primar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1729628"/>
                    </a:xfrm>
                    <a:prstGeom prst="rect">
                      <a:avLst/>
                    </a:prstGeom>
                  </pic:spPr>
                </pic:pic>
              </a:graphicData>
            </a:graphic>
          </wp:inline>
        </w:drawing>
      </w:r>
    </w:p>
    <w:p w14:paraId="3A649346" w14:textId="77777777" w:rsidR="00846070" w:rsidRDefault="00846070" w:rsidP="004A2386">
      <w:pPr>
        <w:pStyle w:val="Heading4"/>
      </w:pPr>
      <w:r>
        <w:t>Dose selection</w:t>
      </w:r>
    </w:p>
    <w:p w14:paraId="3F72A53E" w14:textId="77777777" w:rsidR="00025C15" w:rsidRPr="00025C15" w:rsidRDefault="00025C15" w:rsidP="00025C15">
      <w:r w:rsidRPr="00025C15">
        <w:t xml:space="preserve">In the Phase </w:t>
      </w:r>
      <w:r w:rsidR="004A2386">
        <w:t>I</w:t>
      </w:r>
      <w:r w:rsidR="005D4253">
        <w:t xml:space="preserve"> S</w:t>
      </w:r>
      <w:r w:rsidRPr="00025C15">
        <w:t xml:space="preserve">tudy V036.04 incremental doses of SLIT with HDM extracts up to 500 IR and immediate repeated high dose administration of SLIT 300 IR and 500 IR was studied. </w:t>
      </w:r>
      <w:r w:rsidR="004A2386">
        <w:t xml:space="preserve">Three out of </w:t>
      </w:r>
      <w:r w:rsidRPr="00025C15">
        <w:t>5 patients included in the immediate 500 IR dose withdrew due to AEs related to treatment indicating that this dose was not considered acceptable. No patients withdrew from the dose escalation to 500 IR suggesting that a longer escalation phase was better tolerated.</w:t>
      </w:r>
    </w:p>
    <w:p w14:paraId="2C3A19EF" w14:textId="77777777" w:rsidR="00025C15" w:rsidRPr="00025C15" w:rsidRDefault="004A2386" w:rsidP="00025C15">
      <w:r>
        <w:t xml:space="preserve">Study V067.10 </w:t>
      </w:r>
      <w:r w:rsidR="00025C15" w:rsidRPr="00025C15">
        <w:t>provided dose finding and pharmacodynamic data. This was a randomised, double blind, placebo controlled, parallel group, multi-centre study conducted in 8 centres in Canada from December 2010 to September 2012 using an environmental exposure chamber model. The primary objective was to assess the e</w:t>
      </w:r>
      <w:r w:rsidR="002A0FA3">
        <w:t>ffect of 100 IR, 300 IR and 500 </w:t>
      </w:r>
      <w:r w:rsidR="00025C15" w:rsidRPr="00025C15">
        <w:t xml:space="preserve">IR sublingual HDM tablets change from baseline of the AUC of the </w:t>
      </w:r>
      <w:r w:rsidRPr="00025C15">
        <w:t xml:space="preserve">rhinitis total symptom score </w:t>
      </w:r>
      <w:r w:rsidR="005D4253">
        <w:t>(</w:t>
      </w:r>
      <w:r w:rsidR="00025C15" w:rsidRPr="00025C15">
        <w:t>(RTSS</w:t>
      </w:r>
      <w:r w:rsidR="005D4253">
        <w:t>)</w:t>
      </w:r>
      <w:r w:rsidR="00025C15" w:rsidRPr="00025C15">
        <w:t xml:space="preserve">: rhinorrhoea, nasal congestion, nasal pruritus, sneezing) during the </w:t>
      </w:r>
      <w:r>
        <w:t xml:space="preserve">4 hours of allergen challenge. </w:t>
      </w:r>
      <w:r w:rsidR="00025C15" w:rsidRPr="00025C15">
        <w:t xml:space="preserve">Male and female outpatients aged 18 to 55 years with a history of HDM related allergic rhinitis for at least 1 year. Diagnosis was confirmed by positive </w:t>
      </w:r>
      <w:r w:rsidR="00623677">
        <w:t>SPT</w:t>
      </w:r>
      <w:r w:rsidR="00025C15" w:rsidRPr="00025C15">
        <w:t xml:space="preserve"> to </w:t>
      </w:r>
      <w:proofErr w:type="spellStart"/>
      <w:r w:rsidR="00025C15" w:rsidRPr="00025C15">
        <w:t>D.</w:t>
      </w:r>
      <w:r>
        <w:t>pte</w:t>
      </w:r>
      <w:proofErr w:type="spellEnd"/>
      <w:r>
        <w:t xml:space="preserve"> and </w:t>
      </w:r>
      <w:proofErr w:type="spellStart"/>
      <w:r>
        <w:t>D.</w:t>
      </w:r>
      <w:r w:rsidR="00025C15" w:rsidRPr="00025C15">
        <w:t>far</w:t>
      </w:r>
      <w:proofErr w:type="spellEnd"/>
      <w:r w:rsidR="00025C15" w:rsidRPr="00025C15">
        <w:t xml:space="preserve"> (wheal diameter &gt;</w:t>
      </w:r>
      <w:r>
        <w:t xml:space="preserve"> </w:t>
      </w:r>
      <w:r w:rsidR="00025C15" w:rsidRPr="00025C15">
        <w:t xml:space="preserve">3 mm) and </w:t>
      </w:r>
      <w:r w:rsidR="005D4253">
        <w:t xml:space="preserve">HDM specific serum </w:t>
      </w:r>
      <w:proofErr w:type="spellStart"/>
      <w:r w:rsidR="005D4253">
        <w:t>IgE</w:t>
      </w:r>
      <w:proofErr w:type="spellEnd"/>
      <w:r w:rsidR="005D4253">
        <w:t> </w:t>
      </w:r>
      <w:r>
        <w:t xml:space="preserve">levels </w:t>
      </w:r>
      <w:r w:rsidR="003E4F85">
        <w:t xml:space="preserve">≥ </w:t>
      </w:r>
      <w:r w:rsidR="00025C15" w:rsidRPr="00025C15">
        <w:t xml:space="preserve">0.7 </w:t>
      </w:r>
      <w:proofErr w:type="spellStart"/>
      <w:r w:rsidR="00025C15" w:rsidRPr="00025C15">
        <w:t>kU</w:t>
      </w:r>
      <w:proofErr w:type="spellEnd"/>
      <w:r w:rsidR="00025C15" w:rsidRPr="00025C15">
        <w:t xml:space="preserve">/L. Patients also to have RTSS </w:t>
      </w:r>
      <w:r w:rsidR="003E4F85">
        <w:t xml:space="preserve">≥ </w:t>
      </w:r>
      <w:r w:rsidR="00025C15" w:rsidRPr="00025C15">
        <w:t>6 at l</w:t>
      </w:r>
      <w:r w:rsidR="003E6762">
        <w:t>east 2 time points during the 4 </w:t>
      </w:r>
      <w:r w:rsidR="00025C15" w:rsidRPr="00025C15">
        <w:t>hour allergen challenge session at the qualifying allergen challenge. Patients were randomised to sublingual tablets of 100 IR, 300 IR and 500 IR or placebo taken sublingually at the same time every day. Patients on the 300 IR and 500 IR doses had an 8 day dose escalation phase starting at 100 IR and in increments of 100 IR. All groups were treated for 6 months with a treatment free period of 6 months. The primary efficacy variable and several secondary variables were derived from the patient self-scoring of nasal (rhinorrhoea, nasal congestion, nasal pruritus, sneezing) and non-nasal symptoms (ocular itching, tearing, ocular redness,</w:t>
      </w:r>
      <w:r>
        <w:t xml:space="preserve"> ear/palate pruritus) using a 4 </w:t>
      </w:r>
      <w:r w:rsidR="00025C15" w:rsidRPr="00025C15">
        <w:t xml:space="preserve">point scale </w:t>
      </w:r>
      <w:r w:rsidR="00025C15" w:rsidRPr="00025C15">
        <w:lastRenderedPageBreak/>
        <w:t>(from</w:t>
      </w:r>
      <w:r w:rsidR="0057009B">
        <w:t> </w:t>
      </w:r>
      <w:r w:rsidR="00025C15" w:rsidRPr="00025C15">
        <w:t>0</w:t>
      </w:r>
      <w:r w:rsidR="0057009B">
        <w:t> </w:t>
      </w:r>
      <w:r w:rsidR="00025C15" w:rsidRPr="00025C15">
        <w:t>=</w:t>
      </w:r>
      <w:r w:rsidR="0057009B">
        <w:t> </w:t>
      </w:r>
      <w:r w:rsidR="00025C15" w:rsidRPr="00025C15">
        <w:t>absent to 3 = severe) during the 4 hours of each allergen challenge.</w:t>
      </w:r>
      <w:r>
        <w:t xml:space="preserve"> </w:t>
      </w:r>
      <w:r w:rsidR="00025C15" w:rsidRPr="00025C15">
        <w:t xml:space="preserve">Change </w:t>
      </w:r>
      <w:r>
        <w:t xml:space="preserve">in RTSS from baseline to the end of </w:t>
      </w:r>
      <w:r w:rsidR="00025C15" w:rsidRPr="00025C15">
        <w:t xml:space="preserve">treatment period is summarised </w:t>
      </w:r>
      <w:r w:rsidR="00025C15" w:rsidRPr="003138F8">
        <w:t xml:space="preserve">in Table </w:t>
      </w:r>
      <w:r w:rsidR="003138F8" w:rsidRPr="003138F8">
        <w:t>13</w:t>
      </w:r>
      <w:r w:rsidR="00025C15" w:rsidRPr="003138F8">
        <w:t>. The 33.</w:t>
      </w:r>
      <w:r w:rsidR="00025C15" w:rsidRPr="00025C15">
        <w:t>2% relative improvement differed significantly between the 500 IR group and the placebo group (p</w:t>
      </w:r>
      <w:r>
        <w:t> </w:t>
      </w:r>
      <w:r w:rsidR="00025C15" w:rsidRPr="00025C15">
        <w:t>=</w:t>
      </w:r>
      <w:r>
        <w:t> </w:t>
      </w:r>
      <w:r w:rsidR="00025C15" w:rsidRPr="00025C15">
        <w:t>0.0427). The difference between the 300 IR and placebo group did not reach statistical significance but there was evidence of a dose effect with relative LS mean difference of 28.8% and 19.8% between the 300 IR and 100 IR groups and placebo, respectively.</w:t>
      </w:r>
    </w:p>
    <w:p w14:paraId="4C01BA91" w14:textId="77777777" w:rsidR="00025C15" w:rsidRDefault="00025C15" w:rsidP="00025C15">
      <w:r w:rsidRPr="00025C15">
        <w:t>In the pivotal efficacy studies 2 doses were tested 300 IR and 500 IR. In the study in children only the 300 IR dose was tested. The 300 IR dose was chosen as the recommended dose as it was the minimum effective dose in the studies a</w:t>
      </w:r>
      <w:r w:rsidR="00846070">
        <w:t>nd had a better safety profile.</w:t>
      </w:r>
    </w:p>
    <w:p w14:paraId="795F3738" w14:textId="77777777" w:rsidR="00147C98" w:rsidRDefault="00147C98" w:rsidP="00147C98">
      <w:pPr>
        <w:pStyle w:val="Tabletitle0"/>
      </w:pPr>
      <w:r w:rsidRPr="003138F8">
        <w:t xml:space="preserve">Table </w:t>
      </w:r>
      <w:r w:rsidR="003138F8" w:rsidRPr="003138F8">
        <w:t>13:</w:t>
      </w:r>
      <w:r w:rsidRPr="003138F8">
        <w:t xml:space="preserve"> Study VO67.10: ANCOVA of the change from baseline to the end-of-</w:t>
      </w:r>
      <w:r w:rsidRPr="000451A7">
        <w:t>treatment period in AUC</w:t>
      </w:r>
      <w:r w:rsidRPr="000451A7">
        <w:rPr>
          <w:vertAlign w:val="subscript"/>
        </w:rPr>
        <w:t>RTSS_0-4h</w:t>
      </w:r>
      <w:r w:rsidRPr="000451A7">
        <w:t xml:space="preserve"> (</w:t>
      </w:r>
      <w:proofErr w:type="spellStart"/>
      <w:r w:rsidRPr="000451A7">
        <w:t>Ch</w:t>
      </w:r>
      <w:r w:rsidRPr="000451A7">
        <w:rPr>
          <w:vertAlign w:val="subscript"/>
        </w:rPr>
        <w:t>BL</w:t>
      </w:r>
      <w:r w:rsidRPr="000451A7">
        <w:t>AUC</w:t>
      </w:r>
      <w:r w:rsidRPr="000451A7">
        <w:rPr>
          <w:vertAlign w:val="subscript"/>
        </w:rPr>
        <w:t>RTSS</w:t>
      </w:r>
      <w:proofErr w:type="spellEnd"/>
      <w:r w:rsidRPr="000451A7">
        <w:rPr>
          <w:vertAlign w:val="subscript"/>
        </w:rPr>
        <w:t xml:space="preserve"> 0-4h</w:t>
      </w:r>
      <w:r w:rsidRPr="000451A7">
        <w:t>)</w:t>
      </w:r>
      <w:r w:rsidR="003138F8">
        <w:t xml:space="preserve">; </w:t>
      </w:r>
      <w:r>
        <w:t>full analysis set</w:t>
      </w:r>
    </w:p>
    <w:p w14:paraId="54D66AC9" w14:textId="77777777" w:rsidR="00147C98" w:rsidRPr="00025C15" w:rsidRDefault="00147C98" w:rsidP="00025C15">
      <w:r>
        <w:rPr>
          <w:noProof/>
          <w:lang w:eastAsia="en-AU"/>
        </w:rPr>
        <w:drawing>
          <wp:inline distT="0" distB="0" distL="0" distR="0" wp14:anchorId="79FD0898" wp14:editId="7B3FB51D">
            <wp:extent cx="5400040" cy="1674243"/>
            <wp:effectExtent l="0" t="0" r="0" b="2540"/>
            <wp:docPr id="7" name="Picture 7" descr="Table 13: Study VO67.10: ANCOVA of the change from baseline to the end-of-treatment period in AUCRTSS_0-4h (ChBLAUCRTSS 0-4h);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1674243"/>
                    </a:xfrm>
                    <a:prstGeom prst="rect">
                      <a:avLst/>
                    </a:prstGeom>
                  </pic:spPr>
                </pic:pic>
              </a:graphicData>
            </a:graphic>
          </wp:inline>
        </w:drawing>
      </w:r>
    </w:p>
    <w:p w14:paraId="40CB7C35" w14:textId="77777777" w:rsidR="004A2386" w:rsidRDefault="00025C15" w:rsidP="004A2386">
      <w:pPr>
        <w:pStyle w:val="Heading4"/>
      </w:pPr>
      <w:r w:rsidRPr="00025C15">
        <w:t>Efficacy</w:t>
      </w:r>
    </w:p>
    <w:p w14:paraId="5968D944" w14:textId="77777777" w:rsidR="004A2386" w:rsidRDefault="004A2386" w:rsidP="004A2386">
      <w:pPr>
        <w:pStyle w:val="Heading5"/>
      </w:pPr>
      <w:r>
        <w:t>Study VO57.07</w:t>
      </w:r>
    </w:p>
    <w:p w14:paraId="2663E1A4" w14:textId="77777777" w:rsidR="00025C15" w:rsidRPr="00025C15" w:rsidRDefault="00025C15" w:rsidP="00025C15">
      <w:r w:rsidRPr="00025C15">
        <w:t xml:space="preserve">Study VO57.07 is described in the </w:t>
      </w:r>
      <w:r w:rsidR="003138F8">
        <w:t xml:space="preserve">clinical evaluation </w:t>
      </w:r>
      <w:r w:rsidR="003138F8" w:rsidRPr="003138F8">
        <w:t>report</w:t>
      </w:r>
      <w:r w:rsidRPr="003138F8">
        <w:t xml:space="preserve"> </w:t>
      </w:r>
      <w:r w:rsidR="003E6762" w:rsidRPr="003138F8">
        <w:t>(see Attachment 2)</w:t>
      </w:r>
      <w:r w:rsidRPr="003138F8">
        <w:t>. Study</w:t>
      </w:r>
      <w:r w:rsidRPr="00025C15">
        <w:t xml:space="preserve"> VO57.07 is a pivotal, randomised, double blind, placebo controlled, multicentre, multinational study of SLIT HDM tablets administered once daily in adult patients with HDM allergic rhinitis.</w:t>
      </w:r>
      <w:r w:rsidR="004A2386">
        <w:t xml:space="preserve"> </w:t>
      </w:r>
      <w:r w:rsidRPr="00025C15">
        <w:t>The study was conducted in 48 centres in 7 European countries from Oct</w:t>
      </w:r>
      <w:r w:rsidR="003E6762">
        <w:t>ober</w:t>
      </w:r>
      <w:r w:rsidRPr="00025C15">
        <w:t xml:space="preserve"> 2007 to </w:t>
      </w:r>
      <w:r w:rsidR="003E6762" w:rsidRPr="00025C15">
        <w:t>Feb</w:t>
      </w:r>
      <w:r w:rsidR="003E6762">
        <w:t>ruary</w:t>
      </w:r>
      <w:r w:rsidRPr="00025C15">
        <w:t xml:space="preserve"> 2010</w:t>
      </w:r>
      <w:r w:rsidR="004A2386">
        <w:t>.</w:t>
      </w:r>
    </w:p>
    <w:p w14:paraId="60D4258C" w14:textId="3D0CCBD3" w:rsidR="00025C15" w:rsidRPr="00025C15" w:rsidRDefault="00025C15" w:rsidP="00025C15">
      <w:r w:rsidRPr="00025C15">
        <w:t xml:space="preserve">The primary objective was to assess efficacy based on </w:t>
      </w:r>
      <w:r w:rsidR="007168BF" w:rsidRPr="00025C15">
        <w:t xml:space="preserve">average adjusted symptom score </w:t>
      </w:r>
      <w:r w:rsidRPr="00025C15">
        <w:t xml:space="preserve">(AASS) during the increased symptom period in autumn (primary period of </w:t>
      </w:r>
      <w:r w:rsidR="003E4F85">
        <w:t>Year</w:t>
      </w:r>
      <w:r w:rsidRPr="00025C15">
        <w:t xml:space="preserve"> 1).</w:t>
      </w:r>
      <w:r w:rsidR="004A2386">
        <w:t xml:space="preserve"> </w:t>
      </w:r>
      <w:r w:rsidRPr="00025C15">
        <w:t>The AASS was derived from the daily (non-missing) Rhinitis Total Symptom Score (RTSS) based on the severity of four rhinitis symptoms (sneezing, rhinorrhoea, nasal pruritus and nasal c</w:t>
      </w:r>
      <w:r w:rsidR="003E6762">
        <w:t xml:space="preserve">ongestion) each graded on </w:t>
      </w:r>
      <w:r w:rsidR="00E33022">
        <w:t xml:space="preserve">a </w:t>
      </w:r>
      <w:r w:rsidR="003E6762">
        <w:t xml:space="preserve">4 </w:t>
      </w:r>
      <w:r w:rsidRPr="00025C15">
        <w:t>point scale and adjusted for the daily</w:t>
      </w:r>
      <w:r w:rsidR="004A2386">
        <w:t xml:space="preserve"> </w:t>
      </w:r>
      <w:r w:rsidRPr="00025C15">
        <w:t>rescue medication usage during the</w:t>
      </w:r>
      <w:r w:rsidR="00846070">
        <w:t xml:space="preserve"> evaluation period.</w:t>
      </w:r>
    </w:p>
    <w:p w14:paraId="45B144F3" w14:textId="08B92E81" w:rsidR="004A2386" w:rsidRDefault="00025C15" w:rsidP="00025C15">
      <w:r w:rsidRPr="00025C15">
        <w:t>The study included healthy male or female (non-childbearing potential) outpatients aged 18 to 50 years (inclusive) with history of HDM related rhinitis for at least 1 year with diagnosis confirmed by positive SPT to HDM with wheal diameter &gt;</w:t>
      </w:r>
      <w:r w:rsidR="003E6762">
        <w:t xml:space="preserve"> </w:t>
      </w:r>
      <w:r w:rsidRPr="00025C15">
        <w:t xml:space="preserve">3 mm and specific </w:t>
      </w:r>
      <w:proofErr w:type="spellStart"/>
      <w:r w:rsidRPr="00025C15">
        <w:t>IgE</w:t>
      </w:r>
      <w:proofErr w:type="spellEnd"/>
      <w:r w:rsidRPr="00025C15">
        <w:t xml:space="preserve"> level of </w:t>
      </w:r>
      <w:r w:rsidR="00595053">
        <w:t>≥</w:t>
      </w:r>
      <w:r w:rsidR="003E6762">
        <w:t xml:space="preserve"> </w:t>
      </w:r>
      <w:r w:rsidRPr="00025C15">
        <w:t xml:space="preserve">0.7 </w:t>
      </w:r>
      <w:proofErr w:type="spellStart"/>
      <w:r w:rsidRPr="00025C15">
        <w:t>kU</w:t>
      </w:r>
      <w:proofErr w:type="spellEnd"/>
      <w:r w:rsidRPr="00025C15">
        <w:t xml:space="preserve">/L and baseline </w:t>
      </w:r>
      <w:r w:rsidR="00C50DDD">
        <w:rPr>
          <w:lang w:val="en-US"/>
        </w:rPr>
        <w:t>average rhinitis total symptom score</w:t>
      </w:r>
      <w:r w:rsidR="00C50DDD" w:rsidRPr="00025C15">
        <w:t xml:space="preserve"> </w:t>
      </w:r>
      <w:r w:rsidR="00C50DDD">
        <w:t>(</w:t>
      </w:r>
      <w:r w:rsidRPr="00025C15">
        <w:t>ARTSS</w:t>
      </w:r>
      <w:r w:rsidR="00C50DDD">
        <w:t>)</w:t>
      </w:r>
      <w:r w:rsidRPr="00025C15">
        <w:t xml:space="preserve"> of </w:t>
      </w:r>
      <w:r w:rsidR="00595053">
        <w:t>≥</w:t>
      </w:r>
      <w:r w:rsidR="003E6762">
        <w:t xml:space="preserve"> </w:t>
      </w:r>
      <w:r w:rsidRPr="00025C15">
        <w:t>5 on a scale ranging from 0 (no symptoms) to 12 (severe symptoms).</w:t>
      </w:r>
    </w:p>
    <w:p w14:paraId="3CAEF6FE" w14:textId="1908A420" w:rsidR="00025C15" w:rsidRPr="00025C15" w:rsidRDefault="00025C15" w:rsidP="00025C15">
      <w:r w:rsidRPr="00025C15">
        <w:t xml:space="preserve">Patients presenting with the following conditions were not included in the study: Asthma requiring treatment other than beta-2 agonists or with </w:t>
      </w:r>
      <w:r w:rsidRPr="00CD75B5">
        <w:t>FEV</w:t>
      </w:r>
      <w:r w:rsidRPr="00CD75B5">
        <w:rPr>
          <w:vertAlign w:val="subscript"/>
        </w:rPr>
        <w:t>1</w:t>
      </w:r>
      <w:r w:rsidR="00CD75B5" w:rsidRPr="00CD75B5">
        <w:rPr>
          <w:rStyle w:val="FootnoteReference"/>
        </w:rPr>
        <w:footnoteReference w:id="36"/>
      </w:r>
      <w:r w:rsidRPr="00025C15">
        <w:t xml:space="preserve"> &lt;</w:t>
      </w:r>
      <w:r w:rsidR="004A2386">
        <w:t xml:space="preserve"> </w:t>
      </w:r>
      <w:r w:rsidRPr="00025C15">
        <w:t>80% of predicted (</w:t>
      </w:r>
      <w:r w:rsidRPr="003E6762">
        <w:t>Note: Patients with Global Initiative for Asthma [GINA] Step</w:t>
      </w:r>
      <w:r w:rsidRPr="00025C15">
        <w:t xml:space="preserve"> 1 asthma were eligible); Patients treated with systemic, nasal or inhaled steroids (whatever the indication) within 4 weeks before Visit 1 or patients treated with long acting systemic steroids within 12 weeks </w:t>
      </w:r>
      <w:r w:rsidRPr="00025C15">
        <w:lastRenderedPageBreak/>
        <w:t>before Visit 1 or Visit 2</w:t>
      </w:r>
      <w:r w:rsidR="00132754">
        <w:t>:</w:t>
      </w:r>
      <w:r w:rsidR="00AF2B54">
        <w:t xml:space="preserve"> </w:t>
      </w:r>
      <w:r w:rsidRPr="00025C15">
        <w:t>Co-sensitisation leading to clinically relevant allergic rhinitis, sinusitis, conjunctivitis or asthma likely to significantly change the symptoms of the patient throughout the study; Patients who had received allergy specific immunotherapy for house dust m</w:t>
      </w:r>
      <w:r w:rsidR="00846070">
        <w:t>ites in the preceding 10 years.</w:t>
      </w:r>
    </w:p>
    <w:p w14:paraId="1F464A83" w14:textId="702806D6" w:rsidR="00025C15" w:rsidRPr="00025C15" w:rsidRDefault="00025C15" w:rsidP="00025C15">
      <w:r w:rsidRPr="00025C15">
        <w:t>Patients were randomised to 1 of the 3 treatment groups, HDM allergen extracts 300 IR,</w:t>
      </w:r>
      <w:r w:rsidR="004A2386">
        <w:t xml:space="preserve"> </w:t>
      </w:r>
      <w:proofErr w:type="gramStart"/>
      <w:r w:rsidRPr="00025C15">
        <w:t>HDM</w:t>
      </w:r>
      <w:proofErr w:type="gramEnd"/>
      <w:r w:rsidRPr="00025C15">
        <w:t xml:space="preserve"> allergen extracts </w:t>
      </w:r>
      <w:r w:rsidR="004A2386">
        <w:t xml:space="preserve">500 IR or placebo. During the 8 </w:t>
      </w:r>
      <w:r w:rsidRPr="00025C15">
        <w:t xml:space="preserve">day Incremental Phase, the dose was escalated from 100 IR to the randomised dose. During the incremental phase patients took 2 sublingual tablets </w:t>
      </w:r>
      <w:r w:rsidR="004A2386">
        <w:t xml:space="preserve">daily. After completion of the Incremental </w:t>
      </w:r>
      <w:r w:rsidR="00CD75B5">
        <w:t>P</w:t>
      </w:r>
      <w:r w:rsidR="00CD75B5" w:rsidRPr="00025C15">
        <w:t>hase,</w:t>
      </w:r>
      <w:r w:rsidRPr="00025C15">
        <w:t xml:space="preserve"> patients took </w:t>
      </w:r>
      <w:r w:rsidR="00AF2B54">
        <w:t xml:space="preserve">one </w:t>
      </w:r>
      <w:r w:rsidRPr="00025C15">
        <w:t xml:space="preserve">tablet daily until the end </w:t>
      </w:r>
      <w:r w:rsidR="004A2386">
        <w:t>of the T</w:t>
      </w:r>
      <w:r w:rsidR="00846070">
        <w:t>reatment Phase (Year1).</w:t>
      </w:r>
    </w:p>
    <w:p w14:paraId="66A54E11" w14:textId="4A9B329B" w:rsidR="00025C15" w:rsidRPr="00025C15" w:rsidRDefault="00CD75B5" w:rsidP="00025C15">
      <w:r>
        <w:t>Allowed rescue medications were</w:t>
      </w:r>
      <w:r w:rsidR="00132754">
        <w:t>:</w:t>
      </w:r>
    </w:p>
    <w:p w14:paraId="6EB0D124" w14:textId="77777777" w:rsidR="00025C15" w:rsidRPr="00025C15" w:rsidRDefault="00025C15" w:rsidP="00846070">
      <w:pPr>
        <w:pStyle w:val="ListBullet"/>
      </w:pPr>
      <w:r w:rsidRPr="00025C15">
        <w:t>Step 1: Antihistamine</w:t>
      </w:r>
      <w:r w:rsidR="004A2386">
        <w:t xml:space="preserve"> (oral form and/or eye drops);</w:t>
      </w:r>
      <w:r w:rsidRPr="00025C15">
        <w:t xml:space="preserve"> (oral: cetirizine 10 mg, </w:t>
      </w:r>
      <w:proofErr w:type="spellStart"/>
      <w:r w:rsidRPr="00025C15">
        <w:t>loratadine</w:t>
      </w:r>
      <w:proofErr w:type="spellEnd"/>
      <w:r w:rsidRPr="00025C15">
        <w:t xml:space="preserve"> 10 mg; eye drops: </w:t>
      </w:r>
      <w:proofErr w:type="spellStart"/>
      <w:r w:rsidRPr="00025C15">
        <w:t>levocabastine</w:t>
      </w:r>
      <w:proofErr w:type="spellEnd"/>
      <w:r w:rsidRPr="00025C15">
        <w:t xml:space="preserve"> 0.5 mg/mL)</w:t>
      </w:r>
    </w:p>
    <w:p w14:paraId="105452A9" w14:textId="77777777" w:rsidR="00025C15" w:rsidRPr="00025C15" w:rsidRDefault="00025C15" w:rsidP="00846070">
      <w:pPr>
        <w:pStyle w:val="ListBullet"/>
      </w:pPr>
      <w:r w:rsidRPr="00025C15">
        <w:t>Step 2: Nasal corticosteroids if the symptoms did not alleviate (</w:t>
      </w:r>
      <w:proofErr w:type="spellStart"/>
      <w:r w:rsidRPr="00025C15">
        <w:t>mometasone</w:t>
      </w:r>
      <w:proofErr w:type="spellEnd"/>
      <w:r w:rsidRPr="00025C15">
        <w:t xml:space="preserve"> 50 </w:t>
      </w:r>
      <w:r w:rsidR="004A2386">
        <w:t>µ</w:t>
      </w:r>
      <w:r w:rsidRPr="00025C15">
        <w:t>g / dose)</w:t>
      </w:r>
    </w:p>
    <w:p w14:paraId="0DF3C52F" w14:textId="77777777" w:rsidR="00025C15" w:rsidRPr="00025C15" w:rsidRDefault="00025C15" w:rsidP="00025C15">
      <w:pPr>
        <w:pStyle w:val="ListBullet"/>
      </w:pPr>
      <w:r w:rsidRPr="00025C15">
        <w:t xml:space="preserve">Step 3: If the patient needed oral corticosteroid (Step 3) to manage the rhinitis, </w:t>
      </w:r>
      <w:r w:rsidR="004A2386">
        <w:t>the patient was to consult the i</w:t>
      </w:r>
      <w:r w:rsidRPr="00025C15">
        <w:t>nvestigator (predn</w:t>
      </w:r>
      <w:r w:rsidR="00846070">
        <w:t>isone 5 mg, prednisolone 5 mg).</w:t>
      </w:r>
    </w:p>
    <w:p w14:paraId="5BE060DB" w14:textId="77777777" w:rsidR="00025C15" w:rsidRPr="00025C15" w:rsidRDefault="00025C15" w:rsidP="00025C15">
      <w:r w:rsidRPr="00025C15">
        <w:t>509 patients were randomised. In the 500</w:t>
      </w:r>
      <w:r w:rsidR="002A0FA3">
        <w:t xml:space="preserve"> </w:t>
      </w:r>
      <w:r w:rsidRPr="00025C15">
        <w:t>IR group 135 of 169 (79.9%) completed month 12, in the 300</w:t>
      </w:r>
      <w:r w:rsidR="002A0FA3">
        <w:t xml:space="preserve"> </w:t>
      </w:r>
      <w:r w:rsidRPr="00025C15">
        <w:t>IR group 139 of 170 (81.8%) completed month 12 and in the placebo group 153 of 170 (90%) completed month 12. In Year 2</w:t>
      </w:r>
      <w:r w:rsidR="004A2386">
        <w:t xml:space="preserve"> </w:t>
      </w:r>
      <w:r w:rsidRPr="00025C15">
        <w:t>in the 500</w:t>
      </w:r>
      <w:r w:rsidR="002A0FA3">
        <w:t xml:space="preserve"> </w:t>
      </w:r>
      <w:r w:rsidRPr="00025C15">
        <w:t>IR group 123 of 135 (91.1%) completed 24 months,</w:t>
      </w:r>
      <w:r w:rsidR="004A2386">
        <w:t xml:space="preserve"> </w:t>
      </w:r>
      <w:r w:rsidRPr="00025C15">
        <w:t>in the 300</w:t>
      </w:r>
      <w:r w:rsidR="002A0FA3">
        <w:t xml:space="preserve"> </w:t>
      </w:r>
      <w:r w:rsidRPr="00025C15">
        <w:t>IR group 133 of 139 (95.7%) completed month 24 and in the placebo group 141 of 153 (92.2%) completed month 24. Adverse events were the most frequent cause for premature discontinuation in the 500 IR and 300 IR groups to 12 months. The number of patients with at least 1 major protocol deviation was si</w:t>
      </w:r>
      <w:r w:rsidR="00846070">
        <w:t>milar in the</w:t>
      </w:r>
      <w:r w:rsidR="004A2386">
        <w:t xml:space="preserve"> </w:t>
      </w:r>
      <w:r w:rsidR="00846070">
        <w:t>treatment groups.</w:t>
      </w:r>
    </w:p>
    <w:p w14:paraId="49F0A805" w14:textId="77777777" w:rsidR="00025C15" w:rsidRPr="00025C15" w:rsidRDefault="00025C15" w:rsidP="00025C15">
      <w:r w:rsidRPr="00025C15">
        <w:t xml:space="preserve">At study entry, demographic characteristics were similar across the </w:t>
      </w:r>
      <w:r w:rsidR="004A2386">
        <w:t>three</w:t>
      </w:r>
      <w:r w:rsidRPr="00025C15">
        <w:t xml:space="preserve"> treatment groups. Patient ages were within the range specified in the inclusion criteria. The population was balanced between men and</w:t>
      </w:r>
      <w:r w:rsidR="00846070">
        <w:t xml:space="preserve"> women and most were Caucasian.</w:t>
      </w:r>
    </w:p>
    <w:p w14:paraId="306AA853" w14:textId="77777777" w:rsidR="00025C15" w:rsidRPr="00025C15" w:rsidRDefault="00025C15" w:rsidP="004A2386">
      <w:pPr>
        <w:pStyle w:val="Heading6"/>
      </w:pPr>
      <w:r w:rsidRPr="00025C15">
        <w:t>Results for the primary efficacy outcome</w:t>
      </w:r>
    </w:p>
    <w:p w14:paraId="06C85032" w14:textId="77777777" w:rsidR="00790DE0" w:rsidRDefault="00025C15" w:rsidP="00025C15">
      <w:r w:rsidRPr="00025C15">
        <w:t xml:space="preserve">Average </w:t>
      </w:r>
      <w:r w:rsidR="007168BF" w:rsidRPr="00025C15">
        <w:t>adjusted symptom score</w:t>
      </w:r>
      <w:r w:rsidR="007168BF">
        <w:t xml:space="preserve"> </w:t>
      </w:r>
      <w:r w:rsidR="004A2386">
        <w:t>(AASS) during the period from 1 October 2008 to 31 </w:t>
      </w:r>
      <w:r w:rsidRPr="00025C15">
        <w:t xml:space="preserve">December 2008 </w:t>
      </w:r>
      <w:r w:rsidRPr="007168BF">
        <w:t xml:space="preserve">assessed </w:t>
      </w:r>
      <w:r w:rsidR="00C50DDD" w:rsidRPr="007168BF">
        <w:t xml:space="preserve">in </w:t>
      </w:r>
      <w:r w:rsidR="00C50DDD">
        <w:rPr>
          <w:lang w:val="en-US"/>
        </w:rPr>
        <w:t>full analysis set Year 1 (</w:t>
      </w:r>
      <w:r w:rsidRPr="007168BF">
        <w:t>FASY1</w:t>
      </w:r>
      <w:r w:rsidR="00C50DDD">
        <w:t>)</w:t>
      </w:r>
      <w:r w:rsidRPr="007168BF">
        <w:t xml:space="preserve"> population</w:t>
      </w:r>
      <w:r w:rsidR="004A2386">
        <w:t xml:space="preserve"> </w:t>
      </w:r>
      <w:r w:rsidRPr="00025C15">
        <w:t xml:space="preserve">is </w:t>
      </w:r>
      <w:r w:rsidRPr="003138F8">
        <w:t xml:space="preserve">summarised </w:t>
      </w:r>
      <w:r w:rsidR="003138F8" w:rsidRPr="003138F8">
        <w:t>in</w:t>
      </w:r>
      <w:r w:rsidRPr="003138F8">
        <w:t xml:space="preserve"> Table </w:t>
      </w:r>
      <w:r w:rsidR="003138F8" w:rsidRPr="003138F8">
        <w:t>14</w:t>
      </w:r>
      <w:r w:rsidRPr="003138F8">
        <w:t>. There was</w:t>
      </w:r>
      <w:r w:rsidRPr="00025C15">
        <w:t xml:space="preserve"> a statistically significant difference in AASS between the 500 IR group and the placebo group (</w:t>
      </w:r>
      <w:r w:rsidR="003E4F85">
        <w:t xml:space="preserve">p = </w:t>
      </w:r>
      <w:r w:rsidRPr="00025C15">
        <w:t>0.0066). The treatment effect was estimated as the difference in LS means of</w:t>
      </w:r>
      <w:r w:rsidR="004A2386">
        <w:t xml:space="preserve"> </w:t>
      </w:r>
      <w:r w:rsidRPr="00025C15">
        <w:t>-0.78 (95% CI [-1.34, -0.22]), corresponding to a relative LS mean difference compared to placebo of -20.2%. There was a statistically significant difference in AASS between the 300 IR group and the placebo group (p</w:t>
      </w:r>
      <w:r w:rsidR="004A2386">
        <w:t xml:space="preserve"> </w:t>
      </w:r>
      <w:r w:rsidRPr="00025C15">
        <w:t>=</w:t>
      </w:r>
      <w:r w:rsidR="004A2386">
        <w:t xml:space="preserve"> </w:t>
      </w:r>
      <w:r w:rsidRPr="00025C15">
        <w:t xml:space="preserve">0.0150) with a difference </w:t>
      </w:r>
      <w:r w:rsidRPr="007168BF">
        <w:t>in LS means</w:t>
      </w:r>
      <w:r w:rsidRPr="00025C15">
        <w:t xml:space="preserve"> of -0.69 (95% CI [-1.25, -0.14]), corresponding to a relative LS mean difference versus placebo of -17.9%. The difference between active treatment groups was not statistically significant (</w:t>
      </w:r>
      <w:r w:rsidR="003E4F85">
        <w:t xml:space="preserve">p = </w:t>
      </w:r>
      <w:r w:rsidRPr="00025C15">
        <w:t>0.7638)</w:t>
      </w:r>
      <w:r w:rsidR="00790DE0">
        <w:t>.</w:t>
      </w:r>
    </w:p>
    <w:p w14:paraId="4DB9520C" w14:textId="77777777" w:rsidR="00147C98" w:rsidRDefault="00147C98" w:rsidP="00147C98">
      <w:pPr>
        <w:pStyle w:val="Tabletitle0"/>
        <w:rPr>
          <w:spacing w:val="1"/>
        </w:rPr>
      </w:pPr>
      <w:r w:rsidRPr="003138F8">
        <w:lastRenderedPageBreak/>
        <w:t xml:space="preserve">Table </w:t>
      </w:r>
      <w:r w:rsidR="003138F8" w:rsidRPr="003138F8">
        <w:t>14</w:t>
      </w:r>
      <w:r w:rsidR="003138F8">
        <w:t>:</w:t>
      </w:r>
      <w:r w:rsidRPr="00147C98">
        <w:t xml:space="preserve"> </w:t>
      </w:r>
      <w:r>
        <w:t xml:space="preserve">Study VO57.07: </w:t>
      </w:r>
      <w:r w:rsidRPr="005B2865">
        <w:t>P</w:t>
      </w:r>
      <w:r w:rsidRPr="005B2865">
        <w:rPr>
          <w:spacing w:val="-1"/>
        </w:rPr>
        <w:t>r</w:t>
      </w:r>
      <w:r w:rsidRPr="005B2865">
        <w:rPr>
          <w:spacing w:val="3"/>
        </w:rPr>
        <w:t>i</w:t>
      </w:r>
      <w:r w:rsidRPr="005B2865">
        <w:rPr>
          <w:spacing w:val="-4"/>
        </w:rPr>
        <w:t>m</w:t>
      </w:r>
      <w:r w:rsidRPr="005B2865">
        <w:rPr>
          <w:spacing w:val="-1"/>
        </w:rPr>
        <w:t>ar</w:t>
      </w:r>
      <w:r w:rsidRPr="005B2865">
        <w:t>y</w:t>
      </w:r>
      <w:r w:rsidRPr="005B2865">
        <w:rPr>
          <w:spacing w:val="2"/>
        </w:rPr>
        <w:t xml:space="preserve"> </w:t>
      </w:r>
      <w:r w:rsidRPr="005B2865">
        <w:rPr>
          <w:spacing w:val="-1"/>
        </w:rPr>
        <w:t>e</w:t>
      </w:r>
      <w:r w:rsidRPr="005B2865">
        <w:t>ffi</w:t>
      </w:r>
      <w:r w:rsidRPr="005B2865">
        <w:rPr>
          <w:spacing w:val="-1"/>
        </w:rPr>
        <w:t>c</w:t>
      </w:r>
      <w:r w:rsidRPr="005B2865">
        <w:rPr>
          <w:spacing w:val="1"/>
        </w:rPr>
        <w:t>a</w:t>
      </w:r>
      <w:r w:rsidRPr="005B2865">
        <w:rPr>
          <w:spacing w:val="-1"/>
        </w:rPr>
        <w:t>c</w:t>
      </w:r>
      <w:r w:rsidRPr="005B2865">
        <w:t>y</w:t>
      </w:r>
      <w:r w:rsidRPr="005B2865">
        <w:rPr>
          <w:spacing w:val="2"/>
        </w:rPr>
        <w:t xml:space="preserve"> </w:t>
      </w:r>
      <w:r w:rsidRPr="005B2865">
        <w:rPr>
          <w:spacing w:val="-1"/>
        </w:rPr>
        <w:t>var</w:t>
      </w:r>
      <w:r w:rsidRPr="005B2865">
        <w:rPr>
          <w:spacing w:val="3"/>
        </w:rPr>
        <w:t>i</w:t>
      </w:r>
      <w:r w:rsidRPr="005B2865">
        <w:rPr>
          <w:spacing w:val="-1"/>
        </w:rPr>
        <w:t>a</w:t>
      </w:r>
      <w:r w:rsidRPr="005B2865">
        <w:rPr>
          <w:spacing w:val="-2"/>
        </w:rPr>
        <w:t>b</w:t>
      </w:r>
      <w:r w:rsidRPr="005B2865">
        <w:t>l</w:t>
      </w:r>
      <w:r w:rsidRPr="005B2865">
        <w:rPr>
          <w:spacing w:val="-1"/>
        </w:rPr>
        <w:t>e</w:t>
      </w:r>
      <w:r w:rsidRPr="005B2865">
        <w:t>:</w:t>
      </w:r>
      <w:r w:rsidRPr="005B2865">
        <w:rPr>
          <w:spacing w:val="1"/>
        </w:rPr>
        <w:t xml:space="preserve"> </w:t>
      </w:r>
      <w:r w:rsidRPr="005B2865">
        <w:t>A</w:t>
      </w:r>
      <w:r w:rsidRPr="005B2865">
        <w:rPr>
          <w:spacing w:val="2"/>
        </w:rPr>
        <w:t>NCO</w:t>
      </w:r>
      <w:r w:rsidRPr="005B2865">
        <w:rPr>
          <w:spacing w:val="-3"/>
        </w:rPr>
        <w:t>V</w:t>
      </w:r>
      <w:r w:rsidRPr="005B2865">
        <w:t xml:space="preserve">A </w:t>
      </w:r>
      <w:r w:rsidRPr="005B2865">
        <w:rPr>
          <w:spacing w:val="-1"/>
        </w:rPr>
        <w:t>o</w:t>
      </w:r>
      <w:r w:rsidRPr="005B2865">
        <w:t>f</w:t>
      </w:r>
      <w:r w:rsidRPr="005B2865">
        <w:rPr>
          <w:spacing w:val="1"/>
        </w:rPr>
        <w:t xml:space="preserve"> </w:t>
      </w:r>
      <w:r w:rsidRPr="005B2865">
        <w:t>AA</w:t>
      </w:r>
      <w:r w:rsidRPr="005B2865">
        <w:rPr>
          <w:spacing w:val="1"/>
        </w:rPr>
        <w:t>S</w:t>
      </w:r>
      <w:r w:rsidRPr="005B2865">
        <w:t>S</w:t>
      </w:r>
      <w:r w:rsidRPr="005B2865">
        <w:rPr>
          <w:spacing w:val="1"/>
        </w:rPr>
        <w:t xml:space="preserve"> </w:t>
      </w:r>
      <w:r w:rsidRPr="005B2865">
        <w:t>f</w:t>
      </w:r>
      <w:r w:rsidRPr="005B2865">
        <w:rPr>
          <w:spacing w:val="-1"/>
        </w:rPr>
        <w:t>o</w:t>
      </w:r>
      <w:r w:rsidRPr="005B2865">
        <w:t>r t</w:t>
      </w:r>
      <w:r w:rsidRPr="005B2865">
        <w:rPr>
          <w:spacing w:val="1"/>
        </w:rPr>
        <w:t>h</w:t>
      </w:r>
      <w:r w:rsidRPr="005B2865">
        <w:t>e Y</w:t>
      </w:r>
      <w:r w:rsidRPr="005B2865">
        <w:rPr>
          <w:spacing w:val="-1"/>
        </w:rPr>
        <w:t>e</w:t>
      </w:r>
      <w:r w:rsidRPr="005B2865">
        <w:rPr>
          <w:spacing w:val="1"/>
        </w:rPr>
        <w:t>a</w:t>
      </w:r>
      <w:r w:rsidRPr="005B2865">
        <w:t>r 1</w:t>
      </w:r>
      <w:r w:rsidRPr="005B2865">
        <w:rPr>
          <w:spacing w:val="2"/>
        </w:rPr>
        <w:t xml:space="preserve"> </w:t>
      </w:r>
      <w:r w:rsidR="003138F8" w:rsidRPr="005B2865">
        <w:t>p</w:t>
      </w:r>
      <w:r w:rsidR="003138F8" w:rsidRPr="005B2865">
        <w:rPr>
          <w:spacing w:val="-1"/>
        </w:rPr>
        <w:t>r</w:t>
      </w:r>
      <w:r w:rsidR="003138F8" w:rsidRPr="005B2865">
        <w:rPr>
          <w:spacing w:val="3"/>
        </w:rPr>
        <w:t>i</w:t>
      </w:r>
      <w:r w:rsidR="003138F8" w:rsidRPr="005B2865">
        <w:rPr>
          <w:spacing w:val="-4"/>
        </w:rPr>
        <w:t>m</w:t>
      </w:r>
      <w:r w:rsidR="003138F8" w:rsidRPr="005B2865">
        <w:rPr>
          <w:spacing w:val="-1"/>
        </w:rPr>
        <w:t>ar</w:t>
      </w:r>
      <w:r w:rsidR="003138F8" w:rsidRPr="005B2865">
        <w:t>y</w:t>
      </w:r>
      <w:r w:rsidR="003138F8" w:rsidRPr="005B2865">
        <w:rPr>
          <w:spacing w:val="2"/>
        </w:rPr>
        <w:t xml:space="preserve"> </w:t>
      </w:r>
      <w:r w:rsidR="003138F8" w:rsidRPr="005B2865">
        <w:t>p</w:t>
      </w:r>
      <w:r w:rsidRPr="005B2865">
        <w:rPr>
          <w:spacing w:val="-1"/>
        </w:rPr>
        <w:t>er</w:t>
      </w:r>
      <w:r w:rsidRPr="005B2865">
        <w:t>i</w:t>
      </w:r>
      <w:r w:rsidRPr="005B2865">
        <w:rPr>
          <w:spacing w:val="1"/>
        </w:rPr>
        <w:t>o</w:t>
      </w:r>
      <w:r w:rsidRPr="005B2865">
        <w:t>d</w:t>
      </w:r>
      <w:r w:rsidRPr="005B2865">
        <w:rPr>
          <w:spacing w:val="-1"/>
        </w:rPr>
        <w:t xml:space="preserve"> </w:t>
      </w:r>
      <w:r w:rsidRPr="005B2865">
        <w:t>-</w:t>
      </w:r>
      <w:r w:rsidRPr="005B2865">
        <w:rPr>
          <w:spacing w:val="2"/>
        </w:rPr>
        <w:t xml:space="preserve"> </w:t>
      </w:r>
      <w:r w:rsidRPr="005B2865">
        <w:t>F</w:t>
      </w:r>
      <w:r w:rsidRPr="00A01BA2">
        <w:rPr>
          <w:spacing w:val="1"/>
        </w:rPr>
        <w:t>A</w:t>
      </w:r>
      <w:r w:rsidRPr="005B2865">
        <w:rPr>
          <w:spacing w:val="1"/>
        </w:rPr>
        <w:t>S</w:t>
      </w:r>
      <w:r w:rsidRPr="00A01BA2">
        <w:rPr>
          <w:spacing w:val="1"/>
        </w:rPr>
        <w:t>Y1</w:t>
      </w:r>
    </w:p>
    <w:p w14:paraId="598D85ED" w14:textId="77777777" w:rsidR="00147C98" w:rsidRPr="00147C98" w:rsidRDefault="00147C98" w:rsidP="00147C98">
      <w:r>
        <w:rPr>
          <w:noProof/>
          <w:lang w:eastAsia="en-AU"/>
        </w:rPr>
        <w:drawing>
          <wp:inline distT="0" distB="0" distL="0" distR="0" wp14:anchorId="56140A27" wp14:editId="59D6544E">
            <wp:extent cx="5400040" cy="2146747"/>
            <wp:effectExtent l="0" t="0" r="0" b="6350"/>
            <wp:docPr id="8" name="Picture 8" descr="Table 14: Study VO57.07: Primary efficacy variable: ANCOVA of AASS for the Year 1 primary period -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146747"/>
                    </a:xfrm>
                    <a:prstGeom prst="rect">
                      <a:avLst/>
                    </a:prstGeom>
                  </pic:spPr>
                </pic:pic>
              </a:graphicData>
            </a:graphic>
          </wp:inline>
        </w:drawing>
      </w:r>
    </w:p>
    <w:p w14:paraId="2557C0B2" w14:textId="77777777" w:rsidR="00025C15" w:rsidRPr="00025C15" w:rsidRDefault="00025C15" w:rsidP="00025C15">
      <w:r w:rsidRPr="00025C15">
        <w:t>The robustness of the primary analysis using FASY1 was demonstrated by the consistency of the sensitivity analysis (</w:t>
      </w:r>
      <w:r w:rsidR="002A0FA3" w:rsidRPr="00025C15">
        <w:t xml:space="preserve">with </w:t>
      </w:r>
      <w:r w:rsidR="002A0FA3">
        <w:t>last observation carried forward</w:t>
      </w:r>
      <w:r w:rsidR="002A0FA3" w:rsidRPr="00025C15">
        <w:t xml:space="preserve"> </w:t>
      </w:r>
      <w:r w:rsidR="002A0FA3">
        <w:t>(</w:t>
      </w:r>
      <w:r w:rsidRPr="00025C15">
        <w:t>LOCF</w:t>
      </w:r>
      <w:r w:rsidR="002A0FA3">
        <w:t>)</w:t>
      </w:r>
      <w:r w:rsidRPr="00025C15">
        <w:t xml:space="preserve"> imputation of missing AASS, use of randomisation factor as covariate and a linear mixed model of AASS measu</w:t>
      </w:r>
      <w:r w:rsidR="00846070">
        <w:t>rements during the first year).</w:t>
      </w:r>
    </w:p>
    <w:p w14:paraId="32884036" w14:textId="77777777" w:rsidR="00025C15" w:rsidRPr="00025C15" w:rsidRDefault="00025C15" w:rsidP="00025C15">
      <w:r w:rsidRPr="004A2386">
        <w:rPr>
          <w:rStyle w:val="Heading6Char"/>
          <w:rFonts w:eastAsia="Cambria"/>
        </w:rPr>
        <w:t>Results for other efficacy outcomes</w:t>
      </w:r>
    </w:p>
    <w:p w14:paraId="30141F66" w14:textId="77777777" w:rsidR="00025C15" w:rsidRPr="00025C15" w:rsidRDefault="00025C15" w:rsidP="004A2386">
      <w:pPr>
        <w:pStyle w:val="ListBullet"/>
      </w:pPr>
      <w:r w:rsidRPr="0057009B">
        <w:t>P</w:t>
      </w:r>
      <w:r w:rsidR="00CD75B5" w:rsidRPr="0057009B">
        <w:t xml:space="preserve">er </w:t>
      </w:r>
      <w:r w:rsidRPr="0057009B">
        <w:t>P</w:t>
      </w:r>
      <w:r w:rsidR="00CD75B5" w:rsidRPr="0057009B">
        <w:t xml:space="preserve">rotocol (PP) </w:t>
      </w:r>
      <w:r w:rsidRPr="0057009B">
        <w:t>populati</w:t>
      </w:r>
      <w:r w:rsidR="00CD75B5" w:rsidRPr="0057009B">
        <w:t>on</w:t>
      </w:r>
      <w:r w:rsidR="00CD75B5">
        <w:t>;</w:t>
      </w:r>
      <w:r w:rsidRPr="00025C15">
        <w:t xml:space="preserve"> primary efficacy outcome</w:t>
      </w:r>
    </w:p>
    <w:p w14:paraId="0F056659" w14:textId="77777777" w:rsidR="00025C15" w:rsidRPr="00025C15" w:rsidRDefault="00025C15" w:rsidP="00025C15">
      <w:r w:rsidRPr="00025C15">
        <w:t xml:space="preserve">For </w:t>
      </w:r>
      <w:proofErr w:type="gramStart"/>
      <w:r w:rsidR="002A0FA3" w:rsidRPr="00025C15">
        <w:t xml:space="preserve">the </w:t>
      </w:r>
      <w:r w:rsidR="0057009B">
        <w:rPr>
          <w:lang w:val="en-US"/>
        </w:rPr>
        <w:t>p</w:t>
      </w:r>
      <w:r w:rsidR="002A0FA3">
        <w:rPr>
          <w:lang w:val="en-US"/>
        </w:rPr>
        <w:t>er</w:t>
      </w:r>
      <w:proofErr w:type="gramEnd"/>
      <w:r w:rsidR="002A0FA3">
        <w:rPr>
          <w:lang w:val="en-US"/>
        </w:rPr>
        <w:t xml:space="preserve"> protocol set Year 1 </w:t>
      </w:r>
      <w:r w:rsidR="002A0FA3" w:rsidRPr="002A0FA3">
        <w:rPr>
          <w:lang w:val="en-US"/>
        </w:rPr>
        <w:t>(</w:t>
      </w:r>
      <w:r w:rsidRPr="002A0FA3">
        <w:t>PPSY1</w:t>
      </w:r>
      <w:r w:rsidR="002A0FA3">
        <w:t>)</w:t>
      </w:r>
      <w:r w:rsidRPr="00025C15">
        <w:t>, there was a statistically significant difference between 300 IR and placebo (p</w:t>
      </w:r>
      <w:r w:rsidR="004A2386">
        <w:t xml:space="preserve"> </w:t>
      </w:r>
      <w:r w:rsidRPr="00025C15">
        <w:t>=</w:t>
      </w:r>
      <w:r w:rsidR="004A2386">
        <w:t xml:space="preserve"> </w:t>
      </w:r>
      <w:r w:rsidRPr="00025C15">
        <w:t xml:space="preserve">0.0468) with a corresponding LS mean difference versus placebo of </w:t>
      </w:r>
      <w:r w:rsidR="009A6197">
        <w:t>-</w:t>
      </w:r>
      <w:r w:rsidRPr="00025C15">
        <w:t>15.9%. The difference between the 500 IR and placebo groups did not reach statistical significance (p</w:t>
      </w:r>
      <w:r w:rsidR="004A2386">
        <w:t> </w:t>
      </w:r>
      <w:r w:rsidRPr="00025C15">
        <w:t>=</w:t>
      </w:r>
      <w:r w:rsidR="004A2386">
        <w:t xml:space="preserve"> </w:t>
      </w:r>
      <w:r w:rsidRPr="00025C15">
        <w:t xml:space="preserve">0.0541). The corresponding LS mean difference versus placebo was </w:t>
      </w:r>
      <w:r w:rsidR="009A6197">
        <w:t>-</w:t>
      </w:r>
      <w:r w:rsidRPr="00025C15">
        <w:t>15.7%. The difference between the 2 active groups was</w:t>
      </w:r>
      <w:r w:rsidR="00846070">
        <w:t xml:space="preserve"> not statistically significant.</w:t>
      </w:r>
    </w:p>
    <w:p w14:paraId="5D341316" w14:textId="77777777" w:rsidR="00025C15" w:rsidRPr="00025C15" w:rsidRDefault="00025C15" w:rsidP="004A2386">
      <w:pPr>
        <w:pStyle w:val="ListBullet"/>
      </w:pPr>
      <w:r w:rsidRPr="00025C15">
        <w:t>Year 1 Complementary Period</w:t>
      </w:r>
    </w:p>
    <w:p w14:paraId="31CD1A05" w14:textId="77777777" w:rsidR="00025C15" w:rsidRPr="00025C15" w:rsidRDefault="00025C15" w:rsidP="00025C15">
      <w:r w:rsidRPr="00025C15">
        <w:t>A complementary analysis was performed using the same model as described for the primary efficacy analysis for the AASS and calculated using the daily record card data for th</w:t>
      </w:r>
      <w:r w:rsidR="004A2386">
        <w:t>e Year 1 Complementary Period (</w:t>
      </w:r>
      <w:r w:rsidRPr="00025C15">
        <w:t>1 Oct</w:t>
      </w:r>
      <w:r w:rsidR="004A2386">
        <w:t>ober</w:t>
      </w:r>
      <w:r w:rsidRPr="00025C15">
        <w:t xml:space="preserve"> 2008 to 30 Nov</w:t>
      </w:r>
      <w:r w:rsidR="004A2386">
        <w:t>ember</w:t>
      </w:r>
      <w:r w:rsidRPr="00025C15">
        <w:t xml:space="preserve"> 2008).</w:t>
      </w:r>
    </w:p>
    <w:p w14:paraId="246C024B" w14:textId="4BBA6423" w:rsidR="00025C15" w:rsidRPr="00025C15" w:rsidRDefault="00025C15" w:rsidP="00025C15">
      <w:r w:rsidRPr="00025C15">
        <w:t>There was a statistically significant difference in AASS for both 500 IR (p</w:t>
      </w:r>
      <w:r w:rsidR="004A2386">
        <w:t xml:space="preserve"> </w:t>
      </w:r>
      <w:r w:rsidRPr="00025C15">
        <w:t>=</w:t>
      </w:r>
      <w:r w:rsidR="004A2386">
        <w:t xml:space="preserve"> </w:t>
      </w:r>
      <w:r w:rsidRPr="00025C15">
        <w:t>0.0059) and 300 IR (p</w:t>
      </w:r>
      <w:r w:rsidR="004A2386">
        <w:t xml:space="preserve"> </w:t>
      </w:r>
      <w:r w:rsidRPr="00025C15">
        <w:t>=</w:t>
      </w:r>
      <w:r w:rsidR="004A2386">
        <w:t xml:space="preserve"> </w:t>
      </w:r>
      <w:r w:rsidRPr="00025C15">
        <w:t xml:space="preserve">0.0212) compared to placebo for the Year 1 Complementary Period in the FASY1. The treatment effect was estimated as the difference in LS means of -0.80 (95% CI [-1.36, -0.23]) for 500 IR and </w:t>
      </w:r>
      <w:r w:rsidR="00CA65C1">
        <w:t>-</w:t>
      </w:r>
      <w:r w:rsidRPr="00025C15">
        <w:t xml:space="preserve">0.66 (95% CI [-1.22, -0.10] for 300 IR, corresponding to a relative LS mean difference versus placebo of -20.5% for 500 IR and </w:t>
      </w:r>
      <w:r w:rsidR="00CA65C1">
        <w:t>-</w:t>
      </w:r>
      <w:r w:rsidRPr="00025C15">
        <w:t>17.0% for 300 IR. The difference between the active treatment groups was not statis</w:t>
      </w:r>
      <w:r w:rsidR="00846070">
        <w:t>tically significant (p</w:t>
      </w:r>
      <w:r w:rsidR="004A2386">
        <w:t> </w:t>
      </w:r>
      <w:r w:rsidR="00846070">
        <w:t>=</w:t>
      </w:r>
      <w:r w:rsidR="004A2386">
        <w:t> </w:t>
      </w:r>
      <w:r w:rsidR="00846070">
        <w:t>0.6409).</w:t>
      </w:r>
    </w:p>
    <w:p w14:paraId="5EA0ADDE" w14:textId="77777777" w:rsidR="00025C15" w:rsidRPr="00025C15" w:rsidRDefault="00025C15" w:rsidP="004A2386">
      <w:pPr>
        <w:pStyle w:val="ListBullet"/>
      </w:pPr>
      <w:r w:rsidRPr="00025C15">
        <w:t xml:space="preserve">Average </w:t>
      </w:r>
      <w:r w:rsidR="007168BF" w:rsidRPr="00025C15">
        <w:t xml:space="preserve">adjusted symptom score </w:t>
      </w:r>
      <w:r w:rsidRPr="00025C15">
        <w:t>(AASS) for the Year 2 period</w:t>
      </w:r>
    </w:p>
    <w:p w14:paraId="553B0772" w14:textId="6963B080" w:rsidR="00025C15" w:rsidRPr="00025C15" w:rsidRDefault="00025C15" w:rsidP="00025C15">
      <w:r w:rsidRPr="00025C15">
        <w:t xml:space="preserve">Efficacy was maintained during </w:t>
      </w:r>
      <w:r w:rsidRPr="004A7CA6">
        <w:t>the t</w:t>
      </w:r>
      <w:r w:rsidR="004A2386" w:rsidRPr="004A7CA6">
        <w:t>reatment free follow up phase</w:t>
      </w:r>
      <w:r w:rsidR="00082BAE" w:rsidRPr="004A7CA6">
        <w:t xml:space="preserve"> </w:t>
      </w:r>
      <w:r w:rsidR="004A7CA6" w:rsidRPr="001A3124">
        <w:t>of approximately 12 months</w:t>
      </w:r>
      <w:r w:rsidRPr="004A7CA6">
        <w:t>.</w:t>
      </w:r>
      <w:r w:rsidRPr="00025C15">
        <w:t xml:space="preserve"> In the Year 2 primary period </w:t>
      </w:r>
      <w:r w:rsidR="00CA65C1">
        <w:t>(</w:t>
      </w:r>
      <w:r w:rsidR="00CA65C1" w:rsidRPr="00025C15">
        <w:t>1</w:t>
      </w:r>
      <w:r w:rsidR="00CA65C1">
        <w:t xml:space="preserve"> </w:t>
      </w:r>
      <w:r w:rsidR="00CA65C1" w:rsidRPr="00025C15">
        <w:t>O</w:t>
      </w:r>
      <w:r w:rsidR="00CA65C1">
        <w:t xml:space="preserve">ctober </w:t>
      </w:r>
      <w:r w:rsidR="00CA65C1" w:rsidRPr="00025C15">
        <w:t>2009 to 31</w:t>
      </w:r>
      <w:r w:rsidR="00CA65C1">
        <w:t> </w:t>
      </w:r>
      <w:r w:rsidR="00CA65C1" w:rsidRPr="00025C15">
        <w:t>D</w:t>
      </w:r>
      <w:r w:rsidR="00CA65C1">
        <w:t xml:space="preserve">ecember </w:t>
      </w:r>
      <w:r w:rsidR="00CA65C1" w:rsidRPr="00025C15">
        <w:t>2009)</w:t>
      </w:r>
      <w:r w:rsidR="00CA65C1">
        <w:t xml:space="preserve"> </w:t>
      </w:r>
      <w:r w:rsidRPr="00025C15">
        <w:t>there was a statistically significant difference compared to placebo in AASS for both 500 IR group (</w:t>
      </w:r>
      <w:r w:rsidR="003E4F85">
        <w:t xml:space="preserve">p = </w:t>
      </w:r>
      <w:r w:rsidRPr="00025C15">
        <w:t>0.0206) and the 300 IR group (</w:t>
      </w:r>
      <w:r w:rsidR="003E4F85">
        <w:t xml:space="preserve">p = </w:t>
      </w:r>
      <w:r w:rsidRPr="00025C15">
        <w:t>0.0342) For the 500 IR group, the treatment effect was estimated as the difference in LS means of -0.70 (95% CI [-1.29, -0.11]), corresponding to a relative LS mean difference compared to placebo of -19.1%. For the 300 IR group, there was a difference in LS means of -0.62 (95% CI [-1.20, -0.05]), corresponding to a relative LS mean difference versus placebo of -17.0%. The difference between the active treatment groups was not statis</w:t>
      </w:r>
      <w:r w:rsidR="00846070">
        <w:t>tically significant (p</w:t>
      </w:r>
      <w:r w:rsidR="004A2386">
        <w:t xml:space="preserve"> </w:t>
      </w:r>
      <w:r w:rsidR="00846070">
        <w:t>=</w:t>
      </w:r>
      <w:r w:rsidR="004A2386">
        <w:t xml:space="preserve"> </w:t>
      </w:r>
      <w:r w:rsidR="00846070">
        <w:t>0.8024).</w:t>
      </w:r>
    </w:p>
    <w:p w14:paraId="54998C89" w14:textId="77777777" w:rsidR="00025C15" w:rsidRPr="00025C15" w:rsidRDefault="00025C15" w:rsidP="004A2386">
      <w:pPr>
        <w:pStyle w:val="ListBullet"/>
      </w:pPr>
      <w:r w:rsidRPr="00025C15">
        <w:t>Average Rescue Medication Score (ARMS)</w:t>
      </w:r>
    </w:p>
    <w:p w14:paraId="21B141BB" w14:textId="77777777" w:rsidR="00025C15" w:rsidRPr="00025C15" w:rsidRDefault="00025C15" w:rsidP="00025C15">
      <w:r w:rsidRPr="00025C15">
        <w:lastRenderedPageBreak/>
        <w:t xml:space="preserve">In both </w:t>
      </w:r>
      <w:r w:rsidR="003E4F85">
        <w:t>Year</w:t>
      </w:r>
      <w:r w:rsidRPr="00025C15">
        <w:t xml:space="preserve"> 1 and </w:t>
      </w:r>
      <w:r w:rsidR="003E4F85">
        <w:t>Year</w:t>
      </w:r>
      <w:r w:rsidRPr="00025C15">
        <w:t xml:space="preserve"> 2, ARMS were modest (LS means of 0.23 and 0.19 in the 500 IR group, 0.33 and 0.22 in the 300 IR group and 0.32 and 0.28 in the placebo group). There were no statistically significant differences between active groups and placebo for both the Yea</w:t>
      </w:r>
      <w:r w:rsidR="00846070">
        <w:t>r 1 and Year 2 Primary Periods.</w:t>
      </w:r>
    </w:p>
    <w:p w14:paraId="2833743C" w14:textId="77777777" w:rsidR="00025C15" w:rsidRPr="00025C15" w:rsidRDefault="003E4F85" w:rsidP="004A2386">
      <w:pPr>
        <w:pStyle w:val="ListBullet"/>
      </w:pPr>
      <w:r>
        <w:t>Average R</w:t>
      </w:r>
      <w:r w:rsidR="00025C15" w:rsidRPr="00025C15">
        <w:t>hinoconjunctivitis Symptom Scores (ARSS)</w:t>
      </w:r>
    </w:p>
    <w:p w14:paraId="58FED858" w14:textId="77777777" w:rsidR="00025C15" w:rsidRPr="00025C15" w:rsidRDefault="00025C15" w:rsidP="00025C15">
      <w:r w:rsidRPr="00025C15">
        <w:t xml:space="preserve">The ARSS for each of the 5 individual symptoms (sneezing, rhinorrhoea, nasal pruritus, nasal congestion, and ocular itching) were consistently lower in the active treatment groups compared to placebo during both the </w:t>
      </w:r>
      <w:r w:rsidR="003E4F85">
        <w:t>Year</w:t>
      </w:r>
      <w:r w:rsidRPr="00025C15">
        <w:t xml:space="preserve"> 1 and </w:t>
      </w:r>
      <w:r w:rsidR="003E4F85">
        <w:t>Year</w:t>
      </w:r>
      <w:r w:rsidRPr="00025C15">
        <w:t xml:space="preserve"> 2 primary period but did not show statistical significance for all symptoms.</w:t>
      </w:r>
    </w:p>
    <w:p w14:paraId="43BE8ACD" w14:textId="77777777" w:rsidR="00025C15" w:rsidRPr="00025C15" w:rsidRDefault="00025C15" w:rsidP="00025C15">
      <w:r w:rsidRPr="00025C15">
        <w:t xml:space="preserve">During the Year 1 Primary Period, the </w:t>
      </w:r>
      <w:r w:rsidR="00C50DDD">
        <w:rPr>
          <w:lang w:val="en-US"/>
        </w:rPr>
        <w:t>analysis of covariance</w:t>
      </w:r>
      <w:r w:rsidR="00C50DDD" w:rsidRPr="00025C15">
        <w:t xml:space="preserve"> </w:t>
      </w:r>
      <w:r w:rsidR="00C50DDD">
        <w:t>(</w:t>
      </w:r>
      <w:r w:rsidRPr="00025C15">
        <w:t>ANCOVAs</w:t>
      </w:r>
      <w:r w:rsidR="00C50DDD">
        <w:t>)</w:t>
      </w:r>
      <w:r w:rsidRPr="00025C15">
        <w:t xml:space="preserve"> of the 5 individual symptom scores showed that there were statistically significant differences for 500 IR versus placebo for sneezing, nasal pruritus and ocular itching and for 300 IR versus placebo for sneezing, nasal pruritus, and nasal congestion. Similar results were observed for the 5 individual symptoms during t</w:t>
      </w:r>
      <w:r w:rsidR="00846070">
        <w:t>he Year 1 Complementary Period.</w:t>
      </w:r>
    </w:p>
    <w:p w14:paraId="7FDFA459" w14:textId="30771197" w:rsidR="00025C15" w:rsidRPr="00025C15" w:rsidRDefault="00025C15" w:rsidP="004A2386">
      <w:pPr>
        <w:pStyle w:val="ListBullet"/>
      </w:pPr>
      <w:r w:rsidRPr="00025C15">
        <w:t>Mean Proportion of Symptom</w:t>
      </w:r>
      <w:r w:rsidR="00941402">
        <w:t xml:space="preserve"> </w:t>
      </w:r>
      <w:r w:rsidRPr="00025C15">
        <w:t>Control</w:t>
      </w:r>
      <w:r w:rsidR="00B60310">
        <w:t>led</w:t>
      </w:r>
      <w:r w:rsidRPr="00025C15">
        <w:t xml:space="preserve"> Days (PSCD)</w:t>
      </w:r>
    </w:p>
    <w:p w14:paraId="41B0EE48" w14:textId="62EAA7B1" w:rsidR="00025C15" w:rsidRPr="00025C15" w:rsidRDefault="007225D6" w:rsidP="00025C15">
      <w:r>
        <w:t xml:space="preserve">Three </w:t>
      </w:r>
      <w:proofErr w:type="gramStart"/>
      <w:r w:rsidR="002A0FA3">
        <w:t>proportion</w:t>
      </w:r>
      <w:proofErr w:type="gramEnd"/>
      <w:r w:rsidR="002A0FA3">
        <w:t xml:space="preserve"> of symptom </w:t>
      </w:r>
      <w:r w:rsidR="002A0FA3" w:rsidRPr="00025C15">
        <w:t xml:space="preserve">controlled days </w:t>
      </w:r>
      <w:r w:rsidR="00025C15" w:rsidRPr="00025C15">
        <w:t>(PSCDs) were defined: PSCD</w:t>
      </w:r>
      <w:r w:rsidR="00025C15" w:rsidRPr="001A3124">
        <w:rPr>
          <w:vertAlign w:val="subscript"/>
        </w:rPr>
        <w:t>0-0</w:t>
      </w:r>
      <w:r w:rsidR="00025C15" w:rsidRPr="00025C15">
        <w:t>, PSCD</w:t>
      </w:r>
      <w:r w:rsidR="00025C15" w:rsidRPr="001A3124">
        <w:rPr>
          <w:vertAlign w:val="subscript"/>
        </w:rPr>
        <w:t>1-0</w:t>
      </w:r>
      <w:r w:rsidR="00025C15" w:rsidRPr="00025C15">
        <w:t xml:space="preserve"> and PSCD</w:t>
      </w:r>
      <w:r w:rsidR="00025C15" w:rsidRPr="001A3124">
        <w:rPr>
          <w:vertAlign w:val="subscript"/>
        </w:rPr>
        <w:t>2-0</w:t>
      </w:r>
      <w:r w:rsidR="00025C15" w:rsidRPr="00025C15">
        <w:t xml:space="preserve"> corresponding to RTSS ≤</w:t>
      </w:r>
      <w:r w:rsidR="004A2386">
        <w:t xml:space="preserve"> </w:t>
      </w:r>
      <w:r w:rsidR="00025C15" w:rsidRPr="00025C15">
        <w:t>0, 1 and 2, respectively, and RMS = 0, and without use of rescue medication. The mean PSCD was consistently higher in the 500 IR and 300 IR groups compared to placebo group during both the Year 1 and Year 2 primary periods. Similar results were observed for the Year 1 an</w:t>
      </w:r>
      <w:r w:rsidR="00846070">
        <w:t>d Year 2 Complementary Periods.</w:t>
      </w:r>
    </w:p>
    <w:p w14:paraId="3BB2150D" w14:textId="77777777" w:rsidR="00025C15" w:rsidRPr="00025C15" w:rsidRDefault="00025C15" w:rsidP="004A2386">
      <w:pPr>
        <w:pStyle w:val="ListBullet"/>
      </w:pPr>
      <w:r w:rsidRPr="00025C15">
        <w:t xml:space="preserve">Patient </w:t>
      </w:r>
      <w:r w:rsidR="002A0FA3" w:rsidRPr="00025C15">
        <w:t>quality of life</w:t>
      </w:r>
    </w:p>
    <w:p w14:paraId="39DE65D8" w14:textId="77777777" w:rsidR="00025C15" w:rsidRPr="00025C15" w:rsidRDefault="00025C15" w:rsidP="00025C15">
      <w:r w:rsidRPr="00025C15">
        <w:t xml:space="preserve">Patient quality of life was assessed using the self-administered </w:t>
      </w:r>
      <w:r w:rsidR="002A0FA3" w:rsidRPr="00025C15">
        <w:t xml:space="preserve">rhinoconjunctivitis quality of life questionnaire </w:t>
      </w:r>
      <w:r w:rsidRPr="00025C15">
        <w:t xml:space="preserve">(RQLQ). At endpoint of Year 1, the difference in overall RQLQ score between the 500 IR and placebo groups was not statistically significantly (difference in LS means: -0.15, 95%CI [-0.37, 0.06], </w:t>
      </w:r>
      <w:r w:rsidR="003E4F85">
        <w:t xml:space="preserve">p = </w:t>
      </w:r>
      <w:r w:rsidRPr="00025C15">
        <w:t>0.1666. Although not a pre-specified outcome variable</w:t>
      </w:r>
      <w:r w:rsidR="002A0FA3">
        <w:t>,</w:t>
      </w:r>
      <w:r w:rsidRPr="00025C15">
        <w:t xml:space="preserve"> there were some statistically significant differences in the individual domains (nasal symptoms and emotional). There was a statistically significant difference between the 300 IR and placebo group for all domains. At the end of Year 2, there was a no statistically significant difference between the active treatment groups and placebo either ov</w:t>
      </w:r>
      <w:r w:rsidR="00846070">
        <w:t>erall or for individual domains</w:t>
      </w:r>
    </w:p>
    <w:p w14:paraId="23F5EC4F" w14:textId="22F92955" w:rsidR="00025C15" w:rsidRPr="00025C15" w:rsidRDefault="00623677" w:rsidP="00025C15">
      <w:r>
        <w:rPr>
          <w:lang w:val="en-US"/>
        </w:rPr>
        <w:t xml:space="preserve">Skin prick </w:t>
      </w:r>
      <w:r w:rsidRPr="00623677">
        <w:rPr>
          <w:lang w:val="en-US"/>
        </w:rPr>
        <w:t>tests</w:t>
      </w:r>
      <w:r w:rsidRPr="00623677">
        <w:t xml:space="preserve"> (</w:t>
      </w:r>
      <w:r w:rsidR="00025C15" w:rsidRPr="00623677">
        <w:t>SPTs</w:t>
      </w:r>
      <w:r w:rsidRPr="00623677">
        <w:t>)</w:t>
      </w:r>
      <w:r w:rsidR="00025C15" w:rsidRPr="00623677">
        <w:t xml:space="preserve"> were</w:t>
      </w:r>
      <w:r w:rsidR="00025C15" w:rsidRPr="00025C15">
        <w:t xml:space="preserve"> performed at Visit 1 (Screening) or Visit 2 (Month 0), Visit 9 (Month 12) and Visit 14 (Month 24). A SPT was considered ‘Positive’ when the wheal diameter was &gt; 3 mm. For </w:t>
      </w:r>
      <w:r w:rsidR="003E4F85">
        <w:t>Year</w:t>
      </w:r>
      <w:r w:rsidR="00025C15" w:rsidRPr="00025C15">
        <w:t xml:space="preserve"> 1 at endpoint, the mean w</w:t>
      </w:r>
      <w:r w:rsidR="002C7BF9">
        <w:t>h</w:t>
      </w:r>
      <w:r w:rsidR="00025C15" w:rsidRPr="00025C15">
        <w:t>eal d</w:t>
      </w:r>
      <w:r w:rsidR="00553882">
        <w:t xml:space="preserve">iameters after SPT with both </w:t>
      </w:r>
      <w:proofErr w:type="spellStart"/>
      <w:r w:rsidR="00553882">
        <w:t>D.pte</w:t>
      </w:r>
      <w:proofErr w:type="spellEnd"/>
      <w:r w:rsidR="00553882">
        <w:t xml:space="preserve"> and </w:t>
      </w:r>
      <w:proofErr w:type="spellStart"/>
      <w:r w:rsidR="00553882">
        <w:t>D.</w:t>
      </w:r>
      <w:r w:rsidR="00025C15" w:rsidRPr="00025C15">
        <w:t>far</w:t>
      </w:r>
      <w:proofErr w:type="spellEnd"/>
      <w:r w:rsidR="00025C15" w:rsidRPr="00025C15">
        <w:t xml:space="preserve"> for patient</w:t>
      </w:r>
      <w:r w:rsidR="002C7BF9">
        <w:t>s</w:t>
      </w:r>
      <w:r w:rsidR="00025C15" w:rsidRPr="00025C15">
        <w:t xml:space="preserve"> in the actively treated groups were statistically significantly smaller than those of patients in the placebo group. These differences were maintained for Year 2 for both active groups </w:t>
      </w:r>
      <w:r w:rsidR="00553882">
        <w:t xml:space="preserve">compared to placebo for both </w:t>
      </w:r>
      <w:proofErr w:type="spellStart"/>
      <w:r w:rsidR="00553882">
        <w:t>D.pte</w:t>
      </w:r>
      <w:proofErr w:type="spellEnd"/>
      <w:r w:rsidR="00553882">
        <w:t xml:space="preserve"> and </w:t>
      </w:r>
      <w:proofErr w:type="spellStart"/>
      <w:r w:rsidR="00553882">
        <w:t>D.</w:t>
      </w:r>
      <w:r w:rsidR="00025C15" w:rsidRPr="00025C15">
        <w:t>far</w:t>
      </w:r>
      <w:proofErr w:type="spellEnd"/>
      <w:r w:rsidR="00025C15" w:rsidRPr="00025C15">
        <w:t>.</w:t>
      </w:r>
    </w:p>
    <w:p w14:paraId="2C774833" w14:textId="77777777" w:rsidR="00025C15" w:rsidRPr="00025C15" w:rsidRDefault="00025C15" w:rsidP="00025C15">
      <w:r w:rsidRPr="00025C15">
        <w:t>HDM-specific serum IgG4 increased in both active treatment groups between Visit 1 and Visit 9 (Month 12) and remained elevated at Visit 14 (</w:t>
      </w:r>
      <w:r w:rsidR="00553882">
        <w:t>that is</w:t>
      </w:r>
      <w:r w:rsidRPr="00025C15">
        <w:t xml:space="preserve">, 1 </w:t>
      </w:r>
      <w:r w:rsidR="003E4F85">
        <w:t>Year</w:t>
      </w:r>
      <w:r w:rsidRPr="00025C15">
        <w:t xml:space="preserve"> post-treatment). In the placebo group, levels of </w:t>
      </w:r>
      <w:proofErr w:type="spellStart"/>
      <w:r w:rsidR="003E4F85">
        <w:t>D.far</w:t>
      </w:r>
      <w:proofErr w:type="spellEnd"/>
      <w:r w:rsidRPr="00025C15">
        <w:t>-specific serum IgG4 were mo</w:t>
      </w:r>
      <w:r w:rsidR="00553882">
        <w:t xml:space="preserve">destly elevated and those of </w:t>
      </w:r>
      <w:proofErr w:type="spellStart"/>
      <w:r w:rsidR="00553882">
        <w:t>D.</w:t>
      </w:r>
      <w:r w:rsidRPr="00025C15">
        <w:t>pte</w:t>
      </w:r>
      <w:proofErr w:type="spellEnd"/>
      <w:r w:rsidRPr="00025C15">
        <w:t xml:space="preserve"> were essentially unchan</w:t>
      </w:r>
      <w:r w:rsidR="00CD75B5">
        <w:t xml:space="preserve">ged. Over the study period, HDM </w:t>
      </w:r>
      <w:r w:rsidRPr="00025C15">
        <w:t xml:space="preserve">specific serum </w:t>
      </w:r>
      <w:proofErr w:type="spellStart"/>
      <w:r w:rsidRPr="00025C15">
        <w:t>IgE</w:t>
      </w:r>
      <w:proofErr w:type="spellEnd"/>
      <w:r w:rsidRPr="00025C15">
        <w:t xml:space="preserve"> was little changed across the 3 treatment groups.</w:t>
      </w:r>
    </w:p>
    <w:p w14:paraId="77199A86" w14:textId="77777777" w:rsidR="00553882" w:rsidRDefault="00553882" w:rsidP="00553882">
      <w:pPr>
        <w:pStyle w:val="Heading5"/>
      </w:pPr>
      <w:r w:rsidRPr="00025C15">
        <w:t>Study 1207D1731</w:t>
      </w:r>
    </w:p>
    <w:p w14:paraId="2C4A0A41" w14:textId="5F302956" w:rsidR="00025C15" w:rsidRPr="00025C15" w:rsidRDefault="00025C15" w:rsidP="00025C15">
      <w:r w:rsidRPr="00025C15">
        <w:t xml:space="preserve">Study 1207D1731 is described </w:t>
      </w:r>
      <w:r w:rsidRPr="00C50DDD">
        <w:t xml:space="preserve">in the </w:t>
      </w:r>
      <w:r w:rsidR="00C50DDD" w:rsidRPr="00C50DDD">
        <w:t>clinical evaluation report</w:t>
      </w:r>
      <w:r w:rsidR="00C50DDD">
        <w:t xml:space="preserve"> (</w:t>
      </w:r>
      <w:r w:rsidR="00C50DDD" w:rsidRPr="00C50DDD">
        <w:t>see Attachment 2)</w:t>
      </w:r>
      <w:r w:rsidRPr="00C50DDD">
        <w:t>.</w:t>
      </w:r>
      <w:r w:rsidRPr="00025C15">
        <w:t xml:space="preserve"> Study 1207D1731</w:t>
      </w:r>
      <w:r w:rsidR="00E33022">
        <w:t xml:space="preserve"> </w:t>
      </w:r>
      <w:r w:rsidRPr="00025C15">
        <w:t>is a randomised, double blind, placebo controlled, multicentre, of SLIT HDM tablets administered once daily in adolescent and adult patients with HDM perennial allergic rhinitis. The study was conducted at 50 centres in Japan from Oct</w:t>
      </w:r>
      <w:r w:rsidR="00553882">
        <w:t>ober</w:t>
      </w:r>
      <w:r w:rsidRPr="00025C15">
        <w:t xml:space="preserve"> 2012 to Dec</w:t>
      </w:r>
      <w:r w:rsidR="00553882">
        <w:t>ember</w:t>
      </w:r>
      <w:r w:rsidRPr="00025C15">
        <w:t xml:space="preserve"> 2013. An English translation of the Japa</w:t>
      </w:r>
      <w:r w:rsidR="003C2457">
        <w:t>nese study report was provided.</w:t>
      </w:r>
    </w:p>
    <w:p w14:paraId="2F7837F4" w14:textId="277B9214" w:rsidR="00025C15" w:rsidRPr="00025C15" w:rsidRDefault="00025C15" w:rsidP="00025C15">
      <w:r w:rsidRPr="00025C15">
        <w:lastRenderedPageBreak/>
        <w:t xml:space="preserve">The primary objective was to evaluate the efficacy of S-524101 [HDM extract] in comparison to placebo. The primary efficacy outcome was the Average Adjusted Symptom </w:t>
      </w:r>
      <w:r w:rsidRPr="004016C9">
        <w:t xml:space="preserve">Score </w:t>
      </w:r>
      <w:r w:rsidRPr="005A71A2">
        <w:t>(AASS</w:t>
      </w:r>
      <w:r w:rsidR="00E33022" w:rsidRPr="004016C9">
        <w:t>,</w:t>
      </w:r>
      <w:r w:rsidRPr="004016C9">
        <w:t>)</w:t>
      </w:r>
      <w:r w:rsidRPr="00025C15">
        <w:t xml:space="preserve"> during the last </w:t>
      </w:r>
      <w:r w:rsidR="003C2457">
        <w:t>8 weeks of the treatment phase.</w:t>
      </w:r>
    </w:p>
    <w:p w14:paraId="32076B66" w14:textId="77777777" w:rsidR="00025C15" w:rsidRPr="00025C15" w:rsidRDefault="00025C15" w:rsidP="00025C15">
      <w:r w:rsidRPr="00025C15">
        <w:t>The study included healthy male or female patients aged between 12 and 65 years with at least 2 years of allergic rhinitis symptoms</w:t>
      </w:r>
      <w:r w:rsidR="004A2386">
        <w:t xml:space="preserve"> </w:t>
      </w:r>
      <w:r w:rsidRPr="00025C15">
        <w:t xml:space="preserve">and a score of 2 or higher on a quantitative </w:t>
      </w:r>
      <w:proofErr w:type="spellStart"/>
      <w:r w:rsidRPr="00025C15">
        <w:t>IgE</w:t>
      </w:r>
      <w:proofErr w:type="spellEnd"/>
      <w:r w:rsidRPr="00025C15">
        <w:t xml:space="preserve"> (CAP-RAST) specifi</w:t>
      </w:r>
      <w:r w:rsidR="00553882">
        <w:t xml:space="preserve">c to </w:t>
      </w:r>
      <w:proofErr w:type="spellStart"/>
      <w:r w:rsidR="00553882">
        <w:t>D.pte</w:t>
      </w:r>
      <w:proofErr w:type="spellEnd"/>
      <w:r w:rsidR="00553882">
        <w:t xml:space="preserve"> and/or </w:t>
      </w:r>
      <w:proofErr w:type="spellStart"/>
      <w:r w:rsidR="00553882">
        <w:t>D.</w:t>
      </w:r>
      <w:r w:rsidRPr="00025C15">
        <w:t>far</w:t>
      </w:r>
      <w:proofErr w:type="spellEnd"/>
      <w:r w:rsidRPr="00025C15">
        <w:t xml:space="preserve"> antigens performed at screening and with a positive nasal provocation test using an allergen disc for house dust. At enrolment patients had to have an ARTSS (sneezing, rhinorrhoea, nasal congest</w:t>
      </w:r>
      <w:r w:rsidR="00553882">
        <w:t xml:space="preserve">ion and nasal pruritus, range 0 to </w:t>
      </w:r>
      <w:r w:rsidRPr="00025C15">
        <w:t xml:space="preserve">15) of </w:t>
      </w:r>
      <w:r w:rsidR="003E4F85">
        <w:t xml:space="preserve">≥ </w:t>
      </w:r>
      <w:r w:rsidRPr="00025C15">
        <w:t>6/day for 7 days.</w:t>
      </w:r>
    </w:p>
    <w:p w14:paraId="61B00723" w14:textId="70BBECCB" w:rsidR="00025C15" w:rsidRPr="00025C15" w:rsidRDefault="00025C15" w:rsidP="00025C15">
      <w:r w:rsidRPr="00025C15">
        <w:t>Patients were randomised to 1 of the 3 treatment groups: 300 IR group, 500 IR group, and placebo group. The treatment period was 52 weeks. 2 tablets were administered once daily in the 8 day dose escalation period and 1 tablet was administered daily in the maintenance period.</w:t>
      </w:r>
    </w:p>
    <w:p w14:paraId="390EB6D0" w14:textId="77777777" w:rsidR="00025C15" w:rsidRPr="00025C15" w:rsidRDefault="00025C15" w:rsidP="00025C15">
      <w:r w:rsidRPr="00025C15">
        <w:t>Rescue medic</w:t>
      </w:r>
      <w:r w:rsidR="00553882">
        <w:t xml:space="preserve">ation was used in the same step </w:t>
      </w:r>
      <w:r w:rsidRPr="00025C15">
        <w:t>wise fashion as for study VO57.07. The allowed medications were:</w:t>
      </w:r>
      <w:r w:rsidR="004A2386">
        <w:t xml:space="preserve"> </w:t>
      </w:r>
      <w:r w:rsidRPr="00025C15">
        <w:t xml:space="preserve">Oral antihistamine: Allegra; </w:t>
      </w:r>
      <w:r w:rsidR="00553882">
        <w:t xml:space="preserve">Antihistamine eye drop: </w:t>
      </w:r>
      <w:proofErr w:type="spellStart"/>
      <w:r w:rsidR="00553882">
        <w:t>Patanol</w:t>
      </w:r>
      <w:proofErr w:type="spellEnd"/>
      <w:r w:rsidRPr="00025C15">
        <w:t xml:space="preserve">; Nasal corticosteroid: </w:t>
      </w:r>
      <w:proofErr w:type="spellStart"/>
      <w:r w:rsidRPr="00025C15">
        <w:t>Aldecin</w:t>
      </w:r>
      <w:proofErr w:type="spellEnd"/>
      <w:r w:rsidRPr="00025C15">
        <w:t xml:space="preserve"> AQ Nasal.</w:t>
      </w:r>
    </w:p>
    <w:p w14:paraId="04880F06" w14:textId="77777777" w:rsidR="00790DE0" w:rsidRDefault="00025C15" w:rsidP="00025C15">
      <w:r w:rsidRPr="00025C15">
        <w:t>A total of 968 patients were randomised. In the 300</w:t>
      </w:r>
      <w:r w:rsidR="002A0FA3">
        <w:t xml:space="preserve"> </w:t>
      </w:r>
      <w:r w:rsidRPr="00025C15">
        <w:t>IR group</w:t>
      </w:r>
      <w:r w:rsidR="00553882">
        <w:t>;</w:t>
      </w:r>
      <w:r w:rsidRPr="00025C15">
        <w:t xml:space="preserve"> 287 of 322 patients completed 52 </w:t>
      </w:r>
      <w:r w:rsidR="00FC57BF" w:rsidRPr="00025C15">
        <w:t>weeks</w:t>
      </w:r>
      <w:r w:rsidRPr="00025C15">
        <w:t>,</w:t>
      </w:r>
      <w:r w:rsidR="004A2386">
        <w:t xml:space="preserve"> </w:t>
      </w:r>
      <w:r w:rsidRPr="00025C15">
        <w:t>in the 500 IR group</w:t>
      </w:r>
      <w:r w:rsidR="00553882">
        <w:t>;</w:t>
      </w:r>
      <w:r w:rsidRPr="00025C15">
        <w:t xml:space="preserve"> 274 of 323 patients and in the placebo group</w:t>
      </w:r>
      <w:r w:rsidR="00553882">
        <w:t>;</w:t>
      </w:r>
      <w:r w:rsidRPr="00025C15">
        <w:t xml:space="preserve"> </w:t>
      </w:r>
      <w:r w:rsidR="003C2457">
        <w:t>292 of 323 patients completed</w:t>
      </w:r>
      <w:r w:rsidR="0001147D">
        <w:t xml:space="preserve"> the study</w:t>
      </w:r>
      <w:r w:rsidR="00790DE0">
        <w:t>.</w:t>
      </w:r>
    </w:p>
    <w:p w14:paraId="72B51B44" w14:textId="77777777" w:rsidR="00025C15" w:rsidRPr="00025C15" w:rsidRDefault="00025C15" w:rsidP="00025C15">
      <w:r w:rsidRPr="00025C15">
        <w:t xml:space="preserve">The baseline demographic data was balanced between the treatment groups. The average age was about 30 ± 11 years; </w:t>
      </w:r>
      <w:r w:rsidR="00553882">
        <w:t xml:space="preserve">approximately </w:t>
      </w:r>
      <w:r w:rsidRPr="00025C15">
        <w:t>55% female and 45% male</w:t>
      </w:r>
      <w:r w:rsidR="003C2457">
        <w:t>; with mean BMI about 21 kg/m</w:t>
      </w:r>
      <w:r w:rsidR="003C2457" w:rsidRPr="00553882">
        <w:rPr>
          <w:vertAlign w:val="superscript"/>
        </w:rPr>
        <w:t>2</w:t>
      </w:r>
      <w:r w:rsidR="003C2457">
        <w:t>.</w:t>
      </w:r>
    </w:p>
    <w:p w14:paraId="28E3E17C" w14:textId="77777777" w:rsidR="00025C15" w:rsidRPr="00025C15" w:rsidRDefault="00025C15" w:rsidP="00553882">
      <w:pPr>
        <w:pStyle w:val="Heading6"/>
      </w:pPr>
      <w:r w:rsidRPr="00025C15">
        <w:t>Results for the primary efficacy outcome</w:t>
      </w:r>
    </w:p>
    <w:p w14:paraId="494E2D89" w14:textId="77777777" w:rsidR="00025C15" w:rsidRDefault="007168BF" w:rsidP="00025C15">
      <w:r>
        <w:t>AASS</w:t>
      </w:r>
      <w:r w:rsidR="0001147D">
        <w:t xml:space="preserve"> during the last 8 weeks (Week 44 to W</w:t>
      </w:r>
      <w:r w:rsidR="00025C15" w:rsidRPr="00025C15">
        <w:t xml:space="preserve">eek 52) </w:t>
      </w:r>
      <w:r w:rsidR="00025C15" w:rsidRPr="003138F8">
        <w:t xml:space="preserve">are summarised in Table </w:t>
      </w:r>
      <w:r w:rsidR="003138F8" w:rsidRPr="003138F8">
        <w:t>15</w:t>
      </w:r>
      <w:r w:rsidR="00025C15" w:rsidRPr="003138F8">
        <w:t>.</w:t>
      </w:r>
      <w:r w:rsidR="00553882" w:rsidRPr="003138F8">
        <w:t xml:space="preserve"> The</w:t>
      </w:r>
      <w:r w:rsidR="00553882">
        <w:t xml:space="preserve"> least </w:t>
      </w:r>
      <w:r w:rsidR="00025C15" w:rsidRPr="00025C15">
        <w:t xml:space="preserve">squares mean of the AASS was 5.00 in the 300 IR group, 5.32 in the 500 IR group, and 6.11 in the placebo group. The differences between </w:t>
      </w:r>
      <w:r w:rsidR="00025C15" w:rsidRPr="003138F8">
        <w:t>each S-524101</w:t>
      </w:r>
      <w:r w:rsidR="003138F8">
        <w:t xml:space="preserve"> </w:t>
      </w:r>
      <w:r w:rsidR="003138F8" w:rsidRPr="003138F8">
        <w:t xml:space="preserve">(HDM extract) </w:t>
      </w:r>
      <w:r w:rsidR="00025C15" w:rsidRPr="003138F8">
        <w:t>group and the placebo group were -1.11 for the 300 IR</w:t>
      </w:r>
      <w:r w:rsidR="00025C15" w:rsidRPr="00025C15">
        <w:t xml:space="preserve"> group and -0.80 for the 500 IR group. The differences versus the placebo group were statistically significant for both active groups (</w:t>
      </w:r>
      <w:r w:rsidR="00553882">
        <w:t>p</w:t>
      </w:r>
      <w:r w:rsidR="00025C15" w:rsidRPr="00025C15">
        <w:t xml:space="preserve"> &lt;</w:t>
      </w:r>
      <w:r w:rsidR="00553882">
        <w:t xml:space="preserve"> </w:t>
      </w:r>
      <w:r w:rsidR="00025C15" w:rsidRPr="00025C15">
        <w:t>0.0001 for both groups). The relative LS mean differences in the AASS versus placebo were</w:t>
      </w:r>
      <w:r w:rsidR="004A2386">
        <w:t xml:space="preserve"> </w:t>
      </w:r>
      <w:r w:rsidR="00025C15" w:rsidRPr="00025C15">
        <w:t>-18.2% for the 300 IR group and</w:t>
      </w:r>
      <w:r w:rsidR="003C2457">
        <w:t xml:space="preserve"> -13.1% for the 500 IR group.</w:t>
      </w:r>
    </w:p>
    <w:p w14:paraId="5735B24A" w14:textId="77777777" w:rsidR="00147C98" w:rsidRPr="00147C98" w:rsidRDefault="00147C98" w:rsidP="00147C98">
      <w:pPr>
        <w:pStyle w:val="Tabletitle0"/>
      </w:pPr>
      <w:r w:rsidRPr="003138F8">
        <w:t xml:space="preserve">Table </w:t>
      </w:r>
      <w:r w:rsidR="003138F8" w:rsidRPr="003138F8">
        <w:t>1</w:t>
      </w:r>
      <w:r w:rsidR="003138F8">
        <w:t>5:</w:t>
      </w:r>
      <w:r w:rsidRPr="00147C98">
        <w:t xml:space="preserve"> Study 1207D1731: Average </w:t>
      </w:r>
      <w:r w:rsidR="003138F8" w:rsidRPr="003138F8">
        <w:t>adjusted symptom score</w:t>
      </w:r>
      <w:r w:rsidR="003138F8" w:rsidRPr="00147C98">
        <w:t xml:space="preserve"> </w:t>
      </w:r>
      <w:r w:rsidRPr="00147C98">
        <w:t>during the last 8 weeks (Week 44 to Week 52) (</w:t>
      </w:r>
      <w:r w:rsidR="002A0FA3">
        <w:t>mixed effects model for repeated measures</w:t>
      </w:r>
      <w:r w:rsidR="002A0FA3" w:rsidRPr="00147C98">
        <w:t xml:space="preserve"> </w:t>
      </w:r>
      <w:r w:rsidR="002A0FA3">
        <w:t>(</w:t>
      </w:r>
      <w:r w:rsidRPr="00147C98">
        <w:t>MMRM</w:t>
      </w:r>
      <w:r w:rsidR="002A0FA3">
        <w:t>)</w:t>
      </w:r>
      <w:r w:rsidRPr="00147C98">
        <w:t>) (FAS)</w:t>
      </w:r>
    </w:p>
    <w:p w14:paraId="4205B2B3" w14:textId="77777777" w:rsidR="00147C98" w:rsidRPr="00025C15" w:rsidRDefault="00147C98" w:rsidP="00025C15">
      <w:r>
        <w:rPr>
          <w:noProof/>
          <w:lang w:eastAsia="en-AU"/>
        </w:rPr>
        <w:drawing>
          <wp:inline distT="0" distB="0" distL="0" distR="0" wp14:anchorId="0E6D21E2" wp14:editId="0BB9A403">
            <wp:extent cx="5400040" cy="1731936"/>
            <wp:effectExtent l="0" t="0" r="0" b="1905"/>
            <wp:docPr id="9" name="Picture 9" descr="Table 15: Study 1207D1731: Average adjusted symptom score during the last 8 weeks (Week 44 to Week 52) (MM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731936"/>
                    </a:xfrm>
                    <a:prstGeom prst="rect">
                      <a:avLst/>
                    </a:prstGeom>
                  </pic:spPr>
                </pic:pic>
              </a:graphicData>
            </a:graphic>
          </wp:inline>
        </w:drawing>
      </w:r>
    </w:p>
    <w:p w14:paraId="6FA5537E" w14:textId="77777777" w:rsidR="00025C15" w:rsidRPr="00025C15" w:rsidRDefault="00025C15" w:rsidP="00553882">
      <w:pPr>
        <w:pStyle w:val="Heading6"/>
      </w:pPr>
      <w:r w:rsidRPr="00025C15">
        <w:t>Results for other efficacy outcomes</w:t>
      </w:r>
    </w:p>
    <w:p w14:paraId="3480FA24" w14:textId="77777777" w:rsidR="00025C15" w:rsidRPr="00025C15" w:rsidRDefault="00025C15" w:rsidP="00553882">
      <w:pPr>
        <w:pStyle w:val="Heading7"/>
      </w:pPr>
      <w:r w:rsidRPr="00025C15">
        <w:t>Average Adjusted Symptom Score at each time point (</w:t>
      </w:r>
      <w:r w:rsidR="00C50DDD">
        <w:rPr>
          <w:lang w:val="en-US"/>
        </w:rPr>
        <w:t>full analysis set</w:t>
      </w:r>
      <w:r w:rsidR="00C50DDD" w:rsidRPr="00025C15">
        <w:t xml:space="preserve"> </w:t>
      </w:r>
      <w:r w:rsidR="00C50DDD">
        <w:t>(</w:t>
      </w:r>
      <w:r w:rsidRPr="00025C15">
        <w:t>FAS</w:t>
      </w:r>
      <w:r w:rsidR="00C50DDD">
        <w:t>)</w:t>
      </w:r>
      <w:r w:rsidRPr="00025C15">
        <w:t>)</w:t>
      </w:r>
    </w:p>
    <w:p w14:paraId="53090A2C" w14:textId="77777777" w:rsidR="00025C15" w:rsidRPr="00025C15" w:rsidRDefault="00025C15" w:rsidP="00025C15">
      <w:r w:rsidRPr="00025C15">
        <w:t>In the 300 IR group the AASS was statistically significantly improved</w:t>
      </w:r>
      <w:r w:rsidR="004A2386">
        <w:t xml:space="preserve"> </w:t>
      </w:r>
      <w:r w:rsidR="00447F2D">
        <w:t>after the first protocol defined diary entries at W</w:t>
      </w:r>
      <w:r w:rsidRPr="00025C15">
        <w:t>eek 8 to 10</w:t>
      </w:r>
      <w:r w:rsidR="004A2386">
        <w:t xml:space="preserve"> </w:t>
      </w:r>
      <w:r w:rsidRPr="00025C15">
        <w:t>compared to placebo group (p</w:t>
      </w:r>
      <w:r w:rsidR="003E4F85">
        <w:t xml:space="preserve"> </w:t>
      </w:r>
      <w:r w:rsidRPr="00025C15">
        <w:t>=</w:t>
      </w:r>
      <w:r w:rsidR="003E4F85">
        <w:t xml:space="preserve"> </w:t>
      </w:r>
      <w:r w:rsidRPr="00025C15">
        <w:t>0.0012). The difference between this dose and placebo</w:t>
      </w:r>
      <w:r w:rsidR="004A2386">
        <w:t xml:space="preserve"> </w:t>
      </w:r>
      <w:r w:rsidRPr="00025C15">
        <w:t xml:space="preserve">was also statistically significant throughout </w:t>
      </w:r>
      <w:r w:rsidRPr="00025C15">
        <w:lastRenderedPageBreak/>
        <w:t>the subsequent evaluation periods. In the 500 IR group, the AASS was statistically significantly improved after Week 8 to Week 10 as compared with the placebo group (</w:t>
      </w:r>
      <w:r w:rsidR="00447F2D">
        <w:t>p = </w:t>
      </w:r>
      <w:r w:rsidRPr="00025C15">
        <w:t>0.0448); however, the intergroup difference was not statistically significant from Week 16 to Week 18. The difference between this dose and the placebo was again statistically significant after Week 24 to Week 26 and remained significant throughout the</w:t>
      </w:r>
      <w:r w:rsidR="003C2457">
        <w:t xml:space="preserve"> subsequent evaluation periods.</w:t>
      </w:r>
    </w:p>
    <w:p w14:paraId="1CD824AF" w14:textId="77777777" w:rsidR="003C2457" w:rsidRDefault="00025C15" w:rsidP="00553882">
      <w:pPr>
        <w:pStyle w:val="Heading7"/>
      </w:pPr>
      <w:r w:rsidRPr="00025C15">
        <w:t>Average Rhinitis To</w:t>
      </w:r>
      <w:r w:rsidR="003C2457">
        <w:t>tal Symptom Score (ARTSS) (FAS)</w:t>
      </w:r>
    </w:p>
    <w:p w14:paraId="2B041A3A" w14:textId="77777777" w:rsidR="00790DE0" w:rsidRDefault="00025C15" w:rsidP="00025C15">
      <w:r w:rsidRPr="00025C15">
        <w:t>The LS mean of the ARTSS during the primary evaluation period (Week 44 to Week 52) was 4.96 in the 300 IR group and 5.25 in the 500 IR group, statistically significantly different from</w:t>
      </w:r>
      <w:r w:rsidR="004A2386">
        <w:t xml:space="preserve"> </w:t>
      </w:r>
      <w:r w:rsidRPr="00025C15">
        <w:t xml:space="preserve">the placebo group (6.03, </w:t>
      </w:r>
      <w:r w:rsidR="003E4F85">
        <w:t>p</w:t>
      </w:r>
      <w:r w:rsidRPr="00025C15">
        <w:t xml:space="preserve"> </w:t>
      </w:r>
      <w:r w:rsidR="003E4F85">
        <w:t>&lt; 0</w:t>
      </w:r>
      <w:r w:rsidRPr="00025C15">
        <w:t>.0001 for both active groups)</w:t>
      </w:r>
      <w:r w:rsidR="00790DE0">
        <w:t>.</w:t>
      </w:r>
    </w:p>
    <w:p w14:paraId="576EF5F1" w14:textId="77777777" w:rsidR="003C2457" w:rsidRDefault="00025C15" w:rsidP="00553882">
      <w:pPr>
        <w:pStyle w:val="Heading7"/>
      </w:pPr>
      <w:r w:rsidRPr="00025C15">
        <w:t>Average Rescue Medication Score (ARMS)</w:t>
      </w:r>
    </w:p>
    <w:p w14:paraId="56DDF458" w14:textId="77777777" w:rsidR="00025C15" w:rsidRPr="00025C15" w:rsidRDefault="00025C15" w:rsidP="00025C15">
      <w:r w:rsidRPr="00025C15">
        <w:t>The LS mean of the ARMS during the primary evaluation period (Week 44 to Week 52) was 0.04 in the 300 IR group, 0.07 in the 500 IR group, and 0.07 in the placebo group. The difference between the 300 IR group and the placebo group was statistically significant (</w:t>
      </w:r>
      <w:r w:rsidR="003E4F85">
        <w:t xml:space="preserve">p = </w:t>
      </w:r>
      <w:r w:rsidRPr="00025C15">
        <w:t>0.0280).</w:t>
      </w:r>
    </w:p>
    <w:p w14:paraId="1BF3ACFC" w14:textId="77777777" w:rsidR="003C2457" w:rsidRDefault="00025C15" w:rsidP="00553882">
      <w:pPr>
        <w:pStyle w:val="Heading7"/>
      </w:pPr>
      <w:r w:rsidRPr="00025C15">
        <w:t>Individual Rhinoconjunctivitis Symptom Scores</w:t>
      </w:r>
    </w:p>
    <w:p w14:paraId="6E40114B" w14:textId="7C014B50" w:rsidR="00025C15" w:rsidRPr="00025C15" w:rsidRDefault="00025C15" w:rsidP="00025C15">
      <w:r w:rsidRPr="00025C15">
        <w:t xml:space="preserve">During the primary evaluation period, the LS means of the individual nasal symptom scores (sneezing, rhinorrhoea, nasal congestion, and nasal pruritus) in the 300 and 500 IR groups were statistically significantly different from the placebo group. Of the individual ocular symptom scores (itchy eyes and watery eyes), the score of watery eyes </w:t>
      </w:r>
      <w:r w:rsidR="00A11ABF">
        <w:t xml:space="preserve">for </w:t>
      </w:r>
      <w:r w:rsidRPr="00025C15">
        <w:t>the 300</w:t>
      </w:r>
      <w:r w:rsidR="004016C9">
        <w:t> </w:t>
      </w:r>
      <w:r w:rsidRPr="00025C15">
        <w:t>IR group was statistically significantly lower than that in the placebo group (</w:t>
      </w:r>
      <w:r w:rsidR="003E4F85">
        <w:t>p</w:t>
      </w:r>
      <w:r w:rsidR="004016C9">
        <w:t> </w:t>
      </w:r>
      <w:r w:rsidR="003E4F85">
        <w:t>=</w:t>
      </w:r>
      <w:r w:rsidR="004016C9">
        <w:t> </w:t>
      </w:r>
      <w:r w:rsidRPr="00025C15">
        <w:t>0.0113).</w:t>
      </w:r>
    </w:p>
    <w:p w14:paraId="2AE44A9B" w14:textId="77777777" w:rsidR="003C2457" w:rsidRDefault="00553882" w:rsidP="00553882">
      <w:pPr>
        <w:pStyle w:val="Heading7"/>
      </w:pPr>
      <w:r>
        <w:t xml:space="preserve">Proportion of symptom </w:t>
      </w:r>
      <w:r w:rsidR="00025C15" w:rsidRPr="00025C15">
        <w:t>controlled days (PSCD)</w:t>
      </w:r>
    </w:p>
    <w:p w14:paraId="130EE691" w14:textId="1B0D4DA7" w:rsidR="00025C15" w:rsidRPr="00025C15" w:rsidRDefault="003E4F85" w:rsidP="00025C15">
      <w:r>
        <w:t>The PSCD</w:t>
      </w:r>
      <w:r w:rsidRPr="001A3124">
        <w:rPr>
          <w:vertAlign w:val="subscript"/>
        </w:rPr>
        <w:t>2</w:t>
      </w:r>
      <w:r w:rsidR="00A11ABF" w:rsidRPr="001A3124">
        <w:rPr>
          <w:vertAlign w:val="subscript"/>
        </w:rPr>
        <w:t>-</w:t>
      </w:r>
      <w:r w:rsidR="00025C15" w:rsidRPr="001A3124">
        <w:rPr>
          <w:vertAlign w:val="subscript"/>
        </w:rPr>
        <w:t>0</w:t>
      </w:r>
      <w:r w:rsidR="00025C15" w:rsidRPr="00025C15">
        <w:t xml:space="preserve"> (proportion of days with a RTSS of &lt;</w:t>
      </w:r>
      <w:r w:rsidR="00553882">
        <w:t xml:space="preserve"> </w:t>
      </w:r>
      <w:r w:rsidR="00025C15" w:rsidRPr="00025C15">
        <w:t>2 and a rescue medica</w:t>
      </w:r>
      <w:r w:rsidR="00A11ABF">
        <w:t>tion</w:t>
      </w:r>
      <w:r w:rsidR="00025C15" w:rsidRPr="00025C15">
        <w:t xml:space="preserve"> score of 0) in the 300 and 500 IR groups were statistically significantly different from the placebo group (p</w:t>
      </w:r>
      <w:r w:rsidR="00553882">
        <w:t xml:space="preserve"> </w:t>
      </w:r>
      <w:r w:rsidR="00025C15" w:rsidRPr="00025C15">
        <w:t>=</w:t>
      </w:r>
      <w:r w:rsidR="00553882">
        <w:t xml:space="preserve"> </w:t>
      </w:r>
      <w:r w:rsidR="00025C15" w:rsidRPr="00025C15">
        <w:t>0.0061 and p</w:t>
      </w:r>
      <w:r w:rsidR="00553882">
        <w:t xml:space="preserve"> </w:t>
      </w:r>
      <w:r w:rsidR="00025C15" w:rsidRPr="00025C15">
        <w:t>=</w:t>
      </w:r>
      <w:r w:rsidR="00553882">
        <w:t xml:space="preserve"> </w:t>
      </w:r>
      <w:r w:rsidR="00025C15" w:rsidRPr="00025C15">
        <w:t>0.0098).</w:t>
      </w:r>
    </w:p>
    <w:p w14:paraId="3DAFFC60" w14:textId="77777777" w:rsidR="003C2457" w:rsidRDefault="00025C15" w:rsidP="00553882">
      <w:pPr>
        <w:pStyle w:val="Heading7"/>
      </w:pPr>
      <w:r w:rsidRPr="00025C15">
        <w:t>Patient Quality of Life</w:t>
      </w:r>
    </w:p>
    <w:p w14:paraId="2371D574" w14:textId="77777777" w:rsidR="00025C15" w:rsidRPr="00025C15" w:rsidRDefault="00025C15" w:rsidP="00025C15">
      <w:r w:rsidRPr="00025C15">
        <w:t xml:space="preserve">In all of the primary domains of the </w:t>
      </w:r>
      <w:r w:rsidR="00447F2D" w:rsidRPr="001A3124">
        <w:rPr>
          <w:lang w:val="en-US"/>
        </w:rPr>
        <w:t>Japanese Allergic Rhinitis Standard QOL Questionnaire</w:t>
      </w:r>
      <w:r w:rsidR="00447F2D" w:rsidRPr="00025C15">
        <w:t xml:space="preserve"> </w:t>
      </w:r>
      <w:r w:rsidR="00447F2D">
        <w:t>(</w:t>
      </w:r>
      <w:r w:rsidRPr="00025C15">
        <w:t>JRQLQ</w:t>
      </w:r>
      <w:r w:rsidR="00447F2D">
        <w:t>)</w:t>
      </w:r>
      <w:r w:rsidRPr="00025C15">
        <w:t>, the differences between the 300 IR group and the placebo group were statistically significant (p</w:t>
      </w:r>
      <w:r w:rsidR="00553882">
        <w:t xml:space="preserve"> </w:t>
      </w:r>
      <w:r w:rsidRPr="00025C15">
        <w:t>=</w:t>
      </w:r>
      <w:r w:rsidR="00553882">
        <w:t xml:space="preserve"> </w:t>
      </w:r>
      <w:r w:rsidRPr="00025C15">
        <w:t>0.0124 for nasal and eye symptoms, p</w:t>
      </w:r>
      <w:r w:rsidR="00553882">
        <w:t> </w:t>
      </w:r>
      <w:r w:rsidRPr="00025C15">
        <w:t>=</w:t>
      </w:r>
      <w:r w:rsidR="00553882">
        <w:t xml:space="preserve"> </w:t>
      </w:r>
      <w:r w:rsidR="00447F2D">
        <w:t xml:space="preserve">0.0041 for QOL </w:t>
      </w:r>
      <w:r w:rsidRPr="00025C15">
        <w:t>related questionnaires, p</w:t>
      </w:r>
      <w:r w:rsidR="00553882">
        <w:t xml:space="preserve"> </w:t>
      </w:r>
      <w:r w:rsidRPr="00025C15">
        <w:t>=</w:t>
      </w:r>
      <w:r w:rsidR="00553882">
        <w:t xml:space="preserve"> </w:t>
      </w:r>
      <w:r w:rsidRPr="00025C15">
        <w:t>0.0310 for general state). There was no statistically significant difference between the 500 IR group and the placebo group in any domain.</w:t>
      </w:r>
    </w:p>
    <w:p w14:paraId="6116902A" w14:textId="77777777" w:rsidR="00025C15" w:rsidRPr="00025C15" w:rsidRDefault="00025C15" w:rsidP="00025C15">
      <w:r w:rsidRPr="00025C15">
        <w:t>In 4 (usual daily activities, outdoor activities, social functioning, physical problems) of the secondary JRQLQ domains, the differences between the 300 IR group and the placebo group were statistically significant (</w:t>
      </w:r>
      <w:r w:rsidR="003E4F85">
        <w:t xml:space="preserve">p = </w:t>
      </w:r>
      <w:r w:rsidRPr="00025C15">
        <w:t xml:space="preserve">0.0049 for usual daily activities, </w:t>
      </w:r>
      <w:r w:rsidR="003E4F85">
        <w:t xml:space="preserve">p = </w:t>
      </w:r>
      <w:r w:rsidRPr="00025C15">
        <w:t xml:space="preserve">0.0030 for outdoor activities, </w:t>
      </w:r>
      <w:r w:rsidR="003E4F85">
        <w:t xml:space="preserve">p = </w:t>
      </w:r>
      <w:r w:rsidRPr="00025C15">
        <w:t xml:space="preserve">0.0038 for social functioning, </w:t>
      </w:r>
      <w:r w:rsidR="003E4F85">
        <w:t xml:space="preserve">p = </w:t>
      </w:r>
      <w:r w:rsidRPr="00025C15">
        <w:t>0.0234 for physical problems). There was no statistically significant difference between the 500 IR group and the placebo group in any domain.</w:t>
      </w:r>
    </w:p>
    <w:p w14:paraId="39A590F9" w14:textId="77777777" w:rsidR="00025C15" w:rsidRPr="00025C15" w:rsidRDefault="003E4F85" w:rsidP="00553882">
      <w:pPr>
        <w:pStyle w:val="Heading7"/>
      </w:pPr>
      <w:r>
        <w:t xml:space="preserve">House dust mite </w:t>
      </w:r>
      <w:r w:rsidR="00025C15" w:rsidRPr="00025C15">
        <w:t xml:space="preserve">specific </w:t>
      </w:r>
      <w:proofErr w:type="spellStart"/>
      <w:r w:rsidR="00025C15" w:rsidRPr="00025C15">
        <w:t>IgE</w:t>
      </w:r>
      <w:proofErr w:type="spellEnd"/>
      <w:r w:rsidR="00025C15" w:rsidRPr="00025C15">
        <w:t xml:space="preserve"> and IgG4 antibodies, and total </w:t>
      </w:r>
      <w:proofErr w:type="spellStart"/>
      <w:r w:rsidR="00025C15" w:rsidRPr="00025C15">
        <w:t>IgE</w:t>
      </w:r>
      <w:proofErr w:type="spellEnd"/>
      <w:r w:rsidR="00025C15" w:rsidRPr="00025C15">
        <w:t xml:space="preserve"> antibodies</w:t>
      </w:r>
    </w:p>
    <w:p w14:paraId="1FB761A6" w14:textId="77777777" w:rsidR="00025C15" w:rsidRPr="00025C15" w:rsidRDefault="00025C15" w:rsidP="00025C15">
      <w:r w:rsidRPr="00025C15">
        <w:t xml:space="preserve">The levels of IgG4 antibodies specific to </w:t>
      </w:r>
      <w:proofErr w:type="spellStart"/>
      <w:r w:rsidRPr="00025C15">
        <w:t>D.</w:t>
      </w:r>
      <w:r w:rsidR="00553882">
        <w:t>pte</w:t>
      </w:r>
      <w:proofErr w:type="spellEnd"/>
      <w:r w:rsidR="00553882">
        <w:t xml:space="preserve"> and </w:t>
      </w:r>
      <w:proofErr w:type="spellStart"/>
      <w:r w:rsidR="00553882">
        <w:t>D.</w:t>
      </w:r>
      <w:r w:rsidRPr="00025C15">
        <w:t>far</w:t>
      </w:r>
      <w:proofErr w:type="spellEnd"/>
      <w:r w:rsidRPr="00025C15">
        <w:t xml:space="preserve"> antigens at baseline and Week 52 (Visit 17) were compared. There was little change from baseline in the placebo </w:t>
      </w:r>
      <w:r w:rsidR="00447F2D">
        <w:t xml:space="preserve">group, while the levels of mite </w:t>
      </w:r>
      <w:r w:rsidRPr="00025C15">
        <w:t xml:space="preserve">specific IgG4 antibodies increased 2.580 and 3.105 times in the 300 IR group, and 3.130 and 3.678 times in the 500 IR group, respectively. The levels of </w:t>
      </w:r>
      <w:proofErr w:type="spellStart"/>
      <w:r w:rsidRPr="00025C15">
        <w:t>IgE</w:t>
      </w:r>
      <w:proofErr w:type="spellEnd"/>
      <w:r w:rsidRPr="00025C15">
        <w:t xml:space="preserve"> antibodies specific to these mite antigens also increased 1.850 and 1.774 times in the 300 IR group and 1.914 and 1.819 times in the 500 IR group, respectively. Likewise, the levels of total </w:t>
      </w:r>
      <w:proofErr w:type="spellStart"/>
      <w:r w:rsidRPr="00025C15">
        <w:t>IgE</w:t>
      </w:r>
      <w:proofErr w:type="spellEnd"/>
      <w:r w:rsidRPr="00025C15">
        <w:t xml:space="preserve"> antibodies increased 1.417 times in the 300 IR group and 1.519 times in the 500 IR group. The differences from the placebo group were statistically significant for both active groups in all the comparisons between active groups and placebo group (p</w:t>
      </w:r>
      <w:r w:rsidR="00553882">
        <w:t> </w:t>
      </w:r>
      <w:r w:rsidRPr="00025C15">
        <w:t>&lt;</w:t>
      </w:r>
      <w:r w:rsidR="00553882">
        <w:t> </w:t>
      </w:r>
      <w:r w:rsidRPr="00025C15">
        <w:t>0.0001 for both active groups).</w:t>
      </w:r>
    </w:p>
    <w:p w14:paraId="5929D1D4" w14:textId="77777777" w:rsidR="00553882" w:rsidRDefault="00553882" w:rsidP="00553882">
      <w:pPr>
        <w:pStyle w:val="Heading5"/>
      </w:pPr>
      <w:r w:rsidRPr="00025C15">
        <w:lastRenderedPageBreak/>
        <w:t>Study V064.08</w:t>
      </w:r>
    </w:p>
    <w:p w14:paraId="34639885" w14:textId="6868B8B0" w:rsidR="00025C15" w:rsidRPr="00025C15" w:rsidRDefault="00025C15" w:rsidP="00025C15">
      <w:r w:rsidRPr="00025C15">
        <w:t xml:space="preserve">Study V064.08 </w:t>
      </w:r>
      <w:r w:rsidRPr="00FC57BF">
        <w:t xml:space="preserve">is described in the </w:t>
      </w:r>
      <w:r w:rsidR="00132754">
        <w:t>clinical evaluation report</w:t>
      </w:r>
      <w:r w:rsidRPr="00FC57BF">
        <w:t xml:space="preserve"> </w:t>
      </w:r>
      <w:r w:rsidR="00FC57BF" w:rsidRPr="00FC57BF">
        <w:t>(see Attachment 2)</w:t>
      </w:r>
      <w:r w:rsidRPr="00FC57BF">
        <w:t>.</w:t>
      </w:r>
      <w:r w:rsidRPr="00025C15">
        <w:t xml:space="preserve"> This is a randomised, double blind, placebo controlled, parallel group study to assess the efficacy and safety of 300</w:t>
      </w:r>
      <w:r w:rsidR="002A0FA3">
        <w:t xml:space="preserve"> </w:t>
      </w:r>
      <w:r w:rsidRPr="00025C15">
        <w:t>IR</w:t>
      </w:r>
      <w:r w:rsidR="004A2386">
        <w:t xml:space="preserve"> </w:t>
      </w:r>
      <w:r w:rsidRPr="00025C15">
        <w:t xml:space="preserve">SLIT administered as allergen based tablets once daily to adolescents and children above the age of 5 years with HDM Allergic Rhinitis. The study was study conducted at 62 </w:t>
      </w:r>
      <w:r w:rsidR="003C2457">
        <w:t>centres in 9 European countries</w:t>
      </w:r>
      <w:r w:rsidRPr="00025C15">
        <w:t xml:space="preserve"> from </w:t>
      </w:r>
      <w:r w:rsidR="003C2457">
        <w:t>October 2009 to September 2011.</w:t>
      </w:r>
    </w:p>
    <w:p w14:paraId="6BDEEC5F" w14:textId="03BBD255" w:rsidR="00025C15" w:rsidRPr="00025C15" w:rsidRDefault="00132754" w:rsidP="00025C15">
      <w:r>
        <w:t>A</w:t>
      </w:r>
      <w:r w:rsidRPr="00025C15">
        <w:t xml:space="preserve"> </w:t>
      </w:r>
      <w:r w:rsidR="00025C15" w:rsidRPr="00025C15">
        <w:t xml:space="preserve">primary objective </w:t>
      </w:r>
      <w:r>
        <w:t xml:space="preserve">was </w:t>
      </w:r>
      <w:r w:rsidR="00025C15" w:rsidRPr="00025C15">
        <w:t>to determine if sublingual tablet of HDM allergen extracts administered sublingually at a dosage of 300 IR to children and adolescents during approximately 12 months was significantly better than placebo in relieving HDM allergic rhinitis symptoms,</w:t>
      </w:r>
      <w:r w:rsidR="004A2386">
        <w:t xml:space="preserve"> </w:t>
      </w:r>
      <w:r w:rsidR="00025C15" w:rsidRPr="00025C15">
        <w:t xml:space="preserve">assessed by the </w:t>
      </w:r>
      <w:r w:rsidR="007168BF">
        <w:t>AASS</w:t>
      </w:r>
      <w:r w:rsidR="00025C15" w:rsidRPr="00025C15">
        <w:t>. Sustained clinical efficacy of 300 IR sublingual tablet of HDM allergen extracts on the AASS after 2 and 3 treatment years and p</w:t>
      </w:r>
      <w:r w:rsidR="00FC57BF">
        <w:t xml:space="preserve">ost </w:t>
      </w:r>
      <w:r w:rsidR="00025C15" w:rsidRPr="00025C15">
        <w:t>treatm</w:t>
      </w:r>
      <w:r w:rsidR="00FC57BF">
        <w:t xml:space="preserve">ent long </w:t>
      </w:r>
      <w:r w:rsidR="00CB4A10">
        <w:t xml:space="preserve">term efficacy (disease </w:t>
      </w:r>
      <w:r w:rsidR="00025C15" w:rsidRPr="00025C15">
        <w:t>modifying effect) of 300 IR sublingual tablets of HDM allergen extracts on the A</w:t>
      </w:r>
      <w:r w:rsidR="00CB4A10">
        <w:t xml:space="preserve">ASS after one and two treatment </w:t>
      </w:r>
      <w:r w:rsidR="00025C15" w:rsidRPr="00025C15">
        <w:t>free years</w:t>
      </w:r>
      <w:r w:rsidR="003C2457">
        <w:t>, were also primary objectives.</w:t>
      </w:r>
    </w:p>
    <w:p w14:paraId="621EF258" w14:textId="77777777" w:rsidR="00025C15" w:rsidRPr="00025C15" w:rsidRDefault="00025C15" w:rsidP="00025C15">
      <w:r w:rsidRPr="00025C15">
        <w:t xml:space="preserve">After its first meeting (4 July 2011) to review the efficacy and safety data from Year 1, the </w:t>
      </w:r>
      <w:r w:rsidR="00C50DDD" w:rsidRPr="00025C15">
        <w:t xml:space="preserve">data and safety monitoring board </w:t>
      </w:r>
      <w:r w:rsidRPr="00025C15">
        <w:t xml:space="preserve">(DSMB) provided the recommendation of not pursuing the study into the following years, considering the patients were not symptomatic enough to enable differentiation between active treatment and placebo. There were no safety concerns. The sponsor decided to stop the study for futility in the </w:t>
      </w:r>
      <w:r w:rsidR="003E4F85">
        <w:t>Year</w:t>
      </w:r>
      <w:r w:rsidRPr="00025C15">
        <w:t xml:space="preserve"> 2 treatment free period following treatment for</w:t>
      </w:r>
      <w:r w:rsidR="003C2457">
        <w:t xml:space="preserve"> 1 year.</w:t>
      </w:r>
    </w:p>
    <w:p w14:paraId="5844014B" w14:textId="6BD746D3" w:rsidR="00025C15" w:rsidRPr="00025C15" w:rsidRDefault="00025C15" w:rsidP="00025C15">
      <w:r w:rsidRPr="00025C15">
        <w:t xml:space="preserve">The study included male or female patients aged 5 to 17 years (inclusive) with a history of HDM related allergic rhinitis for at least 1 year, requiring regular intake of symptomatic treatments. Diagnosis was confirmed by positive SPT to </w:t>
      </w:r>
      <w:proofErr w:type="spellStart"/>
      <w:r w:rsidR="003E4F85">
        <w:t>D.pte</w:t>
      </w:r>
      <w:proofErr w:type="spellEnd"/>
      <w:r w:rsidRPr="00025C15">
        <w:t xml:space="preserve"> or </w:t>
      </w:r>
      <w:proofErr w:type="spellStart"/>
      <w:r w:rsidR="003E4F85">
        <w:t>D.far</w:t>
      </w:r>
      <w:proofErr w:type="spellEnd"/>
      <w:r w:rsidRPr="00025C15">
        <w:t xml:space="preserve"> with wheal diameter &gt; 3 mm and specific </w:t>
      </w:r>
      <w:proofErr w:type="spellStart"/>
      <w:r w:rsidRPr="00025C15">
        <w:t>IgE</w:t>
      </w:r>
      <w:proofErr w:type="spellEnd"/>
      <w:r w:rsidRPr="00025C15">
        <w:t xml:space="preserve"> level </w:t>
      </w:r>
      <w:r w:rsidR="003E4F85">
        <w:t>≥ 0</w:t>
      </w:r>
      <w:r w:rsidRPr="00025C15">
        <w:t xml:space="preserve">.7 </w:t>
      </w:r>
      <w:proofErr w:type="spellStart"/>
      <w:r w:rsidRPr="00025C15">
        <w:t>kU</w:t>
      </w:r>
      <w:proofErr w:type="spellEnd"/>
      <w:r w:rsidRPr="00025C15">
        <w:t>/L. Patients had to have a baseline ARTSS</w:t>
      </w:r>
      <w:r w:rsidR="001B2603">
        <w:t> </w:t>
      </w:r>
      <w:r w:rsidR="003E4F85">
        <w:t>≥</w:t>
      </w:r>
      <w:r w:rsidR="001B2603">
        <w:t> </w:t>
      </w:r>
      <w:r w:rsidRPr="00025C15">
        <w:t>5 (7</w:t>
      </w:r>
      <w:r w:rsidR="001B2603">
        <w:t xml:space="preserve"> </w:t>
      </w:r>
      <w:r w:rsidRPr="00025C15">
        <w:t>day daily record card with at least 4 days of valid data).</w:t>
      </w:r>
    </w:p>
    <w:p w14:paraId="43F28698" w14:textId="3CC4F39B" w:rsidR="00025C15" w:rsidRPr="00025C15" w:rsidRDefault="00025C15" w:rsidP="00025C15">
      <w:r w:rsidRPr="00025C15">
        <w:t xml:space="preserve">The primary efficacy outcome was </w:t>
      </w:r>
      <w:r w:rsidR="007168BF">
        <w:t>AASS</w:t>
      </w:r>
      <w:r w:rsidRPr="00025C15">
        <w:t xml:space="preserve"> during the primary treatment period (Year 1). The AASS was derived from the daily (non-missing) Rhinitis Total Symptom Score (RTSS) based on the severity of four rhinitis symptoms (sneezing, rhinorrhoea, nasal pruritus and nasal c</w:t>
      </w:r>
      <w:r w:rsidR="00CB4A10">
        <w:t xml:space="preserve">ongestion) each graded on </w:t>
      </w:r>
      <w:r w:rsidR="00D63B06">
        <w:t xml:space="preserve">a </w:t>
      </w:r>
      <w:r w:rsidR="00CB4A10">
        <w:t xml:space="preserve">4 </w:t>
      </w:r>
      <w:r w:rsidRPr="00025C15">
        <w:t>point scale and adjusted for the daily (non-missing) rescue medication usag</w:t>
      </w:r>
      <w:r w:rsidR="003C2457">
        <w:t>e during the evaluation period.</w:t>
      </w:r>
    </w:p>
    <w:p w14:paraId="4A2241B8" w14:textId="7D1CFF8B" w:rsidR="00025C15" w:rsidRPr="00025C15" w:rsidRDefault="00025C15" w:rsidP="00025C15">
      <w:r w:rsidRPr="00025C15">
        <w:t>Patients were randomised to 1 of the 2 tre</w:t>
      </w:r>
      <w:r w:rsidR="00447F2D">
        <w:t>atment groups (300 IR group or p</w:t>
      </w:r>
      <w:r w:rsidRPr="00025C15">
        <w:t>lacebo) and treatment was continued for 12 months. A two day incremental dose was used</w:t>
      </w:r>
      <w:r w:rsidR="004A2386">
        <w:t xml:space="preserve"> </w:t>
      </w:r>
      <w:r w:rsidRPr="00025C15">
        <w:t>for initiation of treatment. The study was designed with an 8month tre</w:t>
      </w:r>
      <w:r w:rsidR="00447F2D">
        <w:t xml:space="preserve">atment </w:t>
      </w:r>
      <w:r w:rsidR="00CB4A10">
        <w:t xml:space="preserve">free period and then a 6 </w:t>
      </w:r>
      <w:r w:rsidR="00FC57BF">
        <w:t>month treatment period (Year 2)</w:t>
      </w:r>
      <w:r w:rsidRPr="00025C15">
        <w:t xml:space="preserve"> and a 6 mon</w:t>
      </w:r>
      <w:r w:rsidR="00CB4A10">
        <w:t xml:space="preserve">th treatment free period and </w:t>
      </w:r>
      <w:r w:rsidR="00D63B06">
        <w:t xml:space="preserve">a </w:t>
      </w:r>
      <w:r w:rsidR="00CB4A10">
        <w:t>6</w:t>
      </w:r>
      <w:r w:rsidR="001B2603">
        <w:t> </w:t>
      </w:r>
      <w:r w:rsidRPr="00025C15">
        <w:t>mo</w:t>
      </w:r>
      <w:r w:rsidR="003C2457">
        <w:t>nth treatment pe</w:t>
      </w:r>
      <w:r w:rsidR="003E4F85">
        <w:t>riod in Y</w:t>
      </w:r>
      <w:r w:rsidR="003C2457">
        <w:t>ear 3.</w:t>
      </w:r>
    </w:p>
    <w:p w14:paraId="1F401B25" w14:textId="5C846723" w:rsidR="00025C15" w:rsidRPr="00025C15" w:rsidRDefault="00025C15" w:rsidP="00025C15">
      <w:r w:rsidRPr="00025C15">
        <w:t>Resc</w:t>
      </w:r>
      <w:r w:rsidR="00CB4A10">
        <w:t>ue medication was the same step</w:t>
      </w:r>
      <w:r w:rsidRPr="00025C15">
        <w:t>wise regimen as for the previous studies. The allowed medications were:</w:t>
      </w:r>
    </w:p>
    <w:p w14:paraId="795E121C" w14:textId="5F1997F9" w:rsidR="00025C15" w:rsidRPr="00025C15" w:rsidRDefault="003E4F85" w:rsidP="003C2457">
      <w:pPr>
        <w:pStyle w:val="ListBullet"/>
      </w:pPr>
      <w:r>
        <w:t>Step 1:</w:t>
      </w:r>
      <w:r w:rsidR="00D63B06">
        <w:t xml:space="preserve"> </w:t>
      </w:r>
      <w:r w:rsidR="00025C15" w:rsidRPr="00025C15">
        <w:t xml:space="preserve">Antihistamine (oral: cetirizine, </w:t>
      </w:r>
      <w:proofErr w:type="spellStart"/>
      <w:r w:rsidR="00025C15" w:rsidRPr="00025C15">
        <w:t>levocetirizine</w:t>
      </w:r>
      <w:proofErr w:type="spellEnd"/>
      <w:r w:rsidR="00025C15" w:rsidRPr="00025C15">
        <w:t xml:space="preserve">, </w:t>
      </w:r>
      <w:proofErr w:type="spellStart"/>
      <w:r w:rsidR="00025C15" w:rsidRPr="00025C15">
        <w:t>loratadine</w:t>
      </w:r>
      <w:proofErr w:type="spellEnd"/>
      <w:r w:rsidR="00025C15" w:rsidRPr="00025C15">
        <w:t xml:space="preserve">, </w:t>
      </w:r>
      <w:proofErr w:type="spellStart"/>
      <w:r w:rsidR="00025C15" w:rsidRPr="00025C15">
        <w:t>desloratadine</w:t>
      </w:r>
      <w:proofErr w:type="spellEnd"/>
      <w:r w:rsidR="00025C15" w:rsidRPr="00025C15">
        <w:t xml:space="preserve"> or eye drops: </w:t>
      </w:r>
      <w:proofErr w:type="spellStart"/>
      <w:r w:rsidR="00025C15" w:rsidRPr="00025C15">
        <w:t>levocabastine</w:t>
      </w:r>
      <w:proofErr w:type="spellEnd"/>
      <w:r w:rsidR="00025C15" w:rsidRPr="00025C15">
        <w:t xml:space="preserve">, </w:t>
      </w:r>
      <w:proofErr w:type="spellStart"/>
      <w:r w:rsidR="00025C15" w:rsidRPr="00025C15">
        <w:t>olopatidine</w:t>
      </w:r>
      <w:proofErr w:type="spellEnd"/>
      <w:r w:rsidR="00025C15" w:rsidRPr="00025C15">
        <w:t xml:space="preserve">, </w:t>
      </w:r>
      <w:proofErr w:type="spellStart"/>
      <w:r w:rsidR="00025C15" w:rsidRPr="00025C15">
        <w:t>azelastine</w:t>
      </w:r>
      <w:proofErr w:type="spellEnd"/>
      <w:r w:rsidR="00025C15" w:rsidRPr="00025C15">
        <w:t>)</w:t>
      </w:r>
    </w:p>
    <w:p w14:paraId="28E9BACD" w14:textId="73E80512" w:rsidR="00025C15" w:rsidRPr="00025C15" w:rsidRDefault="003E4F85" w:rsidP="003C2457">
      <w:pPr>
        <w:pStyle w:val="ListBullet"/>
      </w:pPr>
      <w:r>
        <w:t>Step 2:</w:t>
      </w:r>
      <w:r w:rsidR="00D63B06">
        <w:t xml:space="preserve"> </w:t>
      </w:r>
      <w:r w:rsidR="00025C15" w:rsidRPr="00025C15">
        <w:t xml:space="preserve">Nasal corticosteroid if the symptoms did not alleviate - </w:t>
      </w:r>
      <w:proofErr w:type="spellStart"/>
      <w:r w:rsidR="00025C15" w:rsidRPr="00025C15">
        <w:t>mometasone</w:t>
      </w:r>
      <w:proofErr w:type="spellEnd"/>
      <w:r w:rsidR="00025C15" w:rsidRPr="00025C15">
        <w:t xml:space="preserve">, fluticasone, </w:t>
      </w:r>
      <w:proofErr w:type="spellStart"/>
      <w:r w:rsidR="00025C15" w:rsidRPr="00025C15">
        <w:t>beclometasone</w:t>
      </w:r>
      <w:proofErr w:type="spellEnd"/>
      <w:r w:rsidR="00025C15" w:rsidRPr="00025C15">
        <w:t>, budesonide</w:t>
      </w:r>
    </w:p>
    <w:p w14:paraId="29B0236A" w14:textId="77777777" w:rsidR="00025C15" w:rsidRPr="00025C15" w:rsidRDefault="003E4F85" w:rsidP="00025C15">
      <w:pPr>
        <w:pStyle w:val="ListBullet"/>
      </w:pPr>
      <w:r>
        <w:t xml:space="preserve">Step 3: </w:t>
      </w:r>
      <w:r w:rsidR="00025C15" w:rsidRPr="00025C15">
        <w:t>If the patient needed oral corticosteroid (prednisolone, methylprednisolone) to manage the rhinitis, the patient w</w:t>
      </w:r>
      <w:r w:rsidR="003C2457">
        <w:t>as to consult the Investigator.</w:t>
      </w:r>
    </w:p>
    <w:p w14:paraId="654B6449" w14:textId="77777777" w:rsidR="00025C15" w:rsidRPr="00025C15" w:rsidRDefault="00025C15" w:rsidP="00025C15">
      <w:r w:rsidRPr="00025C15">
        <w:t>A</w:t>
      </w:r>
      <w:r w:rsidR="004A2386">
        <w:t xml:space="preserve"> </w:t>
      </w:r>
      <w:r w:rsidRPr="00025C15">
        <w:t>total of 471 patients were randomised.</w:t>
      </w:r>
      <w:r w:rsidR="004A2386">
        <w:t xml:space="preserve"> </w:t>
      </w:r>
      <w:r w:rsidRPr="00025C15">
        <w:t>In the 300 IR group 211 of 241(87.6%)</w:t>
      </w:r>
      <w:r w:rsidR="004A2386">
        <w:t xml:space="preserve"> </w:t>
      </w:r>
      <w:r w:rsidRPr="00025C15">
        <w:t>completed 1 year and in placebo group 215 of 230 (93.5) completed 1 year. Adverse event and consent withdrawn by patient were the most common reasons for with</w:t>
      </w:r>
      <w:r w:rsidR="003E4F85">
        <w:t>drawal during Y</w:t>
      </w:r>
      <w:r w:rsidR="003C2457">
        <w:t>ear 1 treatment.</w:t>
      </w:r>
    </w:p>
    <w:p w14:paraId="18532900" w14:textId="77777777" w:rsidR="00025C15" w:rsidRPr="00025C15" w:rsidRDefault="00025C15" w:rsidP="00025C15">
      <w:r w:rsidRPr="00025C15">
        <w:lastRenderedPageBreak/>
        <w:t xml:space="preserve">The number of patients with at least 1 major protocol deviation was similar in the </w:t>
      </w:r>
      <w:r w:rsidR="00CB4A10">
        <w:t>two</w:t>
      </w:r>
      <w:r w:rsidRPr="00025C15">
        <w:t xml:space="preserve"> treatment groups (57 in the 300 IR group and 58 in the placebo group). Co-sensitisation</w:t>
      </w:r>
      <w:r w:rsidR="004A2386">
        <w:t xml:space="preserve"> </w:t>
      </w:r>
      <w:r w:rsidRPr="00025C15">
        <w:t>was the most common (10%) reason for exclusion fr</w:t>
      </w:r>
      <w:r w:rsidR="003C2457">
        <w:t>om the per protocol population.</w:t>
      </w:r>
    </w:p>
    <w:p w14:paraId="4958AEBB" w14:textId="60F94594" w:rsidR="00025C15" w:rsidRDefault="00025C15" w:rsidP="00025C15">
      <w:r w:rsidRPr="00025C15">
        <w:t xml:space="preserve">The mean age of patients was 11.1 years old, with 53.0% of the population aged 5 to 11 and 47.0% of </w:t>
      </w:r>
      <w:r w:rsidR="00D63B06">
        <w:t>patients</w:t>
      </w:r>
      <w:r w:rsidR="00D63B06" w:rsidRPr="00025C15">
        <w:t xml:space="preserve"> </w:t>
      </w:r>
      <w:r w:rsidRPr="00025C15">
        <w:t xml:space="preserve">aged 12 to 17. More males (64.8%) were included than </w:t>
      </w:r>
      <w:r w:rsidR="00D63B06">
        <w:t>fe</w:t>
      </w:r>
      <w:r w:rsidRPr="00025C15">
        <w:t>males (35.2%). Almost all patients were Caucasian. Demographic characteristics were bala</w:t>
      </w:r>
      <w:r w:rsidR="003C2457">
        <w:t>nced across treatment groups.</w:t>
      </w:r>
    </w:p>
    <w:p w14:paraId="6A340B95" w14:textId="77777777" w:rsidR="003E4F85" w:rsidRPr="00025C15" w:rsidRDefault="003E4F85" w:rsidP="003E4F85">
      <w:pPr>
        <w:pStyle w:val="Heading6"/>
      </w:pPr>
      <w:r>
        <w:t>Results for primary efficacy endpoint</w:t>
      </w:r>
    </w:p>
    <w:p w14:paraId="69AD3030" w14:textId="491127C4" w:rsidR="00790DE0" w:rsidRDefault="00025C15" w:rsidP="00025C15">
      <w:r w:rsidRPr="00025C15">
        <w:t>For the primary efficacy endpoint,</w:t>
      </w:r>
      <w:r w:rsidR="004A2386">
        <w:t xml:space="preserve"> </w:t>
      </w:r>
      <w:r w:rsidR="007168BF">
        <w:t>AASS</w:t>
      </w:r>
      <w:r w:rsidRPr="00025C15">
        <w:t xml:space="preserve"> during the primary treatment period (</w:t>
      </w:r>
      <w:r w:rsidR="006E2C0E">
        <w:t xml:space="preserve">1 </w:t>
      </w:r>
      <w:r w:rsidRPr="00025C15">
        <w:t>Oct</w:t>
      </w:r>
      <w:r w:rsidR="00CB4A10">
        <w:t>ober</w:t>
      </w:r>
      <w:r w:rsidRPr="00025C15">
        <w:t xml:space="preserve"> to </w:t>
      </w:r>
      <w:r w:rsidR="006E2C0E">
        <w:t xml:space="preserve">30 </w:t>
      </w:r>
      <w:r w:rsidRPr="00025C15">
        <w:t>Nov</w:t>
      </w:r>
      <w:r w:rsidR="00CB4A10">
        <w:t>ember</w:t>
      </w:r>
      <w:r w:rsidRPr="00025C15">
        <w:t xml:space="preserve"> 2010) in Year 1</w:t>
      </w:r>
      <w:r w:rsidR="006E2C0E">
        <w:t xml:space="preserve"> </w:t>
      </w:r>
      <w:r w:rsidRPr="00025C15">
        <w:t>in FAS, no statistically significant difference (p</w:t>
      </w:r>
      <w:r w:rsidR="00CB4A10">
        <w:t xml:space="preserve"> </w:t>
      </w:r>
      <w:r w:rsidRPr="00025C15">
        <w:t>=</w:t>
      </w:r>
      <w:r w:rsidR="00CB4A10">
        <w:t xml:space="preserve"> </w:t>
      </w:r>
      <w:r w:rsidRPr="00025C15">
        <w:t xml:space="preserve">0.96) was observed between the 300 IR and placebo groups. This is </w:t>
      </w:r>
      <w:r w:rsidRPr="003138F8">
        <w:t xml:space="preserve">shown </w:t>
      </w:r>
      <w:r w:rsidR="003138F8" w:rsidRPr="003138F8">
        <w:t xml:space="preserve">in </w:t>
      </w:r>
      <w:r w:rsidR="003C2457" w:rsidRPr="003138F8">
        <w:t>Table</w:t>
      </w:r>
      <w:r w:rsidR="006E2C0E">
        <w:t xml:space="preserve"> </w:t>
      </w:r>
      <w:r w:rsidR="003138F8" w:rsidRPr="003138F8">
        <w:t>16</w:t>
      </w:r>
      <w:r w:rsidR="00790DE0" w:rsidRPr="003138F8">
        <w:t>.</w:t>
      </w:r>
    </w:p>
    <w:p w14:paraId="341E9235" w14:textId="77777777" w:rsidR="00147C98" w:rsidRDefault="00147C98" w:rsidP="00147C98">
      <w:pPr>
        <w:pStyle w:val="Tabletitle0"/>
      </w:pPr>
      <w:r w:rsidRPr="003138F8">
        <w:t xml:space="preserve">Table </w:t>
      </w:r>
      <w:r w:rsidR="003138F8" w:rsidRPr="003138F8">
        <w:t>16:</w:t>
      </w:r>
      <w:r w:rsidRPr="003138F8">
        <w:t xml:space="preserve"> Study</w:t>
      </w:r>
      <w:r>
        <w:t xml:space="preserve"> VO64.08: ANCOVA of the AA</w:t>
      </w:r>
      <w:r w:rsidRPr="00137994">
        <w:t xml:space="preserve">SS during Year 1 </w:t>
      </w:r>
      <w:r w:rsidR="003138F8">
        <w:t xml:space="preserve">primary period; </w:t>
      </w:r>
      <w:r w:rsidRPr="00137994">
        <w:t>FASY1</w:t>
      </w:r>
    </w:p>
    <w:p w14:paraId="13DBBCE5" w14:textId="77777777" w:rsidR="00147C98" w:rsidRDefault="00147C98" w:rsidP="00025C15">
      <w:r>
        <w:rPr>
          <w:noProof/>
          <w:lang w:eastAsia="en-AU"/>
        </w:rPr>
        <w:drawing>
          <wp:inline distT="0" distB="0" distL="0" distR="0" wp14:anchorId="6BD5B073" wp14:editId="7FDF0FCE">
            <wp:extent cx="5400040" cy="1482126"/>
            <wp:effectExtent l="0" t="0" r="0" b="3810"/>
            <wp:docPr id="10" name="Picture 10" descr="Table 16: Study VO64.08: ANCOVA of the AASS during Year 1 primary period; FA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482126"/>
                    </a:xfrm>
                    <a:prstGeom prst="rect">
                      <a:avLst/>
                    </a:prstGeom>
                  </pic:spPr>
                </pic:pic>
              </a:graphicData>
            </a:graphic>
          </wp:inline>
        </w:drawing>
      </w:r>
    </w:p>
    <w:p w14:paraId="6FEA5529" w14:textId="55EF2D49" w:rsidR="00025C15" w:rsidRPr="00025C15" w:rsidRDefault="00025C15" w:rsidP="00025C15">
      <w:r w:rsidRPr="00025C15">
        <w:t xml:space="preserve">To be eligible, all patients were to have a minimum level of symptoms during baseline while they were not allowed to take any rescue medication, </w:t>
      </w:r>
      <w:r w:rsidR="00CB4A10">
        <w:t>that is</w:t>
      </w:r>
      <w:r w:rsidRPr="00025C15">
        <w:t>, ARTSS of at least 5 out of a possible score of 12. The mean ARTSS at baseline was 6.84 in th</w:t>
      </w:r>
      <w:r w:rsidR="00447F2D">
        <w:t>e 300 IR group and 6.65 in the p</w:t>
      </w:r>
      <w:r w:rsidRPr="00025C15">
        <w:t xml:space="preserve">lacebo group. Over the treatment year, the AASS continuously decreased in the placebo group. After 3 months of treatment, </w:t>
      </w:r>
      <w:r w:rsidR="006E2C0E">
        <w:t>the LS mean</w:t>
      </w:r>
      <w:r w:rsidR="006E2C0E" w:rsidRPr="00025C15">
        <w:t xml:space="preserve"> </w:t>
      </w:r>
      <w:r w:rsidRPr="00025C15">
        <w:t>was 3.51 and after 12 months of treatment it was 2.65, leaving little room for improvemen</w:t>
      </w:r>
      <w:r w:rsidR="003C2457">
        <w:t>t.</w:t>
      </w:r>
    </w:p>
    <w:p w14:paraId="0BD1FA09" w14:textId="77777777" w:rsidR="00CB4A10" w:rsidRDefault="00025C15" w:rsidP="003E4F85">
      <w:pPr>
        <w:pStyle w:val="Heading6"/>
      </w:pPr>
      <w:r w:rsidRPr="00025C15">
        <w:t>Results for other efficacy outcomes</w:t>
      </w:r>
      <w:r w:rsidR="00CB4A10">
        <w:t xml:space="preserve"> </w:t>
      </w:r>
    </w:p>
    <w:p w14:paraId="1171F3BA" w14:textId="77777777" w:rsidR="00025C15" w:rsidRPr="00025C15" w:rsidRDefault="00025C15" w:rsidP="003E4F85">
      <w:pPr>
        <w:pStyle w:val="Heading7"/>
      </w:pPr>
      <w:r w:rsidRPr="00025C15">
        <w:t xml:space="preserve">Average Adjusted Symptom Score in the Per Protocol Set </w:t>
      </w:r>
    </w:p>
    <w:p w14:paraId="5B9FF2D9" w14:textId="3A9354C7" w:rsidR="00025C15" w:rsidRPr="00025C15" w:rsidRDefault="00025C15" w:rsidP="00025C15">
      <w:r w:rsidRPr="00025C15">
        <w:t xml:space="preserve">There was no statistically significant </w:t>
      </w:r>
      <w:r w:rsidRPr="005A71A2">
        <w:t>difference (p</w:t>
      </w:r>
      <w:r w:rsidR="00CB4A10" w:rsidRPr="005A71A2">
        <w:t xml:space="preserve"> </w:t>
      </w:r>
      <w:r w:rsidRPr="005A71A2">
        <w:t>= 0.7434) between</w:t>
      </w:r>
      <w:r w:rsidRPr="00025C15">
        <w:t xml:space="preserve"> th</w:t>
      </w:r>
      <w:r w:rsidR="003C2457">
        <w:t>e 300 IR and the placebo group.</w:t>
      </w:r>
    </w:p>
    <w:p w14:paraId="2234453A" w14:textId="77777777" w:rsidR="00025C15" w:rsidRPr="00025C15" w:rsidRDefault="00025C15" w:rsidP="003E4F85">
      <w:pPr>
        <w:pStyle w:val="Heading7"/>
      </w:pPr>
      <w:r w:rsidRPr="00025C15">
        <w:t>Relationship between efficacy and disease activity</w:t>
      </w:r>
    </w:p>
    <w:p w14:paraId="4A50861B" w14:textId="77777777" w:rsidR="00025C15" w:rsidRPr="00025C15" w:rsidRDefault="00025C15" w:rsidP="00025C15">
      <w:r w:rsidRPr="00025C15">
        <w:t xml:space="preserve">An assessment of the treatment effect as a function of disease severity during the Year 1 primary period was performed. Centres pooled according to geographical zone were ranked according to the mean AASS in the placebo group. In each </w:t>
      </w:r>
      <w:proofErr w:type="spellStart"/>
      <w:r w:rsidRPr="00025C15">
        <w:t>tertile</w:t>
      </w:r>
      <w:proofErr w:type="spellEnd"/>
      <w:r w:rsidRPr="00025C15">
        <w:t>, AASS means were similar i</w:t>
      </w:r>
      <w:r w:rsidR="003C2457">
        <w:t>n the 300 IR and placebo group.</w:t>
      </w:r>
    </w:p>
    <w:p w14:paraId="0E3590F4" w14:textId="77777777" w:rsidR="00025C15" w:rsidRPr="00025C15" w:rsidRDefault="00025C15" w:rsidP="003E4F85">
      <w:pPr>
        <w:pStyle w:val="Heading7"/>
      </w:pPr>
      <w:r w:rsidRPr="00025C15">
        <w:t>Mean daily Adjusted Symptom Score (ASS)</w:t>
      </w:r>
    </w:p>
    <w:p w14:paraId="38069DA2" w14:textId="77777777" w:rsidR="00025C15" w:rsidRPr="00025C15" w:rsidRDefault="00025C15" w:rsidP="00025C15">
      <w:r w:rsidRPr="00025C15">
        <w:t>The mean daily ASS curves for the 300 IR and Place</w:t>
      </w:r>
      <w:r w:rsidR="003C2457">
        <w:t>bo groups overlapped over time.</w:t>
      </w:r>
    </w:p>
    <w:p w14:paraId="70DA2425" w14:textId="77777777" w:rsidR="00025C15" w:rsidRPr="00025C15" w:rsidRDefault="00025C15" w:rsidP="003E4F85">
      <w:pPr>
        <w:pStyle w:val="Heading7"/>
      </w:pPr>
      <w:r w:rsidRPr="00025C15">
        <w:t>Average Rhinitis Total Symptom Score (ARTSS)</w:t>
      </w:r>
    </w:p>
    <w:p w14:paraId="7BA9868A" w14:textId="77777777" w:rsidR="00025C15" w:rsidRPr="00025C15" w:rsidRDefault="00025C15" w:rsidP="00025C15">
      <w:r w:rsidRPr="00025C15">
        <w:t>The results on the ARTSS during the Year 1 primary period were consistent wit</w:t>
      </w:r>
      <w:r w:rsidR="003C2457">
        <w:t>h those obtained with the AASS.</w:t>
      </w:r>
    </w:p>
    <w:p w14:paraId="319B59F0" w14:textId="77777777" w:rsidR="003C2457" w:rsidRDefault="00025C15" w:rsidP="003E4F85">
      <w:pPr>
        <w:pStyle w:val="Heading7"/>
      </w:pPr>
      <w:r w:rsidRPr="00025C15">
        <w:t>Average Rhinoconjunctivitis Symptom Score (ARSS)</w:t>
      </w:r>
    </w:p>
    <w:p w14:paraId="2FD62521" w14:textId="77777777" w:rsidR="00025C15" w:rsidRPr="00025C15" w:rsidRDefault="00025C15" w:rsidP="00025C15">
      <w:r w:rsidRPr="00025C15">
        <w:t>During the Year 1 primary period, all individual symptom score</w:t>
      </w:r>
      <w:r w:rsidR="003C2457">
        <w:t>s were similar in the 2 groups.</w:t>
      </w:r>
    </w:p>
    <w:p w14:paraId="455B2DC4" w14:textId="77777777" w:rsidR="00025C15" w:rsidRPr="00025C15" w:rsidRDefault="00025C15" w:rsidP="003E4F85">
      <w:pPr>
        <w:pStyle w:val="Heading7"/>
      </w:pPr>
      <w:r w:rsidRPr="00025C15">
        <w:lastRenderedPageBreak/>
        <w:t>Average Rescue Medication Score (ARMS)</w:t>
      </w:r>
    </w:p>
    <w:p w14:paraId="55F79CAE" w14:textId="77777777" w:rsidR="00025C15" w:rsidRPr="00025C15" w:rsidRDefault="00025C15" w:rsidP="00025C15">
      <w:r w:rsidRPr="00025C15">
        <w:t xml:space="preserve">There was no statistically significant difference between 300 IR group and placebo group on the </w:t>
      </w:r>
      <w:r w:rsidR="003C2457">
        <w:t>ARMS for Year 1 Primary Period.</w:t>
      </w:r>
    </w:p>
    <w:p w14:paraId="1742AF4E" w14:textId="77777777" w:rsidR="00025C15" w:rsidRPr="00025C15" w:rsidRDefault="00025C15" w:rsidP="003E4F85">
      <w:pPr>
        <w:pStyle w:val="Heading7"/>
      </w:pPr>
      <w:r w:rsidRPr="00025C15">
        <w:t>Proportion of Symptom-Controlled Days (PSCDs)</w:t>
      </w:r>
    </w:p>
    <w:p w14:paraId="744C12FB" w14:textId="77777777" w:rsidR="00025C15" w:rsidRPr="00025C15" w:rsidRDefault="00025C15" w:rsidP="00025C15">
      <w:r w:rsidRPr="00025C15">
        <w:t>The mean PSCD were si</w:t>
      </w:r>
      <w:r w:rsidR="003C2457">
        <w:t>milar in both treatment groups.</w:t>
      </w:r>
    </w:p>
    <w:p w14:paraId="25812A9C" w14:textId="77777777" w:rsidR="00025C15" w:rsidRPr="00025C15" w:rsidRDefault="00CB4A10" w:rsidP="003E4F85">
      <w:pPr>
        <w:pStyle w:val="Heading7"/>
      </w:pPr>
      <w:r>
        <w:t>Quality of Life (RQOLQ)</w:t>
      </w:r>
    </w:p>
    <w:p w14:paraId="674C6D39" w14:textId="77777777" w:rsidR="00025C15" w:rsidRPr="00025C15" w:rsidRDefault="00025C15" w:rsidP="00025C15">
      <w:r w:rsidRPr="00025C15">
        <w:t>Between baseline and Month 12, the overall RQOLQ score and each domain score changed in similar proportions in both treatment groups; no statistically significant difference was evidence</w:t>
      </w:r>
      <w:r w:rsidR="003C2457">
        <w:t>d.</w:t>
      </w:r>
    </w:p>
    <w:p w14:paraId="7A0719A4" w14:textId="77777777" w:rsidR="00025C15" w:rsidRPr="00025C15" w:rsidRDefault="00025C15" w:rsidP="003E4F85">
      <w:pPr>
        <w:pStyle w:val="Heading7"/>
      </w:pPr>
      <w:r w:rsidRPr="00025C15">
        <w:t>Asthma Evaluation</w:t>
      </w:r>
    </w:p>
    <w:p w14:paraId="7D6FA508" w14:textId="77777777" w:rsidR="00025C15" w:rsidRPr="00025C15" w:rsidRDefault="00025C15" w:rsidP="00025C15">
      <w:r w:rsidRPr="00025C15">
        <w:t xml:space="preserve">In the asthmatic patients (about 60% of study population), no statistically significant difference was shown between the 300 IR group and the placebo group for any of the lower airway symptom scores over the last period of evaluation </w:t>
      </w:r>
      <w:r w:rsidR="003C2457">
        <w:t>during Year 1.</w:t>
      </w:r>
    </w:p>
    <w:p w14:paraId="3F1B18DF" w14:textId="77777777" w:rsidR="00025C15" w:rsidRPr="00025C15" w:rsidRDefault="00025C15" w:rsidP="003E4F85">
      <w:pPr>
        <w:pStyle w:val="Heading7"/>
      </w:pPr>
      <w:r w:rsidRPr="00025C15">
        <w:t>Skin pri</w:t>
      </w:r>
      <w:r w:rsidR="003C2457">
        <w:t xml:space="preserve">ck and </w:t>
      </w:r>
      <w:r w:rsidR="003E4F85">
        <w:t>immunological markers</w:t>
      </w:r>
    </w:p>
    <w:p w14:paraId="0D95EB52" w14:textId="77777777" w:rsidR="00025C15" w:rsidRPr="00025C15" w:rsidRDefault="00025C15" w:rsidP="00025C15">
      <w:r w:rsidRPr="00025C15">
        <w:t xml:space="preserve">The geometric means of </w:t>
      </w:r>
      <w:proofErr w:type="spellStart"/>
      <w:r w:rsidR="003E4F85">
        <w:t>D.pte</w:t>
      </w:r>
      <w:proofErr w:type="spellEnd"/>
      <w:r w:rsidRPr="00025C15">
        <w:t xml:space="preserve"> and </w:t>
      </w:r>
      <w:proofErr w:type="spellStart"/>
      <w:r w:rsidR="003E4F85">
        <w:t>D.far</w:t>
      </w:r>
      <w:proofErr w:type="spellEnd"/>
      <w:r w:rsidRPr="00025C15">
        <w:t xml:space="preserve"> </w:t>
      </w:r>
      <w:r w:rsidR="00EB2466">
        <w:t>skin prick test</w:t>
      </w:r>
      <w:r w:rsidRPr="00025C15">
        <w:t xml:space="preserve"> wheal diameters decreased in both treatment groups from baseline to Year 1 endpoint.</w:t>
      </w:r>
    </w:p>
    <w:p w14:paraId="4B716721" w14:textId="77777777" w:rsidR="00025C15" w:rsidRPr="00025C15" w:rsidRDefault="00025C15" w:rsidP="00025C15">
      <w:r w:rsidRPr="00025C15">
        <w:t xml:space="preserve">The average geometric means of </w:t>
      </w:r>
      <w:proofErr w:type="spellStart"/>
      <w:r w:rsidR="003E4F85">
        <w:t>D.pte</w:t>
      </w:r>
      <w:proofErr w:type="spellEnd"/>
      <w:r w:rsidRPr="00025C15">
        <w:t xml:space="preserve"> and </w:t>
      </w:r>
      <w:proofErr w:type="spellStart"/>
      <w:r w:rsidR="003E4F85">
        <w:t>D.far</w:t>
      </w:r>
      <w:proofErr w:type="spellEnd"/>
      <w:r w:rsidRPr="00025C15">
        <w:t xml:space="preserve"> specific serum </w:t>
      </w:r>
      <w:proofErr w:type="spellStart"/>
      <w:r w:rsidRPr="00025C15">
        <w:t>IgE</w:t>
      </w:r>
      <w:proofErr w:type="spellEnd"/>
      <w:r w:rsidRPr="00025C15">
        <w:t xml:space="preserve"> were slightly increased in the 300 IR group at the end of the Year 1 treatment period and went back close to their baseline level at </w:t>
      </w:r>
      <w:r w:rsidR="00FC57BF">
        <w:t xml:space="preserve">the end of the Year 2 treatment </w:t>
      </w:r>
      <w:r w:rsidRPr="00025C15">
        <w:t>free period while they remained stable in the placebo group.</w:t>
      </w:r>
    </w:p>
    <w:p w14:paraId="588E3B9F" w14:textId="21145E2F" w:rsidR="003C2457" w:rsidRDefault="00025C15" w:rsidP="00CB4A10">
      <w:pPr>
        <w:pStyle w:val="Heading5"/>
      </w:pPr>
      <w:r w:rsidRPr="00025C15">
        <w:t>CE</w:t>
      </w:r>
      <w:r w:rsidR="00CB4A10">
        <w:t xml:space="preserve">R </w:t>
      </w:r>
      <w:r w:rsidR="001A3124">
        <w:t>conclusions on efficacy</w:t>
      </w:r>
    </w:p>
    <w:p w14:paraId="63922C69" w14:textId="41282CD6" w:rsidR="00025C15" w:rsidRPr="00025C15" w:rsidRDefault="00025C15" w:rsidP="00025C15">
      <w:r w:rsidRPr="00025C15">
        <w:t>The efficacy of HDM allergen extract is dependent on the</w:t>
      </w:r>
      <w:r w:rsidR="00CB4A10">
        <w:t xml:space="preserve"> results of </w:t>
      </w:r>
      <w:r w:rsidR="003E4F85">
        <w:t>two</w:t>
      </w:r>
      <w:r w:rsidR="00CB4A10">
        <w:t xml:space="preserve"> pivotal studies; </w:t>
      </w:r>
      <w:r w:rsidR="00EB2466">
        <w:t xml:space="preserve">Study </w:t>
      </w:r>
      <w:r w:rsidRPr="00025C15">
        <w:t xml:space="preserve">VO57.07 </w:t>
      </w:r>
      <w:r w:rsidR="00CB4A10">
        <w:t>which included only adults (18 to</w:t>
      </w:r>
      <w:r w:rsidRPr="00025C15">
        <w:t xml:space="preserve"> 50 years) and Study 1207D1731 which included both</w:t>
      </w:r>
      <w:r w:rsidR="00CB4A10">
        <w:t xml:space="preserve"> adults and adolescents aged 12 to </w:t>
      </w:r>
      <w:r w:rsidRPr="00025C15">
        <w:t xml:space="preserve">65 years. In these studies there was </w:t>
      </w:r>
      <w:r w:rsidR="006E2C0E">
        <w:t xml:space="preserve">a </w:t>
      </w:r>
      <w:r w:rsidRPr="00025C15">
        <w:t>statistically significant superiority for both the 300 IR and 500 IR tablets compared to placebo. The difference between the 2 treatments groups was not statistically significant.</w:t>
      </w:r>
    </w:p>
    <w:p w14:paraId="79BE9654" w14:textId="3478F358" w:rsidR="00025C15" w:rsidRPr="00025C15" w:rsidRDefault="00025C15" w:rsidP="00025C15">
      <w:r w:rsidRPr="00025C15">
        <w:t xml:space="preserve">In Study 1207D1731, a subgroup analysis </w:t>
      </w:r>
      <w:r w:rsidR="006E2C0E">
        <w:t xml:space="preserve">was performed </w:t>
      </w:r>
      <w:r w:rsidRPr="00025C15">
        <w:t>for the 12 to &lt;</w:t>
      </w:r>
      <w:r w:rsidR="00CB4A10">
        <w:t xml:space="preserve"> </w:t>
      </w:r>
      <w:r w:rsidRPr="00025C15">
        <w:t xml:space="preserve">18 age cohort. The treatment effect of the 500 IR group was estimated as the difference </w:t>
      </w:r>
      <w:r w:rsidR="00EB2466">
        <w:t>in LS means of -</w:t>
      </w:r>
      <w:r w:rsidR="00CB4A10">
        <w:t xml:space="preserve">1.88 (95% CI: </w:t>
      </w:r>
      <w:r w:rsidR="00CB4A10">
        <w:noBreakHyphen/>
      </w:r>
      <w:r w:rsidRPr="00025C15">
        <w:t>2.84, -0.93), corresponding to a relative LS mean dif</w:t>
      </w:r>
      <w:r w:rsidR="00CB4A10">
        <w:t xml:space="preserve">ference compared to placebo of </w:t>
      </w:r>
      <w:r w:rsidR="00CB4A10">
        <w:noBreakHyphen/>
      </w:r>
      <w:r w:rsidRPr="00025C15">
        <w:t>24.8% and the treatment effect of the 300 IR group was estimated as the difference in LS mean of -2.04 (p5% CI: -3.01, -1.08), corresponding to a relative LS mean difference compared to placebo of -26.9%.</w:t>
      </w:r>
    </w:p>
    <w:p w14:paraId="1F99FAB8" w14:textId="77777777" w:rsidR="00025C15" w:rsidRPr="00025C15" w:rsidRDefault="00025C15" w:rsidP="00025C15">
      <w:r w:rsidRPr="00025C15">
        <w:t>The dedica</w:t>
      </w:r>
      <w:r w:rsidR="00CB4A10">
        <w:t xml:space="preserve">ted paediatric study VO64.08 (5 to </w:t>
      </w:r>
      <w:r w:rsidRPr="00025C15">
        <w:t xml:space="preserve">17 years) </w:t>
      </w:r>
      <w:r w:rsidR="00CB4A10">
        <w:t>found no difference between 300 </w:t>
      </w:r>
      <w:r w:rsidRPr="00025C15">
        <w:t>IR and placebo. The study was stopped after the end of the first year of treatment due to the subjects not being sufficiently symptomatic to enable assessment of the efficacy of HDM tablets.</w:t>
      </w:r>
      <w:r w:rsidR="00CB4A10">
        <w:t xml:space="preserve"> There were no children (aged 5 to </w:t>
      </w:r>
      <w:r w:rsidRPr="00025C15">
        <w:t>12 years) in</w:t>
      </w:r>
      <w:r w:rsidR="004A2386">
        <w:t xml:space="preserve"> </w:t>
      </w:r>
      <w:r w:rsidRPr="00025C15">
        <w:t>Study 1207D1731and so the efficacy in thi</w:t>
      </w:r>
      <w:r w:rsidR="00CB4A10">
        <w:t xml:space="preserve">s population (children aged 5 to </w:t>
      </w:r>
      <w:r w:rsidRPr="00025C15">
        <w:t>12 years) has not been established.</w:t>
      </w:r>
    </w:p>
    <w:p w14:paraId="71343564" w14:textId="77777777" w:rsidR="00025C15" w:rsidRPr="00025C15" w:rsidRDefault="00025C15" w:rsidP="00025C15">
      <w:r w:rsidRPr="00025C15">
        <w:t xml:space="preserve">The </w:t>
      </w:r>
      <w:r w:rsidR="00CB4A10">
        <w:t>clinical evaluator</w:t>
      </w:r>
      <w:r w:rsidRPr="00025C15">
        <w:t xml:space="preserve"> also had concerns about the 300 IR and 500 IR doses selected for study. There is some justification for the choice of 300 IR over 500 IR. Both doses are effective but the 300 IR has a better safety profile than the 500 IR but it is not proven that this is the minimum effective dose. The 100 IR dose is clearly less effective but no doses between 1</w:t>
      </w:r>
      <w:r w:rsidR="003C2457">
        <w:t>00 IR and 300 IR were tested.</w:t>
      </w:r>
    </w:p>
    <w:p w14:paraId="7AF12147" w14:textId="77777777" w:rsidR="00025C15" w:rsidRPr="00025C15" w:rsidRDefault="00025C15" w:rsidP="00813F32">
      <w:pPr>
        <w:pStyle w:val="Heading4"/>
      </w:pPr>
      <w:r w:rsidRPr="00025C15">
        <w:lastRenderedPageBreak/>
        <w:t>Safety</w:t>
      </w:r>
    </w:p>
    <w:p w14:paraId="0F96ACFD" w14:textId="77777777" w:rsidR="00790DE0" w:rsidRDefault="00025C15" w:rsidP="00990864">
      <w:pPr>
        <w:keepNext/>
      </w:pPr>
      <w:r w:rsidRPr="00025C15">
        <w:t>2,407 patients were exposed to HDM tablet or placebo: 1,571 (1,182 adults, 261 adolescents and 128 children) were exposed to HDM tablet. 833 patients received a maximum dose of 300 IR and 611 patients received 500 IR</w:t>
      </w:r>
      <w:r w:rsidR="00790DE0">
        <w:t>.</w:t>
      </w:r>
    </w:p>
    <w:p w14:paraId="227713B2" w14:textId="77777777" w:rsidR="00025C15" w:rsidRPr="00025C15" w:rsidRDefault="00025C15" w:rsidP="00025C15">
      <w:r w:rsidRPr="00025C15">
        <w:t>Adverse events are reported for individual studies without analysis across studies.</w:t>
      </w:r>
    </w:p>
    <w:p w14:paraId="4D3B4677" w14:textId="2461B2AE" w:rsidR="00790DE0" w:rsidRDefault="00025C15" w:rsidP="00025C15">
      <w:r w:rsidRPr="00025C15">
        <w:t>In study VO57.07 a total of 1</w:t>
      </w:r>
      <w:r w:rsidR="003E4F85">
        <w:t>,</w:t>
      </w:r>
      <w:r w:rsidRPr="00025C15">
        <w:t>883 treatment emergent adverse events we</w:t>
      </w:r>
      <w:r w:rsidR="003E4F85">
        <w:t>re reported by 427 patients in Y</w:t>
      </w:r>
      <w:r w:rsidRPr="00025C15">
        <w:t xml:space="preserve">ear 1. The proportion of patients reporting at least 1 </w:t>
      </w:r>
      <w:r w:rsidR="00EB2466">
        <w:t>treatment emergent adverse event (</w:t>
      </w:r>
      <w:r w:rsidRPr="00025C15">
        <w:t>TEAE</w:t>
      </w:r>
      <w:r w:rsidR="00EB2466">
        <w:t>)</w:t>
      </w:r>
      <w:r w:rsidRPr="00025C15">
        <w:t xml:space="preserve"> was 83.4% of patients in the 500 IR group, 88.2% in the 300 IR group and 80.0% in the placebo group.</w:t>
      </w:r>
      <w:r w:rsidR="004A2386">
        <w:t xml:space="preserve"> </w:t>
      </w:r>
      <w:r w:rsidRPr="00025C15">
        <w:t xml:space="preserve">A summary of </w:t>
      </w:r>
      <w:r w:rsidR="00EB2466">
        <w:t>TEAEs</w:t>
      </w:r>
      <w:r w:rsidRPr="00025C15">
        <w:t xml:space="preserve"> is </w:t>
      </w:r>
      <w:r w:rsidRPr="003138F8">
        <w:t xml:space="preserve">shown in Table </w:t>
      </w:r>
      <w:r w:rsidR="003138F8" w:rsidRPr="003138F8">
        <w:t>17</w:t>
      </w:r>
      <w:r w:rsidRPr="003138F8">
        <w:t xml:space="preserve">. </w:t>
      </w:r>
      <w:r w:rsidR="003E4F85" w:rsidRPr="003138F8">
        <w:t>Drug</w:t>
      </w:r>
      <w:r w:rsidR="003E4F85">
        <w:t xml:space="preserve"> related</w:t>
      </w:r>
      <w:r w:rsidRPr="00025C15">
        <w:t xml:space="preserve"> TEAE and TEAE leading to premature withdrawal were more common in 500 IR and 300 IR groups compared to placebo. There</w:t>
      </w:r>
      <w:r w:rsidR="004A2386">
        <w:t xml:space="preserve"> </w:t>
      </w:r>
      <w:r w:rsidRPr="00025C15">
        <w:t>were low numbers drug related serious TEAE and no TEAE deaths.</w:t>
      </w:r>
      <w:r w:rsidR="004A2386">
        <w:t xml:space="preserve"> </w:t>
      </w:r>
      <w:r w:rsidRPr="00025C15">
        <w:t xml:space="preserve">The most commonly reported TEAEs were oral pruritus, </w:t>
      </w:r>
      <w:r w:rsidR="00CA0C28">
        <w:t xml:space="preserve">mouth </w:t>
      </w:r>
      <w:r w:rsidR="00941402">
        <w:t>oedema</w:t>
      </w:r>
      <w:r w:rsidR="00941402" w:rsidRPr="00025C15">
        <w:t>, nasopharyngitis</w:t>
      </w:r>
      <w:r w:rsidRPr="00025C15">
        <w:t>, and throat irritation</w:t>
      </w:r>
      <w:r w:rsidR="00057C7F">
        <w:rPr>
          <w:rStyle w:val="FootnoteReference"/>
        </w:rPr>
        <w:footnoteReference w:id="37"/>
      </w:r>
      <w:r w:rsidRPr="00025C15">
        <w:t>. Application site reactions (</w:t>
      </w:r>
      <w:r w:rsidR="003E4F85">
        <w:t>for example</w:t>
      </w:r>
      <w:r w:rsidRPr="00025C15">
        <w:t xml:space="preserve"> oral pruritus, mouth oedema, tongue oedema, throat irritation, and pharyngeal oedema) were more commonly reported by patients in the active treatment groups compared to</w:t>
      </w:r>
      <w:r w:rsidR="004A2386">
        <w:t xml:space="preserve"> </w:t>
      </w:r>
      <w:r w:rsidRPr="00025C15">
        <w:t xml:space="preserve">those receiving placebo. Asthma, cough, dyspnoea, and wheeze were reported by a similar percentage of patients in </w:t>
      </w:r>
      <w:r w:rsidR="00813F32">
        <w:t xml:space="preserve">the active and placebo groups. </w:t>
      </w:r>
      <w:r w:rsidRPr="00025C15">
        <w:t>TEAE considered treatment related most frequently occurred in the first week of treatment</w:t>
      </w:r>
      <w:r w:rsidR="00790DE0">
        <w:t>.</w:t>
      </w:r>
    </w:p>
    <w:p w14:paraId="760B22E9" w14:textId="77777777" w:rsidR="004F72B9" w:rsidRDefault="004F72B9" w:rsidP="004F72B9">
      <w:pPr>
        <w:pStyle w:val="Tabletitle0"/>
      </w:pPr>
      <w:r w:rsidRPr="003138F8">
        <w:t xml:space="preserve">Table </w:t>
      </w:r>
      <w:r w:rsidR="003138F8" w:rsidRPr="003138F8">
        <w:t>17:</w:t>
      </w:r>
      <w:r w:rsidRPr="004F72B9">
        <w:t xml:space="preserve"> </w:t>
      </w:r>
      <w:r>
        <w:t xml:space="preserve">Study VO57.07: Year 1: </w:t>
      </w:r>
      <w:r w:rsidR="003138F8" w:rsidRPr="00F44073">
        <w:t xml:space="preserve">summary of </w:t>
      </w:r>
      <w:r w:rsidR="003138F8">
        <w:t xml:space="preserve">treatment </w:t>
      </w:r>
      <w:r w:rsidR="003138F8" w:rsidRPr="0092303D">
        <w:t>emergent adverse events</w:t>
      </w:r>
      <w:r w:rsidR="003138F8">
        <w:t xml:space="preserve"> </w:t>
      </w:r>
      <w:r w:rsidRPr="00F44073">
        <w:t>(safety set)</w:t>
      </w:r>
    </w:p>
    <w:p w14:paraId="24474320" w14:textId="77777777" w:rsidR="004F72B9" w:rsidRPr="004F72B9" w:rsidRDefault="004F72B9" w:rsidP="004F72B9">
      <w:r>
        <w:rPr>
          <w:noProof/>
          <w:lang w:eastAsia="en-AU"/>
        </w:rPr>
        <w:drawing>
          <wp:inline distT="0" distB="0" distL="0" distR="0" wp14:anchorId="2B6E3E8F" wp14:editId="3F62BD01">
            <wp:extent cx="5400040" cy="1749821"/>
            <wp:effectExtent l="0" t="0" r="0" b="3175"/>
            <wp:docPr id="11" name="Picture 11" descr="Table 17: Study VO57.07: Year 1: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749821"/>
                    </a:xfrm>
                    <a:prstGeom prst="rect">
                      <a:avLst/>
                    </a:prstGeom>
                  </pic:spPr>
                </pic:pic>
              </a:graphicData>
            </a:graphic>
          </wp:inline>
        </w:drawing>
      </w:r>
    </w:p>
    <w:p w14:paraId="5CE6ED7A" w14:textId="77777777" w:rsidR="00025C15" w:rsidRDefault="00EB2466" w:rsidP="00025C15">
      <w:r>
        <w:t>In S</w:t>
      </w:r>
      <w:r w:rsidR="00025C15" w:rsidRPr="00025C15">
        <w:t xml:space="preserve">tudy 1207D1731, a total of 3,008 AEs were reported by 821 patients. The proportion of patients reporting at least 1 AE ranged from 75.5% in the placebo group </w:t>
      </w:r>
      <w:r w:rsidR="00025C15" w:rsidRPr="00813F32">
        <w:t xml:space="preserve">to 90.7% in the 500 IR group. A summary of adverse events is shown </w:t>
      </w:r>
      <w:r w:rsidR="00025C15" w:rsidRPr="003138F8">
        <w:t xml:space="preserve">in Table </w:t>
      </w:r>
      <w:r w:rsidR="003138F8" w:rsidRPr="003138F8">
        <w:t>18</w:t>
      </w:r>
      <w:r w:rsidR="00025C15" w:rsidRPr="003138F8">
        <w:t>.</w:t>
      </w:r>
      <w:r w:rsidR="00813F32">
        <w:t xml:space="preserve"> Drug </w:t>
      </w:r>
      <w:r w:rsidR="00025C15" w:rsidRPr="00025C15">
        <w:t xml:space="preserve">related AE and TEAE leading to premature withdrawal were more common in 500 IR group compared to other groups and more common in 300 IR group compared to placebo. No </w:t>
      </w:r>
      <w:r w:rsidR="003E4F85">
        <w:t>drug related</w:t>
      </w:r>
      <w:r w:rsidR="00025C15" w:rsidRPr="00025C15">
        <w:t xml:space="preserve"> serious AE or AE associated deaths were reported.</w:t>
      </w:r>
      <w:r w:rsidR="004A2386">
        <w:t xml:space="preserve"> </w:t>
      </w:r>
      <w:r w:rsidR="00025C15" w:rsidRPr="00025C15">
        <w:t xml:space="preserve">Among the most commonly reported AEs mouth oedema, throat irritation, oral pruritus and ear pruritus were reported by a higher percentage of patients in the active groups than in the placebo group. Asthma or asthma related symptoms (cough, dyspnoea, wheezing) were reported in fewer than 3% of patients per treatment group. AEs occurred most frequently during the </w:t>
      </w:r>
      <w:r w:rsidR="003E4F85">
        <w:t>dose escalation</w:t>
      </w:r>
      <w:r>
        <w:t xml:space="preserve"> period (Day 1 to </w:t>
      </w:r>
      <w:r w:rsidR="00025C15" w:rsidRPr="00025C15">
        <w:t>Day 14) in all groups.</w:t>
      </w:r>
    </w:p>
    <w:p w14:paraId="22314CC5" w14:textId="77777777" w:rsidR="004F72B9" w:rsidRDefault="004F72B9" w:rsidP="004F72B9">
      <w:pPr>
        <w:pStyle w:val="Tabletitle0"/>
      </w:pPr>
      <w:r w:rsidRPr="003138F8">
        <w:lastRenderedPageBreak/>
        <w:t xml:space="preserve">Table </w:t>
      </w:r>
      <w:r w:rsidR="003138F8" w:rsidRPr="003138F8">
        <w:t>18:</w:t>
      </w:r>
      <w:r w:rsidRPr="003138F8">
        <w:t xml:space="preserve"> Study 1207D1731</w:t>
      </w:r>
      <w:r>
        <w:t xml:space="preserve">: </w:t>
      </w:r>
      <w:r w:rsidRPr="00F44073">
        <w:t>Sum</w:t>
      </w:r>
      <w:r>
        <w:t xml:space="preserve">mary of adverse events </w:t>
      </w:r>
      <w:r w:rsidRPr="00F44073">
        <w:t>(safety set)</w:t>
      </w:r>
    </w:p>
    <w:p w14:paraId="585AE72C" w14:textId="77777777" w:rsidR="004F72B9" w:rsidRPr="00025C15" w:rsidRDefault="004F72B9" w:rsidP="00025C15">
      <w:r>
        <w:rPr>
          <w:noProof/>
          <w:lang w:eastAsia="en-AU"/>
        </w:rPr>
        <w:drawing>
          <wp:inline distT="0" distB="0" distL="0" distR="0" wp14:anchorId="49F9AD06" wp14:editId="0A6F9AF8">
            <wp:extent cx="5400040" cy="1519050"/>
            <wp:effectExtent l="0" t="0" r="0" b="5080"/>
            <wp:docPr id="12" name="Picture 12" descr="Table 18: Study 1207D1731: Summary of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519050"/>
                    </a:xfrm>
                    <a:prstGeom prst="rect">
                      <a:avLst/>
                    </a:prstGeom>
                  </pic:spPr>
                </pic:pic>
              </a:graphicData>
            </a:graphic>
          </wp:inline>
        </w:drawing>
      </w:r>
    </w:p>
    <w:p w14:paraId="3263795F" w14:textId="77777777" w:rsidR="00025C15" w:rsidRDefault="00025C15" w:rsidP="00025C15">
      <w:r w:rsidRPr="00025C15">
        <w:t xml:space="preserve">In Study VO64.08, a total of 1,210 TEAEs were reported by 337 patients during </w:t>
      </w:r>
      <w:r w:rsidR="003E4F85">
        <w:t>Year</w:t>
      </w:r>
      <w:r w:rsidRPr="00025C15">
        <w:t xml:space="preserve"> 1. The proportion of patients reporting at least 1 TEAE was 75.1% in the 300 IR group and 67.8% in the placebo group. The incidence of TEAEs was higher in children aged </w:t>
      </w:r>
      <w:r w:rsidR="003E4F85">
        <w:t>5 to11</w:t>
      </w:r>
      <w:r w:rsidRPr="00025C15">
        <w:t xml:space="preserve"> for both treatment groups (79.7% in the 300 IR group and 76.3% in the Placebo group) than in adolescents aged </w:t>
      </w:r>
      <w:r w:rsidR="003E4F85">
        <w:t>12 to 17</w:t>
      </w:r>
      <w:r w:rsidRPr="00025C15">
        <w:t xml:space="preserve"> (69.9% and 58.9%, respectively). A summary of TEAE is shown </w:t>
      </w:r>
      <w:r w:rsidRPr="003138F8">
        <w:t xml:space="preserve">in Table </w:t>
      </w:r>
      <w:r w:rsidR="003138F8" w:rsidRPr="003138F8">
        <w:t>19</w:t>
      </w:r>
      <w:r w:rsidRPr="003138F8">
        <w:t xml:space="preserve">. </w:t>
      </w:r>
      <w:r w:rsidR="003E4F85" w:rsidRPr="003138F8">
        <w:t>Drug related</w:t>
      </w:r>
      <w:r w:rsidRPr="003138F8">
        <w:t xml:space="preserve"> TEAE and TEAE leading to withdrawal were more frequent in the</w:t>
      </w:r>
      <w:r w:rsidRPr="00025C15">
        <w:t xml:space="preserve"> 300 IR group compared to placebo. No </w:t>
      </w:r>
      <w:r w:rsidR="003E4F85">
        <w:t>drug related</w:t>
      </w:r>
      <w:r w:rsidRPr="00025C15">
        <w:t xml:space="preserve"> serious AE or AE associated deaths were reported.</w:t>
      </w:r>
      <w:r w:rsidR="004A2386">
        <w:t xml:space="preserve"> </w:t>
      </w:r>
      <w:r w:rsidRPr="00025C15">
        <w:t>Among the most commonly reported TEAEs, oral pruritus, throat irritation, and tongue oedema were reported by a higher percentage of patients in the active group than in the placebo group.</w:t>
      </w:r>
    </w:p>
    <w:p w14:paraId="2D340B0D" w14:textId="77777777" w:rsidR="004F72B9" w:rsidRDefault="004F72B9" w:rsidP="004F72B9">
      <w:pPr>
        <w:pStyle w:val="Tabletitle0"/>
      </w:pPr>
      <w:r w:rsidRPr="003138F8">
        <w:t xml:space="preserve">Table </w:t>
      </w:r>
      <w:r w:rsidR="003138F8" w:rsidRPr="003138F8">
        <w:t>19:</w:t>
      </w:r>
      <w:r w:rsidRPr="004F72B9">
        <w:t xml:space="preserve"> </w:t>
      </w:r>
      <w:r>
        <w:t xml:space="preserve">Study VO64.08: </w:t>
      </w:r>
      <w:r w:rsidRPr="00BE5145">
        <w:t xml:space="preserve">Summary </w:t>
      </w:r>
      <w:r w:rsidR="003138F8">
        <w:t xml:space="preserve">of treatment </w:t>
      </w:r>
      <w:r w:rsidR="003138F8" w:rsidRPr="0092303D">
        <w:t>emergent adverse even</w:t>
      </w:r>
      <w:r w:rsidRPr="0092303D">
        <w:t>ts</w:t>
      </w:r>
      <w:r w:rsidRPr="00BE5145">
        <w:t xml:space="preserve"> (safety set)</w:t>
      </w:r>
    </w:p>
    <w:p w14:paraId="4098CDE2" w14:textId="77777777" w:rsidR="004F72B9" w:rsidRPr="00025C15" w:rsidRDefault="004F72B9" w:rsidP="00025C15">
      <w:r>
        <w:rPr>
          <w:noProof/>
          <w:lang w:eastAsia="en-AU"/>
        </w:rPr>
        <w:drawing>
          <wp:inline distT="0" distB="0" distL="0" distR="0" wp14:anchorId="7698E31F" wp14:editId="624E23F5">
            <wp:extent cx="5400040" cy="1624050"/>
            <wp:effectExtent l="0" t="0" r="0" b="0"/>
            <wp:docPr id="13" name="Picture 13" descr="Table 19: Study VO64.08: Summary of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624050"/>
                    </a:xfrm>
                    <a:prstGeom prst="rect">
                      <a:avLst/>
                    </a:prstGeom>
                  </pic:spPr>
                </pic:pic>
              </a:graphicData>
            </a:graphic>
          </wp:inline>
        </w:drawing>
      </w:r>
    </w:p>
    <w:p w14:paraId="411F40FA" w14:textId="77777777" w:rsidR="00025C15" w:rsidRPr="00025C15" w:rsidRDefault="00025C15" w:rsidP="00025C15">
      <w:r w:rsidRPr="00025C15">
        <w:t>In all the completed studies standard haematological and biochemical tests were performed at start and at the end of treatment. While in most studies, out of range values (either above or below the laboratory reference ranges) were found in individuals, none were considered clinically relevant.</w:t>
      </w:r>
    </w:p>
    <w:p w14:paraId="670C838B" w14:textId="77777777" w:rsidR="00790DE0" w:rsidRDefault="00025C15" w:rsidP="00025C15">
      <w:r w:rsidRPr="00025C15">
        <w:t>In all the studies, vital signs (systolic blood pressure, diastolic blood pressure and pulse rate) were recorded at each study visit as part of the physical examination. There were no relevant changes over time and no relevant differences observed between the active and placebo groups</w:t>
      </w:r>
      <w:r w:rsidR="00790DE0">
        <w:t>.</w:t>
      </w:r>
    </w:p>
    <w:p w14:paraId="661F6BB2" w14:textId="77777777" w:rsidR="003E4F85" w:rsidRDefault="00813F32" w:rsidP="003E4F85">
      <w:pPr>
        <w:pStyle w:val="Heading5"/>
      </w:pPr>
      <w:r>
        <w:t>The clinical evaluator’s</w:t>
      </w:r>
      <w:r w:rsidRPr="00025C15">
        <w:t xml:space="preserve"> conclusions on safety</w:t>
      </w:r>
    </w:p>
    <w:p w14:paraId="5E7383B3" w14:textId="77777777" w:rsidR="00025C15" w:rsidRPr="00025C15" w:rsidRDefault="00025C15" w:rsidP="00025C15">
      <w:r w:rsidRPr="00025C15">
        <w:t xml:space="preserve">Overall the safety of </w:t>
      </w:r>
      <w:r w:rsidR="00716D4E">
        <w:t>Actair</w:t>
      </w:r>
      <w:r w:rsidRPr="00025C15">
        <w:t xml:space="preserve"> is consistent in the clinical studies. No systemic toxicity has been seen and there were no reports of anaphylactic shock, anaphylaxis or use of adrenaline. The most frequent adverse events were application site reactions such as oral pruritus and throat irritation. Most were mild or moderate severity and were generally reported in the first weeks of treatment but in some cases were significant and led to some patients discontinuing therapy.</w:t>
      </w:r>
    </w:p>
    <w:p w14:paraId="1090436C" w14:textId="77777777" w:rsidR="00025C15" w:rsidRPr="00025C15" w:rsidRDefault="00025C15" w:rsidP="00025C15">
      <w:r w:rsidRPr="00025C15">
        <w:t>The safety profile in children and adolescents were similar to that seen in adults.</w:t>
      </w:r>
    </w:p>
    <w:p w14:paraId="09772E1A" w14:textId="77777777" w:rsidR="007B6132" w:rsidRDefault="007B6132" w:rsidP="00555280">
      <w:pPr>
        <w:pStyle w:val="Heading4"/>
      </w:pPr>
      <w:r w:rsidRPr="007B6132">
        <w:lastRenderedPageBreak/>
        <w:t>Clin</w:t>
      </w:r>
      <w:r w:rsidR="00813F32">
        <w:t>ical evaluator’s recommendation</w:t>
      </w:r>
    </w:p>
    <w:p w14:paraId="3C3040D6" w14:textId="77777777" w:rsidR="00025C15" w:rsidRPr="00025C15" w:rsidRDefault="00025C15" w:rsidP="00025C15">
      <w:r w:rsidRPr="00025C15">
        <w:t xml:space="preserve">The benefits of </w:t>
      </w:r>
      <w:r w:rsidR="00716D4E">
        <w:t>Actair</w:t>
      </w:r>
      <w:r w:rsidRPr="00025C15">
        <w:t xml:space="preserve"> in the proposed usage are:</w:t>
      </w:r>
    </w:p>
    <w:p w14:paraId="22341DB9" w14:textId="77777777" w:rsidR="00025C15" w:rsidRPr="00025C15" w:rsidRDefault="00025C15" w:rsidP="00813F32">
      <w:pPr>
        <w:pStyle w:val="ListBullet"/>
      </w:pPr>
      <w:r w:rsidRPr="00025C15">
        <w:t>Statistically significant efficacy compared to placebo in improving symptoms of HDM allergy. 500 IR and 300 IR were equally efficacious in adults and adolescents with no difference between the treatments</w:t>
      </w:r>
    </w:p>
    <w:p w14:paraId="4464FCBA" w14:textId="622198D8" w:rsidR="00025C15" w:rsidRPr="00025C15" w:rsidRDefault="00025C15" w:rsidP="00813F32">
      <w:pPr>
        <w:pStyle w:val="ListBullet"/>
      </w:pPr>
      <w:r w:rsidRPr="00025C15">
        <w:t>Efficacy at the end of 12 months of treatment in adults is maintained over a treatment free follow up year</w:t>
      </w:r>
      <w:r w:rsidR="00941402">
        <w:t>.</w:t>
      </w:r>
    </w:p>
    <w:p w14:paraId="71404016" w14:textId="77777777" w:rsidR="00025C15" w:rsidRPr="00025C15" w:rsidRDefault="00025C15" w:rsidP="00025C15">
      <w:r w:rsidRPr="00025C15">
        <w:t xml:space="preserve">The risks of </w:t>
      </w:r>
      <w:r w:rsidR="00716D4E">
        <w:t>Actair</w:t>
      </w:r>
      <w:r w:rsidRPr="00025C15">
        <w:t xml:space="preserve"> in the proposed usage are:</w:t>
      </w:r>
    </w:p>
    <w:p w14:paraId="48E78800" w14:textId="77777777" w:rsidR="00025C15" w:rsidRPr="00025C15" w:rsidRDefault="00025C15" w:rsidP="00813F32">
      <w:pPr>
        <w:pStyle w:val="ListBullet"/>
      </w:pPr>
      <w:r w:rsidRPr="00025C15">
        <w:t>Application site adverse reactions are</w:t>
      </w:r>
      <w:r w:rsidR="004A2386">
        <w:t xml:space="preserve"> </w:t>
      </w:r>
      <w:r w:rsidRPr="00025C15">
        <w:t>very common</w:t>
      </w:r>
    </w:p>
    <w:p w14:paraId="75593326" w14:textId="77777777" w:rsidR="00025C15" w:rsidRPr="00025C15" w:rsidRDefault="00025C15" w:rsidP="00813F32">
      <w:pPr>
        <w:pStyle w:val="ListBullet"/>
      </w:pPr>
      <w:r w:rsidRPr="00025C15">
        <w:t xml:space="preserve">Efficacy in children (aged </w:t>
      </w:r>
      <w:r w:rsidR="003E4F85">
        <w:t>5 to11</w:t>
      </w:r>
      <w:r w:rsidRPr="00025C15">
        <w:t xml:space="preserve"> years) has not been demonstrated</w:t>
      </w:r>
      <w:r w:rsidR="00FC57BF">
        <w:t>.</w:t>
      </w:r>
    </w:p>
    <w:p w14:paraId="7A0C401F" w14:textId="77777777" w:rsidR="00025C15" w:rsidRPr="00025C15" w:rsidRDefault="00025C15" w:rsidP="00025C15">
      <w:r w:rsidRPr="00025C15">
        <w:t xml:space="preserve">The </w:t>
      </w:r>
      <w:r w:rsidR="00813F32">
        <w:t>clinical evaluator</w:t>
      </w:r>
      <w:r w:rsidR="00FC57BF">
        <w:t xml:space="preserve"> </w:t>
      </w:r>
      <w:r w:rsidRPr="00025C15">
        <w:t>recommends</w:t>
      </w:r>
      <w:r w:rsidR="004A2386">
        <w:t xml:space="preserve"> </w:t>
      </w:r>
      <w:r w:rsidRPr="00025C15">
        <w:t xml:space="preserve">that </w:t>
      </w:r>
      <w:r w:rsidR="00716D4E">
        <w:t>Actair</w:t>
      </w:r>
      <w:r w:rsidRPr="00025C15">
        <w:t xml:space="preserve"> be approved but for the modified indication of only for adults </w:t>
      </w:r>
      <w:r w:rsidR="003C2457">
        <w:t>and adolescents aged &gt;</w:t>
      </w:r>
      <w:r w:rsidR="00EB2466">
        <w:t xml:space="preserve"> </w:t>
      </w:r>
      <w:r w:rsidR="003C2457">
        <w:t>12 years.</w:t>
      </w:r>
    </w:p>
    <w:p w14:paraId="4304E743" w14:textId="77777777" w:rsidR="00106CC3" w:rsidRPr="00106CC3" w:rsidRDefault="003E4F85" w:rsidP="00106CC3">
      <w:pPr>
        <w:pStyle w:val="Heading5"/>
      </w:pPr>
      <w:r>
        <w:t>Safety data submitted after CER</w:t>
      </w:r>
    </w:p>
    <w:p w14:paraId="2E28D4E0" w14:textId="53108A03" w:rsidR="00106CC3" w:rsidRPr="00106CC3" w:rsidRDefault="00106CC3" w:rsidP="00106CC3">
      <w:r>
        <w:t xml:space="preserve">In July to </w:t>
      </w:r>
      <w:r w:rsidRPr="00106CC3">
        <w:t>August 2</w:t>
      </w:r>
      <w:r w:rsidR="00057C7F">
        <w:t>01</w:t>
      </w:r>
      <w:r w:rsidRPr="00106CC3">
        <w:t xml:space="preserve">5 </w:t>
      </w:r>
      <w:r w:rsidR="007C39C9">
        <w:t>the sponsor</w:t>
      </w:r>
      <w:r w:rsidRPr="00106CC3">
        <w:t xml:space="preserve"> contacted TGA to advise:</w:t>
      </w:r>
    </w:p>
    <w:p w14:paraId="6F7B5F8D" w14:textId="4D36C61B" w:rsidR="00106CC3" w:rsidRPr="00106CC3" w:rsidRDefault="00106CC3" w:rsidP="00106CC3">
      <w:r w:rsidRPr="00106CC3">
        <w:t xml:space="preserve">“The FDA has made a recommendation that the following information be added as a </w:t>
      </w:r>
      <w:r w:rsidR="00EB2466">
        <w:t>‘</w:t>
      </w:r>
      <w:r w:rsidR="00EB2466" w:rsidRPr="00106CC3">
        <w:t>precaution</w:t>
      </w:r>
      <w:r w:rsidR="00EB2466">
        <w:t>’</w:t>
      </w:r>
      <w:r w:rsidRPr="00106CC3">
        <w:t xml:space="preserve"> to </w:t>
      </w:r>
      <w:r w:rsidRPr="005A71A2">
        <w:t xml:space="preserve">the </w:t>
      </w:r>
      <w:r w:rsidR="00EB2466" w:rsidRPr="005A71A2">
        <w:t>PI</w:t>
      </w:r>
      <w:r w:rsidR="002348C2" w:rsidRPr="005A71A2">
        <w:t xml:space="preserve"> </w:t>
      </w:r>
      <w:r w:rsidRPr="005A71A2">
        <w:t>for all sublingual immunotherapy products</w:t>
      </w:r>
      <w:r w:rsidR="00057C7F">
        <w:rPr>
          <w:rStyle w:val="FootnoteReference"/>
        </w:rPr>
        <w:footnoteReference w:id="38"/>
      </w:r>
      <w:r w:rsidRPr="005A71A2">
        <w:t>:</w:t>
      </w:r>
    </w:p>
    <w:p w14:paraId="6B0D9DAE" w14:textId="50315C2B" w:rsidR="00106CC3" w:rsidRPr="00106CC3" w:rsidRDefault="00106CC3" w:rsidP="003E4F85">
      <w:pPr>
        <w:ind w:left="720"/>
      </w:pPr>
      <w:r w:rsidRPr="00106CC3">
        <w:t xml:space="preserve">“Eosinophilic esophagitis has been reported in association with sublingual tablet immunotherapy. During treatment with </w:t>
      </w:r>
      <w:r w:rsidR="000D4492">
        <w:t>[</w:t>
      </w:r>
      <w:r w:rsidRPr="00106CC3">
        <w:t>O</w:t>
      </w:r>
      <w:r w:rsidR="003E4F85" w:rsidRPr="00106CC3">
        <w:t>ralair</w:t>
      </w:r>
      <w:r w:rsidR="000D4492">
        <w:t>]</w:t>
      </w:r>
      <w:r w:rsidR="003E4F85">
        <w:t>,</w:t>
      </w:r>
      <w:r w:rsidR="003E4F85">
        <w:rPr>
          <w:rStyle w:val="FootnoteReference"/>
        </w:rPr>
        <w:footnoteReference w:id="39"/>
      </w:r>
      <w:r w:rsidRPr="00106CC3">
        <w:t xml:space="preserve"> if severe or persistent gastroesophageal symptoms including dysphagia or chest pain occur, </w:t>
      </w:r>
      <w:r w:rsidR="000D4492">
        <w:t>[</w:t>
      </w:r>
      <w:r w:rsidRPr="00106CC3">
        <w:t>O</w:t>
      </w:r>
      <w:r w:rsidR="003E4F85" w:rsidRPr="00106CC3">
        <w:t>ralair</w:t>
      </w:r>
      <w:r w:rsidR="000D4492">
        <w:t>]</w:t>
      </w:r>
      <w:r w:rsidRPr="00106CC3">
        <w:t xml:space="preserve"> should be interrupted and the patient evaluated by their physician. Treatment should only be resumed upon instruction of the physician</w:t>
      </w:r>
      <w:r w:rsidR="003E4F85">
        <w:t>.”</w:t>
      </w:r>
    </w:p>
    <w:p w14:paraId="046706FD" w14:textId="77777777" w:rsidR="00106CC3" w:rsidRPr="00106CC3" w:rsidRDefault="00106CC3" w:rsidP="00106CC3">
      <w:r w:rsidRPr="00106CC3">
        <w:t xml:space="preserve">Additional, Eosinophilic esophagitis – should also be added to the </w:t>
      </w:r>
      <w:r w:rsidR="00EB2466">
        <w:t>‘</w:t>
      </w:r>
      <w:r w:rsidR="00EB2466" w:rsidRPr="00106CC3">
        <w:t>adverse effects</w:t>
      </w:r>
      <w:r w:rsidR="00EB2466">
        <w:t>’</w:t>
      </w:r>
      <w:r w:rsidR="00EB2466" w:rsidRPr="00106CC3">
        <w:t xml:space="preserve"> </w:t>
      </w:r>
      <w:r w:rsidRPr="00106CC3">
        <w:t>section of the PI.</w:t>
      </w:r>
      <w:r w:rsidR="003E4F85">
        <w:t xml:space="preserve"> </w:t>
      </w:r>
      <w:r w:rsidR="00EB2466">
        <w:t xml:space="preserve">The sponsor informed the TGA ‘that they had </w:t>
      </w:r>
      <w:r w:rsidRPr="00106CC3">
        <w:t>submitted the application for a change to Oralair, which is the sublingual tablet formulation consisting of allergens from pollen of 5 grass species</w:t>
      </w:r>
      <w:r w:rsidR="00EB2466">
        <w:t xml:space="preserve"> </w:t>
      </w:r>
      <w:r w:rsidRPr="00106CC3">
        <w:t>(AUST R 167565 &amp;167566). That application includes the safety related amendment for the “Eosinophilic esophagitis.</w:t>
      </w:r>
    </w:p>
    <w:p w14:paraId="7F83C53D" w14:textId="77777777" w:rsidR="00106CC3" w:rsidRPr="00106CC3" w:rsidRDefault="003E4F85" w:rsidP="00106CC3">
      <w:r>
        <w:t>The sponsor requested</w:t>
      </w:r>
      <w:r w:rsidR="00106CC3" w:rsidRPr="00106CC3">
        <w:t xml:space="preserve"> the advice of the TGA as to whether the above safety related information</w:t>
      </w:r>
      <w:r w:rsidR="0092250C">
        <w:t xml:space="preserve"> could be</w:t>
      </w:r>
      <w:r w:rsidR="00106CC3" w:rsidRPr="00106CC3">
        <w:t xml:space="preserve"> included into the A</w:t>
      </w:r>
      <w:r w:rsidR="0092250C" w:rsidRPr="00106CC3">
        <w:t>ctair</w:t>
      </w:r>
      <w:r w:rsidR="00106CC3" w:rsidRPr="00106CC3">
        <w:t xml:space="preserve"> PI while it is proceeding through i</w:t>
      </w:r>
      <w:r w:rsidR="0092250C">
        <w:t>ts evaluation as a new product.</w:t>
      </w:r>
    </w:p>
    <w:p w14:paraId="7D32B13D" w14:textId="3C73791B" w:rsidR="00106CC3" w:rsidRPr="00106CC3" w:rsidRDefault="00106CC3" w:rsidP="00106CC3">
      <w:r w:rsidRPr="00106CC3">
        <w:t>The sponsor submitted published case reports from literature as support for the eosinophilic esophagitis statements.</w:t>
      </w:r>
      <w:r w:rsidR="003E4F85">
        <w:t xml:space="preserve"> </w:t>
      </w:r>
      <w:r w:rsidR="003E4F85">
        <w:rPr>
          <w:rStyle w:val="FootnoteReference"/>
        </w:rPr>
        <w:footnoteReference w:id="40"/>
      </w:r>
      <w:r w:rsidR="003E4F85">
        <w:t>,</w:t>
      </w:r>
      <w:r w:rsidR="003E4F85">
        <w:rPr>
          <w:rStyle w:val="FootnoteReference"/>
        </w:rPr>
        <w:footnoteReference w:id="41"/>
      </w:r>
      <w:r w:rsidRPr="00106CC3">
        <w:t xml:space="preserve"> These case reports did not </w:t>
      </w:r>
      <w:r w:rsidR="00C61EAE" w:rsidRPr="00106CC3">
        <w:t>involv</w:t>
      </w:r>
      <w:r w:rsidR="00C61EAE">
        <w:t>e</w:t>
      </w:r>
      <w:r w:rsidR="00C61EAE" w:rsidRPr="00106CC3">
        <w:t xml:space="preserve"> </w:t>
      </w:r>
      <w:r w:rsidRPr="00106CC3">
        <w:t>Stallergenes SLIT allergens.</w:t>
      </w:r>
    </w:p>
    <w:p w14:paraId="1CC66993" w14:textId="77777777" w:rsidR="00106CC3" w:rsidRPr="00106CC3" w:rsidRDefault="00106CC3" w:rsidP="00106CC3">
      <w:r w:rsidRPr="00106CC3">
        <w:t>The sponsor at this time additionally propose</w:t>
      </w:r>
      <w:r w:rsidR="0092250C">
        <w:t>d changes to the ‘c</w:t>
      </w:r>
      <w:r w:rsidRPr="00106CC3">
        <w:t>ontraindications</w:t>
      </w:r>
      <w:r w:rsidR="0092250C">
        <w:t>’</w:t>
      </w:r>
      <w:r w:rsidRPr="00106CC3">
        <w:t xml:space="preserve"> sections of PI supported by a</w:t>
      </w:r>
      <w:r w:rsidR="007C39C9">
        <w:t>n</w:t>
      </w:r>
      <w:r w:rsidRPr="00106CC3">
        <w:t xml:space="preserve"> EAACI position paper.</w:t>
      </w:r>
      <w:bookmarkStart w:id="163" w:name="_Ref482634067"/>
      <w:r w:rsidR="003E4F85">
        <w:rPr>
          <w:rStyle w:val="FootnoteReference"/>
        </w:rPr>
        <w:footnoteReference w:id="42"/>
      </w:r>
      <w:bookmarkEnd w:id="163"/>
    </w:p>
    <w:p w14:paraId="02CCDBFC" w14:textId="77777777" w:rsidR="008E7846" w:rsidRDefault="00386150" w:rsidP="007B6132">
      <w:pPr>
        <w:pStyle w:val="Heading3"/>
        <w:rPr>
          <w:lang w:eastAsia="en-AU"/>
        </w:rPr>
      </w:pPr>
      <w:bookmarkStart w:id="164" w:name="_Toc482791314"/>
      <w:r>
        <w:rPr>
          <w:lang w:eastAsia="en-AU"/>
        </w:rPr>
        <w:lastRenderedPageBreak/>
        <w:t>Risk m</w:t>
      </w:r>
      <w:r w:rsidR="008E7846">
        <w:rPr>
          <w:lang w:eastAsia="en-AU"/>
        </w:rPr>
        <w:t xml:space="preserve">anagement </w:t>
      </w:r>
      <w:r>
        <w:rPr>
          <w:lang w:eastAsia="en-AU"/>
        </w:rPr>
        <w:t>p</w:t>
      </w:r>
      <w:r w:rsidR="008E7846">
        <w:rPr>
          <w:lang w:eastAsia="en-AU"/>
        </w:rPr>
        <w:t>lan</w:t>
      </w:r>
      <w:bookmarkEnd w:id="162"/>
      <w:bookmarkEnd w:id="164"/>
    </w:p>
    <w:p w14:paraId="08201324" w14:textId="77777777" w:rsidR="008E7846" w:rsidRDefault="003E4F85" w:rsidP="008E7846">
      <w:r w:rsidRPr="00025C15">
        <w:t>The sponsor has adequately addressed substantive issues identified in the first round RMP evaluation report.</w:t>
      </w:r>
      <w:r>
        <w:t xml:space="preserve"> </w:t>
      </w:r>
      <w:r w:rsidRPr="00025C15">
        <w:t xml:space="preserve">ACSOM advice was </w:t>
      </w:r>
      <w:r>
        <w:t>not sought for this submission.</w:t>
      </w:r>
    </w:p>
    <w:p w14:paraId="518AEF39" w14:textId="77777777" w:rsidR="008E7846" w:rsidRDefault="00AA0ED0" w:rsidP="008E7846">
      <w:pPr>
        <w:pStyle w:val="Heading3"/>
      </w:pPr>
      <w:bookmarkStart w:id="165" w:name="_Toc247691531"/>
      <w:bookmarkStart w:id="166" w:name="_Toc314842515"/>
      <w:bookmarkStart w:id="167" w:name="_Toc482791315"/>
      <w:bookmarkStart w:id="168" w:name="_Toc196046505"/>
      <w:bookmarkStart w:id="169" w:name="_Toc196046949"/>
      <w:r>
        <w:t>Risk-benefit a</w:t>
      </w:r>
      <w:r w:rsidR="008E7846">
        <w:t>nalysis</w:t>
      </w:r>
      <w:bookmarkEnd w:id="165"/>
      <w:bookmarkEnd w:id="166"/>
      <w:bookmarkEnd w:id="167"/>
    </w:p>
    <w:p w14:paraId="5A082F71" w14:textId="14EB39C1" w:rsidR="00FC57BF" w:rsidRDefault="00025C15" w:rsidP="00025C15">
      <w:r w:rsidRPr="00025C15">
        <w:t xml:space="preserve">This submission type was not </w:t>
      </w:r>
      <w:r w:rsidR="00CC0F32">
        <w:t xml:space="preserve">an </w:t>
      </w:r>
      <w:r w:rsidRPr="00025C15">
        <w:t>extension of indicatio</w:t>
      </w:r>
      <w:r w:rsidR="007C39C9">
        <w:t xml:space="preserve">ns but as a major variation to </w:t>
      </w:r>
      <w:r w:rsidR="00FC57BF">
        <w:t>A</w:t>
      </w:r>
      <w:r w:rsidR="00FC57BF" w:rsidRPr="00025C15">
        <w:t xml:space="preserve">lustal house dust mites extract </w:t>
      </w:r>
      <w:r w:rsidRPr="00025C15">
        <w:t xml:space="preserve">(AUST R 132680 </w:t>
      </w:r>
      <w:r w:rsidR="00FC57BF">
        <w:t>and</w:t>
      </w:r>
      <w:r w:rsidRPr="00025C15">
        <w:t xml:space="preserve"> AUST R 132725)</w:t>
      </w:r>
      <w:r w:rsidR="007C39C9">
        <w:t xml:space="preserve">. </w:t>
      </w:r>
      <w:r w:rsidRPr="00025C15">
        <w:t>The Alustal indications are</w:t>
      </w:r>
      <w:r w:rsidR="00FC57BF">
        <w:t>:</w:t>
      </w:r>
    </w:p>
    <w:p w14:paraId="0710F97E" w14:textId="77777777" w:rsidR="00025C15" w:rsidRPr="00FC57BF" w:rsidRDefault="00025C15" w:rsidP="00FC57BF">
      <w:pPr>
        <w:ind w:left="720"/>
        <w:rPr>
          <w:i/>
        </w:rPr>
      </w:pPr>
      <w:r w:rsidRPr="00FC57BF">
        <w:rPr>
          <w:i/>
        </w:rPr>
        <w:t>A</w:t>
      </w:r>
      <w:r w:rsidR="00FC57BF" w:rsidRPr="00FC57BF">
        <w:rPr>
          <w:i/>
        </w:rPr>
        <w:t>lustal</w:t>
      </w:r>
      <w:r w:rsidRPr="00FC57BF">
        <w:rPr>
          <w:i/>
        </w:rPr>
        <w:t xml:space="preserve"> treatment is indicated for patients with Type 1 allergy (</w:t>
      </w:r>
      <w:proofErr w:type="spellStart"/>
      <w:r w:rsidRPr="00FC57BF">
        <w:rPr>
          <w:i/>
        </w:rPr>
        <w:t>Gell</w:t>
      </w:r>
      <w:proofErr w:type="spellEnd"/>
      <w:r w:rsidRPr="00FC57BF">
        <w:rPr>
          <w:i/>
        </w:rPr>
        <w:t xml:space="preserve"> and Coombs classification), particularly presenting as seasonal or perennial rhinitis, conjunctivitis, rhinoconjunctivitis with or</w:t>
      </w:r>
      <w:r w:rsidR="004A2386" w:rsidRPr="00FC57BF">
        <w:rPr>
          <w:i/>
        </w:rPr>
        <w:t xml:space="preserve"> </w:t>
      </w:r>
      <w:r w:rsidR="00FC57BF">
        <w:rPr>
          <w:i/>
        </w:rPr>
        <w:t>without associated asthma.</w:t>
      </w:r>
    </w:p>
    <w:p w14:paraId="313FF86B" w14:textId="77777777" w:rsidR="004919AE" w:rsidRDefault="00025C15" w:rsidP="0092250C">
      <w:pPr>
        <w:keepNext/>
      </w:pPr>
      <w:r w:rsidRPr="00025C15">
        <w:t xml:space="preserve">The </w:t>
      </w:r>
      <w:r w:rsidR="00716D4E">
        <w:t>Actair</w:t>
      </w:r>
      <w:r w:rsidRPr="00025C15">
        <w:t xml:space="preserve"> indica</w:t>
      </w:r>
      <w:r w:rsidR="004919AE">
        <w:t>tions are currently proposed as:</w:t>
      </w:r>
    </w:p>
    <w:p w14:paraId="7E29E9B3" w14:textId="77777777" w:rsidR="004919AE" w:rsidRDefault="00025C15" w:rsidP="004919AE">
      <w:pPr>
        <w:ind w:left="720"/>
      </w:pPr>
      <w:r w:rsidRPr="004919AE">
        <w:rPr>
          <w:i/>
        </w:rPr>
        <w:t>Treatment of house dust mite allergic rhinitis with or without conjunctivitis in adults and adolescents over 12 years diagnose</w:t>
      </w:r>
      <w:r w:rsidR="004919AE" w:rsidRPr="004919AE">
        <w:rPr>
          <w:i/>
        </w:rPr>
        <w:t>d with house dust mite allergy</w:t>
      </w:r>
      <w:r w:rsidR="004919AE">
        <w:t>.</w:t>
      </w:r>
    </w:p>
    <w:p w14:paraId="28F76726" w14:textId="77777777" w:rsidR="00025C15" w:rsidRPr="00025C15" w:rsidRDefault="00FC57BF" w:rsidP="00025C15">
      <w:r>
        <w:t>The Delegate</w:t>
      </w:r>
      <w:r w:rsidR="00025C15" w:rsidRPr="00025C15">
        <w:t xml:space="preserve"> consider</w:t>
      </w:r>
      <w:r>
        <w:t>ed</w:t>
      </w:r>
      <w:r w:rsidR="00025C15" w:rsidRPr="00025C15">
        <w:t xml:space="preserve"> the </w:t>
      </w:r>
      <w:r w:rsidR="00716D4E">
        <w:t>Actair</w:t>
      </w:r>
      <w:r w:rsidR="00025C15" w:rsidRPr="00025C15">
        <w:t xml:space="preserve"> Indications represent a similar population to the A</w:t>
      </w:r>
      <w:r w:rsidRPr="00025C15">
        <w:t>lustal</w:t>
      </w:r>
      <w:r w:rsidR="00025C15" w:rsidRPr="00025C15">
        <w:t xml:space="preserve"> indications, except for the age limitation, and the proposed </w:t>
      </w:r>
      <w:r w:rsidR="00716D4E">
        <w:t>Actair</w:t>
      </w:r>
      <w:r w:rsidR="003C2457">
        <w:t xml:space="preserve"> indications are preferable.</w:t>
      </w:r>
    </w:p>
    <w:p w14:paraId="363CDEAB" w14:textId="34F9DE52" w:rsidR="00025C15" w:rsidRPr="00025C15" w:rsidRDefault="00025C15" w:rsidP="00025C15">
      <w:r w:rsidRPr="00025C15">
        <w:t xml:space="preserve">Efficacy of </w:t>
      </w:r>
      <w:r w:rsidR="00716D4E">
        <w:t>Actair</w:t>
      </w:r>
      <w:r w:rsidRPr="00025C15">
        <w:t xml:space="preserve"> was not demonstrated in Study V064.08 and efficacy has not been established in children </w:t>
      </w:r>
      <w:r w:rsidR="004919AE">
        <w:t>5 to 12</w:t>
      </w:r>
      <w:r w:rsidRPr="00025C15">
        <w:t xml:space="preserve"> years of age. The </w:t>
      </w:r>
      <w:r w:rsidR="00084440">
        <w:t>sponsor</w:t>
      </w:r>
      <w:r w:rsidRPr="00025C15">
        <w:t xml:space="preserve"> has accepted </w:t>
      </w:r>
      <w:r w:rsidR="004919AE">
        <w:t>i</w:t>
      </w:r>
      <w:r w:rsidRPr="00025C15">
        <w:t xml:space="preserve">ndications for use in adults and adolescents over 12 years. The </w:t>
      </w:r>
      <w:r w:rsidR="00084440">
        <w:t>sponsor</w:t>
      </w:r>
      <w:r w:rsidRPr="00025C15">
        <w:t xml:space="preserve"> does not propose to present Study V064.08 </w:t>
      </w:r>
      <w:r w:rsidR="000D4492">
        <w:t xml:space="preserve">in the </w:t>
      </w:r>
      <w:r w:rsidRPr="00025C15">
        <w:t xml:space="preserve">‘Clinical Trials’ Section of PI whereas </w:t>
      </w:r>
      <w:r w:rsidR="007C39C9">
        <w:t>the Delegate</w:t>
      </w:r>
      <w:r w:rsidRPr="00025C15">
        <w:t xml:space="preserve"> </w:t>
      </w:r>
      <w:r w:rsidR="007C39C9">
        <w:t>views</w:t>
      </w:r>
      <w:r w:rsidRPr="00025C15">
        <w:t xml:space="preserve"> some discussion as appro</w:t>
      </w:r>
      <w:r w:rsidR="003C2457">
        <w:t>priate in this section of PI.</w:t>
      </w:r>
    </w:p>
    <w:p w14:paraId="583712FF" w14:textId="70D2BDA3" w:rsidR="007C39C9" w:rsidRDefault="000D4492" w:rsidP="00025C15">
      <w:r>
        <w:t xml:space="preserve">As noted above </w:t>
      </w:r>
      <w:r w:rsidR="00CC0F32">
        <w:t>t</w:t>
      </w:r>
      <w:r w:rsidR="00025C15" w:rsidRPr="00025C15">
        <w:t xml:space="preserve">he </w:t>
      </w:r>
      <w:r w:rsidR="00084440">
        <w:t>sponsor</w:t>
      </w:r>
      <w:r w:rsidR="00025C15" w:rsidRPr="00025C15">
        <w:t xml:space="preserve"> has advised that a precaution concerning eosinophilic esophagitis had been introduced into the US PI for a related SLIT product “O</w:t>
      </w:r>
      <w:r w:rsidR="004919AE" w:rsidRPr="00025C15">
        <w:t>ralair</w:t>
      </w:r>
      <w:r w:rsidR="00025C15" w:rsidRPr="00025C15">
        <w:t>”. There are a small number of published case reports of eosinophilic esophagitis developing after commencement of SLIT.</w:t>
      </w:r>
    </w:p>
    <w:p w14:paraId="53E0A869" w14:textId="0A93E055" w:rsidR="00790DE0" w:rsidRDefault="007C39C9" w:rsidP="00025C15">
      <w:r>
        <w:t>The Delegate</w:t>
      </w:r>
      <w:r w:rsidR="004919AE">
        <w:t xml:space="preserve"> consider</w:t>
      </w:r>
      <w:r>
        <w:t>ed</w:t>
      </w:r>
      <w:r w:rsidR="004919AE">
        <w:t xml:space="preserve"> the benefit-</w:t>
      </w:r>
      <w:r w:rsidR="00025C15" w:rsidRPr="00025C15">
        <w:t xml:space="preserve">risk profile of </w:t>
      </w:r>
      <w:r w:rsidR="00716D4E">
        <w:t>Actair</w:t>
      </w:r>
      <w:r w:rsidR="00025C15" w:rsidRPr="00025C15">
        <w:t xml:space="preserve"> is largely unchanged and accept</w:t>
      </w:r>
      <w:r w:rsidR="00C61EAE">
        <w:t>ed</w:t>
      </w:r>
      <w:r w:rsidR="00025C15" w:rsidRPr="00025C15">
        <w:t xml:space="preserve"> the proposed precaution in </w:t>
      </w:r>
      <w:r w:rsidR="00C61EAE">
        <w:t xml:space="preserve">the </w:t>
      </w:r>
      <w:r w:rsidR="00025C15" w:rsidRPr="00025C15">
        <w:t>PI. The US PI for O</w:t>
      </w:r>
      <w:r w:rsidR="004919AE" w:rsidRPr="00025C15">
        <w:t>ralair</w:t>
      </w:r>
      <w:r w:rsidR="00025C15" w:rsidRPr="00025C15">
        <w:t xml:space="preserve"> also includes as a contraindication</w:t>
      </w:r>
      <w:r w:rsidR="004A2386">
        <w:t xml:space="preserve"> </w:t>
      </w:r>
      <w:r w:rsidR="00025C15" w:rsidRPr="00025C15">
        <w:t xml:space="preserve">“A history of eosinophilic esophagitis”. The ACPM </w:t>
      </w:r>
      <w:r>
        <w:t>was</w:t>
      </w:r>
      <w:r w:rsidR="00025C15" w:rsidRPr="00025C15">
        <w:t xml:space="preserve"> requested to advise whether</w:t>
      </w:r>
      <w:r w:rsidR="004A2386">
        <w:t xml:space="preserve"> </w:t>
      </w:r>
      <w:r w:rsidR="00025C15" w:rsidRPr="00025C15">
        <w:t>history of eosinophilic esophagitis</w:t>
      </w:r>
      <w:r w:rsidR="004A2386">
        <w:t xml:space="preserve"> </w:t>
      </w:r>
      <w:r w:rsidR="00025C15" w:rsidRPr="00025C15">
        <w:t>should be included under ‘Contraindications”</w:t>
      </w:r>
      <w:r w:rsidR="004A2386">
        <w:t xml:space="preserve"> </w:t>
      </w:r>
      <w:r w:rsidR="00025C15" w:rsidRPr="00025C15">
        <w:t xml:space="preserve">in the </w:t>
      </w:r>
      <w:r w:rsidR="00716D4E">
        <w:t>Actair</w:t>
      </w:r>
      <w:r w:rsidR="003C2457">
        <w:t xml:space="preserve"> PI</w:t>
      </w:r>
      <w:r w:rsidR="00790DE0">
        <w:t>.</w:t>
      </w:r>
    </w:p>
    <w:p w14:paraId="6CA9B3EF" w14:textId="5FC20BDA" w:rsidR="007C39C9" w:rsidRPr="007C39C9" w:rsidRDefault="00025C15" w:rsidP="00025C15">
      <w:pPr>
        <w:rPr>
          <w:i/>
        </w:rPr>
      </w:pPr>
      <w:r w:rsidRPr="00025C15">
        <w:t xml:space="preserve">The </w:t>
      </w:r>
      <w:r w:rsidR="00084440">
        <w:t>sponsor</w:t>
      </w:r>
      <w:r w:rsidRPr="00025C15">
        <w:t xml:space="preserve"> at a late stage of the evaluation proposed amendments to some</w:t>
      </w:r>
      <w:r w:rsidR="004A2386">
        <w:t xml:space="preserve"> </w:t>
      </w:r>
      <w:r w:rsidR="0092250C">
        <w:t>‘</w:t>
      </w:r>
      <w:r w:rsidR="000D4492">
        <w:t>C</w:t>
      </w:r>
      <w:r w:rsidRPr="00025C15">
        <w:t>ontraindications</w:t>
      </w:r>
      <w:r w:rsidR="0092250C">
        <w:t>’</w:t>
      </w:r>
      <w:r w:rsidR="004A2386">
        <w:t xml:space="preserve"> </w:t>
      </w:r>
      <w:r w:rsidRPr="00025C15">
        <w:t>based on a recently pub</w:t>
      </w:r>
      <w:r w:rsidR="0092250C">
        <w:t>lished EAACI position paper on c</w:t>
      </w:r>
      <w:r w:rsidRPr="00025C15">
        <w:t>linical contraindicati</w:t>
      </w:r>
      <w:r w:rsidR="003C2457">
        <w:t>ons to allergen immunotherapy</w:t>
      </w:r>
      <w:r w:rsidR="007C39C9">
        <w:t>. In relation to b</w:t>
      </w:r>
      <w:r w:rsidRPr="00025C15">
        <w:t>eta blockers</w:t>
      </w:r>
      <w:r w:rsidR="004A2386">
        <w:t xml:space="preserve"> </w:t>
      </w:r>
      <w:r w:rsidRPr="00025C15">
        <w:t>the EAACI position paper concludes</w:t>
      </w:r>
      <w:r w:rsidR="004919AE" w:rsidRPr="0092250C">
        <w:t xml:space="preserve">: </w:t>
      </w:r>
      <w:r w:rsidRPr="0092250C">
        <w:t>“</w:t>
      </w:r>
      <w:r w:rsidRPr="0092250C">
        <w:rPr>
          <w:i/>
        </w:rPr>
        <w:t xml:space="preserve">There is good evidence that anaphylaxis is not more frequent in patients receiving </w:t>
      </w:r>
      <w:r w:rsidR="008934EF">
        <w:t>β</w:t>
      </w:r>
      <w:r w:rsidR="008934EF" w:rsidRPr="00025C15">
        <w:t>-blockers</w:t>
      </w:r>
      <w:r w:rsidRPr="0092250C">
        <w:rPr>
          <w:i/>
        </w:rPr>
        <w:t>. On the other hand, these patients may be at increased risk of more severe systemic reactions and that emergency treatment could be ineffective. Based on the risk/benefit ratio, there is no contraindication for</w:t>
      </w:r>
      <w:r w:rsidR="00026149" w:rsidRPr="0092250C">
        <w:rPr>
          <w:i/>
        </w:rPr>
        <w:t xml:space="preserve"> VIT</w:t>
      </w:r>
      <w:r w:rsidR="002060D8">
        <w:rPr>
          <w:rStyle w:val="FootnoteReference"/>
          <w:i/>
        </w:rPr>
        <w:footnoteReference w:id="43"/>
      </w:r>
      <w:r w:rsidR="00026149" w:rsidRPr="0092250C">
        <w:rPr>
          <w:i/>
        </w:rPr>
        <w:t xml:space="preserve"> in patients treated with beta </w:t>
      </w:r>
      <w:r w:rsidRPr="0092250C">
        <w:rPr>
          <w:i/>
        </w:rPr>
        <w:t>blockers, and a relative contraindication for AIT with inhalant allerg</w:t>
      </w:r>
      <w:r w:rsidR="00026149" w:rsidRPr="0092250C">
        <w:rPr>
          <w:i/>
        </w:rPr>
        <w:t xml:space="preserve">ens. When feasible, beta </w:t>
      </w:r>
      <w:r w:rsidRPr="0092250C">
        <w:rPr>
          <w:i/>
        </w:rPr>
        <w:t>blockers should be substituted in patients on AIT, with an alternative. If</w:t>
      </w:r>
      <w:r w:rsidR="004A2386" w:rsidRPr="0092250C">
        <w:rPr>
          <w:i/>
        </w:rPr>
        <w:t xml:space="preserve"> </w:t>
      </w:r>
      <w:r w:rsidRPr="0092250C">
        <w:rPr>
          <w:i/>
        </w:rPr>
        <w:t>b</w:t>
      </w:r>
      <w:r w:rsidR="00026149" w:rsidRPr="0092250C">
        <w:rPr>
          <w:i/>
        </w:rPr>
        <w:t xml:space="preserve">eta </w:t>
      </w:r>
      <w:r w:rsidRPr="0092250C">
        <w:rPr>
          <w:i/>
        </w:rPr>
        <w:t>blockers are required and no effective substitute is available, patients should be evaluated careful</w:t>
      </w:r>
      <w:r w:rsidR="00026149" w:rsidRPr="0092250C">
        <w:rPr>
          <w:i/>
        </w:rPr>
        <w:t>ly, based on an individual risk-</w:t>
      </w:r>
      <w:r w:rsidRPr="0092250C">
        <w:rPr>
          <w:i/>
        </w:rPr>
        <w:t>benefit assessment (Table 2). Strength of recommendation: C”.</w:t>
      </w:r>
      <w:r w:rsidR="0092250C" w:rsidRPr="0092250C">
        <w:rPr>
          <w:i/>
          <w:vertAlign w:val="superscript"/>
        </w:rPr>
        <w:fldChar w:fldCharType="begin"/>
      </w:r>
      <w:r w:rsidR="0092250C" w:rsidRPr="0092250C">
        <w:rPr>
          <w:i/>
          <w:vertAlign w:val="superscript"/>
        </w:rPr>
        <w:instrText xml:space="preserve"> NOTEREF _Ref482634067 \h  \* MERGEFORMAT </w:instrText>
      </w:r>
      <w:r w:rsidR="0092250C" w:rsidRPr="0092250C">
        <w:rPr>
          <w:i/>
          <w:vertAlign w:val="superscript"/>
        </w:rPr>
      </w:r>
      <w:r w:rsidR="0092250C" w:rsidRPr="0092250C">
        <w:rPr>
          <w:i/>
          <w:vertAlign w:val="superscript"/>
        </w:rPr>
        <w:fldChar w:fldCharType="separate"/>
      </w:r>
      <w:r w:rsidR="0092250C" w:rsidRPr="0092250C">
        <w:rPr>
          <w:i/>
          <w:vertAlign w:val="superscript"/>
        </w:rPr>
        <w:t>37</w:t>
      </w:r>
      <w:r w:rsidR="0092250C" w:rsidRPr="0092250C">
        <w:rPr>
          <w:i/>
          <w:vertAlign w:val="superscript"/>
        </w:rPr>
        <w:fldChar w:fldCharType="end"/>
      </w:r>
    </w:p>
    <w:p w14:paraId="4568D854" w14:textId="77777777" w:rsidR="00025C15" w:rsidRPr="00025C15" w:rsidRDefault="00025C15" w:rsidP="00025C15">
      <w:r w:rsidRPr="00025C15">
        <w:t xml:space="preserve">The ACPM </w:t>
      </w:r>
      <w:r w:rsidR="0092250C">
        <w:t>was</w:t>
      </w:r>
      <w:r w:rsidRPr="00025C15">
        <w:t xml:space="preserve"> asked to comment </w:t>
      </w:r>
      <w:r w:rsidR="0092250C">
        <w:t>on whether the deletion of the ‘c</w:t>
      </w:r>
      <w:r w:rsidRPr="00025C15">
        <w:t>ontraindication</w:t>
      </w:r>
      <w:r w:rsidR="0092250C">
        <w:t>’</w:t>
      </w:r>
      <w:r w:rsidRPr="00025C15">
        <w:t xml:space="preserve"> “beta blocker co-medication” and inclusion of the ne</w:t>
      </w:r>
      <w:r w:rsidR="003C2457">
        <w:t>w precaution is appropriate.</w:t>
      </w:r>
    </w:p>
    <w:p w14:paraId="623FD5C5" w14:textId="77777777" w:rsidR="00025C15" w:rsidRPr="00025C15" w:rsidRDefault="00025C15" w:rsidP="00025C15">
      <w:r w:rsidRPr="00025C15">
        <w:lastRenderedPageBreak/>
        <w:t>Modifica</w:t>
      </w:r>
      <w:r w:rsidR="0092250C">
        <w:t>tion of the ‘contraindication’ “</w:t>
      </w:r>
      <w:r w:rsidRPr="00025C15">
        <w:t>in Immune deficiency or auto-immune disorders”</w:t>
      </w:r>
      <w:r w:rsidR="004A2386">
        <w:t xml:space="preserve"> </w:t>
      </w:r>
      <w:r w:rsidRPr="00025C15">
        <w:t>is proposed to “Immune deficiency diseases or active forms of auto-immune disorder”.</w:t>
      </w:r>
    </w:p>
    <w:p w14:paraId="45F8DCCE" w14:textId="63D1D34D" w:rsidR="00D44087" w:rsidRPr="00D44087" w:rsidRDefault="0092250C" w:rsidP="00025C15">
      <w:pPr>
        <w:rPr>
          <w:i/>
        </w:rPr>
      </w:pPr>
      <w:r>
        <w:t>In relation to a</w:t>
      </w:r>
      <w:r w:rsidR="00025C15" w:rsidRPr="00025C15">
        <w:t>utoimmune disorders the EAACI position paper concludes</w:t>
      </w:r>
      <w:r w:rsidR="004A2386">
        <w:t xml:space="preserve"> </w:t>
      </w:r>
      <w:r w:rsidR="00941402">
        <w:t>‘</w:t>
      </w:r>
      <w:r w:rsidR="00025C15" w:rsidRPr="0092250C">
        <w:rPr>
          <w:i/>
        </w:rPr>
        <w:t>Caution should be exercised when prescribing AIT to patients</w:t>
      </w:r>
      <w:r w:rsidR="004A2386" w:rsidRPr="0092250C">
        <w:rPr>
          <w:i/>
        </w:rPr>
        <w:t xml:space="preserve"> </w:t>
      </w:r>
      <w:r w:rsidR="00025C15" w:rsidRPr="0092250C">
        <w:rPr>
          <w:i/>
        </w:rPr>
        <w:t>with an autoimmune disorder. Due to a lack of available data, there is a relative contraindication in au</w:t>
      </w:r>
      <w:r w:rsidR="004919AE" w:rsidRPr="0092250C">
        <w:rPr>
          <w:i/>
        </w:rPr>
        <w:t xml:space="preserve">toimmune disorders in remission </w:t>
      </w:r>
      <w:r w:rsidR="00025C15" w:rsidRPr="0092250C">
        <w:rPr>
          <w:i/>
        </w:rPr>
        <w:t>and an absolute con</w:t>
      </w:r>
      <w:r w:rsidR="00026149" w:rsidRPr="0092250C">
        <w:rPr>
          <w:i/>
        </w:rPr>
        <w:t xml:space="preserve">traindication in active </w:t>
      </w:r>
      <w:r w:rsidR="00026149" w:rsidRPr="00D44087">
        <w:rPr>
          <w:i/>
        </w:rPr>
        <w:t>forms.</w:t>
      </w:r>
      <w:r w:rsidR="00D44087" w:rsidRPr="00D44087">
        <w:rPr>
          <w:i/>
        </w:rPr>
        <w:t xml:space="preserve"> </w:t>
      </w:r>
      <w:r w:rsidRPr="00D44087">
        <w:rPr>
          <w:i/>
        </w:rPr>
        <w:t>Strength of recommendation: D</w:t>
      </w:r>
      <w:proofErr w:type="gramStart"/>
      <w:r w:rsidRPr="00D44087">
        <w:rPr>
          <w:i/>
        </w:rPr>
        <w:t>.</w:t>
      </w:r>
      <w:r w:rsidR="00D44087" w:rsidRPr="00D44087">
        <w:rPr>
          <w:i/>
        </w:rPr>
        <w:t>‘</w:t>
      </w:r>
      <w:proofErr w:type="gramEnd"/>
    </w:p>
    <w:p w14:paraId="773B966F" w14:textId="03A4171B" w:rsidR="00D44087" w:rsidRDefault="00026149" w:rsidP="00025C15">
      <w:r>
        <w:t>In relation to a</w:t>
      </w:r>
      <w:r w:rsidR="00025C15" w:rsidRPr="00025C15">
        <w:t xml:space="preserve">cquired </w:t>
      </w:r>
      <w:r>
        <w:t xml:space="preserve">immune </w:t>
      </w:r>
      <w:r w:rsidR="00025C15" w:rsidRPr="00025C15">
        <w:t xml:space="preserve">deficiencies the </w:t>
      </w:r>
      <w:r w:rsidR="003C2457">
        <w:t>EAACI position paper conclud</w:t>
      </w:r>
      <w:r w:rsidR="0092250C">
        <w:t>es</w:t>
      </w:r>
      <w:r w:rsidR="00025C15" w:rsidRPr="0092250C">
        <w:rPr>
          <w:i/>
        </w:rPr>
        <w:t>“(</w:t>
      </w:r>
      <w:proofErr w:type="spellStart"/>
      <w:r w:rsidR="00025C15" w:rsidRPr="0092250C">
        <w:rPr>
          <w:i/>
        </w:rPr>
        <w:t>i</w:t>
      </w:r>
      <w:proofErr w:type="spellEnd"/>
      <w:r w:rsidR="00025C15" w:rsidRPr="0092250C">
        <w:rPr>
          <w:i/>
        </w:rPr>
        <w:t xml:space="preserve">) HIV infection is a relative contraindication for AIT; AIT can be performed on an individual basis. Strength of recommendation: D. (ii) </w:t>
      </w:r>
      <w:proofErr w:type="gramStart"/>
      <w:r w:rsidR="00025C15" w:rsidRPr="0092250C">
        <w:rPr>
          <w:i/>
        </w:rPr>
        <w:t>All</w:t>
      </w:r>
      <w:proofErr w:type="gramEnd"/>
      <w:r w:rsidR="00025C15" w:rsidRPr="0092250C">
        <w:rPr>
          <w:i/>
        </w:rPr>
        <w:t xml:space="preserve"> current</w:t>
      </w:r>
      <w:r w:rsidR="004A2386" w:rsidRPr="0092250C">
        <w:rPr>
          <w:i/>
        </w:rPr>
        <w:t xml:space="preserve"> </w:t>
      </w:r>
      <w:r w:rsidR="00025C15" w:rsidRPr="0092250C">
        <w:rPr>
          <w:i/>
        </w:rPr>
        <w:t xml:space="preserve">published cases refer to patients under </w:t>
      </w:r>
      <w:r w:rsidR="00025C15" w:rsidRPr="0057009B">
        <w:rPr>
          <w:i/>
        </w:rPr>
        <w:t>HAART. No</w:t>
      </w:r>
      <w:r w:rsidR="00025C15" w:rsidRPr="0092250C">
        <w:rPr>
          <w:i/>
        </w:rPr>
        <w:t xml:space="preserve"> evidence exists that AIT is </w:t>
      </w:r>
      <w:r w:rsidR="004919AE" w:rsidRPr="0092250C">
        <w:rPr>
          <w:i/>
        </w:rPr>
        <w:t xml:space="preserve">safe for untreated HIV-infected </w:t>
      </w:r>
      <w:r w:rsidR="00025C15" w:rsidRPr="0092250C">
        <w:rPr>
          <w:i/>
        </w:rPr>
        <w:t xml:space="preserve">patients, so in these cases it should be avoided. Any Category C stage </w:t>
      </w:r>
      <w:r w:rsidR="00025C15" w:rsidRPr="0057009B">
        <w:rPr>
          <w:i/>
        </w:rPr>
        <w:t>disease (CDC 1993 Classification) is</w:t>
      </w:r>
      <w:r w:rsidR="00025C15" w:rsidRPr="0092250C">
        <w:rPr>
          <w:i/>
        </w:rPr>
        <w:t xml:space="preserve"> considered</w:t>
      </w:r>
      <w:r w:rsidR="00D44087">
        <w:rPr>
          <w:i/>
        </w:rPr>
        <w:t xml:space="preserve"> an absolute contraindication. </w:t>
      </w:r>
      <w:r w:rsidR="00025C15" w:rsidRPr="00D44087">
        <w:rPr>
          <w:i/>
        </w:rPr>
        <w:t>Strength of</w:t>
      </w:r>
      <w:r w:rsidR="004919AE" w:rsidRPr="00D44087">
        <w:rPr>
          <w:i/>
        </w:rPr>
        <w:t xml:space="preserve"> </w:t>
      </w:r>
      <w:r w:rsidR="00025C15" w:rsidRPr="00D44087">
        <w:rPr>
          <w:i/>
        </w:rPr>
        <w:t>recommendation: NR.”</w:t>
      </w:r>
    </w:p>
    <w:p w14:paraId="44072B17" w14:textId="77777777" w:rsidR="00025C15" w:rsidRPr="00025C15" w:rsidRDefault="00025C15" w:rsidP="00025C15">
      <w:r w:rsidRPr="00025C15">
        <w:t xml:space="preserve">The ACPM </w:t>
      </w:r>
      <w:r w:rsidR="00D44087">
        <w:t>was</w:t>
      </w:r>
      <w:r w:rsidRPr="00025C15">
        <w:t xml:space="preserve"> asked to c</w:t>
      </w:r>
      <w:r w:rsidR="00D44087">
        <w:t>omment on whether the modified ‘c</w:t>
      </w:r>
      <w:r w:rsidRPr="00025C15">
        <w:t>ontraindication</w:t>
      </w:r>
      <w:r w:rsidR="00D44087">
        <w:t>’</w:t>
      </w:r>
      <w:r w:rsidRPr="00025C15">
        <w:t xml:space="preserve"> “Immune deficiency diseases or active forms of auto-i</w:t>
      </w:r>
      <w:r w:rsidR="003C2457">
        <w:t>mmune disorder” is appropriate.</w:t>
      </w:r>
    </w:p>
    <w:p w14:paraId="620CFA7A" w14:textId="49F60282" w:rsidR="00D23139" w:rsidRDefault="003C2457" w:rsidP="00D23139">
      <w:pPr>
        <w:pStyle w:val="Heading4"/>
      </w:pPr>
      <w:r>
        <w:t>Delegate’s considerations</w:t>
      </w:r>
    </w:p>
    <w:p w14:paraId="5F83BB35" w14:textId="77777777" w:rsidR="00025C15" w:rsidRPr="00025C15" w:rsidRDefault="00CD5DF4" w:rsidP="00025C15">
      <w:r>
        <w:t xml:space="preserve">The Delegate </w:t>
      </w:r>
      <w:r w:rsidR="00025C15" w:rsidRPr="00025C15">
        <w:t>consider</w:t>
      </w:r>
      <w:r>
        <w:t>ed</w:t>
      </w:r>
      <w:r w:rsidR="00025C15" w:rsidRPr="00025C15">
        <w:t xml:space="preserve"> the </w:t>
      </w:r>
      <w:r w:rsidR="00716D4E">
        <w:t>Actair</w:t>
      </w:r>
      <w:r>
        <w:t xml:space="preserve"> i</w:t>
      </w:r>
      <w:r w:rsidR="00025C15" w:rsidRPr="00025C15">
        <w:t>ndications represent a similar population to the A</w:t>
      </w:r>
      <w:r w:rsidRPr="00025C15">
        <w:t>lustal</w:t>
      </w:r>
      <w:r w:rsidR="00025C15" w:rsidRPr="00025C15">
        <w:t xml:space="preserve"> indications, except for the age limitation, and the proposed </w:t>
      </w:r>
      <w:r w:rsidR="00716D4E">
        <w:t>Actair</w:t>
      </w:r>
      <w:r w:rsidR="00025C15" w:rsidRPr="00025C15">
        <w:t xml:space="preserve"> indications are preferable.</w:t>
      </w:r>
    </w:p>
    <w:p w14:paraId="5BB1BFA3" w14:textId="39D7FC01" w:rsidR="00025C15" w:rsidRPr="00025C15" w:rsidRDefault="00025C15" w:rsidP="00025C15">
      <w:r w:rsidRPr="00025C15">
        <w:t xml:space="preserve">Efficacy of </w:t>
      </w:r>
      <w:r w:rsidR="00716D4E">
        <w:t>Actair</w:t>
      </w:r>
      <w:r w:rsidRPr="00025C15">
        <w:t xml:space="preserve"> was not demonstrated in Study V064.08 and efficacy has not been established in children </w:t>
      </w:r>
      <w:r w:rsidR="004919AE">
        <w:t>5 to 12</w:t>
      </w:r>
      <w:r w:rsidRPr="00025C15">
        <w:t xml:space="preserve"> years of age. The </w:t>
      </w:r>
      <w:r w:rsidR="00084440">
        <w:t>sponsor</w:t>
      </w:r>
      <w:r w:rsidR="00CD5DF4">
        <w:t xml:space="preserve"> has accepted i</w:t>
      </w:r>
      <w:r w:rsidRPr="00025C15">
        <w:t xml:space="preserve">ndications for use in adults and adolescents over 12 years. The </w:t>
      </w:r>
      <w:r w:rsidR="00084440">
        <w:t>sponsor</w:t>
      </w:r>
      <w:r w:rsidRPr="00025C15">
        <w:t xml:space="preserve"> does not propose to present Study V064.08 under ‘Clinical Trials’ Section of PI whereas </w:t>
      </w:r>
      <w:r w:rsidR="00CD5DF4">
        <w:t xml:space="preserve">the Delegate </w:t>
      </w:r>
      <w:r w:rsidRPr="00025C15">
        <w:t>s</w:t>
      </w:r>
      <w:r w:rsidR="00CD5DF4">
        <w:t>aw</w:t>
      </w:r>
      <w:r w:rsidRPr="00025C15">
        <w:t xml:space="preserve"> some discussion as appropriate in this section of PI.</w:t>
      </w:r>
    </w:p>
    <w:p w14:paraId="4D11B2D2" w14:textId="77777777" w:rsidR="00790DE0" w:rsidRDefault="00025C15" w:rsidP="00025C15">
      <w:r w:rsidRPr="00025C15">
        <w:t xml:space="preserve">There are a small number of published case reports of eosinophilic esophagitis developing after commencement of sublingual immunotherapy. </w:t>
      </w:r>
      <w:r w:rsidR="00CD5DF4">
        <w:t xml:space="preserve">The Delegate </w:t>
      </w:r>
      <w:r w:rsidRPr="00025C15">
        <w:t>accept</w:t>
      </w:r>
      <w:r w:rsidR="00CD5DF4">
        <w:t>ed</w:t>
      </w:r>
      <w:r w:rsidRPr="00025C15">
        <w:t xml:space="preserve"> the proposed Precaution concerning eosinophilic esophagitis in PI as appropriate. The US PI for a related sublingual allergen extract includes a contraindication “History of eosinophilic oesophagitis”</w:t>
      </w:r>
      <w:r w:rsidR="00790DE0">
        <w:t>.</w:t>
      </w:r>
    </w:p>
    <w:p w14:paraId="3B05FDA1" w14:textId="77777777" w:rsidR="00790DE0" w:rsidRDefault="00025C15" w:rsidP="00025C15">
      <w:r w:rsidRPr="00025C15">
        <w:t xml:space="preserve">The </w:t>
      </w:r>
      <w:r w:rsidR="00084440">
        <w:t>sponsor</w:t>
      </w:r>
      <w:r w:rsidRPr="00025C15">
        <w:t xml:space="preserve"> at a late stage of the evaluation h</w:t>
      </w:r>
      <w:r w:rsidR="003C2457">
        <w:t xml:space="preserve">as proposed amendments to some </w:t>
      </w:r>
      <w:r w:rsidRPr="00025C15">
        <w:t>Contraindications</w:t>
      </w:r>
      <w:r w:rsidR="004A2386">
        <w:t xml:space="preserve"> </w:t>
      </w:r>
      <w:r w:rsidRPr="00025C15">
        <w:t>based on a recently published EAACI position paper on clinical contraindications to allergen immunotherapy</w:t>
      </w:r>
      <w:r w:rsidR="00790DE0">
        <w:t>.</w:t>
      </w:r>
    </w:p>
    <w:p w14:paraId="6FDFCD12" w14:textId="56B43487" w:rsidR="00025C15" w:rsidRPr="00025C15" w:rsidRDefault="00025C15" w:rsidP="00025C15">
      <w:r w:rsidRPr="00025C15">
        <w:t xml:space="preserve">Deletion of the beta blocker co-medication is proposed together with new precautionary statements. </w:t>
      </w:r>
    </w:p>
    <w:p w14:paraId="77CB2598" w14:textId="2FBB2FE5" w:rsidR="00025C15" w:rsidRPr="00025C15" w:rsidRDefault="00025C15" w:rsidP="00025C15">
      <w:r w:rsidRPr="00025C15">
        <w:t>Amendment of a contraindication in immune deficiency and auto-</w:t>
      </w:r>
      <w:r w:rsidR="003C2457">
        <w:t>immune disorders is proposed</w:t>
      </w:r>
      <w:r w:rsidR="00C85349">
        <w:t>.</w:t>
      </w:r>
    </w:p>
    <w:p w14:paraId="476E3460" w14:textId="77777777" w:rsidR="00D23139" w:rsidRDefault="00D23139" w:rsidP="00D23139">
      <w:pPr>
        <w:pStyle w:val="Heading4"/>
      </w:pPr>
      <w:r w:rsidRPr="00D23139">
        <w:t>Proposed action</w:t>
      </w:r>
    </w:p>
    <w:p w14:paraId="69DC1FF6" w14:textId="77777777" w:rsidR="00025C15" w:rsidRPr="00025C15" w:rsidRDefault="00CD5DF4" w:rsidP="00025C15">
      <w:r>
        <w:t>The Delegate had</w:t>
      </w:r>
      <w:r w:rsidR="00025C15" w:rsidRPr="00025C15">
        <w:t xml:space="preserve"> no reason to say, at this time, that the application for (the product) should not be approved for registration</w:t>
      </w:r>
    </w:p>
    <w:p w14:paraId="3CC31F72" w14:textId="77777777" w:rsidR="00D23139" w:rsidRDefault="00D23139" w:rsidP="00D23139">
      <w:pPr>
        <w:pStyle w:val="Heading4"/>
      </w:pPr>
      <w:r w:rsidRPr="00D23139">
        <w:t>Request for ACPM advice</w:t>
      </w:r>
    </w:p>
    <w:p w14:paraId="249A34A7" w14:textId="77777777" w:rsidR="00025C15" w:rsidRPr="00025C15" w:rsidRDefault="00025C15" w:rsidP="00025C15">
      <w:r w:rsidRPr="00025C15">
        <w:t>The ACPM is requested to provide advice on the following specific issues:</w:t>
      </w:r>
    </w:p>
    <w:p w14:paraId="4AE2B525" w14:textId="77777777" w:rsidR="00025C15" w:rsidRPr="00025C15" w:rsidRDefault="00025C15" w:rsidP="004919AE">
      <w:pPr>
        <w:pStyle w:val="Numberbullet0"/>
      </w:pPr>
      <w:r w:rsidRPr="00025C15">
        <w:t xml:space="preserve">Do </w:t>
      </w:r>
      <w:r w:rsidR="00716D4E">
        <w:t>Actair</w:t>
      </w:r>
      <w:r w:rsidRPr="00025C15">
        <w:t xml:space="preserve"> Indications represent a similar population to the ALUSTAL indications, except for the age limitation, and are the proposed </w:t>
      </w:r>
      <w:r w:rsidR="00716D4E">
        <w:t>Actair</w:t>
      </w:r>
      <w:r w:rsidRPr="00025C15">
        <w:t xml:space="preserve"> indications are preferable?</w:t>
      </w:r>
    </w:p>
    <w:p w14:paraId="764C3B68" w14:textId="77777777" w:rsidR="00790DE0" w:rsidRDefault="00025C15" w:rsidP="004919AE">
      <w:pPr>
        <w:pStyle w:val="Numberbullet0"/>
      </w:pPr>
      <w:r w:rsidRPr="00025C15">
        <w:t>Should Study V064.08 efficacy results be summarised under ‘Clinical Trials’</w:t>
      </w:r>
      <w:r w:rsidR="004A2386">
        <w:t xml:space="preserve"> </w:t>
      </w:r>
      <w:r w:rsidRPr="00025C15">
        <w:t>Section of PI</w:t>
      </w:r>
      <w:r w:rsidR="00790DE0">
        <w:t>.</w:t>
      </w:r>
    </w:p>
    <w:p w14:paraId="6590055B" w14:textId="77777777" w:rsidR="00025C15" w:rsidRPr="00025C15" w:rsidRDefault="00025C15" w:rsidP="004919AE">
      <w:pPr>
        <w:pStyle w:val="Numberbullet0"/>
      </w:pPr>
      <w:r w:rsidRPr="00025C15">
        <w:lastRenderedPageBreak/>
        <w:t>In view of published case reports of eosinophilic esophagitis associated with sublingual immunotherapy products, should</w:t>
      </w:r>
      <w:r w:rsidR="004A2386">
        <w:t xml:space="preserve"> </w:t>
      </w:r>
      <w:r w:rsidRPr="00025C15">
        <w:t>“History of eosinophilic oesophagitis”</w:t>
      </w:r>
      <w:r w:rsidR="00712BE6">
        <w:t xml:space="preserve"> </w:t>
      </w:r>
      <w:r w:rsidRPr="00025C15">
        <w:t>be includ</w:t>
      </w:r>
      <w:r w:rsidR="00712BE6">
        <w:t>ed as a Contraindication in PI?</w:t>
      </w:r>
    </w:p>
    <w:p w14:paraId="612A6892" w14:textId="77777777" w:rsidR="00025C15" w:rsidRPr="00025C15" w:rsidRDefault="00025C15" w:rsidP="004919AE">
      <w:pPr>
        <w:pStyle w:val="Numberbullet0"/>
      </w:pPr>
      <w:r w:rsidRPr="00025C15">
        <w:t>Is the deletion of the Contraindication “beta blocker co-medication” and inclusion of the new precaution appropriate based on the EAACI position paper?</w:t>
      </w:r>
    </w:p>
    <w:p w14:paraId="32FA9430" w14:textId="77777777" w:rsidR="00025C15" w:rsidRPr="00025C15" w:rsidRDefault="00025C15" w:rsidP="004919AE">
      <w:pPr>
        <w:pStyle w:val="Numberbullet0"/>
      </w:pPr>
      <w:r w:rsidRPr="00025C15">
        <w:t>Is the amended Contraindication “Immune deficiency diseases or active forms of auto-immune disorder” appropriate based on the EAACI position paper?</w:t>
      </w:r>
    </w:p>
    <w:p w14:paraId="5213C589" w14:textId="77777777" w:rsidR="00025C15" w:rsidRPr="00025C15" w:rsidRDefault="00025C15" w:rsidP="00025C15">
      <w:r w:rsidRPr="00025C15">
        <w:t>The committee is (also) requested to provide advice on any other issues that it thinks may be relevant to a decision on whether or not to approve this application.</w:t>
      </w:r>
    </w:p>
    <w:p w14:paraId="5B8DF947" w14:textId="77777777" w:rsidR="00025C15" w:rsidRPr="00025C15" w:rsidRDefault="00D23139" w:rsidP="003C2457">
      <w:pPr>
        <w:pStyle w:val="Heading4"/>
      </w:pPr>
      <w:r w:rsidRPr="00D23139">
        <w:t xml:space="preserve">Response from </w:t>
      </w:r>
      <w:r w:rsidR="00084440">
        <w:t>sponsor</w:t>
      </w:r>
    </w:p>
    <w:p w14:paraId="70A0F0D5" w14:textId="77777777" w:rsidR="00025C15" w:rsidRPr="00025C15" w:rsidRDefault="00025C15" w:rsidP="004919AE">
      <w:pPr>
        <w:pStyle w:val="Heading5"/>
      </w:pPr>
      <w:r w:rsidRPr="00025C15">
        <w:t>I</w:t>
      </w:r>
      <w:r w:rsidR="004919AE" w:rsidRPr="00025C15">
        <w:t>ntroduction</w:t>
      </w:r>
    </w:p>
    <w:p w14:paraId="694405A0" w14:textId="77777777" w:rsidR="00790DE0" w:rsidRDefault="00025C15" w:rsidP="00025C15">
      <w:r w:rsidRPr="00025C15">
        <w:t xml:space="preserve">Stallergenes Australia Pty </w:t>
      </w:r>
      <w:proofErr w:type="gramStart"/>
      <w:r w:rsidRPr="00025C15">
        <w:t>Ltd,</w:t>
      </w:r>
      <w:proofErr w:type="gramEnd"/>
      <w:r w:rsidRPr="00025C15">
        <w:t xml:space="preserve"> submitted </w:t>
      </w:r>
      <w:r w:rsidR="00716D4E">
        <w:t>Actair</w:t>
      </w:r>
      <w:r w:rsidRPr="00025C15">
        <w:t xml:space="preserve"> sublingual tablets for registration as a variation to the approved subcutaneous injectable Alustal products in November 2014. The submission seeks to register a new dosage form (tablets) and route of administration (sublingual) of a 50% mixture of allergen extracts from European and American house dust mite. The presentations for </w:t>
      </w:r>
      <w:r w:rsidR="00716D4E">
        <w:t>Actair</w:t>
      </w:r>
      <w:r w:rsidRPr="00025C15">
        <w:t xml:space="preserve"> are an Initia</w:t>
      </w:r>
      <w:r w:rsidR="00712BE6">
        <w:t>tion treatment (composite pack</w:t>
      </w:r>
      <w:r w:rsidRPr="00025C15">
        <w:t xml:space="preserve"> containing 100 IR and 300 IR tablets) and a Maintenance treatment pack containing 300 IR tablets</w:t>
      </w:r>
      <w:r w:rsidR="00790DE0">
        <w:t>.</w:t>
      </w:r>
    </w:p>
    <w:p w14:paraId="7198BAD7" w14:textId="77777777" w:rsidR="00025C15" w:rsidRPr="00025C15" w:rsidRDefault="004919AE" w:rsidP="004919AE">
      <w:pPr>
        <w:pStyle w:val="Heading5"/>
      </w:pPr>
      <w:r>
        <w:t>Indication</w:t>
      </w:r>
    </w:p>
    <w:p w14:paraId="0B44C3A5" w14:textId="77777777" w:rsidR="004919AE" w:rsidRDefault="00025C15" w:rsidP="00025C15">
      <w:r w:rsidRPr="00025C15">
        <w:t>The i</w:t>
      </w:r>
      <w:r w:rsidR="004919AE">
        <w:t>nitial indication proposed was:</w:t>
      </w:r>
    </w:p>
    <w:p w14:paraId="68123607" w14:textId="3B29441A" w:rsidR="004919AE" w:rsidRPr="004919AE" w:rsidRDefault="00025C15" w:rsidP="004919AE">
      <w:pPr>
        <w:ind w:left="720"/>
        <w:rPr>
          <w:i/>
        </w:rPr>
      </w:pPr>
      <w:r w:rsidRPr="004919AE">
        <w:rPr>
          <w:i/>
        </w:rPr>
        <w:t>Treatment of house dust mite allergic rhinitis with or without conjunctivitis in adults, adolescents</w:t>
      </w:r>
      <w:r w:rsidR="00C61EAE">
        <w:rPr>
          <w:i/>
        </w:rPr>
        <w:t xml:space="preserve"> </w:t>
      </w:r>
      <w:r w:rsidRPr="004919AE">
        <w:rPr>
          <w:i/>
        </w:rPr>
        <w:t>and children 5 years and over diagnose</w:t>
      </w:r>
      <w:r w:rsidR="004919AE" w:rsidRPr="004919AE">
        <w:rPr>
          <w:i/>
        </w:rPr>
        <w:t>d with house dust mite allergy.</w:t>
      </w:r>
    </w:p>
    <w:p w14:paraId="1DAFA760" w14:textId="77777777" w:rsidR="00025C15" w:rsidRPr="00025C15" w:rsidRDefault="00025C15" w:rsidP="00025C15">
      <w:r w:rsidRPr="00025C15">
        <w:t xml:space="preserve">In accordance with the </w:t>
      </w:r>
      <w:r w:rsidR="004919AE">
        <w:t>D</w:t>
      </w:r>
      <w:r w:rsidRPr="00025C15">
        <w:t>elegate’s recommendations, the sponsor agreed to remove the indication for children and restrict the product for use in adults and adolescents. Therefore the indicati</w:t>
      </w:r>
      <w:r w:rsidR="004919AE">
        <w:t>on has been amended and is now:</w:t>
      </w:r>
    </w:p>
    <w:p w14:paraId="76B4D8E0" w14:textId="77777777" w:rsidR="00025C15" w:rsidRPr="004919AE" w:rsidRDefault="00025C15" w:rsidP="004919AE">
      <w:pPr>
        <w:ind w:left="720"/>
        <w:rPr>
          <w:i/>
        </w:rPr>
      </w:pPr>
      <w:r w:rsidRPr="004919AE">
        <w:rPr>
          <w:i/>
        </w:rPr>
        <w:t>Treatment of house dust mite allergic rhinitis with or without conjunctivitis in adults and adolescents over 12 years diagnosed with house dust mite allergy.</w:t>
      </w:r>
    </w:p>
    <w:p w14:paraId="12F102C3" w14:textId="77777777" w:rsidR="00025C15" w:rsidRPr="00025C15" w:rsidRDefault="004919AE" w:rsidP="004919AE">
      <w:pPr>
        <w:pStyle w:val="Heading5"/>
      </w:pPr>
      <w:r>
        <w:t>Dosage and Administration</w:t>
      </w:r>
    </w:p>
    <w:p w14:paraId="4303B035" w14:textId="77777777" w:rsidR="00790DE0" w:rsidRDefault="00025C15" w:rsidP="00025C15">
      <w:r w:rsidRPr="00025C15">
        <w:t>No change has been made to the dosage and administration other than changes coinciding with the amended indication</w:t>
      </w:r>
      <w:r w:rsidR="004919AE">
        <w:t>; that is,</w:t>
      </w:r>
      <w:r w:rsidRPr="00025C15">
        <w:t xml:space="preserve"> removal of reference to children 5 years and over</w:t>
      </w:r>
      <w:r w:rsidR="00790DE0">
        <w:t>.</w:t>
      </w:r>
    </w:p>
    <w:p w14:paraId="7F8BB206" w14:textId="77777777" w:rsidR="004919AE" w:rsidRDefault="004919AE" w:rsidP="004919AE">
      <w:pPr>
        <w:pStyle w:val="Heading5"/>
      </w:pPr>
      <w:r>
        <w:t>Overseas status</w:t>
      </w:r>
    </w:p>
    <w:p w14:paraId="2D39890A" w14:textId="1041AA4D" w:rsidR="00790DE0" w:rsidRDefault="00025C15" w:rsidP="00025C15">
      <w:r w:rsidRPr="00025C15">
        <w:t>Approval received in Japan on 26 Mar</w:t>
      </w:r>
      <w:r w:rsidR="004919AE">
        <w:t>ch</w:t>
      </w:r>
      <w:r w:rsidRPr="00025C15">
        <w:t xml:space="preserve"> 2015. Submissions made in NZ in </w:t>
      </w:r>
      <w:r w:rsidR="00C61EAE" w:rsidRPr="00025C15">
        <w:t>Feb</w:t>
      </w:r>
      <w:r w:rsidR="00C61EAE">
        <w:t>ruary</w:t>
      </w:r>
      <w:r w:rsidRPr="00025C15">
        <w:t xml:space="preserve"> 2015 and Korea in Jun</w:t>
      </w:r>
      <w:r w:rsidR="004919AE">
        <w:t>e</w:t>
      </w:r>
      <w:r w:rsidRPr="00025C15">
        <w:t xml:space="preserve"> 2015 and both are still in evaluation. The Indications in all submissions are essentially similar to those in Australia</w:t>
      </w:r>
      <w:r w:rsidR="00790DE0">
        <w:t>.</w:t>
      </w:r>
    </w:p>
    <w:p w14:paraId="134B1E06" w14:textId="77777777" w:rsidR="00025C15" w:rsidRPr="00025C15" w:rsidRDefault="004919AE" w:rsidP="004919AE">
      <w:pPr>
        <w:pStyle w:val="Heading5"/>
      </w:pPr>
      <w:r>
        <w:t>Serious ADR’s and PSUR</w:t>
      </w:r>
    </w:p>
    <w:p w14:paraId="43CB9A68" w14:textId="77777777" w:rsidR="00C97FF4" w:rsidRDefault="00025C15" w:rsidP="00C97FF4">
      <w:r w:rsidRPr="00025C15">
        <w:t>There are no new serious ADR’s to add, and the product has not yet been marketed therefore there is no PSUR.</w:t>
      </w:r>
    </w:p>
    <w:p w14:paraId="74EF5388" w14:textId="77777777" w:rsidR="00FC6352" w:rsidRPr="00C97FF4" w:rsidRDefault="00FC6352" w:rsidP="00C97FF4">
      <w:r>
        <w:t>The sponsor also raised issues regarding changes to the PI as requested in the clinical evaluation but discussion of these is beyond the scope of the AusPAR.</w:t>
      </w:r>
    </w:p>
    <w:p w14:paraId="1C647AC0" w14:textId="77777777" w:rsidR="00790DE0" w:rsidRDefault="00C97FF4" w:rsidP="004919AE">
      <w:pPr>
        <w:pStyle w:val="Heading5"/>
      </w:pPr>
      <w:r w:rsidRPr="00C97FF4">
        <w:t>Re</w:t>
      </w:r>
      <w:r w:rsidR="003C2457">
        <w:t>sponse to the D</w:t>
      </w:r>
      <w:r w:rsidRPr="00C97FF4">
        <w:t>elegate</w:t>
      </w:r>
      <w:r w:rsidR="00712BE6">
        <w:t>’s</w:t>
      </w:r>
      <w:r w:rsidRPr="00C97FF4">
        <w:t xml:space="preserve"> specific advice sought from ACPM</w:t>
      </w:r>
    </w:p>
    <w:p w14:paraId="55C5D26B" w14:textId="77777777" w:rsidR="00C97FF4" w:rsidRPr="004919AE" w:rsidRDefault="00C97FF4" w:rsidP="004919AE">
      <w:pPr>
        <w:pStyle w:val="Numberbullet0"/>
        <w:numPr>
          <w:ilvl w:val="0"/>
          <w:numId w:val="36"/>
        </w:numPr>
        <w:rPr>
          <w:i/>
        </w:rPr>
      </w:pPr>
      <w:r w:rsidRPr="004919AE">
        <w:rPr>
          <w:i/>
        </w:rPr>
        <w:t xml:space="preserve">Do Actair indications represent a similar population to the Alustal indications, except for the age limitation and are the proposed </w:t>
      </w:r>
      <w:r w:rsidR="004919AE">
        <w:rPr>
          <w:i/>
        </w:rPr>
        <w:t>Actair indications preferable?</w:t>
      </w:r>
    </w:p>
    <w:p w14:paraId="21263554" w14:textId="77777777" w:rsidR="00C97FF4" w:rsidRPr="00C97FF4" w:rsidRDefault="00C97FF4" w:rsidP="00C97FF4">
      <w:r w:rsidRPr="00C97FF4">
        <w:lastRenderedPageBreak/>
        <w:t>The Alustal indications are broad as they cover a wide range of allergens in one PI (11 different Allergens or mixes). Hence the Alustal indications as stated on the ARTG and PI ar</w:t>
      </w:r>
      <w:r w:rsidR="004919AE">
        <w:t>e:</w:t>
      </w:r>
    </w:p>
    <w:p w14:paraId="51D8A4EA" w14:textId="77777777" w:rsidR="00C97FF4" w:rsidRPr="004919AE" w:rsidRDefault="00C97FF4" w:rsidP="004919AE">
      <w:pPr>
        <w:ind w:left="720"/>
        <w:rPr>
          <w:i/>
        </w:rPr>
      </w:pPr>
      <w:proofErr w:type="gramStart"/>
      <w:r w:rsidRPr="004919AE">
        <w:rPr>
          <w:i/>
        </w:rPr>
        <w:t>Treatment of patients with Type 1 allergy (</w:t>
      </w:r>
      <w:proofErr w:type="spellStart"/>
      <w:r w:rsidRPr="004919AE">
        <w:rPr>
          <w:i/>
        </w:rPr>
        <w:t>Gells</w:t>
      </w:r>
      <w:proofErr w:type="spellEnd"/>
      <w:r w:rsidRPr="004919AE">
        <w:rPr>
          <w:i/>
        </w:rPr>
        <w:t xml:space="preserve"> and Coombs classification), particularly presenting as seasonal or perennial rhinitis, conjunc</w:t>
      </w:r>
      <w:r w:rsidR="004919AE" w:rsidRPr="004919AE">
        <w:rPr>
          <w:i/>
        </w:rPr>
        <w:t>tivitis with or without asthma.</w:t>
      </w:r>
      <w:proofErr w:type="gramEnd"/>
    </w:p>
    <w:p w14:paraId="7F3B9732" w14:textId="77777777" w:rsidR="004919AE" w:rsidRDefault="00C97FF4" w:rsidP="00613032">
      <w:r w:rsidRPr="00613032">
        <w:t>With</w:t>
      </w:r>
      <w:r w:rsidR="004919AE" w:rsidRPr="00613032">
        <w:t>in the Alustal range there are three</w:t>
      </w:r>
      <w:r w:rsidRPr="00613032">
        <w:t xml:space="preserve"> presentations which include HDM allergens. There is the mix of both American and European HDM, which is the equivalent of the Actair allergen mix, and</w:t>
      </w:r>
      <w:r w:rsidR="00613032">
        <w:t xml:space="preserve"> t</w:t>
      </w:r>
      <w:r w:rsidRPr="00C97FF4">
        <w:t>here are the individual preparations for</w:t>
      </w:r>
      <w:r w:rsidR="004919AE">
        <w:t xml:space="preserve"> American HDM and European HDM.</w:t>
      </w:r>
    </w:p>
    <w:p w14:paraId="2C245279" w14:textId="77777777" w:rsidR="00C97FF4" w:rsidRPr="00C97FF4" w:rsidRDefault="00C97FF4" w:rsidP="00C97FF4">
      <w:r w:rsidRPr="00C97FF4">
        <w:t xml:space="preserve">HDM allergy is considered to be a perennial condition associated with symptoms of rhinitis and/or conjunctivitis. Hence the Alustal indication does include patients diagnosed to be allergic to HDM, and therefore the </w:t>
      </w:r>
      <w:r w:rsidR="00716D4E">
        <w:t>Actair</w:t>
      </w:r>
      <w:r w:rsidRPr="00C97FF4">
        <w:t xml:space="preserve"> indication can be seen to represent a subset of the broad population indicated by Alustal</w:t>
      </w:r>
      <w:r w:rsidR="00613032">
        <w:t xml:space="preserve">. </w:t>
      </w:r>
      <w:r w:rsidRPr="00C97FF4">
        <w:t xml:space="preserve">As the </w:t>
      </w:r>
      <w:r w:rsidR="00716D4E">
        <w:t>Actair</w:t>
      </w:r>
      <w:r w:rsidRPr="00C97FF4">
        <w:t xml:space="preserve"> indication is sp</w:t>
      </w:r>
      <w:r w:rsidR="004919AE">
        <w:t>ecific for one type of allergy;</w:t>
      </w:r>
      <w:r w:rsidRPr="00C97FF4">
        <w:t xml:space="preserve"> HDM allergy, the </w:t>
      </w:r>
      <w:r w:rsidR="00716D4E">
        <w:t>Actair</w:t>
      </w:r>
      <w:r w:rsidRPr="00C97FF4">
        <w:t xml:space="preserve"> indication is preferable to the broader Alustal indication. The </w:t>
      </w:r>
      <w:r w:rsidR="00716D4E">
        <w:t>Actair</w:t>
      </w:r>
      <w:r w:rsidR="004919AE">
        <w:t xml:space="preserve"> indication is:</w:t>
      </w:r>
    </w:p>
    <w:p w14:paraId="087CC8CC" w14:textId="77777777" w:rsidR="00C97FF4" w:rsidRPr="004919AE" w:rsidRDefault="00C97FF4" w:rsidP="004919AE">
      <w:pPr>
        <w:ind w:left="720"/>
        <w:rPr>
          <w:i/>
        </w:rPr>
      </w:pPr>
      <w:r w:rsidRPr="004919AE">
        <w:rPr>
          <w:i/>
        </w:rPr>
        <w:t>Treatment of house dust mite allergic rhinitis with or without conjunctivitis in adults and adolescents over 12 years diagnosed</w:t>
      </w:r>
      <w:r w:rsidR="004919AE">
        <w:rPr>
          <w:i/>
        </w:rPr>
        <w:t xml:space="preserve"> with house dust mite allergy.</w:t>
      </w:r>
    </w:p>
    <w:p w14:paraId="362FEF9C" w14:textId="77777777" w:rsidR="00C97FF4" w:rsidRPr="00C97FF4" w:rsidRDefault="00C97FF4" w:rsidP="00C97FF4">
      <w:r w:rsidRPr="00C97FF4">
        <w:t xml:space="preserve">Furthermore it should be noted that a similar product Oralair which is a sublingual tablet for the treatment of grass pollen allergies has a similar indication to the one proposed for </w:t>
      </w:r>
      <w:r w:rsidR="00716D4E">
        <w:t>Actair</w:t>
      </w:r>
      <w:r w:rsidR="004919AE">
        <w:t>:</w:t>
      </w:r>
    </w:p>
    <w:p w14:paraId="680801AC" w14:textId="77777777" w:rsidR="00790DE0" w:rsidRPr="004919AE" w:rsidRDefault="00C97FF4" w:rsidP="004919AE">
      <w:pPr>
        <w:ind w:left="720"/>
        <w:rPr>
          <w:i/>
        </w:rPr>
      </w:pPr>
      <w:proofErr w:type="gramStart"/>
      <w:r w:rsidRPr="004919AE">
        <w:rPr>
          <w:i/>
        </w:rPr>
        <w:t xml:space="preserve">Treatment of grass pollen allergic rhinitis with or without conjunctivitis in adults, adolescents and children (above the age of 5) with clinically relevant symptoms, confirmed by a positive cutaneous test and/or a positive titre of the specific </w:t>
      </w:r>
      <w:proofErr w:type="spellStart"/>
      <w:r w:rsidRPr="004919AE">
        <w:rPr>
          <w:i/>
        </w:rPr>
        <w:t>IgE</w:t>
      </w:r>
      <w:proofErr w:type="spellEnd"/>
      <w:r w:rsidRPr="004919AE">
        <w:rPr>
          <w:i/>
        </w:rPr>
        <w:t xml:space="preserve"> to the grass pollen</w:t>
      </w:r>
      <w:r w:rsidR="00790DE0" w:rsidRPr="004919AE">
        <w:rPr>
          <w:i/>
        </w:rPr>
        <w:t>.</w:t>
      </w:r>
      <w:proofErr w:type="gramEnd"/>
    </w:p>
    <w:p w14:paraId="163500B3" w14:textId="77777777" w:rsidR="00C97FF4" w:rsidRPr="004919AE" w:rsidRDefault="00C97FF4" w:rsidP="00C97FF4">
      <w:pPr>
        <w:pStyle w:val="Numberbullet0"/>
        <w:rPr>
          <w:i/>
        </w:rPr>
      </w:pPr>
      <w:r w:rsidRPr="004919AE">
        <w:rPr>
          <w:i/>
        </w:rPr>
        <w:t>Should study VO64.08 efficacy results be summarised under clinical trials section of the PI</w:t>
      </w:r>
      <w:r w:rsidR="00790DE0" w:rsidRPr="004919AE">
        <w:rPr>
          <w:i/>
        </w:rPr>
        <w:t>.</w:t>
      </w:r>
    </w:p>
    <w:p w14:paraId="0A688502" w14:textId="77777777" w:rsidR="00790DE0" w:rsidRDefault="004919AE" w:rsidP="00C97FF4">
      <w:r>
        <w:t>The company agrees with the D</w:t>
      </w:r>
      <w:r w:rsidR="00C97FF4" w:rsidRPr="00C97FF4">
        <w:t>elegate’s proposal to include the following text into the PI</w:t>
      </w:r>
      <w:r w:rsidR="00790DE0">
        <w:t>.</w:t>
      </w:r>
    </w:p>
    <w:p w14:paraId="66C3571F" w14:textId="77777777" w:rsidR="00790DE0" w:rsidRDefault="00C97FF4" w:rsidP="00C97FF4">
      <w:r w:rsidRPr="00C97FF4">
        <w:t>Clinical experience in children: Study 3</w:t>
      </w:r>
      <w:r w:rsidR="004919AE">
        <w:t>;</w:t>
      </w:r>
      <w:r w:rsidRPr="00C97FF4">
        <w:t xml:space="preserve"> During a European, mu</w:t>
      </w:r>
      <w:r w:rsidR="00613032">
        <w:t xml:space="preserve">ltinational, randomized, double blind, placebo </w:t>
      </w:r>
      <w:r w:rsidRPr="00C97FF4">
        <w:t>controlled study, 471 patients from 5 to 17 years old received either the 300 IR dose (n</w:t>
      </w:r>
      <w:r w:rsidR="004919AE">
        <w:t xml:space="preserve"> </w:t>
      </w:r>
      <w:r w:rsidRPr="00C97FF4">
        <w:t>=</w:t>
      </w:r>
      <w:r w:rsidR="004919AE">
        <w:t xml:space="preserve"> </w:t>
      </w:r>
      <w:r w:rsidRPr="00C97FF4">
        <w:t>241) of sublingual tablet of house dust mites allergen extract or placebo (n</w:t>
      </w:r>
      <w:r w:rsidR="004919AE">
        <w:t xml:space="preserve"> </w:t>
      </w:r>
      <w:r w:rsidRPr="00C97FF4">
        <w:t>=</w:t>
      </w:r>
      <w:r w:rsidR="004919AE">
        <w:t xml:space="preserve"> </w:t>
      </w:r>
      <w:r w:rsidRPr="00C97FF4">
        <w:t xml:space="preserve">230) daily for 12 months. The patients were not sufficiently symptomatic to enable assessment of the efficacy of </w:t>
      </w:r>
      <w:r w:rsidR="00716D4E">
        <w:t>Actair</w:t>
      </w:r>
      <w:r w:rsidR="00790DE0">
        <w:t>.</w:t>
      </w:r>
    </w:p>
    <w:p w14:paraId="6EF21F58" w14:textId="77777777" w:rsidR="00790DE0" w:rsidRPr="004919AE" w:rsidRDefault="00C97FF4" w:rsidP="004919AE">
      <w:pPr>
        <w:pStyle w:val="Numberbullet0"/>
        <w:rPr>
          <w:i/>
        </w:rPr>
      </w:pPr>
      <w:r w:rsidRPr="004919AE">
        <w:rPr>
          <w:i/>
        </w:rPr>
        <w:t>In view of published case reports of eosinophilic esophagitis associated with sublingual immunotherapy products should “History of eosinophilic oesophagitis” be included as a contraindication in the PI</w:t>
      </w:r>
      <w:r w:rsidR="00790DE0" w:rsidRPr="004919AE">
        <w:rPr>
          <w:i/>
        </w:rPr>
        <w:t>.</w:t>
      </w:r>
    </w:p>
    <w:p w14:paraId="59A96010" w14:textId="77777777" w:rsidR="00790DE0" w:rsidRDefault="00C97FF4" w:rsidP="00C97FF4">
      <w:r w:rsidRPr="00C97FF4">
        <w:t xml:space="preserve">At this stage, the company does </w:t>
      </w:r>
      <w:r w:rsidR="004919AE" w:rsidRPr="00C97FF4">
        <w:t>believe</w:t>
      </w:r>
      <w:r w:rsidRPr="00C97FF4">
        <w:t xml:space="preserve"> it is not necessary to include a contraindication for patients with a history of eosinophilic esophagitis (</w:t>
      </w:r>
      <w:proofErr w:type="spellStart"/>
      <w:proofErr w:type="gramStart"/>
      <w:r w:rsidRPr="00C97FF4">
        <w:t>EoE</w:t>
      </w:r>
      <w:proofErr w:type="spellEnd"/>
      <w:proofErr w:type="gramEnd"/>
      <w:r w:rsidRPr="00C97FF4">
        <w:t xml:space="preserve">) at the time of starting </w:t>
      </w:r>
      <w:r w:rsidR="00C50DDD">
        <w:t>AIT</w:t>
      </w:r>
      <w:r w:rsidRPr="00C97FF4">
        <w:t xml:space="preserve">. This decision is based on a review of the available published information and the extensive post marketing experience, where it has been shown that patients with a past history of </w:t>
      </w:r>
      <w:proofErr w:type="spellStart"/>
      <w:proofErr w:type="gramStart"/>
      <w:r w:rsidRPr="00C97FF4">
        <w:t>EoE</w:t>
      </w:r>
      <w:proofErr w:type="spellEnd"/>
      <w:proofErr w:type="gramEnd"/>
      <w:r w:rsidRPr="00C97FF4">
        <w:t xml:space="preserve"> are able to get benefit from AIT without</w:t>
      </w:r>
      <w:r w:rsidR="002529CD">
        <w:t xml:space="preserve"> additional risk. Furthermore, e</w:t>
      </w:r>
      <w:r w:rsidRPr="00C97FF4">
        <w:t xml:space="preserve">osinophilia is a common finding in clinical practice of allergy. Therefore, excluding patients from AIT on the basis of past history of </w:t>
      </w:r>
      <w:proofErr w:type="spellStart"/>
      <w:proofErr w:type="gramStart"/>
      <w:r w:rsidRPr="00C97FF4">
        <w:t>EoE</w:t>
      </w:r>
      <w:proofErr w:type="spellEnd"/>
      <w:proofErr w:type="gramEnd"/>
      <w:r w:rsidRPr="00C97FF4">
        <w:t xml:space="preserve"> would exclude a large number of patients who may derive potential benefit for AIT. Below is a brief summary of the consolidated information from the literature and post marketing </w:t>
      </w:r>
      <w:proofErr w:type="gramStart"/>
      <w:r w:rsidRPr="00C97FF4">
        <w:t>experience</w:t>
      </w:r>
      <w:r w:rsidR="00534160">
        <w:t>.</w:t>
      </w:r>
      <w:proofErr w:type="gramEnd"/>
    </w:p>
    <w:p w14:paraId="51D731A2" w14:textId="77777777" w:rsidR="00790DE0" w:rsidRDefault="00C97FF4" w:rsidP="00C97FF4">
      <w:r w:rsidRPr="00C97FF4">
        <w:t>”</w:t>
      </w:r>
      <w:r w:rsidR="00623677">
        <w:t>Eosinophilic esophagitis</w:t>
      </w:r>
      <w:r w:rsidR="00623677" w:rsidRPr="00C97FF4">
        <w:t xml:space="preserve"> </w:t>
      </w:r>
      <w:r w:rsidR="00623677">
        <w:t>(</w:t>
      </w:r>
      <w:proofErr w:type="spellStart"/>
      <w:r w:rsidRPr="00C97FF4">
        <w:t>EoE</w:t>
      </w:r>
      <w:proofErr w:type="spellEnd"/>
      <w:r w:rsidR="00623677">
        <w:t>)</w:t>
      </w:r>
      <w:r w:rsidRPr="00C97FF4">
        <w:t xml:space="preserve"> is considered an extrinsic eosinophilic disorder and patients typically present with severe or persistent dysphagia or chest pain and are referred to a gastroenterologist. The reported incidence of </w:t>
      </w:r>
      <w:proofErr w:type="spellStart"/>
      <w:proofErr w:type="gramStart"/>
      <w:r w:rsidRPr="00C97FF4">
        <w:t>EoE</w:t>
      </w:r>
      <w:proofErr w:type="spellEnd"/>
      <w:proofErr w:type="gramEnd"/>
      <w:r w:rsidRPr="00C97FF4">
        <w:t xml:space="preserve"> in the general population ranges from 1/70 000 to 4/1000. The aetiologies of </w:t>
      </w:r>
      <w:proofErr w:type="spellStart"/>
      <w:proofErr w:type="gramStart"/>
      <w:r w:rsidRPr="00C97FF4">
        <w:t>EoE</w:t>
      </w:r>
      <w:proofErr w:type="spellEnd"/>
      <w:proofErr w:type="gramEnd"/>
      <w:r w:rsidRPr="00C97FF4">
        <w:t xml:space="preserve"> are not fully identified, but an </w:t>
      </w:r>
      <w:r w:rsidRPr="00C97FF4">
        <w:lastRenderedPageBreak/>
        <w:t xml:space="preserve">association between </w:t>
      </w:r>
      <w:proofErr w:type="spellStart"/>
      <w:r w:rsidRPr="00C97FF4">
        <w:t>EoE</w:t>
      </w:r>
      <w:proofErr w:type="spellEnd"/>
      <w:r w:rsidRPr="00C97FF4">
        <w:t xml:space="preserve"> and food allergies is recognised, suggesting that food antigens may be a possible cause</w:t>
      </w:r>
      <w:r w:rsidR="00273031">
        <w:t>.</w:t>
      </w:r>
      <w:r w:rsidR="00273031">
        <w:rPr>
          <w:rStyle w:val="FootnoteReference"/>
        </w:rPr>
        <w:footnoteReference w:id="44"/>
      </w:r>
      <w:r w:rsidRPr="00C97FF4">
        <w:t xml:space="preserve"> Environmental allergens have also been implicated as possible contributors in the evolution of the disease, as described in a case of </w:t>
      </w:r>
      <w:proofErr w:type="spellStart"/>
      <w:proofErr w:type="gramStart"/>
      <w:r w:rsidRPr="00C97FF4">
        <w:t>EoE</w:t>
      </w:r>
      <w:proofErr w:type="spellEnd"/>
      <w:proofErr w:type="gramEnd"/>
      <w:r w:rsidRPr="00C97FF4">
        <w:t xml:space="preserve"> exacerbation during the pollen season</w:t>
      </w:r>
      <w:r w:rsidR="00624305">
        <w:t>.</w:t>
      </w:r>
      <w:r w:rsidR="00624305">
        <w:rPr>
          <w:rStyle w:val="FootnoteReference"/>
        </w:rPr>
        <w:footnoteReference w:id="45"/>
      </w:r>
      <w:r w:rsidRPr="00C97FF4">
        <w:t xml:space="preserve"> It is noteworthy that most patients developing </w:t>
      </w:r>
      <w:proofErr w:type="spellStart"/>
      <w:proofErr w:type="gramStart"/>
      <w:r w:rsidRPr="00C97FF4">
        <w:t>EoE</w:t>
      </w:r>
      <w:proofErr w:type="spellEnd"/>
      <w:proofErr w:type="gramEnd"/>
      <w:r w:rsidRPr="00C97FF4">
        <w:t xml:space="preserve"> have underlying allergic disease suggesting a strong allergic component of this disease. The literature suggests that </w:t>
      </w:r>
      <w:proofErr w:type="spellStart"/>
      <w:proofErr w:type="gramStart"/>
      <w:r w:rsidRPr="00C97FF4">
        <w:t>EoE</w:t>
      </w:r>
      <w:proofErr w:type="spellEnd"/>
      <w:proofErr w:type="gramEnd"/>
      <w:r w:rsidRPr="00C97FF4">
        <w:t xml:space="preserve"> is not associated with</w:t>
      </w:r>
      <w:r w:rsidR="002529CD">
        <w:t xml:space="preserve"> </w:t>
      </w:r>
      <w:r w:rsidRPr="00C97FF4">
        <w:t>an increased risk of developing premalignant or malignant lesions and is not associated with a decreased life expectancy</w:t>
      </w:r>
      <w:r w:rsidR="00624305">
        <w:t>.</w:t>
      </w:r>
      <w:r w:rsidR="00624305">
        <w:rPr>
          <w:rStyle w:val="FootnoteReference"/>
        </w:rPr>
        <w:footnoteReference w:id="46"/>
      </w:r>
    </w:p>
    <w:p w14:paraId="4797FC4D" w14:textId="77777777" w:rsidR="00C97FF4" w:rsidRPr="00C97FF4" w:rsidRDefault="00C97FF4" w:rsidP="00C97FF4">
      <w:r w:rsidRPr="00C97FF4">
        <w:t xml:space="preserve">In the literature, two case reports were published suggesting a possible association between </w:t>
      </w:r>
      <w:r w:rsidR="002A0FA3">
        <w:t>SLIT</w:t>
      </w:r>
      <w:r w:rsidRPr="00C97FF4">
        <w:t xml:space="preserve"> and </w:t>
      </w:r>
      <w:proofErr w:type="spellStart"/>
      <w:proofErr w:type="gramStart"/>
      <w:r w:rsidRPr="00C97FF4">
        <w:t>EoE</w:t>
      </w:r>
      <w:proofErr w:type="spellEnd"/>
      <w:proofErr w:type="gramEnd"/>
      <w:r w:rsidRPr="00C97FF4">
        <w:t>. These two</w:t>
      </w:r>
      <w:r w:rsidR="002529CD">
        <w:t xml:space="preserve"> cases are presented hereafter:</w:t>
      </w:r>
    </w:p>
    <w:p w14:paraId="2CB6F7C1" w14:textId="77777777" w:rsidR="00790DE0" w:rsidRDefault="00C97FF4" w:rsidP="002529CD">
      <w:pPr>
        <w:pStyle w:val="ListBullet"/>
      </w:pPr>
      <w:proofErr w:type="spellStart"/>
      <w:r w:rsidRPr="0088513C">
        <w:t>Miehlke</w:t>
      </w:r>
      <w:proofErr w:type="spellEnd"/>
      <w:r w:rsidRPr="0088513C">
        <w:t xml:space="preserve"> et al 2013</w:t>
      </w:r>
      <w:r w:rsidR="00624305" w:rsidRPr="0088513C">
        <w:rPr>
          <w:rStyle w:val="FootnoteReference"/>
        </w:rPr>
        <w:footnoteReference w:id="47"/>
      </w:r>
      <w:r w:rsidRPr="0088513C">
        <w:t xml:space="preserve"> described</w:t>
      </w:r>
      <w:r w:rsidRPr="00C97FF4">
        <w:t xml:space="preserve"> a 44</w:t>
      </w:r>
      <w:r w:rsidR="003E4F85">
        <w:t xml:space="preserve"> year</w:t>
      </w:r>
      <w:r w:rsidR="002529CD">
        <w:t xml:space="preserve"> </w:t>
      </w:r>
      <w:r w:rsidRPr="00C97FF4">
        <w:t xml:space="preserve">old female with a medical history of </w:t>
      </w:r>
      <w:proofErr w:type="spellStart"/>
      <w:r w:rsidRPr="00C97FF4">
        <w:t>pollinosis</w:t>
      </w:r>
      <w:proofErr w:type="spellEnd"/>
      <w:r w:rsidRPr="00C97FF4">
        <w:t xml:space="preserve"> who developed a complete manifestation of </w:t>
      </w:r>
      <w:proofErr w:type="spellStart"/>
      <w:proofErr w:type="gramStart"/>
      <w:r w:rsidRPr="00C97FF4">
        <w:t>EoE</w:t>
      </w:r>
      <w:proofErr w:type="spellEnd"/>
      <w:proofErr w:type="gramEnd"/>
      <w:r w:rsidRPr="00C97FF4">
        <w:t xml:space="preserve"> (</w:t>
      </w:r>
      <w:proofErr w:type="spellStart"/>
      <w:r w:rsidRPr="00C97FF4">
        <w:t>esophageal</w:t>
      </w:r>
      <w:proofErr w:type="spellEnd"/>
      <w:r w:rsidRPr="00C97FF4">
        <w:t xml:space="preserve"> biopsy with peak eosinophils 164 per high power field) 4 weeks after initiation of SLIT using specific soluble allergens (hazelnut, birch, alder). After discontinuation of SLIT, </w:t>
      </w:r>
      <w:proofErr w:type="spellStart"/>
      <w:proofErr w:type="gramStart"/>
      <w:r w:rsidRPr="00C97FF4">
        <w:t>EoE</w:t>
      </w:r>
      <w:proofErr w:type="spellEnd"/>
      <w:proofErr w:type="gramEnd"/>
      <w:r w:rsidRPr="00C97FF4">
        <w:t xml:space="preserve"> resolved completely within 4 weeks without any other me</w:t>
      </w:r>
      <w:r w:rsidR="002529CD">
        <w:t xml:space="preserve">dical intervention. During a 12 </w:t>
      </w:r>
      <w:r w:rsidRPr="00C97FF4">
        <w:t xml:space="preserve">month follow-up, the patient remained free of any </w:t>
      </w:r>
      <w:proofErr w:type="spellStart"/>
      <w:r w:rsidRPr="00C97FF4">
        <w:t>esophageal</w:t>
      </w:r>
      <w:proofErr w:type="spellEnd"/>
      <w:r w:rsidRPr="00C97FF4">
        <w:t xml:space="preserve"> symptoms. The authors suggested that oral immunotherapy for food allergy and SLIT for seasonal aeroallergens could be triggers for </w:t>
      </w:r>
      <w:proofErr w:type="spellStart"/>
      <w:proofErr w:type="gramStart"/>
      <w:r w:rsidRPr="00C97FF4">
        <w:t>EoE</w:t>
      </w:r>
      <w:proofErr w:type="spellEnd"/>
      <w:proofErr w:type="gramEnd"/>
      <w:r w:rsidRPr="00C97FF4">
        <w:t xml:space="preserve"> in predisposed individuals</w:t>
      </w:r>
      <w:r w:rsidR="00790DE0">
        <w:t>.</w:t>
      </w:r>
    </w:p>
    <w:p w14:paraId="024B8288" w14:textId="77777777" w:rsidR="00790DE0" w:rsidRDefault="00C97FF4" w:rsidP="002529CD">
      <w:pPr>
        <w:pStyle w:val="ListBullet"/>
      </w:pPr>
      <w:r w:rsidRPr="0088513C">
        <w:t xml:space="preserve">Antico &amp; </w:t>
      </w:r>
      <w:proofErr w:type="spellStart"/>
      <w:r w:rsidRPr="0088513C">
        <w:t>Fante</w:t>
      </w:r>
      <w:proofErr w:type="spellEnd"/>
      <w:r w:rsidRPr="0088513C">
        <w:t xml:space="preserve"> 2014</w:t>
      </w:r>
      <w:r w:rsidR="0088513C" w:rsidRPr="0088513C">
        <w:rPr>
          <w:rStyle w:val="FootnoteReference"/>
        </w:rPr>
        <w:footnoteReference w:id="48"/>
      </w:r>
      <w:r w:rsidRPr="0088513C">
        <w:t xml:space="preserve"> described</w:t>
      </w:r>
      <w:r w:rsidRPr="00C97FF4">
        <w:t xml:space="preserve"> a 23</w:t>
      </w:r>
      <w:r w:rsidR="003E4F85">
        <w:t xml:space="preserve"> year</w:t>
      </w:r>
      <w:r w:rsidR="002529CD">
        <w:t xml:space="preserve"> </w:t>
      </w:r>
      <w:r w:rsidRPr="00C97FF4">
        <w:t xml:space="preserve">old male with a medical history of allergic rhinoconjunctivitis to grass and HDM with secondary asthma. The patient was given HDM SLIT tablets for a year. The treatment was well tolerated. During the subsequent year, grass SLIT tablets were added to the HDM SLIT treatment. Approximately one month later, the patient began to experience a mild sensation of retrosternal constriction, which worsened over the next days with retrosternal pain and dysphagia related to tablet and food ingestion. Gastroesophageal reflux was suspected and treated with proton pump inhibitors, </w:t>
      </w:r>
      <w:proofErr w:type="spellStart"/>
      <w:r w:rsidRPr="00C97FF4">
        <w:t>prokinetic</w:t>
      </w:r>
      <w:proofErr w:type="spellEnd"/>
      <w:r w:rsidRPr="00C97FF4">
        <w:t xml:space="preserve"> agents, antacids, and alginate without any improvement. Grass SLIT was discontinued with resolution of the clinical symptoms in a couple of weeks. Following a reassessment of allergy diagnosis, the patient restarted grass SLIT. After a relapse of symptoms on Day 7, he underwent an </w:t>
      </w:r>
      <w:proofErr w:type="spellStart"/>
      <w:r w:rsidRPr="00C97FF4">
        <w:t>oesophago-gastroduodenoscopy</w:t>
      </w:r>
      <w:proofErr w:type="spellEnd"/>
      <w:r w:rsidRPr="00C97FF4">
        <w:t xml:space="preserve"> with biopsy which was consistent with </w:t>
      </w:r>
      <w:proofErr w:type="spellStart"/>
      <w:proofErr w:type="gramStart"/>
      <w:r w:rsidRPr="00C97FF4">
        <w:t>EoE</w:t>
      </w:r>
      <w:proofErr w:type="spellEnd"/>
      <w:proofErr w:type="gramEnd"/>
      <w:r w:rsidRPr="00C97FF4">
        <w:t xml:space="preserve">. Then, grass SLIT was withdrawn and clinical symptoms resolved. Biopsy specimens taken from the oesophagus soon after the end of the pollen season showed complete healing of mucosa with no signs of inflammation and no eosinophils. Of note, HDM SLIT was continued without any problem for this patient. Nevertheless, the authors suggested that </w:t>
      </w:r>
      <w:proofErr w:type="spellStart"/>
      <w:proofErr w:type="gramStart"/>
      <w:r w:rsidRPr="00C97FF4">
        <w:t>EoE</w:t>
      </w:r>
      <w:proofErr w:type="spellEnd"/>
      <w:proofErr w:type="gramEnd"/>
      <w:r w:rsidRPr="00C97FF4">
        <w:t xml:space="preserve"> should be considered in all patients receiving SLIT who complain of dysphagia or other gastroesophageal symptoms</w:t>
      </w:r>
      <w:r w:rsidR="00790DE0">
        <w:t>.</w:t>
      </w:r>
    </w:p>
    <w:p w14:paraId="25DB3F99" w14:textId="127C45E9" w:rsidR="00790DE0" w:rsidRDefault="00CD4281" w:rsidP="00C97FF4">
      <w:r>
        <w:t>[Information redacted]</w:t>
      </w:r>
      <w:r w:rsidR="00790DE0">
        <w:t>.</w:t>
      </w:r>
    </w:p>
    <w:p w14:paraId="6723A028" w14:textId="77777777" w:rsidR="00C97FF4" w:rsidRPr="00C97FF4" w:rsidRDefault="00C97FF4" w:rsidP="00C97FF4">
      <w:r w:rsidRPr="00C97FF4">
        <w:t>In the meantime a possible role of allergen immunotherapy suggesting some benefit was r</w:t>
      </w:r>
      <w:r w:rsidR="00F61FFF">
        <w:t xml:space="preserve">eported in 4 patients with </w:t>
      </w:r>
      <w:proofErr w:type="spellStart"/>
      <w:proofErr w:type="gramStart"/>
      <w:r w:rsidR="00F61FFF">
        <w:t>EoE</w:t>
      </w:r>
      <w:proofErr w:type="spellEnd"/>
      <w:proofErr w:type="gramEnd"/>
      <w:r w:rsidR="00F61FFF">
        <w:t>:</w:t>
      </w:r>
    </w:p>
    <w:p w14:paraId="5CC40BA0" w14:textId="77777777" w:rsidR="00790DE0" w:rsidRDefault="00C97FF4" w:rsidP="00F61FFF">
      <w:pPr>
        <w:pStyle w:val="ListBullet"/>
      </w:pPr>
      <w:proofErr w:type="spellStart"/>
      <w:r w:rsidRPr="00BB55E7">
        <w:t>Castilano</w:t>
      </w:r>
      <w:proofErr w:type="spellEnd"/>
      <w:r w:rsidRPr="00BB55E7">
        <w:t xml:space="preserve"> &amp; Zacharias (2013)</w:t>
      </w:r>
      <w:r w:rsidR="00BB55E7" w:rsidRPr="00BB55E7">
        <w:rPr>
          <w:rStyle w:val="FootnoteReference"/>
        </w:rPr>
        <w:footnoteReference w:id="49"/>
      </w:r>
      <w:r w:rsidRPr="00BB55E7">
        <w:t>described</w:t>
      </w:r>
      <w:r w:rsidRPr="00C97FF4">
        <w:t xml:space="preserve"> a 30</w:t>
      </w:r>
      <w:r w:rsidR="003E4F85">
        <w:t xml:space="preserve"> year</w:t>
      </w:r>
      <w:r w:rsidR="00F61FFF">
        <w:t xml:space="preserve"> </w:t>
      </w:r>
      <w:r w:rsidRPr="00C97FF4">
        <w:t xml:space="preserve">old man with topical steroid-refractory </w:t>
      </w:r>
      <w:proofErr w:type="spellStart"/>
      <w:r w:rsidRPr="00C97FF4">
        <w:t>EoE</w:t>
      </w:r>
      <w:proofErr w:type="spellEnd"/>
      <w:r w:rsidRPr="00C97FF4">
        <w:t xml:space="preserve"> and positive skin prick test reactions against dust mites, cockroaches, common weeds, and trees who received </w:t>
      </w:r>
      <w:r w:rsidR="002A0FA3">
        <w:t>SCIT</w:t>
      </w:r>
      <w:r w:rsidRPr="00C97FF4">
        <w:t xml:space="preserve"> to these allergens over 3 years. No </w:t>
      </w:r>
      <w:r w:rsidRPr="00C97FF4">
        <w:lastRenderedPageBreak/>
        <w:t>relapse of symptoms was reported and complete resolution of eosinophilic infiltration was observed</w:t>
      </w:r>
      <w:r w:rsidR="00790DE0">
        <w:t>.</w:t>
      </w:r>
    </w:p>
    <w:p w14:paraId="67FEE4F2" w14:textId="77777777" w:rsidR="00C97FF4" w:rsidRPr="00C97FF4" w:rsidRDefault="00C97FF4" w:rsidP="00F61FFF">
      <w:pPr>
        <w:pStyle w:val="ListBullet"/>
      </w:pPr>
      <w:r w:rsidRPr="00BB55E7">
        <w:t>Ramirez &amp; Jacobs 2013</w:t>
      </w:r>
      <w:r w:rsidR="00BB55E7" w:rsidRPr="00BB55E7">
        <w:rPr>
          <w:rStyle w:val="FootnoteReference"/>
        </w:rPr>
        <w:footnoteReference w:id="50"/>
      </w:r>
      <w:r w:rsidRPr="00BB55E7">
        <w:t xml:space="preserve"> described</w:t>
      </w:r>
      <w:r w:rsidRPr="00C97FF4">
        <w:t xml:space="preserve"> a 4</w:t>
      </w:r>
      <w:r w:rsidR="003E4F85">
        <w:t xml:space="preserve"> year</w:t>
      </w:r>
      <w:r w:rsidR="00F61FFF">
        <w:t xml:space="preserve"> </w:t>
      </w:r>
      <w:r w:rsidRPr="00C97FF4">
        <w:t xml:space="preserve">old boy with dust </w:t>
      </w:r>
      <w:r w:rsidR="00084440">
        <w:t>mite induced</w:t>
      </w:r>
      <w:r w:rsidRPr="00C97FF4">
        <w:t xml:space="preserve"> chronic rhinitis and </w:t>
      </w:r>
      <w:proofErr w:type="spellStart"/>
      <w:r w:rsidRPr="00C97FF4">
        <w:t>EoE</w:t>
      </w:r>
      <w:proofErr w:type="spellEnd"/>
      <w:r w:rsidRPr="00C97FF4">
        <w:t xml:space="preserve"> who received SCIT to American and European HDM. Resolution of eosinophilic infiltration was observed within 2 years after the start of allergen immunotherapy.</w:t>
      </w:r>
    </w:p>
    <w:p w14:paraId="38A2005D" w14:textId="77777777" w:rsidR="00790DE0" w:rsidRDefault="00C97FF4" w:rsidP="00F61FFF">
      <w:pPr>
        <w:pStyle w:val="ListBullet"/>
      </w:pPr>
      <w:r w:rsidRPr="00BB55E7">
        <w:t xml:space="preserve">De </w:t>
      </w:r>
      <w:proofErr w:type="spellStart"/>
      <w:r w:rsidRPr="00BB55E7">
        <w:t>Swert</w:t>
      </w:r>
      <w:proofErr w:type="spellEnd"/>
      <w:r w:rsidRPr="00BB55E7">
        <w:t xml:space="preserve"> </w:t>
      </w:r>
      <w:proofErr w:type="gramStart"/>
      <w:r w:rsidRPr="00BB55E7">
        <w:t>et</w:t>
      </w:r>
      <w:proofErr w:type="gramEnd"/>
      <w:r w:rsidRPr="00BB55E7">
        <w:t xml:space="preserve"> al.2013</w:t>
      </w:r>
      <w:r w:rsidR="00BB55E7" w:rsidRPr="00BB55E7">
        <w:rPr>
          <w:rStyle w:val="FootnoteReference"/>
        </w:rPr>
        <w:footnoteReference w:id="51"/>
      </w:r>
      <w:r w:rsidRPr="00BB55E7">
        <w:t xml:space="preserve"> described</w:t>
      </w:r>
      <w:r w:rsidRPr="00C97FF4">
        <w:t xml:space="preserve"> a 10</w:t>
      </w:r>
      <w:r w:rsidR="003E4F85">
        <w:t xml:space="preserve"> year</w:t>
      </w:r>
      <w:r w:rsidR="00F61FFF">
        <w:t xml:space="preserve"> </w:t>
      </w:r>
      <w:r w:rsidRPr="00C97FF4">
        <w:t xml:space="preserve">old boy with pollen allergy and eosinophilic gastrointestinal disease who received SCIT to birch and grass pollen allergens over 3 years. Three years after the start of treatment, only minor nonspecific signs of inflammation in the </w:t>
      </w:r>
      <w:proofErr w:type="spellStart"/>
      <w:r w:rsidRPr="00C97FF4">
        <w:t>esophagus</w:t>
      </w:r>
      <w:proofErr w:type="spellEnd"/>
      <w:r w:rsidRPr="00C97FF4">
        <w:t xml:space="preserve"> were observed and the stomach biopsy specimen appeared normal</w:t>
      </w:r>
      <w:r w:rsidR="00790DE0">
        <w:t>.</w:t>
      </w:r>
    </w:p>
    <w:p w14:paraId="39F4D191" w14:textId="77777777" w:rsidR="00790DE0" w:rsidRDefault="00C97FF4" w:rsidP="00F61FFF">
      <w:pPr>
        <w:pStyle w:val="ListBullet"/>
      </w:pPr>
      <w:r w:rsidRPr="00BB55E7">
        <w:t>Perez et al 2012</w:t>
      </w:r>
      <w:r w:rsidR="00BB55E7" w:rsidRPr="00BB55E7">
        <w:rPr>
          <w:rStyle w:val="FootnoteReference"/>
        </w:rPr>
        <w:footnoteReference w:id="52"/>
      </w:r>
      <w:r w:rsidRPr="00BB55E7">
        <w:t xml:space="preserve"> described</w:t>
      </w:r>
      <w:r w:rsidRPr="00C97FF4">
        <w:t xml:space="preserve"> a 65</w:t>
      </w:r>
      <w:r w:rsidR="003E4F85">
        <w:t xml:space="preserve"> year</w:t>
      </w:r>
      <w:r w:rsidR="00F61FFF">
        <w:t xml:space="preserve"> </w:t>
      </w:r>
      <w:r w:rsidRPr="00C97FF4">
        <w:t xml:space="preserve">old man with </w:t>
      </w:r>
      <w:proofErr w:type="spellStart"/>
      <w:proofErr w:type="gramStart"/>
      <w:r w:rsidRPr="00C97FF4">
        <w:t>EoE</w:t>
      </w:r>
      <w:proofErr w:type="spellEnd"/>
      <w:proofErr w:type="gramEnd"/>
      <w:r w:rsidRPr="00C97FF4">
        <w:t xml:space="preserve"> complaining of an increase of his symptoms of allergic rhinitis and asthma who received SCIT for airborne allergens over 5 years. At the end of the 5</w:t>
      </w:r>
      <w:r w:rsidR="003E4F85">
        <w:t xml:space="preserve"> year</w:t>
      </w:r>
      <w:r w:rsidRPr="00C97FF4">
        <w:t xml:space="preserve"> treatment with AIT, symptoms of </w:t>
      </w:r>
      <w:proofErr w:type="spellStart"/>
      <w:proofErr w:type="gramStart"/>
      <w:r w:rsidRPr="00C97FF4">
        <w:t>EoE</w:t>
      </w:r>
      <w:proofErr w:type="spellEnd"/>
      <w:proofErr w:type="gramEnd"/>
      <w:r w:rsidRPr="00C97FF4">
        <w:t xml:space="preserve"> were resolved</w:t>
      </w:r>
      <w:r w:rsidR="00790DE0">
        <w:t>.</w:t>
      </w:r>
    </w:p>
    <w:p w14:paraId="00188318" w14:textId="77777777" w:rsidR="00C97FF4" w:rsidRPr="00C97FF4" w:rsidRDefault="00C97FF4" w:rsidP="00C97FF4">
      <w:r w:rsidRPr="00C97FF4">
        <w:t>Based on the above, the company maintains that the following proposed text under the precautions section, presents suitable information in regard t</w:t>
      </w:r>
      <w:r w:rsidR="00F61FFF">
        <w:t xml:space="preserve">o the risks associated with </w:t>
      </w:r>
      <w:proofErr w:type="spellStart"/>
      <w:proofErr w:type="gramStart"/>
      <w:r w:rsidR="00F61FFF">
        <w:t>EoE</w:t>
      </w:r>
      <w:proofErr w:type="spellEnd"/>
      <w:proofErr w:type="gramEnd"/>
      <w:r w:rsidR="00F61FFF">
        <w:t>:</w:t>
      </w:r>
    </w:p>
    <w:p w14:paraId="4769D3E9" w14:textId="77777777" w:rsidR="00C97FF4" w:rsidRPr="00F61FFF" w:rsidRDefault="00C97FF4" w:rsidP="00F61FFF">
      <w:pPr>
        <w:ind w:left="720"/>
        <w:rPr>
          <w:i/>
        </w:rPr>
      </w:pPr>
      <w:r w:rsidRPr="00F61FFF">
        <w:rPr>
          <w:i/>
        </w:rPr>
        <w:t xml:space="preserve">“Cases of eosinophilic oesophagitis have been reported in association with sublingual immunotherapy. During treatment with </w:t>
      </w:r>
      <w:r w:rsidR="00716D4E" w:rsidRPr="00F61FFF">
        <w:rPr>
          <w:i/>
        </w:rPr>
        <w:t>Actair</w:t>
      </w:r>
      <w:r w:rsidRPr="00F61FFF">
        <w:rPr>
          <w:i/>
        </w:rPr>
        <w:t xml:space="preserve">, if severe or persistent gastroesophageal symptoms including dysphagia or chest pain occur, </w:t>
      </w:r>
      <w:r w:rsidR="00716D4E" w:rsidRPr="00F61FFF">
        <w:rPr>
          <w:i/>
        </w:rPr>
        <w:t>Actair</w:t>
      </w:r>
      <w:r w:rsidRPr="00F61FFF">
        <w:rPr>
          <w:i/>
        </w:rPr>
        <w:t xml:space="preserve"> should be interrupted and the patient referred to a gastroenterologist for investigation. Treatment should only be resumed upon</w:t>
      </w:r>
      <w:r w:rsidR="00BB55E7">
        <w:rPr>
          <w:i/>
        </w:rPr>
        <w:t xml:space="preserve"> instruction of the physician.”</w:t>
      </w:r>
    </w:p>
    <w:p w14:paraId="41F36138" w14:textId="4492B45E" w:rsidR="00790DE0" w:rsidRDefault="00C97FF4" w:rsidP="00C97FF4">
      <w:r w:rsidRPr="00C97FF4">
        <w:t xml:space="preserve">This position is consistent with other AIT products marketed in Europe, and specifically </w:t>
      </w:r>
      <w:proofErr w:type="spellStart"/>
      <w:r w:rsidRPr="00C97FF4">
        <w:t>Grazax</w:t>
      </w:r>
      <w:proofErr w:type="spellEnd"/>
      <w:r w:rsidRPr="00C97FF4">
        <w:t xml:space="preserve"> and </w:t>
      </w:r>
      <w:proofErr w:type="spellStart"/>
      <w:r w:rsidRPr="00C97FF4">
        <w:t>Acarizax</w:t>
      </w:r>
      <w:proofErr w:type="spellEnd"/>
      <w:r w:rsidRPr="00C97FF4">
        <w:t xml:space="preserve"> which includes a paragraph about </w:t>
      </w:r>
      <w:proofErr w:type="spellStart"/>
      <w:proofErr w:type="gramStart"/>
      <w:r w:rsidRPr="00C97FF4">
        <w:t>EoE</w:t>
      </w:r>
      <w:proofErr w:type="spellEnd"/>
      <w:proofErr w:type="gramEnd"/>
      <w:r w:rsidRPr="00C97FF4">
        <w:t xml:space="preserve"> only in </w:t>
      </w:r>
      <w:r w:rsidR="00BB55E7">
        <w:t>the section</w:t>
      </w:r>
      <w:r w:rsidRPr="00C97FF4">
        <w:t xml:space="preserve"> “Special warnings and precautions for use” in the </w:t>
      </w:r>
      <w:proofErr w:type="spellStart"/>
      <w:r w:rsidRPr="00C97FF4">
        <w:t>SmPC</w:t>
      </w:r>
      <w:proofErr w:type="spellEnd"/>
      <w:r w:rsidRPr="00C97FF4">
        <w:t xml:space="preserve"> and no statement under </w:t>
      </w:r>
      <w:r w:rsidR="00F61FFF">
        <w:t>c</w:t>
      </w:r>
      <w:r w:rsidRPr="00C97FF4">
        <w:t>ontraindications</w:t>
      </w:r>
      <w:r w:rsidR="00790DE0">
        <w:t>.</w:t>
      </w:r>
    </w:p>
    <w:p w14:paraId="30E58513" w14:textId="77777777" w:rsidR="00790DE0" w:rsidRDefault="00C97FF4" w:rsidP="00C97FF4">
      <w:r w:rsidRPr="00C97FF4">
        <w:t xml:space="preserve">As mentioned above, to include “History of </w:t>
      </w:r>
      <w:proofErr w:type="spellStart"/>
      <w:r w:rsidRPr="00C97FF4">
        <w:t>EoE</w:t>
      </w:r>
      <w:proofErr w:type="spellEnd"/>
      <w:r w:rsidRPr="00C97FF4">
        <w:t xml:space="preserve">” as a contraindication will potentially exclude a large population of patients that may be assisted by AIT. The company will continue to monitor the potential occurrences of </w:t>
      </w:r>
      <w:proofErr w:type="spellStart"/>
      <w:proofErr w:type="gramStart"/>
      <w:r w:rsidRPr="00C97FF4">
        <w:t>EoE</w:t>
      </w:r>
      <w:proofErr w:type="spellEnd"/>
      <w:proofErr w:type="gramEnd"/>
      <w:r w:rsidRPr="00C97FF4">
        <w:t xml:space="preserve"> upon AIT and update the PI accordingly</w:t>
      </w:r>
      <w:r w:rsidR="00790DE0">
        <w:t>.</w:t>
      </w:r>
    </w:p>
    <w:p w14:paraId="702EFAAC" w14:textId="77777777" w:rsidR="00C97FF4" w:rsidRPr="00F61FFF" w:rsidRDefault="00C97FF4" w:rsidP="00C97FF4">
      <w:pPr>
        <w:pStyle w:val="Numberbullet0"/>
        <w:rPr>
          <w:i/>
        </w:rPr>
      </w:pPr>
      <w:r w:rsidRPr="00F61FFF">
        <w:rPr>
          <w:i/>
        </w:rPr>
        <w:t>Is the deletion of the contraindication “beta blocker co medication and inclusion of the new precaution appropriate bas</w:t>
      </w:r>
      <w:r w:rsidR="00F61FFF" w:rsidRPr="00F61FFF">
        <w:rPr>
          <w:i/>
        </w:rPr>
        <w:t>ed on the EAACI Position paper?</w:t>
      </w:r>
    </w:p>
    <w:p w14:paraId="55539158" w14:textId="77777777" w:rsidR="00C97FF4" w:rsidRPr="00C97FF4" w:rsidRDefault="00C97FF4" w:rsidP="00C97FF4">
      <w:r w:rsidRPr="00C97FF4">
        <w:t>Stallergenes submits that the EAACI position paper is a suitable basis for making the proposed change</w:t>
      </w:r>
      <w:r w:rsidR="00F61FFF">
        <w:t xml:space="preserve">s to the PI in relation to beta </w:t>
      </w:r>
      <w:r w:rsidRPr="00C97FF4">
        <w:t>blocker co-medication. The EAACI position paper represents an extensive review of the literature on clinical contraindications to AIT. Clinical recommendations were based on the category and strength of the published evidence for each medical condition. The authors concluded that there is good evidence that anaphylaxis is not more freq</w:t>
      </w:r>
      <w:r w:rsidR="00F61FFF">
        <w:t xml:space="preserve">uent in patients receiving beta </w:t>
      </w:r>
      <w:r w:rsidRPr="00C97FF4">
        <w:t>blockers. However, these patients may be at increased risk of more severe systemic reactions and emergency t</w:t>
      </w:r>
      <w:r w:rsidR="0053291C">
        <w:t xml:space="preserve">reatment could be ineffective. </w:t>
      </w:r>
      <w:r w:rsidRPr="00C97FF4">
        <w:t>Based on the risk/benefit ratio, there is no contraindication for Venom Immun</w:t>
      </w:r>
      <w:r w:rsidR="00F61FFF">
        <w:t xml:space="preserve">otherapy when treated with beta </w:t>
      </w:r>
      <w:r w:rsidR="0053291C" w:rsidRPr="00C97FF4">
        <w:t>blockers</w:t>
      </w:r>
      <w:r w:rsidRPr="00C97FF4">
        <w:t xml:space="preserve"> and a relative contraindication for AIT with inhalant </w:t>
      </w:r>
      <w:r w:rsidR="00F61FFF">
        <w:t xml:space="preserve">allergens. Where feasible, beta </w:t>
      </w:r>
      <w:r w:rsidRPr="00C97FF4">
        <w:t xml:space="preserve">blockers should be </w:t>
      </w:r>
      <w:r w:rsidRPr="00C97FF4">
        <w:lastRenderedPageBreak/>
        <w:t>substituted with an alternative in patients on AIT. If there is no effective substitute patients should be evaluated on an</w:t>
      </w:r>
      <w:r w:rsidR="00F61FFF">
        <w:t xml:space="preserve"> individual risk-benefit basis.</w:t>
      </w:r>
    </w:p>
    <w:p w14:paraId="01FBB65D" w14:textId="77777777" w:rsidR="00790DE0" w:rsidRDefault="00C97FF4" w:rsidP="00C97FF4">
      <w:r w:rsidRPr="00C97FF4">
        <w:t>As can be seen, the co-medication with beta blocke</w:t>
      </w:r>
      <w:r w:rsidR="00F61FFF">
        <w:t>rs should be assessed on a risk-</w:t>
      </w:r>
      <w:r w:rsidRPr="00C97FF4">
        <w:t>benefit basis. The company has chosen to follow the general advice given by the position paper and there</w:t>
      </w:r>
      <w:r w:rsidR="00F61FFF">
        <w:t>fore remove co-medication with b</w:t>
      </w:r>
      <w:r w:rsidRPr="00C97FF4">
        <w:t>eta blockers as a contraindication for all of its AIT medications. By doing this and including the appropriate text in the precautions section, it allows the physician to assess the patient and their needs appropriately</w:t>
      </w:r>
      <w:r w:rsidR="00790DE0">
        <w:t>.</w:t>
      </w:r>
    </w:p>
    <w:p w14:paraId="308FB5A6" w14:textId="77777777" w:rsidR="00790DE0" w:rsidRDefault="00C97FF4" w:rsidP="00C97FF4">
      <w:r w:rsidRPr="00C97FF4">
        <w:t>Therefore as proposed and included in the PI, the following text has been included in the precautions section while the contraindication to beta blockers has been removed</w:t>
      </w:r>
      <w:r w:rsidR="00790DE0">
        <w:t>.</w:t>
      </w:r>
    </w:p>
    <w:p w14:paraId="14386D10" w14:textId="77777777" w:rsidR="00C97FF4" w:rsidRPr="00F61FFF" w:rsidRDefault="00C97FF4" w:rsidP="00C97FF4">
      <w:pPr>
        <w:rPr>
          <w:i/>
        </w:rPr>
      </w:pPr>
      <w:r w:rsidRPr="00F61FFF">
        <w:rPr>
          <w:i/>
        </w:rPr>
        <w:t xml:space="preserve">“Patients taking beta-adrenergic blockers may be unresponsive to the usual doses of adrenaline used to treat serious systemic reactions, including anaphylaxis. Specifically, beta-adrenergic blockers antagonize the </w:t>
      </w:r>
      <w:proofErr w:type="spellStart"/>
      <w:r w:rsidRPr="00F61FFF">
        <w:rPr>
          <w:i/>
        </w:rPr>
        <w:t>cardiostimulating</w:t>
      </w:r>
      <w:proofErr w:type="spellEnd"/>
      <w:r w:rsidRPr="00F61FFF">
        <w:rPr>
          <w:i/>
        </w:rPr>
        <w:t xml:space="preserve"> and </w:t>
      </w:r>
      <w:proofErr w:type="spellStart"/>
      <w:r w:rsidRPr="00F61FFF">
        <w:rPr>
          <w:i/>
        </w:rPr>
        <w:t>bronchodilating</w:t>
      </w:r>
      <w:proofErr w:type="spellEnd"/>
      <w:r w:rsidRPr="00F61FFF">
        <w:rPr>
          <w:i/>
        </w:rPr>
        <w:t xml:space="preserve"> effects of adrenaline. </w:t>
      </w:r>
      <w:r w:rsidR="00F61FFF" w:rsidRPr="00F61FFF">
        <w:rPr>
          <w:i/>
        </w:rPr>
        <w:t xml:space="preserve">Substitute </w:t>
      </w:r>
      <w:r w:rsidRPr="00F61FFF">
        <w:rPr>
          <w:i/>
        </w:rPr>
        <w:t>treatment may be considered. If beta-blockers are required and no effective substitute is available, patients should be evaluated carefully, based on an individ</w:t>
      </w:r>
      <w:r w:rsidR="00F61FFF">
        <w:rPr>
          <w:i/>
        </w:rPr>
        <w:t>ual risk/benefit asse</w:t>
      </w:r>
      <w:r w:rsidR="00CC2D76">
        <w:rPr>
          <w:i/>
        </w:rPr>
        <w:t>ssment.</w:t>
      </w:r>
      <w:r w:rsidR="00F61FFF">
        <w:rPr>
          <w:i/>
        </w:rPr>
        <w:t>”</w:t>
      </w:r>
    </w:p>
    <w:p w14:paraId="53BCBB6E" w14:textId="77777777" w:rsidR="00790DE0" w:rsidRDefault="00C97FF4" w:rsidP="00C97FF4">
      <w:r w:rsidRPr="00C97FF4">
        <w:t>This position is consi</w:t>
      </w:r>
      <w:r w:rsidR="00F61FFF">
        <w:t xml:space="preserve">stent with other AIT products; </w:t>
      </w:r>
      <w:r w:rsidRPr="00C97FF4">
        <w:t xml:space="preserve">such as the ALK products </w:t>
      </w:r>
      <w:proofErr w:type="spellStart"/>
      <w:r w:rsidRPr="00C97FF4">
        <w:t>Grastek</w:t>
      </w:r>
      <w:proofErr w:type="spellEnd"/>
      <w:r w:rsidRPr="00C97FF4">
        <w:t>/</w:t>
      </w:r>
      <w:proofErr w:type="spellStart"/>
      <w:r w:rsidRPr="00C97FF4">
        <w:t>Grazax</w:t>
      </w:r>
      <w:proofErr w:type="spellEnd"/>
      <w:r w:rsidR="00F61FFF">
        <w:t xml:space="preserve"> </w:t>
      </w:r>
      <w:r w:rsidRPr="00C97FF4">
        <w:t xml:space="preserve">(Timothy grass pollen tablets; </w:t>
      </w:r>
      <w:proofErr w:type="spellStart"/>
      <w:r w:rsidRPr="00C97FF4">
        <w:t>Ragwitek</w:t>
      </w:r>
      <w:proofErr w:type="spellEnd"/>
      <w:r w:rsidR="00F61FFF">
        <w:t xml:space="preserve"> </w:t>
      </w:r>
      <w:r w:rsidRPr="00C97FF4">
        <w:t>(ragweed pollen tablet) and Acarizax</w:t>
      </w:r>
      <w:r w:rsidR="00F61FFF">
        <w:t xml:space="preserve"> (</w:t>
      </w:r>
      <w:proofErr w:type="gramStart"/>
      <w:r w:rsidRPr="00C97FF4">
        <w:t>mites</w:t>
      </w:r>
      <w:proofErr w:type="gramEnd"/>
      <w:r w:rsidRPr="00C97FF4">
        <w:t xml:space="preserve"> tablet). “</w:t>
      </w:r>
      <w:proofErr w:type="spellStart"/>
      <w:proofErr w:type="gramStart"/>
      <w:r w:rsidRPr="00C97FF4">
        <w:t>tek</w:t>
      </w:r>
      <w:proofErr w:type="spellEnd"/>
      <w:proofErr w:type="gramEnd"/>
      <w:r w:rsidRPr="00C97FF4">
        <w:t>” refers to the US product; “</w:t>
      </w:r>
      <w:proofErr w:type="spellStart"/>
      <w:r w:rsidRPr="00C97FF4">
        <w:t>ax</w:t>
      </w:r>
      <w:proofErr w:type="spellEnd"/>
      <w:r w:rsidRPr="00C97FF4">
        <w:t>” refers to the EU product. ALK does not have any products registered in Australia</w:t>
      </w:r>
      <w:r w:rsidR="00790DE0">
        <w:t>.</w:t>
      </w:r>
    </w:p>
    <w:p w14:paraId="0A6F42C8" w14:textId="77777777" w:rsidR="00C97FF4" w:rsidRPr="00F61FFF" w:rsidRDefault="00C97FF4" w:rsidP="00C97FF4">
      <w:pPr>
        <w:pStyle w:val="Numberbullet0"/>
        <w:rPr>
          <w:i/>
        </w:rPr>
      </w:pPr>
      <w:r w:rsidRPr="00F61FFF">
        <w:rPr>
          <w:i/>
        </w:rPr>
        <w:t>I</w:t>
      </w:r>
      <w:r w:rsidR="00CC2D76">
        <w:rPr>
          <w:i/>
        </w:rPr>
        <w:t xml:space="preserve">s the amended Contraindication </w:t>
      </w:r>
      <w:r w:rsidRPr="00F61FFF">
        <w:rPr>
          <w:i/>
        </w:rPr>
        <w:t>Immune deficiency diseases or active forms of auto-immune disorder appropriate bas</w:t>
      </w:r>
      <w:r w:rsidR="00F61FFF">
        <w:rPr>
          <w:i/>
        </w:rPr>
        <w:t>ed on the EAACI position paper?</w:t>
      </w:r>
    </w:p>
    <w:p w14:paraId="6961A1A2" w14:textId="43CB243B" w:rsidR="00790DE0" w:rsidRDefault="00CD4281" w:rsidP="00C97FF4">
      <w:r>
        <w:t>[Information redacted]</w:t>
      </w:r>
    </w:p>
    <w:p w14:paraId="6182BFC8" w14:textId="77777777" w:rsidR="00790DE0" w:rsidRDefault="00C97FF4" w:rsidP="00C97FF4">
      <w:r w:rsidRPr="00C97FF4">
        <w:t>The potential of specific immunotherapy to induce immunological adverse reactions due to its action on the immune system was first reported in the literature in 1978. In such cases of AIDs, the diagnosis may often take years to be established. Thus it is very difficult to attribute the occurrence of AID to specific AIT rather than other factors as described in the literature</w:t>
      </w:r>
      <w:r w:rsidR="00790DE0">
        <w:t>.</w:t>
      </w:r>
    </w:p>
    <w:p w14:paraId="70044620" w14:textId="77777777" w:rsidR="00790DE0" w:rsidRDefault="00C97FF4" w:rsidP="00C97FF4">
      <w:r w:rsidRPr="00C97FF4">
        <w:t>The EAACI guidelines conclude that AIT should be terminated in the case of development of an AID and that AIT is contraindicated in patients with active AID. Caution should be exercised when prescribing AIT to patients with an AID. Due to a lack of available data, there is a relative contraindication in AID in remission and an absolute contraindication in active forms</w:t>
      </w:r>
      <w:r w:rsidR="00790DE0">
        <w:t>.</w:t>
      </w:r>
    </w:p>
    <w:p w14:paraId="6F033E18" w14:textId="77777777" w:rsidR="00C97FF4" w:rsidRPr="00C97FF4" w:rsidRDefault="00C97FF4" w:rsidP="00C97FF4">
      <w:r w:rsidRPr="00C97FF4">
        <w:t xml:space="preserve">Therefore, on the basis of this review and the extensive post marketing experience of over 20 years, Stallergenes has proposed to revise the </w:t>
      </w:r>
      <w:r w:rsidR="00F61FFF">
        <w:t>PI</w:t>
      </w:r>
      <w:r w:rsidRPr="00C97FF4">
        <w:t xml:space="preserve"> of all their sublingual pro</w:t>
      </w:r>
      <w:r w:rsidR="00F61FFF">
        <w:t>ducts in the following manner:</w:t>
      </w:r>
    </w:p>
    <w:p w14:paraId="6A722450" w14:textId="77777777" w:rsidR="00C97FF4" w:rsidRPr="00C97FF4" w:rsidRDefault="00C97FF4" w:rsidP="00C97FF4">
      <w:r w:rsidRPr="00C97FF4">
        <w:t>In the section “Contraindications”, the wording “Autoimmune diseases, immune complex diseases or immune deficiency diseases” has been modified into “Immune deficiency diseases or activ</w:t>
      </w:r>
      <w:r w:rsidR="00F61FFF">
        <w:t>e forms of autoimmune disorder”</w:t>
      </w:r>
    </w:p>
    <w:p w14:paraId="37E80C2C" w14:textId="77777777" w:rsidR="00790DE0" w:rsidRDefault="00C97FF4" w:rsidP="00C97FF4">
      <w:r w:rsidRPr="00C97FF4">
        <w:t>The proposed amendment is more specific and in keeping with the general findings in the literature and provides the physician with a more targeted diagnosis for consideration, rather than the broad and general descriptions previously included. The company has backed up the above changes with appropriate PV activities/monitoring</w:t>
      </w:r>
      <w:r w:rsidR="00790DE0">
        <w:t>.</w:t>
      </w:r>
    </w:p>
    <w:p w14:paraId="5C27B82B" w14:textId="77777777" w:rsidR="00790DE0" w:rsidRDefault="00C97FF4" w:rsidP="00C97FF4">
      <w:r w:rsidRPr="00C97FF4">
        <w:t xml:space="preserve">Furthermore, this position is consistent with other products of AIT marketed in Europe, and specifically Acarizax where the </w:t>
      </w:r>
      <w:r w:rsidR="00F61FFF">
        <w:t>PI</w:t>
      </w:r>
      <w:r w:rsidRPr="00C97FF4">
        <w:t xml:space="preserve"> includes a Contra-indication for “patients with active or poorly controlled Auto-immune disease …”</w:t>
      </w:r>
    </w:p>
    <w:p w14:paraId="45F96424" w14:textId="77777777" w:rsidR="008E7846" w:rsidRDefault="008E7846" w:rsidP="008E7846">
      <w:pPr>
        <w:pStyle w:val="Heading4"/>
      </w:pPr>
      <w:r>
        <w:lastRenderedPageBreak/>
        <w:t>Advisory Committee Considerations</w:t>
      </w:r>
    </w:p>
    <w:p w14:paraId="0B838E20" w14:textId="77777777" w:rsidR="008543A6" w:rsidRPr="008543A6" w:rsidRDefault="00D23139" w:rsidP="008543A6">
      <w:r w:rsidRPr="008543A6">
        <w:t>The Advisory Committee on Prescription Medicines (ACPM), having considered the evaluations and the Delegate’s overview, as well as the sponsor’s response to these documents, advised the following:</w:t>
      </w:r>
    </w:p>
    <w:p w14:paraId="50F01B52" w14:textId="77777777" w:rsidR="008543A6" w:rsidRPr="008543A6" w:rsidRDefault="008543A6" w:rsidP="008543A6">
      <w:r w:rsidRPr="008543A6">
        <w:t>The ACPM, taking into account the submitted evidence of efficacy, safet</w:t>
      </w:r>
      <w:r w:rsidR="00F61FFF">
        <w:t>y and quality, agreed with the D</w:t>
      </w:r>
      <w:r w:rsidRPr="008543A6">
        <w:t>elegate and consi</w:t>
      </w:r>
      <w:r w:rsidR="00F61FFF">
        <w:t xml:space="preserve">dered Actair 100 IR and 300 IR- </w:t>
      </w:r>
      <w:r w:rsidRPr="008543A6">
        <w:t>sublin</w:t>
      </w:r>
      <w:r w:rsidR="00F61FFF">
        <w:t>gual tablets containing 100 IR and</w:t>
      </w:r>
      <w:r w:rsidRPr="008543A6">
        <w:t xml:space="preserve"> 300</w:t>
      </w:r>
      <w:r w:rsidR="002A0FA3">
        <w:t xml:space="preserve"> </w:t>
      </w:r>
      <w:r w:rsidRPr="008543A6">
        <w:t xml:space="preserve">IR of American House Dust Mite and European House Dust Mite allergen extracts to have an overall positive benefit–risk profile for the </w:t>
      </w:r>
      <w:r>
        <w:t>D</w:t>
      </w:r>
      <w:r w:rsidR="00F61FFF">
        <w:t>elegate’s amended indication;</w:t>
      </w:r>
    </w:p>
    <w:p w14:paraId="2654ED63" w14:textId="77777777" w:rsidR="008543A6" w:rsidRPr="008543A6" w:rsidRDefault="008543A6" w:rsidP="008543A6">
      <w:pPr>
        <w:ind w:left="720"/>
        <w:rPr>
          <w:i/>
        </w:rPr>
      </w:pPr>
      <w:r w:rsidRPr="008543A6">
        <w:rPr>
          <w:i/>
        </w:rPr>
        <w:t>Treatment of house dust mite allergic rhinitis with or without conjunctivitis in adults and adolescents over 12 years diagnosed with house dust mite allergy.</w:t>
      </w:r>
    </w:p>
    <w:p w14:paraId="2323A537" w14:textId="77777777" w:rsidR="008543A6" w:rsidRPr="008543A6" w:rsidRDefault="008543A6" w:rsidP="008543A6">
      <w:r w:rsidRPr="008543A6">
        <w:t>In making this recommendation the ACPM was of the view that children between 5 and 11 years of age should be excluded from the indication as efficacy has not been established in the population.</w:t>
      </w:r>
    </w:p>
    <w:p w14:paraId="2985F5F0" w14:textId="77777777" w:rsidR="008543A6" w:rsidRPr="008543A6" w:rsidRDefault="008543A6" w:rsidP="008543A6">
      <w:pPr>
        <w:pStyle w:val="Heading5"/>
      </w:pPr>
      <w:r w:rsidRPr="008543A6">
        <w:t>Proposed conditions of registration</w:t>
      </w:r>
    </w:p>
    <w:p w14:paraId="1338D28E" w14:textId="77777777" w:rsidR="008543A6" w:rsidRPr="008543A6" w:rsidRDefault="008543A6" w:rsidP="008543A6">
      <w:r>
        <w:t>The ACPM agreed with the D</w:t>
      </w:r>
      <w:r w:rsidRPr="008543A6">
        <w:t>elegate on the proposed conditions of regi</w:t>
      </w:r>
      <w:r>
        <w:t>stration.</w:t>
      </w:r>
    </w:p>
    <w:p w14:paraId="05F24750" w14:textId="77777777" w:rsidR="008543A6" w:rsidRPr="008543A6" w:rsidRDefault="008543A6" w:rsidP="008543A6">
      <w:pPr>
        <w:pStyle w:val="Heading5"/>
      </w:pPr>
      <w:r w:rsidRPr="008543A6">
        <w:t>Proposed Product Information (PI)/Consumer Medicine Information (CMI) amendments</w:t>
      </w:r>
    </w:p>
    <w:p w14:paraId="3AA6849B" w14:textId="77777777" w:rsidR="008543A6" w:rsidRPr="008543A6" w:rsidRDefault="00C33BFA" w:rsidP="008543A6">
      <w:r>
        <w:t>The ACPM agreed with the D</w:t>
      </w:r>
      <w:r w:rsidR="008543A6" w:rsidRPr="008543A6">
        <w:t xml:space="preserve">elegate to the proposed amendments to the </w:t>
      </w:r>
      <w:r>
        <w:t>PI</w:t>
      </w:r>
      <w:r w:rsidR="008543A6" w:rsidRPr="008543A6">
        <w:t xml:space="preserve"> and </w:t>
      </w:r>
      <w:r>
        <w:t>CMI</w:t>
      </w:r>
      <w:r w:rsidR="008543A6" w:rsidRPr="008543A6">
        <w:t xml:space="preserve"> and specifically advised on the inclusion of the following: </w:t>
      </w:r>
    </w:p>
    <w:p w14:paraId="2139FF29" w14:textId="77777777" w:rsidR="008543A6" w:rsidRPr="008543A6" w:rsidRDefault="008543A6" w:rsidP="008543A6">
      <w:pPr>
        <w:pStyle w:val="ListBullet"/>
      </w:pPr>
      <w:r w:rsidRPr="008543A6">
        <w:t xml:space="preserve">Under </w:t>
      </w:r>
      <w:r w:rsidR="002257F1">
        <w:t>‘</w:t>
      </w:r>
      <w:r w:rsidR="002257F1" w:rsidRPr="008543A6">
        <w:t>precautions</w:t>
      </w:r>
      <w:r w:rsidR="002257F1">
        <w:t>’</w:t>
      </w:r>
      <w:r w:rsidRPr="008543A6">
        <w:t>, remove the words “A few” from “A few cases of eosinophilic oesophagitis….” as this implies very low risk. The ACPM proposed the following alternative wording: “Eosinophilic oesophagitis has been reported in association with sublingual immunotherapy”.</w:t>
      </w:r>
    </w:p>
    <w:p w14:paraId="48FE7AFF" w14:textId="77777777" w:rsidR="008543A6" w:rsidRPr="008543A6" w:rsidRDefault="008543A6" w:rsidP="008543A6">
      <w:pPr>
        <w:pStyle w:val="Heading5"/>
        <w:rPr>
          <w:highlight w:val="yellow"/>
        </w:rPr>
      </w:pPr>
      <w:r w:rsidRPr="008543A6">
        <w:t>Specific Advice</w:t>
      </w:r>
    </w:p>
    <w:p w14:paraId="65C15DD4" w14:textId="66A98F15" w:rsidR="008543A6" w:rsidRPr="008543A6" w:rsidRDefault="008543A6" w:rsidP="008543A6">
      <w:pPr>
        <w:rPr>
          <w:highlight w:val="yellow"/>
        </w:rPr>
      </w:pPr>
      <w:r w:rsidRPr="008543A6">
        <w:t xml:space="preserve">The ACPM advised the following in response to the </w:t>
      </w:r>
      <w:r w:rsidR="00CC0F32">
        <w:t>D</w:t>
      </w:r>
      <w:r w:rsidRPr="008543A6">
        <w:t>elegate’s specific questions on this submission:</w:t>
      </w:r>
    </w:p>
    <w:p w14:paraId="46397C03" w14:textId="77777777" w:rsidR="008543A6" w:rsidRPr="00C33BFA" w:rsidRDefault="008543A6" w:rsidP="00C33BFA">
      <w:pPr>
        <w:pStyle w:val="Numberbullet0"/>
        <w:numPr>
          <w:ilvl w:val="0"/>
          <w:numId w:val="37"/>
        </w:numPr>
        <w:rPr>
          <w:i/>
        </w:rPr>
      </w:pPr>
      <w:r w:rsidRPr="00C33BFA">
        <w:rPr>
          <w:i/>
        </w:rPr>
        <w:t xml:space="preserve">Do </w:t>
      </w:r>
      <w:r w:rsidR="00716D4E" w:rsidRPr="00C33BFA">
        <w:rPr>
          <w:i/>
        </w:rPr>
        <w:t>Actair</w:t>
      </w:r>
      <w:r w:rsidRPr="00C33BFA">
        <w:rPr>
          <w:i/>
        </w:rPr>
        <w:t xml:space="preserve"> indications represent a similar population to the ALUSTAL indications, except for the age limitation, and are the proposed </w:t>
      </w:r>
      <w:r w:rsidR="00716D4E" w:rsidRPr="00C33BFA">
        <w:rPr>
          <w:i/>
        </w:rPr>
        <w:t>Actair</w:t>
      </w:r>
      <w:r w:rsidRPr="00C33BFA">
        <w:rPr>
          <w:i/>
        </w:rPr>
        <w:t xml:space="preserve"> indications preferable?</w:t>
      </w:r>
    </w:p>
    <w:p w14:paraId="26574B72" w14:textId="77777777" w:rsidR="00790DE0" w:rsidRDefault="008543A6" w:rsidP="008543A6">
      <w:r w:rsidRPr="008543A6">
        <w:t>The ACPM noted that the sponsor had agreed to the wording of the</w:t>
      </w:r>
      <w:r w:rsidR="00C33BFA">
        <w:t xml:space="preserve"> indication as proposed by the D</w:t>
      </w:r>
      <w:r w:rsidRPr="008543A6">
        <w:t xml:space="preserve">elegate and also the removal of use in children between 5 and 11 years old. The ACPM considered that efficacy had not been established in Study V064.08 in children less than 12 years of age and noted that the sponsor does not intend to include this trial in the Clinical Trials section of the PI. The ACPM advised that the </w:t>
      </w:r>
      <w:r w:rsidR="00716D4E">
        <w:t>Actair</w:t>
      </w:r>
      <w:r w:rsidRPr="008543A6">
        <w:t xml:space="preserve"> population represents a subpopulation of the A</w:t>
      </w:r>
      <w:r w:rsidR="002257F1" w:rsidRPr="008543A6">
        <w:t>lustal</w:t>
      </w:r>
      <w:r w:rsidRPr="008543A6">
        <w:t xml:space="preserve"> population and that the wording is appropriate for that product</w:t>
      </w:r>
      <w:r w:rsidR="00790DE0">
        <w:t>.</w:t>
      </w:r>
    </w:p>
    <w:p w14:paraId="7DF60B68" w14:textId="77777777" w:rsidR="00790DE0" w:rsidRDefault="008543A6" w:rsidP="008543A6">
      <w:pPr>
        <w:pStyle w:val="Numberbullet0"/>
        <w:rPr>
          <w:i/>
        </w:rPr>
      </w:pPr>
      <w:r w:rsidRPr="008543A6">
        <w:rPr>
          <w:i/>
        </w:rPr>
        <w:t>Should Study V064.08 efficacy results be summarised under ‘Clinical Trials’</w:t>
      </w:r>
      <w:r w:rsidR="004A2386">
        <w:rPr>
          <w:i/>
        </w:rPr>
        <w:t xml:space="preserve"> </w:t>
      </w:r>
      <w:r w:rsidRPr="008543A6">
        <w:rPr>
          <w:i/>
        </w:rPr>
        <w:t>Section of PI</w:t>
      </w:r>
      <w:r w:rsidR="00790DE0">
        <w:rPr>
          <w:i/>
        </w:rPr>
        <w:t>.</w:t>
      </w:r>
    </w:p>
    <w:p w14:paraId="6320A16B" w14:textId="11E30EDE" w:rsidR="00790DE0" w:rsidRDefault="008543A6" w:rsidP="008543A6">
      <w:r w:rsidRPr="008543A6">
        <w:t xml:space="preserve">The ACPM was of the view that the efficacy results for Study V064.08 should be summarised under </w:t>
      </w:r>
      <w:r w:rsidR="002257F1">
        <w:t>‘</w:t>
      </w:r>
      <w:r w:rsidR="00CC0F32">
        <w:t>C</w:t>
      </w:r>
      <w:r w:rsidR="002257F1" w:rsidRPr="008543A6">
        <w:t>lin</w:t>
      </w:r>
      <w:r w:rsidR="002257F1">
        <w:t xml:space="preserve">ical trials’ </w:t>
      </w:r>
      <w:r w:rsidR="00C33BFA">
        <w:t>and considered the D</w:t>
      </w:r>
      <w:r w:rsidRPr="008543A6">
        <w:t>elegate’s wording regarding clinical experience in children to be appropriate</w:t>
      </w:r>
      <w:r w:rsidR="00790DE0">
        <w:t>.</w:t>
      </w:r>
    </w:p>
    <w:p w14:paraId="75DD83D3" w14:textId="77777777" w:rsidR="008543A6" w:rsidRPr="008543A6" w:rsidRDefault="008543A6" w:rsidP="008543A6">
      <w:pPr>
        <w:pStyle w:val="Numberbullet0"/>
        <w:rPr>
          <w:i/>
        </w:rPr>
      </w:pPr>
      <w:r w:rsidRPr="008543A6">
        <w:rPr>
          <w:i/>
        </w:rPr>
        <w:t>In view of published case reports of eosinophilic esophagitis associated with sublingual immunotherapy products, should</w:t>
      </w:r>
      <w:r w:rsidR="004A2386">
        <w:rPr>
          <w:i/>
        </w:rPr>
        <w:t xml:space="preserve"> </w:t>
      </w:r>
      <w:r w:rsidRPr="008543A6">
        <w:rPr>
          <w:i/>
        </w:rPr>
        <w:t>“History of eosinophilic oesophagitis” be included as a Contraindication in PI?</w:t>
      </w:r>
    </w:p>
    <w:p w14:paraId="4E171C74" w14:textId="77777777" w:rsidR="00790DE0" w:rsidRDefault="008543A6" w:rsidP="008543A6">
      <w:r w:rsidRPr="008543A6">
        <w:t xml:space="preserve">The ACPM was of the view that there is no evidence that eosinophilic oesophagitis related to one allergen is associated with risk of eosinophilic oesophagitis to another. The ACPM therefore advised that “History of eosinophilic oesophagitis” should be included under </w:t>
      </w:r>
      <w:r w:rsidR="002257F1">
        <w:lastRenderedPageBreak/>
        <w:t>‘</w:t>
      </w:r>
      <w:r w:rsidR="002257F1" w:rsidRPr="008543A6">
        <w:t>precautions</w:t>
      </w:r>
      <w:r w:rsidR="002257F1">
        <w:t>’</w:t>
      </w:r>
      <w:r w:rsidRPr="008543A6">
        <w:t>. The ACPM noted the sponsor’s proposed wording for the precaution in its pre-ACPM response and advised that “A few” should be omitted from “Few cases…” as it could imply very low risk. The ACPM considered that the size of the risk is not known and proposed the following alternate wording “Eosinophilic oesophagitis has been reported in association with sublingual immunotherapy”. The sponsor should also be requested to provide references</w:t>
      </w:r>
      <w:r w:rsidR="00790DE0">
        <w:t>.</w:t>
      </w:r>
    </w:p>
    <w:p w14:paraId="67AB7012" w14:textId="77777777" w:rsidR="008543A6" w:rsidRPr="008543A6" w:rsidRDefault="008543A6" w:rsidP="008543A6">
      <w:pPr>
        <w:pStyle w:val="Numberbullet0"/>
        <w:rPr>
          <w:i/>
        </w:rPr>
      </w:pPr>
      <w:r w:rsidRPr="008543A6">
        <w:rPr>
          <w:i/>
        </w:rPr>
        <w:t xml:space="preserve">Is the deletion of the Contraindication “beta blocker co-medication” and inclusion of the new precaution appropriate based on the EAACI position paper? </w:t>
      </w:r>
    </w:p>
    <w:p w14:paraId="36F74BE4" w14:textId="77777777" w:rsidR="008543A6" w:rsidRPr="008543A6" w:rsidRDefault="008543A6" w:rsidP="008543A6">
      <w:r w:rsidRPr="008543A6">
        <w:t>The ACPM accepted that anaphylaxis is not more frequent in patients receivin</w:t>
      </w:r>
      <w:r w:rsidR="00C33BFA">
        <w:t>g beta </w:t>
      </w:r>
      <w:r w:rsidRPr="008543A6">
        <w:t>blockers. However, these patients may be at risk of more severe systemic reactions and emergency treatment could be ineffective. The ACPM advised the deletion of the contraindication and proposed wording of the new precaution were appropriate.</w:t>
      </w:r>
    </w:p>
    <w:p w14:paraId="48272C24" w14:textId="77777777" w:rsidR="008543A6" w:rsidRPr="008543A6" w:rsidRDefault="008543A6" w:rsidP="008543A6">
      <w:pPr>
        <w:pStyle w:val="Numberbullet0"/>
        <w:rPr>
          <w:i/>
        </w:rPr>
      </w:pPr>
      <w:r w:rsidRPr="008543A6">
        <w:rPr>
          <w:i/>
        </w:rPr>
        <w:t>Is the amended Contraindication “Immune deficiency diseases (ID) or active forms of auto-immune disorder (AID)” appropriate based on the EAACI position paper?</w:t>
      </w:r>
    </w:p>
    <w:p w14:paraId="21D53167" w14:textId="77777777" w:rsidR="008543A6" w:rsidRPr="008543A6" w:rsidRDefault="008543A6" w:rsidP="008543A6">
      <w:r w:rsidRPr="008543A6">
        <w:t>The ACPM noted that the EAACI paper talked only about acquired ID which if well treated is not a contraindication. Although data are limited it recommended absolute and relative contraindications respectively for active AID and AID in remission. However, the ACPM noted that the FDA had recommended similar wording for O</w:t>
      </w:r>
      <w:r w:rsidR="00C33BFA" w:rsidRPr="008543A6">
        <w:t>ralair</w:t>
      </w:r>
      <w:r w:rsidRPr="008543A6">
        <w:t xml:space="preserve"> and a request for a similar amendment has been submitted to the TGA. Overall, the ACPM was satisfied with the sponsor’s amendments to the wording under </w:t>
      </w:r>
      <w:r w:rsidR="002257F1">
        <w:t>‘</w:t>
      </w:r>
      <w:r w:rsidR="002257F1" w:rsidRPr="008543A6">
        <w:t>contraindications</w:t>
      </w:r>
      <w:r w:rsidR="002257F1">
        <w:t>’</w:t>
      </w:r>
      <w:r w:rsidRPr="008543A6">
        <w:t>.</w:t>
      </w:r>
    </w:p>
    <w:p w14:paraId="0AD50B79" w14:textId="77777777" w:rsidR="00790DE0" w:rsidRDefault="008543A6" w:rsidP="008E7846">
      <w:r w:rsidRPr="008543A6">
        <w:t>The ACPM advised that implementation by the sponsor of the recommendations outlined above to the satisfaction of the TGA, in addition to the evidence of efficacy and safety provided would support the safe and effective use of these products</w:t>
      </w:r>
      <w:r w:rsidR="00790DE0">
        <w:t>.</w:t>
      </w:r>
    </w:p>
    <w:p w14:paraId="2A25C646" w14:textId="77777777" w:rsidR="008E7846" w:rsidRPr="002E238E" w:rsidRDefault="008E7846" w:rsidP="008E7846">
      <w:pPr>
        <w:pStyle w:val="Heading3"/>
      </w:pPr>
      <w:bookmarkStart w:id="170" w:name="_Toc247691532"/>
      <w:bookmarkStart w:id="171" w:name="_Toc314842516"/>
      <w:bookmarkStart w:id="172" w:name="_Toc482791316"/>
      <w:bookmarkEnd w:id="127"/>
      <w:bookmarkEnd w:id="168"/>
      <w:bookmarkEnd w:id="169"/>
      <w:r>
        <w:t>Outcome</w:t>
      </w:r>
      <w:bookmarkEnd w:id="170"/>
      <w:bookmarkEnd w:id="171"/>
      <w:bookmarkEnd w:id="172"/>
    </w:p>
    <w:p w14:paraId="06343071" w14:textId="77777777" w:rsidR="00D23139" w:rsidRPr="00D23139" w:rsidRDefault="00D23139" w:rsidP="00D23139">
      <w:bookmarkStart w:id="173" w:name="_Toc247691533"/>
      <w:bookmarkStart w:id="174" w:name="_Toc314842517"/>
      <w:r w:rsidRPr="00D23139">
        <w:t xml:space="preserve">Based on a review of quality, safety and efficacy, TGA approved the registration of </w:t>
      </w:r>
      <w:r w:rsidR="00DE5CDE">
        <w:rPr>
          <w:rFonts w:eastAsiaTheme="minorHAnsi" w:cs="Cambria"/>
        </w:rPr>
        <w:t>Actair Initiation Treatment 100 IR and 300 IR sublingual tablets blister pack</w:t>
      </w:r>
      <w:r w:rsidR="00DE5CDE" w:rsidRPr="00D23139">
        <w:t xml:space="preserve"> </w:t>
      </w:r>
      <w:r w:rsidR="00DE5CDE">
        <w:t xml:space="preserve">and </w:t>
      </w:r>
      <w:r w:rsidR="00DE5CDE">
        <w:rPr>
          <w:rFonts w:eastAsiaTheme="minorHAnsi" w:cs="Cambria"/>
        </w:rPr>
        <w:t>Actair Continuation Treatment 300 IR sublingual tablets blister pack</w:t>
      </w:r>
      <w:r w:rsidR="00DE5CDE" w:rsidRPr="00D23139">
        <w:t xml:space="preserve"> </w:t>
      </w:r>
      <w:r w:rsidRPr="00D23139">
        <w:t>indicated for:</w:t>
      </w:r>
    </w:p>
    <w:p w14:paraId="1B331DB2" w14:textId="77777777" w:rsidR="00D23139" w:rsidRPr="00DE5CDE" w:rsidRDefault="00DE5CDE" w:rsidP="00DE5CDE">
      <w:pPr>
        <w:ind w:left="720"/>
        <w:rPr>
          <w:i/>
        </w:rPr>
      </w:pPr>
      <w:r w:rsidRPr="00DE5CDE">
        <w:rPr>
          <w:i/>
        </w:rPr>
        <w:t>Treatment of house dust mite allergic rhinitis with or without conjunctivitis in adults and adolescents over 12 years diagnosed with house dust mite allergy.</w:t>
      </w:r>
    </w:p>
    <w:p w14:paraId="1306E373" w14:textId="77777777" w:rsidR="00DE5CDE" w:rsidRPr="00DE5CDE" w:rsidRDefault="00D23139" w:rsidP="00DE5CDE">
      <w:pPr>
        <w:pStyle w:val="Heading4"/>
      </w:pPr>
      <w:r w:rsidRPr="00D23139">
        <w:t>Specific conditions of registration applying to these goods</w:t>
      </w:r>
    </w:p>
    <w:p w14:paraId="0A506595" w14:textId="77777777" w:rsidR="00D23139" w:rsidRPr="00DE5CDE" w:rsidRDefault="00DE5CDE" w:rsidP="00DE5CDE">
      <w:r>
        <w:rPr>
          <w:color w:val="002C47"/>
        </w:rPr>
        <w:t>T</w:t>
      </w:r>
      <w:r>
        <w:t>he Actair Initiation Treatment and Continuation Treatment Risk Management Plan (RMP), Implement AUS-RMP version 2.0 dated 23 July 2015 (data lock point 14 January 2015) and any future updates as a condition of registration.</w:t>
      </w:r>
    </w:p>
    <w:p w14:paraId="4955BE73" w14:textId="77777777" w:rsidR="008E7846" w:rsidRDefault="00A80B5B" w:rsidP="00D23139">
      <w:pPr>
        <w:pStyle w:val="Heading2"/>
      </w:pPr>
      <w:bookmarkStart w:id="175" w:name="_Toc482791317"/>
      <w:proofErr w:type="gramStart"/>
      <w:r>
        <w:t>Attachment 1.</w:t>
      </w:r>
      <w:proofErr w:type="gramEnd"/>
      <w:r>
        <w:t xml:space="preserve"> </w:t>
      </w:r>
      <w:r w:rsidR="008E7846">
        <w:t xml:space="preserve">Product </w:t>
      </w:r>
      <w:r w:rsidR="00AA0ED0">
        <w:t>I</w:t>
      </w:r>
      <w:r w:rsidR="008E7846">
        <w:t>nformation</w:t>
      </w:r>
      <w:bookmarkEnd w:id="173"/>
      <w:bookmarkEnd w:id="174"/>
      <w:bookmarkEnd w:id="175"/>
    </w:p>
    <w:p w14:paraId="797819E4" w14:textId="77777777" w:rsidR="00790DE0" w:rsidRDefault="006136D7" w:rsidP="00C80137">
      <w:r w:rsidRPr="002B3624">
        <w:t xml:space="preserve">The </w:t>
      </w:r>
      <w:r>
        <w:t>PI</w:t>
      </w:r>
      <w:r w:rsidRPr="002B3624">
        <w:t xml:space="preserve"> for </w:t>
      </w:r>
      <w:r w:rsidR="00C33BFA">
        <w:t xml:space="preserve">Actair </w:t>
      </w:r>
      <w:r w:rsidR="00DE5CDE">
        <w:t>Initiation Treatment and Continuation Treatment</w:t>
      </w:r>
      <w:r w:rsidR="00DE5CDE"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1" w:history="1">
        <w:r w:rsidR="007C6B9B" w:rsidRPr="007C6B9B">
          <w:rPr>
            <w:rStyle w:val="Hyperlink"/>
          </w:rPr>
          <w:t>https://www.tga.gov.au/product-information-pi</w:t>
        </w:r>
      </w:hyperlink>
      <w:r w:rsidR="007C6B9B" w:rsidRPr="007C6B9B">
        <w:t>&gt;</w:t>
      </w:r>
      <w:r w:rsidR="00790DE0">
        <w:t>.</w:t>
      </w:r>
    </w:p>
    <w:p w14:paraId="6A7AE0E4" w14:textId="6FCE49A7" w:rsidR="00770CAC" w:rsidRDefault="00C80137" w:rsidP="001A3124">
      <w:pPr>
        <w:pStyle w:val="Heading2"/>
        <w:rPr>
          <w:lang w:eastAsia="ja-JP"/>
        </w:rPr>
      </w:pPr>
      <w:bookmarkStart w:id="176" w:name="_Toc482791318"/>
      <w:proofErr w:type="gramStart"/>
      <w:r>
        <w:rPr>
          <w:lang w:eastAsia="en-AU"/>
        </w:rPr>
        <w:t>Attachment 2.</w:t>
      </w:r>
      <w:proofErr w:type="gramEnd"/>
      <w:r w:rsidR="00A80B5B">
        <w:rPr>
          <w:lang w:eastAsia="en-AU"/>
        </w:rPr>
        <w:t xml:space="preserve"> </w:t>
      </w:r>
      <w:r>
        <w:rPr>
          <w:lang w:eastAsia="en-AU"/>
        </w:rPr>
        <w:t>Extract from the Clinical Evaluation Report</w:t>
      </w:r>
      <w:bookmarkEnd w:id="176"/>
    </w:p>
    <w:p w14:paraId="07127D19" w14:textId="77777777" w:rsidR="00291957" w:rsidRDefault="00291957" w:rsidP="00291957">
      <w:pPr>
        <w:rPr>
          <w:lang w:eastAsia="ja-JP"/>
        </w:rPr>
      </w:pPr>
    </w:p>
    <w:p w14:paraId="6B55DBA1"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84DED1F" w14:textId="77777777" w:rsidTr="00A05FA4">
        <w:trPr>
          <w:trHeight w:hRule="exact" w:val="704"/>
        </w:trPr>
        <w:tc>
          <w:tcPr>
            <w:tcW w:w="9175" w:type="dxa"/>
          </w:tcPr>
          <w:p w14:paraId="57D7AE7E" w14:textId="77777777" w:rsidR="001C32CD" w:rsidRPr="00487162" w:rsidRDefault="001C32CD" w:rsidP="00A05FA4">
            <w:pPr>
              <w:pStyle w:val="TGASignoff"/>
            </w:pPr>
            <w:r w:rsidRPr="00487162">
              <w:lastRenderedPageBreak/>
              <w:t>Therapeutic Goods Administration</w:t>
            </w:r>
          </w:p>
        </w:tc>
      </w:tr>
      <w:tr w:rsidR="001C32CD" w:rsidRPr="004C239D" w14:paraId="709A40BB" w14:textId="77777777" w:rsidTr="00A05FA4">
        <w:trPr>
          <w:trHeight w:val="1221"/>
        </w:trPr>
        <w:tc>
          <w:tcPr>
            <w:tcW w:w="9175" w:type="dxa"/>
            <w:tcMar>
              <w:top w:w="28" w:type="dxa"/>
            </w:tcMar>
          </w:tcPr>
          <w:p w14:paraId="308E6D78" w14:textId="77777777" w:rsidR="001C32CD" w:rsidRPr="00487162" w:rsidRDefault="001C32CD" w:rsidP="00A05FA4">
            <w:pPr>
              <w:pStyle w:val="Address"/>
            </w:pPr>
            <w:r w:rsidRPr="00487162">
              <w:t>PO Box 100 Woden ACT 2606 Australia</w:t>
            </w:r>
          </w:p>
          <w:p w14:paraId="630A58B4" w14:textId="77777777" w:rsidR="001C32CD" w:rsidRPr="00487162" w:rsidRDefault="001C32CD" w:rsidP="00A05FA4">
            <w:pPr>
              <w:pStyle w:val="Address"/>
            </w:pPr>
            <w:r w:rsidRPr="00487162">
              <w:t xml:space="preserve">Email: </w:t>
            </w:r>
            <w:hyperlink r:id="rId36" w:history="1">
              <w:r w:rsidRPr="004C239D">
                <w:rPr>
                  <w:rStyle w:val="Hyperlink"/>
                </w:rPr>
                <w:t>info@tga.gov.au</w:t>
              </w:r>
            </w:hyperlink>
            <w:r w:rsidR="004A2386">
              <w:t xml:space="preserve"> </w:t>
            </w:r>
            <w:r w:rsidRPr="00487162">
              <w:t>Phone: 1800 020 653</w:t>
            </w:r>
            <w:r w:rsidR="004A2386">
              <w:t xml:space="preserve"> </w:t>
            </w:r>
            <w:r w:rsidRPr="00487162">
              <w:t>Fax: 02 6232 8605</w:t>
            </w:r>
          </w:p>
          <w:p w14:paraId="1EF9CF81" w14:textId="77777777" w:rsidR="001C32CD" w:rsidRPr="004C239D" w:rsidRDefault="009B0053"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68B240F7"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1A99FC" w15:done="0"/>
  <w15:commentEx w15:paraId="7B6E03ED" w15:done="0"/>
  <w15:commentEx w15:paraId="217876C4" w15:done="0"/>
  <w15:commentEx w15:paraId="66D962A9" w15:done="0"/>
  <w15:commentEx w15:paraId="42B5C0D7" w15:done="0"/>
  <w15:commentEx w15:paraId="4BA5185B" w15:done="0"/>
  <w15:commentEx w15:paraId="07546291" w15:done="0"/>
  <w15:commentEx w15:paraId="18F966BD" w15:done="0"/>
  <w15:commentEx w15:paraId="61C0812D" w15:done="0"/>
  <w15:commentEx w15:paraId="6BD38F23" w15:done="0"/>
  <w15:commentEx w15:paraId="22B83EFB" w15:done="0"/>
  <w15:commentEx w15:paraId="4B0A2CDF" w15:done="0"/>
  <w15:commentEx w15:paraId="60B8B15D" w15:done="0"/>
  <w15:commentEx w15:paraId="3DF6FB4B" w15:done="0"/>
  <w15:commentEx w15:paraId="5812D13D" w15:done="0"/>
  <w15:commentEx w15:paraId="09D106A8" w15:done="0"/>
  <w15:commentEx w15:paraId="3C49AE3A" w15:done="0"/>
  <w15:commentEx w15:paraId="5379FE3E" w15:done="0"/>
  <w15:commentEx w15:paraId="6B7F4CC2" w15:done="0"/>
  <w15:commentEx w15:paraId="0A1B803F" w15:done="0"/>
  <w15:commentEx w15:paraId="24B329CC" w15:done="0"/>
  <w15:commentEx w15:paraId="426D753C" w15:done="0"/>
  <w15:commentEx w15:paraId="45CA6076" w15:done="0"/>
  <w15:commentEx w15:paraId="1A5B54D5" w15:done="0"/>
  <w15:commentEx w15:paraId="48A06EE0" w15:done="0"/>
  <w15:commentEx w15:paraId="0BA547AE" w15:done="0"/>
  <w15:commentEx w15:paraId="442FF14E" w15:done="0"/>
  <w15:commentEx w15:paraId="5B95A1A8" w15:done="0"/>
  <w15:commentEx w15:paraId="0D6C01AE" w15:done="0"/>
  <w15:commentEx w15:paraId="039C7C92" w15:done="0"/>
  <w15:commentEx w15:paraId="072178D4" w15:done="0"/>
  <w15:commentEx w15:paraId="708D1811" w15:done="0"/>
  <w15:commentEx w15:paraId="0035EA8B" w15:done="0"/>
  <w15:commentEx w15:paraId="04D0514B" w15:done="0"/>
  <w15:commentEx w15:paraId="36FFD530" w15:done="0"/>
  <w15:commentEx w15:paraId="674864D9" w15:done="0"/>
  <w15:commentEx w15:paraId="244ED2A8" w15:done="0"/>
  <w15:commentEx w15:paraId="1DEB7607" w15:done="0"/>
  <w15:commentEx w15:paraId="1C8BF792" w15:done="0"/>
  <w15:commentEx w15:paraId="49867E1E" w15:done="0"/>
  <w15:commentEx w15:paraId="5E916940" w15:done="0"/>
  <w15:commentEx w15:paraId="0B333968" w15:done="0"/>
  <w15:commentEx w15:paraId="37D1557D" w15:done="0"/>
  <w15:commentEx w15:paraId="66143E5D" w15:done="0"/>
  <w15:commentEx w15:paraId="455D76C8" w15:done="0"/>
  <w15:commentEx w15:paraId="07AB2C20" w15:done="0"/>
  <w15:commentEx w15:paraId="73516B17" w15:done="0"/>
  <w15:commentEx w15:paraId="385A12A0" w15:done="0"/>
  <w15:commentEx w15:paraId="35CD5775" w15:done="0"/>
  <w15:commentEx w15:paraId="4B422BA6" w15:done="0"/>
  <w15:commentEx w15:paraId="6DBBF687" w15:done="0"/>
  <w15:commentEx w15:paraId="354ABF9F" w15:done="0"/>
  <w15:commentEx w15:paraId="22137668" w15:done="0"/>
  <w15:commentEx w15:paraId="024D40A0" w15:done="0"/>
  <w15:commentEx w15:paraId="4D913299" w15:done="0"/>
  <w15:commentEx w15:paraId="1653B4C3" w15:done="0"/>
  <w15:commentEx w15:paraId="2168CF21" w15:done="0"/>
  <w15:commentEx w15:paraId="4C625CBC" w15:done="0"/>
  <w15:commentEx w15:paraId="4BA49BBA" w15:done="0"/>
  <w15:commentEx w15:paraId="35D4EDFD" w15:done="0"/>
  <w15:commentEx w15:paraId="6100C190" w15:done="0"/>
  <w15:commentEx w15:paraId="35FEB9D3" w15:done="0"/>
  <w15:commentEx w15:paraId="20538C05" w15:done="0"/>
  <w15:commentEx w15:paraId="36E0E296" w15:done="0"/>
  <w15:commentEx w15:paraId="379AC3BB" w15:done="0"/>
  <w15:commentEx w15:paraId="3EBEF46D" w15:done="0"/>
  <w15:commentEx w15:paraId="08B1E11B" w15:done="0"/>
  <w15:commentEx w15:paraId="395F85D8" w15:done="0"/>
  <w15:commentEx w15:paraId="691829C8" w15:done="0"/>
  <w15:commentEx w15:paraId="7B15FDE4" w15:done="0"/>
  <w15:commentEx w15:paraId="72486D9C" w15:done="0"/>
  <w15:commentEx w15:paraId="3A99B5A5" w15:done="0"/>
  <w15:commentEx w15:paraId="79D8A083" w15:done="0"/>
  <w15:commentEx w15:paraId="206FD11E" w15:done="0"/>
  <w15:commentEx w15:paraId="48EEDDA7" w15:done="0"/>
  <w15:commentEx w15:paraId="6B548A95" w15:done="0"/>
  <w15:commentEx w15:paraId="0F690366" w15:done="0"/>
  <w15:commentEx w15:paraId="6A134C3F" w15:done="0"/>
  <w15:commentEx w15:paraId="267FF879" w15:done="0"/>
  <w15:commentEx w15:paraId="1A2CA465" w15:done="0"/>
  <w15:commentEx w15:paraId="5727A3C3" w15:done="0"/>
  <w15:commentEx w15:paraId="1C54A9DA" w15:done="0"/>
  <w15:commentEx w15:paraId="68EECD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E592BC" w14:textId="77777777" w:rsidR="001A3124" w:rsidRDefault="001A3124" w:rsidP="00C40A36">
      <w:pPr>
        <w:spacing w:after="0"/>
      </w:pPr>
      <w:r>
        <w:separator/>
      </w:r>
    </w:p>
  </w:endnote>
  <w:endnote w:type="continuationSeparator" w:id="0">
    <w:p w14:paraId="5C0B0E35" w14:textId="77777777" w:rsidR="001A3124" w:rsidRDefault="001A312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yriadPro-BoldIt">
    <w:panose1 w:val="00000000000000000000"/>
    <w:charset w:val="00"/>
    <w:family w:val="auto"/>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AdvP497E3">
    <w:panose1 w:val="00000000000000000000"/>
    <w:charset w:val="00"/>
    <w:family w:val="roman"/>
    <w:notTrueType/>
    <w:pitch w:val="default"/>
    <w:sig w:usb0="00000003" w:usb1="00000000" w:usb2="00000000" w:usb3="00000000" w:csb0="00000001" w:csb1="00000000"/>
  </w:font>
  <w:font w:name="AdvPS6F0B">
    <w:panose1 w:val="00000000000000000000"/>
    <w:charset w:val="00"/>
    <w:family w:val="auto"/>
    <w:notTrueType/>
    <w:pitch w:val="default"/>
    <w:sig w:usb0="00000003" w:usb1="00000000" w:usb2="00000000" w:usb3="00000000" w:csb0="00000001" w:csb1="00000000"/>
  </w:font>
  <w:font w:name="AdvPS6F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2470C" w14:textId="77777777" w:rsidR="0088097D" w:rsidRDefault="00880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A3124" w:rsidRPr="00487162" w14:paraId="1F404058" w14:textId="77777777" w:rsidTr="00DB750B">
      <w:trPr>
        <w:trHeight w:val="269"/>
      </w:trPr>
      <w:tc>
        <w:tcPr>
          <w:tcW w:w="7371" w:type="dxa"/>
          <w:tcMar>
            <w:top w:w="142" w:type="dxa"/>
            <w:bottom w:w="0" w:type="dxa"/>
          </w:tcMar>
        </w:tcPr>
        <w:p w14:paraId="736DFA55" w14:textId="0BDDE1A3" w:rsidR="001A3124" w:rsidRPr="00487162" w:rsidRDefault="001A3124" w:rsidP="005F36B3">
          <w:pPr>
            <w:pStyle w:val="Footer"/>
          </w:pPr>
          <w:r w:rsidRPr="00487162">
            <w:t>AusPA</w:t>
          </w:r>
          <w:r>
            <w:t>R</w:t>
          </w:r>
          <w:r w:rsidRPr="00790DE0">
            <w:t xml:space="preserve"> - ACTAIR </w:t>
          </w:r>
          <w:r w:rsidR="0088097D">
            <w:t xml:space="preserve">initiation treatment </w:t>
          </w:r>
          <w:r w:rsidRPr="00790DE0">
            <w:t>100 IR and 300 IR</w:t>
          </w:r>
          <w:r w:rsidR="0088097D">
            <w:t xml:space="preserve"> and continuation treatment 300 IR</w:t>
          </w:r>
          <w:r>
            <w:t xml:space="preserve"> - American House Dust Mite / </w:t>
          </w:r>
          <w:r w:rsidRPr="00790DE0">
            <w:t xml:space="preserve">European House Dust Mite allergen extracts - Stallergenes Australia Pty Ltd - PM-2014-03871-1-2 - </w:t>
          </w:r>
          <w:r>
            <w:t>FINAL</w:t>
          </w:r>
          <w:r w:rsidRPr="00790DE0">
            <w:t xml:space="preserve"> </w:t>
          </w:r>
          <w:r>
            <w:t>9 August 2017</w:t>
          </w:r>
        </w:p>
      </w:tc>
      <w:tc>
        <w:tcPr>
          <w:tcW w:w="1490" w:type="dxa"/>
          <w:tcMar>
            <w:top w:w="142" w:type="dxa"/>
            <w:bottom w:w="0" w:type="dxa"/>
          </w:tcMar>
        </w:tcPr>
        <w:p w14:paraId="5D2994D9" w14:textId="77777777" w:rsidR="001A3124" w:rsidRPr="00487162" w:rsidRDefault="001A3124" w:rsidP="00DB750B">
          <w:pPr>
            <w:pStyle w:val="Footer"/>
            <w:jc w:val="right"/>
          </w:pPr>
          <w:r w:rsidRPr="00487162">
            <w:t xml:space="preserve">Page </w:t>
          </w:r>
          <w:r>
            <w:fldChar w:fldCharType="begin"/>
          </w:r>
          <w:r>
            <w:instrText xml:space="preserve"> PAGE  \* Arabic </w:instrText>
          </w:r>
          <w:r>
            <w:fldChar w:fldCharType="separate"/>
          </w:r>
          <w:r w:rsidR="009B0053">
            <w:rPr>
              <w:noProof/>
            </w:rPr>
            <w:t>4</w:t>
          </w:r>
          <w:r>
            <w:fldChar w:fldCharType="end"/>
          </w:r>
          <w:r w:rsidRPr="00487162">
            <w:t xml:space="preserve"> of </w:t>
          </w:r>
          <w:r w:rsidR="009B0053">
            <w:fldChar w:fldCharType="begin"/>
          </w:r>
          <w:r w:rsidR="009B0053">
            <w:instrText xml:space="preserve"> NUMPAGES  \* Arabic </w:instrText>
          </w:r>
          <w:r w:rsidR="009B0053">
            <w:fldChar w:fldCharType="separate"/>
          </w:r>
          <w:r w:rsidR="009B0053">
            <w:rPr>
              <w:noProof/>
            </w:rPr>
            <w:t>60</w:t>
          </w:r>
          <w:r w:rsidR="009B0053">
            <w:rPr>
              <w:noProof/>
            </w:rPr>
            <w:fldChar w:fldCharType="end"/>
          </w:r>
        </w:p>
      </w:tc>
    </w:tr>
  </w:tbl>
  <w:p w14:paraId="7EF13EF1" w14:textId="77777777" w:rsidR="001A3124" w:rsidRDefault="001A3124"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6DF56" w14:textId="77777777" w:rsidR="0088097D" w:rsidRDefault="008809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A3124" w:rsidRPr="00487162" w14:paraId="159108EF" w14:textId="77777777" w:rsidTr="00E45619">
      <w:trPr>
        <w:trHeight w:val="269"/>
      </w:trPr>
      <w:tc>
        <w:tcPr>
          <w:tcW w:w="4519" w:type="dxa"/>
          <w:tcBorders>
            <w:top w:val="single" w:sz="4" w:space="0" w:color="auto"/>
          </w:tcBorders>
          <w:tcMar>
            <w:top w:w="142" w:type="dxa"/>
            <w:bottom w:w="0" w:type="dxa"/>
          </w:tcMar>
        </w:tcPr>
        <w:p w14:paraId="7D9728E4" w14:textId="77777777" w:rsidR="001A3124" w:rsidRPr="00487162" w:rsidRDefault="001A3124" w:rsidP="00FE1DEE">
          <w:pPr>
            <w:pStyle w:val="Footer"/>
          </w:pPr>
          <w:r w:rsidRPr="00487162">
            <w:t>Document title, Part #, Section # - Section title</w:t>
          </w:r>
        </w:p>
        <w:p w14:paraId="2B08B3C8" w14:textId="77777777" w:rsidR="001A3124" w:rsidRPr="00487162" w:rsidRDefault="001A3124" w:rsidP="00FE1DEE">
          <w:pPr>
            <w:pStyle w:val="Footer"/>
          </w:pPr>
          <w:r w:rsidRPr="00487162">
            <w:t>V1.0 October 2010</w:t>
          </w:r>
        </w:p>
      </w:tc>
      <w:tc>
        <w:tcPr>
          <w:tcW w:w="4342" w:type="dxa"/>
          <w:tcBorders>
            <w:top w:val="single" w:sz="4" w:space="0" w:color="auto"/>
          </w:tcBorders>
          <w:tcMar>
            <w:top w:w="142" w:type="dxa"/>
            <w:bottom w:w="0" w:type="dxa"/>
          </w:tcMar>
        </w:tcPr>
        <w:p w14:paraId="07E5CA5D" w14:textId="77777777" w:rsidR="001A3124" w:rsidRPr="00487162" w:rsidRDefault="001A3124"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9B0053">
            <w:fldChar w:fldCharType="begin"/>
          </w:r>
          <w:r w:rsidR="009B0053">
            <w:instrText xml:space="preserve"> NUMPAGES  </w:instrText>
          </w:r>
          <w:r w:rsidR="009B0053">
            <w:fldChar w:fldCharType="separate"/>
          </w:r>
          <w:r>
            <w:rPr>
              <w:noProof/>
            </w:rPr>
            <w:t>3</w:t>
          </w:r>
          <w:r w:rsidR="009B0053">
            <w:rPr>
              <w:noProof/>
            </w:rPr>
            <w:fldChar w:fldCharType="end"/>
          </w:r>
        </w:p>
      </w:tc>
    </w:tr>
  </w:tbl>
  <w:p w14:paraId="781086AC" w14:textId="77777777" w:rsidR="001A3124" w:rsidRDefault="001A31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9F0BF" w14:textId="77777777" w:rsidR="001A3124" w:rsidRPr="001C32CD" w:rsidRDefault="001A3124"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A3124" w14:paraId="0CC66A9B" w14:textId="77777777" w:rsidTr="0010601F">
      <w:trPr>
        <w:trHeight w:val="108"/>
      </w:trPr>
      <w:tc>
        <w:tcPr>
          <w:tcW w:w="8875" w:type="dxa"/>
          <w:gridSpan w:val="2"/>
          <w:tcBorders>
            <w:bottom w:val="single" w:sz="4" w:space="0" w:color="auto"/>
          </w:tcBorders>
          <w:tcMar>
            <w:right w:w="284" w:type="dxa"/>
          </w:tcMar>
        </w:tcPr>
        <w:p w14:paraId="56AA5E32" w14:textId="77777777" w:rsidR="001A3124" w:rsidRDefault="001A3124" w:rsidP="006E08B3">
          <w:pPr>
            <w:pStyle w:val="Heading3"/>
          </w:pPr>
          <w:r>
            <w:t>Copyright</w:t>
          </w:r>
        </w:p>
        <w:p w14:paraId="60EC7622" w14:textId="77777777" w:rsidR="001A3124" w:rsidRDefault="001A3124" w:rsidP="006E08B3">
          <w:r>
            <w:rPr>
              <w:rFonts w:cs="Arial"/>
            </w:rPr>
            <w:t>©</w:t>
          </w:r>
          <w:r>
            <w:t xml:space="preserve"> Commonwealth of Australia [add year]</w:t>
          </w:r>
        </w:p>
        <w:p w14:paraId="6A7CEB9D" w14:textId="77777777" w:rsidR="001A3124" w:rsidRDefault="001A3124" w:rsidP="006E08B3"/>
        <w:p w14:paraId="5567CA23" w14:textId="77777777" w:rsidR="001A3124" w:rsidRDefault="001A3124"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9C29455" w14:textId="77777777" w:rsidR="001A3124" w:rsidRDefault="001A3124" w:rsidP="006E08B3"/>
        <w:p w14:paraId="08C13EC6" w14:textId="77777777" w:rsidR="001A3124" w:rsidRDefault="001A3124" w:rsidP="006E08B3">
          <w:pPr>
            <w:pStyle w:val="Heading3"/>
          </w:pPr>
          <w:r>
            <w:t>Confidentiality</w:t>
          </w:r>
        </w:p>
        <w:p w14:paraId="7891E6C0" w14:textId="77777777" w:rsidR="001A3124" w:rsidRDefault="001A3124"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04E5621" w14:textId="77777777" w:rsidR="001A3124" w:rsidRDefault="001A3124" w:rsidP="006E08B3"/>
        <w:p w14:paraId="284AE590" w14:textId="77777777" w:rsidR="001A3124" w:rsidRDefault="001A3124" w:rsidP="006E08B3">
          <w:r>
            <w:t>For submission made by individuals, all personal details, other than your name, will be removed from your submission before it is published on the TGA’s Internet site.</w:t>
          </w:r>
        </w:p>
        <w:p w14:paraId="5C559A48" w14:textId="77777777" w:rsidR="001A3124" w:rsidRDefault="001A3124" w:rsidP="006E08B3"/>
        <w:p w14:paraId="5B0C953F" w14:textId="77777777" w:rsidR="001A3124" w:rsidRDefault="001A3124"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A3124" w14:paraId="447D7904" w14:textId="77777777" w:rsidTr="0010601F">
      <w:trPr>
        <w:trHeight w:val="417"/>
      </w:trPr>
      <w:tc>
        <w:tcPr>
          <w:tcW w:w="4519" w:type="dxa"/>
          <w:tcBorders>
            <w:top w:val="single" w:sz="4" w:space="0" w:color="auto"/>
          </w:tcBorders>
          <w:tcMar>
            <w:top w:w="142" w:type="dxa"/>
            <w:bottom w:w="0" w:type="dxa"/>
          </w:tcMar>
        </w:tcPr>
        <w:p w14:paraId="32F4722F" w14:textId="77777777" w:rsidR="001A3124" w:rsidRDefault="001A3124" w:rsidP="006E08B3">
          <w:r>
            <w:t>Document title, Part #, Section # - Section title</w:t>
          </w:r>
        </w:p>
        <w:p w14:paraId="66CD3F8D" w14:textId="77777777" w:rsidR="001A3124" w:rsidRDefault="001A3124" w:rsidP="006E08B3">
          <w:r>
            <w:t>V1.0 October 2010</w:t>
          </w:r>
        </w:p>
      </w:tc>
      <w:tc>
        <w:tcPr>
          <w:tcW w:w="4356" w:type="dxa"/>
          <w:tcBorders>
            <w:top w:val="single" w:sz="4" w:space="0" w:color="auto"/>
          </w:tcBorders>
          <w:tcMar>
            <w:top w:w="142" w:type="dxa"/>
            <w:bottom w:w="0" w:type="dxa"/>
          </w:tcMar>
        </w:tcPr>
        <w:p w14:paraId="6B0BF330" w14:textId="77777777" w:rsidR="001A3124" w:rsidRDefault="001A3124"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B0053">
            <w:fldChar w:fldCharType="begin"/>
          </w:r>
          <w:r w:rsidR="009B0053">
            <w:instrText xml:space="preserve"> NUMPAGES  \* Arabic </w:instrText>
          </w:r>
          <w:r w:rsidR="009B0053">
            <w:fldChar w:fldCharType="separate"/>
          </w:r>
          <w:r>
            <w:rPr>
              <w:noProof/>
            </w:rPr>
            <w:t>3</w:t>
          </w:r>
          <w:r w:rsidR="009B0053">
            <w:rPr>
              <w:noProof/>
            </w:rPr>
            <w:fldChar w:fldCharType="end"/>
          </w:r>
          <w:r>
            <w:t xml:space="preserve"> </w:t>
          </w:r>
        </w:p>
      </w:tc>
    </w:tr>
  </w:tbl>
  <w:p w14:paraId="1C985C9B" w14:textId="77777777" w:rsidR="001A3124" w:rsidRDefault="001A31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0F2EC1" w14:textId="77777777" w:rsidR="001A3124" w:rsidRDefault="001A3124" w:rsidP="00C40A36">
      <w:pPr>
        <w:spacing w:after="0"/>
      </w:pPr>
      <w:r>
        <w:separator/>
      </w:r>
    </w:p>
  </w:footnote>
  <w:footnote w:type="continuationSeparator" w:id="0">
    <w:p w14:paraId="32011FDB" w14:textId="77777777" w:rsidR="001A3124" w:rsidRDefault="001A3124" w:rsidP="00C40A36">
      <w:pPr>
        <w:spacing w:after="0"/>
      </w:pPr>
      <w:r>
        <w:continuationSeparator/>
      </w:r>
    </w:p>
  </w:footnote>
  <w:footnote w:id="1">
    <w:p w14:paraId="13DBCA52" w14:textId="77777777" w:rsidR="001A3124" w:rsidRPr="00CB2A9E" w:rsidRDefault="001A3124">
      <w:pPr>
        <w:pStyle w:val="FootnoteText"/>
        <w:rPr>
          <w:lang w:val="en-US"/>
        </w:rPr>
      </w:pPr>
      <w:r>
        <w:rPr>
          <w:rStyle w:val="FootnoteReference"/>
        </w:rPr>
        <w:footnoteRef/>
      </w:r>
      <w:r>
        <w:t xml:space="preserve"> </w:t>
      </w:r>
      <w:r w:rsidRPr="0099130C">
        <w:rPr>
          <w:noProof/>
          <w:lang w:val="en-GB"/>
        </w:rPr>
        <w:t>Lin S. Y</w:t>
      </w:r>
      <w:r>
        <w:rPr>
          <w:noProof/>
          <w:lang w:val="en-GB"/>
        </w:rPr>
        <w:t xml:space="preserve"> et al </w:t>
      </w:r>
      <w:r w:rsidRPr="0099130C">
        <w:rPr>
          <w:noProof/>
          <w:lang w:val="en-GB"/>
        </w:rPr>
        <w:t>Allergen-Specific Immunotherapy for the Treatment of Allergic Rhinoconjunctivitis and/or Asthma: Comparative Effectiveness Review. Rockville (MD)2013.</w:t>
      </w:r>
    </w:p>
  </w:footnote>
  <w:footnote w:id="2">
    <w:p w14:paraId="71ED5539" w14:textId="77777777" w:rsidR="001A3124" w:rsidRPr="00CB2A9E" w:rsidRDefault="001A3124">
      <w:pPr>
        <w:pStyle w:val="FootnoteText"/>
        <w:rPr>
          <w:lang w:val="en-US"/>
        </w:rPr>
      </w:pPr>
      <w:r>
        <w:rPr>
          <w:rStyle w:val="FootnoteReference"/>
        </w:rPr>
        <w:footnoteRef/>
      </w:r>
      <w:r>
        <w:t xml:space="preserve"> </w:t>
      </w:r>
      <w:r w:rsidRPr="0099130C">
        <w:rPr>
          <w:noProof/>
          <w:lang w:val="en-GB"/>
        </w:rPr>
        <w:t>Canonica G. W</w:t>
      </w:r>
      <w:r>
        <w:rPr>
          <w:noProof/>
          <w:lang w:val="en-GB"/>
        </w:rPr>
        <w:t xml:space="preserve"> et al </w:t>
      </w:r>
      <w:r w:rsidRPr="0099130C">
        <w:rPr>
          <w:noProof/>
          <w:lang w:val="en-GB"/>
        </w:rPr>
        <w:t xml:space="preserve">Sub-lingual immunotherapy: World Allergy Organization Position Paper 2009. </w:t>
      </w:r>
      <w:r w:rsidRPr="00CB2A9E">
        <w:rPr>
          <w:i/>
          <w:noProof/>
          <w:lang w:val="en-GB"/>
        </w:rPr>
        <w:t>Allergy</w:t>
      </w:r>
      <w:r w:rsidRPr="0099130C">
        <w:rPr>
          <w:noProof/>
          <w:lang w:val="en-GB"/>
        </w:rPr>
        <w:t xml:space="preserve"> 2009;</w:t>
      </w:r>
      <w:r>
        <w:rPr>
          <w:noProof/>
          <w:lang w:val="en-GB"/>
        </w:rPr>
        <w:t xml:space="preserve"> </w:t>
      </w:r>
      <w:r w:rsidRPr="0099130C">
        <w:rPr>
          <w:noProof/>
          <w:lang w:val="en-GB"/>
        </w:rPr>
        <w:t>64:</w:t>
      </w:r>
      <w:r>
        <w:rPr>
          <w:noProof/>
          <w:lang w:val="en-GB"/>
        </w:rPr>
        <w:t xml:space="preserve"> </w:t>
      </w:r>
      <w:r w:rsidRPr="0099130C">
        <w:rPr>
          <w:noProof/>
          <w:lang w:val="en-GB"/>
        </w:rPr>
        <w:t>1-59.</w:t>
      </w:r>
    </w:p>
  </w:footnote>
  <w:footnote w:id="3">
    <w:p w14:paraId="38EB56B5" w14:textId="77777777" w:rsidR="001A3124" w:rsidRPr="00CB2A9E" w:rsidRDefault="001A3124">
      <w:pPr>
        <w:pStyle w:val="FootnoteText"/>
        <w:rPr>
          <w:lang w:val="en-US"/>
        </w:rPr>
      </w:pPr>
      <w:r>
        <w:rPr>
          <w:rStyle w:val="FootnoteReference"/>
        </w:rPr>
        <w:footnoteRef/>
      </w:r>
      <w:r>
        <w:t xml:space="preserve"> </w:t>
      </w:r>
      <w:r w:rsidRPr="0099130C">
        <w:rPr>
          <w:noProof/>
          <w:lang w:val="en-GB"/>
        </w:rPr>
        <w:t>Cox L.</w:t>
      </w:r>
      <w:r>
        <w:rPr>
          <w:noProof/>
          <w:lang w:val="en-GB"/>
        </w:rPr>
        <w:t xml:space="preserve"> and</w:t>
      </w:r>
      <w:r w:rsidRPr="0099130C">
        <w:rPr>
          <w:noProof/>
          <w:lang w:val="en-GB"/>
        </w:rPr>
        <w:t xml:space="preserve"> Jacobsen L. Comparison of allergen immunotherapy practice patterns in the United States and Europe. </w:t>
      </w:r>
      <w:r w:rsidRPr="00F25D96">
        <w:rPr>
          <w:i/>
          <w:noProof/>
          <w:lang w:val="en-GB"/>
        </w:rPr>
        <w:t>Ann Allergy Asthma Immunol</w:t>
      </w:r>
      <w:r w:rsidRPr="0099130C">
        <w:rPr>
          <w:noProof/>
          <w:lang w:val="en-GB"/>
        </w:rPr>
        <w:t>. 2009</w:t>
      </w:r>
      <w:r>
        <w:rPr>
          <w:noProof/>
          <w:lang w:val="en-GB"/>
        </w:rPr>
        <w:t>; 103</w:t>
      </w:r>
      <w:r w:rsidRPr="0099130C">
        <w:rPr>
          <w:noProof/>
          <w:lang w:val="en-GB"/>
        </w:rPr>
        <w:t>:</w:t>
      </w:r>
      <w:r>
        <w:rPr>
          <w:noProof/>
          <w:lang w:val="en-GB"/>
        </w:rPr>
        <w:t xml:space="preserve"> </w:t>
      </w:r>
      <w:r w:rsidRPr="0099130C">
        <w:rPr>
          <w:noProof/>
          <w:lang w:val="en-GB"/>
        </w:rPr>
        <w:t>451-459; quiz 459-461, 495.</w:t>
      </w:r>
    </w:p>
  </w:footnote>
  <w:footnote w:id="4">
    <w:p w14:paraId="376A1FEB" w14:textId="77777777" w:rsidR="001A3124" w:rsidRPr="002544C7" w:rsidRDefault="001A3124" w:rsidP="00F552C1">
      <w:pPr>
        <w:pStyle w:val="FootnoteText"/>
        <w:rPr>
          <w:rFonts w:cs="MyriadPro-BoldIt"/>
          <w:iCs/>
          <w:lang w:eastAsia="en-AU"/>
        </w:rPr>
      </w:pPr>
      <w:r>
        <w:rPr>
          <w:rStyle w:val="FootnoteReference"/>
        </w:rPr>
        <w:footnoteRef/>
      </w:r>
      <w:proofErr w:type="spellStart"/>
      <w:r w:rsidRPr="0008771E">
        <w:rPr>
          <w:rFonts w:cs="MyriadPro-Regular"/>
          <w:lang w:eastAsia="en-AU"/>
        </w:rPr>
        <w:t>Batard</w:t>
      </w:r>
      <w:proofErr w:type="spellEnd"/>
      <w:r w:rsidRPr="0008771E">
        <w:rPr>
          <w:rFonts w:cs="MyriadPro-Regular"/>
          <w:lang w:eastAsia="en-AU"/>
        </w:rPr>
        <w:t xml:space="preserve"> </w:t>
      </w:r>
      <w:r>
        <w:rPr>
          <w:rFonts w:cs="MyriadPro-Regular"/>
          <w:lang w:eastAsia="en-AU"/>
        </w:rPr>
        <w:t xml:space="preserve">T </w:t>
      </w:r>
      <w:r w:rsidRPr="0008771E">
        <w:rPr>
          <w:rFonts w:cs="MyriadPro-Regular"/>
          <w:lang w:eastAsia="en-AU"/>
        </w:rPr>
        <w:t>et al</w:t>
      </w:r>
      <w:r>
        <w:rPr>
          <w:lang w:eastAsia="en-AU"/>
        </w:rPr>
        <w:t xml:space="preserve">. </w:t>
      </w:r>
      <w:r w:rsidRPr="002544C7">
        <w:rPr>
          <w:lang w:eastAsia="en-AU"/>
        </w:rPr>
        <w:t xml:space="preserve">Production and Proteomic Characterization of Pharmaceutical-Grade </w:t>
      </w:r>
      <w:proofErr w:type="spellStart"/>
      <w:r w:rsidRPr="002544C7">
        <w:rPr>
          <w:rFonts w:cs="MyriadPro-BoldIt"/>
          <w:iCs/>
          <w:lang w:eastAsia="en-AU"/>
        </w:rPr>
        <w:t>Dermatophagoides</w:t>
      </w:r>
      <w:proofErr w:type="spellEnd"/>
      <w:r w:rsidRPr="002544C7">
        <w:rPr>
          <w:rFonts w:cs="MyriadPro-BoldIt"/>
          <w:iCs/>
          <w:lang w:eastAsia="en-AU"/>
        </w:rPr>
        <w:t xml:space="preserve"> </w:t>
      </w:r>
      <w:proofErr w:type="spellStart"/>
      <w:r w:rsidRPr="002544C7">
        <w:rPr>
          <w:rFonts w:cs="MyriadPro-BoldIt"/>
          <w:iCs/>
          <w:lang w:eastAsia="en-AU"/>
        </w:rPr>
        <w:t>pteronyssinus</w:t>
      </w:r>
      <w:proofErr w:type="spellEnd"/>
      <w:r w:rsidRPr="002544C7">
        <w:rPr>
          <w:rFonts w:cs="MyriadPro-BoldIt"/>
          <w:iCs/>
          <w:lang w:eastAsia="en-AU"/>
        </w:rPr>
        <w:t xml:space="preserve"> </w:t>
      </w:r>
      <w:r w:rsidRPr="002544C7">
        <w:rPr>
          <w:lang w:eastAsia="en-AU"/>
        </w:rPr>
        <w:t xml:space="preserve">and </w:t>
      </w:r>
      <w:proofErr w:type="spellStart"/>
      <w:r w:rsidRPr="002544C7">
        <w:rPr>
          <w:rFonts w:cs="MyriadPro-BoldIt"/>
          <w:iCs/>
          <w:lang w:eastAsia="en-AU"/>
        </w:rPr>
        <w:t>Dermatophagoides</w:t>
      </w:r>
      <w:proofErr w:type="spellEnd"/>
      <w:r w:rsidRPr="002544C7">
        <w:rPr>
          <w:rFonts w:cs="MyriadPro-BoldIt"/>
          <w:iCs/>
          <w:lang w:eastAsia="en-AU"/>
        </w:rPr>
        <w:t xml:space="preserve"> farina </w:t>
      </w:r>
      <w:r>
        <w:rPr>
          <w:lang w:eastAsia="en-AU"/>
        </w:rPr>
        <w:t xml:space="preserve">Extracts for Allergy Vaccines. </w:t>
      </w:r>
      <w:proofErr w:type="spellStart"/>
      <w:r w:rsidRPr="002544C7">
        <w:rPr>
          <w:rFonts w:cs="MyriadPro-Regular"/>
          <w:i/>
          <w:lang w:eastAsia="en-AU"/>
        </w:rPr>
        <w:t>Int</w:t>
      </w:r>
      <w:proofErr w:type="spellEnd"/>
      <w:r w:rsidRPr="002544C7">
        <w:rPr>
          <w:rFonts w:cs="MyriadPro-Regular"/>
          <w:i/>
          <w:lang w:eastAsia="en-AU"/>
        </w:rPr>
        <w:t xml:space="preserve"> Arch Allergy </w:t>
      </w:r>
      <w:proofErr w:type="spellStart"/>
      <w:r w:rsidRPr="002544C7">
        <w:rPr>
          <w:rFonts w:cs="MyriadPro-Regular"/>
          <w:i/>
          <w:lang w:eastAsia="en-AU"/>
        </w:rPr>
        <w:t>Immunol</w:t>
      </w:r>
      <w:proofErr w:type="spellEnd"/>
      <w:r w:rsidRPr="002544C7">
        <w:rPr>
          <w:rFonts w:cs="MyriadPro-Regular"/>
          <w:lang w:eastAsia="en-AU"/>
        </w:rPr>
        <w:t xml:space="preserve"> 2006;</w:t>
      </w:r>
      <w:r>
        <w:rPr>
          <w:rFonts w:cs="MyriadPro-Regular"/>
          <w:lang w:eastAsia="en-AU"/>
        </w:rPr>
        <w:t xml:space="preserve"> </w:t>
      </w:r>
      <w:r w:rsidRPr="002544C7">
        <w:rPr>
          <w:rFonts w:cs="MyriadPro-Regular"/>
          <w:lang w:eastAsia="en-AU"/>
        </w:rPr>
        <w:t>140:</w:t>
      </w:r>
      <w:r>
        <w:rPr>
          <w:rFonts w:cs="MyriadPro-Regular"/>
          <w:lang w:eastAsia="en-AU"/>
        </w:rPr>
        <w:t xml:space="preserve"> </w:t>
      </w:r>
      <w:r w:rsidRPr="002544C7">
        <w:rPr>
          <w:rFonts w:cs="MyriadPro-Regular"/>
          <w:lang w:eastAsia="en-AU"/>
        </w:rPr>
        <w:t>295–305</w:t>
      </w:r>
    </w:p>
  </w:footnote>
  <w:footnote w:id="5">
    <w:p w14:paraId="7D573CC1" w14:textId="77777777" w:rsidR="001A3124" w:rsidRPr="00F552C1" w:rsidRDefault="001A3124" w:rsidP="00F552C1">
      <w:pPr>
        <w:pStyle w:val="FootnoteText"/>
      </w:pPr>
      <w:r>
        <w:rPr>
          <w:rStyle w:val="FootnoteReference"/>
        </w:rPr>
        <w:footnoteRef/>
      </w:r>
      <w:proofErr w:type="spellStart"/>
      <w:proofErr w:type="gramStart"/>
      <w:r w:rsidRPr="0008771E">
        <w:t>Batard</w:t>
      </w:r>
      <w:proofErr w:type="spellEnd"/>
      <w:r w:rsidRPr="0008771E">
        <w:t xml:space="preserve"> </w:t>
      </w:r>
      <w:r>
        <w:t xml:space="preserve">T </w:t>
      </w:r>
      <w:r w:rsidRPr="0008771E">
        <w:t>et al</w:t>
      </w:r>
      <w:r>
        <w:t xml:space="preserve">. </w:t>
      </w:r>
      <w:r w:rsidRPr="0008771E">
        <w:t>Molecular and Functional Characterization of natural Allergen products.</w:t>
      </w:r>
      <w:proofErr w:type="gramEnd"/>
      <w:r>
        <w:t xml:space="preserve"> </w:t>
      </w:r>
      <w:proofErr w:type="spellStart"/>
      <w:r w:rsidRPr="002544C7">
        <w:rPr>
          <w:i/>
          <w:lang w:eastAsia="en-AU"/>
        </w:rPr>
        <w:t>Arbciten</w:t>
      </w:r>
      <w:proofErr w:type="spellEnd"/>
      <w:r w:rsidRPr="002544C7">
        <w:rPr>
          <w:i/>
          <w:lang w:eastAsia="en-AU"/>
        </w:rPr>
        <w:t xml:space="preserve"> </w:t>
      </w:r>
      <w:proofErr w:type="spellStart"/>
      <w:r w:rsidRPr="002544C7">
        <w:rPr>
          <w:i/>
          <w:lang w:eastAsia="en-AU"/>
        </w:rPr>
        <w:t>aus</w:t>
      </w:r>
      <w:proofErr w:type="spellEnd"/>
      <w:r w:rsidRPr="002544C7">
        <w:rPr>
          <w:i/>
          <w:lang w:eastAsia="en-AU"/>
        </w:rPr>
        <w:t xml:space="preserve"> dent Paul-Ehrlich-</w:t>
      </w:r>
      <w:proofErr w:type="spellStart"/>
      <w:r w:rsidRPr="002544C7">
        <w:rPr>
          <w:i/>
          <w:lang w:eastAsia="en-AU"/>
        </w:rPr>
        <w:t>Institut</w:t>
      </w:r>
      <w:proofErr w:type="spellEnd"/>
      <w:r w:rsidRPr="002544C7">
        <w:rPr>
          <w:i/>
          <w:lang w:eastAsia="en-AU"/>
        </w:rPr>
        <w:t xml:space="preserve"> 13'</w:t>
      </w:r>
      <w:r w:rsidRPr="0008771E">
        <w:rPr>
          <w:lang w:eastAsia="en-AU"/>
        </w:rPr>
        <w:t>" International Paul-Ehrlich-Seminar, Washington, D</w:t>
      </w:r>
      <w:r w:rsidRPr="0008771E">
        <w:rPr>
          <w:color w:val="6A6A6A"/>
          <w:lang w:eastAsia="en-AU"/>
        </w:rPr>
        <w:t>.</w:t>
      </w:r>
      <w:r w:rsidRPr="0008771E">
        <w:rPr>
          <w:lang w:eastAsia="en-AU"/>
        </w:rPr>
        <w:t xml:space="preserve">C. 2011 </w:t>
      </w:r>
      <w:proofErr w:type="spellStart"/>
      <w:r w:rsidRPr="0008771E">
        <w:rPr>
          <w:lang w:eastAsia="en-AU"/>
        </w:rPr>
        <w:t>Verlag</w:t>
      </w:r>
      <w:proofErr w:type="spellEnd"/>
      <w:r w:rsidRPr="0008771E">
        <w:rPr>
          <w:lang w:eastAsia="en-AU"/>
        </w:rPr>
        <w:t xml:space="preserve"> </w:t>
      </w:r>
      <w:proofErr w:type="spellStart"/>
      <w:r w:rsidRPr="0008771E">
        <w:rPr>
          <w:lang w:eastAsia="en-AU"/>
        </w:rPr>
        <w:t>Chmielor.l</w:t>
      </w:r>
      <w:proofErr w:type="spellEnd"/>
    </w:p>
  </w:footnote>
  <w:footnote w:id="6">
    <w:p w14:paraId="16C2B5C5" w14:textId="77777777" w:rsidR="001A3124" w:rsidRPr="00F25D96" w:rsidRDefault="001A3124">
      <w:pPr>
        <w:pStyle w:val="FootnoteText"/>
        <w:rPr>
          <w:szCs w:val="18"/>
        </w:rPr>
      </w:pPr>
      <w:r>
        <w:rPr>
          <w:rStyle w:val="FootnoteReference"/>
        </w:rPr>
        <w:footnoteRef/>
      </w:r>
      <w:r w:rsidRPr="001A3124">
        <w:t xml:space="preserve"> </w:t>
      </w:r>
      <w:proofErr w:type="spellStart"/>
      <w:proofErr w:type="gramStart"/>
      <w:r w:rsidRPr="001A3124">
        <w:rPr>
          <w:rFonts w:asciiTheme="minorHAnsi" w:hAnsiTheme="minorHAnsi"/>
          <w:szCs w:val="18"/>
        </w:rPr>
        <w:t>Jeong</w:t>
      </w:r>
      <w:proofErr w:type="spellEnd"/>
      <w:r w:rsidRPr="001A3124">
        <w:rPr>
          <w:rFonts w:asciiTheme="minorHAnsi" w:hAnsiTheme="minorHAnsi"/>
          <w:szCs w:val="18"/>
        </w:rPr>
        <w:t xml:space="preserve"> K.Y. et al. </w:t>
      </w:r>
      <w:r w:rsidRPr="0008771E">
        <w:rPr>
          <w:rFonts w:asciiTheme="minorHAnsi" w:hAnsiTheme="minorHAnsi"/>
          <w:szCs w:val="18"/>
        </w:rPr>
        <w:t xml:space="preserve">Localisation of Der f2 in the gut and </w:t>
      </w:r>
      <w:proofErr w:type="spellStart"/>
      <w:r w:rsidRPr="0008771E">
        <w:rPr>
          <w:rFonts w:asciiTheme="minorHAnsi" w:hAnsiTheme="minorHAnsi"/>
          <w:szCs w:val="18"/>
        </w:rPr>
        <w:t>fecal</w:t>
      </w:r>
      <w:proofErr w:type="spellEnd"/>
      <w:r w:rsidRPr="0008771E">
        <w:rPr>
          <w:rFonts w:asciiTheme="minorHAnsi" w:hAnsiTheme="minorHAnsi"/>
          <w:szCs w:val="18"/>
        </w:rPr>
        <w:t xml:space="preserve"> pelle</w:t>
      </w:r>
      <w:r>
        <w:rPr>
          <w:rFonts w:asciiTheme="minorHAnsi" w:hAnsiTheme="minorHAnsi"/>
          <w:szCs w:val="18"/>
        </w:rPr>
        <w:t xml:space="preserve">ts of </w:t>
      </w:r>
      <w:proofErr w:type="spellStart"/>
      <w:r>
        <w:rPr>
          <w:rFonts w:asciiTheme="minorHAnsi" w:hAnsiTheme="minorHAnsi"/>
          <w:szCs w:val="18"/>
        </w:rPr>
        <w:t>Dermatophagoides</w:t>
      </w:r>
      <w:proofErr w:type="spellEnd"/>
      <w:r>
        <w:rPr>
          <w:rFonts w:asciiTheme="minorHAnsi" w:hAnsiTheme="minorHAnsi"/>
          <w:szCs w:val="18"/>
        </w:rPr>
        <w:t xml:space="preserve"> farina.</w:t>
      </w:r>
      <w:proofErr w:type="gramEnd"/>
      <w:r>
        <w:rPr>
          <w:rFonts w:asciiTheme="minorHAnsi" w:hAnsiTheme="minorHAnsi"/>
          <w:szCs w:val="18"/>
        </w:rPr>
        <w:t xml:space="preserve"> </w:t>
      </w:r>
      <w:r w:rsidRPr="00F552C1">
        <w:rPr>
          <w:rFonts w:asciiTheme="minorHAnsi" w:hAnsiTheme="minorHAnsi" w:cs="AdvP497E3"/>
          <w:i/>
          <w:szCs w:val="18"/>
          <w:lang w:eastAsia="en-AU"/>
        </w:rPr>
        <w:t>Allergy</w:t>
      </w:r>
      <w:r w:rsidRPr="0008771E">
        <w:rPr>
          <w:rFonts w:asciiTheme="minorHAnsi" w:hAnsiTheme="minorHAnsi" w:cs="AdvP497E3"/>
          <w:szCs w:val="18"/>
          <w:lang w:eastAsia="en-AU"/>
        </w:rPr>
        <w:t xml:space="preserve"> 2002: 57: 729–731</w:t>
      </w:r>
      <w:r>
        <w:rPr>
          <w:szCs w:val="18"/>
        </w:rPr>
        <w:t xml:space="preserve"> </w:t>
      </w:r>
    </w:p>
  </w:footnote>
  <w:footnote w:id="7">
    <w:p w14:paraId="46C41192" w14:textId="77777777" w:rsidR="001A3124" w:rsidRPr="00F552C1" w:rsidRDefault="001A3124" w:rsidP="00F552C1">
      <w:pPr>
        <w:pStyle w:val="FootnoteText"/>
        <w:rPr>
          <w:lang w:val="en-US"/>
        </w:rPr>
      </w:pPr>
      <w:r>
        <w:rPr>
          <w:rStyle w:val="FootnoteReference"/>
        </w:rPr>
        <w:footnoteRef/>
      </w:r>
      <w:r>
        <w:t xml:space="preserve"> </w:t>
      </w:r>
      <w:proofErr w:type="gramStart"/>
      <w:r w:rsidRPr="0008771E">
        <w:t>Zhang Y-Y et al Morphology and three dimensional reconstruction of the digestive syst</w:t>
      </w:r>
      <w:r>
        <w:t xml:space="preserve">em of </w:t>
      </w:r>
      <w:proofErr w:type="spellStart"/>
      <w:r>
        <w:t>Dermatophagoides</w:t>
      </w:r>
      <w:proofErr w:type="spellEnd"/>
      <w:r>
        <w:t xml:space="preserve"> farina.</w:t>
      </w:r>
      <w:proofErr w:type="gramEnd"/>
      <w:r>
        <w:t xml:space="preserve"> </w:t>
      </w:r>
      <w:r w:rsidRPr="00F552C1">
        <w:rPr>
          <w:i/>
        </w:rPr>
        <w:t xml:space="preserve">Int. Arch Allergy </w:t>
      </w:r>
      <w:proofErr w:type="spellStart"/>
      <w:r w:rsidRPr="00F552C1">
        <w:rPr>
          <w:i/>
        </w:rPr>
        <w:t>Immunol</w:t>
      </w:r>
      <w:proofErr w:type="spellEnd"/>
      <w:r w:rsidRPr="0008771E">
        <w:t xml:space="preserve"> 2008; 146:219-226</w:t>
      </w:r>
    </w:p>
  </w:footnote>
  <w:footnote w:id="8">
    <w:p w14:paraId="6AE2E10F" w14:textId="77777777" w:rsidR="001A3124" w:rsidRPr="00F552C1" w:rsidRDefault="001A3124" w:rsidP="00F552C1">
      <w:pPr>
        <w:pStyle w:val="FootnoteText"/>
        <w:rPr>
          <w:rFonts w:asciiTheme="minorHAnsi" w:hAnsiTheme="minorHAnsi"/>
        </w:rPr>
      </w:pPr>
      <w:r>
        <w:rPr>
          <w:rStyle w:val="FootnoteReference"/>
        </w:rPr>
        <w:footnoteRef/>
      </w:r>
      <w:r>
        <w:t xml:space="preserve"> </w:t>
      </w:r>
      <w:r>
        <w:rPr>
          <w:rFonts w:asciiTheme="minorHAnsi" w:hAnsiTheme="minorHAnsi"/>
        </w:rPr>
        <w:t>Tovey E.R. et al</w:t>
      </w:r>
      <w:r w:rsidRPr="0008771E">
        <w:rPr>
          <w:rFonts w:asciiTheme="minorHAnsi" w:hAnsiTheme="minorHAnsi"/>
        </w:rPr>
        <w:t xml:space="preserve"> Mite faeces are a major source of house dust allergens </w:t>
      </w:r>
      <w:r w:rsidRPr="0008771E">
        <w:rPr>
          <w:rFonts w:asciiTheme="minorHAnsi" w:hAnsiTheme="minorHAnsi"/>
          <w:i/>
          <w:iCs/>
          <w:color w:val="231F20"/>
          <w:lang w:eastAsia="en-AU"/>
        </w:rPr>
        <w:t xml:space="preserve">Nature Vol. </w:t>
      </w:r>
      <w:r w:rsidRPr="0008771E">
        <w:rPr>
          <w:rFonts w:asciiTheme="minorHAnsi" w:hAnsiTheme="minorHAnsi"/>
        </w:rPr>
        <w:t>1981</w:t>
      </w:r>
      <w:r>
        <w:rPr>
          <w:rFonts w:asciiTheme="minorHAnsi" w:hAnsiTheme="minorHAnsi"/>
        </w:rPr>
        <w:t xml:space="preserve">; </w:t>
      </w:r>
      <w:r w:rsidRPr="0008771E">
        <w:rPr>
          <w:rFonts w:asciiTheme="minorHAnsi" w:hAnsiTheme="minorHAnsi"/>
          <w:color w:val="231F20"/>
          <w:lang w:eastAsia="en-AU"/>
        </w:rPr>
        <w:t>289</w:t>
      </w:r>
      <w:r>
        <w:rPr>
          <w:rFonts w:asciiTheme="minorHAnsi" w:hAnsiTheme="minorHAnsi"/>
        </w:rPr>
        <w:t xml:space="preserve">: </w:t>
      </w:r>
      <w:r w:rsidRPr="0008771E">
        <w:rPr>
          <w:rFonts w:asciiTheme="minorHAnsi" w:hAnsiTheme="minorHAnsi"/>
        </w:rPr>
        <w:t>592-593</w:t>
      </w:r>
    </w:p>
  </w:footnote>
  <w:footnote w:id="9">
    <w:p w14:paraId="1CE0E02E" w14:textId="77777777" w:rsidR="001A3124" w:rsidRPr="00F552C1" w:rsidRDefault="001A3124">
      <w:pPr>
        <w:pStyle w:val="FootnoteText"/>
        <w:rPr>
          <w:lang w:val="en-US"/>
        </w:rPr>
      </w:pPr>
      <w:r>
        <w:rPr>
          <w:rStyle w:val="FootnoteReference"/>
        </w:rPr>
        <w:footnoteRef/>
      </w:r>
      <w:r>
        <w:t xml:space="preserve"> </w:t>
      </w:r>
      <w:r>
        <w:rPr>
          <w:rFonts w:asciiTheme="minorHAnsi" w:hAnsiTheme="minorHAnsi"/>
          <w:szCs w:val="18"/>
        </w:rPr>
        <w:t>Park G-M et al</w:t>
      </w:r>
      <w:r w:rsidRPr="0008771E">
        <w:rPr>
          <w:rFonts w:asciiTheme="minorHAnsi" w:hAnsiTheme="minorHAnsi"/>
          <w:szCs w:val="18"/>
        </w:rPr>
        <w:t xml:space="preserve"> Localization of a major allergen, Der p 2 in the gut and faecal pellets of </w:t>
      </w:r>
      <w:proofErr w:type="spellStart"/>
      <w:r w:rsidRPr="0008771E">
        <w:rPr>
          <w:rFonts w:asciiTheme="minorHAnsi" w:hAnsiTheme="minorHAnsi"/>
          <w:szCs w:val="18"/>
        </w:rPr>
        <w:t>D</w:t>
      </w:r>
      <w:r>
        <w:rPr>
          <w:rFonts w:asciiTheme="minorHAnsi" w:hAnsiTheme="minorHAnsi"/>
          <w:szCs w:val="18"/>
        </w:rPr>
        <w:t>ermatophagoides</w:t>
      </w:r>
      <w:proofErr w:type="spellEnd"/>
      <w:r>
        <w:rPr>
          <w:rFonts w:asciiTheme="minorHAnsi" w:hAnsiTheme="minorHAnsi"/>
          <w:szCs w:val="18"/>
        </w:rPr>
        <w:t xml:space="preserve"> </w:t>
      </w:r>
      <w:proofErr w:type="spellStart"/>
      <w:r>
        <w:rPr>
          <w:rFonts w:asciiTheme="minorHAnsi" w:hAnsiTheme="minorHAnsi"/>
          <w:szCs w:val="18"/>
        </w:rPr>
        <w:t>pteronyssinus</w:t>
      </w:r>
      <w:proofErr w:type="spellEnd"/>
      <w:r>
        <w:rPr>
          <w:rFonts w:asciiTheme="minorHAnsi" w:hAnsiTheme="minorHAnsi"/>
          <w:szCs w:val="18"/>
        </w:rPr>
        <w:t xml:space="preserve">. </w:t>
      </w:r>
      <w:r w:rsidRPr="00F552C1">
        <w:rPr>
          <w:rFonts w:asciiTheme="minorHAnsi" w:hAnsiTheme="minorHAnsi" w:cs="AdvPS6F0B"/>
          <w:i/>
          <w:szCs w:val="18"/>
          <w:lang w:eastAsia="en-AU"/>
        </w:rPr>
        <w:t>Clinical and Experimental Allergy</w:t>
      </w:r>
      <w:r w:rsidRPr="0008771E">
        <w:rPr>
          <w:rFonts w:asciiTheme="minorHAnsi" w:hAnsiTheme="minorHAnsi" w:cs="AdvPS6F0B"/>
          <w:szCs w:val="18"/>
          <w:lang w:eastAsia="en-AU"/>
        </w:rPr>
        <w:t xml:space="preserve">, </w:t>
      </w:r>
      <w:r>
        <w:rPr>
          <w:rFonts w:asciiTheme="minorHAnsi" w:hAnsiTheme="minorHAnsi" w:cs="AdvPS6F00"/>
          <w:szCs w:val="18"/>
          <w:lang w:eastAsia="en-AU"/>
        </w:rPr>
        <w:t>2000; 30:</w:t>
      </w:r>
      <w:r w:rsidRPr="0008771E">
        <w:rPr>
          <w:rFonts w:asciiTheme="minorHAnsi" w:hAnsiTheme="minorHAnsi" w:cs="AdvPS6F00"/>
          <w:szCs w:val="18"/>
          <w:lang w:eastAsia="en-AU"/>
        </w:rPr>
        <w:t xml:space="preserve"> </w:t>
      </w:r>
      <w:r>
        <w:rPr>
          <w:rFonts w:asciiTheme="minorHAnsi" w:hAnsiTheme="minorHAnsi" w:cs="AdvPS6F00"/>
          <w:szCs w:val="18"/>
          <w:lang w:eastAsia="en-AU"/>
        </w:rPr>
        <w:t>1293-</w:t>
      </w:r>
      <w:r w:rsidRPr="0008771E">
        <w:rPr>
          <w:rFonts w:asciiTheme="minorHAnsi" w:hAnsiTheme="minorHAnsi" w:cs="AdvPS6F00"/>
          <w:szCs w:val="18"/>
          <w:lang w:eastAsia="en-AU"/>
        </w:rPr>
        <w:t>1297</w:t>
      </w:r>
    </w:p>
  </w:footnote>
  <w:footnote w:id="10">
    <w:p w14:paraId="7A05158E" w14:textId="77777777" w:rsidR="001A3124" w:rsidRPr="00CF6E2B" w:rsidRDefault="001A3124" w:rsidP="00CF6E2B">
      <w:pPr>
        <w:autoSpaceDE w:val="0"/>
        <w:autoSpaceDN w:val="0"/>
        <w:adjustRightInd w:val="0"/>
        <w:spacing w:before="0" w:after="0" w:line="240" w:lineRule="auto"/>
        <w:rPr>
          <w:rStyle w:val="FootnoteTextChar"/>
        </w:rPr>
      </w:pPr>
      <w:r>
        <w:rPr>
          <w:rStyle w:val="FootnoteReference"/>
        </w:rPr>
        <w:footnoteRef/>
      </w:r>
      <w:r>
        <w:t xml:space="preserve"> </w:t>
      </w:r>
      <w:r w:rsidRPr="00CF6E2B">
        <w:rPr>
          <w:rStyle w:val="FootnoteTextChar"/>
        </w:rPr>
        <w:t xml:space="preserve">The IR unit has been defined to measure the </w:t>
      </w:r>
      <w:proofErr w:type="spellStart"/>
      <w:r w:rsidRPr="00CF6E2B">
        <w:rPr>
          <w:rStyle w:val="FootnoteTextChar"/>
        </w:rPr>
        <w:t>allergenicity</w:t>
      </w:r>
      <w:proofErr w:type="spellEnd"/>
      <w:r w:rsidRPr="00CF6E2B">
        <w:rPr>
          <w:rStyle w:val="FootnoteTextChar"/>
        </w:rPr>
        <w:t xml:space="preserve"> of an allergen extract. The allergen extract contains 100 IR/mL when, on a skin prick-test using a </w:t>
      </w:r>
      <w:proofErr w:type="spellStart"/>
      <w:r w:rsidRPr="00CF6E2B">
        <w:rPr>
          <w:rStyle w:val="FootnoteTextChar"/>
        </w:rPr>
        <w:t>Stallerpoint</w:t>
      </w:r>
      <w:proofErr w:type="spellEnd"/>
      <w:r w:rsidRPr="00CF6E2B">
        <w:rPr>
          <w:rStyle w:val="FootnoteTextChar"/>
        </w:rPr>
        <w:t>, it induces a wheal diameter of 7 mm in 30 patients sensitized to this allergen, (geometric mean). The cutaneous reactivity of these patients is simultaneously demonstrated by a positive skin prick-test to either 9% codeine phosphate or 10 mg/mL histamine. The IR unit of Stallergenes is not comparable to the units used by other allergen manufacturers.</w:t>
      </w:r>
    </w:p>
  </w:footnote>
  <w:footnote w:id="11">
    <w:p w14:paraId="3018E86A" w14:textId="77777777" w:rsidR="001A3124" w:rsidRPr="00F066E3" w:rsidRDefault="001A3124" w:rsidP="00BC6904">
      <w:pPr>
        <w:pStyle w:val="FootnoteText"/>
      </w:pPr>
      <w:r>
        <w:rPr>
          <w:rStyle w:val="FootnoteReference"/>
        </w:rPr>
        <w:footnoteRef/>
      </w:r>
      <w:r>
        <w:t xml:space="preserve"> </w:t>
      </w:r>
      <w:proofErr w:type="gramStart"/>
      <w:r>
        <w:t>Tovey ER et al</w:t>
      </w:r>
      <w:r w:rsidRPr="00F066E3">
        <w:t>. Domestic mite species and Der p 1 allergen levels in nine locations in Australia.</w:t>
      </w:r>
      <w:proofErr w:type="gramEnd"/>
      <w:r w:rsidRPr="00F066E3">
        <w:t xml:space="preserve"> </w:t>
      </w:r>
      <w:proofErr w:type="gramStart"/>
      <w:r w:rsidRPr="00BC6904">
        <w:rPr>
          <w:i/>
        </w:rPr>
        <w:t>ACI Inter.</w:t>
      </w:r>
      <w:r w:rsidRPr="00F066E3">
        <w:t xml:space="preserve"> </w:t>
      </w:r>
      <w:r>
        <w:t xml:space="preserve">2000; </w:t>
      </w:r>
      <w:r w:rsidRPr="00F066E3">
        <w:t>12:</w:t>
      </w:r>
      <w:r>
        <w:t xml:space="preserve"> </w:t>
      </w:r>
      <w:r w:rsidRPr="00F066E3">
        <w:t>226-231.</w:t>
      </w:r>
      <w:proofErr w:type="gramEnd"/>
    </w:p>
  </w:footnote>
  <w:footnote w:id="12">
    <w:p w14:paraId="4698FFDA" w14:textId="77777777" w:rsidR="001A3124" w:rsidRPr="00F066E3" w:rsidRDefault="001A3124" w:rsidP="00BC6904">
      <w:pPr>
        <w:pStyle w:val="FootnoteText"/>
      </w:pPr>
      <w:r w:rsidRPr="00E41885">
        <w:rPr>
          <w:vertAlign w:val="superscript"/>
        </w:rPr>
        <w:footnoteRef/>
      </w:r>
      <w:r>
        <w:t xml:space="preserve"> </w:t>
      </w:r>
      <w:proofErr w:type="spellStart"/>
      <w:r>
        <w:t>Colloff</w:t>
      </w:r>
      <w:proofErr w:type="spellEnd"/>
      <w:r>
        <w:t xml:space="preserve"> MJ et al</w:t>
      </w:r>
      <w:r w:rsidRPr="00F066E3">
        <w:t xml:space="preserve"> House dust mite </w:t>
      </w:r>
      <w:proofErr w:type="spellStart"/>
      <w:r w:rsidRPr="00F066E3">
        <w:t>acarofauna</w:t>
      </w:r>
      <w:proofErr w:type="spellEnd"/>
      <w:r w:rsidRPr="00F066E3">
        <w:t xml:space="preserve"> and Der p 1 equivalent in Australia: the relative importance</w:t>
      </w:r>
      <w:r>
        <w:t xml:space="preserve"> </w:t>
      </w:r>
      <w:r w:rsidRPr="00F066E3">
        <w:t xml:space="preserve">of </w:t>
      </w:r>
      <w:proofErr w:type="spellStart"/>
      <w:r w:rsidRPr="00F066E3">
        <w:t>Dermatophagoides</w:t>
      </w:r>
      <w:proofErr w:type="spellEnd"/>
      <w:r w:rsidRPr="00F066E3">
        <w:t xml:space="preserve"> </w:t>
      </w:r>
      <w:proofErr w:type="spellStart"/>
      <w:r w:rsidRPr="00F066E3">
        <w:t>pterynyssinus</w:t>
      </w:r>
      <w:proofErr w:type="spellEnd"/>
      <w:r w:rsidRPr="00F066E3">
        <w:t xml:space="preserve"> and </w:t>
      </w:r>
      <w:proofErr w:type="spellStart"/>
      <w:r w:rsidRPr="00F066E3">
        <w:t>Euroglyptus</w:t>
      </w:r>
      <w:proofErr w:type="spellEnd"/>
      <w:r w:rsidRPr="00F066E3">
        <w:t xml:space="preserve"> </w:t>
      </w:r>
      <w:proofErr w:type="spellStart"/>
      <w:r w:rsidRPr="00F066E3">
        <w:t>maynei</w:t>
      </w:r>
      <w:proofErr w:type="spellEnd"/>
      <w:r w:rsidRPr="00F066E3">
        <w:t xml:space="preserve">. </w:t>
      </w:r>
      <w:proofErr w:type="spellStart"/>
      <w:r w:rsidRPr="00E41885">
        <w:rPr>
          <w:i/>
        </w:rPr>
        <w:t>Clin</w:t>
      </w:r>
      <w:proofErr w:type="spellEnd"/>
      <w:r w:rsidRPr="00E41885">
        <w:rPr>
          <w:i/>
        </w:rPr>
        <w:t xml:space="preserve"> </w:t>
      </w:r>
      <w:proofErr w:type="spellStart"/>
      <w:r w:rsidRPr="00E41885">
        <w:rPr>
          <w:i/>
        </w:rPr>
        <w:t>Exp</w:t>
      </w:r>
      <w:proofErr w:type="spellEnd"/>
      <w:r w:rsidRPr="00E41885">
        <w:rPr>
          <w:i/>
        </w:rPr>
        <w:t xml:space="preserve"> Allergy</w:t>
      </w:r>
      <w:r w:rsidRPr="00F066E3">
        <w:t xml:space="preserve"> </w:t>
      </w:r>
      <w:r>
        <w:t xml:space="preserve">1991; </w:t>
      </w:r>
      <w:r w:rsidRPr="00F066E3">
        <w:t>21:</w:t>
      </w:r>
      <w:r>
        <w:t xml:space="preserve"> 225-230</w:t>
      </w:r>
    </w:p>
  </w:footnote>
  <w:footnote w:id="13">
    <w:p w14:paraId="769C23C3" w14:textId="77777777" w:rsidR="001A3124" w:rsidRPr="005F66E8" w:rsidRDefault="001A3124" w:rsidP="00E41885">
      <w:pPr>
        <w:pStyle w:val="FootnoteText"/>
      </w:pPr>
      <w:r>
        <w:rPr>
          <w:rStyle w:val="FootnoteReference"/>
        </w:rPr>
        <w:footnoteRef/>
      </w:r>
      <w:r>
        <w:t xml:space="preserve"> </w:t>
      </w:r>
      <w:proofErr w:type="spellStart"/>
      <w:proofErr w:type="gramStart"/>
      <w:r w:rsidRPr="005F66E8">
        <w:t>Pecquet</w:t>
      </w:r>
      <w:proofErr w:type="spellEnd"/>
      <w:r w:rsidRPr="005F66E8">
        <w:t xml:space="preserve"> S et al Immunoglobulin E suppression and cytokine modulation in mice orally </w:t>
      </w:r>
      <w:proofErr w:type="spellStart"/>
      <w:r w:rsidRPr="005F66E8">
        <w:t>tolerized</w:t>
      </w:r>
      <w:proofErr w:type="spellEnd"/>
      <w:r w:rsidRPr="005F66E8">
        <w:t xml:space="preserve"> to β-</w:t>
      </w:r>
      <w:proofErr w:type="spellStart"/>
      <w:r w:rsidRPr="005F66E8">
        <w:t>Iactoglobulin</w:t>
      </w:r>
      <w:proofErr w:type="spellEnd"/>
      <w:r w:rsidRPr="005F66E8">
        <w:t>.</w:t>
      </w:r>
      <w:proofErr w:type="gramEnd"/>
      <w:r w:rsidRPr="005F66E8">
        <w:t xml:space="preserve"> </w:t>
      </w:r>
      <w:r w:rsidRPr="0057009B">
        <w:rPr>
          <w:i/>
        </w:rPr>
        <w:t>Immunology</w:t>
      </w:r>
      <w:r w:rsidRPr="005F66E8">
        <w:t xml:space="preserve"> 1999</w:t>
      </w:r>
      <w:r>
        <w:t>;</w:t>
      </w:r>
      <w:r w:rsidRPr="005F66E8">
        <w:t xml:space="preserve"> 96</w:t>
      </w:r>
      <w:r>
        <w:t>:</w:t>
      </w:r>
      <w:r w:rsidRPr="005F66E8">
        <w:t xml:space="preserve"> 278-285</w:t>
      </w:r>
    </w:p>
  </w:footnote>
  <w:footnote w:id="14">
    <w:p w14:paraId="5F14DA50" w14:textId="77777777" w:rsidR="001A3124" w:rsidRPr="005F66E8" w:rsidRDefault="001A3124" w:rsidP="00E41885">
      <w:pPr>
        <w:pStyle w:val="FootnoteText"/>
      </w:pPr>
      <w:r>
        <w:rPr>
          <w:rStyle w:val="FootnoteReference"/>
        </w:rPr>
        <w:footnoteRef/>
      </w:r>
      <w:r>
        <w:t xml:space="preserve"> </w:t>
      </w:r>
      <w:proofErr w:type="spellStart"/>
      <w:r>
        <w:t>Lafont</w:t>
      </w:r>
      <w:proofErr w:type="spellEnd"/>
      <w:r>
        <w:t xml:space="preserve"> s et al A</w:t>
      </w:r>
      <w:r w:rsidRPr="005F66E8">
        <w:t xml:space="preserve">brogation by subsequent </w:t>
      </w:r>
      <w:r>
        <w:t xml:space="preserve">feeding of </w:t>
      </w:r>
      <w:r w:rsidRPr="005F66E8">
        <w:t xml:space="preserve">antibody response, including </w:t>
      </w:r>
      <w:proofErr w:type="spellStart"/>
      <w:r w:rsidRPr="005F66E8">
        <w:t>ige</w:t>
      </w:r>
      <w:proofErr w:type="spellEnd"/>
      <w:r>
        <w:t xml:space="preserve">, </w:t>
      </w:r>
      <w:r w:rsidRPr="005F66E8">
        <w:t>in parenterally immunized mice</w:t>
      </w:r>
      <w:r>
        <w:t xml:space="preserve"> </w:t>
      </w:r>
      <w:r w:rsidRPr="0057009B">
        <w:rPr>
          <w:i/>
        </w:rPr>
        <w:t xml:space="preserve">J. </w:t>
      </w:r>
      <w:proofErr w:type="spellStart"/>
      <w:r w:rsidRPr="0057009B">
        <w:rPr>
          <w:i/>
        </w:rPr>
        <w:t>Exp</w:t>
      </w:r>
      <w:proofErr w:type="spellEnd"/>
      <w:r w:rsidRPr="0057009B">
        <w:rPr>
          <w:i/>
        </w:rPr>
        <w:t xml:space="preserve"> Med</w:t>
      </w:r>
      <w:r w:rsidRPr="005F66E8">
        <w:t xml:space="preserve"> 1982; 155: 1573-1578</w:t>
      </w:r>
    </w:p>
  </w:footnote>
  <w:footnote w:id="15">
    <w:p w14:paraId="3E080D3F" w14:textId="77777777" w:rsidR="001A3124" w:rsidRPr="00723C45" w:rsidRDefault="001A3124" w:rsidP="00E41885">
      <w:pPr>
        <w:pStyle w:val="FootnoteText"/>
      </w:pPr>
      <w:r w:rsidRPr="00E41885">
        <w:rPr>
          <w:vertAlign w:val="superscript"/>
        </w:rPr>
        <w:footnoteRef/>
      </w:r>
      <w:r w:rsidRPr="00E41885">
        <w:rPr>
          <w:vertAlign w:val="superscript"/>
        </w:rPr>
        <w:t xml:space="preserve"> </w:t>
      </w:r>
      <w:proofErr w:type="gramStart"/>
      <w:r w:rsidRPr="00723C45">
        <w:t>Holt P G et al Sublingual allergen administration.</w:t>
      </w:r>
      <w:proofErr w:type="gramEnd"/>
      <w:r w:rsidRPr="00723C45">
        <w:t xml:space="preserve"> I. Selective suppression of </w:t>
      </w:r>
      <w:proofErr w:type="spellStart"/>
      <w:r w:rsidRPr="00723C45">
        <w:t>IgE</w:t>
      </w:r>
      <w:proofErr w:type="spellEnd"/>
      <w:r w:rsidRPr="00723C45">
        <w:t xml:space="preserve"> production in rats by high allergen doses </w:t>
      </w:r>
      <w:r w:rsidRPr="0057009B">
        <w:rPr>
          <w:i/>
        </w:rPr>
        <w:t>Clinical Allergy</w:t>
      </w:r>
      <w:r w:rsidRPr="00723C45">
        <w:t>, 1988, 18</w:t>
      </w:r>
      <w:r>
        <w:t>:</w:t>
      </w:r>
      <w:r w:rsidRPr="00723C45">
        <w:t xml:space="preserve"> 229-234</w:t>
      </w:r>
    </w:p>
  </w:footnote>
  <w:footnote w:id="16">
    <w:p w14:paraId="55F11017" w14:textId="77777777" w:rsidR="001A3124" w:rsidRPr="00F066E3" w:rsidRDefault="001A3124" w:rsidP="00E41885">
      <w:pPr>
        <w:pStyle w:val="FootnoteText"/>
      </w:pPr>
      <w:r w:rsidRPr="00E41885">
        <w:rPr>
          <w:vertAlign w:val="superscript"/>
        </w:rPr>
        <w:footnoteRef/>
      </w:r>
      <w:r w:rsidRPr="00E41885">
        <w:rPr>
          <w:vertAlign w:val="superscript"/>
        </w:rPr>
        <w:t xml:space="preserve"> </w:t>
      </w:r>
      <w:proofErr w:type="spellStart"/>
      <w:r w:rsidRPr="00F066E3">
        <w:t>Bousquet</w:t>
      </w:r>
      <w:proofErr w:type="spellEnd"/>
      <w:r w:rsidRPr="00F066E3">
        <w:t xml:space="preserve"> PJ et al. Sub-lingual immunotherapy: World Allergy Organization position paper</w:t>
      </w:r>
      <w:r>
        <w:t xml:space="preserve">. </w:t>
      </w:r>
      <w:r w:rsidRPr="0057009B">
        <w:rPr>
          <w:i/>
        </w:rPr>
        <w:t xml:space="preserve">Allergy </w:t>
      </w:r>
      <w:r>
        <w:t>2009; 64: 1-59</w:t>
      </w:r>
    </w:p>
  </w:footnote>
  <w:footnote w:id="17">
    <w:p w14:paraId="1C0312E8" w14:textId="77777777" w:rsidR="001A3124" w:rsidRPr="00F066E3" w:rsidRDefault="001A3124" w:rsidP="00E41885">
      <w:pPr>
        <w:pStyle w:val="FootnoteText"/>
      </w:pPr>
      <w:r w:rsidRPr="00E41885">
        <w:rPr>
          <w:vertAlign w:val="superscript"/>
        </w:rPr>
        <w:footnoteRef/>
      </w:r>
      <w:r>
        <w:t xml:space="preserve"> </w:t>
      </w:r>
      <w:proofErr w:type="spellStart"/>
      <w:r>
        <w:t>Pilette</w:t>
      </w:r>
      <w:proofErr w:type="spellEnd"/>
      <w:r>
        <w:t xml:space="preserve"> C</w:t>
      </w:r>
      <w:r w:rsidRPr="00F066E3">
        <w:t xml:space="preserve"> et al. Grass-pollen immunotherapy induces an allergen specific IgA2 antibody response associated with mucosal TGF-beta expression. </w:t>
      </w:r>
      <w:r w:rsidRPr="00E41885">
        <w:rPr>
          <w:i/>
        </w:rPr>
        <w:t xml:space="preserve">J </w:t>
      </w:r>
      <w:proofErr w:type="spellStart"/>
      <w:r w:rsidRPr="00E41885">
        <w:rPr>
          <w:i/>
        </w:rPr>
        <w:t>Immunol</w:t>
      </w:r>
      <w:proofErr w:type="spellEnd"/>
      <w:r w:rsidRPr="00F066E3">
        <w:t xml:space="preserve"> 2007;</w:t>
      </w:r>
      <w:r>
        <w:t xml:space="preserve"> </w:t>
      </w:r>
      <w:r w:rsidRPr="00F066E3">
        <w:t>178:</w:t>
      </w:r>
      <w:r>
        <w:t xml:space="preserve"> </w:t>
      </w:r>
      <w:r w:rsidRPr="00F066E3">
        <w:t>4658–</w:t>
      </w:r>
      <w:r>
        <w:t>4666</w:t>
      </w:r>
    </w:p>
  </w:footnote>
  <w:footnote w:id="18">
    <w:p w14:paraId="3CF90BDF" w14:textId="77777777" w:rsidR="001A3124" w:rsidRPr="00F066E3" w:rsidRDefault="001A3124" w:rsidP="00E41885">
      <w:pPr>
        <w:pStyle w:val="FootnoteText"/>
      </w:pPr>
      <w:r w:rsidRPr="00E41885">
        <w:rPr>
          <w:vertAlign w:val="superscript"/>
        </w:rPr>
        <w:footnoteRef/>
      </w:r>
      <w:r w:rsidRPr="00F066E3">
        <w:t xml:space="preserve"> </w:t>
      </w:r>
      <w:proofErr w:type="spellStart"/>
      <w:r w:rsidRPr="00F066E3">
        <w:t>Jutel</w:t>
      </w:r>
      <w:proofErr w:type="spellEnd"/>
      <w:r w:rsidRPr="00F066E3">
        <w:t xml:space="preserve"> M, et al. IL-10 and TGF-beta cooperate in the regulatory T cell response to mucosal allergens in normal immunity and specific immunotherapy. </w:t>
      </w:r>
      <w:proofErr w:type="spellStart"/>
      <w:r w:rsidRPr="00E41885">
        <w:rPr>
          <w:i/>
        </w:rPr>
        <w:t>Eur</w:t>
      </w:r>
      <w:proofErr w:type="spellEnd"/>
      <w:r w:rsidRPr="00E41885">
        <w:rPr>
          <w:i/>
        </w:rPr>
        <w:t xml:space="preserve"> J </w:t>
      </w:r>
      <w:proofErr w:type="spellStart"/>
      <w:r w:rsidRPr="00E41885">
        <w:rPr>
          <w:i/>
        </w:rPr>
        <w:t>Immunol</w:t>
      </w:r>
      <w:proofErr w:type="spellEnd"/>
      <w:r w:rsidRPr="00F066E3">
        <w:t>. 2003;</w:t>
      </w:r>
      <w:r>
        <w:t xml:space="preserve"> </w:t>
      </w:r>
      <w:r w:rsidRPr="00F066E3">
        <w:t>33:</w:t>
      </w:r>
      <w:r>
        <w:t xml:space="preserve"> </w:t>
      </w:r>
      <w:r w:rsidRPr="00F066E3">
        <w:t>1205–</w:t>
      </w:r>
      <w:r>
        <w:t>1214</w:t>
      </w:r>
    </w:p>
  </w:footnote>
  <w:footnote w:id="19">
    <w:p w14:paraId="39494FB1" w14:textId="77777777" w:rsidR="001A3124" w:rsidRPr="00F066E3" w:rsidRDefault="001A3124" w:rsidP="00081FA1">
      <w:pPr>
        <w:pStyle w:val="FootnoteText"/>
      </w:pPr>
      <w:r w:rsidRPr="00E41885">
        <w:rPr>
          <w:vertAlign w:val="superscript"/>
        </w:rPr>
        <w:footnoteRef/>
      </w:r>
      <w:r w:rsidRPr="00E41885">
        <w:rPr>
          <w:vertAlign w:val="superscript"/>
        </w:rPr>
        <w:t xml:space="preserve"> </w:t>
      </w:r>
      <w:r w:rsidRPr="00F066E3">
        <w:t xml:space="preserve">Yousef A. </w:t>
      </w:r>
      <w:r>
        <w:t>et al</w:t>
      </w:r>
      <w:r w:rsidRPr="00F066E3">
        <w:t xml:space="preserve">. Allergen-specific subcutaneous immunotherapy in allergic asthma: immunologic mechanisms and improvement. </w:t>
      </w:r>
      <w:r w:rsidRPr="00E41885">
        <w:rPr>
          <w:i/>
        </w:rPr>
        <w:t>Libyan J Med</w:t>
      </w:r>
      <w:r>
        <w:t xml:space="preserve"> 2010; 5: 5303</w:t>
      </w:r>
    </w:p>
  </w:footnote>
  <w:footnote w:id="20">
    <w:p w14:paraId="4C82FF6F" w14:textId="77777777" w:rsidR="001A3124" w:rsidRPr="00081FA1" w:rsidRDefault="001A3124" w:rsidP="0057009B">
      <w:pPr>
        <w:pStyle w:val="FootnoteText"/>
        <w:rPr>
          <w:rStyle w:val="FootnoteTextChar"/>
        </w:rPr>
      </w:pPr>
      <w:r>
        <w:rPr>
          <w:rStyle w:val="FootnoteReference"/>
        </w:rPr>
        <w:footnoteRef/>
      </w:r>
      <w:r>
        <w:t xml:space="preserve"> </w:t>
      </w:r>
      <w:r w:rsidRPr="00081FA1">
        <w:rPr>
          <w:rStyle w:val="FootnoteTextChar"/>
        </w:rPr>
        <w:t>Calderon M.A. Respiratory allergy caused by house dust mites: What do we really know</w:t>
      </w:r>
      <w:r w:rsidRPr="00790DE0">
        <w:rPr>
          <w:rStyle w:val="FootnoteTextChar"/>
          <w:i/>
        </w:rPr>
        <w:t xml:space="preserve">? J Allergy </w:t>
      </w:r>
      <w:proofErr w:type="spellStart"/>
      <w:r w:rsidRPr="00790DE0">
        <w:rPr>
          <w:rStyle w:val="FootnoteTextChar"/>
          <w:i/>
        </w:rPr>
        <w:t>Clin</w:t>
      </w:r>
      <w:proofErr w:type="spellEnd"/>
      <w:r w:rsidRPr="00790DE0">
        <w:rPr>
          <w:rStyle w:val="FootnoteTextChar"/>
          <w:i/>
        </w:rPr>
        <w:t xml:space="preserve"> </w:t>
      </w:r>
      <w:proofErr w:type="spellStart"/>
      <w:r w:rsidRPr="00790DE0">
        <w:rPr>
          <w:rStyle w:val="FootnoteTextChar"/>
          <w:i/>
        </w:rPr>
        <w:t>Immunol</w:t>
      </w:r>
      <w:proofErr w:type="spellEnd"/>
      <w:r>
        <w:rPr>
          <w:rStyle w:val="FootnoteTextChar"/>
        </w:rPr>
        <w:t xml:space="preserve"> 2015; 136, 38-</w:t>
      </w:r>
    </w:p>
  </w:footnote>
  <w:footnote w:id="21">
    <w:p w14:paraId="588E1FC3" w14:textId="77777777" w:rsidR="001A3124" w:rsidRPr="00F066E3" w:rsidRDefault="001A3124" w:rsidP="00716D4E">
      <w:pPr>
        <w:pStyle w:val="FootnoteText"/>
      </w:pPr>
      <w:r w:rsidRPr="00716D4E">
        <w:rPr>
          <w:vertAlign w:val="superscript"/>
        </w:rPr>
        <w:footnoteRef/>
      </w:r>
      <w:r>
        <w:t xml:space="preserve"> </w:t>
      </w:r>
      <w:proofErr w:type="spellStart"/>
      <w:proofErr w:type="gramStart"/>
      <w:r>
        <w:t>Scadding</w:t>
      </w:r>
      <w:proofErr w:type="spellEnd"/>
      <w:r>
        <w:t xml:space="preserve"> G and </w:t>
      </w:r>
      <w:r w:rsidRPr="00F066E3">
        <w:t>Durham SR. Mechanisms of sublingual immunotherapy.</w:t>
      </w:r>
      <w:proofErr w:type="gramEnd"/>
      <w:r w:rsidRPr="00F066E3">
        <w:t xml:space="preserve"> </w:t>
      </w:r>
      <w:proofErr w:type="spellStart"/>
      <w:proofErr w:type="gramStart"/>
      <w:r w:rsidRPr="00716D4E">
        <w:rPr>
          <w:i/>
        </w:rPr>
        <w:t>Immunol</w:t>
      </w:r>
      <w:proofErr w:type="spellEnd"/>
      <w:r w:rsidRPr="00716D4E">
        <w:rPr>
          <w:i/>
        </w:rPr>
        <w:t xml:space="preserve"> Allergy </w:t>
      </w:r>
      <w:proofErr w:type="spellStart"/>
      <w:r w:rsidRPr="00716D4E">
        <w:rPr>
          <w:i/>
        </w:rPr>
        <w:t>Clin</w:t>
      </w:r>
      <w:proofErr w:type="spellEnd"/>
      <w:r w:rsidRPr="00716D4E">
        <w:rPr>
          <w:i/>
        </w:rPr>
        <w:t xml:space="preserve"> North Am</w:t>
      </w:r>
      <w:r>
        <w:t>. 2011; 31: 191-209.</w:t>
      </w:r>
      <w:proofErr w:type="gramEnd"/>
    </w:p>
  </w:footnote>
  <w:footnote w:id="22">
    <w:p w14:paraId="5F655EE5" w14:textId="77777777" w:rsidR="001A3124" w:rsidRPr="00F066E3" w:rsidRDefault="001A3124" w:rsidP="00716D4E">
      <w:pPr>
        <w:pStyle w:val="FootnoteText"/>
      </w:pPr>
      <w:r w:rsidRPr="00716D4E">
        <w:rPr>
          <w:vertAlign w:val="superscript"/>
        </w:rPr>
        <w:footnoteRef/>
      </w:r>
      <w:r w:rsidRPr="00716D4E">
        <w:rPr>
          <w:vertAlign w:val="superscript"/>
        </w:rPr>
        <w:t xml:space="preserve"> </w:t>
      </w:r>
      <w:proofErr w:type="spellStart"/>
      <w:r w:rsidRPr="00F066E3">
        <w:t>Bonvalet</w:t>
      </w:r>
      <w:proofErr w:type="spellEnd"/>
      <w:r w:rsidRPr="00F066E3">
        <w:t xml:space="preserve"> M, et al. Allergen-specific CD4+ T cell responses in peripheral blood do not predict the early onset of clinical efficacy during grass pollen sublingual immunotherapy. </w:t>
      </w:r>
      <w:proofErr w:type="spellStart"/>
      <w:r w:rsidRPr="00716D4E">
        <w:rPr>
          <w:i/>
        </w:rPr>
        <w:t>Clin</w:t>
      </w:r>
      <w:proofErr w:type="spellEnd"/>
      <w:r w:rsidRPr="00716D4E">
        <w:rPr>
          <w:i/>
        </w:rPr>
        <w:t xml:space="preserve"> </w:t>
      </w:r>
      <w:proofErr w:type="spellStart"/>
      <w:r w:rsidRPr="00716D4E">
        <w:rPr>
          <w:i/>
        </w:rPr>
        <w:t>Exp</w:t>
      </w:r>
      <w:proofErr w:type="spellEnd"/>
      <w:r w:rsidRPr="00716D4E">
        <w:rPr>
          <w:i/>
        </w:rPr>
        <w:t xml:space="preserve"> Allergy</w:t>
      </w:r>
      <w:r>
        <w:t xml:space="preserve"> 2012; 42: 1745-1755.</w:t>
      </w:r>
    </w:p>
  </w:footnote>
  <w:footnote w:id="23">
    <w:p w14:paraId="4EF655FA" w14:textId="77777777" w:rsidR="001A3124" w:rsidRPr="001A3124" w:rsidRDefault="001A3124" w:rsidP="00716D4E">
      <w:pPr>
        <w:pStyle w:val="FootnoteText"/>
        <w:rPr>
          <w:lang w:val="fr-FR"/>
        </w:rPr>
      </w:pPr>
      <w:r w:rsidRPr="00716D4E">
        <w:rPr>
          <w:rStyle w:val="FootnoteReference"/>
        </w:rPr>
        <w:footnoteRef/>
      </w:r>
      <w:r w:rsidRPr="00716D4E">
        <w:t xml:space="preserve"> Walker SM, et al. Immunotherapy for allergic rhinitis. </w:t>
      </w:r>
      <w:r w:rsidRPr="001A3124">
        <w:rPr>
          <w:i/>
          <w:lang w:val="fr-FR"/>
        </w:rPr>
        <w:t xml:space="preserve">Clin </w:t>
      </w:r>
      <w:proofErr w:type="spellStart"/>
      <w:r w:rsidRPr="001A3124">
        <w:rPr>
          <w:i/>
          <w:lang w:val="fr-FR"/>
        </w:rPr>
        <w:t>Exp</w:t>
      </w:r>
      <w:proofErr w:type="spellEnd"/>
      <w:r w:rsidRPr="001A3124">
        <w:rPr>
          <w:i/>
          <w:lang w:val="fr-FR"/>
        </w:rPr>
        <w:t xml:space="preserve"> </w:t>
      </w:r>
      <w:proofErr w:type="spellStart"/>
      <w:r w:rsidRPr="001A3124">
        <w:rPr>
          <w:i/>
          <w:lang w:val="fr-FR"/>
        </w:rPr>
        <w:t>Allergy</w:t>
      </w:r>
      <w:proofErr w:type="spellEnd"/>
      <w:r w:rsidRPr="001A3124">
        <w:rPr>
          <w:lang w:val="fr-FR"/>
        </w:rPr>
        <w:t xml:space="preserve">. 2011; 41:1177-1200 </w:t>
      </w:r>
    </w:p>
  </w:footnote>
  <w:footnote w:id="24">
    <w:p w14:paraId="5B4D290B" w14:textId="77777777" w:rsidR="001A3124" w:rsidRPr="00716D4E" w:rsidRDefault="001A3124" w:rsidP="00716D4E">
      <w:pPr>
        <w:pStyle w:val="FootnoteText"/>
      </w:pPr>
      <w:r w:rsidRPr="00716D4E">
        <w:rPr>
          <w:rStyle w:val="FootnoteReference"/>
        </w:rPr>
        <w:footnoteRef/>
      </w:r>
      <w:r w:rsidRPr="001A3124">
        <w:rPr>
          <w:lang w:val="fr-FR"/>
        </w:rPr>
        <w:t xml:space="preserve">Bousquet J, et al. </w:t>
      </w:r>
      <w:r w:rsidRPr="00716D4E">
        <w:t xml:space="preserve">Review article – Allergic rhinitis and its impact on asthma (ARIA) 2008 Update (in collaboration with the World Health Organization, GA²LEN and </w:t>
      </w:r>
      <w:proofErr w:type="spellStart"/>
      <w:r w:rsidRPr="00716D4E">
        <w:t>AllerGen</w:t>
      </w:r>
      <w:proofErr w:type="spellEnd"/>
      <w:r w:rsidRPr="00716D4E">
        <w:t xml:space="preserve">). </w:t>
      </w:r>
      <w:r w:rsidRPr="00716D4E">
        <w:rPr>
          <w:i/>
        </w:rPr>
        <w:t>Allergy</w:t>
      </w:r>
      <w:r>
        <w:t xml:space="preserve"> 2008; 63</w:t>
      </w:r>
      <w:r w:rsidRPr="00716D4E">
        <w:t>: 8-160</w:t>
      </w:r>
    </w:p>
  </w:footnote>
  <w:footnote w:id="25">
    <w:p w14:paraId="3A2C60F1" w14:textId="77777777" w:rsidR="001A3124" w:rsidRDefault="001A3124" w:rsidP="00716D4E">
      <w:pPr>
        <w:pStyle w:val="FootnoteText"/>
      </w:pPr>
      <w:r w:rsidRPr="00716D4E">
        <w:rPr>
          <w:rStyle w:val="FootnoteReference"/>
        </w:rPr>
        <w:footnoteRef/>
      </w:r>
      <w:r w:rsidRPr="00716D4E">
        <w:rPr>
          <w:vertAlign w:val="superscript"/>
        </w:rPr>
        <w:t xml:space="preserve"> </w:t>
      </w:r>
      <w:r w:rsidRPr="00716D4E">
        <w:t>Alustal; ARTG #: 132725 and 132680</w:t>
      </w:r>
    </w:p>
  </w:footnote>
  <w:footnote w:id="26">
    <w:p w14:paraId="538FBE23" w14:textId="77777777" w:rsidR="001A3124" w:rsidRDefault="001A3124" w:rsidP="009F1355">
      <w:pPr>
        <w:pStyle w:val="FootnoteText"/>
      </w:pPr>
      <w:r>
        <w:rPr>
          <w:rStyle w:val="FootnoteReference"/>
        </w:rPr>
        <w:footnoteRef/>
      </w:r>
      <w:r>
        <w:t xml:space="preserve"> </w:t>
      </w:r>
      <w:r>
        <w:rPr>
          <w:sz w:val="16"/>
          <w:szCs w:val="16"/>
        </w:rPr>
        <w:t>Extract of five grasses [Oralair]( PM-2009-03500-3-2)</w:t>
      </w:r>
    </w:p>
  </w:footnote>
  <w:footnote w:id="27">
    <w:p w14:paraId="4C7E3495" w14:textId="77777777" w:rsidR="001A3124" w:rsidRPr="003655EA" w:rsidRDefault="001A3124" w:rsidP="00790DE0">
      <w:pPr>
        <w:pStyle w:val="FootnoteText"/>
      </w:pPr>
      <w:r w:rsidRPr="003B55CD">
        <w:rPr>
          <w:rStyle w:val="FootnoteReference"/>
        </w:rPr>
        <w:footnoteRef/>
      </w:r>
      <w:r w:rsidRPr="003655EA">
        <w:t xml:space="preserve"> Therapeutic goods exempt from pregnancy categorisation, </w:t>
      </w:r>
      <w:proofErr w:type="gramStart"/>
      <w:r w:rsidRPr="003655EA">
        <w:t>Prescribing</w:t>
      </w:r>
      <w:proofErr w:type="gramEnd"/>
      <w:r w:rsidRPr="003655EA">
        <w:t xml:space="preserve"> medicin</w:t>
      </w:r>
      <w:r>
        <w:t>es in pregnancy database, 2011.</w:t>
      </w:r>
    </w:p>
  </w:footnote>
  <w:footnote w:id="28">
    <w:p w14:paraId="20B4193D" w14:textId="77777777" w:rsidR="001A3124" w:rsidRDefault="001A3124" w:rsidP="003B55CD">
      <w:pPr>
        <w:pStyle w:val="FootnoteText"/>
        <w:rPr>
          <w:lang w:val="en"/>
        </w:rPr>
      </w:pPr>
      <w:r>
        <w:rPr>
          <w:rStyle w:val="FootnoteReference"/>
        </w:rPr>
        <w:footnoteRef/>
      </w:r>
      <w:r>
        <w:t xml:space="preserve"> Pregnancy classification Category B2 :</w:t>
      </w:r>
      <w:r>
        <w:rPr>
          <w:lang w:val="en"/>
        </w:rPr>
        <w:t>Drugs which have been taken by only a limited number of pregnant women and women of childbearing age, without an increase in the frequency of malformation or other direct or indirect harmful effects on the human fetus having been observed.</w:t>
      </w:r>
    </w:p>
    <w:p w14:paraId="3838FC39" w14:textId="77777777" w:rsidR="001A3124" w:rsidRPr="003B55CD" w:rsidRDefault="001A3124">
      <w:pPr>
        <w:pStyle w:val="FootnoteText"/>
        <w:rPr>
          <w:lang w:val="en"/>
        </w:rPr>
      </w:pPr>
      <w:r>
        <w:rPr>
          <w:lang w:val="en"/>
        </w:rPr>
        <w:t>Studies in animals are inadequate or may be lacking, but available data show no evidence of an increased occurrence of fetal damage.</w:t>
      </w:r>
    </w:p>
  </w:footnote>
  <w:footnote w:id="29">
    <w:p w14:paraId="7D30DFFC" w14:textId="77777777" w:rsidR="001A3124" w:rsidRPr="003655EA" w:rsidRDefault="001A3124" w:rsidP="00790DE0">
      <w:pPr>
        <w:pStyle w:val="FootnoteText"/>
      </w:pPr>
      <w:r w:rsidRPr="003B55CD">
        <w:rPr>
          <w:rStyle w:val="FootnoteReference"/>
        </w:rPr>
        <w:footnoteRef/>
      </w:r>
      <w:r>
        <w:t xml:space="preserve"> </w:t>
      </w:r>
      <w:proofErr w:type="spellStart"/>
      <w:proofErr w:type="gramStart"/>
      <w:r>
        <w:t>Holsapple</w:t>
      </w:r>
      <w:proofErr w:type="spellEnd"/>
      <w:r>
        <w:t xml:space="preserve"> et al.</w:t>
      </w:r>
      <w:r w:rsidRPr="003655EA">
        <w:t xml:space="preserve"> Species comparison of anatomical and functional immune system development.</w:t>
      </w:r>
      <w:proofErr w:type="gramEnd"/>
      <w:r w:rsidRPr="003655EA">
        <w:t xml:space="preserve"> </w:t>
      </w:r>
      <w:r w:rsidRPr="00790DE0">
        <w:rPr>
          <w:i/>
        </w:rPr>
        <w:t>Birth Def Res</w:t>
      </w:r>
      <w:r>
        <w:t xml:space="preserve"> </w:t>
      </w:r>
      <w:r w:rsidRPr="003655EA">
        <w:t>2003</w:t>
      </w:r>
      <w:r>
        <w:t>;</w:t>
      </w:r>
      <w:r w:rsidRPr="003655EA">
        <w:t xml:space="preserve"> 68:</w:t>
      </w:r>
      <w:r>
        <w:t xml:space="preserve"> 321–334</w:t>
      </w:r>
    </w:p>
  </w:footnote>
  <w:footnote w:id="30">
    <w:p w14:paraId="570DB91C" w14:textId="77777777" w:rsidR="001A3124" w:rsidRPr="00753206" w:rsidRDefault="001A3124" w:rsidP="00753206">
      <w:pPr>
        <w:pStyle w:val="FootnoteText"/>
      </w:pPr>
      <w:r>
        <w:rPr>
          <w:rStyle w:val="FootnoteReference"/>
        </w:rPr>
        <w:footnoteRef/>
      </w:r>
      <w:r>
        <w:t xml:space="preserve"> </w:t>
      </w:r>
      <w:proofErr w:type="spellStart"/>
      <w:r w:rsidRPr="00753206">
        <w:rPr>
          <w:rStyle w:val="FootnoteTextChar"/>
        </w:rPr>
        <w:t>Bousquet</w:t>
      </w:r>
      <w:proofErr w:type="spellEnd"/>
      <w:r w:rsidRPr="00753206">
        <w:rPr>
          <w:rStyle w:val="FootnoteTextChar"/>
        </w:rPr>
        <w:t xml:space="preserve"> J. et al Allergic Rhinitis and its Impact on Asthma (ARIA) Allergy 2008: 63: 8–160</w:t>
      </w:r>
    </w:p>
  </w:footnote>
  <w:footnote w:id="31">
    <w:p w14:paraId="44835D09" w14:textId="77777777" w:rsidR="001A3124" w:rsidRPr="00753206" w:rsidRDefault="001A3124" w:rsidP="00753206">
      <w:pPr>
        <w:pStyle w:val="FootnoteText"/>
        <w:rPr>
          <w:rStyle w:val="FootnoteTextChar"/>
        </w:rPr>
      </w:pPr>
      <w:r>
        <w:rPr>
          <w:rStyle w:val="FootnoteReference"/>
        </w:rPr>
        <w:footnoteRef/>
      </w:r>
      <w:r>
        <w:t xml:space="preserve"> </w:t>
      </w:r>
      <w:r w:rsidRPr="00753206">
        <w:rPr>
          <w:rStyle w:val="FootnoteTextChar"/>
        </w:rPr>
        <w:t xml:space="preserve">AIHW 2011 Allergic rhinitis (‘hay fever’) in Australia </w:t>
      </w:r>
      <w:r w:rsidRPr="00753206">
        <w:rPr>
          <w:rStyle w:val="FootnoteTextChar"/>
          <w:i/>
        </w:rPr>
        <w:t>AIHW 2011</w:t>
      </w:r>
      <w:r w:rsidRPr="00753206">
        <w:rPr>
          <w:rStyle w:val="FootnoteTextChar"/>
        </w:rPr>
        <w:t xml:space="preserve"> Cat No ACM 23</w:t>
      </w:r>
    </w:p>
  </w:footnote>
  <w:footnote w:id="32">
    <w:p w14:paraId="701F936A" w14:textId="77777777" w:rsidR="001A3124" w:rsidRDefault="001A3124" w:rsidP="001A3124">
      <w:pPr>
        <w:pStyle w:val="FootnoteText"/>
      </w:pPr>
      <w:r>
        <w:rPr>
          <w:rStyle w:val="FootnoteReference"/>
        </w:rPr>
        <w:footnoteRef/>
      </w:r>
      <w:r>
        <w:t xml:space="preserve"> </w:t>
      </w:r>
      <w:r>
        <w:rPr>
          <w:lang w:val="en-US"/>
        </w:rPr>
        <w:t>Routine pharmacovigilance practices involve the following activities:</w:t>
      </w:r>
    </w:p>
    <w:p w14:paraId="0667387B" w14:textId="77777777" w:rsidR="001A3124" w:rsidRDefault="001A3124" w:rsidP="001A3124">
      <w:pPr>
        <w:pStyle w:val="FootnoteText"/>
        <w:numPr>
          <w:ilvl w:val="0"/>
          <w:numId w:val="39"/>
        </w:numPr>
        <w:rPr>
          <w:rFonts w:eastAsia="Times New Roman"/>
        </w:rPr>
      </w:pPr>
      <w:r>
        <w:rPr>
          <w:rFonts w:eastAsia="Times New Roman"/>
          <w:lang w:val="en-US"/>
        </w:rPr>
        <w:t>All suspected adverse reactions that are reported to the personnel of the company are collected and collated in an accessible manner;</w:t>
      </w:r>
    </w:p>
    <w:p w14:paraId="40EE7A9C" w14:textId="77777777" w:rsidR="001A3124" w:rsidRDefault="001A3124" w:rsidP="001A3124">
      <w:pPr>
        <w:pStyle w:val="FootnoteText"/>
        <w:numPr>
          <w:ilvl w:val="0"/>
          <w:numId w:val="39"/>
        </w:numPr>
        <w:rPr>
          <w:rFonts w:eastAsia="Times New Roman"/>
        </w:rPr>
      </w:pPr>
      <w:r>
        <w:rPr>
          <w:rFonts w:eastAsia="Times New Roman"/>
          <w:lang w:val="en-US"/>
        </w:rPr>
        <w:t>Reporting to regulatory authorities;</w:t>
      </w:r>
    </w:p>
    <w:p w14:paraId="17E287CB" w14:textId="77777777" w:rsidR="001A3124" w:rsidRDefault="001A3124" w:rsidP="001A3124">
      <w:pPr>
        <w:pStyle w:val="FootnoteText"/>
        <w:numPr>
          <w:ilvl w:val="0"/>
          <w:numId w:val="39"/>
        </w:numPr>
        <w:rPr>
          <w:rFonts w:eastAsia="Times New Roman"/>
        </w:rPr>
      </w:pPr>
      <w:r>
        <w:rPr>
          <w:rFonts w:eastAsia="Times New Roman"/>
          <w:lang w:val="en-US"/>
        </w:rPr>
        <w:t>Continuous monitoring of the safety profiles of approved products including signal detection and updating of labeling;</w:t>
      </w:r>
    </w:p>
    <w:p w14:paraId="68803768" w14:textId="77777777" w:rsidR="001A3124" w:rsidRDefault="001A3124" w:rsidP="001A3124">
      <w:pPr>
        <w:pStyle w:val="FootnoteText"/>
        <w:numPr>
          <w:ilvl w:val="0"/>
          <w:numId w:val="39"/>
        </w:numPr>
        <w:rPr>
          <w:rFonts w:eastAsia="Times New Roman"/>
        </w:rPr>
      </w:pPr>
      <w:r>
        <w:rPr>
          <w:rFonts w:eastAsia="Times New Roman"/>
          <w:lang w:val="en-US"/>
        </w:rPr>
        <w:t>Submission of PSURs;</w:t>
      </w:r>
    </w:p>
    <w:p w14:paraId="19DA879F" w14:textId="77777777" w:rsidR="001A3124" w:rsidRDefault="001A3124" w:rsidP="001A3124">
      <w:pPr>
        <w:pStyle w:val="FootnoteText"/>
        <w:numPr>
          <w:ilvl w:val="0"/>
          <w:numId w:val="39"/>
        </w:numPr>
        <w:rPr>
          <w:rFonts w:eastAsia="Times New Roman"/>
        </w:rPr>
      </w:pPr>
      <w:r>
        <w:rPr>
          <w:rFonts w:eastAsia="Times New Roman"/>
          <w:lang w:val="en-US"/>
        </w:rPr>
        <w:t>Meeting other local regulatory agency requirements.</w:t>
      </w:r>
    </w:p>
    <w:p w14:paraId="6C5DA3EC" w14:textId="7BF11E00" w:rsidR="001A3124" w:rsidRPr="001A3124" w:rsidRDefault="001A3124">
      <w:pPr>
        <w:pStyle w:val="FootnoteText"/>
        <w:rPr>
          <w:lang w:val="en-US"/>
        </w:rPr>
      </w:pPr>
    </w:p>
  </w:footnote>
  <w:footnote w:id="33">
    <w:p w14:paraId="672822CB" w14:textId="2B4F96C5" w:rsidR="001A3124" w:rsidRPr="001A3124" w:rsidRDefault="001A3124" w:rsidP="001A3124">
      <w:pPr>
        <w:autoSpaceDE w:val="0"/>
        <w:autoSpaceDN w:val="0"/>
        <w:rPr>
          <w:color w:val="000000"/>
        </w:rPr>
      </w:pPr>
      <w:r>
        <w:rPr>
          <w:rStyle w:val="FootnoteReference"/>
        </w:rPr>
        <w:footnoteRef/>
      </w:r>
      <w:r>
        <w:t xml:space="preserve"> </w:t>
      </w:r>
      <w:r w:rsidRPr="001A3124">
        <w:rPr>
          <w:rStyle w:val="FootnoteTextChar"/>
        </w:rPr>
        <w:t>Routine risk minimisation activities may be limited to ensuring that suitable warnings are included in the product information or by careful use of labelling and packaging.</w:t>
      </w:r>
    </w:p>
  </w:footnote>
  <w:footnote w:id="34">
    <w:p w14:paraId="13172668" w14:textId="3D2FD6FE" w:rsidR="001A3124" w:rsidRPr="001A3124" w:rsidRDefault="001A3124">
      <w:pPr>
        <w:pStyle w:val="FootnoteText"/>
        <w:rPr>
          <w:lang w:val="en-US"/>
        </w:rPr>
      </w:pPr>
      <w:r>
        <w:rPr>
          <w:rStyle w:val="FootnoteReference"/>
        </w:rPr>
        <w:footnoteRef/>
      </w:r>
      <w:r>
        <w:t xml:space="preserve"> </w:t>
      </w:r>
      <w:r>
        <w:rPr>
          <w:lang w:val="en-US"/>
        </w:rPr>
        <w:t xml:space="preserve">Please see the pharmacovigilance plan regarding the use of specific forms the </w:t>
      </w:r>
      <w:r w:rsidRPr="00782EB4">
        <w:t>documentation of the reported of ‘severe laryngopharyngeal reactions’ and the important potential risk ‘severe anaphylactic reactions/anaphylactic shock’</w:t>
      </w:r>
    </w:p>
  </w:footnote>
  <w:footnote w:id="35">
    <w:p w14:paraId="7E94F164" w14:textId="77777777" w:rsidR="001A3124" w:rsidRPr="004A2386" w:rsidRDefault="001A3124">
      <w:pPr>
        <w:pStyle w:val="FootnoteText"/>
        <w:rPr>
          <w:lang w:val="en-US"/>
        </w:rPr>
      </w:pPr>
      <w:r>
        <w:rPr>
          <w:rStyle w:val="FootnoteReference"/>
        </w:rPr>
        <w:footnoteRef/>
      </w:r>
      <w:r>
        <w:t xml:space="preserve"> </w:t>
      </w:r>
      <w:proofErr w:type="gramStart"/>
      <w:r>
        <w:t>CHMP/EWP/ 18504/ 2006 Guideline on the Clinical Development of Products for Specific Immunotherapy for the Treatment of Allergic Diseases.</w:t>
      </w:r>
      <w:proofErr w:type="gramEnd"/>
    </w:p>
  </w:footnote>
  <w:footnote w:id="36">
    <w:p w14:paraId="32FD8257" w14:textId="71E26B4E" w:rsidR="001A3124" w:rsidRPr="00CD75B5" w:rsidRDefault="001A3124" w:rsidP="00CD75B5">
      <w:pPr>
        <w:pStyle w:val="FootnoteText"/>
      </w:pPr>
      <w:r w:rsidRPr="00CD75B5">
        <w:rPr>
          <w:vertAlign w:val="superscript"/>
        </w:rPr>
        <w:footnoteRef/>
      </w:r>
      <w:r>
        <w:t xml:space="preserve"> </w:t>
      </w:r>
      <w:r w:rsidRPr="00CD75B5">
        <w:t>FEV</w:t>
      </w:r>
      <w:r w:rsidRPr="00CD75B5">
        <w:rPr>
          <w:vertAlign w:val="subscript"/>
        </w:rPr>
        <w:t>1</w:t>
      </w:r>
      <w:r w:rsidRPr="00CD75B5">
        <w:t xml:space="preserve"> Forced expiratory volume (FEV) measures how much air a person can exhale</w:t>
      </w:r>
      <w:r w:rsidRPr="00132754">
        <w:t xml:space="preserve"> </w:t>
      </w:r>
      <w:r w:rsidRPr="00CD75B5">
        <w:t xml:space="preserve">during the first second </w:t>
      </w:r>
      <w:r>
        <w:t>of a</w:t>
      </w:r>
      <w:r w:rsidRPr="00CD75B5">
        <w:t xml:space="preserve"> forced breath</w:t>
      </w:r>
      <w:proofErr w:type="gramStart"/>
      <w:r>
        <w:t>..</w:t>
      </w:r>
      <w:proofErr w:type="gramEnd"/>
    </w:p>
  </w:footnote>
  <w:footnote w:id="37">
    <w:p w14:paraId="12898F11" w14:textId="256DE84C" w:rsidR="001A3124" w:rsidRPr="001A3124" w:rsidRDefault="001A3124">
      <w:pPr>
        <w:pStyle w:val="FootnoteText"/>
        <w:rPr>
          <w:lang w:val="en-US"/>
        </w:rPr>
      </w:pPr>
      <w:r>
        <w:rPr>
          <w:rStyle w:val="FootnoteReference"/>
        </w:rPr>
        <w:footnoteRef/>
      </w:r>
      <w:r>
        <w:t xml:space="preserve"> </w:t>
      </w:r>
      <w:r>
        <w:rPr>
          <w:lang w:val="en-US"/>
        </w:rPr>
        <w:t xml:space="preserve">Clarification: </w:t>
      </w:r>
      <w:r>
        <w:t>the percentage of nasopharyngitis in the placebo groups was higher (22.9%) than in the active groups (13.6 % and 16.5%). For the mouth oedema, the incidence was higher in the active groups (16.6% and 12.4%) versus the placebo group (0.6%). This is the reason why the mouth oedema was reported as the most commonly reported event.</w:t>
      </w:r>
    </w:p>
  </w:footnote>
  <w:footnote w:id="38">
    <w:p w14:paraId="20712FC3" w14:textId="1A5A5570" w:rsidR="001A3124" w:rsidRPr="001A3124" w:rsidRDefault="001A3124">
      <w:pPr>
        <w:pStyle w:val="FootnoteText"/>
        <w:rPr>
          <w:lang w:val="en-US"/>
        </w:rPr>
      </w:pPr>
      <w:r>
        <w:rPr>
          <w:rStyle w:val="FootnoteReference"/>
        </w:rPr>
        <w:footnoteRef/>
      </w:r>
      <w:r>
        <w:t xml:space="preserve"> Document citing this information </w:t>
      </w:r>
      <w:hyperlink r:id="rId1" w:history="1">
        <w:r w:rsidRPr="00FA4CA0">
          <w:rPr>
            <w:rStyle w:val="Hyperlink"/>
          </w:rPr>
          <w:t>www.fda.gov/downloads/advisorycommittees/committeesmeetingmaterials/pediatricadvisorycommittee/ucm570095.pdf</w:t>
        </w:r>
      </w:hyperlink>
      <w:r>
        <w:t xml:space="preserve"> page 4</w:t>
      </w:r>
    </w:p>
  </w:footnote>
  <w:footnote w:id="39">
    <w:p w14:paraId="427E0492" w14:textId="09F9D174" w:rsidR="001A3124" w:rsidRPr="003E4F85" w:rsidRDefault="001A3124">
      <w:pPr>
        <w:pStyle w:val="FootnoteText"/>
        <w:rPr>
          <w:lang w:val="en-US"/>
        </w:rPr>
      </w:pPr>
      <w:r>
        <w:rPr>
          <w:rStyle w:val="FootnoteReference"/>
        </w:rPr>
        <w:footnoteRef/>
      </w:r>
      <w:r>
        <w:t xml:space="preserve"> </w:t>
      </w:r>
      <w:r w:rsidRPr="00106CC3">
        <w:t xml:space="preserve">ORALAIR is a grass pollen SLIT product registered in USA </w:t>
      </w:r>
      <w:r>
        <w:t>(</w:t>
      </w:r>
      <w:r w:rsidRPr="00106CC3">
        <w:t>and Australia</w:t>
      </w:r>
      <w:r>
        <w:t xml:space="preserve"> by the sponsor of Actair).</w:t>
      </w:r>
    </w:p>
  </w:footnote>
  <w:footnote w:id="40">
    <w:p w14:paraId="77821B05" w14:textId="77777777" w:rsidR="001A3124" w:rsidRPr="003E4F85" w:rsidRDefault="001A3124">
      <w:pPr>
        <w:pStyle w:val="FootnoteText"/>
        <w:rPr>
          <w:lang w:val="en-US"/>
        </w:rPr>
      </w:pPr>
      <w:r>
        <w:rPr>
          <w:rStyle w:val="FootnoteReference"/>
        </w:rPr>
        <w:footnoteRef/>
      </w:r>
      <w:r>
        <w:t xml:space="preserve"> </w:t>
      </w:r>
      <w:r w:rsidRPr="00106CC3">
        <w:t xml:space="preserve">Antico A. and </w:t>
      </w:r>
      <w:proofErr w:type="spellStart"/>
      <w:r w:rsidRPr="00106CC3">
        <w:t>Rossella</w:t>
      </w:r>
      <w:proofErr w:type="spellEnd"/>
      <w:r w:rsidRPr="00106CC3">
        <w:t xml:space="preserve"> F. </w:t>
      </w:r>
      <w:proofErr w:type="spellStart"/>
      <w:r w:rsidRPr="00106CC3">
        <w:t>Esophageal</w:t>
      </w:r>
      <w:proofErr w:type="spellEnd"/>
      <w:r w:rsidRPr="00106CC3">
        <w:t xml:space="preserve"> </w:t>
      </w:r>
      <w:proofErr w:type="spellStart"/>
      <w:r w:rsidRPr="00106CC3">
        <w:t>hypereosinophilia</w:t>
      </w:r>
      <w:proofErr w:type="spellEnd"/>
      <w:r w:rsidRPr="00106CC3">
        <w:t xml:space="preserve"> induced by grass sublingual immunotherapy. </w:t>
      </w:r>
      <w:proofErr w:type="gramStart"/>
      <w:r w:rsidRPr="00106CC3">
        <w:t xml:space="preserve">J </w:t>
      </w:r>
      <w:r w:rsidRPr="0057009B">
        <w:rPr>
          <w:i/>
        </w:rPr>
        <w:t xml:space="preserve">Allergy </w:t>
      </w:r>
      <w:proofErr w:type="spellStart"/>
      <w:r w:rsidRPr="0057009B">
        <w:rPr>
          <w:i/>
        </w:rPr>
        <w:t>Clin</w:t>
      </w:r>
      <w:proofErr w:type="spellEnd"/>
      <w:r w:rsidRPr="0057009B">
        <w:rPr>
          <w:i/>
        </w:rPr>
        <w:t xml:space="preserve"> </w:t>
      </w:r>
      <w:proofErr w:type="spellStart"/>
      <w:r w:rsidRPr="0057009B">
        <w:rPr>
          <w:i/>
        </w:rPr>
        <w:t>Immunol</w:t>
      </w:r>
      <w:proofErr w:type="spellEnd"/>
      <w:r w:rsidRPr="0057009B">
        <w:rPr>
          <w:i/>
        </w:rPr>
        <w:t>.</w:t>
      </w:r>
      <w:proofErr w:type="gramEnd"/>
      <w:r>
        <w:t xml:space="preserve"> 2014; 133</w:t>
      </w:r>
      <w:r w:rsidRPr="00106CC3">
        <w:t>:1482-</w:t>
      </w:r>
      <w:r>
        <w:t>14</w:t>
      </w:r>
      <w:r w:rsidRPr="00106CC3">
        <w:t>84</w:t>
      </w:r>
    </w:p>
  </w:footnote>
  <w:footnote w:id="41">
    <w:p w14:paraId="555381AE" w14:textId="77777777" w:rsidR="001A3124" w:rsidRPr="003E4F85" w:rsidRDefault="001A3124">
      <w:pPr>
        <w:pStyle w:val="FootnoteText"/>
        <w:rPr>
          <w:lang w:val="en-US"/>
        </w:rPr>
      </w:pPr>
      <w:r>
        <w:rPr>
          <w:rStyle w:val="FootnoteReference"/>
        </w:rPr>
        <w:footnoteRef/>
      </w:r>
      <w:r>
        <w:t xml:space="preserve"> </w:t>
      </w:r>
      <w:proofErr w:type="spellStart"/>
      <w:proofErr w:type="gramStart"/>
      <w:r w:rsidRPr="00106CC3">
        <w:t>Miehlke</w:t>
      </w:r>
      <w:proofErr w:type="spellEnd"/>
      <w:r w:rsidRPr="00106CC3">
        <w:t xml:space="preserve"> S. </w:t>
      </w:r>
      <w:proofErr w:type="spellStart"/>
      <w:r w:rsidRPr="00106CC3">
        <w:t>Alpan</w:t>
      </w:r>
      <w:proofErr w:type="spellEnd"/>
      <w:r w:rsidRPr="00106CC3">
        <w:t xml:space="preserve"> O, </w:t>
      </w:r>
      <w:proofErr w:type="spellStart"/>
      <w:r w:rsidRPr="00106CC3">
        <w:t>Schröder</w:t>
      </w:r>
      <w:proofErr w:type="spellEnd"/>
      <w:r w:rsidRPr="00106CC3">
        <w:t xml:space="preserve"> S, </w:t>
      </w:r>
      <w:proofErr w:type="spellStart"/>
      <w:r w:rsidRPr="00106CC3">
        <w:t>Straumann</w:t>
      </w:r>
      <w:proofErr w:type="spellEnd"/>
      <w:r w:rsidRPr="00106CC3">
        <w:t xml:space="preserve"> A. Induction of eosinophilic esophagitis by sublingual pollen immunotherapy</w:t>
      </w:r>
      <w:r w:rsidRPr="0057009B">
        <w:rPr>
          <w:i/>
        </w:rPr>
        <w:t>.</w:t>
      </w:r>
      <w:proofErr w:type="gramEnd"/>
      <w:r w:rsidRPr="0057009B">
        <w:rPr>
          <w:i/>
        </w:rPr>
        <w:t xml:space="preserve"> Case Rep </w:t>
      </w:r>
      <w:proofErr w:type="spellStart"/>
      <w:r w:rsidRPr="0057009B">
        <w:rPr>
          <w:i/>
        </w:rPr>
        <w:t>Gastroenterol</w:t>
      </w:r>
      <w:proofErr w:type="spellEnd"/>
      <w:r>
        <w:t xml:space="preserve">. </w:t>
      </w:r>
      <w:proofErr w:type="gramStart"/>
      <w:r>
        <w:t>2013; 7</w:t>
      </w:r>
      <w:r w:rsidRPr="00106CC3">
        <w:t>:</w:t>
      </w:r>
      <w:r>
        <w:t xml:space="preserve"> </w:t>
      </w:r>
      <w:r w:rsidRPr="00106CC3">
        <w:t>363-</w:t>
      </w:r>
      <w:r>
        <w:t>36</w:t>
      </w:r>
      <w:r w:rsidRPr="00106CC3">
        <w:t>8.</w:t>
      </w:r>
      <w:proofErr w:type="gramEnd"/>
    </w:p>
  </w:footnote>
  <w:footnote w:id="42">
    <w:p w14:paraId="7FA2DB94" w14:textId="77777777" w:rsidR="001A3124" w:rsidRPr="003E4F85" w:rsidRDefault="001A3124">
      <w:pPr>
        <w:pStyle w:val="FootnoteText"/>
        <w:rPr>
          <w:lang w:val="en-US"/>
        </w:rPr>
      </w:pPr>
      <w:r>
        <w:rPr>
          <w:rStyle w:val="FootnoteReference"/>
        </w:rPr>
        <w:footnoteRef/>
      </w:r>
      <w:r>
        <w:t xml:space="preserve"> </w:t>
      </w:r>
      <w:proofErr w:type="spellStart"/>
      <w:r w:rsidRPr="00106CC3">
        <w:t>Pitsios</w:t>
      </w:r>
      <w:proofErr w:type="spellEnd"/>
      <w:r w:rsidRPr="00106CC3">
        <w:t xml:space="preserve"> C, </w:t>
      </w:r>
      <w:r>
        <w:t>et al</w:t>
      </w:r>
      <w:r w:rsidRPr="00106CC3">
        <w:t xml:space="preserve">. Clinical contraindications to allergen immunotherapy: an EAACI position paper. </w:t>
      </w:r>
      <w:proofErr w:type="gramStart"/>
      <w:r w:rsidRPr="0057009B">
        <w:rPr>
          <w:i/>
        </w:rPr>
        <w:t xml:space="preserve">Allergy </w:t>
      </w:r>
      <w:r w:rsidRPr="00106CC3">
        <w:t>2015; DOI10.1111/all.12638.</w:t>
      </w:r>
      <w:proofErr w:type="gramEnd"/>
    </w:p>
  </w:footnote>
  <w:footnote w:id="43">
    <w:p w14:paraId="25CEC822" w14:textId="77777777" w:rsidR="001A3124" w:rsidRPr="002060D8" w:rsidRDefault="001A3124">
      <w:pPr>
        <w:pStyle w:val="FootnoteText"/>
        <w:rPr>
          <w:lang w:val="en-US"/>
        </w:rPr>
      </w:pPr>
      <w:r>
        <w:rPr>
          <w:rStyle w:val="FootnoteReference"/>
        </w:rPr>
        <w:footnoteRef/>
      </w:r>
      <w:r>
        <w:t xml:space="preserve"> </w:t>
      </w:r>
      <w:r>
        <w:rPr>
          <w:lang w:val="en-US"/>
        </w:rPr>
        <w:t>VIT = venom immunotherapy</w:t>
      </w:r>
    </w:p>
  </w:footnote>
  <w:footnote w:id="44">
    <w:p w14:paraId="08E09480" w14:textId="00534CE8" w:rsidR="001A3124" w:rsidRPr="003E25E1" w:rsidRDefault="001A3124">
      <w:pPr>
        <w:pStyle w:val="FootnoteText"/>
        <w:rPr>
          <w:lang w:val="en-US"/>
        </w:rPr>
      </w:pPr>
      <w:r>
        <w:rPr>
          <w:rStyle w:val="FootnoteReference"/>
        </w:rPr>
        <w:footnoteRef/>
      </w:r>
      <w:r>
        <w:t xml:space="preserve"> </w:t>
      </w:r>
      <w:r w:rsidRPr="001A3124">
        <w:t xml:space="preserve">Philpott et al., 2014 Risk factors for eosinophilic esophagitis. </w:t>
      </w:r>
      <w:proofErr w:type="spellStart"/>
      <w:proofErr w:type="gramStart"/>
      <w:r w:rsidRPr="001A3124">
        <w:t>Clin</w:t>
      </w:r>
      <w:proofErr w:type="spellEnd"/>
      <w:r w:rsidRPr="001A3124">
        <w:t>.</w:t>
      </w:r>
      <w:proofErr w:type="gramEnd"/>
      <w:r w:rsidRPr="001A3124">
        <w:t xml:space="preserve"> Exp. Allergy. 44(8):1012-1019.</w:t>
      </w:r>
    </w:p>
  </w:footnote>
  <w:footnote w:id="45">
    <w:p w14:paraId="2AADA54E" w14:textId="7247D742" w:rsidR="001A3124" w:rsidRPr="003E25E1" w:rsidRDefault="001A3124">
      <w:pPr>
        <w:pStyle w:val="FootnoteText"/>
        <w:rPr>
          <w:lang w:val="en-US"/>
        </w:rPr>
      </w:pPr>
      <w:r w:rsidRPr="003E25E1">
        <w:rPr>
          <w:rStyle w:val="FootnoteReference"/>
        </w:rPr>
        <w:footnoteRef/>
      </w:r>
      <w:r w:rsidRPr="003E25E1">
        <w:t xml:space="preserve"> </w:t>
      </w:r>
      <w:r w:rsidRPr="001A3124">
        <w:t>Fogg et al., 2003</w:t>
      </w:r>
      <w:r w:rsidR="00110B12">
        <w:t xml:space="preserve"> </w:t>
      </w:r>
      <w:r w:rsidRPr="003E25E1">
        <w:t xml:space="preserve">Pollen and eosinophilic esophagitis. </w:t>
      </w:r>
      <w:proofErr w:type="gramStart"/>
      <w:r w:rsidRPr="003E25E1">
        <w:t xml:space="preserve">The J. Allergy </w:t>
      </w:r>
      <w:proofErr w:type="spellStart"/>
      <w:r w:rsidRPr="003E25E1">
        <w:t>Clin</w:t>
      </w:r>
      <w:proofErr w:type="spellEnd"/>
      <w:r w:rsidRPr="003E25E1">
        <w:t>.</w:t>
      </w:r>
      <w:proofErr w:type="gramEnd"/>
      <w:r w:rsidRPr="003E25E1">
        <w:t xml:space="preserve"> Immun. 112(4):796-797</w:t>
      </w:r>
    </w:p>
  </w:footnote>
  <w:footnote w:id="46">
    <w:p w14:paraId="62AB5AA7" w14:textId="54C69FC3" w:rsidR="001A3124" w:rsidRPr="00624305" w:rsidRDefault="001A3124">
      <w:pPr>
        <w:pStyle w:val="FootnoteText"/>
        <w:rPr>
          <w:lang w:val="en-US"/>
        </w:rPr>
      </w:pPr>
      <w:r w:rsidRPr="003E25E1">
        <w:rPr>
          <w:rStyle w:val="FootnoteReference"/>
        </w:rPr>
        <w:footnoteRef/>
      </w:r>
      <w:r w:rsidRPr="003E25E1">
        <w:t xml:space="preserve"> </w:t>
      </w:r>
      <w:proofErr w:type="spellStart"/>
      <w:r w:rsidRPr="001A3124">
        <w:t>Miehlke</w:t>
      </w:r>
      <w:proofErr w:type="spellEnd"/>
      <w:r w:rsidRPr="001A3124">
        <w:t>, 2014</w:t>
      </w:r>
      <w:r w:rsidRPr="003E25E1">
        <w:t xml:space="preserve"> Clinical</w:t>
      </w:r>
      <w:r>
        <w:t xml:space="preserve"> features of eosinophilic esophagitis. Dig. Dis 32(1-2):61-67</w:t>
      </w:r>
    </w:p>
  </w:footnote>
  <w:footnote w:id="47">
    <w:p w14:paraId="62C1B725" w14:textId="77777777" w:rsidR="001A3124" w:rsidRPr="0088513C" w:rsidRDefault="001A3124">
      <w:pPr>
        <w:pStyle w:val="FootnoteText"/>
        <w:rPr>
          <w:rFonts w:ascii="Segoe UI" w:hAnsi="Segoe UI" w:cs="Segoe UI"/>
        </w:rPr>
      </w:pPr>
      <w:r w:rsidRPr="00624305">
        <w:rPr>
          <w:rStyle w:val="FootnoteReference"/>
        </w:rPr>
        <w:footnoteRef/>
      </w:r>
      <w:r w:rsidRPr="00624305">
        <w:t xml:space="preserve"> </w:t>
      </w:r>
      <w:proofErr w:type="spellStart"/>
      <w:r w:rsidRPr="00624305">
        <w:t>Miehlke</w:t>
      </w:r>
      <w:proofErr w:type="spellEnd"/>
      <w:r w:rsidRPr="00624305">
        <w:t xml:space="preserve"> et al 2013</w:t>
      </w:r>
      <w:r>
        <w:t xml:space="preserve">. </w:t>
      </w:r>
      <w:proofErr w:type="gramStart"/>
      <w:r>
        <w:t xml:space="preserve">Induction of Eosinophilic Esophagitis by </w:t>
      </w:r>
      <w:proofErr w:type="spellStart"/>
      <w:r>
        <w:t>Subligual</w:t>
      </w:r>
      <w:proofErr w:type="spellEnd"/>
      <w:r>
        <w:t xml:space="preserve"> Pollen Immunotherapy.</w:t>
      </w:r>
      <w:proofErr w:type="gramEnd"/>
      <w:r>
        <w:t xml:space="preserve"> Case Rep </w:t>
      </w:r>
      <w:proofErr w:type="spellStart"/>
      <w:r>
        <w:t>Gatroenterol</w:t>
      </w:r>
      <w:proofErr w:type="spellEnd"/>
      <w:r>
        <w:t xml:space="preserve"> 2013;7:363-368</w:t>
      </w:r>
    </w:p>
  </w:footnote>
  <w:footnote w:id="48">
    <w:p w14:paraId="3C9BF7A9" w14:textId="77777777" w:rsidR="001A3124" w:rsidRPr="0088513C" w:rsidRDefault="001A3124" w:rsidP="0088513C">
      <w:pPr>
        <w:pStyle w:val="FootnoteText"/>
      </w:pPr>
      <w:r>
        <w:rPr>
          <w:rStyle w:val="FootnoteReference"/>
        </w:rPr>
        <w:footnoteRef/>
      </w:r>
      <w:r>
        <w:t xml:space="preserve"> Antico A and </w:t>
      </w:r>
      <w:proofErr w:type="spellStart"/>
      <w:r>
        <w:t>Fante</w:t>
      </w:r>
      <w:proofErr w:type="spellEnd"/>
      <w:r>
        <w:rPr>
          <w:lang w:val="en-US"/>
        </w:rPr>
        <w:t xml:space="preserve"> R. </w:t>
      </w:r>
      <w:proofErr w:type="spellStart"/>
      <w:r>
        <w:t>Esophageal</w:t>
      </w:r>
      <w:proofErr w:type="spellEnd"/>
      <w:r>
        <w:t xml:space="preserve"> </w:t>
      </w:r>
      <w:proofErr w:type="spellStart"/>
      <w:r>
        <w:t>hypereosinophilia</w:t>
      </w:r>
      <w:proofErr w:type="spellEnd"/>
      <w:r>
        <w:t xml:space="preserve"> induced by grass sublingual immunotherapy. J Allergy </w:t>
      </w:r>
      <w:proofErr w:type="spellStart"/>
      <w:r>
        <w:t>Clin</w:t>
      </w:r>
      <w:proofErr w:type="spellEnd"/>
      <w:r>
        <w:t xml:space="preserve"> </w:t>
      </w:r>
      <w:proofErr w:type="spellStart"/>
      <w:r>
        <w:t>Immunol</w:t>
      </w:r>
      <w:proofErr w:type="spellEnd"/>
      <w:r>
        <w:t xml:space="preserve"> 2014; 1: 29-30</w:t>
      </w:r>
    </w:p>
  </w:footnote>
  <w:footnote w:id="49">
    <w:p w14:paraId="4678D37A" w14:textId="15B731DA" w:rsidR="001A3124" w:rsidRPr="003E25E1" w:rsidRDefault="001A3124" w:rsidP="003E25E1">
      <w:pPr>
        <w:pStyle w:val="FootnoteText"/>
        <w:rPr>
          <w:lang w:val="en-US"/>
        </w:rPr>
      </w:pPr>
      <w:r w:rsidRPr="003E25E1">
        <w:rPr>
          <w:rStyle w:val="FootnoteReference"/>
        </w:rPr>
        <w:footnoteRef/>
      </w:r>
      <w:r w:rsidRPr="003E25E1">
        <w:t xml:space="preserve"> </w:t>
      </w:r>
      <w:proofErr w:type="spellStart"/>
      <w:r w:rsidRPr="001A3124">
        <w:t>Castilano</w:t>
      </w:r>
      <w:proofErr w:type="spellEnd"/>
      <w:r w:rsidRPr="001A3124">
        <w:t xml:space="preserve"> &amp; Zacharias (2013) Immunotherapy as treatment for aeroallergen triggered eosinophilic esophagitis. </w:t>
      </w:r>
      <w:proofErr w:type="gramStart"/>
      <w:r w:rsidRPr="001A3124">
        <w:t>Annals of Allergy, Asthma &amp; Immunology.</w:t>
      </w:r>
      <w:proofErr w:type="gramEnd"/>
      <w:r w:rsidRPr="001A3124">
        <w:t xml:space="preserve"> 2013;111(</w:t>
      </w:r>
      <w:proofErr w:type="spellStart"/>
      <w:r w:rsidRPr="001A3124">
        <w:t>Suppl</w:t>
      </w:r>
      <w:proofErr w:type="spellEnd"/>
      <w:r w:rsidRPr="001A3124">
        <w:t xml:space="preserve"> 5):A62</w:t>
      </w:r>
    </w:p>
  </w:footnote>
  <w:footnote w:id="50">
    <w:p w14:paraId="2455DB4B" w14:textId="7BD7F68D" w:rsidR="001A3124" w:rsidRPr="00F35710" w:rsidRDefault="001A3124" w:rsidP="003E25E1">
      <w:pPr>
        <w:pStyle w:val="FootnoteText"/>
        <w:rPr>
          <w:lang w:val="en-US"/>
        </w:rPr>
      </w:pPr>
      <w:r w:rsidRPr="003E25E1">
        <w:rPr>
          <w:rStyle w:val="FootnoteReference"/>
          <w:szCs w:val="18"/>
        </w:rPr>
        <w:footnoteRef/>
      </w:r>
      <w:r w:rsidRPr="003E25E1">
        <w:t xml:space="preserve"> </w:t>
      </w:r>
      <w:r w:rsidRPr="001A3124">
        <w:t>Ramirez &amp; Jacobs 2013</w:t>
      </w:r>
      <w:r w:rsidRPr="003E25E1">
        <w:t xml:space="preserve"> </w:t>
      </w:r>
      <w:r w:rsidRPr="001A3124">
        <w:t xml:space="preserve">Eosinophilic esophagitis treated with immunotherapy to dust mites. </w:t>
      </w:r>
      <w:proofErr w:type="gramStart"/>
      <w:r w:rsidRPr="001A3124">
        <w:t xml:space="preserve">J Allergy </w:t>
      </w:r>
      <w:proofErr w:type="spellStart"/>
      <w:r w:rsidRPr="001A3124">
        <w:t>Clin</w:t>
      </w:r>
      <w:proofErr w:type="spellEnd"/>
      <w:r w:rsidRPr="001A3124">
        <w:t xml:space="preserve"> </w:t>
      </w:r>
      <w:proofErr w:type="spellStart"/>
      <w:r w:rsidRPr="001A3124">
        <w:t>Immunol</w:t>
      </w:r>
      <w:proofErr w:type="spellEnd"/>
      <w:r w:rsidRPr="001A3124">
        <w:t>.</w:t>
      </w:r>
      <w:proofErr w:type="gramEnd"/>
      <w:r w:rsidRPr="001A3124">
        <w:t xml:space="preserve"> 2013 Aug</w:t>
      </w:r>
      <w:proofErr w:type="gramStart"/>
      <w:r w:rsidRPr="001A3124">
        <w:t>;132</w:t>
      </w:r>
      <w:proofErr w:type="gramEnd"/>
      <w:r w:rsidRPr="001A3124">
        <w:t>(2):503-504.</w:t>
      </w:r>
      <w:r w:rsidRPr="003E25E1">
        <w:rPr>
          <w:lang w:val="en-US"/>
        </w:rPr>
        <w:t xml:space="preserve"> </w:t>
      </w:r>
    </w:p>
  </w:footnote>
  <w:footnote w:id="51">
    <w:p w14:paraId="0CCA9C46" w14:textId="1CB49BA2" w:rsidR="001A3124" w:rsidRPr="00F35710" w:rsidRDefault="001A3124" w:rsidP="003E25E1">
      <w:pPr>
        <w:pStyle w:val="FootnoteText"/>
        <w:rPr>
          <w:lang w:val="en-US"/>
        </w:rPr>
      </w:pPr>
      <w:r w:rsidRPr="003E25E1">
        <w:rPr>
          <w:rStyle w:val="FootnoteReference"/>
          <w:szCs w:val="18"/>
        </w:rPr>
        <w:footnoteRef/>
      </w:r>
      <w:r w:rsidRPr="003E25E1">
        <w:t xml:space="preserve"> </w:t>
      </w:r>
      <w:r w:rsidRPr="001A3124">
        <w:t xml:space="preserve">De </w:t>
      </w:r>
      <w:proofErr w:type="spellStart"/>
      <w:r w:rsidRPr="001A3124">
        <w:t>Swert</w:t>
      </w:r>
      <w:proofErr w:type="spellEnd"/>
      <w:r w:rsidRPr="001A3124">
        <w:t xml:space="preserve"> </w:t>
      </w:r>
      <w:proofErr w:type="gramStart"/>
      <w:r w:rsidRPr="001A3124">
        <w:t>et</w:t>
      </w:r>
      <w:proofErr w:type="gramEnd"/>
      <w:r w:rsidRPr="001A3124">
        <w:t xml:space="preserve"> al.2013</w:t>
      </w:r>
      <w:r w:rsidRPr="003E25E1">
        <w:t xml:space="preserve"> </w:t>
      </w:r>
      <w:r w:rsidRPr="001A3124">
        <w:t xml:space="preserve">Eosinophilic gastrointestinal disease suggestive of pathogenesis-related class 10 (PR-10) protein allergy resolved after immunotherapy. </w:t>
      </w:r>
      <w:proofErr w:type="gramStart"/>
      <w:r w:rsidRPr="001A3124">
        <w:t>Journal of Allergy and Clinical Immunology.</w:t>
      </w:r>
      <w:proofErr w:type="gramEnd"/>
      <w:r w:rsidRPr="001A3124">
        <w:t xml:space="preserve"> 2013</w:t>
      </w:r>
      <w:proofErr w:type="gramStart"/>
      <w:r w:rsidRPr="001A3124">
        <w:t>;131</w:t>
      </w:r>
      <w:proofErr w:type="gramEnd"/>
      <w:r w:rsidRPr="001A3124">
        <w:t>(2):600-602.e603.</w:t>
      </w:r>
      <w:r w:rsidRPr="003E25E1">
        <w:rPr>
          <w:lang w:val="en-US"/>
        </w:rPr>
        <w:t xml:space="preserve"> </w:t>
      </w:r>
    </w:p>
  </w:footnote>
  <w:footnote w:id="52">
    <w:p w14:paraId="53D9DC9B" w14:textId="30004466" w:rsidR="001A3124" w:rsidRPr="00F35710" w:rsidRDefault="001A3124" w:rsidP="003E25E1">
      <w:pPr>
        <w:pStyle w:val="FootnoteText"/>
        <w:rPr>
          <w:lang w:val="en-US"/>
        </w:rPr>
      </w:pPr>
      <w:r w:rsidRPr="003E25E1">
        <w:rPr>
          <w:rStyle w:val="FootnoteReference"/>
          <w:szCs w:val="18"/>
        </w:rPr>
        <w:footnoteRef/>
      </w:r>
      <w:r w:rsidRPr="003E25E1">
        <w:t xml:space="preserve"> </w:t>
      </w:r>
      <w:proofErr w:type="gramStart"/>
      <w:r w:rsidRPr="001A3124">
        <w:t>Perez et al 2012 Allergen specific immunotherapy as a treatment for eosinophilic esophagitis.</w:t>
      </w:r>
      <w:proofErr w:type="gramEnd"/>
      <w:r w:rsidRPr="001A3124">
        <w:t xml:space="preserve"> </w:t>
      </w:r>
      <w:proofErr w:type="gramStart"/>
      <w:r w:rsidRPr="001A3124">
        <w:t>World Allergy Organization Journal.</w:t>
      </w:r>
      <w:proofErr w:type="gramEnd"/>
      <w:r w:rsidRPr="001A3124">
        <w:t xml:space="preserve"> </w:t>
      </w:r>
      <w:proofErr w:type="gramStart"/>
      <w:r w:rsidRPr="001A3124">
        <w:t>2012 5 Suppl. 2 (S146).</w:t>
      </w:r>
      <w:proofErr w:type="gramEnd"/>
      <w:r w:rsidRPr="003E25E1">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8419E" w14:textId="77777777" w:rsidR="0088097D" w:rsidRDefault="008809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1B7EC" w14:textId="77777777" w:rsidR="001A3124" w:rsidRDefault="001A3124"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45954" w14:textId="77777777" w:rsidR="001A3124" w:rsidRDefault="001A3124">
    <w:pPr>
      <w:rPr>
        <w:noProof/>
        <w:lang w:eastAsia="en-AU"/>
      </w:rPr>
    </w:pPr>
    <w:r w:rsidRPr="00347824">
      <w:rPr>
        <w:noProof/>
        <w:lang w:eastAsia="en-AU"/>
      </w:rPr>
      <w:drawing>
        <wp:anchor distT="0" distB="0" distL="114300" distR="114300" simplePos="0" relativeHeight="251659264" behindDoc="1" locked="0" layoutInCell="1" allowOverlap="1" wp14:anchorId="6DF1FD6E" wp14:editId="7794635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DF3D71C" w14:textId="77777777" w:rsidR="001A3124" w:rsidRDefault="001A3124" w:rsidP="00593AD1">
    <w:pPr>
      <w:pStyle w:val="HeaderNoLine"/>
    </w:pPr>
    <w:r>
      <w:rPr>
        <w:noProof/>
        <w:lang w:eastAsia="en-AU"/>
      </w:rPr>
      <w:drawing>
        <wp:inline distT="0" distB="0" distL="0" distR="0" wp14:anchorId="12B4D11D" wp14:editId="3DC6EF6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3B87C" w14:textId="77777777" w:rsidR="001A3124" w:rsidRDefault="001A312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DD755" w14:textId="77777777" w:rsidR="001A3124" w:rsidRDefault="001A3124">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8FA1C" w14:textId="77777777" w:rsidR="001A3124" w:rsidRDefault="001A3124">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307FF" w14:textId="77777777" w:rsidR="001A3124" w:rsidRDefault="001A312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4AA3B" w14:textId="77777777" w:rsidR="001A3124" w:rsidRDefault="001A3124"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6A233" w14:textId="77777777" w:rsidR="001A3124" w:rsidRDefault="001A3124" w:rsidP="006E08B3">
    <w:r>
      <w:t>Therapeutic Goods Administration</w:t>
    </w:r>
  </w:p>
  <w:p w14:paraId="7F7946FB" w14:textId="77777777" w:rsidR="001A3124" w:rsidRDefault="001A3124"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084763"/>
    <w:multiLevelType w:val="hybridMultilevel"/>
    <w:tmpl w:val="AAFE7128"/>
    <w:lvl w:ilvl="0" w:tplc="EB40BE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7103A69"/>
    <w:multiLevelType w:val="hybridMultilevel"/>
    <w:tmpl w:val="57E8BD8E"/>
    <w:lvl w:ilvl="0" w:tplc="C6E8684A">
      <w:numFmt w:val="bullet"/>
      <w:lvlText w:val="−"/>
      <w:lvlJc w:val="left"/>
      <w:pPr>
        <w:ind w:left="720" w:hanging="360"/>
      </w:pPr>
      <w:rPr>
        <w:rFonts w:ascii="Cambria" w:eastAsiaTheme="minorHAnsi" w:hAnsi="Cambria" w:cs="Cambria"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CF57AC"/>
    <w:multiLevelType w:val="hybridMultilevel"/>
    <w:tmpl w:val="13202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B9A33E9"/>
    <w:multiLevelType w:val="hybridMultilevel"/>
    <w:tmpl w:val="77F2E708"/>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FBB5160"/>
    <w:multiLevelType w:val="hybridMultilevel"/>
    <w:tmpl w:val="EA72A5BC"/>
    <w:lvl w:ilvl="0" w:tplc="C6E8684A">
      <w:numFmt w:val="bullet"/>
      <w:lvlText w:val="−"/>
      <w:lvlJc w:val="left"/>
      <w:pPr>
        <w:ind w:left="720" w:hanging="360"/>
      </w:pPr>
      <w:rPr>
        <w:rFonts w:ascii="Cambria" w:eastAsiaTheme="minorHAnsi" w:hAnsi="Cambria"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43B6F1B"/>
    <w:multiLevelType w:val="hybridMultilevel"/>
    <w:tmpl w:val="38604C80"/>
    <w:lvl w:ilvl="0" w:tplc="0C090005">
      <w:start w:val="1"/>
      <w:numFmt w:val="bullet"/>
      <w:lvlText w:val=""/>
      <w:lvlJc w:val="left"/>
      <w:pPr>
        <w:ind w:left="927" w:hanging="360"/>
      </w:pPr>
      <w:rPr>
        <w:rFonts w:ascii="Wingdings" w:hAnsi="Wingdings"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269"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nsid w:val="6F903F1C"/>
    <w:multiLevelType w:val="hybridMultilevel"/>
    <w:tmpl w:val="984E5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nsid w:val="75576E82"/>
    <w:multiLevelType w:val="hybridMultilevel"/>
    <w:tmpl w:val="5B38E5DC"/>
    <w:lvl w:ilvl="0" w:tplc="C6E8684A">
      <w:numFmt w:val="bullet"/>
      <w:lvlText w:val="−"/>
      <w:lvlJc w:val="left"/>
      <w:pPr>
        <w:ind w:left="720" w:hanging="360"/>
      </w:pPr>
      <w:rPr>
        <w:rFonts w:ascii="Cambria" w:eastAsiaTheme="minorHAnsi" w:hAnsi="Cambria" w:cs="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3"/>
  </w:num>
  <w:num w:numId="29">
    <w:abstractNumId w:val="4"/>
  </w:num>
  <w:num w:numId="30">
    <w:abstractNumId w:val="7"/>
  </w:num>
  <w:num w:numId="31">
    <w:abstractNumId w:val="12"/>
  </w:num>
  <w:num w:numId="32">
    <w:abstractNumId w:val="16"/>
  </w:num>
  <w:num w:numId="33">
    <w:abstractNumId w:val="10"/>
  </w:num>
  <w:num w:numId="34">
    <w:abstractNumId w:val="9"/>
  </w:num>
  <w:num w:numId="35">
    <w:abstractNumId w:val="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ITEBOUL kathy">
    <w15:presenceInfo w15:providerId="AD" w15:userId="S-1-5-21-2041062220-2023302958-1951487848-5292"/>
  </w15:person>
  <w15:person w15:author="Helena Dickenson">
    <w15:presenceInfo w15:providerId="AD" w15:userId="S-1-5-21-3762644807-1692488753-1184798656-1142"/>
  </w15:person>
  <w15:person w15:author="AMBROISINE Laurence">
    <w15:presenceInfo w15:providerId="AD" w15:userId="S-1-5-21-2041062220-2023302958-1951487848-10119"/>
  </w15:person>
  <w15:person w15:author="NAITSLIMANE Cindy">
    <w15:presenceInfo w15:providerId="AD" w15:userId="S-1-5-21-2041062220-2023302958-1951487848-45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44"/>
    <w:rsid w:val="00002031"/>
    <w:rsid w:val="00003F26"/>
    <w:rsid w:val="00004734"/>
    <w:rsid w:val="00006B22"/>
    <w:rsid w:val="0001147D"/>
    <w:rsid w:val="0001276A"/>
    <w:rsid w:val="000246AE"/>
    <w:rsid w:val="00025C15"/>
    <w:rsid w:val="00025C67"/>
    <w:rsid w:val="00026149"/>
    <w:rsid w:val="00042602"/>
    <w:rsid w:val="00044772"/>
    <w:rsid w:val="0005559E"/>
    <w:rsid w:val="00057C7F"/>
    <w:rsid w:val="000604D6"/>
    <w:rsid w:val="00062CB0"/>
    <w:rsid w:val="000734D8"/>
    <w:rsid w:val="00077775"/>
    <w:rsid w:val="00081FA1"/>
    <w:rsid w:val="00082BAE"/>
    <w:rsid w:val="00084440"/>
    <w:rsid w:val="00090471"/>
    <w:rsid w:val="00096AA7"/>
    <w:rsid w:val="000A3AED"/>
    <w:rsid w:val="000B3532"/>
    <w:rsid w:val="000B3A75"/>
    <w:rsid w:val="000C00C2"/>
    <w:rsid w:val="000C690F"/>
    <w:rsid w:val="000D1295"/>
    <w:rsid w:val="000D391B"/>
    <w:rsid w:val="000D3D6D"/>
    <w:rsid w:val="000D4492"/>
    <w:rsid w:val="000D4FC7"/>
    <w:rsid w:val="000E6196"/>
    <w:rsid w:val="000F4869"/>
    <w:rsid w:val="000F5B42"/>
    <w:rsid w:val="000F6E6F"/>
    <w:rsid w:val="0010601F"/>
    <w:rsid w:val="00106CC3"/>
    <w:rsid w:val="0010788A"/>
    <w:rsid w:val="00107A31"/>
    <w:rsid w:val="00110B12"/>
    <w:rsid w:val="00110EA5"/>
    <w:rsid w:val="00112F56"/>
    <w:rsid w:val="00113FF8"/>
    <w:rsid w:val="00125318"/>
    <w:rsid w:val="001305A2"/>
    <w:rsid w:val="00132754"/>
    <w:rsid w:val="00133238"/>
    <w:rsid w:val="00133A1B"/>
    <w:rsid w:val="0014197B"/>
    <w:rsid w:val="001447CD"/>
    <w:rsid w:val="00147C98"/>
    <w:rsid w:val="001516B1"/>
    <w:rsid w:val="00154EBB"/>
    <w:rsid w:val="00156316"/>
    <w:rsid w:val="00161181"/>
    <w:rsid w:val="00162D14"/>
    <w:rsid w:val="00165389"/>
    <w:rsid w:val="0017693F"/>
    <w:rsid w:val="0018110E"/>
    <w:rsid w:val="00181684"/>
    <w:rsid w:val="001843C6"/>
    <w:rsid w:val="001850E0"/>
    <w:rsid w:val="001A2158"/>
    <w:rsid w:val="001A3124"/>
    <w:rsid w:val="001A525F"/>
    <w:rsid w:val="001B09F9"/>
    <w:rsid w:val="001B24C8"/>
    <w:rsid w:val="001B2603"/>
    <w:rsid w:val="001B5C90"/>
    <w:rsid w:val="001B6448"/>
    <w:rsid w:val="001C32CD"/>
    <w:rsid w:val="001C6911"/>
    <w:rsid w:val="001D0BDB"/>
    <w:rsid w:val="001D2984"/>
    <w:rsid w:val="001E07CF"/>
    <w:rsid w:val="001E3D78"/>
    <w:rsid w:val="001E59F1"/>
    <w:rsid w:val="001F2CEE"/>
    <w:rsid w:val="001F49EB"/>
    <w:rsid w:val="001F6CBA"/>
    <w:rsid w:val="00201D4E"/>
    <w:rsid w:val="002060D8"/>
    <w:rsid w:val="002076C9"/>
    <w:rsid w:val="00220B8A"/>
    <w:rsid w:val="00221ADC"/>
    <w:rsid w:val="002257F1"/>
    <w:rsid w:val="002257F3"/>
    <w:rsid w:val="00233456"/>
    <w:rsid w:val="002339A5"/>
    <w:rsid w:val="002348C2"/>
    <w:rsid w:val="002529CD"/>
    <w:rsid w:val="002544C7"/>
    <w:rsid w:val="002572F2"/>
    <w:rsid w:val="00257848"/>
    <w:rsid w:val="0027084A"/>
    <w:rsid w:val="00273031"/>
    <w:rsid w:val="00282C29"/>
    <w:rsid w:val="002832F7"/>
    <w:rsid w:val="00286434"/>
    <w:rsid w:val="00286C59"/>
    <w:rsid w:val="00291957"/>
    <w:rsid w:val="002942D1"/>
    <w:rsid w:val="0029501A"/>
    <w:rsid w:val="002954F8"/>
    <w:rsid w:val="002A0FA3"/>
    <w:rsid w:val="002A3721"/>
    <w:rsid w:val="002B1638"/>
    <w:rsid w:val="002B3624"/>
    <w:rsid w:val="002C7BF9"/>
    <w:rsid w:val="002D0952"/>
    <w:rsid w:val="002E40B3"/>
    <w:rsid w:val="002E4C9A"/>
    <w:rsid w:val="002F11F8"/>
    <w:rsid w:val="002F3F56"/>
    <w:rsid w:val="002F44B5"/>
    <w:rsid w:val="00311AC0"/>
    <w:rsid w:val="003138F8"/>
    <w:rsid w:val="003176FC"/>
    <w:rsid w:val="00317EA6"/>
    <w:rsid w:val="0032583B"/>
    <w:rsid w:val="00327883"/>
    <w:rsid w:val="00335504"/>
    <w:rsid w:val="00340C18"/>
    <w:rsid w:val="00342CF5"/>
    <w:rsid w:val="003442FD"/>
    <w:rsid w:val="00347824"/>
    <w:rsid w:val="00350567"/>
    <w:rsid w:val="003521E8"/>
    <w:rsid w:val="00356A96"/>
    <w:rsid w:val="003655EA"/>
    <w:rsid w:val="00367A62"/>
    <w:rsid w:val="00370CE3"/>
    <w:rsid w:val="003728F3"/>
    <w:rsid w:val="0037496E"/>
    <w:rsid w:val="00383221"/>
    <w:rsid w:val="00384B74"/>
    <w:rsid w:val="00386150"/>
    <w:rsid w:val="003874CE"/>
    <w:rsid w:val="00390900"/>
    <w:rsid w:val="003A7F6C"/>
    <w:rsid w:val="003B4D60"/>
    <w:rsid w:val="003B55CD"/>
    <w:rsid w:val="003B7E39"/>
    <w:rsid w:val="003C2457"/>
    <w:rsid w:val="003C58DC"/>
    <w:rsid w:val="003C7207"/>
    <w:rsid w:val="003D1E62"/>
    <w:rsid w:val="003E0570"/>
    <w:rsid w:val="003E0B99"/>
    <w:rsid w:val="003E2486"/>
    <w:rsid w:val="003E25E1"/>
    <w:rsid w:val="003E3208"/>
    <w:rsid w:val="003E4D6D"/>
    <w:rsid w:val="003E4F85"/>
    <w:rsid w:val="003E6762"/>
    <w:rsid w:val="003F0B04"/>
    <w:rsid w:val="0040134E"/>
    <w:rsid w:val="004016C9"/>
    <w:rsid w:val="00413DBE"/>
    <w:rsid w:val="004334C7"/>
    <w:rsid w:val="00440A2D"/>
    <w:rsid w:val="00441C3F"/>
    <w:rsid w:val="00447F2D"/>
    <w:rsid w:val="004564A7"/>
    <w:rsid w:val="004617BF"/>
    <w:rsid w:val="00463658"/>
    <w:rsid w:val="004637A0"/>
    <w:rsid w:val="004722CC"/>
    <w:rsid w:val="00487D41"/>
    <w:rsid w:val="004919AE"/>
    <w:rsid w:val="004936E4"/>
    <w:rsid w:val="00494E60"/>
    <w:rsid w:val="00497487"/>
    <w:rsid w:val="004A2386"/>
    <w:rsid w:val="004A4E6B"/>
    <w:rsid w:val="004A6189"/>
    <w:rsid w:val="004A7390"/>
    <w:rsid w:val="004A7CA6"/>
    <w:rsid w:val="004B7B76"/>
    <w:rsid w:val="004C2373"/>
    <w:rsid w:val="004C239D"/>
    <w:rsid w:val="004C2DCA"/>
    <w:rsid w:val="004C61D2"/>
    <w:rsid w:val="004C7073"/>
    <w:rsid w:val="004F0C4A"/>
    <w:rsid w:val="004F0F38"/>
    <w:rsid w:val="004F47D6"/>
    <w:rsid w:val="004F72B9"/>
    <w:rsid w:val="00501921"/>
    <w:rsid w:val="00522D01"/>
    <w:rsid w:val="00530354"/>
    <w:rsid w:val="0053291C"/>
    <w:rsid w:val="00534160"/>
    <w:rsid w:val="0053625B"/>
    <w:rsid w:val="005434C6"/>
    <w:rsid w:val="00543B39"/>
    <w:rsid w:val="00546154"/>
    <w:rsid w:val="00550096"/>
    <w:rsid w:val="00553882"/>
    <w:rsid w:val="00555280"/>
    <w:rsid w:val="00557FF9"/>
    <w:rsid w:val="00562327"/>
    <w:rsid w:val="0057009B"/>
    <w:rsid w:val="005711D5"/>
    <w:rsid w:val="005747EE"/>
    <w:rsid w:val="00576378"/>
    <w:rsid w:val="00577130"/>
    <w:rsid w:val="00577945"/>
    <w:rsid w:val="00577E38"/>
    <w:rsid w:val="00585322"/>
    <w:rsid w:val="005857C6"/>
    <w:rsid w:val="00592F6E"/>
    <w:rsid w:val="00593AD1"/>
    <w:rsid w:val="00595053"/>
    <w:rsid w:val="00595C0D"/>
    <w:rsid w:val="005A68B6"/>
    <w:rsid w:val="005A70BC"/>
    <w:rsid w:val="005A71A2"/>
    <w:rsid w:val="005C5570"/>
    <w:rsid w:val="005C79A4"/>
    <w:rsid w:val="005D4253"/>
    <w:rsid w:val="005D5442"/>
    <w:rsid w:val="005F36B3"/>
    <w:rsid w:val="005F6454"/>
    <w:rsid w:val="005F66E8"/>
    <w:rsid w:val="00603F32"/>
    <w:rsid w:val="00605AD4"/>
    <w:rsid w:val="00613032"/>
    <w:rsid w:val="006136D7"/>
    <w:rsid w:val="006153AF"/>
    <w:rsid w:val="00623677"/>
    <w:rsid w:val="00624305"/>
    <w:rsid w:val="00625A6E"/>
    <w:rsid w:val="00632398"/>
    <w:rsid w:val="00640FC3"/>
    <w:rsid w:val="00642020"/>
    <w:rsid w:val="0065337B"/>
    <w:rsid w:val="0065419D"/>
    <w:rsid w:val="006604D8"/>
    <w:rsid w:val="00664A5B"/>
    <w:rsid w:val="0066735C"/>
    <w:rsid w:val="006763D2"/>
    <w:rsid w:val="00680C08"/>
    <w:rsid w:val="0069160E"/>
    <w:rsid w:val="006916A0"/>
    <w:rsid w:val="006931B1"/>
    <w:rsid w:val="006A0940"/>
    <w:rsid w:val="006A15C0"/>
    <w:rsid w:val="006A5BB9"/>
    <w:rsid w:val="006C3E2A"/>
    <w:rsid w:val="006C642F"/>
    <w:rsid w:val="006D03E5"/>
    <w:rsid w:val="006D5D3E"/>
    <w:rsid w:val="006E08B3"/>
    <w:rsid w:val="006E2C0E"/>
    <w:rsid w:val="006E6DEF"/>
    <w:rsid w:val="006F17AC"/>
    <w:rsid w:val="006F25B8"/>
    <w:rsid w:val="006F572E"/>
    <w:rsid w:val="007046D6"/>
    <w:rsid w:val="00705DB0"/>
    <w:rsid w:val="00712BE6"/>
    <w:rsid w:val="007168BF"/>
    <w:rsid w:val="00716D4E"/>
    <w:rsid w:val="007225D6"/>
    <w:rsid w:val="00722B57"/>
    <w:rsid w:val="00723C45"/>
    <w:rsid w:val="00730F8A"/>
    <w:rsid w:val="00735A8C"/>
    <w:rsid w:val="0074253D"/>
    <w:rsid w:val="0074429B"/>
    <w:rsid w:val="00752ACC"/>
    <w:rsid w:val="00753206"/>
    <w:rsid w:val="007615BC"/>
    <w:rsid w:val="00762F05"/>
    <w:rsid w:val="007652FF"/>
    <w:rsid w:val="00770CAC"/>
    <w:rsid w:val="00770EF1"/>
    <w:rsid w:val="00773EF7"/>
    <w:rsid w:val="00774E1D"/>
    <w:rsid w:val="007765D8"/>
    <w:rsid w:val="0077675A"/>
    <w:rsid w:val="00780355"/>
    <w:rsid w:val="007819FD"/>
    <w:rsid w:val="00782EB4"/>
    <w:rsid w:val="00785717"/>
    <w:rsid w:val="00785721"/>
    <w:rsid w:val="00790DE0"/>
    <w:rsid w:val="00793A59"/>
    <w:rsid w:val="007B1082"/>
    <w:rsid w:val="007B6132"/>
    <w:rsid w:val="007B6E9F"/>
    <w:rsid w:val="007C1216"/>
    <w:rsid w:val="007C1AF7"/>
    <w:rsid w:val="007C39C9"/>
    <w:rsid w:val="007C6B9B"/>
    <w:rsid w:val="007D102D"/>
    <w:rsid w:val="00805D27"/>
    <w:rsid w:val="00806DCB"/>
    <w:rsid w:val="00813F32"/>
    <w:rsid w:val="00821776"/>
    <w:rsid w:val="00825A71"/>
    <w:rsid w:val="008321F5"/>
    <w:rsid w:val="00832369"/>
    <w:rsid w:val="00834660"/>
    <w:rsid w:val="00836BC2"/>
    <w:rsid w:val="00846070"/>
    <w:rsid w:val="0085156D"/>
    <w:rsid w:val="008543A6"/>
    <w:rsid w:val="0085641B"/>
    <w:rsid w:val="00857136"/>
    <w:rsid w:val="00864057"/>
    <w:rsid w:val="00875A6B"/>
    <w:rsid w:val="0088097D"/>
    <w:rsid w:val="00883A44"/>
    <w:rsid w:val="0088513C"/>
    <w:rsid w:val="00885B11"/>
    <w:rsid w:val="00886D15"/>
    <w:rsid w:val="00887DD8"/>
    <w:rsid w:val="00891BA9"/>
    <w:rsid w:val="008934EF"/>
    <w:rsid w:val="00896018"/>
    <w:rsid w:val="008960DD"/>
    <w:rsid w:val="0089635C"/>
    <w:rsid w:val="008A2B9D"/>
    <w:rsid w:val="008A3D9F"/>
    <w:rsid w:val="008A3FD6"/>
    <w:rsid w:val="008A5E0B"/>
    <w:rsid w:val="008A6D59"/>
    <w:rsid w:val="008B4B03"/>
    <w:rsid w:val="008B596F"/>
    <w:rsid w:val="008C159F"/>
    <w:rsid w:val="008C1623"/>
    <w:rsid w:val="008C1850"/>
    <w:rsid w:val="008C51A9"/>
    <w:rsid w:val="008D7D48"/>
    <w:rsid w:val="008E7846"/>
    <w:rsid w:val="008F02E5"/>
    <w:rsid w:val="008F1CCC"/>
    <w:rsid w:val="008F2967"/>
    <w:rsid w:val="008F6943"/>
    <w:rsid w:val="00900BB5"/>
    <w:rsid w:val="00902A21"/>
    <w:rsid w:val="00912F2C"/>
    <w:rsid w:val="00920330"/>
    <w:rsid w:val="009219D7"/>
    <w:rsid w:val="0092250C"/>
    <w:rsid w:val="00922D53"/>
    <w:rsid w:val="00923A2F"/>
    <w:rsid w:val="00923B70"/>
    <w:rsid w:val="00924482"/>
    <w:rsid w:val="00930237"/>
    <w:rsid w:val="00937C17"/>
    <w:rsid w:val="00940A89"/>
    <w:rsid w:val="00941402"/>
    <w:rsid w:val="00946EA5"/>
    <w:rsid w:val="00955C30"/>
    <w:rsid w:val="00963C08"/>
    <w:rsid w:val="009752A5"/>
    <w:rsid w:val="0098487B"/>
    <w:rsid w:val="0098585A"/>
    <w:rsid w:val="00990864"/>
    <w:rsid w:val="00992222"/>
    <w:rsid w:val="009A3348"/>
    <w:rsid w:val="009A4CED"/>
    <w:rsid w:val="009A6197"/>
    <w:rsid w:val="009A690D"/>
    <w:rsid w:val="009B0053"/>
    <w:rsid w:val="009B1D12"/>
    <w:rsid w:val="009B416B"/>
    <w:rsid w:val="009C4BD5"/>
    <w:rsid w:val="009D7B77"/>
    <w:rsid w:val="009E0BB0"/>
    <w:rsid w:val="009E3FBB"/>
    <w:rsid w:val="009F1355"/>
    <w:rsid w:val="009F7353"/>
    <w:rsid w:val="00A0120A"/>
    <w:rsid w:val="00A04F85"/>
    <w:rsid w:val="00A05FA4"/>
    <w:rsid w:val="00A102E4"/>
    <w:rsid w:val="00A11ABF"/>
    <w:rsid w:val="00A11BA1"/>
    <w:rsid w:val="00A12C42"/>
    <w:rsid w:val="00A14DF7"/>
    <w:rsid w:val="00A3246D"/>
    <w:rsid w:val="00A36FA7"/>
    <w:rsid w:val="00A44DDB"/>
    <w:rsid w:val="00A45889"/>
    <w:rsid w:val="00A475B7"/>
    <w:rsid w:val="00A47AF7"/>
    <w:rsid w:val="00A47C3E"/>
    <w:rsid w:val="00A50226"/>
    <w:rsid w:val="00A50673"/>
    <w:rsid w:val="00A54290"/>
    <w:rsid w:val="00A60BAD"/>
    <w:rsid w:val="00A769E2"/>
    <w:rsid w:val="00A80B5B"/>
    <w:rsid w:val="00A84E36"/>
    <w:rsid w:val="00A964D1"/>
    <w:rsid w:val="00AA0ED0"/>
    <w:rsid w:val="00AC2B40"/>
    <w:rsid w:val="00AC2BB2"/>
    <w:rsid w:val="00AC2C3C"/>
    <w:rsid w:val="00AC512D"/>
    <w:rsid w:val="00AD0083"/>
    <w:rsid w:val="00AD3935"/>
    <w:rsid w:val="00AD44B9"/>
    <w:rsid w:val="00AE65EB"/>
    <w:rsid w:val="00AE67A7"/>
    <w:rsid w:val="00AF1D94"/>
    <w:rsid w:val="00AF2B54"/>
    <w:rsid w:val="00AF60C5"/>
    <w:rsid w:val="00B009C6"/>
    <w:rsid w:val="00B01548"/>
    <w:rsid w:val="00B1375F"/>
    <w:rsid w:val="00B13EBD"/>
    <w:rsid w:val="00B21D29"/>
    <w:rsid w:val="00B25034"/>
    <w:rsid w:val="00B33588"/>
    <w:rsid w:val="00B33863"/>
    <w:rsid w:val="00B37D17"/>
    <w:rsid w:val="00B4175E"/>
    <w:rsid w:val="00B452CE"/>
    <w:rsid w:val="00B54C25"/>
    <w:rsid w:val="00B60310"/>
    <w:rsid w:val="00B76B91"/>
    <w:rsid w:val="00B77EB1"/>
    <w:rsid w:val="00B811C6"/>
    <w:rsid w:val="00B855B0"/>
    <w:rsid w:val="00B87915"/>
    <w:rsid w:val="00B92E08"/>
    <w:rsid w:val="00BB55E7"/>
    <w:rsid w:val="00BC53A0"/>
    <w:rsid w:val="00BC622A"/>
    <w:rsid w:val="00BC6904"/>
    <w:rsid w:val="00BD0AC6"/>
    <w:rsid w:val="00BE0A78"/>
    <w:rsid w:val="00BE79F0"/>
    <w:rsid w:val="00BF046D"/>
    <w:rsid w:val="00BF1190"/>
    <w:rsid w:val="00BF5D04"/>
    <w:rsid w:val="00BF782B"/>
    <w:rsid w:val="00C009AA"/>
    <w:rsid w:val="00C1164D"/>
    <w:rsid w:val="00C16861"/>
    <w:rsid w:val="00C33BFA"/>
    <w:rsid w:val="00C346AB"/>
    <w:rsid w:val="00C404A6"/>
    <w:rsid w:val="00C40A36"/>
    <w:rsid w:val="00C44419"/>
    <w:rsid w:val="00C45E7B"/>
    <w:rsid w:val="00C471B1"/>
    <w:rsid w:val="00C50DDD"/>
    <w:rsid w:val="00C61EAE"/>
    <w:rsid w:val="00C6316B"/>
    <w:rsid w:val="00C634A9"/>
    <w:rsid w:val="00C64586"/>
    <w:rsid w:val="00C66A1D"/>
    <w:rsid w:val="00C70D53"/>
    <w:rsid w:val="00C73D0B"/>
    <w:rsid w:val="00C76E80"/>
    <w:rsid w:val="00C772FF"/>
    <w:rsid w:val="00C80137"/>
    <w:rsid w:val="00C801AF"/>
    <w:rsid w:val="00C80256"/>
    <w:rsid w:val="00C85349"/>
    <w:rsid w:val="00C94CD4"/>
    <w:rsid w:val="00C9747E"/>
    <w:rsid w:val="00C97FF4"/>
    <w:rsid w:val="00CA0C28"/>
    <w:rsid w:val="00CA36DF"/>
    <w:rsid w:val="00CA65C1"/>
    <w:rsid w:val="00CB1D8E"/>
    <w:rsid w:val="00CB2A9E"/>
    <w:rsid w:val="00CB4A10"/>
    <w:rsid w:val="00CB5C58"/>
    <w:rsid w:val="00CB6BC0"/>
    <w:rsid w:val="00CC0F32"/>
    <w:rsid w:val="00CC1B7C"/>
    <w:rsid w:val="00CC2D76"/>
    <w:rsid w:val="00CC727F"/>
    <w:rsid w:val="00CD4281"/>
    <w:rsid w:val="00CD5DF4"/>
    <w:rsid w:val="00CD75B5"/>
    <w:rsid w:val="00CF15C3"/>
    <w:rsid w:val="00CF2B6F"/>
    <w:rsid w:val="00CF2F3E"/>
    <w:rsid w:val="00CF58B6"/>
    <w:rsid w:val="00CF60F2"/>
    <w:rsid w:val="00CF6E2B"/>
    <w:rsid w:val="00D0062D"/>
    <w:rsid w:val="00D017ED"/>
    <w:rsid w:val="00D040D3"/>
    <w:rsid w:val="00D04C65"/>
    <w:rsid w:val="00D201D2"/>
    <w:rsid w:val="00D21892"/>
    <w:rsid w:val="00D224FE"/>
    <w:rsid w:val="00D23139"/>
    <w:rsid w:val="00D405AF"/>
    <w:rsid w:val="00D425BB"/>
    <w:rsid w:val="00D44087"/>
    <w:rsid w:val="00D5360F"/>
    <w:rsid w:val="00D63B06"/>
    <w:rsid w:val="00D6493E"/>
    <w:rsid w:val="00D654CB"/>
    <w:rsid w:val="00D7195D"/>
    <w:rsid w:val="00D7301E"/>
    <w:rsid w:val="00D83AE1"/>
    <w:rsid w:val="00D855D4"/>
    <w:rsid w:val="00D902C9"/>
    <w:rsid w:val="00D93466"/>
    <w:rsid w:val="00D9568C"/>
    <w:rsid w:val="00DA1124"/>
    <w:rsid w:val="00DB442B"/>
    <w:rsid w:val="00DB6124"/>
    <w:rsid w:val="00DB750B"/>
    <w:rsid w:val="00DB75B7"/>
    <w:rsid w:val="00DC6E02"/>
    <w:rsid w:val="00DD28CD"/>
    <w:rsid w:val="00DE02AE"/>
    <w:rsid w:val="00DE5CDE"/>
    <w:rsid w:val="00DE6CA5"/>
    <w:rsid w:val="00DF1D7F"/>
    <w:rsid w:val="00DF4BE4"/>
    <w:rsid w:val="00E02FB4"/>
    <w:rsid w:val="00E13FC7"/>
    <w:rsid w:val="00E20571"/>
    <w:rsid w:val="00E235F7"/>
    <w:rsid w:val="00E23659"/>
    <w:rsid w:val="00E239D4"/>
    <w:rsid w:val="00E26130"/>
    <w:rsid w:val="00E3123B"/>
    <w:rsid w:val="00E317DA"/>
    <w:rsid w:val="00E33022"/>
    <w:rsid w:val="00E40B22"/>
    <w:rsid w:val="00E41885"/>
    <w:rsid w:val="00E44ED1"/>
    <w:rsid w:val="00E45619"/>
    <w:rsid w:val="00E4588F"/>
    <w:rsid w:val="00E46DA3"/>
    <w:rsid w:val="00E51BB1"/>
    <w:rsid w:val="00E624A5"/>
    <w:rsid w:val="00E64BA4"/>
    <w:rsid w:val="00E7344E"/>
    <w:rsid w:val="00E80B0B"/>
    <w:rsid w:val="00E82665"/>
    <w:rsid w:val="00EB0798"/>
    <w:rsid w:val="00EB2466"/>
    <w:rsid w:val="00EB40AD"/>
    <w:rsid w:val="00EB586E"/>
    <w:rsid w:val="00EB5F68"/>
    <w:rsid w:val="00EB5FC8"/>
    <w:rsid w:val="00EC463D"/>
    <w:rsid w:val="00EC7A85"/>
    <w:rsid w:val="00ED2922"/>
    <w:rsid w:val="00ED3CAD"/>
    <w:rsid w:val="00ED5A41"/>
    <w:rsid w:val="00EE1DE8"/>
    <w:rsid w:val="00EE27C2"/>
    <w:rsid w:val="00EF4BAD"/>
    <w:rsid w:val="00EF59DC"/>
    <w:rsid w:val="00F033EC"/>
    <w:rsid w:val="00F04F68"/>
    <w:rsid w:val="00F066E3"/>
    <w:rsid w:val="00F12670"/>
    <w:rsid w:val="00F14B27"/>
    <w:rsid w:val="00F25D96"/>
    <w:rsid w:val="00F300FF"/>
    <w:rsid w:val="00F3148D"/>
    <w:rsid w:val="00F325C5"/>
    <w:rsid w:val="00F32FE0"/>
    <w:rsid w:val="00F35298"/>
    <w:rsid w:val="00F35710"/>
    <w:rsid w:val="00F43564"/>
    <w:rsid w:val="00F47333"/>
    <w:rsid w:val="00F47E37"/>
    <w:rsid w:val="00F53C07"/>
    <w:rsid w:val="00F54B65"/>
    <w:rsid w:val="00F552C1"/>
    <w:rsid w:val="00F61FFF"/>
    <w:rsid w:val="00F640B6"/>
    <w:rsid w:val="00F66DF2"/>
    <w:rsid w:val="00F71163"/>
    <w:rsid w:val="00F80E40"/>
    <w:rsid w:val="00F848D9"/>
    <w:rsid w:val="00FA5B82"/>
    <w:rsid w:val="00FA639E"/>
    <w:rsid w:val="00FB53F6"/>
    <w:rsid w:val="00FC1FCA"/>
    <w:rsid w:val="00FC25E4"/>
    <w:rsid w:val="00FC4EF7"/>
    <w:rsid w:val="00FC57BF"/>
    <w:rsid w:val="00FC6352"/>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40A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552C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1C691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8543A6"/>
    <w:pPr>
      <w:tabs>
        <w:tab w:val="left" w:pos="1710"/>
        <w:tab w:val="right" w:pos="9026"/>
      </w:tabs>
      <w:spacing w:before="0" w:after="240" w:line="240" w:lineRule="auto"/>
      <w:contextualSpacing/>
    </w:pPr>
    <w:rPr>
      <w:rFonts w:asciiTheme="majorHAnsi" w:eastAsia="Times New Roman" w:hAnsiTheme="majorHAnsi"/>
      <w:sz w:val="21"/>
      <w:szCs w:val="21"/>
      <w:lang w:val="en-GB" w:eastAsia="en-AU"/>
    </w:rPr>
  </w:style>
  <w:style w:type="character" w:customStyle="1" w:styleId="st1">
    <w:name w:val="st1"/>
    <w:basedOn w:val="DefaultParagraphFont"/>
    <w:rsid w:val="00342CF5"/>
  </w:style>
  <w:style w:type="paragraph" w:customStyle="1" w:styleId="Tabletitle0">
    <w:name w:val="Table title"/>
    <w:basedOn w:val="Normal"/>
    <w:next w:val="Normal"/>
    <w:rsid w:val="00A11BA1"/>
    <w:pPr>
      <w:keepNext/>
      <w:spacing w:after="180"/>
      <w:outlineLvl w:val="4"/>
    </w:pPr>
    <w:rPr>
      <w:rFonts w:cstheme="minorBidi"/>
      <w:b/>
    </w:rPr>
  </w:style>
  <w:style w:type="paragraph" w:styleId="NormalWeb">
    <w:name w:val="Normal (Web)"/>
    <w:basedOn w:val="Normal"/>
    <w:uiPriority w:val="99"/>
    <w:semiHidden/>
    <w:unhideWhenUsed/>
    <w:rsid w:val="003B55C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gc">
    <w:name w:val="_tgc"/>
    <w:basedOn w:val="DefaultParagraphFont"/>
    <w:rsid w:val="00CD75B5"/>
  </w:style>
  <w:style w:type="paragraph" w:customStyle="1" w:styleId="Text1">
    <w:name w:val="Text 1"/>
    <w:basedOn w:val="Normal"/>
    <w:rsid w:val="00356A96"/>
    <w:pPr>
      <w:spacing w:before="0" w:line="240" w:lineRule="auto"/>
    </w:pPr>
    <w:rPr>
      <w:rFonts w:ascii="Times New Roman" w:eastAsia="Times New Roman" w:hAnsi="Times New Roman"/>
      <w:sz w:val="24"/>
      <w:szCs w:val="24"/>
      <w:lang w:val="en-GB" w:eastAsia="de-DE"/>
    </w:rPr>
  </w:style>
  <w:style w:type="paragraph" w:customStyle="1" w:styleId="gmail-m3941269465428315925gmail-m-4775293321849047428gmail-msofootnotetext">
    <w:name w:val="gmail-m_3941269465428315925gmail-m_-4775293321849047428gmail-msofootnotetext"/>
    <w:basedOn w:val="Normal"/>
    <w:rsid w:val="002348C2"/>
    <w:pPr>
      <w:spacing w:before="100" w:beforeAutospacing="1" w:after="100" w:afterAutospacing="1" w:line="240" w:lineRule="auto"/>
    </w:pPr>
    <w:rPr>
      <w:rFonts w:ascii="Times New Roman" w:eastAsiaTheme="minorHAnsi"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552C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1C6911"/>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8543A6"/>
    <w:pPr>
      <w:tabs>
        <w:tab w:val="left" w:pos="1710"/>
        <w:tab w:val="right" w:pos="9026"/>
      </w:tabs>
      <w:spacing w:before="0" w:after="240" w:line="240" w:lineRule="auto"/>
      <w:contextualSpacing/>
    </w:pPr>
    <w:rPr>
      <w:rFonts w:asciiTheme="majorHAnsi" w:eastAsia="Times New Roman" w:hAnsiTheme="majorHAnsi"/>
      <w:sz w:val="21"/>
      <w:szCs w:val="21"/>
      <w:lang w:val="en-GB" w:eastAsia="en-AU"/>
    </w:rPr>
  </w:style>
  <w:style w:type="character" w:customStyle="1" w:styleId="st1">
    <w:name w:val="st1"/>
    <w:basedOn w:val="DefaultParagraphFont"/>
    <w:rsid w:val="00342CF5"/>
  </w:style>
  <w:style w:type="paragraph" w:customStyle="1" w:styleId="Tabletitle0">
    <w:name w:val="Table title"/>
    <w:basedOn w:val="Normal"/>
    <w:next w:val="Normal"/>
    <w:rsid w:val="00A11BA1"/>
    <w:pPr>
      <w:keepNext/>
      <w:spacing w:after="180"/>
      <w:outlineLvl w:val="4"/>
    </w:pPr>
    <w:rPr>
      <w:rFonts w:cstheme="minorBidi"/>
      <w:b/>
    </w:rPr>
  </w:style>
  <w:style w:type="paragraph" w:styleId="NormalWeb">
    <w:name w:val="Normal (Web)"/>
    <w:basedOn w:val="Normal"/>
    <w:uiPriority w:val="99"/>
    <w:semiHidden/>
    <w:unhideWhenUsed/>
    <w:rsid w:val="003B55C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tgc">
    <w:name w:val="_tgc"/>
    <w:basedOn w:val="DefaultParagraphFont"/>
    <w:rsid w:val="00CD75B5"/>
  </w:style>
  <w:style w:type="paragraph" w:customStyle="1" w:styleId="Text1">
    <w:name w:val="Text 1"/>
    <w:basedOn w:val="Normal"/>
    <w:rsid w:val="00356A96"/>
    <w:pPr>
      <w:spacing w:before="0" w:line="240" w:lineRule="auto"/>
    </w:pPr>
    <w:rPr>
      <w:rFonts w:ascii="Times New Roman" w:eastAsia="Times New Roman" w:hAnsi="Times New Roman"/>
      <w:sz w:val="24"/>
      <w:szCs w:val="24"/>
      <w:lang w:val="en-GB" w:eastAsia="de-DE"/>
    </w:rPr>
  </w:style>
  <w:style w:type="paragraph" w:customStyle="1" w:styleId="gmail-m3941269465428315925gmail-m-4775293321849047428gmail-msofootnotetext">
    <w:name w:val="gmail-m_3941269465428315925gmail-m_-4775293321849047428gmail-msofootnotetext"/>
    <w:basedOn w:val="Normal"/>
    <w:rsid w:val="002348C2"/>
    <w:pPr>
      <w:spacing w:before="100" w:beforeAutospacing="1" w:after="100" w:afterAutospacing="1" w:line="240" w:lineRule="auto"/>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5577">
      <w:bodyDiv w:val="1"/>
      <w:marLeft w:val="0"/>
      <w:marRight w:val="0"/>
      <w:marTop w:val="0"/>
      <w:marBottom w:val="0"/>
      <w:divBdr>
        <w:top w:val="none" w:sz="0" w:space="0" w:color="auto"/>
        <w:left w:val="none" w:sz="0" w:space="0" w:color="auto"/>
        <w:bottom w:val="none" w:sz="0" w:space="0" w:color="auto"/>
        <w:right w:val="none" w:sz="0" w:space="0" w:color="auto"/>
      </w:divBdr>
    </w:div>
    <w:div w:id="1060128484">
      <w:bodyDiv w:val="1"/>
      <w:marLeft w:val="0"/>
      <w:marRight w:val="0"/>
      <w:marTop w:val="0"/>
      <w:marBottom w:val="0"/>
      <w:divBdr>
        <w:top w:val="none" w:sz="0" w:space="0" w:color="auto"/>
        <w:left w:val="none" w:sz="0" w:space="0" w:color="auto"/>
        <w:bottom w:val="none" w:sz="0" w:space="0" w:color="auto"/>
        <w:right w:val="none" w:sz="0" w:space="0" w:color="auto"/>
      </w:divBdr>
    </w:div>
    <w:div w:id="1092825158">
      <w:bodyDiv w:val="1"/>
      <w:marLeft w:val="0"/>
      <w:marRight w:val="0"/>
      <w:marTop w:val="0"/>
      <w:marBottom w:val="0"/>
      <w:divBdr>
        <w:top w:val="none" w:sz="0" w:space="0" w:color="auto"/>
        <w:left w:val="none" w:sz="0" w:space="0" w:color="auto"/>
        <w:bottom w:val="none" w:sz="0" w:space="0" w:color="auto"/>
        <w:right w:val="none" w:sz="0" w:space="0" w:color="auto"/>
      </w:divBdr>
    </w:div>
    <w:div w:id="1493060489">
      <w:bodyDiv w:val="1"/>
      <w:marLeft w:val="0"/>
      <w:marRight w:val="0"/>
      <w:marTop w:val="0"/>
      <w:marBottom w:val="0"/>
      <w:divBdr>
        <w:top w:val="none" w:sz="0" w:space="0" w:color="auto"/>
        <w:left w:val="none" w:sz="0" w:space="0" w:color="auto"/>
        <w:bottom w:val="none" w:sz="0" w:space="0" w:color="auto"/>
        <w:right w:val="none" w:sz="0" w:space="0" w:color="auto"/>
      </w:divBdr>
    </w:div>
    <w:div w:id="1628511739">
      <w:bodyDiv w:val="1"/>
      <w:marLeft w:val="0"/>
      <w:marRight w:val="0"/>
      <w:marTop w:val="0"/>
      <w:marBottom w:val="0"/>
      <w:divBdr>
        <w:top w:val="none" w:sz="0" w:space="0" w:color="auto"/>
        <w:left w:val="none" w:sz="0" w:space="0" w:color="auto"/>
        <w:bottom w:val="none" w:sz="0" w:space="0" w:color="auto"/>
        <w:right w:val="none" w:sz="0" w:space="0" w:color="auto"/>
      </w:divBdr>
    </w:div>
    <w:div w:id="1750812060">
      <w:bodyDiv w:val="1"/>
      <w:marLeft w:val="0"/>
      <w:marRight w:val="0"/>
      <w:marTop w:val="0"/>
      <w:marBottom w:val="0"/>
      <w:divBdr>
        <w:top w:val="none" w:sz="0" w:space="0" w:color="auto"/>
        <w:left w:val="none" w:sz="0" w:space="0" w:color="auto"/>
        <w:bottom w:val="none" w:sz="0" w:space="0" w:color="auto"/>
        <w:right w:val="none" w:sz="0" w:space="0" w:color="auto"/>
      </w:divBdr>
      <w:divsChild>
        <w:div w:id="374426345">
          <w:marLeft w:val="0"/>
          <w:marRight w:val="0"/>
          <w:marTop w:val="0"/>
          <w:marBottom w:val="0"/>
          <w:divBdr>
            <w:top w:val="none" w:sz="0" w:space="0" w:color="auto"/>
            <w:left w:val="none" w:sz="0" w:space="0" w:color="auto"/>
            <w:bottom w:val="none" w:sz="0" w:space="0" w:color="auto"/>
            <w:right w:val="none" w:sz="0" w:space="0" w:color="auto"/>
          </w:divBdr>
          <w:divsChild>
            <w:div w:id="1980575601">
              <w:marLeft w:val="0"/>
              <w:marRight w:val="0"/>
              <w:marTop w:val="0"/>
              <w:marBottom w:val="0"/>
              <w:divBdr>
                <w:top w:val="none" w:sz="0" w:space="0" w:color="auto"/>
                <w:left w:val="none" w:sz="0" w:space="0" w:color="auto"/>
                <w:bottom w:val="none" w:sz="0" w:space="0" w:color="auto"/>
                <w:right w:val="none" w:sz="0" w:space="0" w:color="auto"/>
              </w:divBdr>
              <w:divsChild>
                <w:div w:id="1796825058">
                  <w:marLeft w:val="0"/>
                  <w:marRight w:val="0"/>
                  <w:marTop w:val="0"/>
                  <w:marBottom w:val="0"/>
                  <w:divBdr>
                    <w:top w:val="none" w:sz="0" w:space="0" w:color="auto"/>
                    <w:left w:val="none" w:sz="0" w:space="0" w:color="auto"/>
                    <w:bottom w:val="none" w:sz="0" w:space="0" w:color="auto"/>
                    <w:right w:val="none" w:sz="0" w:space="0" w:color="auto"/>
                  </w:divBdr>
                  <w:divsChild>
                    <w:div w:id="1537891390">
                      <w:marLeft w:val="0"/>
                      <w:marRight w:val="0"/>
                      <w:marTop w:val="0"/>
                      <w:marBottom w:val="0"/>
                      <w:divBdr>
                        <w:top w:val="none" w:sz="0" w:space="0" w:color="auto"/>
                        <w:left w:val="none" w:sz="0" w:space="0" w:color="auto"/>
                        <w:bottom w:val="none" w:sz="0" w:space="0" w:color="auto"/>
                        <w:right w:val="none" w:sz="0" w:space="0" w:color="auto"/>
                      </w:divBdr>
                      <w:divsChild>
                        <w:div w:id="752093711">
                          <w:marLeft w:val="0"/>
                          <w:marRight w:val="0"/>
                          <w:marTop w:val="0"/>
                          <w:marBottom w:val="0"/>
                          <w:divBdr>
                            <w:top w:val="none" w:sz="0" w:space="0" w:color="auto"/>
                            <w:left w:val="none" w:sz="0" w:space="0" w:color="auto"/>
                            <w:bottom w:val="none" w:sz="0" w:space="0" w:color="auto"/>
                            <w:right w:val="none" w:sz="0" w:space="0" w:color="auto"/>
                          </w:divBdr>
                          <w:divsChild>
                            <w:div w:id="3099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6.xm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tga.gov.au/product-information-pi" TargetMode="Externa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eader" Target="header7.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hyperlink" Target="https://www.tga.gov.au" TargetMode="External"/><Relationship Id="rId40" Type="http://schemas.openxmlformats.org/officeDocument/2006/relationships/footer" Target="footer5.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hyperlink" Target="https://www.tga.gov.au/product-information-pi"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4.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da.gov/downloads/advisorycommittees/committeesmeetingmaterials/pediatricadvisorycommittee/ucm570095.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28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43456-B47D-471B-9F6D-11F8D7A7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236</TotalTime>
  <Pages>60</Pages>
  <Words>21811</Words>
  <Characters>116691</Characters>
  <Application>Microsoft Office Word</Application>
  <DocSecurity>0</DocSecurity>
  <Lines>4862</Lines>
  <Paragraphs>4328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Australian public assessment for...</vt:lpstr>
      <vt:lpstr>Australian public assessment for...</vt:lpstr>
    </vt:vector>
  </TitlesOfParts>
  <Company>Department of Health Therapeutic Goods Administration</Company>
  <LinksUpToDate>false</LinksUpToDate>
  <CharactersWithSpaces>134174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forAmerican house dust mite / European house dust mite</dc:title>
  <dc:subject>prescription medicine regulation</dc:subject>
  <dc:creator>Therapeutic Goods Administration</dc:creator>
  <cp:keywords>auspar, prescription, medicine, assessment, regulation, australia</cp:keywords>
  <cp:lastModifiedBy>BIRD, Gail</cp:lastModifiedBy>
  <cp:revision>14</cp:revision>
  <cp:lastPrinted>2015-09-22T23:39:00Z</cp:lastPrinted>
  <dcterms:created xsi:type="dcterms:W3CDTF">2017-07-31T04:01:00Z</dcterms:created>
  <dcterms:modified xsi:type="dcterms:W3CDTF">2017-10-06T05:43:00Z</dcterms:modified>
  <cp:category>external publication</cp:category>
</cp:coreProperties>
</file>