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78076F5" w14:textId="77777777" w:rsidTr="00BF1190">
        <w:trPr>
          <w:trHeight w:val="1863"/>
        </w:trPr>
        <w:tc>
          <w:tcPr>
            <w:tcW w:w="3652" w:type="dxa"/>
            <w:tcBorders>
              <w:top w:val="nil"/>
              <w:left w:val="nil"/>
              <w:bottom w:val="nil"/>
              <w:right w:val="nil"/>
            </w:tcBorders>
          </w:tcPr>
          <w:p w14:paraId="7E42E60D" w14:textId="5691878D" w:rsidR="008E7846" w:rsidRPr="00096AA7" w:rsidRDefault="001F2BB7" w:rsidP="006452E8">
            <w:pPr>
              <w:pStyle w:val="Date"/>
              <w:framePr w:hSpace="0" w:wrap="auto" w:vAnchor="margin" w:hAnchor="text" w:yAlign="inline"/>
              <w:suppressOverlap w:val="0"/>
            </w:pPr>
            <w:r>
              <w:t>August</w:t>
            </w:r>
            <w:r w:rsidR="00F14E55">
              <w:t xml:space="preserve">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02C7C3E" w14:textId="77777777" w:rsidTr="0032583B">
        <w:trPr>
          <w:trHeight w:val="868"/>
        </w:trPr>
        <w:tc>
          <w:tcPr>
            <w:tcW w:w="9079" w:type="dxa"/>
          </w:tcPr>
          <w:p w14:paraId="4660871F" w14:textId="4F803191" w:rsidR="0032583B" w:rsidRPr="00A964D1" w:rsidRDefault="0032583B" w:rsidP="006452E8">
            <w:pPr>
              <w:pStyle w:val="Title"/>
              <w:framePr w:hSpace="0" w:wrap="auto" w:vAnchor="margin" w:yAlign="inline"/>
            </w:pPr>
            <w:bookmarkStart w:id="0" w:name="_GoBack"/>
            <w:r w:rsidRPr="00A964D1">
              <w:t>Australian Pu</w:t>
            </w:r>
            <w:r w:rsidR="00F14E55">
              <w:t xml:space="preserve">blic Assessment Report for </w:t>
            </w:r>
            <w:proofErr w:type="spellStart"/>
            <w:r w:rsidR="00F14E55">
              <w:t>Alpelisib</w:t>
            </w:r>
            <w:bookmarkEnd w:id="0"/>
            <w:proofErr w:type="spellEnd"/>
          </w:p>
        </w:tc>
      </w:tr>
      <w:tr w:rsidR="0032583B" w:rsidRPr="00B64760" w14:paraId="3545A785" w14:textId="77777777" w:rsidTr="0032583B">
        <w:tc>
          <w:tcPr>
            <w:tcW w:w="9079" w:type="dxa"/>
          </w:tcPr>
          <w:p w14:paraId="45A7110B" w14:textId="6AE80504" w:rsidR="0032583B" w:rsidRPr="008E7846" w:rsidRDefault="00F14E55" w:rsidP="006452E8">
            <w:pPr>
              <w:pStyle w:val="Subtitle"/>
              <w:framePr w:hSpace="0" w:wrap="auto" w:vAnchor="margin" w:yAlign="inline"/>
            </w:pPr>
            <w:r>
              <w:t xml:space="preserve">Proprietary Product Name: </w:t>
            </w:r>
            <w:proofErr w:type="spellStart"/>
            <w:r>
              <w:t>Piqray</w:t>
            </w:r>
            <w:proofErr w:type="spellEnd"/>
          </w:p>
        </w:tc>
      </w:tr>
      <w:tr w:rsidR="0032583B" w:rsidRPr="00B64760" w14:paraId="286DC7D5" w14:textId="77777777" w:rsidTr="0032583B">
        <w:trPr>
          <w:trHeight w:val="486"/>
        </w:trPr>
        <w:tc>
          <w:tcPr>
            <w:tcW w:w="9079" w:type="dxa"/>
          </w:tcPr>
          <w:p w14:paraId="4C3856FB" w14:textId="3E554C67" w:rsidR="0032583B" w:rsidRPr="008E7846" w:rsidRDefault="00F14E55" w:rsidP="006452E8">
            <w:pPr>
              <w:pStyle w:val="Subtitle"/>
              <w:framePr w:hSpace="0" w:wrap="auto" w:vAnchor="margin" w:yAlign="inline"/>
            </w:pPr>
            <w:r>
              <w:t>Sponsor: Novartis Pharmaceuticals Australia Pty Ltd</w:t>
            </w:r>
          </w:p>
        </w:tc>
      </w:tr>
    </w:tbl>
    <w:p w14:paraId="1697F865" w14:textId="77777777" w:rsidR="008E7846" w:rsidRPr="0085156D" w:rsidRDefault="008E7846" w:rsidP="0085156D">
      <w:r w:rsidRPr="0085156D">
        <w:br w:type="page"/>
      </w:r>
    </w:p>
    <w:p w14:paraId="5F20EF24" w14:textId="77777777" w:rsidR="008E7846" w:rsidRPr="001F6CBA" w:rsidRDefault="008E7846" w:rsidP="008E7846">
      <w:pPr>
        <w:pStyle w:val="NonTOCHeading2"/>
      </w:pPr>
      <w:r w:rsidRPr="001F6CBA">
        <w:lastRenderedPageBreak/>
        <w:t>About the Therapeutic Goods Administration (TGA)</w:t>
      </w:r>
    </w:p>
    <w:p w14:paraId="0D83179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92DAC36"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8348D13" w14:textId="77777777" w:rsidR="008E7846" w:rsidRDefault="008E7846" w:rsidP="008E7846">
      <w:pPr>
        <w:pStyle w:val="ListBullet"/>
        <w:numPr>
          <w:ilvl w:val="0"/>
          <w:numId w:val="3"/>
        </w:numPr>
        <w:ind w:left="357" w:hanging="357"/>
      </w:pPr>
      <w:r>
        <w:t xml:space="preserve">The work of the TGA </w:t>
      </w:r>
      <w:proofErr w:type="gramStart"/>
      <w:r>
        <w:t>is based</w:t>
      </w:r>
      <w:proofErr w:type="gramEnd"/>
      <w:r>
        <w:t xml:space="preserve"> on applying scientific and clinical expertise to decision-making, to ensure that the benefits to consumers outweigh any risks associated with the use of medicines and medical devices.</w:t>
      </w:r>
    </w:p>
    <w:p w14:paraId="4314FCAD"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72E4C78" w14:textId="15C61ED5"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66386657" w14:textId="77777777" w:rsidR="008E7846" w:rsidRDefault="008E7846" w:rsidP="00875A6B">
      <w:pPr>
        <w:pStyle w:val="NonTOCHeading2"/>
      </w:pPr>
      <w:r>
        <w:t>About AusPARs</w:t>
      </w:r>
    </w:p>
    <w:p w14:paraId="1CBB1424"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50005835" w14:textId="77777777" w:rsidR="008E7846" w:rsidRDefault="008E7846" w:rsidP="008E7846">
      <w:pPr>
        <w:pStyle w:val="ListBullet"/>
        <w:numPr>
          <w:ilvl w:val="0"/>
          <w:numId w:val="3"/>
        </w:numPr>
        <w:ind w:left="357" w:hanging="357"/>
      </w:pPr>
      <w:r>
        <w:t xml:space="preserve">AusPARs </w:t>
      </w:r>
      <w:proofErr w:type="gramStart"/>
      <w:r>
        <w:t>are prepared and published by the TGA</w:t>
      </w:r>
      <w:proofErr w:type="gramEnd"/>
      <w:r>
        <w:t>.</w:t>
      </w:r>
    </w:p>
    <w:p w14:paraId="3844CCC2" w14:textId="77777777" w:rsidR="008E7846" w:rsidRDefault="008E7846" w:rsidP="008E7846">
      <w:pPr>
        <w:pStyle w:val="ListBullet"/>
        <w:numPr>
          <w:ilvl w:val="0"/>
          <w:numId w:val="3"/>
        </w:numPr>
        <w:ind w:left="357" w:hanging="357"/>
      </w:pPr>
      <w:r>
        <w:t xml:space="preserve">An AusPAR </w:t>
      </w:r>
      <w:proofErr w:type="gramStart"/>
      <w:r>
        <w:t>is prepared</w:t>
      </w:r>
      <w:proofErr w:type="gramEnd"/>
      <w:r>
        <w:t xml:space="preserve"> for submissions that relate to new chemical entities, generic medicines, major variations and extensions of indications.</w:t>
      </w:r>
    </w:p>
    <w:p w14:paraId="427010B5"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03DCE9D" w14:textId="77777777" w:rsidR="00B452CE" w:rsidRDefault="008E7846" w:rsidP="00FF5755">
      <w:pPr>
        <w:pStyle w:val="ListBullet"/>
        <w:numPr>
          <w:ilvl w:val="0"/>
          <w:numId w:val="3"/>
        </w:numPr>
        <w:ind w:left="357" w:hanging="357"/>
      </w:pPr>
      <w:r>
        <w:t xml:space="preserve">A new AusPAR </w:t>
      </w:r>
      <w:proofErr w:type="gramStart"/>
      <w:r>
        <w:t>will be developed</w:t>
      </w:r>
      <w:proofErr w:type="gramEnd"/>
      <w:r>
        <w:t xml:space="preserve"> to reflect changes to indications and/or major variations to a prescription medicine subject to evaluation by the TGA.</w:t>
      </w:r>
    </w:p>
    <w:p w14:paraId="3E2C353A" w14:textId="77777777" w:rsidR="00924482" w:rsidRPr="00DF1D7F" w:rsidRDefault="00924482" w:rsidP="00F54B65">
      <w:pPr>
        <w:pStyle w:val="LegalSubheading"/>
        <w:spacing w:before="3120"/>
      </w:pPr>
      <w:r w:rsidRPr="00DF1D7F">
        <w:t>Copyright</w:t>
      </w:r>
    </w:p>
    <w:p w14:paraId="4102C3E4" w14:textId="6C99841A" w:rsidR="00924482" w:rsidRDefault="00924482" w:rsidP="00924482">
      <w:pPr>
        <w:pStyle w:val="LegalCopy"/>
      </w:pPr>
      <w:r w:rsidRPr="00191B3B">
        <w:rPr>
          <w:rFonts w:cs="Arial"/>
          <w:lang w:val="en-GB"/>
        </w:rPr>
        <w:t>© Comm</w:t>
      </w:r>
      <w:r w:rsidR="00F14E55">
        <w:rPr>
          <w:rFonts w:cs="Arial"/>
          <w:lang w:val="en-GB"/>
        </w:rPr>
        <w:t>onwealth of Australia 2020</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w:t>
      </w:r>
      <w:proofErr w:type="gramStart"/>
      <w:r w:rsidRPr="00191B3B">
        <w:rPr>
          <w:rFonts w:cs="Arial"/>
          <w:lang w:val="en-GB"/>
        </w:rPr>
        <w:t>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w:t>
      </w:r>
      <w:proofErr w:type="gramEnd"/>
      <w:r w:rsidRPr="00191B3B">
        <w:rPr>
          <w:rFonts w:cs="Arial"/>
          <w:lang w:val="en-GB"/>
        </w:rPr>
        <w:t xml:space="preserve">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w:t>
      </w:r>
      <w:proofErr w:type="gramStart"/>
      <w:r w:rsidRPr="00191B3B">
        <w:rPr>
          <w:rFonts w:cs="Arial"/>
          <w:lang w:val="en-GB"/>
        </w:rPr>
        <w:t>sent</w:t>
      </w:r>
      <w:proofErr w:type="gramEnd"/>
      <w:r w:rsidRPr="00191B3B">
        <w:rPr>
          <w:rFonts w:cs="Arial"/>
          <w:lang w:val="en-GB"/>
        </w:rPr>
        <w:t xml:space="preserve">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2221E928" w14:textId="77777777"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9FA6985" w14:textId="77777777" w:rsidR="0089635C" w:rsidRPr="0089635C" w:rsidRDefault="0089635C" w:rsidP="0010788A">
          <w:pPr>
            <w:pStyle w:val="Contents"/>
          </w:pPr>
          <w:r w:rsidRPr="0010788A">
            <w:t>Contents</w:t>
          </w:r>
        </w:p>
        <w:p w14:paraId="5C9D870D" w14:textId="3DC7BF2D" w:rsidR="007C6ED1"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48147453" w:history="1">
            <w:r w:rsidR="007C6ED1" w:rsidRPr="005F5286">
              <w:rPr>
                <w:rStyle w:val="Hyperlink"/>
                <w:noProof/>
              </w:rPr>
              <w:t>Common abbreviations</w:t>
            </w:r>
            <w:r w:rsidR="007C6ED1">
              <w:rPr>
                <w:noProof/>
                <w:webHidden/>
              </w:rPr>
              <w:tab/>
            </w:r>
            <w:r w:rsidR="007C6ED1">
              <w:rPr>
                <w:noProof/>
                <w:webHidden/>
              </w:rPr>
              <w:fldChar w:fldCharType="begin"/>
            </w:r>
            <w:r w:rsidR="007C6ED1">
              <w:rPr>
                <w:noProof/>
                <w:webHidden/>
              </w:rPr>
              <w:instrText xml:space="preserve"> PAGEREF _Toc48147453 \h </w:instrText>
            </w:r>
            <w:r w:rsidR="007C6ED1">
              <w:rPr>
                <w:noProof/>
                <w:webHidden/>
              </w:rPr>
            </w:r>
            <w:r w:rsidR="007C6ED1">
              <w:rPr>
                <w:noProof/>
                <w:webHidden/>
              </w:rPr>
              <w:fldChar w:fldCharType="separate"/>
            </w:r>
            <w:r w:rsidR="007C6ED1">
              <w:rPr>
                <w:noProof/>
                <w:webHidden/>
              </w:rPr>
              <w:t>4</w:t>
            </w:r>
            <w:r w:rsidR="007C6ED1">
              <w:rPr>
                <w:noProof/>
                <w:webHidden/>
              </w:rPr>
              <w:fldChar w:fldCharType="end"/>
            </w:r>
          </w:hyperlink>
        </w:p>
        <w:p w14:paraId="2252E07B" w14:textId="7F5D39FE" w:rsidR="007C6ED1" w:rsidRDefault="008924E1">
          <w:pPr>
            <w:pStyle w:val="TOC2"/>
            <w:rPr>
              <w:rFonts w:asciiTheme="minorHAnsi" w:eastAsiaTheme="minorEastAsia" w:hAnsiTheme="minorHAnsi" w:cstheme="minorBidi"/>
              <w:b w:val="0"/>
              <w:noProof/>
              <w:sz w:val="22"/>
              <w:lang w:eastAsia="en-AU"/>
            </w:rPr>
          </w:pPr>
          <w:hyperlink w:anchor="_Toc48147454" w:history="1">
            <w:r w:rsidR="007C6ED1" w:rsidRPr="005F5286">
              <w:rPr>
                <w:rStyle w:val="Hyperlink"/>
                <w:noProof/>
              </w:rPr>
              <w:t>I. Introduction to product submission</w:t>
            </w:r>
            <w:r w:rsidR="007C6ED1">
              <w:rPr>
                <w:noProof/>
                <w:webHidden/>
              </w:rPr>
              <w:tab/>
            </w:r>
            <w:r w:rsidR="007C6ED1">
              <w:rPr>
                <w:noProof/>
                <w:webHidden/>
              </w:rPr>
              <w:fldChar w:fldCharType="begin"/>
            </w:r>
            <w:r w:rsidR="007C6ED1">
              <w:rPr>
                <w:noProof/>
                <w:webHidden/>
              </w:rPr>
              <w:instrText xml:space="preserve"> PAGEREF _Toc48147454 \h </w:instrText>
            </w:r>
            <w:r w:rsidR="007C6ED1">
              <w:rPr>
                <w:noProof/>
                <w:webHidden/>
              </w:rPr>
            </w:r>
            <w:r w:rsidR="007C6ED1">
              <w:rPr>
                <w:noProof/>
                <w:webHidden/>
              </w:rPr>
              <w:fldChar w:fldCharType="separate"/>
            </w:r>
            <w:r w:rsidR="007C6ED1">
              <w:rPr>
                <w:noProof/>
                <w:webHidden/>
              </w:rPr>
              <w:t>8</w:t>
            </w:r>
            <w:r w:rsidR="007C6ED1">
              <w:rPr>
                <w:noProof/>
                <w:webHidden/>
              </w:rPr>
              <w:fldChar w:fldCharType="end"/>
            </w:r>
          </w:hyperlink>
        </w:p>
        <w:p w14:paraId="607A9198" w14:textId="3CD50C1C" w:rsidR="007C6ED1" w:rsidRDefault="008924E1">
          <w:pPr>
            <w:pStyle w:val="TOC3"/>
            <w:rPr>
              <w:rFonts w:asciiTheme="minorHAnsi" w:eastAsiaTheme="minorEastAsia" w:hAnsiTheme="minorHAnsi" w:cstheme="minorBidi"/>
              <w:noProof/>
              <w:lang w:eastAsia="en-AU"/>
            </w:rPr>
          </w:pPr>
          <w:hyperlink w:anchor="_Toc48147455" w:history="1">
            <w:r w:rsidR="007C6ED1" w:rsidRPr="005F5286">
              <w:rPr>
                <w:rStyle w:val="Hyperlink"/>
                <w:noProof/>
                <w:lang w:eastAsia="en-AU"/>
              </w:rPr>
              <w:t>Submission details</w:t>
            </w:r>
            <w:r w:rsidR="007C6ED1">
              <w:rPr>
                <w:noProof/>
                <w:webHidden/>
              </w:rPr>
              <w:tab/>
            </w:r>
            <w:r w:rsidR="007C6ED1">
              <w:rPr>
                <w:noProof/>
                <w:webHidden/>
              </w:rPr>
              <w:fldChar w:fldCharType="begin"/>
            </w:r>
            <w:r w:rsidR="007C6ED1">
              <w:rPr>
                <w:noProof/>
                <w:webHidden/>
              </w:rPr>
              <w:instrText xml:space="preserve"> PAGEREF _Toc48147455 \h </w:instrText>
            </w:r>
            <w:r w:rsidR="007C6ED1">
              <w:rPr>
                <w:noProof/>
                <w:webHidden/>
              </w:rPr>
            </w:r>
            <w:r w:rsidR="007C6ED1">
              <w:rPr>
                <w:noProof/>
                <w:webHidden/>
              </w:rPr>
              <w:fldChar w:fldCharType="separate"/>
            </w:r>
            <w:r w:rsidR="007C6ED1">
              <w:rPr>
                <w:noProof/>
                <w:webHidden/>
              </w:rPr>
              <w:t>8</w:t>
            </w:r>
            <w:r w:rsidR="007C6ED1">
              <w:rPr>
                <w:noProof/>
                <w:webHidden/>
              </w:rPr>
              <w:fldChar w:fldCharType="end"/>
            </w:r>
          </w:hyperlink>
        </w:p>
        <w:p w14:paraId="593055ED" w14:textId="6FC6BB73" w:rsidR="007C6ED1" w:rsidRDefault="008924E1">
          <w:pPr>
            <w:pStyle w:val="TOC3"/>
            <w:rPr>
              <w:rFonts w:asciiTheme="minorHAnsi" w:eastAsiaTheme="minorEastAsia" w:hAnsiTheme="minorHAnsi" w:cstheme="minorBidi"/>
              <w:noProof/>
              <w:lang w:eastAsia="en-AU"/>
            </w:rPr>
          </w:pPr>
          <w:hyperlink w:anchor="_Toc48147456" w:history="1">
            <w:r w:rsidR="007C6ED1" w:rsidRPr="005F5286">
              <w:rPr>
                <w:rStyle w:val="Hyperlink"/>
                <w:noProof/>
              </w:rPr>
              <w:t>Product background</w:t>
            </w:r>
            <w:r w:rsidR="007C6ED1">
              <w:rPr>
                <w:noProof/>
                <w:webHidden/>
              </w:rPr>
              <w:tab/>
            </w:r>
            <w:r w:rsidR="007C6ED1">
              <w:rPr>
                <w:noProof/>
                <w:webHidden/>
              </w:rPr>
              <w:fldChar w:fldCharType="begin"/>
            </w:r>
            <w:r w:rsidR="007C6ED1">
              <w:rPr>
                <w:noProof/>
                <w:webHidden/>
              </w:rPr>
              <w:instrText xml:space="preserve"> PAGEREF _Toc48147456 \h </w:instrText>
            </w:r>
            <w:r w:rsidR="007C6ED1">
              <w:rPr>
                <w:noProof/>
                <w:webHidden/>
              </w:rPr>
            </w:r>
            <w:r w:rsidR="007C6ED1">
              <w:rPr>
                <w:noProof/>
                <w:webHidden/>
              </w:rPr>
              <w:fldChar w:fldCharType="separate"/>
            </w:r>
            <w:r w:rsidR="007C6ED1">
              <w:rPr>
                <w:noProof/>
                <w:webHidden/>
              </w:rPr>
              <w:t>9</w:t>
            </w:r>
            <w:r w:rsidR="007C6ED1">
              <w:rPr>
                <w:noProof/>
                <w:webHidden/>
              </w:rPr>
              <w:fldChar w:fldCharType="end"/>
            </w:r>
          </w:hyperlink>
        </w:p>
        <w:p w14:paraId="2E5D398B" w14:textId="6C4F3415" w:rsidR="007C6ED1" w:rsidRDefault="008924E1">
          <w:pPr>
            <w:pStyle w:val="TOC3"/>
            <w:rPr>
              <w:rFonts w:asciiTheme="minorHAnsi" w:eastAsiaTheme="minorEastAsia" w:hAnsiTheme="minorHAnsi" w:cstheme="minorBidi"/>
              <w:noProof/>
              <w:lang w:eastAsia="en-AU"/>
            </w:rPr>
          </w:pPr>
          <w:hyperlink w:anchor="_Toc48147457" w:history="1">
            <w:r w:rsidR="007C6ED1" w:rsidRPr="005F5286">
              <w:rPr>
                <w:rStyle w:val="Hyperlink"/>
                <w:noProof/>
              </w:rPr>
              <w:t>Regulatory status</w:t>
            </w:r>
            <w:r w:rsidR="007C6ED1">
              <w:rPr>
                <w:noProof/>
                <w:webHidden/>
              </w:rPr>
              <w:tab/>
            </w:r>
            <w:r w:rsidR="007C6ED1">
              <w:rPr>
                <w:noProof/>
                <w:webHidden/>
              </w:rPr>
              <w:fldChar w:fldCharType="begin"/>
            </w:r>
            <w:r w:rsidR="007C6ED1">
              <w:rPr>
                <w:noProof/>
                <w:webHidden/>
              </w:rPr>
              <w:instrText xml:space="preserve"> PAGEREF _Toc48147457 \h </w:instrText>
            </w:r>
            <w:r w:rsidR="007C6ED1">
              <w:rPr>
                <w:noProof/>
                <w:webHidden/>
              </w:rPr>
            </w:r>
            <w:r w:rsidR="007C6ED1">
              <w:rPr>
                <w:noProof/>
                <w:webHidden/>
              </w:rPr>
              <w:fldChar w:fldCharType="separate"/>
            </w:r>
            <w:r w:rsidR="007C6ED1">
              <w:rPr>
                <w:noProof/>
                <w:webHidden/>
              </w:rPr>
              <w:t>11</w:t>
            </w:r>
            <w:r w:rsidR="007C6ED1">
              <w:rPr>
                <w:noProof/>
                <w:webHidden/>
              </w:rPr>
              <w:fldChar w:fldCharType="end"/>
            </w:r>
          </w:hyperlink>
        </w:p>
        <w:p w14:paraId="4975582C" w14:textId="111747EE" w:rsidR="007C6ED1" w:rsidRDefault="008924E1">
          <w:pPr>
            <w:pStyle w:val="TOC3"/>
            <w:rPr>
              <w:rFonts w:asciiTheme="minorHAnsi" w:eastAsiaTheme="minorEastAsia" w:hAnsiTheme="minorHAnsi" w:cstheme="minorBidi"/>
              <w:noProof/>
              <w:lang w:eastAsia="en-AU"/>
            </w:rPr>
          </w:pPr>
          <w:hyperlink w:anchor="_Toc48147458" w:history="1">
            <w:r w:rsidR="007C6ED1" w:rsidRPr="005F5286">
              <w:rPr>
                <w:rStyle w:val="Hyperlink"/>
                <w:noProof/>
              </w:rPr>
              <w:t>Product Information</w:t>
            </w:r>
            <w:r w:rsidR="007C6ED1">
              <w:rPr>
                <w:noProof/>
                <w:webHidden/>
              </w:rPr>
              <w:tab/>
            </w:r>
            <w:r w:rsidR="007C6ED1">
              <w:rPr>
                <w:noProof/>
                <w:webHidden/>
              </w:rPr>
              <w:fldChar w:fldCharType="begin"/>
            </w:r>
            <w:r w:rsidR="007C6ED1">
              <w:rPr>
                <w:noProof/>
                <w:webHidden/>
              </w:rPr>
              <w:instrText xml:space="preserve"> PAGEREF _Toc48147458 \h </w:instrText>
            </w:r>
            <w:r w:rsidR="007C6ED1">
              <w:rPr>
                <w:noProof/>
                <w:webHidden/>
              </w:rPr>
            </w:r>
            <w:r w:rsidR="007C6ED1">
              <w:rPr>
                <w:noProof/>
                <w:webHidden/>
              </w:rPr>
              <w:fldChar w:fldCharType="separate"/>
            </w:r>
            <w:r w:rsidR="007C6ED1">
              <w:rPr>
                <w:noProof/>
                <w:webHidden/>
              </w:rPr>
              <w:t>11</w:t>
            </w:r>
            <w:r w:rsidR="007C6ED1">
              <w:rPr>
                <w:noProof/>
                <w:webHidden/>
              </w:rPr>
              <w:fldChar w:fldCharType="end"/>
            </w:r>
          </w:hyperlink>
        </w:p>
        <w:p w14:paraId="35C45F2F" w14:textId="1CDD2ECA" w:rsidR="007C6ED1" w:rsidRDefault="008924E1">
          <w:pPr>
            <w:pStyle w:val="TOC2"/>
            <w:rPr>
              <w:rFonts w:asciiTheme="minorHAnsi" w:eastAsiaTheme="minorEastAsia" w:hAnsiTheme="minorHAnsi" w:cstheme="minorBidi"/>
              <w:b w:val="0"/>
              <w:noProof/>
              <w:sz w:val="22"/>
              <w:lang w:eastAsia="en-AU"/>
            </w:rPr>
          </w:pPr>
          <w:hyperlink w:anchor="_Toc48147459" w:history="1">
            <w:r w:rsidR="007C6ED1" w:rsidRPr="005F5286">
              <w:rPr>
                <w:rStyle w:val="Hyperlink"/>
                <w:noProof/>
              </w:rPr>
              <w:t>II. Registration timeline</w:t>
            </w:r>
            <w:r w:rsidR="007C6ED1">
              <w:rPr>
                <w:noProof/>
                <w:webHidden/>
              </w:rPr>
              <w:tab/>
            </w:r>
            <w:r w:rsidR="007C6ED1">
              <w:rPr>
                <w:noProof/>
                <w:webHidden/>
              </w:rPr>
              <w:fldChar w:fldCharType="begin"/>
            </w:r>
            <w:r w:rsidR="007C6ED1">
              <w:rPr>
                <w:noProof/>
                <w:webHidden/>
              </w:rPr>
              <w:instrText xml:space="preserve"> PAGEREF _Toc48147459 \h </w:instrText>
            </w:r>
            <w:r w:rsidR="007C6ED1">
              <w:rPr>
                <w:noProof/>
                <w:webHidden/>
              </w:rPr>
            </w:r>
            <w:r w:rsidR="007C6ED1">
              <w:rPr>
                <w:noProof/>
                <w:webHidden/>
              </w:rPr>
              <w:fldChar w:fldCharType="separate"/>
            </w:r>
            <w:r w:rsidR="007C6ED1">
              <w:rPr>
                <w:noProof/>
                <w:webHidden/>
              </w:rPr>
              <w:t>11</w:t>
            </w:r>
            <w:r w:rsidR="007C6ED1">
              <w:rPr>
                <w:noProof/>
                <w:webHidden/>
              </w:rPr>
              <w:fldChar w:fldCharType="end"/>
            </w:r>
          </w:hyperlink>
        </w:p>
        <w:p w14:paraId="498467B0" w14:textId="34A1BA0A" w:rsidR="007C6ED1" w:rsidRDefault="008924E1">
          <w:pPr>
            <w:pStyle w:val="TOC2"/>
            <w:rPr>
              <w:rFonts w:asciiTheme="minorHAnsi" w:eastAsiaTheme="minorEastAsia" w:hAnsiTheme="minorHAnsi" w:cstheme="minorBidi"/>
              <w:b w:val="0"/>
              <w:noProof/>
              <w:sz w:val="22"/>
              <w:lang w:eastAsia="en-AU"/>
            </w:rPr>
          </w:pPr>
          <w:hyperlink w:anchor="_Toc48147460" w:history="1">
            <w:r w:rsidR="007C6ED1" w:rsidRPr="005F5286">
              <w:rPr>
                <w:rStyle w:val="Hyperlink"/>
                <w:noProof/>
              </w:rPr>
              <w:t>III. Submission overview and risk/benefit assessment</w:t>
            </w:r>
            <w:r w:rsidR="007C6ED1">
              <w:rPr>
                <w:noProof/>
                <w:webHidden/>
              </w:rPr>
              <w:tab/>
            </w:r>
            <w:r w:rsidR="007C6ED1">
              <w:rPr>
                <w:noProof/>
                <w:webHidden/>
              </w:rPr>
              <w:fldChar w:fldCharType="begin"/>
            </w:r>
            <w:r w:rsidR="007C6ED1">
              <w:rPr>
                <w:noProof/>
                <w:webHidden/>
              </w:rPr>
              <w:instrText xml:space="preserve"> PAGEREF _Toc48147460 \h </w:instrText>
            </w:r>
            <w:r w:rsidR="007C6ED1">
              <w:rPr>
                <w:noProof/>
                <w:webHidden/>
              </w:rPr>
            </w:r>
            <w:r w:rsidR="007C6ED1">
              <w:rPr>
                <w:noProof/>
                <w:webHidden/>
              </w:rPr>
              <w:fldChar w:fldCharType="separate"/>
            </w:r>
            <w:r w:rsidR="007C6ED1">
              <w:rPr>
                <w:noProof/>
                <w:webHidden/>
              </w:rPr>
              <w:t>12</w:t>
            </w:r>
            <w:r w:rsidR="007C6ED1">
              <w:rPr>
                <w:noProof/>
                <w:webHidden/>
              </w:rPr>
              <w:fldChar w:fldCharType="end"/>
            </w:r>
          </w:hyperlink>
        </w:p>
        <w:p w14:paraId="778AAE11" w14:textId="55B2E27D" w:rsidR="007C6ED1" w:rsidRDefault="008924E1">
          <w:pPr>
            <w:pStyle w:val="TOC3"/>
            <w:rPr>
              <w:rFonts w:asciiTheme="minorHAnsi" w:eastAsiaTheme="minorEastAsia" w:hAnsiTheme="minorHAnsi" w:cstheme="minorBidi"/>
              <w:noProof/>
              <w:lang w:eastAsia="en-AU"/>
            </w:rPr>
          </w:pPr>
          <w:hyperlink w:anchor="_Toc48147461" w:history="1">
            <w:r w:rsidR="007C6ED1" w:rsidRPr="005F5286">
              <w:rPr>
                <w:rStyle w:val="Hyperlink"/>
                <w:noProof/>
              </w:rPr>
              <w:t>Quality</w:t>
            </w:r>
            <w:r w:rsidR="007C6ED1">
              <w:rPr>
                <w:noProof/>
                <w:webHidden/>
              </w:rPr>
              <w:tab/>
            </w:r>
            <w:r w:rsidR="007C6ED1">
              <w:rPr>
                <w:noProof/>
                <w:webHidden/>
              </w:rPr>
              <w:fldChar w:fldCharType="begin"/>
            </w:r>
            <w:r w:rsidR="007C6ED1">
              <w:rPr>
                <w:noProof/>
                <w:webHidden/>
              </w:rPr>
              <w:instrText xml:space="preserve"> PAGEREF _Toc48147461 \h </w:instrText>
            </w:r>
            <w:r w:rsidR="007C6ED1">
              <w:rPr>
                <w:noProof/>
                <w:webHidden/>
              </w:rPr>
            </w:r>
            <w:r w:rsidR="007C6ED1">
              <w:rPr>
                <w:noProof/>
                <w:webHidden/>
              </w:rPr>
              <w:fldChar w:fldCharType="separate"/>
            </w:r>
            <w:r w:rsidR="007C6ED1">
              <w:rPr>
                <w:noProof/>
                <w:webHidden/>
              </w:rPr>
              <w:t>12</w:t>
            </w:r>
            <w:r w:rsidR="007C6ED1">
              <w:rPr>
                <w:noProof/>
                <w:webHidden/>
              </w:rPr>
              <w:fldChar w:fldCharType="end"/>
            </w:r>
          </w:hyperlink>
        </w:p>
        <w:p w14:paraId="1E44A7EE" w14:textId="44856BBA" w:rsidR="007C6ED1" w:rsidRDefault="008924E1">
          <w:pPr>
            <w:pStyle w:val="TOC3"/>
            <w:rPr>
              <w:rFonts w:asciiTheme="minorHAnsi" w:eastAsiaTheme="minorEastAsia" w:hAnsiTheme="minorHAnsi" w:cstheme="minorBidi"/>
              <w:noProof/>
              <w:lang w:eastAsia="en-AU"/>
            </w:rPr>
          </w:pPr>
          <w:hyperlink w:anchor="_Toc48147462" w:history="1">
            <w:r w:rsidR="007C6ED1" w:rsidRPr="005F5286">
              <w:rPr>
                <w:rStyle w:val="Hyperlink"/>
                <w:noProof/>
              </w:rPr>
              <w:t>Nonclinical</w:t>
            </w:r>
            <w:r w:rsidR="007C6ED1">
              <w:rPr>
                <w:noProof/>
                <w:webHidden/>
              </w:rPr>
              <w:tab/>
            </w:r>
            <w:r w:rsidR="007C6ED1">
              <w:rPr>
                <w:noProof/>
                <w:webHidden/>
              </w:rPr>
              <w:fldChar w:fldCharType="begin"/>
            </w:r>
            <w:r w:rsidR="007C6ED1">
              <w:rPr>
                <w:noProof/>
                <w:webHidden/>
              </w:rPr>
              <w:instrText xml:space="preserve"> PAGEREF _Toc48147462 \h </w:instrText>
            </w:r>
            <w:r w:rsidR="007C6ED1">
              <w:rPr>
                <w:noProof/>
                <w:webHidden/>
              </w:rPr>
            </w:r>
            <w:r w:rsidR="007C6ED1">
              <w:rPr>
                <w:noProof/>
                <w:webHidden/>
              </w:rPr>
              <w:fldChar w:fldCharType="separate"/>
            </w:r>
            <w:r w:rsidR="007C6ED1">
              <w:rPr>
                <w:noProof/>
                <w:webHidden/>
              </w:rPr>
              <w:t>12</w:t>
            </w:r>
            <w:r w:rsidR="007C6ED1">
              <w:rPr>
                <w:noProof/>
                <w:webHidden/>
              </w:rPr>
              <w:fldChar w:fldCharType="end"/>
            </w:r>
          </w:hyperlink>
        </w:p>
        <w:p w14:paraId="4AEB22B6" w14:textId="1AE44BF2" w:rsidR="007C6ED1" w:rsidRDefault="008924E1">
          <w:pPr>
            <w:pStyle w:val="TOC3"/>
            <w:rPr>
              <w:rFonts w:asciiTheme="minorHAnsi" w:eastAsiaTheme="minorEastAsia" w:hAnsiTheme="minorHAnsi" w:cstheme="minorBidi"/>
              <w:noProof/>
              <w:lang w:eastAsia="en-AU"/>
            </w:rPr>
          </w:pPr>
          <w:hyperlink w:anchor="_Toc48147463" w:history="1">
            <w:r w:rsidR="007C6ED1" w:rsidRPr="005F5286">
              <w:rPr>
                <w:rStyle w:val="Hyperlink"/>
                <w:noProof/>
              </w:rPr>
              <w:t>Clinical</w:t>
            </w:r>
            <w:r w:rsidR="007C6ED1">
              <w:rPr>
                <w:noProof/>
                <w:webHidden/>
              </w:rPr>
              <w:tab/>
            </w:r>
            <w:r w:rsidR="007C6ED1">
              <w:rPr>
                <w:noProof/>
                <w:webHidden/>
              </w:rPr>
              <w:fldChar w:fldCharType="begin"/>
            </w:r>
            <w:r w:rsidR="007C6ED1">
              <w:rPr>
                <w:noProof/>
                <w:webHidden/>
              </w:rPr>
              <w:instrText xml:space="preserve"> PAGEREF _Toc48147463 \h </w:instrText>
            </w:r>
            <w:r w:rsidR="007C6ED1">
              <w:rPr>
                <w:noProof/>
                <w:webHidden/>
              </w:rPr>
            </w:r>
            <w:r w:rsidR="007C6ED1">
              <w:rPr>
                <w:noProof/>
                <w:webHidden/>
              </w:rPr>
              <w:fldChar w:fldCharType="separate"/>
            </w:r>
            <w:r w:rsidR="007C6ED1">
              <w:rPr>
                <w:noProof/>
                <w:webHidden/>
              </w:rPr>
              <w:t>13</w:t>
            </w:r>
            <w:r w:rsidR="007C6ED1">
              <w:rPr>
                <w:noProof/>
                <w:webHidden/>
              </w:rPr>
              <w:fldChar w:fldCharType="end"/>
            </w:r>
          </w:hyperlink>
        </w:p>
        <w:p w14:paraId="399F845F" w14:textId="0CA68925" w:rsidR="007C6ED1" w:rsidRDefault="008924E1">
          <w:pPr>
            <w:pStyle w:val="TOC3"/>
            <w:rPr>
              <w:rFonts w:asciiTheme="minorHAnsi" w:eastAsiaTheme="minorEastAsia" w:hAnsiTheme="minorHAnsi" w:cstheme="minorBidi"/>
              <w:noProof/>
              <w:lang w:eastAsia="en-AU"/>
            </w:rPr>
          </w:pPr>
          <w:hyperlink w:anchor="_Toc48147464" w:history="1">
            <w:r w:rsidR="007C6ED1" w:rsidRPr="005F5286">
              <w:rPr>
                <w:rStyle w:val="Hyperlink"/>
                <w:noProof/>
                <w:lang w:eastAsia="en-AU"/>
              </w:rPr>
              <w:t>Risk management plan</w:t>
            </w:r>
            <w:r w:rsidR="007C6ED1">
              <w:rPr>
                <w:noProof/>
                <w:webHidden/>
              </w:rPr>
              <w:tab/>
            </w:r>
            <w:r w:rsidR="007C6ED1">
              <w:rPr>
                <w:noProof/>
                <w:webHidden/>
              </w:rPr>
              <w:fldChar w:fldCharType="begin"/>
            </w:r>
            <w:r w:rsidR="007C6ED1">
              <w:rPr>
                <w:noProof/>
                <w:webHidden/>
              </w:rPr>
              <w:instrText xml:space="preserve"> PAGEREF _Toc48147464 \h </w:instrText>
            </w:r>
            <w:r w:rsidR="007C6ED1">
              <w:rPr>
                <w:noProof/>
                <w:webHidden/>
              </w:rPr>
            </w:r>
            <w:r w:rsidR="007C6ED1">
              <w:rPr>
                <w:noProof/>
                <w:webHidden/>
              </w:rPr>
              <w:fldChar w:fldCharType="separate"/>
            </w:r>
            <w:r w:rsidR="007C6ED1">
              <w:rPr>
                <w:noProof/>
                <w:webHidden/>
              </w:rPr>
              <w:t>23</w:t>
            </w:r>
            <w:r w:rsidR="007C6ED1">
              <w:rPr>
                <w:noProof/>
                <w:webHidden/>
              </w:rPr>
              <w:fldChar w:fldCharType="end"/>
            </w:r>
          </w:hyperlink>
        </w:p>
        <w:p w14:paraId="37A60BB3" w14:textId="68E9548A" w:rsidR="007C6ED1" w:rsidRDefault="008924E1">
          <w:pPr>
            <w:pStyle w:val="TOC3"/>
            <w:rPr>
              <w:rFonts w:asciiTheme="minorHAnsi" w:eastAsiaTheme="minorEastAsia" w:hAnsiTheme="minorHAnsi" w:cstheme="minorBidi"/>
              <w:noProof/>
              <w:lang w:eastAsia="en-AU"/>
            </w:rPr>
          </w:pPr>
          <w:hyperlink w:anchor="_Toc48147465" w:history="1">
            <w:r w:rsidR="007C6ED1" w:rsidRPr="005F5286">
              <w:rPr>
                <w:rStyle w:val="Hyperlink"/>
                <w:noProof/>
              </w:rPr>
              <w:t>Risk-benefit analysis</w:t>
            </w:r>
            <w:r w:rsidR="007C6ED1">
              <w:rPr>
                <w:noProof/>
                <w:webHidden/>
              </w:rPr>
              <w:tab/>
            </w:r>
            <w:r w:rsidR="007C6ED1">
              <w:rPr>
                <w:noProof/>
                <w:webHidden/>
              </w:rPr>
              <w:fldChar w:fldCharType="begin"/>
            </w:r>
            <w:r w:rsidR="007C6ED1">
              <w:rPr>
                <w:noProof/>
                <w:webHidden/>
              </w:rPr>
              <w:instrText xml:space="preserve"> PAGEREF _Toc48147465 \h </w:instrText>
            </w:r>
            <w:r w:rsidR="007C6ED1">
              <w:rPr>
                <w:noProof/>
                <w:webHidden/>
              </w:rPr>
            </w:r>
            <w:r w:rsidR="007C6ED1">
              <w:rPr>
                <w:noProof/>
                <w:webHidden/>
              </w:rPr>
              <w:fldChar w:fldCharType="separate"/>
            </w:r>
            <w:r w:rsidR="007C6ED1">
              <w:rPr>
                <w:noProof/>
                <w:webHidden/>
              </w:rPr>
              <w:t>25</w:t>
            </w:r>
            <w:r w:rsidR="007C6ED1">
              <w:rPr>
                <w:noProof/>
                <w:webHidden/>
              </w:rPr>
              <w:fldChar w:fldCharType="end"/>
            </w:r>
          </w:hyperlink>
        </w:p>
        <w:p w14:paraId="781BAE09" w14:textId="4DF608A4" w:rsidR="007C6ED1" w:rsidRDefault="008924E1">
          <w:pPr>
            <w:pStyle w:val="TOC3"/>
            <w:rPr>
              <w:rFonts w:asciiTheme="minorHAnsi" w:eastAsiaTheme="minorEastAsia" w:hAnsiTheme="minorHAnsi" w:cstheme="minorBidi"/>
              <w:noProof/>
              <w:lang w:eastAsia="en-AU"/>
            </w:rPr>
          </w:pPr>
          <w:hyperlink w:anchor="_Toc48147466" w:history="1">
            <w:r w:rsidR="007C6ED1" w:rsidRPr="005F5286">
              <w:rPr>
                <w:rStyle w:val="Hyperlink"/>
                <w:noProof/>
              </w:rPr>
              <w:t>Outcome</w:t>
            </w:r>
            <w:r w:rsidR="007C6ED1">
              <w:rPr>
                <w:noProof/>
                <w:webHidden/>
              </w:rPr>
              <w:tab/>
            </w:r>
            <w:r w:rsidR="007C6ED1">
              <w:rPr>
                <w:noProof/>
                <w:webHidden/>
              </w:rPr>
              <w:fldChar w:fldCharType="begin"/>
            </w:r>
            <w:r w:rsidR="007C6ED1">
              <w:rPr>
                <w:noProof/>
                <w:webHidden/>
              </w:rPr>
              <w:instrText xml:space="preserve"> PAGEREF _Toc48147466 \h </w:instrText>
            </w:r>
            <w:r w:rsidR="007C6ED1">
              <w:rPr>
                <w:noProof/>
                <w:webHidden/>
              </w:rPr>
            </w:r>
            <w:r w:rsidR="007C6ED1">
              <w:rPr>
                <w:noProof/>
                <w:webHidden/>
              </w:rPr>
              <w:fldChar w:fldCharType="separate"/>
            </w:r>
            <w:r w:rsidR="007C6ED1">
              <w:rPr>
                <w:noProof/>
                <w:webHidden/>
              </w:rPr>
              <w:t>28</w:t>
            </w:r>
            <w:r w:rsidR="007C6ED1">
              <w:rPr>
                <w:noProof/>
                <w:webHidden/>
              </w:rPr>
              <w:fldChar w:fldCharType="end"/>
            </w:r>
          </w:hyperlink>
        </w:p>
        <w:p w14:paraId="58F09192" w14:textId="0DFD4CA8" w:rsidR="007C6ED1" w:rsidRDefault="008924E1">
          <w:pPr>
            <w:pStyle w:val="TOC2"/>
            <w:rPr>
              <w:rFonts w:asciiTheme="minorHAnsi" w:eastAsiaTheme="minorEastAsia" w:hAnsiTheme="minorHAnsi" w:cstheme="minorBidi"/>
              <w:b w:val="0"/>
              <w:noProof/>
              <w:sz w:val="22"/>
              <w:lang w:eastAsia="en-AU"/>
            </w:rPr>
          </w:pPr>
          <w:hyperlink w:anchor="_Toc48147467" w:history="1">
            <w:r w:rsidR="007C6ED1" w:rsidRPr="005F5286">
              <w:rPr>
                <w:rStyle w:val="Hyperlink"/>
                <w:noProof/>
              </w:rPr>
              <w:t>Attachment 1. Product Information</w:t>
            </w:r>
            <w:r w:rsidR="007C6ED1">
              <w:rPr>
                <w:noProof/>
                <w:webHidden/>
              </w:rPr>
              <w:tab/>
            </w:r>
            <w:r w:rsidR="007C6ED1">
              <w:rPr>
                <w:noProof/>
                <w:webHidden/>
              </w:rPr>
              <w:fldChar w:fldCharType="begin"/>
            </w:r>
            <w:r w:rsidR="007C6ED1">
              <w:rPr>
                <w:noProof/>
                <w:webHidden/>
              </w:rPr>
              <w:instrText xml:space="preserve"> PAGEREF _Toc48147467 \h </w:instrText>
            </w:r>
            <w:r w:rsidR="007C6ED1">
              <w:rPr>
                <w:noProof/>
                <w:webHidden/>
              </w:rPr>
            </w:r>
            <w:r w:rsidR="007C6ED1">
              <w:rPr>
                <w:noProof/>
                <w:webHidden/>
              </w:rPr>
              <w:fldChar w:fldCharType="separate"/>
            </w:r>
            <w:r w:rsidR="007C6ED1">
              <w:rPr>
                <w:noProof/>
                <w:webHidden/>
              </w:rPr>
              <w:t>29</w:t>
            </w:r>
            <w:r w:rsidR="007C6ED1">
              <w:rPr>
                <w:noProof/>
                <w:webHidden/>
              </w:rPr>
              <w:fldChar w:fldCharType="end"/>
            </w:r>
          </w:hyperlink>
        </w:p>
        <w:p w14:paraId="38D5EA34" w14:textId="34CDF785" w:rsidR="003A7F6C" w:rsidRPr="00B811C6" w:rsidRDefault="00960520" w:rsidP="00B811C6">
          <w:pPr>
            <w:pStyle w:val="TOC2"/>
          </w:pPr>
          <w:r>
            <w:fldChar w:fldCharType="end"/>
          </w:r>
        </w:p>
      </w:sdtContent>
    </w:sdt>
    <w:bookmarkStart w:id="3" w:name="_Toc314842482" w:displacedByCustomXml="prev"/>
    <w:p w14:paraId="237B1F58" w14:textId="77777777" w:rsidR="00FD119B" w:rsidRDefault="00441C3F" w:rsidP="006452E8">
      <w:pPr>
        <w:pStyle w:val="Heading2"/>
        <w:pageBreakBefore/>
      </w:pPr>
      <w:bookmarkStart w:id="4" w:name="_Toc351716269"/>
      <w:bookmarkStart w:id="5" w:name="_Toc351718881"/>
      <w:bookmarkStart w:id="6" w:name="_Toc355338616"/>
      <w:bookmarkStart w:id="7" w:name="_Toc356306144"/>
      <w:bookmarkStart w:id="8" w:name="_Toc48147453"/>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594"/>
      </w:tblGrid>
      <w:tr w:rsidR="00B73D32" w:rsidRPr="00FD119B" w14:paraId="528774D9" w14:textId="77777777" w:rsidTr="007D7D33">
        <w:trPr>
          <w:cnfStyle w:val="100000000000" w:firstRow="1" w:lastRow="0" w:firstColumn="0" w:lastColumn="0" w:oddVBand="0" w:evenVBand="0" w:oddHBand="0" w:evenHBand="0" w:firstRowFirstColumn="0" w:firstRowLastColumn="0" w:lastRowFirstColumn="0" w:lastRowLastColumn="0"/>
        </w:trPr>
        <w:tc>
          <w:tcPr>
            <w:tcW w:w="1890" w:type="dxa"/>
          </w:tcPr>
          <w:p w14:paraId="115CF741" w14:textId="77777777" w:rsidR="00B73D32" w:rsidRPr="00FD119B" w:rsidRDefault="00B73D32" w:rsidP="007D7D33">
            <w:pPr>
              <w:rPr>
                <w:lang w:eastAsia="en-US"/>
              </w:rPr>
            </w:pPr>
            <w:r w:rsidRPr="00FD119B">
              <w:rPr>
                <w:lang w:eastAsia="en-US"/>
              </w:rPr>
              <w:t>Abbreviation</w:t>
            </w:r>
          </w:p>
        </w:tc>
        <w:tc>
          <w:tcPr>
            <w:tcW w:w="6830" w:type="dxa"/>
          </w:tcPr>
          <w:p w14:paraId="36862007" w14:textId="77777777" w:rsidR="00B73D32" w:rsidRPr="00FD119B" w:rsidRDefault="00B73D32" w:rsidP="007D7D33">
            <w:pPr>
              <w:rPr>
                <w:lang w:eastAsia="en-US"/>
              </w:rPr>
            </w:pPr>
            <w:r w:rsidRPr="00FD119B">
              <w:rPr>
                <w:lang w:eastAsia="en-US"/>
              </w:rPr>
              <w:t>Meaning</w:t>
            </w:r>
          </w:p>
        </w:tc>
      </w:tr>
      <w:tr w:rsidR="00B73D32" w:rsidRPr="00FD119B" w14:paraId="2AD41C12" w14:textId="77777777" w:rsidTr="007D7D33">
        <w:tc>
          <w:tcPr>
            <w:tcW w:w="1890" w:type="dxa"/>
          </w:tcPr>
          <w:p w14:paraId="319A8D89" w14:textId="77777777" w:rsidR="00B73D32" w:rsidRDefault="00B73D32" w:rsidP="007D7D33">
            <w:r>
              <w:t>A</w:t>
            </w:r>
          </w:p>
        </w:tc>
        <w:tc>
          <w:tcPr>
            <w:tcW w:w="6830" w:type="dxa"/>
          </w:tcPr>
          <w:p w14:paraId="11349F68" w14:textId="77777777" w:rsidR="00B73D32" w:rsidRDefault="00B73D32" w:rsidP="007D7D33">
            <w:r>
              <w:t>Alanine</w:t>
            </w:r>
          </w:p>
        </w:tc>
      </w:tr>
      <w:tr w:rsidR="00B73D32" w:rsidRPr="00FD119B" w14:paraId="403123AC" w14:textId="77777777" w:rsidTr="007D7D33">
        <w:tc>
          <w:tcPr>
            <w:tcW w:w="1890" w:type="dxa"/>
          </w:tcPr>
          <w:p w14:paraId="2645965D" w14:textId="77777777" w:rsidR="00B73D32" w:rsidRPr="00FD119B" w:rsidRDefault="00B73D32" w:rsidP="007D7D33">
            <w:r>
              <w:t>ACM</w:t>
            </w:r>
          </w:p>
        </w:tc>
        <w:tc>
          <w:tcPr>
            <w:tcW w:w="6830" w:type="dxa"/>
          </w:tcPr>
          <w:p w14:paraId="56A62D9F" w14:textId="77777777" w:rsidR="00B73D32" w:rsidRPr="00FD119B" w:rsidRDefault="00B73D32" w:rsidP="007D7D33">
            <w:r>
              <w:t>Advisory Committee on Medicines</w:t>
            </w:r>
          </w:p>
        </w:tc>
      </w:tr>
      <w:tr w:rsidR="00B73D32" w14:paraId="0CE23B49" w14:textId="77777777" w:rsidTr="007D7D33">
        <w:tc>
          <w:tcPr>
            <w:tcW w:w="1890" w:type="dxa"/>
          </w:tcPr>
          <w:p w14:paraId="38326171" w14:textId="77777777" w:rsidR="00B73D32" w:rsidRDefault="00B73D32" w:rsidP="007D7D33">
            <w:r>
              <w:t>AE</w:t>
            </w:r>
          </w:p>
        </w:tc>
        <w:tc>
          <w:tcPr>
            <w:tcW w:w="6830" w:type="dxa"/>
          </w:tcPr>
          <w:p w14:paraId="7FD0EB5D" w14:textId="258A60A0" w:rsidR="00B73D32" w:rsidRDefault="00B73D32" w:rsidP="007D7D33">
            <w:r>
              <w:t>Adverse event</w:t>
            </w:r>
          </w:p>
        </w:tc>
      </w:tr>
      <w:tr w:rsidR="00B73D32" w14:paraId="776F0936" w14:textId="77777777" w:rsidTr="007D7D33">
        <w:tc>
          <w:tcPr>
            <w:tcW w:w="1890" w:type="dxa"/>
          </w:tcPr>
          <w:p w14:paraId="5E091398" w14:textId="77777777" w:rsidR="00B73D32" w:rsidRDefault="00B73D32" w:rsidP="007D7D33">
            <w:r>
              <w:t>AESI</w:t>
            </w:r>
          </w:p>
        </w:tc>
        <w:tc>
          <w:tcPr>
            <w:tcW w:w="6830" w:type="dxa"/>
          </w:tcPr>
          <w:p w14:paraId="1D419147" w14:textId="37539464" w:rsidR="00B73D32" w:rsidRDefault="00B73D32" w:rsidP="007D7D33">
            <w:r>
              <w:rPr>
                <w:lang w:val="en-US" w:eastAsia="ja-JP"/>
              </w:rPr>
              <w:t>Adverse event</w:t>
            </w:r>
            <w:r w:rsidR="00311E0A">
              <w:rPr>
                <w:lang w:val="en-US" w:eastAsia="ja-JP"/>
              </w:rPr>
              <w:t xml:space="preserve"> of special interest</w:t>
            </w:r>
          </w:p>
        </w:tc>
      </w:tr>
      <w:tr w:rsidR="00B73D32" w14:paraId="0139E669" w14:textId="77777777" w:rsidTr="007D7D33">
        <w:tc>
          <w:tcPr>
            <w:tcW w:w="1890" w:type="dxa"/>
          </w:tcPr>
          <w:p w14:paraId="79C15433" w14:textId="36652BAE" w:rsidR="00B73D32" w:rsidRDefault="00B73D32" w:rsidP="007D7D33">
            <w:r>
              <w:t>A</w:t>
            </w:r>
            <w:r w:rsidR="003931DD">
              <w:t>KT</w:t>
            </w:r>
          </w:p>
        </w:tc>
        <w:tc>
          <w:tcPr>
            <w:tcW w:w="6830" w:type="dxa"/>
          </w:tcPr>
          <w:p w14:paraId="08C824D6" w14:textId="77777777" w:rsidR="00B73D32" w:rsidRDefault="00B73D32" w:rsidP="007D7D33">
            <w:r>
              <w:t>Protein kinase B</w:t>
            </w:r>
          </w:p>
        </w:tc>
      </w:tr>
      <w:tr w:rsidR="00B73D32" w:rsidRPr="00FD119B" w14:paraId="7BA168E1" w14:textId="77777777" w:rsidTr="007D7D33">
        <w:tc>
          <w:tcPr>
            <w:tcW w:w="1890" w:type="dxa"/>
          </w:tcPr>
          <w:p w14:paraId="2548F442" w14:textId="77777777" w:rsidR="00B73D32" w:rsidRPr="00FD119B" w:rsidRDefault="00B73D32" w:rsidP="007D7D33">
            <w:r>
              <w:t>ARTG</w:t>
            </w:r>
          </w:p>
        </w:tc>
        <w:tc>
          <w:tcPr>
            <w:tcW w:w="6830" w:type="dxa"/>
          </w:tcPr>
          <w:p w14:paraId="7ACF3E99" w14:textId="77777777" w:rsidR="00B73D32" w:rsidRPr="00FD119B" w:rsidRDefault="00B73D32" w:rsidP="007D7D33">
            <w:r>
              <w:t>Australian Register of Therapeutic Goods</w:t>
            </w:r>
          </w:p>
        </w:tc>
      </w:tr>
      <w:tr w:rsidR="00B73D32" w14:paraId="54BB05EA" w14:textId="77777777" w:rsidTr="007D7D33">
        <w:tc>
          <w:tcPr>
            <w:tcW w:w="1890" w:type="dxa"/>
          </w:tcPr>
          <w:p w14:paraId="7A417A8B" w14:textId="77777777" w:rsidR="00B73D32" w:rsidRPr="003042CE" w:rsidRDefault="00B73D32" w:rsidP="007D7D33">
            <w:pPr>
              <w:rPr>
                <w:rFonts w:asciiTheme="minorHAnsi" w:eastAsiaTheme="minorHAnsi" w:hAnsiTheme="minorHAnsi" w:cs="Arial"/>
              </w:rPr>
            </w:pPr>
            <w:r>
              <w:rPr>
                <w:rFonts w:asciiTheme="minorHAnsi" w:eastAsiaTheme="minorHAnsi" w:hAnsiTheme="minorHAnsi" w:cs="Arial"/>
              </w:rPr>
              <w:t>ASA</w:t>
            </w:r>
          </w:p>
        </w:tc>
        <w:tc>
          <w:tcPr>
            <w:tcW w:w="6830" w:type="dxa"/>
          </w:tcPr>
          <w:p w14:paraId="3D071B9C" w14:textId="585EC059" w:rsidR="00B73D32" w:rsidRDefault="00D46E2C" w:rsidP="007D7D33">
            <w:pPr>
              <w:rPr>
                <w:rFonts w:asciiTheme="minorHAnsi" w:eastAsiaTheme="minorHAnsi" w:hAnsiTheme="minorHAnsi" w:cs="Arial"/>
              </w:rPr>
            </w:pPr>
            <w:r>
              <w:t>Australian s</w:t>
            </w:r>
            <w:r w:rsidR="00B73D32">
              <w:t>pecific Annex</w:t>
            </w:r>
          </w:p>
        </w:tc>
      </w:tr>
      <w:tr w:rsidR="00B73D32" w14:paraId="79ECB96C" w14:textId="77777777" w:rsidTr="007D7D33">
        <w:tc>
          <w:tcPr>
            <w:tcW w:w="1890" w:type="dxa"/>
          </w:tcPr>
          <w:p w14:paraId="25DEBE79" w14:textId="77777777" w:rsidR="00B73D32" w:rsidRDefault="00B73D32" w:rsidP="007D7D33">
            <w:r>
              <w:t>AUC</w:t>
            </w:r>
          </w:p>
        </w:tc>
        <w:tc>
          <w:tcPr>
            <w:tcW w:w="6830" w:type="dxa"/>
          </w:tcPr>
          <w:p w14:paraId="6D3DE0FA" w14:textId="77777777" w:rsidR="00B73D32" w:rsidRDefault="00B73D32" w:rsidP="007D7D33">
            <w:r>
              <w:t>Area under the plasma concentration time curve</w:t>
            </w:r>
          </w:p>
        </w:tc>
      </w:tr>
      <w:tr w:rsidR="00B73D32" w14:paraId="2AFF3E7F" w14:textId="77777777" w:rsidTr="007D7D33">
        <w:tc>
          <w:tcPr>
            <w:tcW w:w="1890" w:type="dxa"/>
          </w:tcPr>
          <w:p w14:paraId="099265F0" w14:textId="77777777" w:rsidR="00B73D32" w:rsidRDefault="00B73D32" w:rsidP="007D7D33">
            <w:r>
              <w:t>BIRC</w:t>
            </w:r>
          </w:p>
        </w:tc>
        <w:tc>
          <w:tcPr>
            <w:tcW w:w="6830" w:type="dxa"/>
          </w:tcPr>
          <w:p w14:paraId="505D6BD9" w14:textId="77777777" w:rsidR="00B73D32" w:rsidRDefault="00B73D32" w:rsidP="007D7D33">
            <w:r>
              <w:t>Blinded independent review committee</w:t>
            </w:r>
          </w:p>
        </w:tc>
      </w:tr>
      <w:tr w:rsidR="00B73D32" w14:paraId="1E634231" w14:textId="77777777" w:rsidTr="007D7D33">
        <w:tc>
          <w:tcPr>
            <w:tcW w:w="1890" w:type="dxa"/>
          </w:tcPr>
          <w:p w14:paraId="1D0D5FBC" w14:textId="77777777" w:rsidR="00B73D32" w:rsidRDefault="00B73D32" w:rsidP="007D7D33">
            <w:r>
              <w:t>BPI-SF</w:t>
            </w:r>
          </w:p>
        </w:tc>
        <w:tc>
          <w:tcPr>
            <w:tcW w:w="6830" w:type="dxa"/>
          </w:tcPr>
          <w:p w14:paraId="251E81B8" w14:textId="11B76D5E" w:rsidR="00B73D32" w:rsidRDefault="00B73D32" w:rsidP="007D7D33">
            <w:pPr>
              <w:rPr>
                <w:rFonts w:ascii="Arial" w:eastAsiaTheme="minorHAnsi" w:hAnsi="Arial" w:cs="Arial"/>
                <w:sz w:val="18"/>
                <w:szCs w:val="18"/>
              </w:rPr>
            </w:pPr>
            <w:r>
              <w:t>Brie</w:t>
            </w:r>
            <w:r w:rsidR="00D46E2C">
              <w:t>f Pain I</w:t>
            </w:r>
            <w:r>
              <w:t>nventory - s</w:t>
            </w:r>
            <w:r w:rsidRPr="00B53101">
              <w:t>hor</w:t>
            </w:r>
            <w:r>
              <w:t>t form</w:t>
            </w:r>
          </w:p>
        </w:tc>
      </w:tr>
      <w:tr w:rsidR="00B73D32" w14:paraId="251C0FBE" w14:textId="77777777" w:rsidTr="007D7D33">
        <w:tc>
          <w:tcPr>
            <w:tcW w:w="1890" w:type="dxa"/>
          </w:tcPr>
          <w:p w14:paraId="60EF1D2D" w14:textId="77777777" w:rsidR="00B73D32" w:rsidRDefault="00B73D32" w:rsidP="007D7D33">
            <w:r>
              <w:t>BSEP</w:t>
            </w:r>
          </w:p>
        </w:tc>
        <w:tc>
          <w:tcPr>
            <w:tcW w:w="6830" w:type="dxa"/>
          </w:tcPr>
          <w:p w14:paraId="503F3D36" w14:textId="77777777" w:rsidR="00B73D32" w:rsidRDefault="00B73D32" w:rsidP="007D7D33">
            <w:r>
              <w:t>Bile salt export pump</w:t>
            </w:r>
          </w:p>
        </w:tc>
      </w:tr>
      <w:tr w:rsidR="00B73D32" w14:paraId="77335AE3" w14:textId="77777777" w:rsidTr="007D7D33">
        <w:tc>
          <w:tcPr>
            <w:tcW w:w="1890" w:type="dxa"/>
          </w:tcPr>
          <w:p w14:paraId="4094BEAB" w14:textId="77777777" w:rsidR="00B73D32" w:rsidRDefault="00B73D32" w:rsidP="007D7D33">
            <w:r>
              <w:t>BZG791</w:t>
            </w:r>
          </w:p>
        </w:tc>
        <w:tc>
          <w:tcPr>
            <w:tcW w:w="6830" w:type="dxa"/>
          </w:tcPr>
          <w:p w14:paraId="25638D60" w14:textId="248213E4" w:rsidR="00B73D32" w:rsidRDefault="00CE71DB" w:rsidP="007D7D33">
            <w:r>
              <w:t>M</w:t>
            </w:r>
            <w:r w:rsidR="00B73D32">
              <w:t xml:space="preserve">ajor metabolite of </w:t>
            </w:r>
            <w:proofErr w:type="spellStart"/>
            <w:r w:rsidR="00B73D32">
              <w:t>alpelisib</w:t>
            </w:r>
            <w:proofErr w:type="spellEnd"/>
          </w:p>
        </w:tc>
      </w:tr>
      <w:tr w:rsidR="00B73D32" w:rsidRPr="00FD119B" w14:paraId="5B425795" w14:textId="77777777" w:rsidTr="007D7D33">
        <w:tc>
          <w:tcPr>
            <w:tcW w:w="1890" w:type="dxa"/>
          </w:tcPr>
          <w:p w14:paraId="0832AD74" w14:textId="77777777" w:rsidR="00B73D32" w:rsidRDefault="00B73D32" w:rsidP="007D7D33">
            <w:r>
              <w:t>C</w:t>
            </w:r>
          </w:p>
        </w:tc>
        <w:tc>
          <w:tcPr>
            <w:tcW w:w="6830" w:type="dxa"/>
          </w:tcPr>
          <w:p w14:paraId="1B34FFB4" w14:textId="77777777" w:rsidR="00B73D32" w:rsidRDefault="00B73D32" w:rsidP="00DA264F">
            <w:r>
              <w:t>Cysteine</w:t>
            </w:r>
          </w:p>
        </w:tc>
      </w:tr>
      <w:tr w:rsidR="00B73D32" w14:paraId="7C8C7FD1" w14:textId="77777777" w:rsidTr="007D7D33">
        <w:tc>
          <w:tcPr>
            <w:tcW w:w="1890" w:type="dxa"/>
          </w:tcPr>
          <w:p w14:paraId="1B26DC01" w14:textId="77777777" w:rsidR="00B73D32" w:rsidRPr="007D7D33" w:rsidRDefault="00B73D32" w:rsidP="007D7D33">
            <w:r w:rsidRPr="007D7D33">
              <w:t>CBR</w:t>
            </w:r>
          </w:p>
        </w:tc>
        <w:tc>
          <w:tcPr>
            <w:tcW w:w="6830" w:type="dxa"/>
          </w:tcPr>
          <w:p w14:paraId="3CD2C2EB" w14:textId="77777777" w:rsidR="00B73D32" w:rsidRPr="007D7D33" w:rsidRDefault="00B73D32" w:rsidP="007D7D33">
            <w:r w:rsidRPr="007D7D33">
              <w:t>Clinical benefit rate</w:t>
            </w:r>
          </w:p>
        </w:tc>
      </w:tr>
      <w:tr w:rsidR="00B73D32" w14:paraId="61E64493" w14:textId="77777777" w:rsidTr="007D7D33">
        <w:tc>
          <w:tcPr>
            <w:tcW w:w="1890" w:type="dxa"/>
          </w:tcPr>
          <w:p w14:paraId="35107BF3" w14:textId="77777777" w:rsidR="00B73D32" w:rsidRPr="007D7D33" w:rsidRDefault="00B73D32" w:rsidP="007D7D33">
            <w:r w:rsidRPr="007D7D33">
              <w:t>CDK4/6</w:t>
            </w:r>
          </w:p>
        </w:tc>
        <w:tc>
          <w:tcPr>
            <w:tcW w:w="6830" w:type="dxa"/>
          </w:tcPr>
          <w:p w14:paraId="546FD90A" w14:textId="77777777" w:rsidR="00B73D32" w:rsidRPr="007D7D33" w:rsidRDefault="00B73D32" w:rsidP="007D7D33">
            <w:r w:rsidRPr="007D7D33">
              <w:t>Cyclin-dependent kinase 4/6</w:t>
            </w:r>
          </w:p>
        </w:tc>
      </w:tr>
      <w:tr w:rsidR="00B73D32" w14:paraId="5AA617C7" w14:textId="77777777" w:rsidTr="007D7D33">
        <w:tc>
          <w:tcPr>
            <w:tcW w:w="1890" w:type="dxa"/>
          </w:tcPr>
          <w:p w14:paraId="59E1A37A" w14:textId="77777777" w:rsidR="00B73D32" w:rsidRPr="007D7D33" w:rsidRDefault="00B73D32" w:rsidP="007D7D33">
            <w:proofErr w:type="spellStart"/>
            <w:r w:rsidRPr="007D7D33">
              <w:t>CDx</w:t>
            </w:r>
            <w:proofErr w:type="spellEnd"/>
          </w:p>
        </w:tc>
        <w:tc>
          <w:tcPr>
            <w:tcW w:w="6830" w:type="dxa"/>
          </w:tcPr>
          <w:p w14:paraId="404964A0" w14:textId="77777777" w:rsidR="00B73D32" w:rsidRPr="007D7D33" w:rsidRDefault="00B73D32" w:rsidP="007D7D33">
            <w:r w:rsidRPr="007D7D33">
              <w:t>Companion diagnostic</w:t>
            </w:r>
            <w:r>
              <w:t>s</w:t>
            </w:r>
            <w:r w:rsidRPr="007D7D33">
              <w:t xml:space="preserve">, specifically the </w:t>
            </w:r>
            <w:proofErr w:type="spellStart"/>
            <w:r w:rsidRPr="007D7D33">
              <w:t>Qiagen</w:t>
            </w:r>
            <w:proofErr w:type="spellEnd"/>
            <w:r w:rsidRPr="007D7D33">
              <w:t xml:space="preserve"> </w:t>
            </w:r>
            <w:proofErr w:type="spellStart"/>
            <w:r w:rsidRPr="007D7D33">
              <w:t>therascreen</w:t>
            </w:r>
            <w:proofErr w:type="spellEnd"/>
            <w:r w:rsidRPr="007D7D33">
              <w:t xml:space="preserve"> phosphatidylinositol 3-kinase catalytic alpha subunit RGQ polymerase chain reaction kit</w:t>
            </w:r>
          </w:p>
        </w:tc>
      </w:tr>
      <w:tr w:rsidR="00B73D32" w14:paraId="26D64FA1" w14:textId="77777777" w:rsidTr="007D7D33">
        <w:tc>
          <w:tcPr>
            <w:tcW w:w="1890" w:type="dxa"/>
          </w:tcPr>
          <w:p w14:paraId="30EB1C57" w14:textId="77777777" w:rsidR="00B73D32" w:rsidRPr="007D7D33" w:rsidRDefault="00B73D32" w:rsidP="007D7D33">
            <w:r w:rsidRPr="007D7D33">
              <w:t>CI</w:t>
            </w:r>
          </w:p>
        </w:tc>
        <w:tc>
          <w:tcPr>
            <w:tcW w:w="6830" w:type="dxa"/>
          </w:tcPr>
          <w:p w14:paraId="46AAF06D" w14:textId="77777777" w:rsidR="00B73D32" w:rsidRPr="007D7D33" w:rsidRDefault="00B73D32" w:rsidP="007D7D33">
            <w:r w:rsidRPr="007D7D33">
              <w:t>Confidence interval</w:t>
            </w:r>
          </w:p>
        </w:tc>
      </w:tr>
      <w:tr w:rsidR="00B73D32" w14:paraId="44567E01" w14:textId="77777777" w:rsidTr="007D7D33">
        <w:tc>
          <w:tcPr>
            <w:tcW w:w="1890" w:type="dxa"/>
          </w:tcPr>
          <w:p w14:paraId="06B998A7" w14:textId="77777777" w:rsidR="00B73D32" w:rsidRPr="007D7D33" w:rsidRDefault="00B73D32" w:rsidP="007D7D33">
            <w:r w:rsidRPr="007D7D33">
              <w:t>C</w:t>
            </w:r>
            <w:r w:rsidRPr="007D7D33">
              <w:rPr>
                <w:vertAlign w:val="subscript"/>
              </w:rPr>
              <w:t>max</w:t>
            </w:r>
          </w:p>
        </w:tc>
        <w:tc>
          <w:tcPr>
            <w:tcW w:w="6830" w:type="dxa"/>
          </w:tcPr>
          <w:p w14:paraId="1921E4E2" w14:textId="2C5F14D9" w:rsidR="00B73D32" w:rsidRPr="007D7D33" w:rsidRDefault="00F154FD" w:rsidP="007D7D33">
            <w:r>
              <w:t>M</w:t>
            </w:r>
            <w:r w:rsidR="00B73D32" w:rsidRPr="007D7D33">
              <w:t>aximum plasma (or serum or blood) concentration following drug administration</w:t>
            </w:r>
          </w:p>
        </w:tc>
      </w:tr>
      <w:tr w:rsidR="00B73D32" w14:paraId="0762F999" w14:textId="77777777" w:rsidTr="007D7D33">
        <w:tc>
          <w:tcPr>
            <w:tcW w:w="1890" w:type="dxa"/>
          </w:tcPr>
          <w:p w14:paraId="452CC647" w14:textId="77777777" w:rsidR="00B73D32" w:rsidRPr="007D7D33" w:rsidRDefault="00B73D32" w:rsidP="007D7D33">
            <w:r w:rsidRPr="007D7D33">
              <w:t>CMI</w:t>
            </w:r>
          </w:p>
        </w:tc>
        <w:tc>
          <w:tcPr>
            <w:tcW w:w="6830" w:type="dxa"/>
          </w:tcPr>
          <w:p w14:paraId="61BF6A6E" w14:textId="77777777" w:rsidR="00B73D32" w:rsidRPr="007D7D33" w:rsidRDefault="00B73D32" w:rsidP="007D7D33">
            <w:r w:rsidRPr="007D7D33">
              <w:t>Consumer Medicines Information</w:t>
            </w:r>
          </w:p>
        </w:tc>
      </w:tr>
      <w:tr w:rsidR="00B73D32" w14:paraId="7D1BE60C" w14:textId="77777777" w:rsidTr="007D7D33">
        <w:tc>
          <w:tcPr>
            <w:tcW w:w="1890" w:type="dxa"/>
          </w:tcPr>
          <w:p w14:paraId="7B0E0AD1" w14:textId="77777777" w:rsidR="00B73D32" w:rsidRPr="007D7D33" w:rsidRDefault="00B73D32" w:rsidP="007D7D33">
            <w:r w:rsidRPr="007D7D33">
              <w:t>CR</w:t>
            </w:r>
          </w:p>
        </w:tc>
        <w:tc>
          <w:tcPr>
            <w:tcW w:w="6830" w:type="dxa"/>
          </w:tcPr>
          <w:p w14:paraId="64C1E285" w14:textId="77777777" w:rsidR="00B73D32" w:rsidRPr="007D7D33" w:rsidRDefault="00B73D32" w:rsidP="007D7D33">
            <w:r w:rsidRPr="007D7D33">
              <w:t>Complete response</w:t>
            </w:r>
          </w:p>
        </w:tc>
      </w:tr>
      <w:tr w:rsidR="00B73D32" w14:paraId="02E5F0AC" w14:textId="77777777" w:rsidTr="007D7D33">
        <w:tc>
          <w:tcPr>
            <w:tcW w:w="1890" w:type="dxa"/>
          </w:tcPr>
          <w:p w14:paraId="3255637B" w14:textId="77777777" w:rsidR="00B73D32" w:rsidRPr="007D7D33" w:rsidRDefault="00B73D32" w:rsidP="007D7D33">
            <w:r w:rsidRPr="007D7D33">
              <w:t>CT</w:t>
            </w:r>
          </w:p>
        </w:tc>
        <w:tc>
          <w:tcPr>
            <w:tcW w:w="6830" w:type="dxa"/>
          </w:tcPr>
          <w:p w14:paraId="10D628BF" w14:textId="77777777" w:rsidR="00B73D32" w:rsidRPr="007D7D33" w:rsidRDefault="00B73D32" w:rsidP="007D7D33">
            <w:r>
              <w:t>C</w:t>
            </w:r>
            <w:r w:rsidRPr="007D7D33">
              <w:t>omputed tomography</w:t>
            </w:r>
          </w:p>
        </w:tc>
      </w:tr>
      <w:tr w:rsidR="00B73D32" w14:paraId="778D6BEC" w14:textId="77777777" w:rsidTr="007D7D33">
        <w:tc>
          <w:tcPr>
            <w:tcW w:w="1890" w:type="dxa"/>
          </w:tcPr>
          <w:p w14:paraId="4A4E9C53" w14:textId="77777777" w:rsidR="00B73D32" w:rsidRPr="007D7D33" w:rsidRDefault="00B73D32" w:rsidP="007D7D33">
            <w:r w:rsidRPr="007D7D33">
              <w:t>CTA</w:t>
            </w:r>
          </w:p>
        </w:tc>
        <w:tc>
          <w:tcPr>
            <w:tcW w:w="6830" w:type="dxa"/>
          </w:tcPr>
          <w:p w14:paraId="44CFEB94" w14:textId="77777777" w:rsidR="00B73D32" w:rsidRPr="007D7D33" w:rsidRDefault="00B73D32" w:rsidP="007D7D33">
            <w:r w:rsidRPr="007D7D33">
              <w:t>Novartis phosphatidylinositol 3-kinase catalytic alpha subunit</w:t>
            </w:r>
            <w:r>
              <w:t xml:space="preserve"> polymerase chain reaction </w:t>
            </w:r>
            <w:r w:rsidRPr="007D7D33">
              <w:t>mutation clinical trial assay</w:t>
            </w:r>
          </w:p>
        </w:tc>
      </w:tr>
      <w:tr w:rsidR="00B73D32" w14:paraId="640772E5" w14:textId="77777777" w:rsidTr="007D7D33">
        <w:tc>
          <w:tcPr>
            <w:tcW w:w="1890" w:type="dxa"/>
          </w:tcPr>
          <w:p w14:paraId="077230CD" w14:textId="77777777" w:rsidR="00B73D32" w:rsidRPr="007D7D33" w:rsidRDefault="00B73D32" w:rsidP="007D7D33">
            <w:proofErr w:type="spellStart"/>
            <w:r w:rsidRPr="007D7D33">
              <w:t>ctDNA</w:t>
            </w:r>
            <w:proofErr w:type="spellEnd"/>
          </w:p>
        </w:tc>
        <w:tc>
          <w:tcPr>
            <w:tcW w:w="6830" w:type="dxa"/>
          </w:tcPr>
          <w:p w14:paraId="42C6E9E3" w14:textId="0BAA4BC6" w:rsidR="00B73D32" w:rsidRPr="007D7D33" w:rsidRDefault="00B73D32" w:rsidP="007D7D33">
            <w:r w:rsidRPr="007D7D33">
              <w:t>Circulating tumo</w:t>
            </w:r>
            <w:r w:rsidR="00416E6D">
              <w:t>u</w:t>
            </w:r>
            <w:r w:rsidRPr="007D7D33">
              <w:t>r deoxyribonucleic acid</w:t>
            </w:r>
          </w:p>
        </w:tc>
      </w:tr>
      <w:tr w:rsidR="00B73D32" w14:paraId="37E91FB8" w14:textId="77777777" w:rsidTr="007D7D33">
        <w:tc>
          <w:tcPr>
            <w:tcW w:w="1890" w:type="dxa"/>
          </w:tcPr>
          <w:p w14:paraId="0CCF9555" w14:textId="77777777" w:rsidR="00B73D32" w:rsidRDefault="00B73D32" w:rsidP="007D7D33">
            <w:r>
              <w:lastRenderedPageBreak/>
              <w:t>CYP</w:t>
            </w:r>
          </w:p>
        </w:tc>
        <w:tc>
          <w:tcPr>
            <w:tcW w:w="6830" w:type="dxa"/>
          </w:tcPr>
          <w:p w14:paraId="12A0A510" w14:textId="68D2D1D1" w:rsidR="00B73D32" w:rsidRDefault="00B73D32" w:rsidP="007D7D33">
            <w:r>
              <w:t>Cytochrome P450 enzyme</w:t>
            </w:r>
            <w:r w:rsidR="00BF493E">
              <w:t>(s)</w:t>
            </w:r>
          </w:p>
        </w:tc>
      </w:tr>
      <w:tr w:rsidR="00B73D32" w:rsidRPr="00FD119B" w14:paraId="2003D90A" w14:textId="77777777" w:rsidTr="007D7D33">
        <w:tc>
          <w:tcPr>
            <w:tcW w:w="1890" w:type="dxa"/>
          </w:tcPr>
          <w:p w14:paraId="0572A592" w14:textId="77777777" w:rsidR="00B73D32" w:rsidRDefault="00B73D32" w:rsidP="007D7D33">
            <w:r>
              <w:t>D</w:t>
            </w:r>
          </w:p>
        </w:tc>
        <w:tc>
          <w:tcPr>
            <w:tcW w:w="6830" w:type="dxa"/>
          </w:tcPr>
          <w:p w14:paraId="1A468FB5" w14:textId="77777777" w:rsidR="00B73D32" w:rsidRDefault="00B73D32" w:rsidP="007D7D33">
            <w:r>
              <w:t>Aspartic acid</w:t>
            </w:r>
          </w:p>
        </w:tc>
      </w:tr>
      <w:tr w:rsidR="00B73D32" w14:paraId="4B91D5A5" w14:textId="77777777" w:rsidTr="007D7D33">
        <w:tc>
          <w:tcPr>
            <w:tcW w:w="1890" w:type="dxa"/>
          </w:tcPr>
          <w:p w14:paraId="4EAA16A5" w14:textId="77777777" w:rsidR="00B73D32" w:rsidRPr="007D7D33" w:rsidRDefault="00B73D32" w:rsidP="007D7D33">
            <w:r w:rsidRPr="007D7D33">
              <w:t>DLP</w:t>
            </w:r>
          </w:p>
        </w:tc>
        <w:tc>
          <w:tcPr>
            <w:tcW w:w="6830" w:type="dxa"/>
          </w:tcPr>
          <w:p w14:paraId="6E3392C1" w14:textId="77777777" w:rsidR="00B73D32" w:rsidRPr="007D7D33" w:rsidRDefault="00B73D32" w:rsidP="007D7D33">
            <w:r>
              <w:t>D</w:t>
            </w:r>
            <w:r w:rsidRPr="007D7D33">
              <w:t>ata lock point</w:t>
            </w:r>
          </w:p>
        </w:tc>
      </w:tr>
      <w:tr w:rsidR="00B73D32" w:rsidRPr="00FD119B" w14:paraId="798724AA" w14:textId="77777777" w:rsidTr="007D7D33">
        <w:tc>
          <w:tcPr>
            <w:tcW w:w="1890" w:type="dxa"/>
          </w:tcPr>
          <w:p w14:paraId="34BE0B8F" w14:textId="77777777" w:rsidR="00B73D32" w:rsidRDefault="00B73D32" w:rsidP="007D7D33">
            <w:r>
              <w:t>DNA</w:t>
            </w:r>
          </w:p>
        </w:tc>
        <w:tc>
          <w:tcPr>
            <w:tcW w:w="6830" w:type="dxa"/>
          </w:tcPr>
          <w:p w14:paraId="79CE4703" w14:textId="77777777" w:rsidR="00B73D32" w:rsidRDefault="00B73D32" w:rsidP="007D7D33">
            <w:r>
              <w:t>Deoxyribonucleic acid</w:t>
            </w:r>
          </w:p>
        </w:tc>
      </w:tr>
      <w:tr w:rsidR="00B73D32" w14:paraId="40A32F7B" w14:textId="77777777" w:rsidTr="007D7D33">
        <w:tc>
          <w:tcPr>
            <w:tcW w:w="1890" w:type="dxa"/>
          </w:tcPr>
          <w:p w14:paraId="50968139" w14:textId="77777777" w:rsidR="00B73D32" w:rsidRPr="007D7D33" w:rsidRDefault="00B73D32" w:rsidP="007D7D33">
            <w:r w:rsidRPr="007D7D33">
              <w:t>E</w:t>
            </w:r>
          </w:p>
        </w:tc>
        <w:tc>
          <w:tcPr>
            <w:tcW w:w="6830" w:type="dxa"/>
          </w:tcPr>
          <w:p w14:paraId="38E83E1A" w14:textId="77777777" w:rsidR="00B73D32" w:rsidRPr="007D7D33" w:rsidRDefault="00B73D32" w:rsidP="007D7D33">
            <w:r w:rsidRPr="007D7D33">
              <w:t>Glutamic acid</w:t>
            </w:r>
          </w:p>
        </w:tc>
      </w:tr>
      <w:tr w:rsidR="00B73D32" w14:paraId="6EEA7305" w14:textId="77777777" w:rsidTr="007D7D33">
        <w:tc>
          <w:tcPr>
            <w:tcW w:w="1890" w:type="dxa"/>
          </w:tcPr>
          <w:p w14:paraId="4F6158D3" w14:textId="77777777" w:rsidR="00B73D32" w:rsidRPr="007D7D33" w:rsidRDefault="00B73D32" w:rsidP="007D7D33">
            <w:r w:rsidRPr="007D7D33">
              <w:t>ECG</w:t>
            </w:r>
          </w:p>
        </w:tc>
        <w:tc>
          <w:tcPr>
            <w:tcW w:w="6830" w:type="dxa"/>
          </w:tcPr>
          <w:p w14:paraId="64997A01" w14:textId="77777777" w:rsidR="00B73D32" w:rsidRPr="007D7D33" w:rsidRDefault="00B73D32" w:rsidP="007D7D33">
            <w:r w:rsidRPr="007D7D33">
              <w:t>Electrocardiogram</w:t>
            </w:r>
          </w:p>
        </w:tc>
      </w:tr>
      <w:tr w:rsidR="00B73D32" w14:paraId="6666AF6D" w14:textId="77777777" w:rsidTr="007D7D33">
        <w:tc>
          <w:tcPr>
            <w:tcW w:w="1890" w:type="dxa"/>
          </w:tcPr>
          <w:p w14:paraId="334B6DEB" w14:textId="77777777" w:rsidR="00B73D32" w:rsidRPr="007D7D33" w:rsidRDefault="00B73D32" w:rsidP="007D7D33">
            <w:r w:rsidRPr="007D7D33">
              <w:t>ECOG</w:t>
            </w:r>
          </w:p>
        </w:tc>
        <w:tc>
          <w:tcPr>
            <w:tcW w:w="6830" w:type="dxa"/>
          </w:tcPr>
          <w:p w14:paraId="6FC4A7CF" w14:textId="77777777" w:rsidR="00B73D32" w:rsidRPr="007D7D33" w:rsidRDefault="00B73D32" w:rsidP="007D7D33">
            <w:r w:rsidRPr="007D7D33">
              <w:t>Eastern Cooperative Oncology Group</w:t>
            </w:r>
          </w:p>
        </w:tc>
      </w:tr>
      <w:tr w:rsidR="00B73D32" w14:paraId="7A90E6C1" w14:textId="77777777" w:rsidTr="007D7D33">
        <w:tc>
          <w:tcPr>
            <w:tcW w:w="1890" w:type="dxa"/>
          </w:tcPr>
          <w:p w14:paraId="0C64D2ED" w14:textId="77777777" w:rsidR="00B73D32" w:rsidRPr="007D7D33" w:rsidRDefault="00B73D32" w:rsidP="007D7D33">
            <w:r w:rsidRPr="007D7D33">
              <w:t>EORTC</w:t>
            </w:r>
          </w:p>
        </w:tc>
        <w:tc>
          <w:tcPr>
            <w:tcW w:w="6830" w:type="dxa"/>
          </w:tcPr>
          <w:p w14:paraId="12FC77E9" w14:textId="77777777" w:rsidR="00B73D32" w:rsidRPr="007D7D33" w:rsidRDefault="00B73D32" w:rsidP="007D7D33">
            <w:r w:rsidRPr="007D7D33">
              <w:t>European Organisation for R</w:t>
            </w:r>
            <w:r>
              <w:t>esearch and Treatment of Cancer</w:t>
            </w:r>
          </w:p>
        </w:tc>
      </w:tr>
      <w:tr w:rsidR="00B73D32" w14:paraId="256FB61C" w14:textId="77777777" w:rsidTr="007D7D33">
        <w:tc>
          <w:tcPr>
            <w:tcW w:w="1890" w:type="dxa"/>
          </w:tcPr>
          <w:p w14:paraId="23F17466" w14:textId="77777777" w:rsidR="00B73D32" w:rsidRPr="007D7D33" w:rsidRDefault="00B73D32" w:rsidP="007D7D33">
            <w:r w:rsidRPr="007D7D33">
              <w:t>ET</w:t>
            </w:r>
          </w:p>
        </w:tc>
        <w:tc>
          <w:tcPr>
            <w:tcW w:w="6830" w:type="dxa"/>
          </w:tcPr>
          <w:p w14:paraId="010B3152" w14:textId="77777777" w:rsidR="00B73D32" w:rsidRPr="007D7D33" w:rsidRDefault="00B73D32" w:rsidP="007D7D33">
            <w:r>
              <w:t>E</w:t>
            </w:r>
            <w:r w:rsidRPr="007D7D33">
              <w:t>ndocrine therapy</w:t>
            </w:r>
          </w:p>
        </w:tc>
      </w:tr>
      <w:tr w:rsidR="00B73D32" w14:paraId="57F6447E" w14:textId="77777777" w:rsidTr="007D7D33">
        <w:tc>
          <w:tcPr>
            <w:tcW w:w="1890" w:type="dxa"/>
          </w:tcPr>
          <w:p w14:paraId="49AA272A" w14:textId="77777777" w:rsidR="00B73D32" w:rsidRPr="007D7D33" w:rsidRDefault="00B73D32" w:rsidP="007D7D33">
            <w:r w:rsidRPr="007D7D33">
              <w:t>EU</w:t>
            </w:r>
          </w:p>
        </w:tc>
        <w:tc>
          <w:tcPr>
            <w:tcW w:w="6830" w:type="dxa"/>
          </w:tcPr>
          <w:p w14:paraId="1FAD572E" w14:textId="77777777" w:rsidR="00B73D32" w:rsidRPr="007D7D33" w:rsidRDefault="00B73D32" w:rsidP="007D7D33">
            <w:r w:rsidRPr="007D7D33">
              <w:t>European Union</w:t>
            </w:r>
          </w:p>
        </w:tc>
      </w:tr>
      <w:tr w:rsidR="00B73D32" w14:paraId="50661A60" w14:textId="77777777" w:rsidTr="007D7D33">
        <w:tc>
          <w:tcPr>
            <w:tcW w:w="1890" w:type="dxa"/>
          </w:tcPr>
          <w:p w14:paraId="1DAE8C3D" w14:textId="77777777" w:rsidR="00B73D32" w:rsidRPr="007D7D33" w:rsidRDefault="00B73D32" w:rsidP="007D7D33">
            <w:r w:rsidRPr="007D7D33">
              <w:t>FAS</w:t>
            </w:r>
          </w:p>
        </w:tc>
        <w:tc>
          <w:tcPr>
            <w:tcW w:w="6830" w:type="dxa"/>
          </w:tcPr>
          <w:p w14:paraId="4C46BA4E" w14:textId="77777777" w:rsidR="00B73D32" w:rsidRPr="007D7D33" w:rsidRDefault="00B73D32" w:rsidP="007D7D33">
            <w:r w:rsidRPr="007D7D33">
              <w:t>Full analysis set</w:t>
            </w:r>
          </w:p>
        </w:tc>
      </w:tr>
      <w:tr w:rsidR="00B73D32" w14:paraId="341E6BB0" w14:textId="77777777" w:rsidTr="007D7D33">
        <w:tc>
          <w:tcPr>
            <w:tcW w:w="1890" w:type="dxa"/>
          </w:tcPr>
          <w:p w14:paraId="780EBF1F" w14:textId="77777777" w:rsidR="00B73D32" w:rsidRPr="007D7D33" w:rsidRDefault="00B73D32" w:rsidP="007D7D33">
            <w:r w:rsidRPr="007D7D33">
              <w:t>FDA</w:t>
            </w:r>
          </w:p>
        </w:tc>
        <w:tc>
          <w:tcPr>
            <w:tcW w:w="6830" w:type="dxa"/>
          </w:tcPr>
          <w:p w14:paraId="68C6F7D4" w14:textId="77777777" w:rsidR="00B73D32" w:rsidRPr="007D7D33" w:rsidRDefault="00B73D32" w:rsidP="007D7D33">
            <w:r w:rsidRPr="007D7D33">
              <w:t>Food and Drug Administration</w:t>
            </w:r>
            <w:r>
              <w:t xml:space="preserve"> (United States of America)</w:t>
            </w:r>
          </w:p>
        </w:tc>
      </w:tr>
      <w:tr w:rsidR="00B73D32" w:rsidRPr="00FD119B" w14:paraId="756BA522" w14:textId="77777777" w:rsidTr="007D7D33">
        <w:tc>
          <w:tcPr>
            <w:tcW w:w="1890" w:type="dxa"/>
          </w:tcPr>
          <w:p w14:paraId="0E161974" w14:textId="77777777" w:rsidR="00B73D32" w:rsidRDefault="00B73D32" w:rsidP="007D7D33">
            <w:r>
              <w:t>FPG</w:t>
            </w:r>
          </w:p>
        </w:tc>
        <w:tc>
          <w:tcPr>
            <w:tcW w:w="6830" w:type="dxa"/>
          </w:tcPr>
          <w:p w14:paraId="00DB3ACE" w14:textId="77777777" w:rsidR="00B73D32" w:rsidRDefault="00B73D32" w:rsidP="007D7D33">
            <w:r>
              <w:t>Fasting plasma glucose</w:t>
            </w:r>
          </w:p>
        </w:tc>
      </w:tr>
      <w:tr w:rsidR="00B73D32" w14:paraId="0D9AEF5A" w14:textId="77777777" w:rsidTr="007D7D33">
        <w:tc>
          <w:tcPr>
            <w:tcW w:w="1890" w:type="dxa"/>
          </w:tcPr>
          <w:p w14:paraId="3DAB0150" w14:textId="77777777" w:rsidR="00B73D32" w:rsidRPr="007D7D33" w:rsidRDefault="00B73D32" w:rsidP="007D7D33">
            <w:r>
              <w:t>G</w:t>
            </w:r>
          </w:p>
        </w:tc>
        <w:tc>
          <w:tcPr>
            <w:tcW w:w="6830" w:type="dxa"/>
          </w:tcPr>
          <w:p w14:paraId="645E3818" w14:textId="77777777" w:rsidR="00B73D32" w:rsidRPr="007D7D33" w:rsidRDefault="00B73D32" w:rsidP="007D7D33">
            <w:r>
              <w:t>Glycine</w:t>
            </w:r>
          </w:p>
        </w:tc>
      </w:tr>
      <w:tr w:rsidR="00B73D32" w14:paraId="03ADBBF5" w14:textId="77777777" w:rsidTr="007D7D33">
        <w:tc>
          <w:tcPr>
            <w:tcW w:w="1890" w:type="dxa"/>
          </w:tcPr>
          <w:p w14:paraId="0BDD0220" w14:textId="77777777" w:rsidR="00B73D32" w:rsidRPr="007D7D33" w:rsidRDefault="00B73D32" w:rsidP="007D7D33">
            <w:r w:rsidRPr="007D7D33">
              <w:t>GI</w:t>
            </w:r>
          </w:p>
        </w:tc>
        <w:tc>
          <w:tcPr>
            <w:tcW w:w="6830" w:type="dxa"/>
          </w:tcPr>
          <w:p w14:paraId="38A74278" w14:textId="77777777" w:rsidR="00B73D32" w:rsidRPr="007D7D33" w:rsidRDefault="00B73D32" w:rsidP="007D7D33">
            <w:r w:rsidRPr="007D7D33">
              <w:t>Gastrointestinal</w:t>
            </w:r>
          </w:p>
        </w:tc>
      </w:tr>
      <w:tr w:rsidR="00B73D32" w14:paraId="059C8C0D" w14:textId="77777777" w:rsidTr="007D7D33">
        <w:tc>
          <w:tcPr>
            <w:tcW w:w="1890" w:type="dxa"/>
          </w:tcPr>
          <w:p w14:paraId="3B10489F" w14:textId="77777777" w:rsidR="00B73D32" w:rsidRPr="007D7D33" w:rsidRDefault="00B73D32" w:rsidP="007D7D33">
            <w:proofErr w:type="spellStart"/>
            <w:r w:rsidRPr="007D7D33">
              <w:t>GnRH</w:t>
            </w:r>
            <w:proofErr w:type="spellEnd"/>
          </w:p>
        </w:tc>
        <w:tc>
          <w:tcPr>
            <w:tcW w:w="6830" w:type="dxa"/>
          </w:tcPr>
          <w:p w14:paraId="7ABED273" w14:textId="77777777" w:rsidR="00B73D32" w:rsidRPr="007D7D33" w:rsidRDefault="00B73D32" w:rsidP="007D7D33">
            <w:r w:rsidRPr="007D7D33">
              <w:t>Gonadotropin-releasing hormone</w:t>
            </w:r>
          </w:p>
        </w:tc>
      </w:tr>
      <w:tr w:rsidR="00B73D32" w14:paraId="77EE51EC" w14:textId="77777777" w:rsidTr="007D7D33">
        <w:tc>
          <w:tcPr>
            <w:tcW w:w="1890" w:type="dxa"/>
          </w:tcPr>
          <w:p w14:paraId="61B59561" w14:textId="77777777" w:rsidR="00B73D32" w:rsidRPr="007D7D33" w:rsidRDefault="00B73D32" w:rsidP="007D7D33">
            <w:r w:rsidRPr="007D7D33">
              <w:t>GVP</w:t>
            </w:r>
          </w:p>
        </w:tc>
        <w:tc>
          <w:tcPr>
            <w:tcW w:w="6830" w:type="dxa"/>
          </w:tcPr>
          <w:p w14:paraId="0E308F18" w14:textId="77777777" w:rsidR="00B73D32" w:rsidRPr="007D7D33" w:rsidRDefault="00B73D32" w:rsidP="007D7D33">
            <w:r w:rsidRPr="007D7D33">
              <w:t>Good Pharmacovigilance Practices</w:t>
            </w:r>
          </w:p>
        </w:tc>
      </w:tr>
      <w:tr w:rsidR="00B73D32" w14:paraId="75EFDA44" w14:textId="77777777" w:rsidTr="007D7D33">
        <w:tc>
          <w:tcPr>
            <w:tcW w:w="1890" w:type="dxa"/>
          </w:tcPr>
          <w:p w14:paraId="0CC9D282" w14:textId="77777777" w:rsidR="00B73D32" w:rsidRPr="007D7D33" w:rsidRDefault="00B73D32" w:rsidP="007D7D33">
            <w:r w:rsidRPr="007D7D33">
              <w:t>H</w:t>
            </w:r>
          </w:p>
        </w:tc>
        <w:tc>
          <w:tcPr>
            <w:tcW w:w="6830" w:type="dxa"/>
          </w:tcPr>
          <w:p w14:paraId="359D7DCC" w14:textId="77777777" w:rsidR="00B73D32" w:rsidRPr="007D7D33" w:rsidRDefault="00B73D32" w:rsidP="007D7D33">
            <w:r>
              <w:t>Histidine</w:t>
            </w:r>
          </w:p>
        </w:tc>
      </w:tr>
      <w:tr w:rsidR="00B73D32" w:rsidRPr="00FD119B" w14:paraId="54B05A9D" w14:textId="77777777" w:rsidTr="007D7D33">
        <w:tc>
          <w:tcPr>
            <w:tcW w:w="1890" w:type="dxa"/>
          </w:tcPr>
          <w:p w14:paraId="0D9556C5" w14:textId="77777777" w:rsidR="00B73D32" w:rsidRDefault="00B73D32" w:rsidP="007D7D33">
            <w:r>
              <w:t>HbA1c</w:t>
            </w:r>
          </w:p>
        </w:tc>
        <w:tc>
          <w:tcPr>
            <w:tcW w:w="6830" w:type="dxa"/>
          </w:tcPr>
          <w:p w14:paraId="352E84FB" w14:textId="03793603" w:rsidR="00B73D32" w:rsidRDefault="00BF493E" w:rsidP="007D7D33">
            <w:r>
              <w:t>H</w:t>
            </w:r>
            <w:r w:rsidR="00B73D32">
              <w:t>aemoglobin A1c</w:t>
            </w:r>
            <w:r>
              <w:t>/glycated haemoglobin</w:t>
            </w:r>
          </w:p>
        </w:tc>
      </w:tr>
      <w:tr w:rsidR="00B73D32" w14:paraId="7CE5664F" w14:textId="77777777" w:rsidTr="007D7D33">
        <w:tc>
          <w:tcPr>
            <w:tcW w:w="1890" w:type="dxa"/>
          </w:tcPr>
          <w:p w14:paraId="0C91132D" w14:textId="77777777" w:rsidR="00B73D32" w:rsidRPr="007D7D33" w:rsidRDefault="00B73D32" w:rsidP="007D7D33">
            <w:r w:rsidRPr="007D7D33">
              <w:t>HER2</w:t>
            </w:r>
          </w:p>
        </w:tc>
        <w:tc>
          <w:tcPr>
            <w:tcW w:w="6830" w:type="dxa"/>
          </w:tcPr>
          <w:p w14:paraId="34996C88" w14:textId="77777777" w:rsidR="00B73D32" w:rsidRPr="007D7D33" w:rsidRDefault="00B73D32" w:rsidP="007D7D33">
            <w:r w:rsidRPr="007D7D33">
              <w:t>Human epidermal growth factor receptor 2</w:t>
            </w:r>
          </w:p>
        </w:tc>
      </w:tr>
      <w:tr w:rsidR="00B73D32" w14:paraId="5F5FFA01" w14:textId="77777777" w:rsidTr="007D7D33">
        <w:tc>
          <w:tcPr>
            <w:tcW w:w="1890" w:type="dxa"/>
          </w:tcPr>
          <w:p w14:paraId="0792DACA" w14:textId="77777777" w:rsidR="00B73D32" w:rsidRPr="007D7D33" w:rsidRDefault="00B73D32" w:rsidP="007D7D33">
            <w:r w:rsidRPr="007D7D33">
              <w:t>HR</w:t>
            </w:r>
          </w:p>
        </w:tc>
        <w:tc>
          <w:tcPr>
            <w:tcW w:w="6830" w:type="dxa"/>
          </w:tcPr>
          <w:p w14:paraId="27E0350D" w14:textId="77777777" w:rsidR="00B73D32" w:rsidRPr="007D7D33" w:rsidRDefault="00B73D32" w:rsidP="007D7D33">
            <w:r w:rsidRPr="007D7D33">
              <w:t>Hormone receptor</w:t>
            </w:r>
          </w:p>
        </w:tc>
      </w:tr>
      <w:tr w:rsidR="00B73D32" w14:paraId="4E883A7E" w14:textId="77777777" w:rsidTr="007D7D33">
        <w:tc>
          <w:tcPr>
            <w:tcW w:w="1890" w:type="dxa"/>
          </w:tcPr>
          <w:p w14:paraId="0006E0BE" w14:textId="77777777" w:rsidR="00B73D32" w:rsidRPr="007D7D33" w:rsidRDefault="00B73D32" w:rsidP="007D7D33">
            <w:r w:rsidRPr="007D7D33">
              <w:t>HR-positive</w:t>
            </w:r>
          </w:p>
        </w:tc>
        <w:tc>
          <w:tcPr>
            <w:tcW w:w="6830" w:type="dxa"/>
          </w:tcPr>
          <w:p w14:paraId="22E88D7A" w14:textId="77777777" w:rsidR="00B73D32" w:rsidRPr="007D7D33" w:rsidRDefault="00B73D32" w:rsidP="007D7D33">
            <w:r w:rsidRPr="007D7D33">
              <w:t>Hormone receptor-positive</w:t>
            </w:r>
          </w:p>
        </w:tc>
      </w:tr>
      <w:tr w:rsidR="00B73D32" w14:paraId="3CF0BB19" w14:textId="77777777" w:rsidTr="007D7D33">
        <w:tc>
          <w:tcPr>
            <w:tcW w:w="1890" w:type="dxa"/>
          </w:tcPr>
          <w:p w14:paraId="5B38CB97" w14:textId="77777777" w:rsidR="00B73D32" w:rsidRPr="007D7D33" w:rsidRDefault="00B73D32" w:rsidP="007D7D33">
            <w:proofErr w:type="spellStart"/>
            <w:r w:rsidRPr="007D7D33">
              <w:t>HRQoL</w:t>
            </w:r>
            <w:proofErr w:type="spellEnd"/>
          </w:p>
        </w:tc>
        <w:tc>
          <w:tcPr>
            <w:tcW w:w="6830" w:type="dxa"/>
          </w:tcPr>
          <w:p w14:paraId="2CE73533" w14:textId="77777777" w:rsidR="00B73D32" w:rsidRPr="007D7D33" w:rsidRDefault="00B73D32" w:rsidP="007D7D33">
            <w:r>
              <w:t>H</w:t>
            </w:r>
            <w:r w:rsidRPr="007D7D33">
              <w:t>ealth related quality of life</w:t>
            </w:r>
          </w:p>
        </w:tc>
      </w:tr>
      <w:tr w:rsidR="00B73D32" w14:paraId="02DE8CE2" w14:textId="77777777" w:rsidTr="007D7D33">
        <w:tc>
          <w:tcPr>
            <w:tcW w:w="1890" w:type="dxa"/>
          </w:tcPr>
          <w:p w14:paraId="7A467230" w14:textId="77777777" w:rsidR="00B73D32" w:rsidRPr="007D7D33" w:rsidRDefault="00B73D32" w:rsidP="007D7D33">
            <w:r w:rsidRPr="007D7D33">
              <w:t>IM</w:t>
            </w:r>
          </w:p>
        </w:tc>
        <w:tc>
          <w:tcPr>
            <w:tcW w:w="6830" w:type="dxa"/>
          </w:tcPr>
          <w:p w14:paraId="7B979FE8" w14:textId="77777777" w:rsidR="00B73D32" w:rsidRPr="007D7D33" w:rsidRDefault="00B73D32" w:rsidP="007D7D33">
            <w:r>
              <w:t>I</w:t>
            </w:r>
            <w:r w:rsidRPr="007D7D33">
              <w:t>ntramuscular</w:t>
            </w:r>
          </w:p>
        </w:tc>
      </w:tr>
      <w:tr w:rsidR="00B73D32" w14:paraId="154FD085" w14:textId="77777777" w:rsidTr="007D7D33">
        <w:tc>
          <w:tcPr>
            <w:tcW w:w="1890" w:type="dxa"/>
          </w:tcPr>
          <w:p w14:paraId="2ECF687C" w14:textId="77777777" w:rsidR="00B73D32" w:rsidRPr="007D7D33" w:rsidRDefault="00B73D32" w:rsidP="007D7D33">
            <w:r w:rsidRPr="007D7D33">
              <w:t>IVD</w:t>
            </w:r>
          </w:p>
        </w:tc>
        <w:tc>
          <w:tcPr>
            <w:tcW w:w="6830" w:type="dxa"/>
          </w:tcPr>
          <w:p w14:paraId="65E8213B" w14:textId="77777777" w:rsidR="00B73D32" w:rsidRPr="007D7D33" w:rsidRDefault="00B73D32" w:rsidP="007D7D33">
            <w:r w:rsidRPr="00D561C3">
              <w:rPr>
                <w:i/>
              </w:rPr>
              <w:t>In vitro</w:t>
            </w:r>
            <w:r>
              <w:t xml:space="preserve"> diagnostic</w:t>
            </w:r>
          </w:p>
        </w:tc>
      </w:tr>
      <w:tr w:rsidR="00B73D32" w14:paraId="4FCF7FA2" w14:textId="77777777" w:rsidTr="007D7D33">
        <w:tc>
          <w:tcPr>
            <w:tcW w:w="1890" w:type="dxa"/>
          </w:tcPr>
          <w:p w14:paraId="31FF2A00" w14:textId="77777777" w:rsidR="00B73D32" w:rsidRPr="00D561C3" w:rsidRDefault="00B73D32" w:rsidP="00D561C3">
            <w:r w:rsidRPr="00D561C3">
              <w:t>K</w:t>
            </w:r>
          </w:p>
        </w:tc>
        <w:tc>
          <w:tcPr>
            <w:tcW w:w="6830" w:type="dxa"/>
          </w:tcPr>
          <w:p w14:paraId="24FB17DF" w14:textId="77777777" w:rsidR="00B73D32" w:rsidRPr="00D561C3" w:rsidRDefault="00B73D32" w:rsidP="00D561C3">
            <w:r w:rsidRPr="00D561C3">
              <w:t>Lysine</w:t>
            </w:r>
          </w:p>
        </w:tc>
      </w:tr>
      <w:tr w:rsidR="00B73D32" w:rsidRPr="00FD119B" w14:paraId="089CF3AC" w14:textId="77777777" w:rsidTr="007D7D33">
        <w:tc>
          <w:tcPr>
            <w:tcW w:w="1890" w:type="dxa"/>
          </w:tcPr>
          <w:p w14:paraId="6660377A" w14:textId="77777777" w:rsidR="00B73D32" w:rsidRDefault="00B73D32" w:rsidP="007D7D33">
            <w:r>
              <w:lastRenderedPageBreak/>
              <w:t>L</w:t>
            </w:r>
          </w:p>
        </w:tc>
        <w:tc>
          <w:tcPr>
            <w:tcW w:w="6830" w:type="dxa"/>
          </w:tcPr>
          <w:p w14:paraId="143D240E" w14:textId="77777777" w:rsidR="00B73D32" w:rsidRDefault="00B73D32" w:rsidP="007D7D33">
            <w:r>
              <w:t>Leucine</w:t>
            </w:r>
          </w:p>
        </w:tc>
      </w:tr>
      <w:tr w:rsidR="00B73D32" w14:paraId="3062021F" w14:textId="77777777" w:rsidTr="007D7D33">
        <w:tc>
          <w:tcPr>
            <w:tcW w:w="1890" w:type="dxa"/>
          </w:tcPr>
          <w:p w14:paraId="083CC503" w14:textId="77777777" w:rsidR="00B73D32" w:rsidRPr="00D561C3" w:rsidRDefault="00B73D32" w:rsidP="00D561C3">
            <w:r w:rsidRPr="00D561C3">
              <w:t>MATE1</w:t>
            </w:r>
          </w:p>
        </w:tc>
        <w:tc>
          <w:tcPr>
            <w:tcW w:w="6830" w:type="dxa"/>
          </w:tcPr>
          <w:p w14:paraId="1E5EA80F" w14:textId="460F46E8" w:rsidR="00B73D32" w:rsidRPr="00D561C3" w:rsidRDefault="00B73D32" w:rsidP="00D561C3">
            <w:r>
              <w:t>M</w:t>
            </w:r>
            <w:r w:rsidRPr="00D561C3">
              <w:t>ultidrug and toxin extrusion</w:t>
            </w:r>
            <w:r w:rsidR="00144F2B">
              <w:t xml:space="preserve"> protein</w:t>
            </w:r>
            <w:r w:rsidRPr="00D561C3">
              <w:t xml:space="preserve"> 1</w:t>
            </w:r>
          </w:p>
        </w:tc>
      </w:tr>
      <w:tr w:rsidR="00B73D32" w14:paraId="7E155DB1" w14:textId="77777777" w:rsidTr="007D7D33">
        <w:tc>
          <w:tcPr>
            <w:tcW w:w="1890" w:type="dxa"/>
          </w:tcPr>
          <w:p w14:paraId="3AF81B5B" w14:textId="77777777" w:rsidR="00B73D32" w:rsidRPr="00D561C3" w:rsidRDefault="00B73D32" w:rsidP="00D561C3">
            <w:r w:rsidRPr="00D561C3">
              <w:t>MRI</w:t>
            </w:r>
          </w:p>
        </w:tc>
        <w:tc>
          <w:tcPr>
            <w:tcW w:w="6830" w:type="dxa"/>
          </w:tcPr>
          <w:p w14:paraId="5B3E3F75" w14:textId="77777777" w:rsidR="00B73D32" w:rsidRPr="00D561C3" w:rsidRDefault="00B73D32" w:rsidP="00D561C3">
            <w:r>
              <w:t>M</w:t>
            </w:r>
            <w:r w:rsidRPr="00D561C3">
              <w:t>agnetic resonance imaging</w:t>
            </w:r>
          </w:p>
        </w:tc>
      </w:tr>
      <w:tr w:rsidR="00B73D32" w14:paraId="62310816" w14:textId="77777777" w:rsidTr="007D7D33">
        <w:tc>
          <w:tcPr>
            <w:tcW w:w="1890" w:type="dxa"/>
          </w:tcPr>
          <w:p w14:paraId="14B8489D" w14:textId="77777777" w:rsidR="00B73D32" w:rsidRPr="00D561C3" w:rsidRDefault="00B73D32" w:rsidP="00D561C3">
            <w:r w:rsidRPr="00D561C3">
              <w:t>MRP2</w:t>
            </w:r>
          </w:p>
        </w:tc>
        <w:tc>
          <w:tcPr>
            <w:tcW w:w="6830" w:type="dxa"/>
          </w:tcPr>
          <w:p w14:paraId="7CC66581" w14:textId="77777777" w:rsidR="00B73D32" w:rsidRPr="00D561C3" w:rsidRDefault="00B73D32" w:rsidP="00D561C3">
            <w:r w:rsidRPr="00D561C3">
              <w:t>Multi-drug resistance-associated protein 2</w:t>
            </w:r>
          </w:p>
        </w:tc>
      </w:tr>
      <w:tr w:rsidR="00B73D32" w14:paraId="0F7BEB31" w14:textId="77777777" w:rsidTr="007D7D33">
        <w:tc>
          <w:tcPr>
            <w:tcW w:w="1890" w:type="dxa"/>
          </w:tcPr>
          <w:p w14:paraId="0E102882" w14:textId="77777777" w:rsidR="00B73D32" w:rsidRPr="00D561C3" w:rsidRDefault="00B73D32" w:rsidP="00D561C3">
            <w:proofErr w:type="spellStart"/>
            <w:r w:rsidRPr="00D561C3">
              <w:t>mTOR</w:t>
            </w:r>
            <w:proofErr w:type="spellEnd"/>
          </w:p>
        </w:tc>
        <w:tc>
          <w:tcPr>
            <w:tcW w:w="6830" w:type="dxa"/>
          </w:tcPr>
          <w:p w14:paraId="1CEEC803" w14:textId="77777777" w:rsidR="00B73D32" w:rsidRPr="00D561C3" w:rsidRDefault="00B73D32" w:rsidP="00D561C3">
            <w:r>
              <w:t>Mammalian target of rapamycin</w:t>
            </w:r>
          </w:p>
        </w:tc>
      </w:tr>
      <w:tr w:rsidR="00B73D32" w14:paraId="565C39E3" w14:textId="77777777" w:rsidTr="007D7D33">
        <w:tc>
          <w:tcPr>
            <w:tcW w:w="1890" w:type="dxa"/>
          </w:tcPr>
          <w:p w14:paraId="1FFA70F3" w14:textId="77777777" w:rsidR="00B73D32" w:rsidRPr="00D561C3" w:rsidRDefault="00B73D32" w:rsidP="00D561C3">
            <w:r w:rsidRPr="00D561C3">
              <w:t>NGS</w:t>
            </w:r>
          </w:p>
        </w:tc>
        <w:tc>
          <w:tcPr>
            <w:tcW w:w="6830" w:type="dxa"/>
          </w:tcPr>
          <w:p w14:paraId="65CBCBF4" w14:textId="77777777" w:rsidR="00B73D32" w:rsidRPr="00D561C3" w:rsidRDefault="00B73D32" w:rsidP="00D561C3">
            <w:r w:rsidRPr="00D561C3">
              <w:t>Next generation sequencing</w:t>
            </w:r>
          </w:p>
        </w:tc>
      </w:tr>
      <w:tr w:rsidR="00B73D32" w14:paraId="4D0BBF68" w14:textId="77777777" w:rsidTr="007D7D33">
        <w:tc>
          <w:tcPr>
            <w:tcW w:w="1890" w:type="dxa"/>
          </w:tcPr>
          <w:p w14:paraId="2B25A909" w14:textId="77777777" w:rsidR="00B73D32" w:rsidRPr="00D561C3" w:rsidRDefault="00B73D32" w:rsidP="00D561C3">
            <w:r w:rsidRPr="00D561C3">
              <w:t>NPA</w:t>
            </w:r>
          </w:p>
        </w:tc>
        <w:tc>
          <w:tcPr>
            <w:tcW w:w="6830" w:type="dxa"/>
          </w:tcPr>
          <w:p w14:paraId="5ED28380" w14:textId="77777777" w:rsidR="00B73D32" w:rsidRPr="00D561C3" w:rsidRDefault="00B73D32" w:rsidP="00D561C3">
            <w:r w:rsidRPr="00D561C3">
              <w:t>Negative</w:t>
            </w:r>
            <w:r>
              <w:t xml:space="preserve"> percent a</w:t>
            </w:r>
            <w:r w:rsidRPr="00D561C3">
              <w:t>greement</w:t>
            </w:r>
          </w:p>
        </w:tc>
      </w:tr>
      <w:tr w:rsidR="00B73D32" w14:paraId="582E6715" w14:textId="77777777" w:rsidTr="007D7D33">
        <w:tc>
          <w:tcPr>
            <w:tcW w:w="1890" w:type="dxa"/>
          </w:tcPr>
          <w:p w14:paraId="56BAE6ED" w14:textId="77777777" w:rsidR="00B73D32" w:rsidRPr="00D561C3" w:rsidRDefault="00B73D32" w:rsidP="00D561C3">
            <w:r w:rsidRPr="00D561C3">
              <w:t>ONJ</w:t>
            </w:r>
          </w:p>
        </w:tc>
        <w:tc>
          <w:tcPr>
            <w:tcW w:w="6830" w:type="dxa"/>
          </w:tcPr>
          <w:p w14:paraId="5B39EC63" w14:textId="77777777" w:rsidR="00B73D32" w:rsidRPr="00D561C3" w:rsidRDefault="00B73D32" w:rsidP="00D561C3">
            <w:r w:rsidRPr="00D561C3">
              <w:t>Osteonecrosis of the jaw</w:t>
            </w:r>
          </w:p>
        </w:tc>
      </w:tr>
      <w:tr w:rsidR="00B73D32" w14:paraId="065089DA" w14:textId="77777777" w:rsidTr="007D7D33">
        <w:tc>
          <w:tcPr>
            <w:tcW w:w="1890" w:type="dxa"/>
          </w:tcPr>
          <w:p w14:paraId="073577A9" w14:textId="77777777" w:rsidR="00B73D32" w:rsidRPr="00D561C3" w:rsidRDefault="00B73D32" w:rsidP="00D561C3">
            <w:r w:rsidRPr="00D561C3">
              <w:t>OPA</w:t>
            </w:r>
          </w:p>
        </w:tc>
        <w:tc>
          <w:tcPr>
            <w:tcW w:w="6830" w:type="dxa"/>
          </w:tcPr>
          <w:p w14:paraId="293C3882" w14:textId="77777777" w:rsidR="00B73D32" w:rsidRPr="00D561C3" w:rsidRDefault="00B73D32" w:rsidP="00D561C3">
            <w:r>
              <w:t>O</w:t>
            </w:r>
            <w:r w:rsidRPr="00D561C3">
              <w:t>verall percent agreement</w:t>
            </w:r>
          </w:p>
        </w:tc>
      </w:tr>
      <w:tr w:rsidR="00B73D32" w14:paraId="5FDDA5A1" w14:textId="77777777" w:rsidTr="007D7D33">
        <w:tc>
          <w:tcPr>
            <w:tcW w:w="1890" w:type="dxa"/>
          </w:tcPr>
          <w:p w14:paraId="5AC533A1" w14:textId="77777777" w:rsidR="00B73D32" w:rsidRPr="00D561C3" w:rsidRDefault="00B73D32" w:rsidP="00D561C3">
            <w:r w:rsidRPr="00D561C3">
              <w:t>ORR</w:t>
            </w:r>
          </w:p>
        </w:tc>
        <w:tc>
          <w:tcPr>
            <w:tcW w:w="6830" w:type="dxa"/>
          </w:tcPr>
          <w:p w14:paraId="5A5A939C" w14:textId="77777777" w:rsidR="00B73D32" w:rsidRPr="00D561C3" w:rsidRDefault="00B73D32" w:rsidP="00D561C3">
            <w:r w:rsidRPr="00D561C3">
              <w:t>Overall response rate</w:t>
            </w:r>
          </w:p>
        </w:tc>
      </w:tr>
      <w:tr w:rsidR="00B73D32" w14:paraId="540DF64F" w14:textId="77777777" w:rsidTr="007D7D33">
        <w:tc>
          <w:tcPr>
            <w:tcW w:w="1890" w:type="dxa"/>
          </w:tcPr>
          <w:p w14:paraId="55280926" w14:textId="77777777" w:rsidR="00B73D32" w:rsidRPr="00D561C3" w:rsidRDefault="00B73D32" w:rsidP="00D561C3">
            <w:r w:rsidRPr="00D561C3">
              <w:t>OS</w:t>
            </w:r>
          </w:p>
        </w:tc>
        <w:tc>
          <w:tcPr>
            <w:tcW w:w="6830" w:type="dxa"/>
          </w:tcPr>
          <w:p w14:paraId="7BF3D3B6" w14:textId="77777777" w:rsidR="00B73D32" w:rsidRPr="00D561C3" w:rsidRDefault="00B73D32" w:rsidP="00D561C3">
            <w:r w:rsidRPr="00D561C3">
              <w:t>Overall survival</w:t>
            </w:r>
          </w:p>
        </w:tc>
      </w:tr>
      <w:tr w:rsidR="00B73D32" w14:paraId="487CF06D" w14:textId="77777777" w:rsidTr="007D7D33">
        <w:tc>
          <w:tcPr>
            <w:tcW w:w="1890" w:type="dxa"/>
          </w:tcPr>
          <w:p w14:paraId="36AF2505" w14:textId="77777777" w:rsidR="00B73D32" w:rsidRPr="00D561C3" w:rsidRDefault="00B73D32" w:rsidP="00D561C3">
            <w:r w:rsidRPr="00D561C3">
              <w:t>PCR</w:t>
            </w:r>
          </w:p>
        </w:tc>
        <w:tc>
          <w:tcPr>
            <w:tcW w:w="6830" w:type="dxa"/>
          </w:tcPr>
          <w:p w14:paraId="782BEF01" w14:textId="77777777" w:rsidR="00B73D32" w:rsidRPr="00D561C3" w:rsidRDefault="00B73D32" w:rsidP="00D561C3">
            <w:r w:rsidRPr="00D561C3">
              <w:t>Polymerase chain reaction</w:t>
            </w:r>
          </w:p>
        </w:tc>
      </w:tr>
      <w:tr w:rsidR="00B73D32" w14:paraId="3E029496" w14:textId="77777777" w:rsidTr="007D7D33">
        <w:tc>
          <w:tcPr>
            <w:tcW w:w="1890" w:type="dxa"/>
          </w:tcPr>
          <w:p w14:paraId="7C205132" w14:textId="77777777" w:rsidR="00B73D32" w:rsidRPr="00D561C3" w:rsidRDefault="00B73D32" w:rsidP="00D561C3">
            <w:r w:rsidRPr="00D561C3">
              <w:t>PFS</w:t>
            </w:r>
          </w:p>
        </w:tc>
        <w:tc>
          <w:tcPr>
            <w:tcW w:w="6830" w:type="dxa"/>
          </w:tcPr>
          <w:p w14:paraId="7ED7F5EE" w14:textId="77777777" w:rsidR="00B73D32" w:rsidRPr="00D561C3" w:rsidRDefault="00B73D32" w:rsidP="00D561C3">
            <w:r w:rsidRPr="00D561C3">
              <w:t>Progression-free survival</w:t>
            </w:r>
          </w:p>
        </w:tc>
      </w:tr>
      <w:tr w:rsidR="00B73D32" w14:paraId="0DEB515D" w14:textId="77777777" w:rsidTr="007D7D33">
        <w:tc>
          <w:tcPr>
            <w:tcW w:w="1890" w:type="dxa"/>
          </w:tcPr>
          <w:p w14:paraId="040B1257" w14:textId="77777777" w:rsidR="00B73D32" w:rsidRPr="00D561C3" w:rsidRDefault="00B73D32" w:rsidP="00D561C3">
            <w:r w:rsidRPr="00D561C3">
              <w:t>PI</w:t>
            </w:r>
          </w:p>
        </w:tc>
        <w:tc>
          <w:tcPr>
            <w:tcW w:w="6830" w:type="dxa"/>
          </w:tcPr>
          <w:p w14:paraId="37CB50E6" w14:textId="77777777" w:rsidR="00B73D32" w:rsidRPr="00D561C3" w:rsidRDefault="00B73D32" w:rsidP="00D561C3">
            <w:r w:rsidRPr="00D561C3">
              <w:t>Product Information</w:t>
            </w:r>
          </w:p>
        </w:tc>
      </w:tr>
      <w:tr w:rsidR="00B73D32" w:rsidRPr="001133BD" w14:paraId="4050FF2E" w14:textId="77777777" w:rsidTr="007D7D33">
        <w:tc>
          <w:tcPr>
            <w:tcW w:w="1890" w:type="dxa"/>
          </w:tcPr>
          <w:p w14:paraId="179D0D0B" w14:textId="77777777" w:rsidR="00B73D32" w:rsidRPr="00D561C3" w:rsidRDefault="00B73D32" w:rsidP="00D561C3">
            <w:r w:rsidRPr="00D561C3">
              <w:t>PI3K</w:t>
            </w:r>
          </w:p>
        </w:tc>
        <w:tc>
          <w:tcPr>
            <w:tcW w:w="6830" w:type="dxa"/>
          </w:tcPr>
          <w:p w14:paraId="7F0A1192" w14:textId="77777777" w:rsidR="00B73D32" w:rsidRPr="00D561C3" w:rsidRDefault="00B73D32" w:rsidP="00D561C3">
            <w:r w:rsidRPr="00D561C3">
              <w:t>Phosphatidylinositol-4,5-bisphosphate 3-kinase</w:t>
            </w:r>
          </w:p>
        </w:tc>
      </w:tr>
      <w:tr w:rsidR="00B73D32" w14:paraId="559ECDFC" w14:textId="77777777" w:rsidTr="007D7D33">
        <w:tc>
          <w:tcPr>
            <w:tcW w:w="1890" w:type="dxa"/>
          </w:tcPr>
          <w:p w14:paraId="7E5A6C56" w14:textId="77777777" w:rsidR="00B73D32" w:rsidRPr="00D561C3" w:rsidRDefault="00B73D32" w:rsidP="00D561C3">
            <w:r w:rsidRPr="00D561C3">
              <w:t>PIK3CA</w:t>
            </w:r>
          </w:p>
        </w:tc>
        <w:tc>
          <w:tcPr>
            <w:tcW w:w="6830" w:type="dxa"/>
          </w:tcPr>
          <w:p w14:paraId="6DFB1D45" w14:textId="77777777" w:rsidR="00B73D32" w:rsidRPr="00D561C3" w:rsidRDefault="00B73D32" w:rsidP="00D561C3">
            <w:r>
              <w:t>P</w:t>
            </w:r>
            <w:r w:rsidRPr="00D561C3">
              <w:t>hosphatidylinositol 3-kinase catalytic alpha subunit</w:t>
            </w:r>
          </w:p>
        </w:tc>
      </w:tr>
      <w:tr w:rsidR="00B73D32" w14:paraId="7FE67D5C" w14:textId="77777777" w:rsidTr="007D7D33">
        <w:tc>
          <w:tcPr>
            <w:tcW w:w="1890" w:type="dxa"/>
          </w:tcPr>
          <w:p w14:paraId="4851285E" w14:textId="77777777" w:rsidR="00B73D32" w:rsidRPr="00D561C3" w:rsidRDefault="00B73D32" w:rsidP="00D561C3">
            <w:r w:rsidRPr="00D561C3">
              <w:t>PK</w:t>
            </w:r>
          </w:p>
        </w:tc>
        <w:tc>
          <w:tcPr>
            <w:tcW w:w="6830" w:type="dxa"/>
          </w:tcPr>
          <w:p w14:paraId="6C868699" w14:textId="02589D07" w:rsidR="00B73D32" w:rsidRPr="00D561C3" w:rsidRDefault="00B73D32" w:rsidP="00D561C3">
            <w:r w:rsidRPr="00D561C3">
              <w:t>Pharmacokinetic</w:t>
            </w:r>
            <w:r w:rsidR="00450DFB">
              <w:t>(</w:t>
            </w:r>
            <w:r w:rsidRPr="00D561C3">
              <w:t>s</w:t>
            </w:r>
            <w:r w:rsidR="00450DFB">
              <w:t>)</w:t>
            </w:r>
          </w:p>
        </w:tc>
      </w:tr>
      <w:tr w:rsidR="00B73D32" w14:paraId="055065F8" w14:textId="77777777" w:rsidTr="007D7D33">
        <w:tc>
          <w:tcPr>
            <w:tcW w:w="1890" w:type="dxa"/>
          </w:tcPr>
          <w:p w14:paraId="48643446" w14:textId="77777777" w:rsidR="00B73D32" w:rsidRPr="00D561C3" w:rsidRDefault="00B73D32" w:rsidP="00D561C3">
            <w:proofErr w:type="spellStart"/>
            <w:r w:rsidRPr="00D561C3">
              <w:t>PopPK</w:t>
            </w:r>
            <w:proofErr w:type="spellEnd"/>
          </w:p>
        </w:tc>
        <w:tc>
          <w:tcPr>
            <w:tcW w:w="6830" w:type="dxa"/>
          </w:tcPr>
          <w:p w14:paraId="47363307" w14:textId="5FBEF3BE" w:rsidR="00B73D32" w:rsidRPr="00D561C3" w:rsidRDefault="00B73D32" w:rsidP="00D561C3">
            <w:r w:rsidRPr="00D561C3">
              <w:t>Population pharmacokinetic</w:t>
            </w:r>
            <w:r w:rsidR="00450DFB">
              <w:t>(</w:t>
            </w:r>
            <w:r w:rsidRPr="00D561C3">
              <w:t>s</w:t>
            </w:r>
            <w:r w:rsidR="00450DFB">
              <w:t>)</w:t>
            </w:r>
          </w:p>
        </w:tc>
      </w:tr>
      <w:tr w:rsidR="00B73D32" w14:paraId="3F76EA97" w14:textId="77777777" w:rsidTr="007D7D33">
        <w:tc>
          <w:tcPr>
            <w:tcW w:w="1890" w:type="dxa"/>
          </w:tcPr>
          <w:p w14:paraId="78648713" w14:textId="77777777" w:rsidR="00B73D32" w:rsidRPr="00D561C3" w:rsidRDefault="00B73D32" w:rsidP="00D561C3">
            <w:r w:rsidRPr="00D561C3">
              <w:t>PPA</w:t>
            </w:r>
          </w:p>
        </w:tc>
        <w:tc>
          <w:tcPr>
            <w:tcW w:w="6830" w:type="dxa"/>
          </w:tcPr>
          <w:p w14:paraId="439ED5A5" w14:textId="77777777" w:rsidR="00B73D32" w:rsidRPr="00D561C3" w:rsidRDefault="00B73D32" w:rsidP="00D561C3">
            <w:r w:rsidRPr="00D561C3">
              <w:t>Positive percent agreement</w:t>
            </w:r>
          </w:p>
        </w:tc>
      </w:tr>
      <w:tr w:rsidR="00B73D32" w14:paraId="6309A7EE" w14:textId="77777777" w:rsidTr="007D7D33">
        <w:tc>
          <w:tcPr>
            <w:tcW w:w="1890" w:type="dxa"/>
          </w:tcPr>
          <w:p w14:paraId="50127FEA" w14:textId="77777777" w:rsidR="00B73D32" w:rsidRPr="00D561C3" w:rsidRDefault="00B73D32" w:rsidP="00D561C3">
            <w:r w:rsidRPr="00D561C3">
              <w:t>PR</w:t>
            </w:r>
          </w:p>
        </w:tc>
        <w:tc>
          <w:tcPr>
            <w:tcW w:w="6830" w:type="dxa"/>
          </w:tcPr>
          <w:p w14:paraId="70C224C6" w14:textId="77777777" w:rsidR="00B73D32" w:rsidRPr="00D561C3" w:rsidRDefault="00B73D32" w:rsidP="00D561C3">
            <w:r w:rsidRPr="00D561C3">
              <w:t>Partial response</w:t>
            </w:r>
          </w:p>
        </w:tc>
      </w:tr>
      <w:tr w:rsidR="00B73D32" w14:paraId="2E355AC6" w14:textId="77777777" w:rsidTr="007D7D33">
        <w:tc>
          <w:tcPr>
            <w:tcW w:w="1890" w:type="dxa"/>
          </w:tcPr>
          <w:p w14:paraId="047C33CD" w14:textId="77777777" w:rsidR="00B73D32" w:rsidRPr="00D561C3" w:rsidRDefault="00B73D32" w:rsidP="00D561C3">
            <w:r w:rsidRPr="00D561C3">
              <w:t>PSUR</w:t>
            </w:r>
          </w:p>
        </w:tc>
        <w:tc>
          <w:tcPr>
            <w:tcW w:w="6830" w:type="dxa"/>
          </w:tcPr>
          <w:p w14:paraId="2BDBE6E3" w14:textId="18455998" w:rsidR="00B73D32" w:rsidRPr="00D561C3" w:rsidRDefault="00B73D32" w:rsidP="00D561C3">
            <w:r w:rsidRPr="00D561C3">
              <w:t>Periodic safety update report</w:t>
            </w:r>
            <w:r w:rsidR="00450DFB">
              <w:t>(s)</w:t>
            </w:r>
          </w:p>
        </w:tc>
      </w:tr>
      <w:tr w:rsidR="00B73D32" w:rsidRPr="00FD119B" w14:paraId="625DF9AD" w14:textId="77777777" w:rsidTr="007D7D33">
        <w:tc>
          <w:tcPr>
            <w:tcW w:w="1890" w:type="dxa"/>
          </w:tcPr>
          <w:p w14:paraId="4FE81C45" w14:textId="77777777" w:rsidR="00B73D32" w:rsidRDefault="00B73D32" w:rsidP="007D7D33">
            <w:r>
              <w:t>Q</w:t>
            </w:r>
          </w:p>
        </w:tc>
        <w:tc>
          <w:tcPr>
            <w:tcW w:w="6830" w:type="dxa"/>
          </w:tcPr>
          <w:p w14:paraId="169161B4" w14:textId="77777777" w:rsidR="00B73D32" w:rsidRDefault="00B73D32" w:rsidP="007D7D33">
            <w:r>
              <w:t>Glutamine</w:t>
            </w:r>
          </w:p>
        </w:tc>
      </w:tr>
      <w:tr w:rsidR="00B73D32" w14:paraId="029857B9" w14:textId="77777777" w:rsidTr="007D7D33">
        <w:tc>
          <w:tcPr>
            <w:tcW w:w="1890" w:type="dxa"/>
          </w:tcPr>
          <w:p w14:paraId="4A404008" w14:textId="77777777" w:rsidR="00B73D32" w:rsidRDefault="00B73D32" w:rsidP="007D7D33">
            <w:r>
              <w:t>QD</w:t>
            </w:r>
          </w:p>
        </w:tc>
        <w:tc>
          <w:tcPr>
            <w:tcW w:w="6830" w:type="dxa"/>
          </w:tcPr>
          <w:p w14:paraId="1DE5591C" w14:textId="77777777" w:rsidR="00B73D32" w:rsidRDefault="00B73D32" w:rsidP="007D7D33">
            <w:r>
              <w:t>Once daily</w:t>
            </w:r>
          </w:p>
        </w:tc>
      </w:tr>
      <w:tr w:rsidR="00B73D32" w14:paraId="6F73B684" w14:textId="77777777" w:rsidTr="007D7D33">
        <w:tc>
          <w:tcPr>
            <w:tcW w:w="1890" w:type="dxa"/>
          </w:tcPr>
          <w:p w14:paraId="296A11CD" w14:textId="77777777" w:rsidR="00B73D32" w:rsidRPr="00D561C3" w:rsidRDefault="00B73D32" w:rsidP="00D561C3">
            <w:r w:rsidRPr="00D561C3">
              <w:t>QLQ-C30</w:t>
            </w:r>
          </w:p>
        </w:tc>
        <w:tc>
          <w:tcPr>
            <w:tcW w:w="6830" w:type="dxa"/>
          </w:tcPr>
          <w:p w14:paraId="6539A4CA" w14:textId="45DED3F6" w:rsidR="00B73D32" w:rsidRPr="00D561C3" w:rsidRDefault="00B73D32" w:rsidP="00D561C3">
            <w:r w:rsidRPr="00D561C3">
              <w:t xml:space="preserve">Quality of life questionnaire – </w:t>
            </w:r>
            <w:r w:rsidR="008C0283">
              <w:t>c</w:t>
            </w:r>
            <w:r w:rsidRPr="00D561C3">
              <w:t>ore 30</w:t>
            </w:r>
            <w:r w:rsidR="00450DFB">
              <w:t xml:space="preserve"> questions</w:t>
            </w:r>
          </w:p>
        </w:tc>
      </w:tr>
      <w:tr w:rsidR="00B73D32" w:rsidRPr="00FD119B" w14:paraId="5C92CC60" w14:textId="77777777" w:rsidTr="007D7D33">
        <w:tc>
          <w:tcPr>
            <w:tcW w:w="1890" w:type="dxa"/>
          </w:tcPr>
          <w:p w14:paraId="452DDDB0" w14:textId="77777777" w:rsidR="00B73D32" w:rsidRDefault="00B73D32" w:rsidP="007D7D33">
            <w:r>
              <w:t>R</w:t>
            </w:r>
          </w:p>
        </w:tc>
        <w:tc>
          <w:tcPr>
            <w:tcW w:w="6830" w:type="dxa"/>
          </w:tcPr>
          <w:p w14:paraId="0B9E8CF8" w14:textId="77777777" w:rsidR="00B73D32" w:rsidRDefault="00B73D32" w:rsidP="007D7D33">
            <w:r>
              <w:t>Arginine</w:t>
            </w:r>
          </w:p>
        </w:tc>
      </w:tr>
      <w:tr w:rsidR="00B73D32" w14:paraId="4D2D8E58" w14:textId="77777777" w:rsidTr="007D7D33">
        <w:tc>
          <w:tcPr>
            <w:tcW w:w="1890" w:type="dxa"/>
          </w:tcPr>
          <w:p w14:paraId="06B76741" w14:textId="77777777" w:rsidR="00B73D32" w:rsidRPr="00D561C3" w:rsidRDefault="00B73D32" w:rsidP="00D561C3">
            <w:r w:rsidRPr="00D561C3">
              <w:t>RECIST</w:t>
            </w:r>
          </w:p>
        </w:tc>
        <w:tc>
          <w:tcPr>
            <w:tcW w:w="6830" w:type="dxa"/>
          </w:tcPr>
          <w:p w14:paraId="4500DD10" w14:textId="77777777" w:rsidR="00B73D32" w:rsidRPr="00D561C3" w:rsidRDefault="00B73D32" w:rsidP="00D561C3">
            <w:r w:rsidRPr="00D561C3">
              <w:t xml:space="preserve">Response Evaluation Criteria In Solid </w:t>
            </w:r>
            <w:proofErr w:type="spellStart"/>
            <w:r w:rsidRPr="00D561C3">
              <w:t>Tumors</w:t>
            </w:r>
            <w:proofErr w:type="spellEnd"/>
          </w:p>
        </w:tc>
      </w:tr>
      <w:tr w:rsidR="00B73D32" w14:paraId="5B202E45" w14:textId="77777777" w:rsidTr="007D7D33">
        <w:tc>
          <w:tcPr>
            <w:tcW w:w="1890" w:type="dxa"/>
          </w:tcPr>
          <w:p w14:paraId="67BAB682" w14:textId="77777777" w:rsidR="00B73D32" w:rsidRPr="00D561C3" w:rsidRDefault="00B73D32" w:rsidP="00D561C3">
            <w:r w:rsidRPr="00D561C3">
              <w:lastRenderedPageBreak/>
              <w:t>RMP</w:t>
            </w:r>
          </w:p>
        </w:tc>
        <w:tc>
          <w:tcPr>
            <w:tcW w:w="6830" w:type="dxa"/>
          </w:tcPr>
          <w:p w14:paraId="00F892B1" w14:textId="77777777" w:rsidR="00B73D32" w:rsidRPr="00D561C3" w:rsidRDefault="00B73D32" w:rsidP="00D561C3">
            <w:r w:rsidRPr="00D561C3">
              <w:t>Risk management plan</w:t>
            </w:r>
          </w:p>
        </w:tc>
      </w:tr>
      <w:tr w:rsidR="00B73D32" w14:paraId="52F0E895" w14:textId="77777777" w:rsidTr="007D7D33">
        <w:tc>
          <w:tcPr>
            <w:tcW w:w="1890" w:type="dxa"/>
          </w:tcPr>
          <w:p w14:paraId="7C9C0014" w14:textId="77777777" w:rsidR="00B73D32" w:rsidRPr="00D561C3" w:rsidRDefault="00B73D32" w:rsidP="00D561C3">
            <w:r w:rsidRPr="00D561C3">
              <w:t>SAE</w:t>
            </w:r>
          </w:p>
        </w:tc>
        <w:tc>
          <w:tcPr>
            <w:tcW w:w="6830" w:type="dxa"/>
          </w:tcPr>
          <w:p w14:paraId="07BC03F8" w14:textId="77777777" w:rsidR="00B73D32" w:rsidRPr="00D561C3" w:rsidRDefault="00B73D32" w:rsidP="00D561C3">
            <w:r w:rsidRPr="00D561C3">
              <w:t>Serious adverse event</w:t>
            </w:r>
          </w:p>
        </w:tc>
      </w:tr>
      <w:tr w:rsidR="00B73D32" w14:paraId="1097F216" w14:textId="77777777" w:rsidTr="007D7D33">
        <w:tc>
          <w:tcPr>
            <w:tcW w:w="1890" w:type="dxa"/>
          </w:tcPr>
          <w:p w14:paraId="7F176B66" w14:textId="77777777" w:rsidR="00B73D32" w:rsidRPr="00D561C3" w:rsidRDefault="00B73D32" w:rsidP="00D561C3">
            <w:r w:rsidRPr="00D561C3">
              <w:t>SEER</w:t>
            </w:r>
          </w:p>
        </w:tc>
        <w:tc>
          <w:tcPr>
            <w:tcW w:w="6830" w:type="dxa"/>
          </w:tcPr>
          <w:p w14:paraId="40802F00" w14:textId="65905244" w:rsidR="00B73D32" w:rsidRPr="00D561C3" w:rsidRDefault="00B73D32" w:rsidP="00D561C3">
            <w:r w:rsidRPr="00D561C3">
              <w:t xml:space="preserve">Surveillance, </w:t>
            </w:r>
            <w:r w:rsidR="00450DFB">
              <w:t>E</w:t>
            </w:r>
            <w:r w:rsidR="00450DFB" w:rsidRPr="00D561C3">
              <w:t xml:space="preserve">pidemiology and </w:t>
            </w:r>
            <w:r w:rsidR="00450DFB">
              <w:t>E</w:t>
            </w:r>
            <w:r w:rsidR="00450DFB" w:rsidRPr="00D561C3">
              <w:t xml:space="preserve">nd </w:t>
            </w:r>
            <w:r w:rsidR="00450DFB">
              <w:t>R</w:t>
            </w:r>
            <w:r w:rsidR="00450DFB" w:rsidRPr="00D561C3">
              <w:t>esults</w:t>
            </w:r>
            <w:r w:rsidR="00450DFB">
              <w:t xml:space="preserve"> Program (Na</w:t>
            </w:r>
            <w:r w:rsidR="003931DD">
              <w:t>tional Cancer In</w:t>
            </w:r>
            <w:r w:rsidR="0057028B">
              <w:t>s</w:t>
            </w:r>
            <w:r w:rsidR="003931DD">
              <w:t>titute, USA)</w:t>
            </w:r>
          </w:p>
        </w:tc>
      </w:tr>
      <w:tr w:rsidR="00B73D32" w14:paraId="0A3FC1FF" w14:textId="77777777" w:rsidTr="007D7D33">
        <w:tc>
          <w:tcPr>
            <w:tcW w:w="1890" w:type="dxa"/>
          </w:tcPr>
          <w:p w14:paraId="302EFCBA" w14:textId="77777777" w:rsidR="00B73D32" w:rsidRPr="00D561C3" w:rsidRDefault="00B73D32" w:rsidP="00D561C3">
            <w:r w:rsidRPr="00D561C3">
              <w:t>T</w:t>
            </w:r>
            <w:r w:rsidRPr="00D561C3">
              <w:rPr>
                <w:vertAlign w:val="subscript"/>
              </w:rPr>
              <w:t>max</w:t>
            </w:r>
          </w:p>
        </w:tc>
        <w:tc>
          <w:tcPr>
            <w:tcW w:w="6830" w:type="dxa"/>
          </w:tcPr>
          <w:p w14:paraId="15A23108" w14:textId="77777777" w:rsidR="00B73D32" w:rsidRPr="00D561C3" w:rsidRDefault="00B73D32" w:rsidP="00D561C3">
            <w:r w:rsidRPr="00D561C3">
              <w:t xml:space="preserve">Time to maximum </w:t>
            </w:r>
            <w:r>
              <w:t xml:space="preserve">plasma </w:t>
            </w:r>
            <w:r w:rsidRPr="00D561C3">
              <w:t>concentration after drug administration</w:t>
            </w:r>
          </w:p>
        </w:tc>
      </w:tr>
      <w:tr w:rsidR="00B73D32" w14:paraId="4277640E" w14:textId="77777777" w:rsidTr="007D7D33">
        <w:tc>
          <w:tcPr>
            <w:tcW w:w="1890" w:type="dxa"/>
          </w:tcPr>
          <w:p w14:paraId="4B020F0E" w14:textId="77777777" w:rsidR="00B73D32" w:rsidRPr="00D561C3" w:rsidRDefault="00B73D32" w:rsidP="00D561C3">
            <w:r w:rsidRPr="00D561C3">
              <w:t>USA</w:t>
            </w:r>
          </w:p>
        </w:tc>
        <w:tc>
          <w:tcPr>
            <w:tcW w:w="6830" w:type="dxa"/>
          </w:tcPr>
          <w:p w14:paraId="29086780" w14:textId="77777777" w:rsidR="00B73D32" w:rsidRPr="00D561C3" w:rsidRDefault="00B73D32" w:rsidP="00D561C3">
            <w:r w:rsidRPr="00D561C3">
              <w:t>United States of America</w:t>
            </w:r>
          </w:p>
        </w:tc>
      </w:tr>
      <w:tr w:rsidR="00B73D32" w:rsidRPr="00FD119B" w14:paraId="78838B02" w14:textId="77777777" w:rsidTr="007D7D33">
        <w:tc>
          <w:tcPr>
            <w:tcW w:w="1890" w:type="dxa"/>
          </w:tcPr>
          <w:p w14:paraId="79463CA8" w14:textId="77777777" w:rsidR="00B73D32" w:rsidRDefault="00B73D32" w:rsidP="007D7D33">
            <w:r>
              <w:t>Y</w:t>
            </w:r>
          </w:p>
        </w:tc>
        <w:tc>
          <w:tcPr>
            <w:tcW w:w="6830" w:type="dxa"/>
          </w:tcPr>
          <w:p w14:paraId="1691F57D" w14:textId="77777777" w:rsidR="00B73D32" w:rsidRDefault="00B73D32" w:rsidP="007D7D33">
            <w:r>
              <w:t>Tyrosine</w:t>
            </w:r>
          </w:p>
        </w:tc>
      </w:tr>
    </w:tbl>
    <w:p w14:paraId="153B9719" w14:textId="77777777" w:rsidR="008E7846" w:rsidRDefault="00F53C07" w:rsidP="006452E8">
      <w:pPr>
        <w:pStyle w:val="Heading2"/>
        <w:pageBreakBefore/>
      </w:pPr>
      <w:bookmarkStart w:id="9" w:name="_Toc48147454"/>
      <w:r>
        <w:lastRenderedPageBreak/>
        <w:t>I.</w:t>
      </w:r>
      <w:r w:rsidR="008E7846">
        <w:t xml:space="preserve"> Introduction to product submission</w:t>
      </w:r>
      <w:bookmarkEnd w:id="9"/>
      <w:bookmarkEnd w:id="3"/>
      <w:bookmarkEnd w:id="1"/>
    </w:p>
    <w:p w14:paraId="2A2067C9" w14:textId="77777777" w:rsidR="008E7846" w:rsidRDefault="008E7846" w:rsidP="008E7846">
      <w:pPr>
        <w:pStyle w:val="Heading3"/>
        <w:rPr>
          <w:lang w:eastAsia="en-AU"/>
        </w:rPr>
      </w:pPr>
      <w:bookmarkStart w:id="10" w:name="_Toc247691502"/>
      <w:bookmarkStart w:id="11" w:name="_Toc314842483"/>
      <w:bookmarkStart w:id="12" w:name="_Toc48147455"/>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08991E5D" w14:textId="77777777" w:rsidTr="003735BC">
        <w:tc>
          <w:tcPr>
            <w:tcW w:w="2907" w:type="dxa"/>
          </w:tcPr>
          <w:p w14:paraId="383A4B5C"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2F69CAE2" w14:textId="77777777" w:rsidR="008E7846" w:rsidRPr="003D1E62" w:rsidRDefault="008E7846" w:rsidP="001B5C90">
            <w:r w:rsidRPr="003D1E62">
              <w:t xml:space="preserve">New </w:t>
            </w:r>
            <w:r w:rsidR="001B5C90">
              <w:t>c</w:t>
            </w:r>
            <w:r w:rsidRPr="003D1E62">
              <w:t xml:space="preserve">hemical </w:t>
            </w:r>
            <w:r w:rsidR="001B5C90">
              <w:t>e</w:t>
            </w:r>
            <w:r w:rsidR="00057AAC">
              <w:t>ntity</w:t>
            </w:r>
          </w:p>
        </w:tc>
      </w:tr>
      <w:tr w:rsidR="008E7846" w:rsidRPr="003D1E62" w14:paraId="0DA88146" w14:textId="77777777" w:rsidTr="003735BC">
        <w:tc>
          <w:tcPr>
            <w:tcW w:w="2907" w:type="dxa"/>
          </w:tcPr>
          <w:p w14:paraId="752E9C97" w14:textId="77777777" w:rsidR="008E7846" w:rsidRPr="003D1E62" w:rsidRDefault="008E7846" w:rsidP="003D1E62">
            <w:r w:rsidRPr="003D1E62">
              <w:rPr>
                <w:i/>
              </w:rPr>
              <w:t>Decision</w:t>
            </w:r>
            <w:r w:rsidRPr="003D1E62">
              <w:t>:</w:t>
            </w:r>
          </w:p>
        </w:tc>
        <w:tc>
          <w:tcPr>
            <w:tcW w:w="6307" w:type="dxa"/>
          </w:tcPr>
          <w:p w14:paraId="183A3FA6" w14:textId="77777777" w:rsidR="008E7846" w:rsidRPr="003D1E62" w:rsidRDefault="00057AAC" w:rsidP="001B5C90">
            <w:r>
              <w:t>Approved</w:t>
            </w:r>
          </w:p>
        </w:tc>
      </w:tr>
      <w:tr w:rsidR="008E7846" w:rsidRPr="003D1E62" w14:paraId="4BD7A9E5" w14:textId="77777777" w:rsidTr="003735BC">
        <w:tc>
          <w:tcPr>
            <w:tcW w:w="2907" w:type="dxa"/>
          </w:tcPr>
          <w:p w14:paraId="1474163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4856099" w14:textId="77777777" w:rsidR="008E7846" w:rsidRPr="003D1E62" w:rsidRDefault="00057AAC" w:rsidP="001B5C90">
            <w:r>
              <w:t>19 March 2020</w:t>
            </w:r>
          </w:p>
        </w:tc>
      </w:tr>
      <w:tr w:rsidR="00ED2922" w:rsidRPr="003D1E62" w14:paraId="470A3767" w14:textId="77777777" w:rsidTr="003735BC">
        <w:tc>
          <w:tcPr>
            <w:tcW w:w="2907" w:type="dxa"/>
          </w:tcPr>
          <w:p w14:paraId="2B9D87A4" w14:textId="77777777" w:rsidR="00ED2922" w:rsidRPr="00441C3F" w:rsidRDefault="00ED2922" w:rsidP="001B5C90">
            <w:pPr>
              <w:rPr>
                <w:i/>
              </w:rPr>
            </w:pPr>
            <w:r w:rsidRPr="00441C3F">
              <w:rPr>
                <w:i/>
              </w:rPr>
              <w:t>Date of entry onto ARTG</w:t>
            </w:r>
            <w:r w:rsidR="00500337">
              <w:rPr>
                <w:i/>
              </w:rPr>
              <w:t>:</w:t>
            </w:r>
          </w:p>
        </w:tc>
        <w:tc>
          <w:tcPr>
            <w:tcW w:w="6307" w:type="dxa"/>
          </w:tcPr>
          <w:p w14:paraId="55696310" w14:textId="77777777" w:rsidR="00ED2922" w:rsidRPr="00441C3F" w:rsidRDefault="00057AAC" w:rsidP="00D153D8">
            <w:pPr>
              <w:rPr>
                <w:i/>
              </w:rPr>
            </w:pPr>
            <w:r>
              <w:t>20 March 2020</w:t>
            </w:r>
          </w:p>
        </w:tc>
      </w:tr>
      <w:tr w:rsidR="00500337" w:rsidRPr="003D1E62" w14:paraId="34B2E6F7" w14:textId="77777777" w:rsidTr="003735BC">
        <w:tc>
          <w:tcPr>
            <w:tcW w:w="2907" w:type="dxa"/>
          </w:tcPr>
          <w:p w14:paraId="6DFC350B" w14:textId="77777777" w:rsidR="00500337" w:rsidRPr="00441C3F" w:rsidRDefault="00057AAC" w:rsidP="00057AAC">
            <w:pPr>
              <w:rPr>
                <w:i/>
              </w:rPr>
            </w:pPr>
            <w:r>
              <w:rPr>
                <w:i/>
              </w:rPr>
              <w:t>ARTG numbers</w:t>
            </w:r>
            <w:r w:rsidR="00500337">
              <w:rPr>
                <w:i/>
              </w:rPr>
              <w:t>:</w:t>
            </w:r>
          </w:p>
        </w:tc>
        <w:tc>
          <w:tcPr>
            <w:tcW w:w="6307" w:type="dxa"/>
          </w:tcPr>
          <w:p w14:paraId="7F8BE3E6" w14:textId="77777777" w:rsidR="00500337" w:rsidRPr="00441C3F" w:rsidRDefault="00057AAC" w:rsidP="00EC463D">
            <w:r>
              <w:rPr>
                <w:color w:val="000000"/>
              </w:rPr>
              <w:t>315020, 315055, 315064</w:t>
            </w:r>
          </w:p>
        </w:tc>
      </w:tr>
      <w:tr w:rsidR="003735BC" w:rsidRPr="003D1E62" w14:paraId="215F4A32" w14:textId="77777777" w:rsidTr="003735BC">
        <w:tc>
          <w:tcPr>
            <w:tcW w:w="2907" w:type="dxa"/>
          </w:tcPr>
          <w:p w14:paraId="4E5367AC" w14:textId="5FDC24D6" w:rsidR="003735BC" w:rsidRDefault="00FA5069" w:rsidP="001B5C90">
            <w:pPr>
              <w:rPr>
                <w:i/>
              </w:rPr>
            </w:pPr>
            <w:r>
              <w:rPr>
                <w:rFonts w:ascii="Wingdings 3" w:hAnsi="Wingdings 3"/>
                <w:sz w:val="34"/>
                <w:szCs w:val="34"/>
                <w:lang w:eastAsia="en-AU"/>
              </w:rPr>
              <w:t></w:t>
            </w:r>
            <w:r w:rsidR="003735BC" w:rsidRPr="003735BC">
              <w:rPr>
                <w:i/>
              </w:rPr>
              <w:t>Black Triangle Scheme</w:t>
            </w:r>
            <w:r w:rsidR="00D46E2C">
              <w:rPr>
                <w:i/>
              </w:rPr>
              <w:t>:</w:t>
            </w:r>
            <w:r w:rsidR="00D46E2C">
              <w:rPr>
                <w:rStyle w:val="FootnoteReference"/>
                <w:i/>
              </w:rPr>
              <w:footnoteReference w:id="2"/>
            </w:r>
          </w:p>
        </w:tc>
        <w:tc>
          <w:tcPr>
            <w:tcW w:w="6307" w:type="dxa"/>
          </w:tcPr>
          <w:p w14:paraId="70BD186F" w14:textId="77777777" w:rsidR="003735BC" w:rsidRPr="00487162" w:rsidRDefault="00682CF8" w:rsidP="003735BC">
            <w:r>
              <w:t xml:space="preserve">Yes. </w:t>
            </w:r>
            <w:r w:rsidR="003735BC">
              <w:t xml:space="preserve">This product will remain in the scheme for 5 years, starting on the date the product is first supplied in </w:t>
            </w:r>
            <w:r>
              <w:t>Australia</w:t>
            </w:r>
          </w:p>
        </w:tc>
      </w:tr>
      <w:tr w:rsidR="008E7846" w:rsidRPr="00487162" w14:paraId="0C5295EE" w14:textId="77777777" w:rsidTr="00BF1190">
        <w:tc>
          <w:tcPr>
            <w:tcW w:w="2907" w:type="dxa"/>
          </w:tcPr>
          <w:p w14:paraId="5FAE1AFB" w14:textId="77777777" w:rsidR="008E7846" w:rsidRPr="00487162" w:rsidRDefault="00374C13" w:rsidP="00E45619">
            <w:pPr>
              <w:rPr>
                <w:i/>
              </w:rPr>
            </w:pPr>
            <w:r>
              <w:rPr>
                <w:i/>
              </w:rPr>
              <w:t>Active ingredient</w:t>
            </w:r>
            <w:r w:rsidR="001B5C90">
              <w:rPr>
                <w:i/>
              </w:rPr>
              <w:t>:</w:t>
            </w:r>
          </w:p>
        </w:tc>
        <w:tc>
          <w:tcPr>
            <w:tcW w:w="6307" w:type="dxa"/>
          </w:tcPr>
          <w:p w14:paraId="354DFF94" w14:textId="77777777" w:rsidR="008E7846" w:rsidRPr="00487162" w:rsidRDefault="00682CF8" w:rsidP="00E55CB0">
            <w:proofErr w:type="spellStart"/>
            <w:r>
              <w:rPr>
                <w:color w:val="000000"/>
              </w:rPr>
              <w:t>Alpelisib</w:t>
            </w:r>
            <w:proofErr w:type="spellEnd"/>
          </w:p>
        </w:tc>
      </w:tr>
      <w:tr w:rsidR="008E7846" w:rsidRPr="00487162" w14:paraId="7C8E30A9" w14:textId="77777777" w:rsidTr="00BF1190">
        <w:tc>
          <w:tcPr>
            <w:tcW w:w="2907" w:type="dxa"/>
          </w:tcPr>
          <w:p w14:paraId="574E71AC" w14:textId="77777777" w:rsidR="008E7846" w:rsidRPr="00487162" w:rsidRDefault="008E7846" w:rsidP="001B5C90">
            <w:pPr>
              <w:rPr>
                <w:i/>
              </w:rPr>
            </w:pPr>
            <w:r w:rsidRPr="00487162">
              <w:rPr>
                <w:i/>
              </w:rPr>
              <w:t>Product</w:t>
            </w:r>
            <w:r w:rsidR="00374C13">
              <w:rPr>
                <w:i/>
              </w:rPr>
              <w:t xml:space="preserve"> name</w:t>
            </w:r>
            <w:r w:rsidR="001B5C90">
              <w:rPr>
                <w:i/>
              </w:rPr>
              <w:t>:</w:t>
            </w:r>
          </w:p>
        </w:tc>
        <w:tc>
          <w:tcPr>
            <w:tcW w:w="6307" w:type="dxa"/>
          </w:tcPr>
          <w:p w14:paraId="776BC5BF" w14:textId="77777777" w:rsidR="008E7846" w:rsidRPr="00487162" w:rsidRDefault="00682CF8" w:rsidP="00E45619">
            <w:proofErr w:type="spellStart"/>
            <w:r>
              <w:rPr>
                <w:color w:val="000000"/>
              </w:rPr>
              <w:t>Piqray</w:t>
            </w:r>
            <w:proofErr w:type="spellEnd"/>
          </w:p>
        </w:tc>
      </w:tr>
      <w:tr w:rsidR="008E7846" w:rsidRPr="00487162" w14:paraId="0140DC1C" w14:textId="77777777" w:rsidTr="00BF1190">
        <w:tc>
          <w:tcPr>
            <w:tcW w:w="2907" w:type="dxa"/>
          </w:tcPr>
          <w:p w14:paraId="75EDC265"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D479866" w14:textId="77777777" w:rsidR="008E7846" w:rsidRDefault="00682CF8" w:rsidP="00E45619">
            <w:pPr>
              <w:rPr>
                <w:color w:val="000000"/>
              </w:rPr>
            </w:pPr>
            <w:r>
              <w:rPr>
                <w:color w:val="000000"/>
              </w:rPr>
              <w:t>Novartis Pharmaceuticals Australia Pty Ltd</w:t>
            </w:r>
          </w:p>
          <w:p w14:paraId="7EAE56B2" w14:textId="77777777" w:rsidR="00682CF8" w:rsidRPr="00487162" w:rsidRDefault="00682CF8" w:rsidP="00E45619">
            <w:r>
              <w:rPr>
                <w:color w:val="000000"/>
              </w:rPr>
              <w:t>54 Waterloo Road Macquarie Park, NSW 2113</w:t>
            </w:r>
          </w:p>
        </w:tc>
      </w:tr>
      <w:tr w:rsidR="008E7846" w:rsidRPr="00487162" w14:paraId="63BC6946" w14:textId="77777777" w:rsidTr="00BF1190">
        <w:tc>
          <w:tcPr>
            <w:tcW w:w="2907" w:type="dxa"/>
          </w:tcPr>
          <w:p w14:paraId="3048D1F3" w14:textId="77777777" w:rsidR="008E7846" w:rsidRPr="00487162" w:rsidRDefault="00682CF8" w:rsidP="00E45619">
            <w:pPr>
              <w:rPr>
                <w:i/>
              </w:rPr>
            </w:pPr>
            <w:r>
              <w:rPr>
                <w:i/>
              </w:rPr>
              <w:t>Dose form</w:t>
            </w:r>
            <w:r w:rsidR="001B5C90">
              <w:rPr>
                <w:i/>
              </w:rPr>
              <w:t>:</w:t>
            </w:r>
          </w:p>
        </w:tc>
        <w:tc>
          <w:tcPr>
            <w:tcW w:w="6307" w:type="dxa"/>
          </w:tcPr>
          <w:p w14:paraId="74AB1E75" w14:textId="77777777" w:rsidR="008E7846" w:rsidRPr="00487162" w:rsidRDefault="00682CF8" w:rsidP="00E45619">
            <w:r>
              <w:rPr>
                <w:color w:val="000000"/>
              </w:rPr>
              <w:t>Film coated tablet</w:t>
            </w:r>
          </w:p>
        </w:tc>
      </w:tr>
      <w:tr w:rsidR="008E7846" w:rsidRPr="00487162" w14:paraId="30D4B546" w14:textId="77777777" w:rsidTr="00BF1190">
        <w:tc>
          <w:tcPr>
            <w:tcW w:w="2907" w:type="dxa"/>
          </w:tcPr>
          <w:p w14:paraId="4E1F80EA" w14:textId="77777777" w:rsidR="008E7846" w:rsidRPr="00487162" w:rsidRDefault="00682CF8" w:rsidP="00682CF8">
            <w:pPr>
              <w:rPr>
                <w:i/>
              </w:rPr>
            </w:pPr>
            <w:r>
              <w:rPr>
                <w:i/>
              </w:rPr>
              <w:t>Strengths</w:t>
            </w:r>
            <w:r w:rsidR="008E7846" w:rsidRPr="00487162">
              <w:rPr>
                <w:i/>
              </w:rPr>
              <w:t xml:space="preserve">: </w:t>
            </w:r>
          </w:p>
        </w:tc>
        <w:tc>
          <w:tcPr>
            <w:tcW w:w="6307" w:type="dxa"/>
          </w:tcPr>
          <w:p w14:paraId="29A16CB9" w14:textId="77777777" w:rsidR="008E7846" w:rsidRPr="00487162" w:rsidRDefault="00682CF8" w:rsidP="00E45619">
            <w:r>
              <w:rPr>
                <w:color w:val="000000"/>
              </w:rPr>
              <w:t>50 mg, 150 mg, 200 mg</w:t>
            </w:r>
          </w:p>
        </w:tc>
      </w:tr>
      <w:tr w:rsidR="008E7846" w:rsidRPr="00487162" w14:paraId="546EE128" w14:textId="77777777" w:rsidTr="00BF1190">
        <w:tc>
          <w:tcPr>
            <w:tcW w:w="2907" w:type="dxa"/>
          </w:tcPr>
          <w:p w14:paraId="6B3AFD84" w14:textId="77777777" w:rsidR="008E7846" w:rsidRPr="00487162" w:rsidRDefault="00505BAF" w:rsidP="00E45619">
            <w:pPr>
              <w:rPr>
                <w:i/>
              </w:rPr>
            </w:pPr>
            <w:r>
              <w:rPr>
                <w:i/>
              </w:rPr>
              <w:t>Container</w:t>
            </w:r>
            <w:r w:rsidR="008E7846" w:rsidRPr="00487162">
              <w:rPr>
                <w:i/>
              </w:rPr>
              <w:t>:</w:t>
            </w:r>
          </w:p>
        </w:tc>
        <w:tc>
          <w:tcPr>
            <w:tcW w:w="6307" w:type="dxa"/>
          </w:tcPr>
          <w:p w14:paraId="511CAEE8" w14:textId="77777777" w:rsidR="008E7846" w:rsidRPr="00487162" w:rsidRDefault="00682CF8" w:rsidP="00E45619">
            <w:r>
              <w:rPr>
                <w:color w:val="000000"/>
              </w:rPr>
              <w:t>Blister pack</w:t>
            </w:r>
          </w:p>
        </w:tc>
      </w:tr>
      <w:tr w:rsidR="008E7846" w:rsidRPr="00487162" w14:paraId="07348A27" w14:textId="77777777" w:rsidTr="00BF1190">
        <w:tc>
          <w:tcPr>
            <w:tcW w:w="2907" w:type="dxa"/>
          </w:tcPr>
          <w:p w14:paraId="3CC0A46E" w14:textId="77777777" w:rsidR="008E7846" w:rsidRPr="00487162" w:rsidRDefault="008E7846" w:rsidP="00505BAF">
            <w:pPr>
              <w:rPr>
                <w:i/>
              </w:rPr>
            </w:pPr>
            <w:r w:rsidRPr="00487162">
              <w:rPr>
                <w:i/>
              </w:rPr>
              <w:t>Pack sizes:</w:t>
            </w:r>
          </w:p>
        </w:tc>
        <w:tc>
          <w:tcPr>
            <w:tcW w:w="6307" w:type="dxa"/>
          </w:tcPr>
          <w:p w14:paraId="4570F530" w14:textId="77777777" w:rsidR="00505BAF" w:rsidRPr="00505BAF" w:rsidRDefault="00505BAF" w:rsidP="00F02BBF">
            <w:pPr>
              <w:rPr>
                <w:lang w:eastAsia="en-AU"/>
              </w:rPr>
            </w:pPr>
            <w:r w:rsidRPr="00505BAF">
              <w:rPr>
                <w:lang w:eastAsia="en-AU"/>
              </w:rPr>
              <w:t xml:space="preserve">50 mg and 200 mg film coated tablets composite pack: 14 day* or </w:t>
            </w:r>
            <w:proofErr w:type="gramStart"/>
            <w:r w:rsidRPr="00505BAF">
              <w:rPr>
                <w:lang w:eastAsia="en-AU"/>
              </w:rPr>
              <w:t>28 day</w:t>
            </w:r>
            <w:proofErr w:type="gramEnd"/>
            <w:r w:rsidRPr="00505BAF">
              <w:rPr>
                <w:lang w:eastAsia="en-AU"/>
              </w:rPr>
              <w:t xml:space="preserve"> calendar packs containing 28 film coated tablets (fourteen 50 mg and fourteen 200 mg) or 56 film coated tablets (twenty eight 50 mg and twenty eight 200 mg).</w:t>
            </w:r>
          </w:p>
          <w:p w14:paraId="197B1B7D" w14:textId="77777777" w:rsidR="00505BAF" w:rsidRPr="00505BAF" w:rsidRDefault="00505BAF" w:rsidP="00F02BBF">
            <w:pPr>
              <w:rPr>
                <w:lang w:eastAsia="en-AU"/>
              </w:rPr>
            </w:pPr>
            <w:r w:rsidRPr="00505BAF">
              <w:rPr>
                <w:lang w:eastAsia="en-AU"/>
              </w:rPr>
              <w:t xml:space="preserve">150 mg film coated tablets pack: 14 day* or </w:t>
            </w:r>
            <w:proofErr w:type="gramStart"/>
            <w:r w:rsidRPr="00505BAF">
              <w:rPr>
                <w:lang w:eastAsia="en-AU"/>
              </w:rPr>
              <w:t>28 day</w:t>
            </w:r>
            <w:proofErr w:type="gramEnd"/>
            <w:r w:rsidRPr="00505BAF">
              <w:rPr>
                <w:lang w:eastAsia="en-AU"/>
              </w:rPr>
              <w:t xml:space="preserve"> calendar packs containing 28 or 56 film coated tablets.</w:t>
            </w:r>
          </w:p>
          <w:p w14:paraId="22DA5737" w14:textId="77777777" w:rsidR="00505BAF" w:rsidRPr="00505BAF" w:rsidRDefault="00505BAF" w:rsidP="00F02BBF">
            <w:pPr>
              <w:rPr>
                <w:lang w:eastAsia="en-AU"/>
              </w:rPr>
            </w:pPr>
            <w:r w:rsidRPr="00505BAF">
              <w:rPr>
                <w:lang w:eastAsia="en-AU"/>
              </w:rPr>
              <w:t xml:space="preserve">200 mg film coated tablets pack: 14 day* or </w:t>
            </w:r>
            <w:proofErr w:type="gramStart"/>
            <w:r w:rsidRPr="00505BAF">
              <w:rPr>
                <w:lang w:eastAsia="en-AU"/>
              </w:rPr>
              <w:t>28 day</w:t>
            </w:r>
            <w:proofErr w:type="gramEnd"/>
            <w:r w:rsidRPr="00505BAF">
              <w:rPr>
                <w:lang w:eastAsia="en-AU"/>
              </w:rPr>
              <w:t xml:space="preserve"> calendar packs containing 14 or 28 film coated tablets.</w:t>
            </w:r>
          </w:p>
          <w:p w14:paraId="2D50936D" w14:textId="3A974355" w:rsidR="008E7846" w:rsidRPr="00487162" w:rsidRDefault="00505BAF" w:rsidP="00505BAF">
            <w:pPr>
              <w:pStyle w:val="FootnoteText"/>
            </w:pPr>
            <w:r w:rsidRPr="00505BAF">
              <w:rPr>
                <w:lang w:eastAsia="en-AU"/>
              </w:rPr>
              <w:t>*</w:t>
            </w:r>
            <w:r w:rsidR="00450DFB">
              <w:rPr>
                <w:lang w:eastAsia="en-AU"/>
              </w:rPr>
              <w:t xml:space="preserve">Note: </w:t>
            </w:r>
            <w:r w:rsidRPr="00505BAF">
              <w:rPr>
                <w:lang w:eastAsia="en-AU"/>
              </w:rPr>
              <w:t xml:space="preserve">Not all pack sizes </w:t>
            </w:r>
            <w:proofErr w:type="gramStart"/>
            <w:r w:rsidRPr="00505BAF">
              <w:rPr>
                <w:lang w:eastAsia="en-AU"/>
              </w:rPr>
              <w:t>are supplied</w:t>
            </w:r>
            <w:proofErr w:type="gramEnd"/>
            <w:r w:rsidRPr="00505BAF">
              <w:rPr>
                <w:lang w:eastAsia="en-AU"/>
              </w:rPr>
              <w:t>.</w:t>
            </w:r>
          </w:p>
        </w:tc>
      </w:tr>
      <w:tr w:rsidR="008E7846" w:rsidRPr="00487162" w14:paraId="31284A89" w14:textId="77777777" w:rsidTr="00BF1190">
        <w:tc>
          <w:tcPr>
            <w:tcW w:w="2907" w:type="dxa"/>
          </w:tcPr>
          <w:p w14:paraId="05A4AD93"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19A384BF" w14:textId="31C2A79F" w:rsidR="008E7846" w:rsidRPr="00716999" w:rsidRDefault="00374C13" w:rsidP="00374C13">
            <w:pPr>
              <w:rPr>
                <w:i/>
              </w:rPr>
            </w:pPr>
            <w:proofErr w:type="spellStart"/>
            <w:r w:rsidRPr="00716999">
              <w:rPr>
                <w:i/>
              </w:rPr>
              <w:t>P</w:t>
            </w:r>
            <w:r w:rsidR="00085335" w:rsidRPr="00716999">
              <w:rPr>
                <w:i/>
              </w:rPr>
              <w:t>iqray</w:t>
            </w:r>
            <w:proofErr w:type="spellEnd"/>
            <w:r w:rsidRPr="00716999">
              <w:rPr>
                <w:i/>
              </w:rPr>
              <w:t xml:space="preserve"> in combination with </w:t>
            </w:r>
            <w:proofErr w:type="spellStart"/>
            <w:r w:rsidRPr="00716999">
              <w:rPr>
                <w:i/>
              </w:rPr>
              <w:t>fulvestrant</w:t>
            </w:r>
            <w:proofErr w:type="spellEnd"/>
            <w:r w:rsidRPr="00716999">
              <w:rPr>
                <w:i/>
              </w:rPr>
              <w:t xml:space="preserve">, is indicated for the treatment of postmenopausal women, and men, with hormone receptor positive, </w:t>
            </w:r>
            <w:r w:rsidR="00716999" w:rsidRPr="00716999">
              <w:rPr>
                <w:i/>
              </w:rPr>
              <w:t>human epidermal growth factor receptor 2 (</w:t>
            </w:r>
            <w:r w:rsidRPr="00716999">
              <w:rPr>
                <w:i/>
              </w:rPr>
              <w:t>HER2</w:t>
            </w:r>
            <w:r w:rsidR="00716999" w:rsidRPr="00716999">
              <w:rPr>
                <w:i/>
              </w:rPr>
              <w:t>)</w:t>
            </w:r>
            <w:r w:rsidRPr="00716999">
              <w:rPr>
                <w:i/>
              </w:rPr>
              <w:t xml:space="preserve">-negative, advanced or metastatic breast cancer with a </w:t>
            </w:r>
            <w:r w:rsidR="00716999" w:rsidRPr="00716999">
              <w:rPr>
                <w:i/>
              </w:rPr>
              <w:t>phosphatidylinositol 3-kinase catalytic alpha subunit (</w:t>
            </w:r>
            <w:r w:rsidRPr="00716999">
              <w:rPr>
                <w:i/>
              </w:rPr>
              <w:t>PIK3CA</w:t>
            </w:r>
            <w:r w:rsidR="00716999" w:rsidRPr="00716999">
              <w:rPr>
                <w:i/>
              </w:rPr>
              <w:t>)</w:t>
            </w:r>
            <w:r w:rsidRPr="00716999">
              <w:rPr>
                <w:i/>
              </w:rPr>
              <w:t xml:space="preserve"> mutation as detected by a validated test following progression on or after an endocrine-based regimen.</w:t>
            </w:r>
          </w:p>
        </w:tc>
      </w:tr>
      <w:tr w:rsidR="008E7846" w:rsidRPr="00487162" w14:paraId="2915A001" w14:textId="77777777" w:rsidTr="00BF1190">
        <w:tc>
          <w:tcPr>
            <w:tcW w:w="2907" w:type="dxa"/>
          </w:tcPr>
          <w:p w14:paraId="71C0379E" w14:textId="77777777" w:rsidR="008E7846" w:rsidRPr="00487162" w:rsidRDefault="005713EC" w:rsidP="00E45619">
            <w:pPr>
              <w:rPr>
                <w:i/>
              </w:rPr>
            </w:pPr>
            <w:r>
              <w:rPr>
                <w:i/>
              </w:rPr>
              <w:lastRenderedPageBreak/>
              <w:t>Route</w:t>
            </w:r>
            <w:r w:rsidR="008E7846" w:rsidRPr="00487162">
              <w:rPr>
                <w:i/>
              </w:rPr>
              <w:t xml:space="preserve"> of administration:</w:t>
            </w:r>
          </w:p>
        </w:tc>
        <w:tc>
          <w:tcPr>
            <w:tcW w:w="6307" w:type="dxa"/>
          </w:tcPr>
          <w:p w14:paraId="76229E08" w14:textId="77777777" w:rsidR="008E7846" w:rsidRPr="00487162" w:rsidRDefault="005713EC" w:rsidP="00E45619">
            <w:r>
              <w:t>Oral</w:t>
            </w:r>
          </w:p>
        </w:tc>
      </w:tr>
      <w:tr w:rsidR="008E7846" w:rsidRPr="00487162" w14:paraId="5C2584B8" w14:textId="77777777" w:rsidTr="00BF1190">
        <w:tc>
          <w:tcPr>
            <w:tcW w:w="2907" w:type="dxa"/>
          </w:tcPr>
          <w:p w14:paraId="3DA80D05" w14:textId="77777777" w:rsidR="008E7846" w:rsidRPr="00487162" w:rsidRDefault="008E7846" w:rsidP="00E45619">
            <w:pPr>
              <w:rPr>
                <w:i/>
              </w:rPr>
            </w:pPr>
            <w:r w:rsidRPr="00487162">
              <w:rPr>
                <w:i/>
              </w:rPr>
              <w:t>Dosage:</w:t>
            </w:r>
          </w:p>
        </w:tc>
        <w:tc>
          <w:tcPr>
            <w:tcW w:w="6307" w:type="dxa"/>
          </w:tcPr>
          <w:p w14:paraId="73085DAB" w14:textId="72999BEF" w:rsidR="00374C13" w:rsidRDefault="00374C13" w:rsidP="0073628F">
            <w:proofErr w:type="gramStart"/>
            <w:r w:rsidRPr="00F02BBF">
              <w:t xml:space="preserve">Treatment with </w:t>
            </w:r>
            <w:proofErr w:type="spellStart"/>
            <w:r w:rsidRPr="00F02BBF">
              <w:t>P</w:t>
            </w:r>
            <w:r w:rsidR="0073628F" w:rsidRPr="00F02BBF">
              <w:t>iqray</w:t>
            </w:r>
            <w:proofErr w:type="spellEnd"/>
            <w:r w:rsidRPr="00F02BBF">
              <w:t xml:space="preserve"> should be initiated by a physician experienced in the use of anticancer therapies</w:t>
            </w:r>
            <w:proofErr w:type="gramEnd"/>
            <w:r w:rsidRPr="00F02BBF">
              <w:t>. Patients with hor</w:t>
            </w:r>
            <w:r w:rsidR="0073628F" w:rsidRPr="00F02BBF">
              <w:t>mone receptor (</w:t>
            </w:r>
            <w:r w:rsidRPr="00F02BBF">
              <w:t>HR</w:t>
            </w:r>
            <w:r w:rsidR="0073628F" w:rsidRPr="00F02BBF">
              <w:t>)</w:t>
            </w:r>
            <w:r w:rsidRPr="00F02BBF">
              <w:t xml:space="preserve"> positive</w:t>
            </w:r>
            <w:r>
              <w:t xml:space="preserve">, </w:t>
            </w:r>
            <w:r w:rsidR="00450DFB">
              <w:t>human epidermal growth factor 2 (</w:t>
            </w:r>
            <w:r>
              <w:t>HER2</w:t>
            </w:r>
            <w:r w:rsidR="00450DFB">
              <w:t>)</w:t>
            </w:r>
            <w:r>
              <w:t xml:space="preserve"> negative advanced breast cancer </w:t>
            </w:r>
            <w:proofErr w:type="gramStart"/>
            <w:r>
              <w:t>should be selected</w:t>
            </w:r>
            <w:proofErr w:type="gramEnd"/>
            <w:r>
              <w:t xml:space="preserve"> for treatment with </w:t>
            </w:r>
            <w:proofErr w:type="spellStart"/>
            <w:r>
              <w:t>P</w:t>
            </w:r>
            <w:r w:rsidR="0073628F">
              <w:t>iqray</w:t>
            </w:r>
            <w:proofErr w:type="spellEnd"/>
            <w:r>
              <w:t xml:space="preserve">, based on the presence of a </w:t>
            </w:r>
            <w:r w:rsidRPr="00CB732F">
              <w:rPr>
                <w:i/>
              </w:rPr>
              <w:t>PIK3CA</w:t>
            </w:r>
            <w:r>
              <w:t xml:space="preserve"> mutation in tu</w:t>
            </w:r>
            <w:r w:rsidR="0073628F">
              <w:t xml:space="preserve">mour or plasma specimens, using </w:t>
            </w:r>
            <w:r>
              <w:t>a validated test. If a mutation is not detected in a plasma specimen, test tumour tissue if available.</w:t>
            </w:r>
          </w:p>
          <w:p w14:paraId="22FE55B2" w14:textId="29A8035B" w:rsidR="008E7846" w:rsidRDefault="00374C13" w:rsidP="0073628F">
            <w:r>
              <w:t xml:space="preserve">The safety and efficacy of </w:t>
            </w:r>
            <w:proofErr w:type="spellStart"/>
            <w:r>
              <w:t>alpelisib</w:t>
            </w:r>
            <w:proofErr w:type="spellEnd"/>
            <w:r>
              <w:t xml:space="preserve"> in combina</w:t>
            </w:r>
            <w:r w:rsidR="00D72FE4">
              <w:t xml:space="preserve">tion with a </w:t>
            </w:r>
            <w:r w:rsidR="001D5DFC">
              <w:t>g</w:t>
            </w:r>
            <w:r w:rsidR="001D5DFC" w:rsidRPr="00945F4D">
              <w:t>onadotropin-releasing hormone</w:t>
            </w:r>
            <w:r w:rsidR="001D5DFC">
              <w:rPr>
                <w:rStyle w:val="e24kjd"/>
                <w:rFonts w:ascii="Arial" w:hAnsi="Arial" w:cs="Arial"/>
                <w:color w:val="222222"/>
                <w:sz w:val="21"/>
                <w:szCs w:val="21"/>
              </w:rPr>
              <w:t xml:space="preserve"> (</w:t>
            </w:r>
            <w:proofErr w:type="spellStart"/>
            <w:r w:rsidR="00D72FE4">
              <w:t>GnRH</w:t>
            </w:r>
            <w:proofErr w:type="spellEnd"/>
            <w:r w:rsidR="001D5DFC">
              <w:t>)</w:t>
            </w:r>
            <w:r w:rsidR="00D72FE4">
              <w:t xml:space="preserve"> agonist in premenopausal or </w:t>
            </w:r>
            <w:proofErr w:type="spellStart"/>
            <w:r w:rsidR="00D72FE4">
              <w:t>peri</w:t>
            </w:r>
            <w:r>
              <w:t>menopausal</w:t>
            </w:r>
            <w:proofErr w:type="spellEnd"/>
            <w:r w:rsidR="0073628F">
              <w:t xml:space="preserve"> </w:t>
            </w:r>
            <w:r>
              <w:t xml:space="preserve">women </w:t>
            </w:r>
            <w:proofErr w:type="gramStart"/>
            <w:r>
              <w:t>has not been established</w:t>
            </w:r>
            <w:proofErr w:type="gramEnd"/>
            <w:r>
              <w:t>.</w:t>
            </w:r>
            <w:r w:rsidR="0073628F">
              <w:t xml:space="preserve"> </w:t>
            </w:r>
            <w:r>
              <w:t xml:space="preserve">There was no treatment benefit demonstrated in patients without </w:t>
            </w:r>
            <w:r w:rsidRPr="00CB732F">
              <w:rPr>
                <w:i/>
              </w:rPr>
              <w:t>PIK3CA</w:t>
            </w:r>
            <w:r>
              <w:t xml:space="preserve"> mutations, i</w:t>
            </w:r>
            <w:r w:rsidR="00C86F38">
              <w:t>n the P</w:t>
            </w:r>
            <w:r>
              <w:t>hase</w:t>
            </w:r>
            <w:r w:rsidR="0073628F">
              <w:t xml:space="preserve"> </w:t>
            </w:r>
            <w:r>
              <w:t>III clinical study.</w:t>
            </w:r>
          </w:p>
          <w:p w14:paraId="122A48C9" w14:textId="77777777" w:rsidR="0073628F" w:rsidRPr="0073628F" w:rsidRDefault="0073628F" w:rsidP="0073628F">
            <w:pPr>
              <w:rPr>
                <w:b/>
              </w:rPr>
            </w:pPr>
            <w:r w:rsidRPr="0073628F">
              <w:rPr>
                <w:b/>
              </w:rPr>
              <w:t>Adult Dose</w:t>
            </w:r>
          </w:p>
          <w:p w14:paraId="7B37068E" w14:textId="77777777" w:rsidR="0073628F" w:rsidRPr="0073628F" w:rsidRDefault="0073628F" w:rsidP="0073628F">
            <w:pPr>
              <w:rPr>
                <w:i/>
              </w:rPr>
            </w:pPr>
            <w:r w:rsidRPr="0073628F">
              <w:rPr>
                <w:i/>
              </w:rPr>
              <w:t>Recommended Dosage</w:t>
            </w:r>
          </w:p>
          <w:p w14:paraId="090376FE" w14:textId="44B077B8" w:rsidR="0073628F" w:rsidRDefault="0073628F" w:rsidP="00F02BBF">
            <w:r>
              <w:t xml:space="preserve">The recommended dose of </w:t>
            </w:r>
            <w:proofErr w:type="spellStart"/>
            <w:r>
              <w:t>Piqray</w:t>
            </w:r>
            <w:proofErr w:type="spellEnd"/>
            <w:r>
              <w:t xml:space="preserve"> is 300 mg (two </w:t>
            </w:r>
            <w:r w:rsidR="00450DFB">
              <w:t xml:space="preserve">x </w:t>
            </w:r>
            <w:r>
              <w:t>150 mg film</w:t>
            </w:r>
            <w:r w:rsidR="0080642C">
              <w:noBreakHyphen/>
            </w:r>
            <w:r>
              <w:t xml:space="preserve">coated tablets) taken orally, once daily. </w:t>
            </w:r>
            <w:proofErr w:type="spellStart"/>
            <w:r>
              <w:t>Piqray</w:t>
            </w:r>
            <w:proofErr w:type="spellEnd"/>
            <w:r>
              <w:t xml:space="preserve"> </w:t>
            </w:r>
            <w:proofErr w:type="gramStart"/>
            <w:r>
              <w:t>should be taken</w:t>
            </w:r>
            <w:proofErr w:type="gramEnd"/>
            <w:r>
              <w:t xml:space="preserve"> immediately following food, at approximately the same time each day. The maximum recommended daily dose of </w:t>
            </w:r>
            <w:proofErr w:type="spellStart"/>
            <w:r>
              <w:t>Piqray</w:t>
            </w:r>
            <w:proofErr w:type="spellEnd"/>
            <w:r>
              <w:t xml:space="preserve"> is 300 mg. If </w:t>
            </w:r>
            <w:r w:rsidR="00450DFB">
              <w:t xml:space="preserve">a </w:t>
            </w:r>
            <w:r>
              <w:t xml:space="preserve">patient vomits after taking the </w:t>
            </w:r>
            <w:proofErr w:type="spellStart"/>
            <w:r>
              <w:t>Piqray</w:t>
            </w:r>
            <w:proofErr w:type="spellEnd"/>
            <w:r>
              <w:t xml:space="preserve"> dose, the patient should not take an additional dose on that day, and should resume the usual dosing schedule the next day, at the usual time.</w:t>
            </w:r>
          </w:p>
          <w:p w14:paraId="64F8960F" w14:textId="5511ADA8" w:rsidR="0073628F" w:rsidRDefault="0073628F" w:rsidP="00F02BBF">
            <w:r>
              <w:t xml:space="preserve">When co-administered with </w:t>
            </w:r>
            <w:proofErr w:type="spellStart"/>
            <w:r>
              <w:t>Piqray</w:t>
            </w:r>
            <w:proofErr w:type="spellEnd"/>
            <w:r>
              <w:t xml:space="preserve">, the recommended dose of </w:t>
            </w:r>
            <w:proofErr w:type="spellStart"/>
            <w:r>
              <w:t>fulvestrant</w:t>
            </w:r>
            <w:proofErr w:type="spellEnd"/>
            <w:r>
              <w:t xml:space="preserve"> is 500 mg a</w:t>
            </w:r>
            <w:r w:rsidR="006A5AF5">
              <w:t>dministered intramuscularly on D</w:t>
            </w:r>
            <w:r>
              <w:t xml:space="preserve">ays 1, 15 and, 29, and once monthly thereafter. Please refer to the full </w:t>
            </w:r>
            <w:r w:rsidR="00450DFB">
              <w:t>P</w:t>
            </w:r>
            <w:r>
              <w:t xml:space="preserve">roduct </w:t>
            </w:r>
            <w:r w:rsidR="00450DFB">
              <w:t>I</w:t>
            </w:r>
            <w:r>
              <w:t>nformation</w:t>
            </w:r>
            <w:r w:rsidR="00450DFB">
              <w:t xml:space="preserve"> (PI)</w:t>
            </w:r>
            <w:r>
              <w:t xml:space="preserve"> of </w:t>
            </w:r>
            <w:proofErr w:type="spellStart"/>
            <w:r>
              <w:t>fulvestrant</w:t>
            </w:r>
            <w:proofErr w:type="spellEnd"/>
            <w:r>
              <w:t>.</w:t>
            </w:r>
          </w:p>
          <w:p w14:paraId="2FA1A899" w14:textId="77777777" w:rsidR="0073628F" w:rsidRDefault="0073628F" w:rsidP="00F02BBF">
            <w:r>
              <w:t xml:space="preserve">Treatment should continue as long as clinical benefit </w:t>
            </w:r>
            <w:proofErr w:type="gramStart"/>
            <w:r>
              <w:t>is observed</w:t>
            </w:r>
            <w:proofErr w:type="gramEnd"/>
            <w:r>
              <w:t xml:space="preserve"> or until unacceptable toxicity occurs. Dosing modifications may be necessary to improve tolerability.</w:t>
            </w:r>
          </w:p>
          <w:p w14:paraId="67CDC5AE" w14:textId="13C526B8" w:rsidR="0073628F" w:rsidRPr="00487162" w:rsidRDefault="00F02BBF" w:rsidP="00450DFB">
            <w:r>
              <w:t xml:space="preserve">For further information regarding dosage, refer to the </w:t>
            </w:r>
            <w:r w:rsidR="00450DFB">
              <w:t>PI</w:t>
            </w:r>
            <w:r>
              <w:t>.</w:t>
            </w:r>
          </w:p>
        </w:tc>
      </w:tr>
    </w:tbl>
    <w:p w14:paraId="26615EE3" w14:textId="77777777" w:rsidR="008E7846" w:rsidRDefault="008E7846" w:rsidP="008E7846">
      <w:pPr>
        <w:pStyle w:val="Heading3"/>
      </w:pPr>
      <w:bookmarkStart w:id="13" w:name="_Toc247691503"/>
      <w:bookmarkStart w:id="14" w:name="_Toc314842484"/>
      <w:bookmarkStart w:id="15" w:name="_Toc48147456"/>
      <w:r>
        <w:t>Product background</w:t>
      </w:r>
      <w:bookmarkEnd w:id="13"/>
      <w:bookmarkEnd w:id="14"/>
      <w:bookmarkEnd w:id="15"/>
    </w:p>
    <w:p w14:paraId="0081EE5B" w14:textId="12C2C936" w:rsidR="008E7846" w:rsidRDefault="00940A89" w:rsidP="00716999">
      <w:r w:rsidRPr="00940A89">
        <w:t xml:space="preserve">This AusPAR describes the application by </w:t>
      </w:r>
      <w:r w:rsidR="00AF22A8">
        <w:t>Novartis Pharmaceuticals Australia Pty Ltd</w:t>
      </w:r>
      <w:r w:rsidR="00716999">
        <w:t xml:space="preserve"> </w:t>
      </w:r>
      <w:r w:rsidR="00AF22A8">
        <w:t>(</w:t>
      </w:r>
      <w:r w:rsidRPr="00940A89">
        <w:t>the sponsor</w:t>
      </w:r>
      <w:r w:rsidR="00AF22A8">
        <w:t xml:space="preserve">) to register </w:t>
      </w:r>
      <w:proofErr w:type="spellStart"/>
      <w:r w:rsidR="00AF22A8">
        <w:t>Piqray</w:t>
      </w:r>
      <w:proofErr w:type="spellEnd"/>
      <w:r w:rsidR="00716999">
        <w:t xml:space="preserve"> (</w:t>
      </w:r>
      <w:proofErr w:type="spellStart"/>
      <w:r w:rsidR="00716999">
        <w:t>alpelisi</w:t>
      </w:r>
      <w:r w:rsidR="00F14E55">
        <w:t>b</w:t>
      </w:r>
      <w:proofErr w:type="spellEnd"/>
      <w:r w:rsidR="00716999">
        <w:t>) 200 mg, 250 mg and 300 mg daily dose blisters</w:t>
      </w:r>
      <w:r w:rsidRPr="00940A89">
        <w:t xml:space="preserve"> f</w:t>
      </w:r>
      <w:r w:rsidR="00716999">
        <w:t>or the following</w:t>
      </w:r>
      <w:r w:rsidR="00F02BBF">
        <w:t xml:space="preserve"> proposed</w:t>
      </w:r>
      <w:r w:rsidR="00716999">
        <w:t xml:space="preserve"> indication:</w:t>
      </w:r>
    </w:p>
    <w:p w14:paraId="13A1BBE7" w14:textId="16E133DB" w:rsidR="00716999" w:rsidRPr="000F3353" w:rsidRDefault="000F3353" w:rsidP="000F3353">
      <w:pPr>
        <w:ind w:left="720"/>
        <w:rPr>
          <w:i/>
        </w:rPr>
      </w:pPr>
      <w:proofErr w:type="spellStart"/>
      <w:r>
        <w:rPr>
          <w:i/>
        </w:rPr>
        <w:t>Piqray</w:t>
      </w:r>
      <w:proofErr w:type="spellEnd"/>
      <w:r w:rsidRPr="000F3353">
        <w:rPr>
          <w:i/>
        </w:rPr>
        <w:t xml:space="preserve"> is an α-specific class I phosphatidylinositol-3-kinase (PIK3CA) inhibitor indicated for the treatment of postmenopausal women, and men, with hormone receptor positive, HER2-negative, advanced breast cancer with a </w:t>
      </w:r>
      <w:r w:rsidRPr="00245130">
        <w:rPr>
          <w:i/>
        </w:rPr>
        <w:t>PIK3CA</w:t>
      </w:r>
      <w:r w:rsidRPr="000F3353">
        <w:rPr>
          <w:i/>
        </w:rPr>
        <w:t xml:space="preserve"> mutation in combination with </w:t>
      </w:r>
      <w:proofErr w:type="spellStart"/>
      <w:r w:rsidRPr="000F3353">
        <w:rPr>
          <w:i/>
        </w:rPr>
        <w:t>fulvestrant</w:t>
      </w:r>
      <w:proofErr w:type="spellEnd"/>
      <w:r w:rsidRPr="000F3353">
        <w:rPr>
          <w:i/>
        </w:rPr>
        <w:t xml:space="preserve"> after disease progression following an endocrine-based regimen.</w:t>
      </w:r>
    </w:p>
    <w:p w14:paraId="3EB25227" w14:textId="0A0DF269" w:rsidR="00584817" w:rsidRDefault="00716999" w:rsidP="006452E8">
      <w:pPr>
        <w:rPr>
          <w:lang w:val="en-US"/>
        </w:rPr>
      </w:pPr>
      <w:r w:rsidRPr="00F71BFD">
        <w:rPr>
          <w:rFonts w:cs="Verdana"/>
          <w:color w:val="26231F"/>
          <w:lang w:val="en-US"/>
        </w:rPr>
        <w:t xml:space="preserve">Breast cancer is </w:t>
      </w:r>
      <w:r>
        <w:rPr>
          <w:rFonts w:cs="Verdana"/>
          <w:color w:val="26231F"/>
          <w:lang w:val="en-US"/>
        </w:rPr>
        <w:t>typically classified</w:t>
      </w:r>
      <w:r w:rsidRPr="00F71BFD">
        <w:rPr>
          <w:rFonts w:cs="Verdana"/>
          <w:color w:val="26231F"/>
          <w:lang w:val="en-US"/>
        </w:rPr>
        <w:t xml:space="preserve"> </w:t>
      </w:r>
      <w:r>
        <w:rPr>
          <w:rFonts w:cs="Verdana"/>
          <w:color w:val="26231F"/>
          <w:lang w:val="en-US"/>
        </w:rPr>
        <w:t>into three subgroups based on whether</w:t>
      </w:r>
      <w:r w:rsidRPr="00F71BFD">
        <w:rPr>
          <w:lang w:val="en-US"/>
        </w:rPr>
        <w:t xml:space="preserve"> the canc</w:t>
      </w:r>
      <w:r w:rsidR="00584817">
        <w:rPr>
          <w:lang w:val="en-US"/>
        </w:rPr>
        <w:t xml:space="preserve">er is </w:t>
      </w:r>
      <w:r w:rsidR="003931DD">
        <w:rPr>
          <w:lang w:val="en-US"/>
        </w:rPr>
        <w:t>hormone receptor (</w:t>
      </w:r>
      <w:r w:rsidR="00584817">
        <w:t>HR</w:t>
      </w:r>
      <w:r w:rsidR="003931DD">
        <w:t>)</w:t>
      </w:r>
      <w:r w:rsidR="00584817">
        <w:t xml:space="preserve"> </w:t>
      </w:r>
      <w:r>
        <w:t>positive</w:t>
      </w:r>
      <w:r>
        <w:rPr>
          <w:lang w:val="en-US"/>
        </w:rPr>
        <w:t xml:space="preserve">, </w:t>
      </w:r>
      <w:r w:rsidR="00584817">
        <w:rPr>
          <w:lang w:val="en-US"/>
        </w:rPr>
        <w:t>HER2</w:t>
      </w:r>
      <w:r>
        <w:rPr>
          <w:lang w:val="en-US"/>
        </w:rPr>
        <w:t xml:space="preserve"> is overexpressed (</w:t>
      </w:r>
      <w:r w:rsidRPr="00F71BFD">
        <w:rPr>
          <w:lang w:val="en-US"/>
        </w:rPr>
        <w:t>HER2-positive)</w:t>
      </w:r>
      <w:r>
        <w:rPr>
          <w:lang w:val="en-US"/>
        </w:rPr>
        <w:t xml:space="preserve"> or whether none of these targets is expressed (triple-negative breast cancer)</w:t>
      </w:r>
      <w:r w:rsidR="00584817">
        <w:rPr>
          <w:lang w:val="en-US"/>
        </w:rPr>
        <w:t xml:space="preserve">. </w:t>
      </w:r>
      <w:r>
        <w:rPr>
          <w:lang w:val="en-US"/>
        </w:rPr>
        <w:t xml:space="preserve">This application </w:t>
      </w:r>
      <w:proofErr w:type="gramStart"/>
      <w:r>
        <w:rPr>
          <w:lang w:val="en-US"/>
        </w:rPr>
        <w:t>is focused</w:t>
      </w:r>
      <w:proofErr w:type="gramEnd"/>
      <w:r>
        <w:rPr>
          <w:lang w:val="en-US"/>
        </w:rPr>
        <w:t xml:space="preserve"> on the subgroup of patients with HR-positive, HER2-negative</w:t>
      </w:r>
      <w:r w:rsidR="00584817">
        <w:rPr>
          <w:lang w:val="en-US"/>
        </w:rPr>
        <w:t xml:space="preserve"> advanced breast cancer. </w:t>
      </w:r>
      <w:r w:rsidRPr="00F71BFD">
        <w:rPr>
          <w:lang w:val="en-US"/>
        </w:rPr>
        <w:t xml:space="preserve">No </w:t>
      </w:r>
      <w:r w:rsidRPr="00F71BFD">
        <w:rPr>
          <w:lang w:val="en-US"/>
        </w:rPr>
        <w:lastRenderedPageBreak/>
        <w:t>Australian-specific data are available</w:t>
      </w:r>
      <w:r w:rsidR="006A5AF5">
        <w:rPr>
          <w:lang w:val="en-US"/>
        </w:rPr>
        <w:t xml:space="preserve"> for incidence of this specific subgroup</w:t>
      </w:r>
      <w:r w:rsidRPr="00F71BFD">
        <w:rPr>
          <w:lang w:val="en-US"/>
        </w:rPr>
        <w:t>, but from the U</w:t>
      </w:r>
      <w:r w:rsidR="005C53CC">
        <w:rPr>
          <w:lang w:val="en-US"/>
        </w:rPr>
        <w:t>nited States</w:t>
      </w:r>
      <w:r w:rsidR="00584817">
        <w:rPr>
          <w:lang w:val="en-US"/>
        </w:rPr>
        <w:t xml:space="preserve"> Surveillance, Epidemiology and End Results (</w:t>
      </w:r>
      <w:r w:rsidRPr="00F71BFD">
        <w:rPr>
          <w:lang w:val="en-US"/>
        </w:rPr>
        <w:t>SEER</w:t>
      </w:r>
      <w:r w:rsidR="00584817">
        <w:rPr>
          <w:lang w:val="en-US"/>
        </w:rPr>
        <w:t>)</w:t>
      </w:r>
      <w:r w:rsidRPr="00F71BFD">
        <w:rPr>
          <w:lang w:val="en-US"/>
        </w:rPr>
        <w:t xml:space="preserve"> </w:t>
      </w:r>
      <w:r w:rsidR="003931DD">
        <w:rPr>
          <w:lang w:val="en-US"/>
        </w:rPr>
        <w:t xml:space="preserve">Program </w:t>
      </w:r>
      <w:r w:rsidRPr="00F71BFD">
        <w:rPr>
          <w:lang w:val="en-US"/>
        </w:rPr>
        <w:t>database</w:t>
      </w:r>
      <w:r w:rsidR="003931DD">
        <w:rPr>
          <w:lang w:val="en-US"/>
        </w:rPr>
        <w:t>;</w:t>
      </w:r>
      <w:r w:rsidR="003931DD">
        <w:rPr>
          <w:rStyle w:val="FootnoteReference"/>
          <w:rFonts w:asciiTheme="minorHAnsi" w:hAnsiTheme="minorHAnsi" w:cs="Arial"/>
          <w:lang w:val="en-US"/>
        </w:rPr>
        <w:footnoteReference w:id="3"/>
      </w:r>
      <w:r w:rsidRPr="00F71BFD">
        <w:rPr>
          <w:lang w:val="en-US"/>
        </w:rPr>
        <w:t xml:space="preserve"> 73%</w:t>
      </w:r>
      <w:r>
        <w:rPr>
          <w:lang w:val="en-US"/>
        </w:rPr>
        <w:t xml:space="preserve"> </w:t>
      </w:r>
      <w:r w:rsidRPr="00F71BFD">
        <w:rPr>
          <w:lang w:val="en-US"/>
        </w:rPr>
        <w:t xml:space="preserve">of breast cancers were </w:t>
      </w:r>
      <w:r>
        <w:rPr>
          <w:lang w:val="en-US"/>
        </w:rPr>
        <w:t>H</w:t>
      </w:r>
      <w:r w:rsidRPr="00F71BFD">
        <w:rPr>
          <w:lang w:val="en-US"/>
        </w:rPr>
        <w:t>R</w:t>
      </w:r>
      <w:r>
        <w:rPr>
          <w:lang w:val="en-US"/>
        </w:rPr>
        <w:t xml:space="preserve">-positive, </w:t>
      </w:r>
      <w:r w:rsidRPr="00F71BFD">
        <w:rPr>
          <w:lang w:val="en-US"/>
        </w:rPr>
        <w:t>HER2-</w:t>
      </w:r>
      <w:r>
        <w:rPr>
          <w:lang w:val="en-US"/>
        </w:rPr>
        <w:t>negative</w:t>
      </w:r>
      <w:r w:rsidR="00584817">
        <w:rPr>
          <w:lang w:val="en-US"/>
        </w:rPr>
        <w:t>.</w:t>
      </w:r>
      <w:r w:rsidR="00A233B8">
        <w:rPr>
          <w:rStyle w:val="FootnoteReference"/>
          <w:rFonts w:asciiTheme="minorHAnsi" w:hAnsiTheme="minorHAnsi" w:cs="Arial"/>
          <w:lang w:val="en-US"/>
        </w:rPr>
        <w:footnoteReference w:id="4"/>
      </w:r>
    </w:p>
    <w:p w14:paraId="5A068137" w14:textId="0C3710F0" w:rsidR="00716999" w:rsidRPr="005B3BAE" w:rsidRDefault="00716999" w:rsidP="00716999">
      <w:r w:rsidRPr="00583FCE">
        <w:rPr>
          <w:rFonts w:asciiTheme="minorHAnsi" w:hAnsiTheme="minorHAnsi"/>
          <w:color w:val="000000" w:themeColor="text1"/>
          <w:shd w:val="clear" w:color="auto" w:fill="FFFFFF"/>
        </w:rPr>
        <w:t xml:space="preserve">The </w:t>
      </w:r>
      <w:r w:rsidR="005B3BAE">
        <w:t>p</w:t>
      </w:r>
      <w:r w:rsidR="005B3BAE" w:rsidRPr="001133BD">
        <w:t>hosphatidylin</w:t>
      </w:r>
      <w:r w:rsidR="005B3BAE">
        <w:t>ositol-4</w:t>
      </w:r>
      <w:proofErr w:type="gramStart"/>
      <w:r w:rsidR="005B3BAE">
        <w:t>,5</w:t>
      </w:r>
      <w:proofErr w:type="gramEnd"/>
      <w:r w:rsidR="005B3BAE">
        <w:t>-bisphosphate 3-kinas</w:t>
      </w:r>
      <w:r w:rsidRPr="00583FCE">
        <w:rPr>
          <w:rFonts w:asciiTheme="minorHAnsi" w:hAnsiTheme="minorHAnsi"/>
          <w:color w:val="000000" w:themeColor="text1"/>
          <w:shd w:val="clear" w:color="auto" w:fill="FFFFFF"/>
        </w:rPr>
        <w:t>e (PI3K) pathway is integral to diverse cellular functions, including cellular metabolism and proliferation, differentiation, and survival</w:t>
      </w:r>
      <w:r>
        <w:rPr>
          <w:rFonts w:asciiTheme="minorHAnsi" w:hAnsiTheme="minorHAnsi"/>
          <w:color w:val="000000" w:themeColor="text1"/>
          <w:shd w:val="clear" w:color="auto" w:fill="FFFFFF"/>
        </w:rPr>
        <w:t xml:space="preserve">. </w:t>
      </w:r>
      <w:r w:rsidRPr="004A7740">
        <w:rPr>
          <w:rFonts w:asciiTheme="minorHAnsi" w:eastAsia="Times New Roman" w:hAnsiTheme="minorHAnsi"/>
          <w:i/>
          <w:iCs/>
          <w:color w:val="000000" w:themeColor="text1"/>
        </w:rPr>
        <w:t>PIK3CA</w:t>
      </w:r>
      <w:r w:rsidRPr="00A94CA4">
        <w:rPr>
          <w:rFonts w:asciiTheme="minorHAnsi" w:eastAsia="Times New Roman" w:hAnsiTheme="minorHAnsi"/>
          <w:iCs/>
          <w:color w:val="000000" w:themeColor="text1"/>
        </w:rPr>
        <w:t xml:space="preserve"> </w:t>
      </w:r>
      <w:r>
        <w:rPr>
          <w:rFonts w:asciiTheme="minorHAnsi" w:eastAsia="Times New Roman" w:hAnsiTheme="minorHAnsi"/>
          <w:iCs/>
          <w:color w:val="000000" w:themeColor="text1"/>
        </w:rPr>
        <w:t>mutations are found in</w:t>
      </w:r>
      <w:r w:rsidRPr="00583FCE">
        <w:rPr>
          <w:rFonts w:asciiTheme="minorHAnsi" w:eastAsia="Times New Roman" w:hAnsiTheme="minorHAnsi"/>
          <w:color w:val="000000" w:themeColor="text1"/>
        </w:rPr>
        <w:t xml:space="preserve"> approximately 40% of </w:t>
      </w:r>
      <w:r>
        <w:rPr>
          <w:rFonts w:asciiTheme="minorHAnsi" w:eastAsia="Times New Roman" w:hAnsiTheme="minorHAnsi"/>
          <w:color w:val="000000" w:themeColor="text1"/>
        </w:rPr>
        <w:t>H</w:t>
      </w:r>
      <w:r w:rsidRPr="00583FCE">
        <w:rPr>
          <w:rFonts w:asciiTheme="minorHAnsi" w:eastAsia="Times New Roman" w:hAnsiTheme="minorHAnsi"/>
          <w:color w:val="000000" w:themeColor="text1"/>
        </w:rPr>
        <w:t>R</w:t>
      </w:r>
      <w:r>
        <w:rPr>
          <w:rFonts w:asciiTheme="minorHAnsi" w:eastAsia="Times New Roman" w:hAnsiTheme="minorHAnsi"/>
          <w:color w:val="000000" w:themeColor="text1"/>
        </w:rPr>
        <w:t>-positive</w:t>
      </w:r>
      <w:r w:rsidRPr="00583FCE">
        <w:rPr>
          <w:rFonts w:asciiTheme="minorHAnsi" w:eastAsia="Times New Roman" w:hAnsiTheme="minorHAnsi"/>
          <w:color w:val="000000" w:themeColor="text1"/>
        </w:rPr>
        <w:t xml:space="preserve"> breast cancers </w:t>
      </w:r>
      <w:r w:rsidRPr="00583FCE">
        <w:rPr>
          <w:rFonts w:asciiTheme="minorHAnsi" w:hAnsiTheme="minorHAnsi"/>
          <w:color w:val="000000" w:themeColor="text1"/>
        </w:rPr>
        <w:t xml:space="preserve">and </w:t>
      </w:r>
      <w:proofErr w:type="gramStart"/>
      <w:r>
        <w:rPr>
          <w:rFonts w:asciiTheme="minorHAnsi" w:hAnsiTheme="minorHAnsi"/>
          <w:color w:val="000000" w:themeColor="text1"/>
        </w:rPr>
        <w:t>have</w:t>
      </w:r>
      <w:r w:rsidRPr="00583FCE">
        <w:rPr>
          <w:rFonts w:asciiTheme="minorHAnsi" w:hAnsiTheme="minorHAnsi"/>
          <w:color w:val="000000" w:themeColor="text1"/>
        </w:rPr>
        <w:t xml:space="preserve"> been implicated</w:t>
      </w:r>
      <w:proofErr w:type="gramEnd"/>
      <w:r w:rsidRPr="00583FCE">
        <w:rPr>
          <w:rFonts w:asciiTheme="minorHAnsi" w:hAnsiTheme="minorHAnsi"/>
          <w:color w:val="000000" w:themeColor="text1"/>
        </w:rPr>
        <w:t xml:space="preserve"> in</w:t>
      </w:r>
      <w:r>
        <w:rPr>
          <w:rFonts w:asciiTheme="minorHAnsi" w:hAnsiTheme="minorHAnsi"/>
          <w:color w:val="000000" w:themeColor="text1"/>
        </w:rPr>
        <w:t xml:space="preserve"> resistance to endocrine therapy (ET)</w:t>
      </w:r>
      <w:r w:rsidRPr="00583FCE">
        <w:rPr>
          <w:rFonts w:asciiTheme="minorHAnsi" w:hAnsiTheme="minorHAnsi"/>
          <w:color w:val="000000" w:themeColor="text1"/>
        </w:rPr>
        <w:t>.</w:t>
      </w:r>
      <w:r w:rsidR="004D7552">
        <w:rPr>
          <w:rStyle w:val="FootnoteReference"/>
          <w:rFonts w:asciiTheme="minorHAnsi" w:hAnsiTheme="minorHAnsi"/>
          <w:color w:val="000000" w:themeColor="text1"/>
        </w:rPr>
        <w:footnoteReference w:id="5"/>
      </w:r>
      <w:r w:rsidR="00584817">
        <w:rPr>
          <w:rStyle w:val="apple-converted-space"/>
          <w:rFonts w:asciiTheme="minorHAnsi" w:hAnsiTheme="minorHAnsi"/>
          <w:color w:val="000000" w:themeColor="text1"/>
        </w:rPr>
        <w:t xml:space="preserve"> </w:t>
      </w:r>
      <w:r w:rsidRPr="004348BB">
        <w:rPr>
          <w:rFonts w:asciiTheme="minorHAnsi" w:hAnsiTheme="minorHAnsi"/>
          <w:color w:val="000000" w:themeColor="text1"/>
        </w:rPr>
        <w:t>The most common mutations</w:t>
      </w:r>
      <w:r>
        <w:rPr>
          <w:rFonts w:asciiTheme="minorHAnsi" w:hAnsiTheme="minorHAnsi"/>
          <w:color w:val="000000" w:themeColor="text1"/>
        </w:rPr>
        <w:t xml:space="preserve"> reported</w:t>
      </w:r>
      <w:r w:rsidR="00D72FE4">
        <w:rPr>
          <w:rFonts w:asciiTheme="minorHAnsi" w:hAnsiTheme="minorHAnsi"/>
          <w:color w:val="000000" w:themeColor="text1"/>
        </w:rPr>
        <w:t xml:space="preserve"> are histidine (H) replaced by a</w:t>
      </w:r>
      <w:r w:rsidR="00F14E55">
        <w:rPr>
          <w:rFonts w:asciiTheme="minorHAnsi" w:hAnsiTheme="minorHAnsi"/>
          <w:color w:val="000000" w:themeColor="text1"/>
        </w:rPr>
        <w:t>rginine (R) at position 1047 (H</w:t>
      </w:r>
      <w:r w:rsidRPr="004348BB">
        <w:rPr>
          <w:rFonts w:asciiTheme="minorHAnsi" w:hAnsiTheme="minorHAnsi"/>
          <w:color w:val="000000" w:themeColor="text1"/>
        </w:rPr>
        <w:t>1047R</w:t>
      </w:r>
      <w:r w:rsidR="00F14E55">
        <w:rPr>
          <w:rFonts w:asciiTheme="minorHAnsi" w:hAnsiTheme="minorHAnsi"/>
          <w:color w:val="000000" w:themeColor="text1"/>
        </w:rPr>
        <w:t>)</w:t>
      </w:r>
      <w:r w:rsidRPr="004348BB">
        <w:rPr>
          <w:rFonts w:asciiTheme="minorHAnsi" w:hAnsiTheme="minorHAnsi"/>
          <w:color w:val="000000" w:themeColor="text1"/>
        </w:rPr>
        <w:t xml:space="preserve"> in exon 20</w:t>
      </w:r>
      <w:r w:rsidR="00D72FE4">
        <w:rPr>
          <w:rFonts w:asciiTheme="minorHAnsi" w:hAnsiTheme="minorHAnsi"/>
          <w:color w:val="000000" w:themeColor="text1"/>
        </w:rPr>
        <w:t>,</w:t>
      </w:r>
      <w:r w:rsidRPr="004348BB">
        <w:rPr>
          <w:rFonts w:asciiTheme="minorHAnsi" w:hAnsiTheme="minorHAnsi"/>
          <w:color w:val="000000" w:themeColor="text1"/>
        </w:rPr>
        <w:t xml:space="preserve"> and </w:t>
      </w:r>
      <w:r w:rsidR="00D72FE4">
        <w:rPr>
          <w:rFonts w:asciiTheme="minorHAnsi" w:hAnsiTheme="minorHAnsi"/>
          <w:color w:val="000000" w:themeColor="text1"/>
        </w:rPr>
        <w:t>g</w:t>
      </w:r>
      <w:r w:rsidR="00F14E55">
        <w:rPr>
          <w:rFonts w:asciiTheme="minorHAnsi" w:hAnsiTheme="minorHAnsi"/>
          <w:color w:val="000000" w:themeColor="text1"/>
        </w:rPr>
        <w:t>lutamic acid (E)</w:t>
      </w:r>
      <w:r w:rsidR="00D72FE4">
        <w:rPr>
          <w:rFonts w:asciiTheme="minorHAnsi" w:hAnsiTheme="minorHAnsi"/>
          <w:color w:val="000000" w:themeColor="text1"/>
        </w:rPr>
        <w:t xml:space="preserve"> replaced by l</w:t>
      </w:r>
      <w:r w:rsidR="00F14E55">
        <w:rPr>
          <w:rFonts w:asciiTheme="minorHAnsi" w:hAnsiTheme="minorHAnsi"/>
          <w:color w:val="000000" w:themeColor="text1"/>
        </w:rPr>
        <w:t>ysine (K)</w:t>
      </w:r>
      <w:r w:rsidR="00D72FE4">
        <w:rPr>
          <w:rFonts w:asciiTheme="minorHAnsi" w:hAnsiTheme="minorHAnsi"/>
          <w:color w:val="000000" w:themeColor="text1"/>
        </w:rPr>
        <w:t xml:space="preserve"> at position 545</w:t>
      </w:r>
      <w:r w:rsidR="00F14E55">
        <w:rPr>
          <w:rFonts w:asciiTheme="minorHAnsi" w:hAnsiTheme="minorHAnsi"/>
          <w:color w:val="000000" w:themeColor="text1"/>
        </w:rPr>
        <w:t xml:space="preserve"> </w:t>
      </w:r>
      <w:r w:rsidR="00D72FE4">
        <w:rPr>
          <w:rFonts w:asciiTheme="minorHAnsi" w:hAnsiTheme="minorHAnsi"/>
          <w:color w:val="000000" w:themeColor="text1"/>
        </w:rPr>
        <w:t>(</w:t>
      </w:r>
      <w:r w:rsidRPr="004348BB">
        <w:rPr>
          <w:rFonts w:asciiTheme="minorHAnsi" w:hAnsiTheme="minorHAnsi"/>
          <w:color w:val="000000" w:themeColor="text1"/>
        </w:rPr>
        <w:t>E545K</w:t>
      </w:r>
      <w:r w:rsidR="00D72FE4">
        <w:rPr>
          <w:rFonts w:asciiTheme="minorHAnsi" w:hAnsiTheme="minorHAnsi"/>
          <w:color w:val="000000" w:themeColor="text1"/>
        </w:rPr>
        <w:t>)</w:t>
      </w:r>
      <w:r w:rsidRPr="004348BB">
        <w:rPr>
          <w:rFonts w:asciiTheme="minorHAnsi" w:hAnsiTheme="minorHAnsi"/>
          <w:color w:val="000000" w:themeColor="text1"/>
        </w:rPr>
        <w:t xml:space="preserve"> and </w:t>
      </w:r>
      <w:r w:rsidR="00D72FE4">
        <w:rPr>
          <w:rFonts w:asciiTheme="minorHAnsi" w:hAnsiTheme="minorHAnsi"/>
          <w:color w:val="000000" w:themeColor="text1"/>
        </w:rPr>
        <w:t>at position</w:t>
      </w:r>
      <w:r w:rsidR="00D72FE4" w:rsidRPr="004348BB">
        <w:rPr>
          <w:rFonts w:asciiTheme="minorHAnsi" w:hAnsiTheme="minorHAnsi"/>
          <w:color w:val="000000" w:themeColor="text1"/>
        </w:rPr>
        <w:t xml:space="preserve"> </w:t>
      </w:r>
      <w:r w:rsidR="00D72FE4">
        <w:rPr>
          <w:rFonts w:asciiTheme="minorHAnsi" w:hAnsiTheme="minorHAnsi"/>
          <w:color w:val="000000" w:themeColor="text1"/>
        </w:rPr>
        <w:t>542 (</w:t>
      </w:r>
      <w:r w:rsidRPr="004348BB">
        <w:rPr>
          <w:rFonts w:asciiTheme="minorHAnsi" w:hAnsiTheme="minorHAnsi"/>
          <w:color w:val="000000" w:themeColor="text1"/>
        </w:rPr>
        <w:t>E542K</w:t>
      </w:r>
      <w:r w:rsidR="00D72FE4">
        <w:rPr>
          <w:rFonts w:asciiTheme="minorHAnsi" w:hAnsiTheme="minorHAnsi"/>
          <w:color w:val="000000" w:themeColor="text1"/>
        </w:rPr>
        <w:t>)</w:t>
      </w:r>
      <w:r w:rsidRPr="004348BB">
        <w:rPr>
          <w:rFonts w:asciiTheme="minorHAnsi" w:hAnsiTheme="minorHAnsi"/>
          <w:color w:val="000000" w:themeColor="text1"/>
        </w:rPr>
        <w:t xml:space="preserve"> in exon </w:t>
      </w:r>
      <w:proofErr w:type="gramStart"/>
      <w:r w:rsidRPr="004348BB">
        <w:rPr>
          <w:rFonts w:asciiTheme="minorHAnsi" w:hAnsiTheme="minorHAnsi"/>
          <w:color w:val="000000" w:themeColor="text1"/>
        </w:rPr>
        <w:t>9.</w:t>
      </w:r>
      <w:r w:rsidR="00C66670">
        <w:rPr>
          <w:rStyle w:val="FootnoteReference"/>
          <w:rFonts w:asciiTheme="minorHAnsi" w:hAnsiTheme="minorHAnsi"/>
          <w:color w:val="000000" w:themeColor="text1"/>
        </w:rPr>
        <w:footnoteReference w:id="6"/>
      </w:r>
      <w:r w:rsidR="00C66670" w:rsidRPr="004A7740">
        <w:rPr>
          <w:rFonts w:asciiTheme="minorHAnsi" w:hAnsiTheme="minorHAnsi"/>
          <w:color w:val="000000" w:themeColor="text1"/>
          <w:vertAlign w:val="superscript"/>
        </w:rPr>
        <w:t>,</w:t>
      </w:r>
      <w:proofErr w:type="gramEnd"/>
      <w:r w:rsidR="00C66670">
        <w:rPr>
          <w:rStyle w:val="FootnoteReference"/>
          <w:rFonts w:asciiTheme="minorHAnsi" w:hAnsiTheme="minorHAnsi"/>
          <w:color w:val="000000" w:themeColor="text1"/>
        </w:rPr>
        <w:footnoteReference w:id="7"/>
      </w:r>
      <w:r w:rsidR="00584817">
        <w:rPr>
          <w:rFonts w:asciiTheme="minorHAnsi" w:hAnsiTheme="minorHAnsi"/>
          <w:color w:val="000000" w:themeColor="text1"/>
        </w:rPr>
        <w:t xml:space="preserve"> </w:t>
      </w:r>
      <w:r>
        <w:rPr>
          <w:rFonts w:asciiTheme="minorHAnsi" w:eastAsia="Times New Roman" w:hAnsiTheme="minorHAnsi"/>
          <w:color w:val="000000" w:themeColor="text1"/>
        </w:rPr>
        <w:t xml:space="preserve">The prognostic implications of </w:t>
      </w:r>
      <w:r w:rsidRPr="00CB732F">
        <w:rPr>
          <w:rFonts w:asciiTheme="minorHAnsi" w:eastAsia="Times New Roman" w:hAnsiTheme="minorHAnsi"/>
          <w:i/>
          <w:color w:val="000000" w:themeColor="text1"/>
        </w:rPr>
        <w:t>PIK3CA</w:t>
      </w:r>
      <w:r>
        <w:rPr>
          <w:rFonts w:asciiTheme="minorHAnsi" w:eastAsia="Times New Roman" w:hAnsiTheme="minorHAnsi"/>
          <w:color w:val="000000" w:themeColor="text1"/>
        </w:rPr>
        <w:t xml:space="preserve"> mutations in b</w:t>
      </w:r>
      <w:r w:rsidR="00584817">
        <w:rPr>
          <w:rFonts w:asciiTheme="minorHAnsi" w:eastAsia="Times New Roman" w:hAnsiTheme="minorHAnsi"/>
          <w:color w:val="000000" w:themeColor="text1"/>
        </w:rPr>
        <w:t xml:space="preserve">reast cancer remain uncertain. </w:t>
      </w:r>
      <w:r>
        <w:rPr>
          <w:rFonts w:asciiTheme="minorHAnsi" w:eastAsia="Times New Roman" w:hAnsiTheme="minorHAnsi"/>
          <w:color w:val="000000" w:themeColor="text1"/>
        </w:rPr>
        <w:t xml:space="preserve">Several PI3K inhibitors </w:t>
      </w:r>
      <w:proofErr w:type="gramStart"/>
      <w:r>
        <w:rPr>
          <w:rFonts w:asciiTheme="minorHAnsi" w:eastAsia="Times New Roman" w:hAnsiTheme="minorHAnsi"/>
          <w:color w:val="000000" w:themeColor="text1"/>
        </w:rPr>
        <w:t>have been registered</w:t>
      </w:r>
      <w:proofErr w:type="gramEnd"/>
      <w:r>
        <w:rPr>
          <w:rFonts w:asciiTheme="minorHAnsi" w:eastAsia="Times New Roman" w:hAnsiTheme="minorHAnsi"/>
          <w:color w:val="000000" w:themeColor="text1"/>
        </w:rPr>
        <w:t xml:space="preserve"> internationally for haematological indications, including </w:t>
      </w:r>
      <w:proofErr w:type="spellStart"/>
      <w:r>
        <w:rPr>
          <w:rFonts w:asciiTheme="minorHAnsi" w:eastAsia="Times New Roman" w:hAnsiTheme="minorHAnsi"/>
          <w:color w:val="000000" w:themeColor="text1"/>
        </w:rPr>
        <w:t>idelalisib</w:t>
      </w:r>
      <w:proofErr w:type="spellEnd"/>
      <w:r>
        <w:rPr>
          <w:rFonts w:asciiTheme="minorHAnsi" w:eastAsia="Times New Roman" w:hAnsiTheme="minorHAnsi"/>
          <w:color w:val="000000" w:themeColor="text1"/>
        </w:rPr>
        <w:t xml:space="preserve"> in Australia, but the development of others has</w:t>
      </w:r>
      <w:r w:rsidR="00C66670">
        <w:rPr>
          <w:rFonts w:asciiTheme="minorHAnsi" w:eastAsia="Times New Roman" w:hAnsiTheme="minorHAnsi"/>
          <w:color w:val="000000" w:themeColor="text1"/>
        </w:rPr>
        <w:t xml:space="preserve"> been curtailed by toxicities.</w:t>
      </w:r>
    </w:p>
    <w:p w14:paraId="4697F173" w14:textId="5ABF1B39" w:rsidR="00584817" w:rsidRDefault="00716999" w:rsidP="00716999">
      <w:pPr>
        <w:rPr>
          <w:lang w:val="en-US" w:eastAsia="ja-JP"/>
        </w:rPr>
      </w:pPr>
      <w:r>
        <w:rPr>
          <w:lang w:val="en-US" w:eastAsia="ja-JP"/>
        </w:rPr>
        <w:t xml:space="preserve">The treatment approach for </w:t>
      </w:r>
      <w:r>
        <w:rPr>
          <w:rFonts w:asciiTheme="minorHAnsi" w:hAnsiTheme="minorHAnsi" w:cs="Arial"/>
          <w:lang w:val="en-US"/>
        </w:rPr>
        <w:t>HR-positive, HER2-negative</w:t>
      </w:r>
      <w:r>
        <w:rPr>
          <w:lang w:val="en-US" w:eastAsia="ja-JP"/>
        </w:rPr>
        <w:t xml:space="preserve"> advanced breast cancer is influenced by a number of variables, including </w:t>
      </w:r>
      <w:r w:rsidRPr="00F71BFD">
        <w:rPr>
          <w:rFonts w:asciiTheme="minorHAnsi" w:eastAsiaTheme="minorHAnsi" w:hAnsiTheme="minorHAnsi" w:cs="Verdana"/>
          <w:color w:val="26231F"/>
          <w:lang w:val="en-US"/>
        </w:rPr>
        <w:t xml:space="preserve">the extent and location of metastases, </w:t>
      </w:r>
      <w:r>
        <w:rPr>
          <w:rFonts w:asciiTheme="minorHAnsi" w:eastAsiaTheme="minorHAnsi" w:hAnsiTheme="minorHAnsi" w:cs="Verdana"/>
          <w:color w:val="26231F"/>
          <w:lang w:val="en-US"/>
        </w:rPr>
        <w:t xml:space="preserve">the </w:t>
      </w:r>
      <w:r w:rsidRPr="00F71BFD">
        <w:rPr>
          <w:rFonts w:asciiTheme="minorHAnsi" w:eastAsiaTheme="minorHAnsi" w:hAnsiTheme="minorHAnsi" w:cs="Verdana"/>
          <w:color w:val="26231F"/>
          <w:lang w:val="en-US"/>
        </w:rPr>
        <w:t>symptom burden</w:t>
      </w:r>
      <w:r>
        <w:rPr>
          <w:rFonts w:asciiTheme="minorHAnsi" w:eastAsiaTheme="minorHAnsi" w:hAnsiTheme="minorHAnsi" w:cs="Verdana"/>
          <w:color w:val="26231F"/>
          <w:lang w:val="en-US"/>
        </w:rPr>
        <w:t>,</w:t>
      </w:r>
      <w:r w:rsidRPr="00F71BFD">
        <w:rPr>
          <w:rFonts w:asciiTheme="minorHAnsi" w:eastAsiaTheme="minorHAnsi" w:hAnsiTheme="minorHAnsi" w:cs="Verdana"/>
          <w:color w:val="26231F"/>
          <w:lang w:val="en-US"/>
        </w:rPr>
        <w:t xml:space="preserve"> </w:t>
      </w:r>
      <w:proofErr w:type="gramStart"/>
      <w:r w:rsidRPr="00F71BFD">
        <w:rPr>
          <w:rFonts w:asciiTheme="minorHAnsi" w:eastAsiaTheme="minorHAnsi" w:hAnsiTheme="minorHAnsi" w:cs="Verdana"/>
          <w:color w:val="26231F"/>
          <w:lang w:val="en-US"/>
        </w:rPr>
        <w:t>the</w:t>
      </w:r>
      <w:proofErr w:type="gramEnd"/>
      <w:r w:rsidRPr="00F71BFD">
        <w:rPr>
          <w:rFonts w:asciiTheme="minorHAnsi" w:eastAsiaTheme="minorHAnsi" w:hAnsiTheme="minorHAnsi" w:cs="Verdana"/>
          <w:color w:val="26231F"/>
          <w:lang w:val="en-US"/>
        </w:rPr>
        <w:t xml:space="preserve"> rate of disease progression</w:t>
      </w:r>
      <w:r>
        <w:rPr>
          <w:rFonts w:asciiTheme="minorHAnsi" w:eastAsiaTheme="minorHAnsi" w:hAnsiTheme="minorHAnsi" w:cs="Verdana"/>
          <w:color w:val="26231F"/>
          <w:lang w:val="en-US"/>
        </w:rPr>
        <w:t>, prior therapies, age, menopausal status, patient preferences and cost</w:t>
      </w:r>
      <w:r w:rsidR="00584817">
        <w:rPr>
          <w:rFonts w:asciiTheme="minorHAnsi" w:eastAsiaTheme="minorHAnsi" w:hAnsiTheme="minorHAnsi" w:cs="Verdana"/>
          <w:color w:val="26231F"/>
          <w:lang w:val="en-US"/>
        </w:rPr>
        <w:t xml:space="preserve">. </w:t>
      </w:r>
      <w:r>
        <w:rPr>
          <w:lang w:val="en-US" w:eastAsia="ja-JP"/>
        </w:rPr>
        <w:t>Initial therapy for advanced disease usually involves ET with or without a targeted agent</w:t>
      </w:r>
      <w:r w:rsidR="00D72FE4">
        <w:rPr>
          <w:lang w:val="en-US" w:eastAsia="ja-JP"/>
        </w:rPr>
        <w:t>, noting that pre</w:t>
      </w:r>
      <w:r w:rsidR="00945F4D">
        <w:rPr>
          <w:lang w:val="en-US" w:eastAsia="ja-JP"/>
        </w:rPr>
        <w:t xml:space="preserve">menopausal </w:t>
      </w:r>
      <w:r w:rsidR="00D72FE4">
        <w:rPr>
          <w:lang w:val="en-US" w:eastAsia="ja-JP"/>
        </w:rPr>
        <w:t xml:space="preserve">or </w:t>
      </w:r>
      <w:proofErr w:type="spellStart"/>
      <w:r w:rsidR="00D72FE4">
        <w:rPr>
          <w:lang w:val="en-US" w:eastAsia="ja-JP"/>
        </w:rPr>
        <w:t>peri</w:t>
      </w:r>
      <w:r>
        <w:rPr>
          <w:lang w:val="en-US" w:eastAsia="ja-JP"/>
        </w:rPr>
        <w:t>menopausal</w:t>
      </w:r>
      <w:proofErr w:type="spellEnd"/>
      <w:r>
        <w:rPr>
          <w:lang w:val="en-US" w:eastAsia="ja-JP"/>
        </w:rPr>
        <w:t xml:space="preserve"> women generally r</w:t>
      </w:r>
      <w:r w:rsidR="001D5DFC">
        <w:rPr>
          <w:lang w:val="en-US" w:eastAsia="ja-JP"/>
        </w:rPr>
        <w:t xml:space="preserve">equire ovarian suppression (for example </w:t>
      </w:r>
      <w:proofErr w:type="spellStart"/>
      <w:r>
        <w:rPr>
          <w:lang w:val="en-US" w:eastAsia="ja-JP"/>
        </w:rPr>
        <w:t>GnRH</w:t>
      </w:r>
      <w:proofErr w:type="spellEnd"/>
      <w:r>
        <w:rPr>
          <w:lang w:val="en-US" w:eastAsia="ja-JP"/>
        </w:rPr>
        <w:t xml:space="preserve"> agonist) in association with ET</w:t>
      </w:r>
      <w:r w:rsidR="00584817">
        <w:rPr>
          <w:lang w:val="en-US" w:eastAsia="ja-JP"/>
        </w:rPr>
        <w:t xml:space="preserve">. </w:t>
      </w:r>
      <w:r>
        <w:rPr>
          <w:lang w:val="en-US" w:eastAsia="ja-JP"/>
        </w:rPr>
        <w:t xml:space="preserve">A </w:t>
      </w:r>
      <w:r w:rsidR="00CD31A0">
        <w:rPr>
          <w:lang w:val="en-US" w:eastAsia="ja-JP"/>
        </w:rPr>
        <w:t>cyclin-dependent kinase 4/</w:t>
      </w:r>
      <w:r w:rsidR="00584817">
        <w:rPr>
          <w:lang w:val="en-US" w:eastAsia="ja-JP"/>
        </w:rPr>
        <w:t>6 (</w:t>
      </w:r>
      <w:r>
        <w:rPr>
          <w:lang w:val="en-US" w:eastAsia="ja-JP"/>
        </w:rPr>
        <w:t>CDK4/6</w:t>
      </w:r>
      <w:r w:rsidR="00584817">
        <w:rPr>
          <w:lang w:val="en-US" w:eastAsia="ja-JP"/>
        </w:rPr>
        <w:t>)</w:t>
      </w:r>
      <w:r>
        <w:rPr>
          <w:lang w:val="en-US" w:eastAsia="ja-JP"/>
        </w:rPr>
        <w:t xml:space="preserve"> inhibitor in combination with an aromatase inhibitor or </w:t>
      </w:r>
      <w:proofErr w:type="spellStart"/>
      <w:r>
        <w:rPr>
          <w:lang w:val="en-US" w:eastAsia="ja-JP"/>
        </w:rPr>
        <w:t>fulvestrant</w:t>
      </w:r>
      <w:proofErr w:type="spellEnd"/>
      <w:r>
        <w:rPr>
          <w:lang w:val="en-US" w:eastAsia="ja-JP"/>
        </w:rPr>
        <w:t>,</w:t>
      </w:r>
      <w:r w:rsidRPr="00CC33BA">
        <w:rPr>
          <w:lang w:val="en-US" w:eastAsia="ja-JP"/>
        </w:rPr>
        <w:t xml:space="preserve"> </w:t>
      </w:r>
      <w:r>
        <w:rPr>
          <w:lang w:val="en-US" w:eastAsia="ja-JP"/>
        </w:rPr>
        <w:t>depending on the prior history of ET, is currently a preferred option</w:t>
      </w:r>
      <w:r w:rsidR="00945F4D">
        <w:rPr>
          <w:lang w:val="en-US" w:eastAsia="ja-JP"/>
        </w:rPr>
        <w:t xml:space="preserve">. </w:t>
      </w:r>
      <w:r>
        <w:rPr>
          <w:lang w:val="en-US" w:eastAsia="ja-JP"/>
        </w:rPr>
        <w:t xml:space="preserve">There are multiple other endocrine-based treatment options, but the optimal sequencing remains uncertain. Chemotherapy </w:t>
      </w:r>
      <w:proofErr w:type="gramStart"/>
      <w:r>
        <w:rPr>
          <w:lang w:val="en-US" w:eastAsia="ja-JP"/>
        </w:rPr>
        <w:t>is usually reserved</w:t>
      </w:r>
      <w:proofErr w:type="gramEnd"/>
      <w:r>
        <w:rPr>
          <w:lang w:val="en-US" w:eastAsia="ja-JP"/>
        </w:rPr>
        <w:t xml:space="preserve"> for patients who are refractory to ET or have extensive symptomatic visceral involvement</w:t>
      </w:r>
      <w:r w:rsidR="00584817">
        <w:rPr>
          <w:lang w:val="en-US" w:eastAsia="ja-JP"/>
        </w:rPr>
        <w:t>.</w:t>
      </w:r>
    </w:p>
    <w:p w14:paraId="4E1693C8" w14:textId="77777777" w:rsidR="00716999" w:rsidRDefault="00716999" w:rsidP="00716999">
      <w:pPr>
        <w:rPr>
          <w:lang w:val="en-US"/>
        </w:rPr>
      </w:pPr>
      <w:proofErr w:type="spellStart"/>
      <w:r>
        <w:rPr>
          <w:lang w:val="en-US"/>
        </w:rPr>
        <w:t>Fulvestrant</w:t>
      </w:r>
      <w:proofErr w:type="spellEnd"/>
      <w:r>
        <w:rPr>
          <w:lang w:val="en-US"/>
        </w:rPr>
        <w:t xml:space="preserve">, the comparator in the pivotal study in this submission, </w:t>
      </w:r>
      <w:proofErr w:type="gramStart"/>
      <w:r>
        <w:rPr>
          <w:lang w:val="en-US"/>
        </w:rPr>
        <w:t>is registered</w:t>
      </w:r>
      <w:proofErr w:type="gramEnd"/>
      <w:r>
        <w:rPr>
          <w:lang w:val="en-US"/>
        </w:rPr>
        <w:t xml:space="preserve"> in Australia but is not </w:t>
      </w:r>
      <w:r w:rsidR="00945F4D">
        <w:rPr>
          <w:lang w:val="en-US"/>
        </w:rPr>
        <w:t>pharmaceutical benefit scheme</w:t>
      </w:r>
      <w:r w:rsidRPr="00A9127C">
        <w:t>-subsidised</w:t>
      </w:r>
      <w:r>
        <w:rPr>
          <w:lang w:val="en-US"/>
        </w:rPr>
        <w:t>.</w:t>
      </w:r>
      <w:r w:rsidR="004D1F7E">
        <w:rPr>
          <w:lang w:val="en-US"/>
        </w:rPr>
        <w:t xml:space="preserve"> </w:t>
      </w:r>
      <w:r>
        <w:rPr>
          <w:lang w:val="en-US"/>
        </w:rPr>
        <w:t>The registered indication is:</w:t>
      </w:r>
    </w:p>
    <w:p w14:paraId="533032AD" w14:textId="77777777" w:rsidR="00716999" w:rsidRDefault="00716999" w:rsidP="00945F4D">
      <w:pPr>
        <w:ind w:left="426"/>
        <w:rPr>
          <w:i/>
        </w:rPr>
      </w:pPr>
      <w:proofErr w:type="spellStart"/>
      <w:r w:rsidRPr="00945F4D">
        <w:rPr>
          <w:i/>
        </w:rPr>
        <w:t>F</w:t>
      </w:r>
      <w:r w:rsidR="00712463" w:rsidRPr="00945F4D">
        <w:rPr>
          <w:i/>
        </w:rPr>
        <w:t>aslodex</w:t>
      </w:r>
      <w:proofErr w:type="spellEnd"/>
      <w:r w:rsidRPr="00945F4D">
        <w:rPr>
          <w:i/>
        </w:rPr>
        <w:t xml:space="preserve"> </w:t>
      </w:r>
      <w:proofErr w:type="gramStart"/>
      <w:r w:rsidRPr="00945F4D">
        <w:rPr>
          <w:i/>
        </w:rPr>
        <w:t>is indicated</w:t>
      </w:r>
      <w:proofErr w:type="gramEnd"/>
      <w:r w:rsidRPr="00945F4D">
        <w:rPr>
          <w:i/>
        </w:rPr>
        <w:t xml:space="preserve"> for the treatment of postmenopausal women with hormone-receptor positive, locally advanced or metastatic breast cancer who have progressive disease following prior tamoxifen therapy.</w:t>
      </w:r>
    </w:p>
    <w:p w14:paraId="37475DE4" w14:textId="07EC8A95" w:rsidR="00550CA0" w:rsidRPr="00550CA0" w:rsidRDefault="00B1061A" w:rsidP="00550CA0">
      <w:proofErr w:type="spellStart"/>
      <w:r>
        <w:t>Alpelisib</w:t>
      </w:r>
      <w:proofErr w:type="spellEnd"/>
      <w:r w:rsidR="00550CA0" w:rsidRPr="00550CA0">
        <w:t xml:space="preserve"> is an orally bioavailable</w:t>
      </w:r>
      <w:r>
        <w:t xml:space="preserve"> selective inhibitor of </w:t>
      </w:r>
      <w:r w:rsidR="00762F70">
        <w:t xml:space="preserve">the </w:t>
      </w:r>
      <w:r>
        <w:t>α-isoform of class I PI3K.</w:t>
      </w:r>
      <w:r w:rsidR="000D2FD0">
        <w:rPr>
          <w:rStyle w:val="FootnoteReference"/>
        </w:rPr>
        <w:footnoteReference w:id="8"/>
      </w:r>
      <w:r>
        <w:t xml:space="preserve"> </w:t>
      </w:r>
      <w:proofErr w:type="spellStart"/>
      <w:r>
        <w:t>Alpelisib</w:t>
      </w:r>
      <w:proofErr w:type="spellEnd"/>
      <w:r>
        <w:t xml:space="preserve"> inhibits PI3K signalling and prevents </w:t>
      </w:r>
      <w:r w:rsidR="004D5F8E">
        <w:t xml:space="preserve">downstream </w:t>
      </w:r>
      <w:r w:rsidR="004A7740">
        <w:t>protein kinase B (</w:t>
      </w:r>
      <w:r>
        <w:t>A</w:t>
      </w:r>
      <w:r w:rsidR="003931DD">
        <w:t>KT</w:t>
      </w:r>
      <w:r w:rsidR="004A7740">
        <w:t>)</w:t>
      </w:r>
      <w:r>
        <w:t xml:space="preserve"> phosphorylation in cell lines harbouring a </w:t>
      </w:r>
      <w:r w:rsidRPr="00245130">
        <w:rPr>
          <w:i/>
        </w:rPr>
        <w:t>PIK3CA</w:t>
      </w:r>
      <w:r>
        <w:t xml:space="preserve"> mutation.</w:t>
      </w:r>
      <w:r w:rsidR="00C04BCD">
        <w:rPr>
          <w:rStyle w:val="FootnoteReference"/>
        </w:rPr>
        <w:footnoteReference w:id="9"/>
      </w:r>
      <w:r>
        <w:t xml:space="preserve"> PI3K inhibition </w:t>
      </w:r>
      <w:r w:rsidR="003F1018">
        <w:t xml:space="preserve">by </w:t>
      </w:r>
      <w:proofErr w:type="spellStart"/>
      <w:r w:rsidR="003F1018">
        <w:t>alpelisib</w:t>
      </w:r>
      <w:proofErr w:type="spellEnd"/>
      <w:r w:rsidR="003F1018">
        <w:t xml:space="preserve"> increases </w:t>
      </w:r>
      <w:proofErr w:type="spellStart"/>
      <w:r w:rsidR="003F1018">
        <w:t>estrogen</w:t>
      </w:r>
      <w:proofErr w:type="spellEnd"/>
      <w:r w:rsidR="003F1018">
        <w:t xml:space="preserve"> receptor</w:t>
      </w:r>
      <w:r>
        <w:t xml:space="preserve"> transcription in breast cancer cells </w:t>
      </w:r>
      <w:r w:rsidR="00CD31A0">
        <w:t>and has been proposed to sensitise</w:t>
      </w:r>
      <w:r>
        <w:t xml:space="preserve"> these cells to </w:t>
      </w:r>
      <w:proofErr w:type="spellStart"/>
      <w:r>
        <w:t>estrogen</w:t>
      </w:r>
      <w:proofErr w:type="spellEnd"/>
      <w:r>
        <w:t xml:space="preserve"> receptor inhibition by </w:t>
      </w:r>
      <w:proofErr w:type="spellStart"/>
      <w:r>
        <w:t>fluvestrant</w:t>
      </w:r>
      <w:proofErr w:type="spellEnd"/>
      <w:r>
        <w:t xml:space="preserve"> treatment.</w:t>
      </w:r>
    </w:p>
    <w:p w14:paraId="6EDDD089" w14:textId="77777777" w:rsidR="008E7846" w:rsidRPr="003F31A2" w:rsidRDefault="00386150" w:rsidP="008E7846">
      <w:pPr>
        <w:pStyle w:val="Heading3"/>
      </w:pPr>
      <w:bookmarkStart w:id="18" w:name="_Toc314842485"/>
      <w:bookmarkStart w:id="19" w:name="_Toc247691504"/>
      <w:bookmarkStart w:id="20" w:name="_Toc48147457"/>
      <w:r>
        <w:lastRenderedPageBreak/>
        <w:t>Regulatory s</w:t>
      </w:r>
      <w:r w:rsidR="008E7846">
        <w:t>tatus</w:t>
      </w:r>
      <w:bookmarkEnd w:id="18"/>
      <w:bookmarkEnd w:id="19"/>
      <w:bookmarkEnd w:id="20"/>
    </w:p>
    <w:p w14:paraId="4E9610C7" w14:textId="4038F4A1" w:rsidR="00712463" w:rsidRDefault="00712463" w:rsidP="00940A89">
      <w:bookmarkStart w:id="21" w:name="_Toc247691505"/>
      <w:bookmarkStart w:id="22" w:name="_Toc314842486"/>
      <w:r>
        <w:t xml:space="preserve">This product </w:t>
      </w:r>
      <w:proofErr w:type="gramStart"/>
      <w:r>
        <w:t>is considered</w:t>
      </w:r>
      <w:proofErr w:type="gramEnd"/>
      <w:r>
        <w:t xml:space="preserve"> a new chemical entity for Australian regulatory purposes.</w:t>
      </w:r>
    </w:p>
    <w:p w14:paraId="6E0E899E" w14:textId="01F6AF34" w:rsidR="00805657" w:rsidRDefault="00940A89" w:rsidP="00940A89">
      <w:r w:rsidRPr="00940A89">
        <w:t>At the time the TGA considered this application, a simila</w:t>
      </w:r>
      <w:r w:rsidR="00743FB3">
        <w:t xml:space="preserve">r application </w:t>
      </w:r>
      <w:proofErr w:type="gramStart"/>
      <w:r w:rsidR="00743FB3">
        <w:t>had been approved</w:t>
      </w:r>
      <w:proofErr w:type="gramEnd"/>
      <w:r w:rsidR="00743FB3">
        <w:t xml:space="preserve"> in </w:t>
      </w:r>
      <w:r w:rsidR="00E07D00">
        <w:t xml:space="preserve">the </w:t>
      </w:r>
      <w:r w:rsidR="00743FB3">
        <w:t>United States of America</w:t>
      </w:r>
      <w:r w:rsidR="00D92A12">
        <w:t xml:space="preserve"> (USA)</w:t>
      </w:r>
      <w:r w:rsidR="00E07D00">
        <w:t xml:space="preserve"> on 24 May 2019 for the following indication:</w:t>
      </w:r>
    </w:p>
    <w:p w14:paraId="6FAC0C1E" w14:textId="1FFFBAB6" w:rsidR="00E07D00" w:rsidRDefault="00E07D00" w:rsidP="00E07D00">
      <w:pPr>
        <w:ind w:left="720"/>
        <w:rPr>
          <w:i/>
        </w:rPr>
      </w:pPr>
      <w:proofErr w:type="spellStart"/>
      <w:r w:rsidRPr="00D92A12">
        <w:rPr>
          <w:i/>
        </w:rPr>
        <w:t>Piqray</w:t>
      </w:r>
      <w:proofErr w:type="spellEnd"/>
      <w:r w:rsidRPr="00D92A12">
        <w:rPr>
          <w:i/>
        </w:rPr>
        <w:t xml:space="preserve"> is indicated in combination with </w:t>
      </w:r>
      <w:proofErr w:type="spellStart"/>
      <w:r w:rsidRPr="00D92A12">
        <w:rPr>
          <w:i/>
        </w:rPr>
        <w:t>fulvestrant</w:t>
      </w:r>
      <w:proofErr w:type="spellEnd"/>
      <w:r w:rsidRPr="00D92A12">
        <w:rPr>
          <w:i/>
        </w:rPr>
        <w:t xml:space="preserve"> for the treatment of postmenopausal women, and men, with hormone receptor (HR)-positive, human epidermal growth factor receptor 2 (HER2)-negative, PIK3CA-mutated, advanced or metastatic breast cancer as detected by an </w:t>
      </w:r>
      <w:r>
        <w:rPr>
          <w:i/>
        </w:rPr>
        <w:t>Food and Drug Administration (</w:t>
      </w:r>
      <w:r w:rsidRPr="00D92A12">
        <w:rPr>
          <w:i/>
        </w:rPr>
        <w:t>FDA</w:t>
      </w:r>
      <w:r>
        <w:rPr>
          <w:i/>
        </w:rPr>
        <w:t>)</w:t>
      </w:r>
      <w:r w:rsidRPr="00D92A12">
        <w:rPr>
          <w:i/>
        </w:rPr>
        <w:t>-approved test following progression on or after an endocrine-based regimen.</w:t>
      </w:r>
    </w:p>
    <w:p w14:paraId="30AAA67E" w14:textId="4163EE3D" w:rsidR="00E07D00" w:rsidRDefault="00E07D00" w:rsidP="00E07D00">
      <w:r>
        <w:t>A similar application was under consideration in the European Union (EU) (submitted on 7 March 2019), Canada</w:t>
      </w:r>
      <w:r w:rsidR="0080642C">
        <w:t xml:space="preserve"> (submitted on 16 April 2019)</w:t>
      </w:r>
      <w:r>
        <w:t>, Switzerland</w:t>
      </w:r>
      <w:r w:rsidR="0080642C">
        <w:t xml:space="preserve"> (submitted on 6</w:t>
      </w:r>
      <w:r w:rsidR="003931DD">
        <w:t> </w:t>
      </w:r>
      <w:r w:rsidR="0080642C">
        <w:t>March</w:t>
      </w:r>
      <w:r w:rsidR="003931DD">
        <w:t> </w:t>
      </w:r>
      <w:r w:rsidR="0080642C">
        <w:t>2019) and Singapore (submitted on 30 May 2019).</w:t>
      </w:r>
    </w:p>
    <w:p w14:paraId="18FD96A9" w14:textId="77777777" w:rsidR="008E7846" w:rsidRDefault="008E7846" w:rsidP="00940A89">
      <w:pPr>
        <w:pStyle w:val="Heading3"/>
      </w:pPr>
      <w:bookmarkStart w:id="23" w:name="_Toc48147458"/>
      <w:r>
        <w:t>Product Information</w:t>
      </w:r>
      <w:bookmarkEnd w:id="21"/>
      <w:bookmarkEnd w:id="22"/>
      <w:bookmarkEnd w:id="23"/>
    </w:p>
    <w:p w14:paraId="5389840C" w14:textId="0EEE57D6" w:rsidR="00940A89" w:rsidRDefault="006136D7" w:rsidP="00940A89">
      <w:bookmarkStart w:id="24" w:name="_Toc247691506"/>
      <w:bookmarkStart w:id="25" w:name="_Toc314842487"/>
      <w:r w:rsidRPr="00940A89">
        <w:t xml:space="preserve">The Product Information (PI) </w:t>
      </w:r>
      <w:r>
        <w:t xml:space="preserve">approved with the </w:t>
      </w:r>
      <w:proofErr w:type="gramStart"/>
      <w:r>
        <w:t xml:space="preserve">submission which is described in </w:t>
      </w:r>
      <w:r w:rsidRPr="00940A89">
        <w:t>this AusPAR</w:t>
      </w:r>
      <w:proofErr w:type="gram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5D9B921B" w14:textId="2ADC1BEB" w:rsidR="00500337" w:rsidRDefault="00500337" w:rsidP="00500337">
      <w:pPr>
        <w:pStyle w:val="Heading2"/>
      </w:pPr>
      <w:bookmarkStart w:id="26" w:name="_Toc504480011"/>
      <w:bookmarkStart w:id="27" w:name="_Toc48147459"/>
      <w:r>
        <w:t>II. Registration timeline</w:t>
      </w:r>
      <w:bookmarkEnd w:id="26"/>
      <w:bookmarkEnd w:id="27"/>
    </w:p>
    <w:p w14:paraId="3440F62B" w14:textId="77777777" w:rsidR="00500337" w:rsidRDefault="00500337" w:rsidP="00500337">
      <w:r>
        <w:t xml:space="preserve">The following table captures the key steps and dates for this application and which </w:t>
      </w:r>
      <w:proofErr w:type="gramStart"/>
      <w:r>
        <w:t>are detailed and discussed</w:t>
      </w:r>
      <w:r w:rsidR="00340161">
        <w:t xml:space="preserve"> in this AusPAR</w:t>
      </w:r>
      <w:proofErr w:type="gramEnd"/>
      <w:r>
        <w:t>.</w:t>
      </w:r>
    </w:p>
    <w:p w14:paraId="3B3099BA" w14:textId="0CEFB472" w:rsidR="00500337" w:rsidRPr="00377BD4" w:rsidRDefault="00297D08" w:rsidP="00297D08">
      <w:pPr>
        <w:pStyle w:val="TableTitle"/>
      </w:pPr>
      <w:r>
        <w:t xml:space="preserve">Table </w:t>
      </w:r>
      <w:r>
        <w:fldChar w:fldCharType="begin"/>
      </w:r>
      <w:r>
        <w:instrText>SEQ Table \* ARABIC</w:instrText>
      </w:r>
      <w:r>
        <w:fldChar w:fldCharType="separate"/>
      </w:r>
      <w:r w:rsidR="007C6ED1">
        <w:rPr>
          <w:noProof/>
        </w:rPr>
        <w:t>1</w:t>
      </w:r>
      <w:r>
        <w:fldChar w:fldCharType="end"/>
      </w:r>
      <w:r>
        <w:t>:</w:t>
      </w:r>
      <w:r w:rsidR="006A58A8" w:rsidRPr="006A58A8">
        <w:t xml:space="preserve"> Timeline </w:t>
      </w:r>
      <w:r w:rsidR="00805657">
        <w:t>for Submission PM-2019-00401-1-4</w:t>
      </w:r>
    </w:p>
    <w:tbl>
      <w:tblPr>
        <w:tblStyle w:val="TableTGAblue"/>
        <w:tblW w:w="0" w:type="auto"/>
        <w:tblLook w:val="04A0" w:firstRow="1" w:lastRow="0" w:firstColumn="1" w:lastColumn="0" w:noHBand="0" w:noVBand="1"/>
      </w:tblPr>
      <w:tblGrid>
        <w:gridCol w:w="4250"/>
        <w:gridCol w:w="4234"/>
      </w:tblGrid>
      <w:tr w:rsidR="00500337" w14:paraId="022CF054"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528640B2" w14:textId="77777777" w:rsidR="00500337" w:rsidRDefault="00500337" w:rsidP="00500337">
            <w:pPr>
              <w:ind w:left="0" w:right="0"/>
            </w:pPr>
            <w:r>
              <w:t>Description</w:t>
            </w:r>
          </w:p>
        </w:tc>
        <w:tc>
          <w:tcPr>
            <w:tcW w:w="4360" w:type="dxa"/>
          </w:tcPr>
          <w:p w14:paraId="036CDB7D" w14:textId="77777777" w:rsidR="00500337" w:rsidRDefault="00500337" w:rsidP="00500337">
            <w:pPr>
              <w:ind w:left="0" w:right="0"/>
            </w:pPr>
            <w:r>
              <w:t>Date</w:t>
            </w:r>
          </w:p>
        </w:tc>
      </w:tr>
      <w:tr w:rsidR="00500337" w14:paraId="188BEB57" w14:textId="77777777" w:rsidTr="00500337">
        <w:tc>
          <w:tcPr>
            <w:tcW w:w="4360" w:type="dxa"/>
          </w:tcPr>
          <w:p w14:paraId="110C768C" w14:textId="77777777" w:rsidR="00500337" w:rsidRDefault="00500337" w:rsidP="00500337">
            <w:pPr>
              <w:ind w:left="0" w:right="0"/>
            </w:pPr>
            <w:r>
              <w:t>Submission dossier accepted and first round evaluation commenced</w:t>
            </w:r>
          </w:p>
        </w:tc>
        <w:tc>
          <w:tcPr>
            <w:tcW w:w="4360" w:type="dxa"/>
          </w:tcPr>
          <w:p w14:paraId="262C9CE6" w14:textId="77777777" w:rsidR="00500337" w:rsidRDefault="00340161" w:rsidP="00500337">
            <w:pPr>
              <w:ind w:left="0" w:right="0"/>
            </w:pPr>
            <w:r>
              <w:t>1 April 2019</w:t>
            </w:r>
          </w:p>
        </w:tc>
      </w:tr>
      <w:tr w:rsidR="00500337" w14:paraId="2A4795B5" w14:textId="77777777" w:rsidTr="00500337">
        <w:tc>
          <w:tcPr>
            <w:tcW w:w="4360" w:type="dxa"/>
          </w:tcPr>
          <w:p w14:paraId="4AD01C88" w14:textId="77777777" w:rsidR="00500337" w:rsidRDefault="00500337" w:rsidP="00500337">
            <w:pPr>
              <w:ind w:left="0" w:right="0"/>
            </w:pPr>
            <w:r>
              <w:t>First round evaluation completed</w:t>
            </w:r>
          </w:p>
        </w:tc>
        <w:tc>
          <w:tcPr>
            <w:tcW w:w="4360" w:type="dxa"/>
          </w:tcPr>
          <w:p w14:paraId="2CE36287" w14:textId="77777777" w:rsidR="00500337" w:rsidRDefault="00340161" w:rsidP="00500337">
            <w:pPr>
              <w:ind w:left="0" w:right="0"/>
            </w:pPr>
            <w:r>
              <w:t>23 October 2019</w:t>
            </w:r>
          </w:p>
        </w:tc>
      </w:tr>
      <w:tr w:rsidR="00500337" w14:paraId="1250F1E3" w14:textId="77777777" w:rsidTr="00500337">
        <w:tc>
          <w:tcPr>
            <w:tcW w:w="4360" w:type="dxa"/>
          </w:tcPr>
          <w:p w14:paraId="1747113B" w14:textId="77777777" w:rsidR="00500337" w:rsidRDefault="00500337" w:rsidP="00500337">
            <w:pPr>
              <w:ind w:left="0" w:right="0"/>
            </w:pPr>
            <w:r>
              <w:t>Sponsor provides responses on questions raised in first round evaluation</w:t>
            </w:r>
          </w:p>
        </w:tc>
        <w:tc>
          <w:tcPr>
            <w:tcW w:w="4360" w:type="dxa"/>
          </w:tcPr>
          <w:p w14:paraId="1C6CBB0F" w14:textId="77777777" w:rsidR="00500337" w:rsidRDefault="00340161" w:rsidP="00500337">
            <w:pPr>
              <w:ind w:left="0" w:right="0"/>
            </w:pPr>
            <w:r>
              <w:t>24 December 2019</w:t>
            </w:r>
          </w:p>
        </w:tc>
      </w:tr>
      <w:tr w:rsidR="00500337" w14:paraId="7318886A" w14:textId="77777777" w:rsidTr="00500337">
        <w:tc>
          <w:tcPr>
            <w:tcW w:w="4360" w:type="dxa"/>
          </w:tcPr>
          <w:p w14:paraId="465C5739" w14:textId="77777777" w:rsidR="00500337" w:rsidRDefault="00500337" w:rsidP="00500337">
            <w:pPr>
              <w:ind w:left="0" w:right="0"/>
            </w:pPr>
            <w:r>
              <w:t>Second round evaluation completed</w:t>
            </w:r>
          </w:p>
        </w:tc>
        <w:tc>
          <w:tcPr>
            <w:tcW w:w="4360" w:type="dxa"/>
          </w:tcPr>
          <w:p w14:paraId="5F8B03AA" w14:textId="77777777" w:rsidR="00500337" w:rsidRDefault="00340161" w:rsidP="00500337">
            <w:pPr>
              <w:ind w:left="0" w:right="0"/>
            </w:pPr>
            <w:r>
              <w:t>17 February 2020</w:t>
            </w:r>
          </w:p>
        </w:tc>
      </w:tr>
      <w:tr w:rsidR="00500337" w14:paraId="51AE894A" w14:textId="77777777" w:rsidTr="00500337">
        <w:tc>
          <w:tcPr>
            <w:tcW w:w="4360" w:type="dxa"/>
          </w:tcPr>
          <w:p w14:paraId="0F364DC9" w14:textId="5624714E" w:rsidR="00500337" w:rsidRDefault="00500337" w:rsidP="00500337">
            <w:pPr>
              <w:ind w:left="0" w:right="0"/>
            </w:pPr>
            <w:r>
              <w:t>Delegate’s Overall b</w:t>
            </w:r>
            <w:r w:rsidR="005C53CC">
              <w:t>enefit-risk assessment</w:t>
            </w:r>
          </w:p>
        </w:tc>
        <w:tc>
          <w:tcPr>
            <w:tcW w:w="4360" w:type="dxa"/>
          </w:tcPr>
          <w:p w14:paraId="3152D47D" w14:textId="77777777" w:rsidR="00500337" w:rsidRDefault="00340161" w:rsidP="00500337">
            <w:pPr>
              <w:ind w:left="0" w:right="0"/>
            </w:pPr>
            <w:r>
              <w:t>2 January 2020</w:t>
            </w:r>
          </w:p>
        </w:tc>
      </w:tr>
      <w:tr w:rsidR="00500337" w14:paraId="67917EA9" w14:textId="77777777" w:rsidTr="00500337">
        <w:tc>
          <w:tcPr>
            <w:tcW w:w="4360" w:type="dxa"/>
          </w:tcPr>
          <w:p w14:paraId="2FD5B978" w14:textId="77777777" w:rsidR="00500337" w:rsidRDefault="00500337" w:rsidP="00500337">
            <w:pPr>
              <w:ind w:left="0" w:right="0"/>
            </w:pPr>
            <w:r>
              <w:t>Sponsor’s pre-Advisory Committee response</w:t>
            </w:r>
          </w:p>
        </w:tc>
        <w:tc>
          <w:tcPr>
            <w:tcW w:w="4360" w:type="dxa"/>
          </w:tcPr>
          <w:p w14:paraId="3539056A" w14:textId="77777777" w:rsidR="00500337" w:rsidRDefault="00340161" w:rsidP="00500337">
            <w:pPr>
              <w:ind w:left="0" w:right="0"/>
            </w:pPr>
            <w:r>
              <w:t>Not applicable</w:t>
            </w:r>
          </w:p>
        </w:tc>
      </w:tr>
      <w:tr w:rsidR="00500337" w14:paraId="38601E99" w14:textId="77777777" w:rsidTr="00500337">
        <w:tc>
          <w:tcPr>
            <w:tcW w:w="4360" w:type="dxa"/>
          </w:tcPr>
          <w:p w14:paraId="53B4FA5A" w14:textId="77777777" w:rsidR="00500337" w:rsidRDefault="00500337" w:rsidP="00500337">
            <w:pPr>
              <w:ind w:left="0" w:right="0"/>
            </w:pPr>
            <w:r>
              <w:t>Advisory Committee meeting</w:t>
            </w:r>
          </w:p>
        </w:tc>
        <w:tc>
          <w:tcPr>
            <w:tcW w:w="4360" w:type="dxa"/>
          </w:tcPr>
          <w:p w14:paraId="60F52A2E" w14:textId="77777777" w:rsidR="00500337" w:rsidRDefault="00340161" w:rsidP="00500337">
            <w:pPr>
              <w:ind w:left="0" w:right="0"/>
            </w:pPr>
            <w:r>
              <w:t>Not applicable</w:t>
            </w:r>
          </w:p>
        </w:tc>
      </w:tr>
      <w:tr w:rsidR="00500337" w14:paraId="2B3C07AA" w14:textId="77777777" w:rsidTr="00500337">
        <w:tc>
          <w:tcPr>
            <w:tcW w:w="4360" w:type="dxa"/>
          </w:tcPr>
          <w:p w14:paraId="5A829F09" w14:textId="77777777" w:rsidR="00500337" w:rsidRDefault="00500337" w:rsidP="00500337">
            <w:pPr>
              <w:ind w:left="0" w:right="0"/>
            </w:pPr>
            <w:r>
              <w:t>Registration decision (Outcome)</w:t>
            </w:r>
          </w:p>
        </w:tc>
        <w:tc>
          <w:tcPr>
            <w:tcW w:w="4360" w:type="dxa"/>
          </w:tcPr>
          <w:p w14:paraId="601BF2BC" w14:textId="77777777" w:rsidR="00500337" w:rsidRDefault="00340161" w:rsidP="00500337">
            <w:pPr>
              <w:ind w:left="0" w:right="0"/>
            </w:pPr>
            <w:r>
              <w:t>19 March 2020</w:t>
            </w:r>
          </w:p>
        </w:tc>
      </w:tr>
      <w:tr w:rsidR="00500337" w14:paraId="1E67A3F4" w14:textId="77777777" w:rsidTr="00500337">
        <w:tc>
          <w:tcPr>
            <w:tcW w:w="4360" w:type="dxa"/>
          </w:tcPr>
          <w:p w14:paraId="38FED7C7" w14:textId="0C88C14A" w:rsidR="00500337" w:rsidRDefault="00500337" w:rsidP="00500337">
            <w:pPr>
              <w:ind w:left="0" w:right="0"/>
            </w:pPr>
            <w:r>
              <w:t>Completion of administrative activities and registration on</w:t>
            </w:r>
            <w:r w:rsidR="003931DD">
              <w:t xml:space="preserve"> the</w:t>
            </w:r>
            <w:r>
              <w:t xml:space="preserve"> ARTG</w:t>
            </w:r>
          </w:p>
        </w:tc>
        <w:tc>
          <w:tcPr>
            <w:tcW w:w="4360" w:type="dxa"/>
          </w:tcPr>
          <w:p w14:paraId="23A8D106" w14:textId="77777777" w:rsidR="00500337" w:rsidRDefault="00340161" w:rsidP="00500337">
            <w:pPr>
              <w:ind w:left="0" w:right="0"/>
            </w:pPr>
            <w:r>
              <w:t>20 March 2020</w:t>
            </w:r>
          </w:p>
        </w:tc>
      </w:tr>
      <w:tr w:rsidR="00500337" w14:paraId="356C9C2A" w14:textId="77777777" w:rsidTr="00500337">
        <w:tc>
          <w:tcPr>
            <w:tcW w:w="4360" w:type="dxa"/>
          </w:tcPr>
          <w:p w14:paraId="09099A24" w14:textId="77777777" w:rsidR="00500337" w:rsidRDefault="00500337" w:rsidP="00500337">
            <w:pPr>
              <w:ind w:left="0" w:right="0"/>
            </w:pPr>
            <w:r>
              <w:lastRenderedPageBreak/>
              <w:t>Number of working days from submission dossier acceptance to registration decision*</w:t>
            </w:r>
          </w:p>
        </w:tc>
        <w:tc>
          <w:tcPr>
            <w:tcW w:w="4360" w:type="dxa"/>
          </w:tcPr>
          <w:p w14:paraId="506B0A07" w14:textId="77777777" w:rsidR="00500337" w:rsidRDefault="00340161" w:rsidP="00500337">
            <w:pPr>
              <w:ind w:left="0" w:right="0"/>
            </w:pPr>
            <w:r>
              <w:t>195</w:t>
            </w:r>
          </w:p>
        </w:tc>
      </w:tr>
    </w:tbl>
    <w:p w14:paraId="22AFC722"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4C772EF4" w14:textId="7DEAC236" w:rsidR="008E7846" w:rsidRPr="00792A32" w:rsidRDefault="00456765" w:rsidP="008E7846">
      <w:pPr>
        <w:pStyle w:val="Heading2"/>
      </w:pPr>
      <w:bookmarkStart w:id="28" w:name="_Toc196046504"/>
      <w:bookmarkStart w:id="29" w:name="_Toc247691527"/>
      <w:bookmarkStart w:id="30" w:name="_Toc314842510"/>
      <w:bookmarkStart w:id="31" w:name="_Toc48147460"/>
      <w:bookmarkStart w:id="32" w:name="_Toc163441390"/>
      <w:bookmarkEnd w:id="24"/>
      <w:bookmarkEnd w:id="25"/>
      <w:bookmarkEnd w:id="2"/>
      <w:r>
        <w:t>I</w:t>
      </w:r>
      <w:r w:rsidR="00DA64CB">
        <w:t>I</w:t>
      </w:r>
      <w:r w:rsidR="008E7846">
        <w:t xml:space="preserve">I. </w:t>
      </w:r>
      <w:r w:rsidR="00F02BBF">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8"/>
      <w:bookmarkEnd w:id="29"/>
      <w:bookmarkEnd w:id="30"/>
      <w:bookmarkEnd w:id="31"/>
    </w:p>
    <w:p w14:paraId="13512B0C" w14:textId="7B51CF87" w:rsidR="008E7846" w:rsidRDefault="008E7846" w:rsidP="008E7846">
      <w:bookmarkStart w:id="33" w:name="_Toc247691528"/>
      <w:r>
        <w:t xml:space="preserve">The submission was summarised in the following </w:t>
      </w:r>
      <w:r w:rsidRPr="00EF5C48">
        <w:t xml:space="preserve">Delegate’s </w:t>
      </w:r>
      <w:r>
        <w:t>overview</w:t>
      </w:r>
      <w:r w:rsidRPr="00EF5C48">
        <w:t xml:space="preserve"> and recommendation</w:t>
      </w:r>
      <w:r w:rsidR="00F02BBF">
        <w:t>s.</w:t>
      </w:r>
    </w:p>
    <w:p w14:paraId="2BED2E1F" w14:textId="02290A94" w:rsidR="008E7846" w:rsidRDefault="008E7846" w:rsidP="008E7846">
      <w:pPr>
        <w:pStyle w:val="Heading3"/>
      </w:pPr>
      <w:bookmarkStart w:id="34" w:name="_Toc314842511"/>
      <w:bookmarkStart w:id="35" w:name="_Toc48147461"/>
      <w:r>
        <w:t>Quality</w:t>
      </w:r>
      <w:bookmarkEnd w:id="33"/>
      <w:bookmarkEnd w:id="34"/>
      <w:bookmarkEnd w:id="35"/>
    </w:p>
    <w:p w14:paraId="7B87808A" w14:textId="1D0286B6" w:rsidR="005A4124" w:rsidRDefault="005A4124" w:rsidP="005A4124">
      <w:proofErr w:type="spellStart"/>
      <w:r>
        <w:t>Alpelisib</w:t>
      </w:r>
      <w:proofErr w:type="spellEnd"/>
      <w:r>
        <w:t xml:space="preserve"> is an</w:t>
      </w:r>
      <w:r w:rsidR="00550CA0">
        <w:t xml:space="preserve"> oral</w:t>
      </w:r>
      <w:r>
        <w:t xml:space="preserve"> α-specific class I </w:t>
      </w:r>
      <w:r w:rsidR="00D92A12">
        <w:t xml:space="preserve">PI3K </w:t>
      </w:r>
      <w:r>
        <w:t>inhibitor belonging to the 2-aminothiazole class of compounds (</w:t>
      </w:r>
      <w:r>
        <w:fldChar w:fldCharType="begin"/>
      </w:r>
      <w:r>
        <w:instrText xml:space="preserve"> REF _Ref43111132 \h </w:instrText>
      </w:r>
      <w:r>
        <w:fldChar w:fldCharType="separate"/>
      </w:r>
      <w:r w:rsidR="007C6ED1">
        <w:t xml:space="preserve">Figure </w:t>
      </w:r>
      <w:r w:rsidR="007C6ED1">
        <w:rPr>
          <w:noProof/>
        </w:rPr>
        <w:t>1</w:t>
      </w:r>
      <w:r>
        <w:fldChar w:fldCharType="end"/>
      </w:r>
      <w:r>
        <w:t>).</w:t>
      </w:r>
    </w:p>
    <w:p w14:paraId="1852D5B1" w14:textId="68333B4C" w:rsidR="005A4124" w:rsidRDefault="005A4124" w:rsidP="005A4124">
      <w:pPr>
        <w:pStyle w:val="TableTitle"/>
      </w:pPr>
      <w:bookmarkStart w:id="36" w:name="_Ref43111132"/>
      <w:r>
        <w:t xml:space="preserve">Figure </w:t>
      </w:r>
      <w:r>
        <w:fldChar w:fldCharType="begin"/>
      </w:r>
      <w:r>
        <w:instrText>SEQ Figure \* ARABIC</w:instrText>
      </w:r>
      <w:r>
        <w:fldChar w:fldCharType="separate"/>
      </w:r>
      <w:r w:rsidR="007C6ED1">
        <w:rPr>
          <w:noProof/>
        </w:rPr>
        <w:t>1</w:t>
      </w:r>
      <w:r>
        <w:fldChar w:fldCharType="end"/>
      </w:r>
      <w:bookmarkEnd w:id="36"/>
      <w:r>
        <w:t xml:space="preserve">: Structure of </w:t>
      </w:r>
      <w:proofErr w:type="spellStart"/>
      <w:r>
        <w:t>alpelisib</w:t>
      </w:r>
      <w:proofErr w:type="spellEnd"/>
    </w:p>
    <w:p w14:paraId="2371FF11" w14:textId="7B46B8BA" w:rsidR="005A4124" w:rsidRDefault="005A4124" w:rsidP="005A4124">
      <w:pPr>
        <w:autoSpaceDE w:val="0"/>
        <w:autoSpaceDN w:val="0"/>
        <w:adjustRightInd w:val="0"/>
        <w:spacing w:before="0" w:after="0" w:line="240" w:lineRule="auto"/>
        <w:rPr>
          <w:rFonts w:ascii="TimesNewRoman" w:eastAsia="TimesNewRoman" w:hAnsiTheme="minorHAnsi" w:cs="TimesNewRoman"/>
          <w:sz w:val="24"/>
          <w:szCs w:val="24"/>
        </w:rPr>
      </w:pPr>
      <w:r>
        <w:rPr>
          <w:noProof/>
          <w:lang w:eastAsia="en-AU"/>
        </w:rPr>
        <w:drawing>
          <wp:inline distT="0" distB="0" distL="0" distR="0" wp14:anchorId="111F52FC" wp14:editId="541EAE66">
            <wp:extent cx="2650910" cy="2452029"/>
            <wp:effectExtent l="0" t="0" r="0" b="5715"/>
            <wp:docPr id="10" name="Picture 10" descr="Structure of alpeli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1800" cy="2452852"/>
                    </a:xfrm>
                    <a:prstGeom prst="rect">
                      <a:avLst/>
                    </a:prstGeom>
                  </pic:spPr>
                </pic:pic>
              </a:graphicData>
            </a:graphic>
          </wp:inline>
        </w:drawing>
      </w:r>
    </w:p>
    <w:p w14:paraId="18C3D65E" w14:textId="77777777" w:rsidR="003931DD" w:rsidRDefault="0062782C" w:rsidP="006452E8">
      <w:r w:rsidRPr="0062782C">
        <w:t>The evaluator noted that the labelling presentation has an emphasis on the dose rather th</w:t>
      </w:r>
      <w:r>
        <w:t xml:space="preserve">an the strength of the tablet. </w:t>
      </w:r>
      <w:proofErr w:type="spellStart"/>
      <w:r w:rsidRPr="0062782C">
        <w:t>Piqray</w:t>
      </w:r>
      <w:proofErr w:type="spellEnd"/>
      <w:r w:rsidRPr="0062782C">
        <w:t xml:space="preserve"> </w:t>
      </w:r>
      <w:proofErr w:type="gramStart"/>
      <w:r w:rsidRPr="0062782C">
        <w:t>is proposed to be supplied</w:t>
      </w:r>
      <w:proofErr w:type="gramEnd"/>
      <w:r w:rsidRPr="0062782C">
        <w:t xml:space="preserve"> in blister packs containing daily doses of either 300 mg (2 x 150 mg), 250 mg (1 x 200 mg + 1 x</w:t>
      </w:r>
      <w:r w:rsidR="006176EA">
        <w:t xml:space="preserve"> 50 mg) or 200 mg (1 x 200mg). </w:t>
      </w:r>
      <w:r w:rsidRPr="0062782C">
        <w:t xml:space="preserve">The blister foils are clearly marked with the day each dose </w:t>
      </w:r>
      <w:proofErr w:type="gramStart"/>
      <w:r w:rsidRPr="0062782C">
        <w:t>should be taken</w:t>
      </w:r>
      <w:proofErr w:type="gramEnd"/>
      <w:r w:rsidRPr="0062782C">
        <w:t>, and where two tablets are required to meet the prescribed dose, the blisters are marked with the same colour backing.</w:t>
      </w:r>
    </w:p>
    <w:p w14:paraId="0517EF26" w14:textId="451D86A9" w:rsidR="004D1F7E" w:rsidRDefault="005A4124" w:rsidP="00C22B8B">
      <w:r>
        <w:t xml:space="preserve">The quality evaluator has </w:t>
      </w:r>
      <w:r w:rsidR="004D1F7E">
        <w:t>recommended registration of the proposed products from a pharmaceutical chemistry and biopharmaceutics perspective.</w:t>
      </w:r>
    </w:p>
    <w:p w14:paraId="023E34B0" w14:textId="77777777" w:rsidR="008E7846" w:rsidRDefault="008E7846" w:rsidP="008E7846">
      <w:pPr>
        <w:pStyle w:val="Heading3"/>
      </w:pPr>
      <w:bookmarkStart w:id="37" w:name="_Toc314842512"/>
      <w:bookmarkStart w:id="38" w:name="_Toc48147462"/>
      <w:r>
        <w:t>Nonclinical</w:t>
      </w:r>
      <w:bookmarkEnd w:id="37"/>
      <w:bookmarkEnd w:id="38"/>
    </w:p>
    <w:p w14:paraId="2777FA0A" w14:textId="7228B988" w:rsidR="00C22B8B" w:rsidRDefault="00C22B8B" w:rsidP="00C22B8B">
      <w:r w:rsidRPr="00E35261">
        <w:t xml:space="preserve">There are </w:t>
      </w:r>
      <w:proofErr w:type="gramStart"/>
      <w:r w:rsidRPr="00E35261">
        <w:t>no nonclinical</w:t>
      </w:r>
      <w:proofErr w:type="gramEnd"/>
      <w:r w:rsidRPr="00E35261">
        <w:t xml:space="preserve"> objection</w:t>
      </w:r>
      <w:r w:rsidR="004D1F7E">
        <w:t xml:space="preserve">s to registration of </w:t>
      </w:r>
      <w:proofErr w:type="spellStart"/>
      <w:r w:rsidR="004D1F7E" w:rsidRPr="002F0746">
        <w:t>alpelisib</w:t>
      </w:r>
      <w:proofErr w:type="spellEnd"/>
      <w:r w:rsidR="004D1F7E" w:rsidRPr="002F0746">
        <w:t>.</w:t>
      </w:r>
      <w:r w:rsidR="00695FD5" w:rsidRPr="002F0746">
        <w:t xml:space="preserve"> </w:t>
      </w:r>
      <w:r w:rsidRPr="002F0746">
        <w:t xml:space="preserve">The </w:t>
      </w:r>
      <w:r w:rsidR="005A4124" w:rsidRPr="002F0746">
        <w:t>non</w:t>
      </w:r>
      <w:r w:rsidRPr="002F0746">
        <w:t xml:space="preserve">clinical </w:t>
      </w:r>
      <w:r w:rsidRPr="00A40DB8">
        <w:t xml:space="preserve">evaluator has recommended </w:t>
      </w:r>
      <w:r>
        <w:t xml:space="preserve">some </w:t>
      </w:r>
      <w:r w:rsidRPr="00A40DB8">
        <w:t>changes to the PI.</w:t>
      </w:r>
    </w:p>
    <w:p w14:paraId="771E7E9E" w14:textId="77777777" w:rsidR="006176EA" w:rsidRDefault="00695FD5" w:rsidP="00C22B8B">
      <w:r>
        <w:t>The following points were summarised from the nonclinical evaluation:</w:t>
      </w:r>
    </w:p>
    <w:p w14:paraId="6C0C3252" w14:textId="1F515B99" w:rsidR="0073039A" w:rsidRPr="0028703A" w:rsidRDefault="0073039A" w:rsidP="00CB732F">
      <w:pPr>
        <w:pStyle w:val="ListBullet"/>
      </w:pPr>
      <w:r>
        <w:t>The nonclinical</w:t>
      </w:r>
      <w:r w:rsidRPr="0028703A">
        <w:t xml:space="preserve"> dossier was adequate with no major deficiencies</w:t>
      </w:r>
      <w:r>
        <w:t>.</w:t>
      </w:r>
    </w:p>
    <w:p w14:paraId="2AF371BF" w14:textId="77777777" w:rsidR="0073039A" w:rsidRPr="00DA4A26" w:rsidRDefault="0073039A" w:rsidP="00CB732F">
      <w:pPr>
        <w:pStyle w:val="ListBullet"/>
      </w:pPr>
      <w:r w:rsidRPr="00DA4A26">
        <w:lastRenderedPageBreak/>
        <w:t xml:space="preserve">The </w:t>
      </w:r>
      <w:r w:rsidRPr="00DA4A26">
        <w:rPr>
          <w:i/>
        </w:rPr>
        <w:t>in vitro</w:t>
      </w:r>
      <w:r w:rsidRPr="00DA4A26">
        <w:t xml:space="preserve"> and </w:t>
      </w:r>
      <w:r w:rsidRPr="00DA4A26">
        <w:rPr>
          <w:i/>
        </w:rPr>
        <w:t>in vivo</w:t>
      </w:r>
      <w:r w:rsidRPr="00DA4A26">
        <w:t xml:space="preserve"> pharmacology data together provided a mechanism of action of using </w:t>
      </w:r>
      <w:proofErr w:type="spellStart"/>
      <w:r w:rsidRPr="00DA4A26">
        <w:t>alpelisib</w:t>
      </w:r>
      <w:proofErr w:type="spellEnd"/>
      <w:r w:rsidRPr="00DA4A26">
        <w:t xml:space="preserve"> </w:t>
      </w:r>
      <w:proofErr w:type="gramStart"/>
      <w:r w:rsidRPr="00DA4A26">
        <w:t xml:space="preserve">in combination with </w:t>
      </w:r>
      <w:proofErr w:type="spellStart"/>
      <w:r w:rsidRPr="00DA4A26">
        <w:t>fulvestrant</w:t>
      </w:r>
      <w:proofErr w:type="spellEnd"/>
      <w:r w:rsidRPr="00DA4A26">
        <w:t xml:space="preserve"> in HR-positive, breast cancer with a </w:t>
      </w:r>
      <w:r w:rsidRPr="00CB732F">
        <w:rPr>
          <w:i/>
        </w:rPr>
        <w:t>PIK3CA</w:t>
      </w:r>
      <w:r w:rsidRPr="00DA4A26">
        <w:t xml:space="preserve"> mutation, supporting the drug’s use for the proposed indication</w:t>
      </w:r>
      <w:proofErr w:type="gramEnd"/>
      <w:r w:rsidRPr="00DA4A26">
        <w:t>.</w:t>
      </w:r>
    </w:p>
    <w:p w14:paraId="585F6CE6" w14:textId="64614C51" w:rsidR="0073039A" w:rsidRPr="00DA4A26" w:rsidRDefault="0073039A" w:rsidP="00CB732F">
      <w:pPr>
        <w:pStyle w:val="ListBullet"/>
      </w:pPr>
      <w:r w:rsidRPr="00DA4A26">
        <w:t xml:space="preserve">No adverse effects on </w:t>
      </w:r>
      <w:r>
        <w:t>electrocardiogram (</w:t>
      </w:r>
      <w:r w:rsidRPr="00DA4A26">
        <w:t>ECG</w:t>
      </w:r>
      <w:r>
        <w:t>)</w:t>
      </w:r>
      <w:r w:rsidRPr="00DA4A26">
        <w:t xml:space="preserve">, respiration, or neurological behaviour </w:t>
      </w:r>
      <w:proofErr w:type="gramStart"/>
      <w:r w:rsidRPr="00DA4A26">
        <w:t>were observed</w:t>
      </w:r>
      <w:proofErr w:type="gramEnd"/>
      <w:r w:rsidRPr="00DA4A26">
        <w:t xml:space="preserve"> in the conduct</w:t>
      </w:r>
      <w:r>
        <w:t>ed safety pharmacology studies.</w:t>
      </w:r>
    </w:p>
    <w:p w14:paraId="5FE19C74" w14:textId="77777777" w:rsidR="0073039A" w:rsidRPr="00EB69F1" w:rsidRDefault="0073039A" w:rsidP="00CB732F">
      <w:pPr>
        <w:pStyle w:val="ListBullet"/>
      </w:pPr>
      <w:r w:rsidRPr="005A368B">
        <w:t xml:space="preserve">Notable target organs for toxicity were </w:t>
      </w:r>
      <w:r>
        <w:t xml:space="preserve">haematopoietic and </w:t>
      </w:r>
      <w:r w:rsidRPr="005A368B">
        <w:t xml:space="preserve">lymphoid organs, gastrointestinal (GI) tract, skin and pancreas affected. Other findings </w:t>
      </w:r>
      <w:proofErr w:type="gramStart"/>
      <w:r w:rsidRPr="005A368B">
        <w:t>were observed</w:t>
      </w:r>
      <w:proofErr w:type="gramEnd"/>
      <w:r w:rsidRPr="005A368B">
        <w:t xml:space="preserve"> in reproductive organs, bone, teeth and organ/tissues with epithelial/glandular structure and ocular toxicities</w:t>
      </w:r>
      <w:r>
        <w:t>. The e</w:t>
      </w:r>
      <w:r w:rsidRPr="00DA4A26">
        <w:t xml:space="preserve">ffects </w:t>
      </w:r>
      <w:r>
        <w:t xml:space="preserve">(except for effects </w:t>
      </w:r>
      <w:r w:rsidRPr="00DA4A26">
        <w:t>on</w:t>
      </w:r>
      <w:r>
        <w:t xml:space="preserve"> growing bone)</w:t>
      </w:r>
      <w:r w:rsidRPr="00DA4A26">
        <w:t xml:space="preserve"> </w:t>
      </w:r>
      <w:proofErr w:type="gramStart"/>
      <w:r>
        <w:t>are</w:t>
      </w:r>
      <w:r w:rsidRPr="00DA4A26">
        <w:t xml:space="preserve"> expected</w:t>
      </w:r>
      <w:proofErr w:type="gramEnd"/>
      <w:r w:rsidRPr="00DA4A26">
        <w:t xml:space="preserve"> in </w:t>
      </w:r>
      <w:r>
        <w:t xml:space="preserve">adult </w:t>
      </w:r>
      <w:r w:rsidRPr="00DA4A26">
        <w:t>patients</w:t>
      </w:r>
      <w:r>
        <w:t>.</w:t>
      </w:r>
    </w:p>
    <w:p w14:paraId="33B31E1C" w14:textId="77777777" w:rsidR="00A84BD3" w:rsidRDefault="0073039A" w:rsidP="00CB732F">
      <w:pPr>
        <w:pStyle w:val="ListBullet"/>
      </w:pPr>
      <w:r w:rsidRPr="00C7096E">
        <w:t xml:space="preserve">The nonclinical studies predicted effects on fertility and </w:t>
      </w:r>
      <w:proofErr w:type="spellStart"/>
      <w:r w:rsidRPr="00C7096E">
        <w:t>embryofetal</w:t>
      </w:r>
      <w:proofErr w:type="spellEnd"/>
      <w:r w:rsidRPr="00C7096E">
        <w:t xml:space="preserve"> toxicity if administered to pregnant patients</w:t>
      </w:r>
      <w:r>
        <w:t xml:space="preserve"> at the proposed clinical dose.</w:t>
      </w:r>
    </w:p>
    <w:p w14:paraId="6D3BF35E" w14:textId="0E4D344D" w:rsidR="0073039A" w:rsidRPr="00D74DA1" w:rsidRDefault="008C0283" w:rsidP="008C0283">
      <w:pPr>
        <w:pStyle w:val="ListBullet2"/>
      </w:pPr>
      <w:r>
        <w:t>Pregnancy C</w:t>
      </w:r>
      <w:r w:rsidR="0073039A" w:rsidRPr="00C7096E">
        <w:t xml:space="preserve">ategory D </w:t>
      </w:r>
      <w:proofErr w:type="gramStart"/>
      <w:r w:rsidR="0073039A" w:rsidRPr="00C7096E">
        <w:t>is recommended</w:t>
      </w:r>
      <w:proofErr w:type="gramEnd"/>
      <w:r w:rsidR="0073039A" w:rsidRPr="00C7096E">
        <w:t>.</w:t>
      </w:r>
      <w:r w:rsidR="0073039A">
        <w:rPr>
          <w:rStyle w:val="FootnoteReference"/>
        </w:rPr>
        <w:footnoteReference w:id="10"/>
      </w:r>
    </w:p>
    <w:p w14:paraId="2FF44633" w14:textId="77777777" w:rsidR="0073039A" w:rsidRPr="00AC6B78" w:rsidRDefault="0073039A" w:rsidP="00CB732F">
      <w:pPr>
        <w:pStyle w:val="ListBullet"/>
      </w:pPr>
      <w:r w:rsidRPr="00AC6B78">
        <w:t xml:space="preserve">There are </w:t>
      </w:r>
      <w:proofErr w:type="gramStart"/>
      <w:r w:rsidRPr="00AC6B78">
        <w:t>no nonclinical</w:t>
      </w:r>
      <w:proofErr w:type="gramEnd"/>
      <w:r w:rsidRPr="00AC6B78">
        <w:t xml:space="preserve"> objections to registration.</w:t>
      </w:r>
    </w:p>
    <w:p w14:paraId="4935DF7A" w14:textId="65659E35" w:rsidR="0073039A" w:rsidRDefault="0073039A" w:rsidP="00CB732F">
      <w:pPr>
        <w:pStyle w:val="ListBullet"/>
      </w:pPr>
      <w:r w:rsidRPr="00DB14C8">
        <w:t xml:space="preserve">The draft </w:t>
      </w:r>
      <w:r>
        <w:t>PI</w:t>
      </w:r>
      <w:r w:rsidRPr="00DB14C8">
        <w:t xml:space="preserve"> </w:t>
      </w:r>
      <w:proofErr w:type="gramStart"/>
      <w:r w:rsidRPr="00DB14C8">
        <w:t xml:space="preserve">should </w:t>
      </w:r>
      <w:r>
        <w:t>be amended</w:t>
      </w:r>
      <w:proofErr w:type="gramEnd"/>
      <w:r>
        <w:t xml:space="preserve"> as directed.</w:t>
      </w:r>
    </w:p>
    <w:p w14:paraId="40C00AA8" w14:textId="204D4080" w:rsidR="00695FD5" w:rsidRPr="0073039A" w:rsidRDefault="0073039A" w:rsidP="00CB732F">
      <w:pPr>
        <w:pStyle w:val="ListBullet"/>
      </w:pPr>
      <w:r>
        <w:t xml:space="preserve">The transport of </w:t>
      </w:r>
      <w:proofErr w:type="spellStart"/>
      <w:r>
        <w:t>alpelisib</w:t>
      </w:r>
      <w:proofErr w:type="spellEnd"/>
      <w:r>
        <w:t xml:space="preserve"> and BZG791 (the main human metabolite of </w:t>
      </w:r>
      <w:proofErr w:type="spellStart"/>
      <w:r>
        <w:t>alpelisib</w:t>
      </w:r>
      <w:proofErr w:type="spellEnd"/>
      <w:r>
        <w:t xml:space="preserve">) by </w:t>
      </w:r>
      <w:r w:rsidRPr="0073039A">
        <w:t>bile salt export pump</w:t>
      </w:r>
      <w:r>
        <w:t xml:space="preserve"> (BSEP), m</w:t>
      </w:r>
      <w:r w:rsidRPr="0073039A">
        <w:t>ultidrug and toxin extrusion protein 1</w:t>
      </w:r>
      <w:r>
        <w:t xml:space="preserve"> (MATE1) and m</w:t>
      </w:r>
      <w:r w:rsidRPr="0073039A">
        <w:t>ultidrug resistance-associated protein 2</w:t>
      </w:r>
      <w:r>
        <w:t xml:space="preserve"> (MRP2), which are important efflux transporters in the hepatobiliary system, were not studied. These </w:t>
      </w:r>
      <w:proofErr w:type="gramStart"/>
      <w:r>
        <w:t>are considered</w:t>
      </w:r>
      <w:proofErr w:type="gramEnd"/>
      <w:r>
        <w:t xml:space="preserve"> minor deficiencies of the nonclinical data package. It </w:t>
      </w:r>
      <w:proofErr w:type="gramStart"/>
      <w:r>
        <w:t>is recommended</w:t>
      </w:r>
      <w:proofErr w:type="gramEnd"/>
      <w:r>
        <w:t xml:space="preserve"> these should be studied as a post-marketing commitment.</w:t>
      </w:r>
    </w:p>
    <w:p w14:paraId="4202BBB8" w14:textId="77777777" w:rsidR="008E7846" w:rsidRDefault="008E7846" w:rsidP="008E7846">
      <w:pPr>
        <w:pStyle w:val="Heading3"/>
      </w:pPr>
      <w:bookmarkStart w:id="39" w:name="_Toc247691530"/>
      <w:bookmarkStart w:id="40" w:name="_Toc314842513"/>
      <w:bookmarkStart w:id="41" w:name="_Toc48147463"/>
      <w:r>
        <w:t>Clinical</w:t>
      </w:r>
      <w:bookmarkEnd w:id="39"/>
      <w:bookmarkEnd w:id="40"/>
      <w:bookmarkEnd w:id="41"/>
    </w:p>
    <w:p w14:paraId="7DE85AEE" w14:textId="5EFE6824" w:rsidR="00C22B8B" w:rsidRPr="00E318EE" w:rsidRDefault="00C22B8B" w:rsidP="00C22B8B">
      <w:pPr>
        <w:autoSpaceDE w:val="0"/>
        <w:autoSpaceDN w:val="0"/>
        <w:adjustRightInd w:val="0"/>
        <w:spacing w:line="240" w:lineRule="auto"/>
      </w:pPr>
      <w:bookmarkStart w:id="42" w:name="_Toc314842514"/>
      <w:r>
        <w:t xml:space="preserve">The clinical dossier included </w:t>
      </w:r>
      <w:r w:rsidR="00370429">
        <w:t>pharmacokinetic (</w:t>
      </w:r>
      <w:r>
        <w:t>PK</w:t>
      </w:r>
      <w:r w:rsidR="00370429">
        <w:t>)</w:t>
      </w:r>
      <w:r>
        <w:t xml:space="preserve"> studies</w:t>
      </w:r>
      <w:r w:rsidRPr="00FA57A6">
        <w:rPr>
          <w:lang w:eastAsia="ja-JP"/>
        </w:rPr>
        <w:t xml:space="preserve"> </w:t>
      </w:r>
      <w:r>
        <w:rPr>
          <w:lang w:eastAsia="ja-JP"/>
        </w:rPr>
        <w:t>in healthy subjects and adult cancer patients</w:t>
      </w:r>
      <w:r>
        <w:t xml:space="preserve">, a physiologically based modelling study of absorption, population </w:t>
      </w:r>
      <w:r w:rsidR="00A84BD3">
        <w:t>pharmacokinetic</w:t>
      </w:r>
      <w:r w:rsidR="008C0283">
        <w:t xml:space="preserve"> </w:t>
      </w:r>
      <w:r w:rsidR="00E87C7E">
        <w:t>(</w:t>
      </w:r>
      <w:proofErr w:type="spellStart"/>
      <w:r w:rsidR="00E87C7E">
        <w:t>popPK</w:t>
      </w:r>
      <w:proofErr w:type="spellEnd"/>
      <w:r w:rsidR="00E87C7E">
        <w:t>)</w:t>
      </w:r>
      <w:r>
        <w:t xml:space="preserve"> analyses</w:t>
      </w:r>
      <w:r w:rsidR="00C86F38">
        <w:t>, dose-finding studies and the P</w:t>
      </w:r>
      <w:r w:rsidR="00370429">
        <w:t>hase III S</w:t>
      </w:r>
      <w:r>
        <w:t>tudy</w:t>
      </w:r>
      <w:r w:rsidR="00A84BD3">
        <w:t> </w:t>
      </w:r>
      <w:r>
        <w:t>CBYL719C2301 (SOLAR-1</w:t>
      </w:r>
      <w:r w:rsidR="00C86F38">
        <w:t xml:space="preserve"> trial</w:t>
      </w:r>
      <w:r>
        <w:t>)</w:t>
      </w:r>
      <w:r w:rsidR="00370429">
        <w:t>.</w:t>
      </w:r>
      <w:r w:rsidR="00A84BD3">
        <w:rPr>
          <w:rStyle w:val="FootnoteReference"/>
        </w:rPr>
        <w:footnoteReference w:id="11"/>
      </w:r>
    </w:p>
    <w:p w14:paraId="55F55B8A" w14:textId="609FC928" w:rsidR="00C22B8B" w:rsidRDefault="00D74FA6" w:rsidP="00C22B8B">
      <w:pPr>
        <w:pStyle w:val="Heading4"/>
        <w:spacing w:before="240"/>
      </w:pPr>
      <w:r>
        <w:t xml:space="preserve">Clinical </w:t>
      </w:r>
      <w:r w:rsidR="00BF3D92">
        <w:t>p</w:t>
      </w:r>
      <w:r w:rsidR="00C22B8B" w:rsidRPr="00AA53F4">
        <w:t>harmaco</w:t>
      </w:r>
      <w:r w:rsidR="00C22B8B">
        <w:t>logy</w:t>
      </w:r>
    </w:p>
    <w:p w14:paraId="40C5995F" w14:textId="0B1E77AE" w:rsidR="00C22B8B" w:rsidRDefault="00C22B8B" w:rsidP="00C22B8B">
      <w:pPr>
        <w:autoSpaceDE w:val="0"/>
        <w:autoSpaceDN w:val="0"/>
        <w:adjustRightInd w:val="0"/>
        <w:spacing w:line="240" w:lineRule="auto"/>
        <w:rPr>
          <w:lang w:eastAsia="ja-JP"/>
        </w:rPr>
      </w:pPr>
      <w:r w:rsidRPr="007C0D61">
        <w:rPr>
          <w:rFonts w:asciiTheme="minorHAnsi" w:eastAsiaTheme="minorHAnsi" w:hAnsiTheme="minorHAnsi"/>
          <w:color w:val="2F2F2F"/>
        </w:rPr>
        <w:t xml:space="preserve">Steady-state </w:t>
      </w:r>
      <w:proofErr w:type="spellStart"/>
      <w:r w:rsidRPr="00370429">
        <w:rPr>
          <w:rFonts w:asciiTheme="minorHAnsi" w:eastAsiaTheme="minorHAnsi" w:hAnsiTheme="minorHAnsi"/>
          <w:color w:val="1A1A1A"/>
        </w:rPr>
        <w:t>alpelisib</w:t>
      </w:r>
      <w:proofErr w:type="spellEnd"/>
      <w:r w:rsidRPr="00370429">
        <w:rPr>
          <w:rFonts w:asciiTheme="minorHAnsi" w:eastAsiaTheme="minorHAnsi" w:hAnsiTheme="minorHAnsi"/>
          <w:color w:val="1A1A1A"/>
        </w:rPr>
        <w:t xml:space="preserve"> </w:t>
      </w:r>
      <w:r w:rsidR="00370429" w:rsidRPr="00370429">
        <w:rPr>
          <w:rFonts w:asciiTheme="minorHAnsi" w:eastAsiaTheme="minorHAnsi" w:hAnsiTheme="minorHAnsi"/>
          <w:color w:val="1A1A1A"/>
        </w:rPr>
        <w:t>maximum plasma concentration</w:t>
      </w:r>
      <w:r w:rsidR="00370429">
        <w:rPr>
          <w:rFonts w:asciiTheme="minorHAnsi" w:eastAsiaTheme="minorHAnsi" w:hAnsiTheme="minorHAnsi"/>
          <w:color w:val="1A1A1A"/>
        </w:rPr>
        <w:t xml:space="preserve"> (</w:t>
      </w:r>
      <w:r w:rsidRPr="007C0D61">
        <w:rPr>
          <w:rFonts w:asciiTheme="minorHAnsi" w:eastAsiaTheme="minorHAnsi" w:hAnsiTheme="minorHAnsi"/>
          <w:color w:val="2F2F2F"/>
        </w:rPr>
        <w:t>C</w:t>
      </w:r>
      <w:r w:rsidRPr="007C0D61">
        <w:rPr>
          <w:rFonts w:asciiTheme="minorHAnsi" w:eastAsiaTheme="minorHAnsi" w:hAnsiTheme="minorHAnsi"/>
          <w:color w:val="2F2F2F"/>
          <w:vertAlign w:val="subscript"/>
        </w:rPr>
        <w:t>max</w:t>
      </w:r>
      <w:r w:rsidR="00370429" w:rsidRPr="00370429">
        <w:rPr>
          <w:rFonts w:asciiTheme="minorHAnsi" w:eastAsiaTheme="minorHAnsi" w:hAnsiTheme="minorHAnsi"/>
          <w:color w:val="2F2F2F"/>
        </w:rPr>
        <w:t>)</w:t>
      </w:r>
      <w:r w:rsidRPr="007C0D61">
        <w:rPr>
          <w:rFonts w:asciiTheme="minorHAnsi" w:eastAsiaTheme="minorHAnsi" w:hAnsiTheme="minorHAnsi"/>
          <w:color w:val="2F2F2F"/>
        </w:rPr>
        <w:t xml:space="preserve"> </w:t>
      </w:r>
      <w:r w:rsidRPr="007C0D61">
        <w:rPr>
          <w:rFonts w:asciiTheme="minorHAnsi" w:eastAsiaTheme="minorHAnsi" w:hAnsiTheme="minorHAnsi"/>
          <w:color w:val="1A1A1A"/>
        </w:rPr>
        <w:t xml:space="preserve">and </w:t>
      </w:r>
      <w:r w:rsidR="004A08F3">
        <w:t>area under the plasma concentration time curve</w:t>
      </w:r>
      <w:r w:rsidR="004A08F3" w:rsidRPr="007C0D61">
        <w:rPr>
          <w:rFonts w:asciiTheme="minorHAnsi" w:eastAsiaTheme="minorHAnsi" w:hAnsiTheme="minorHAnsi"/>
          <w:color w:val="2F2F2F"/>
        </w:rPr>
        <w:t xml:space="preserve"> </w:t>
      </w:r>
      <w:r w:rsidR="004A08F3">
        <w:rPr>
          <w:rFonts w:asciiTheme="minorHAnsi" w:eastAsiaTheme="minorHAnsi" w:hAnsiTheme="minorHAnsi"/>
          <w:color w:val="2F2F2F"/>
        </w:rPr>
        <w:t>(</w:t>
      </w:r>
      <w:r w:rsidRPr="007C0D61">
        <w:rPr>
          <w:rFonts w:asciiTheme="minorHAnsi" w:eastAsiaTheme="minorHAnsi" w:hAnsiTheme="minorHAnsi"/>
          <w:color w:val="2F2F2F"/>
        </w:rPr>
        <w:t>AUC</w:t>
      </w:r>
      <w:r w:rsidR="004A08F3">
        <w:rPr>
          <w:rFonts w:asciiTheme="minorHAnsi" w:eastAsiaTheme="minorHAnsi" w:hAnsiTheme="minorHAnsi"/>
          <w:color w:val="2F2F2F"/>
        </w:rPr>
        <w:t>)</w:t>
      </w:r>
      <w:r w:rsidRPr="007C0D61">
        <w:rPr>
          <w:rFonts w:asciiTheme="minorHAnsi" w:eastAsiaTheme="minorHAnsi" w:hAnsiTheme="minorHAnsi"/>
          <w:color w:val="2F2F2F"/>
        </w:rPr>
        <w:t xml:space="preserve"> </w:t>
      </w:r>
      <w:r w:rsidRPr="007C0D61">
        <w:rPr>
          <w:rFonts w:asciiTheme="minorHAnsi" w:eastAsiaTheme="minorHAnsi" w:hAnsiTheme="minorHAnsi"/>
          <w:color w:val="1A1A1A"/>
        </w:rPr>
        <w:t xml:space="preserve">increased proportionally </w:t>
      </w:r>
      <w:r w:rsidRPr="007C0D61">
        <w:rPr>
          <w:rFonts w:asciiTheme="minorHAnsi" w:eastAsiaTheme="minorHAnsi" w:hAnsiTheme="minorHAnsi"/>
          <w:color w:val="2F2F2F"/>
        </w:rPr>
        <w:t xml:space="preserve">over </w:t>
      </w:r>
      <w:r w:rsidRPr="007C0D61">
        <w:rPr>
          <w:rFonts w:asciiTheme="minorHAnsi" w:eastAsiaTheme="minorHAnsi" w:hAnsiTheme="minorHAnsi"/>
          <w:color w:val="1A1A1A"/>
        </w:rPr>
        <w:t xml:space="preserve">the dose range </w:t>
      </w:r>
      <w:r w:rsidRPr="007C0D61">
        <w:rPr>
          <w:rFonts w:asciiTheme="minorHAnsi" w:eastAsiaTheme="minorHAnsi" w:hAnsiTheme="minorHAnsi"/>
          <w:color w:val="2F2F2F"/>
        </w:rPr>
        <w:t xml:space="preserve">of </w:t>
      </w:r>
      <w:r w:rsidRPr="007C0D61">
        <w:rPr>
          <w:rFonts w:asciiTheme="minorHAnsi" w:eastAsiaTheme="minorHAnsi" w:hAnsiTheme="minorHAnsi"/>
          <w:color w:val="1A1A1A"/>
        </w:rPr>
        <w:t xml:space="preserve">30 mg to 450 mg </w:t>
      </w:r>
      <w:r w:rsidR="00AB7DCB">
        <w:rPr>
          <w:rFonts w:asciiTheme="minorHAnsi" w:eastAsiaTheme="minorHAnsi" w:hAnsiTheme="minorHAnsi"/>
          <w:color w:val="1A1A1A"/>
        </w:rPr>
        <w:t xml:space="preserve">once </w:t>
      </w:r>
      <w:r w:rsidR="00361A40">
        <w:rPr>
          <w:rFonts w:asciiTheme="minorHAnsi" w:eastAsiaTheme="minorHAnsi" w:hAnsiTheme="minorHAnsi"/>
          <w:color w:val="1A1A1A"/>
        </w:rPr>
        <w:t>daily</w:t>
      </w:r>
      <w:r w:rsidR="00AB7DCB" w:rsidRPr="00F02BBF">
        <w:rPr>
          <w:rFonts w:asciiTheme="minorHAnsi" w:eastAsiaTheme="minorHAnsi" w:hAnsiTheme="minorHAnsi"/>
          <w:color w:val="1A1A1A"/>
        </w:rPr>
        <w:t xml:space="preserve"> (</w:t>
      </w:r>
      <w:r w:rsidRPr="00F02BBF">
        <w:rPr>
          <w:rFonts w:asciiTheme="minorHAnsi" w:eastAsiaTheme="minorHAnsi" w:hAnsiTheme="minorHAnsi"/>
          <w:color w:val="1A1A1A"/>
        </w:rPr>
        <w:t>QD</w:t>
      </w:r>
      <w:r w:rsidR="00AB7DCB">
        <w:rPr>
          <w:rFonts w:asciiTheme="minorHAnsi" w:eastAsiaTheme="minorHAnsi" w:hAnsiTheme="minorHAnsi"/>
          <w:color w:val="1A1A1A"/>
        </w:rPr>
        <w:t>)</w:t>
      </w:r>
      <w:r w:rsidRPr="007C0D61">
        <w:rPr>
          <w:rFonts w:asciiTheme="minorHAnsi" w:eastAsiaTheme="minorHAnsi" w:hAnsiTheme="minorHAnsi"/>
          <w:color w:val="1A1A1A"/>
        </w:rPr>
        <w:t xml:space="preserve"> under </w:t>
      </w:r>
      <w:r w:rsidRPr="007C0D61">
        <w:rPr>
          <w:rFonts w:asciiTheme="minorHAnsi" w:eastAsiaTheme="minorHAnsi" w:hAnsiTheme="minorHAnsi"/>
          <w:color w:val="2F2F2F"/>
        </w:rPr>
        <w:t>fed conditions.</w:t>
      </w:r>
      <w:r w:rsidR="00370429">
        <w:rPr>
          <w:rFonts w:asciiTheme="minorHAnsi" w:eastAsiaTheme="minorHAnsi" w:hAnsiTheme="minorHAnsi"/>
          <w:color w:val="2F2F2F"/>
        </w:rPr>
        <w:t xml:space="preserve"> </w:t>
      </w:r>
      <w:r>
        <w:rPr>
          <w:rFonts w:asciiTheme="minorHAnsi" w:eastAsiaTheme="minorHAnsi" w:hAnsiTheme="minorHAnsi"/>
          <w:color w:val="2F2F2F"/>
        </w:rPr>
        <w:t xml:space="preserve">Median </w:t>
      </w:r>
      <w:r w:rsidR="0073039A">
        <w:t>t</w:t>
      </w:r>
      <w:r w:rsidR="0073039A" w:rsidRPr="00D561C3">
        <w:t xml:space="preserve">ime to maximum </w:t>
      </w:r>
      <w:r w:rsidR="0073039A">
        <w:t xml:space="preserve">plasma </w:t>
      </w:r>
      <w:r w:rsidR="0073039A" w:rsidRPr="00D561C3">
        <w:t>concentration after drug administration</w:t>
      </w:r>
      <w:r w:rsidR="0073039A">
        <w:rPr>
          <w:rFonts w:asciiTheme="minorHAnsi" w:eastAsiaTheme="minorHAnsi" w:hAnsiTheme="minorHAnsi"/>
          <w:color w:val="2F2F2F"/>
        </w:rPr>
        <w:t xml:space="preserve"> (</w:t>
      </w:r>
      <w:r>
        <w:rPr>
          <w:rFonts w:asciiTheme="minorHAnsi" w:eastAsiaTheme="minorHAnsi" w:hAnsiTheme="minorHAnsi"/>
          <w:color w:val="2F2F2F"/>
        </w:rPr>
        <w:t>T</w:t>
      </w:r>
      <w:r w:rsidRPr="007C0DE3">
        <w:rPr>
          <w:rFonts w:asciiTheme="minorHAnsi" w:eastAsiaTheme="minorHAnsi" w:hAnsiTheme="minorHAnsi"/>
          <w:color w:val="2F2F2F"/>
          <w:vertAlign w:val="subscript"/>
        </w:rPr>
        <w:t>max</w:t>
      </w:r>
      <w:r w:rsidR="0073039A">
        <w:rPr>
          <w:rFonts w:asciiTheme="minorHAnsi" w:eastAsiaTheme="minorHAnsi" w:hAnsiTheme="minorHAnsi"/>
          <w:color w:val="2F2F2F"/>
        </w:rPr>
        <w:t>)</w:t>
      </w:r>
      <w:r w:rsidR="00370429">
        <w:rPr>
          <w:rFonts w:asciiTheme="minorHAnsi" w:eastAsiaTheme="minorHAnsi" w:hAnsiTheme="minorHAnsi"/>
          <w:color w:val="2F2F2F"/>
        </w:rPr>
        <w:t xml:space="preserve"> ranged between 2 to 4 hours. </w:t>
      </w:r>
      <w:r>
        <w:rPr>
          <w:rFonts w:asciiTheme="minorHAnsi" w:eastAsiaTheme="minorHAnsi" w:hAnsiTheme="minorHAnsi"/>
          <w:color w:val="2F2F2F"/>
        </w:rPr>
        <w:t xml:space="preserve">Steady state plasma concentrations </w:t>
      </w:r>
      <w:proofErr w:type="gramStart"/>
      <w:r>
        <w:rPr>
          <w:rFonts w:asciiTheme="minorHAnsi" w:eastAsiaTheme="minorHAnsi" w:hAnsiTheme="minorHAnsi"/>
          <w:color w:val="2F2F2F"/>
        </w:rPr>
        <w:t>are reached</w:t>
      </w:r>
      <w:proofErr w:type="gramEnd"/>
      <w:r>
        <w:rPr>
          <w:rFonts w:asciiTheme="minorHAnsi" w:eastAsiaTheme="minorHAnsi" w:hAnsiTheme="minorHAnsi"/>
          <w:color w:val="2F2F2F"/>
        </w:rPr>
        <w:t xml:space="preserve"> within 3 days with daily dosing.</w:t>
      </w:r>
    </w:p>
    <w:p w14:paraId="77999BFD" w14:textId="36A853DE" w:rsidR="00584817" w:rsidRDefault="00C22B8B" w:rsidP="00C22B8B">
      <w:pPr>
        <w:autoSpaceDE w:val="0"/>
        <w:autoSpaceDN w:val="0"/>
        <w:adjustRightInd w:val="0"/>
        <w:spacing w:line="240" w:lineRule="auto"/>
        <w:rPr>
          <w:lang w:eastAsia="ja-JP"/>
        </w:rPr>
      </w:pPr>
      <w:r>
        <w:rPr>
          <w:lang w:eastAsia="ja-JP"/>
        </w:rPr>
        <w:t xml:space="preserve">The absolute bioavailability of </w:t>
      </w:r>
      <w:proofErr w:type="spellStart"/>
      <w:r>
        <w:rPr>
          <w:lang w:eastAsia="ja-JP"/>
        </w:rPr>
        <w:t>alpe</w:t>
      </w:r>
      <w:r w:rsidR="00370429">
        <w:rPr>
          <w:lang w:eastAsia="ja-JP"/>
        </w:rPr>
        <w:t>lisib</w:t>
      </w:r>
      <w:proofErr w:type="spellEnd"/>
      <w:r w:rsidR="00370429">
        <w:rPr>
          <w:lang w:eastAsia="ja-JP"/>
        </w:rPr>
        <w:t xml:space="preserve"> </w:t>
      </w:r>
      <w:proofErr w:type="gramStart"/>
      <w:r w:rsidR="00370429">
        <w:rPr>
          <w:lang w:eastAsia="ja-JP"/>
        </w:rPr>
        <w:t>is not known</w:t>
      </w:r>
      <w:proofErr w:type="gramEnd"/>
      <w:r w:rsidR="00370429">
        <w:rPr>
          <w:lang w:eastAsia="ja-JP"/>
        </w:rPr>
        <w:t xml:space="preserve">. </w:t>
      </w:r>
      <w:r>
        <w:rPr>
          <w:lang w:eastAsia="ja-JP"/>
        </w:rPr>
        <w:t>The sponsor provided a justification for not conducting absolute or relative bioavailability studies</w:t>
      </w:r>
      <w:r w:rsidR="00370429">
        <w:rPr>
          <w:lang w:eastAsia="ja-JP"/>
        </w:rPr>
        <w:t xml:space="preserve">. </w:t>
      </w:r>
      <w:r>
        <w:rPr>
          <w:lang w:eastAsia="ja-JP"/>
        </w:rPr>
        <w:t>Based on absorption biopharmaceutics modelling, bioavailability was estimated to be very high (&gt;</w:t>
      </w:r>
      <w:r w:rsidR="00370429">
        <w:rPr>
          <w:lang w:eastAsia="ja-JP"/>
        </w:rPr>
        <w:t xml:space="preserve"> </w:t>
      </w:r>
      <w:proofErr w:type="gramStart"/>
      <w:r>
        <w:rPr>
          <w:lang w:eastAsia="ja-JP"/>
        </w:rPr>
        <w:t>99%</w:t>
      </w:r>
      <w:proofErr w:type="gramEnd"/>
      <w:r>
        <w:rPr>
          <w:lang w:eastAsia="ja-JP"/>
        </w:rPr>
        <w:t>) under fed conditions and lower (68.7% for a 300 mg dose) under fasted conditions</w:t>
      </w:r>
      <w:r w:rsidR="00370429">
        <w:rPr>
          <w:lang w:eastAsia="ja-JP"/>
        </w:rPr>
        <w:t xml:space="preserve">. </w:t>
      </w:r>
      <w:proofErr w:type="spellStart"/>
      <w:r>
        <w:rPr>
          <w:lang w:eastAsia="ja-JP"/>
        </w:rPr>
        <w:t>Alpelisib</w:t>
      </w:r>
      <w:proofErr w:type="spellEnd"/>
      <w:r>
        <w:rPr>
          <w:lang w:eastAsia="ja-JP"/>
        </w:rPr>
        <w:t xml:space="preserve"> exposure </w:t>
      </w:r>
      <w:proofErr w:type="gramStart"/>
      <w:r>
        <w:rPr>
          <w:lang w:eastAsia="ja-JP"/>
        </w:rPr>
        <w:t>is increased</w:t>
      </w:r>
      <w:proofErr w:type="gramEnd"/>
      <w:r>
        <w:rPr>
          <w:lang w:eastAsia="ja-JP"/>
        </w:rPr>
        <w:t xml:space="preserve"> when taken with food</w:t>
      </w:r>
      <w:r w:rsidR="00370429">
        <w:rPr>
          <w:lang w:eastAsia="ja-JP"/>
        </w:rPr>
        <w:t xml:space="preserve">. </w:t>
      </w:r>
      <w:r>
        <w:rPr>
          <w:lang w:eastAsia="ja-JP"/>
        </w:rPr>
        <w:t xml:space="preserve">The proposed dosing guidance states that </w:t>
      </w:r>
      <w:proofErr w:type="spellStart"/>
      <w:r>
        <w:rPr>
          <w:lang w:eastAsia="ja-JP"/>
        </w:rPr>
        <w:t>alpelisib</w:t>
      </w:r>
      <w:proofErr w:type="spellEnd"/>
      <w:r>
        <w:rPr>
          <w:lang w:eastAsia="ja-JP"/>
        </w:rPr>
        <w:t xml:space="preserve"> </w:t>
      </w:r>
      <w:proofErr w:type="gramStart"/>
      <w:r>
        <w:rPr>
          <w:lang w:eastAsia="ja-JP"/>
        </w:rPr>
        <w:t>should be taken</w:t>
      </w:r>
      <w:proofErr w:type="gramEnd"/>
      <w:r>
        <w:rPr>
          <w:lang w:eastAsia="ja-JP"/>
        </w:rPr>
        <w:t xml:space="preserve"> immediately after food</w:t>
      </w:r>
      <w:r w:rsidR="00584817">
        <w:rPr>
          <w:lang w:eastAsia="ja-JP"/>
        </w:rPr>
        <w:t>.</w:t>
      </w:r>
    </w:p>
    <w:p w14:paraId="5B0227E1" w14:textId="61FA119C" w:rsidR="00C22B8B" w:rsidRDefault="00C22B8B" w:rsidP="00C22B8B">
      <w:pPr>
        <w:autoSpaceDE w:val="0"/>
        <w:autoSpaceDN w:val="0"/>
        <w:adjustRightInd w:val="0"/>
        <w:spacing w:line="240" w:lineRule="auto"/>
        <w:rPr>
          <w:lang w:eastAsia="ja-JP"/>
        </w:rPr>
      </w:pPr>
      <w:proofErr w:type="spellStart"/>
      <w:r>
        <w:rPr>
          <w:lang w:eastAsia="ja-JP"/>
        </w:rPr>
        <w:lastRenderedPageBreak/>
        <w:t>PopPK</w:t>
      </w:r>
      <w:proofErr w:type="spellEnd"/>
      <w:r>
        <w:rPr>
          <w:lang w:eastAsia="ja-JP"/>
        </w:rPr>
        <w:t xml:space="preserve"> studies showed no significant effect from co-administration with acid-reducing agents, but a clinical study showed co-administration with ranitidine in the fed state decreased the AUC of </w:t>
      </w:r>
      <w:proofErr w:type="spellStart"/>
      <w:r>
        <w:rPr>
          <w:lang w:eastAsia="ja-JP"/>
        </w:rPr>
        <w:t>alpelisib</w:t>
      </w:r>
      <w:proofErr w:type="spellEnd"/>
      <w:r>
        <w:rPr>
          <w:lang w:eastAsia="ja-JP"/>
        </w:rPr>
        <w:t xml:space="preserve"> by 21% and C</w:t>
      </w:r>
      <w:r w:rsidRPr="007F7691">
        <w:rPr>
          <w:vertAlign w:val="subscript"/>
          <w:lang w:eastAsia="ja-JP"/>
        </w:rPr>
        <w:t>max</w:t>
      </w:r>
      <w:r>
        <w:rPr>
          <w:lang w:eastAsia="ja-JP"/>
        </w:rPr>
        <w:t xml:space="preserve"> by 36%</w:t>
      </w:r>
      <w:r w:rsidR="00370429">
        <w:rPr>
          <w:lang w:eastAsia="ja-JP"/>
        </w:rPr>
        <w:t xml:space="preserve">. </w:t>
      </w:r>
      <w:proofErr w:type="spellStart"/>
      <w:r>
        <w:rPr>
          <w:lang w:eastAsia="ja-JP"/>
        </w:rPr>
        <w:t>Alpelisib</w:t>
      </w:r>
      <w:proofErr w:type="spellEnd"/>
      <w:r>
        <w:rPr>
          <w:lang w:eastAsia="ja-JP"/>
        </w:rPr>
        <w:t xml:space="preserve"> </w:t>
      </w:r>
      <w:proofErr w:type="gramStart"/>
      <w:r>
        <w:rPr>
          <w:lang w:eastAsia="ja-JP"/>
        </w:rPr>
        <w:t>can be taken</w:t>
      </w:r>
      <w:proofErr w:type="gramEnd"/>
      <w:r>
        <w:rPr>
          <w:lang w:eastAsia="ja-JP"/>
        </w:rPr>
        <w:t xml:space="preserve"> with acid</w:t>
      </w:r>
      <w:r w:rsidR="00361A40">
        <w:rPr>
          <w:lang w:eastAsia="ja-JP"/>
        </w:rPr>
        <w:noBreakHyphen/>
      </w:r>
      <w:r>
        <w:rPr>
          <w:lang w:eastAsia="ja-JP"/>
        </w:rPr>
        <w:t>reducing agents, provided it is taken after food.</w:t>
      </w:r>
    </w:p>
    <w:p w14:paraId="7CC0BD06" w14:textId="4617F4D8" w:rsidR="00C22B8B" w:rsidRDefault="00C22B8B" w:rsidP="00C22B8B">
      <w:pPr>
        <w:autoSpaceDE w:val="0"/>
        <w:autoSpaceDN w:val="0"/>
        <w:adjustRightInd w:val="0"/>
        <w:spacing w:line="240" w:lineRule="auto"/>
        <w:rPr>
          <w:lang w:eastAsia="ja-JP"/>
        </w:rPr>
      </w:pPr>
      <w:r>
        <w:rPr>
          <w:lang w:eastAsia="ja-JP"/>
        </w:rPr>
        <w:t xml:space="preserve">The volume of distribution at steady state </w:t>
      </w:r>
      <w:proofErr w:type="gramStart"/>
      <w:r>
        <w:rPr>
          <w:lang w:eastAsia="ja-JP"/>
        </w:rPr>
        <w:t>is estimated</w:t>
      </w:r>
      <w:proofErr w:type="gramEnd"/>
      <w:r>
        <w:rPr>
          <w:lang w:eastAsia="ja-JP"/>
        </w:rPr>
        <w:t xml:space="preserve"> at 114 L</w:t>
      </w:r>
      <w:r w:rsidR="00370429">
        <w:rPr>
          <w:lang w:eastAsia="ja-JP"/>
        </w:rPr>
        <w:t xml:space="preserve">. </w:t>
      </w:r>
      <w:r>
        <w:rPr>
          <w:lang w:eastAsia="ja-JP"/>
        </w:rPr>
        <w:t xml:space="preserve">Protein binding of </w:t>
      </w:r>
      <w:proofErr w:type="spellStart"/>
      <w:r>
        <w:rPr>
          <w:lang w:eastAsia="ja-JP"/>
        </w:rPr>
        <w:t>alpelisib</w:t>
      </w:r>
      <w:proofErr w:type="spellEnd"/>
      <w:r>
        <w:rPr>
          <w:lang w:eastAsia="ja-JP"/>
        </w:rPr>
        <w:t xml:space="preserve"> is 89%, independent of concentration</w:t>
      </w:r>
      <w:r w:rsidR="00370429">
        <w:rPr>
          <w:lang w:eastAsia="ja-JP"/>
        </w:rPr>
        <w:t xml:space="preserve">. </w:t>
      </w:r>
      <w:r>
        <w:rPr>
          <w:lang w:eastAsia="ja-JP"/>
        </w:rPr>
        <w:t xml:space="preserve">The mean clearance of </w:t>
      </w:r>
      <w:proofErr w:type="spellStart"/>
      <w:r>
        <w:rPr>
          <w:lang w:eastAsia="ja-JP"/>
        </w:rPr>
        <w:t>alpelisib</w:t>
      </w:r>
      <w:proofErr w:type="spellEnd"/>
      <w:r>
        <w:rPr>
          <w:lang w:eastAsia="ja-JP"/>
        </w:rPr>
        <w:t xml:space="preserve"> </w:t>
      </w:r>
      <w:proofErr w:type="gramStart"/>
      <w:r>
        <w:rPr>
          <w:lang w:eastAsia="ja-JP"/>
        </w:rPr>
        <w:t>is predicted</w:t>
      </w:r>
      <w:proofErr w:type="gramEnd"/>
      <w:r>
        <w:rPr>
          <w:lang w:eastAsia="ja-JP"/>
        </w:rPr>
        <w:t xml:space="preserve"> to be 9.2</w:t>
      </w:r>
      <w:r w:rsidR="00662E17">
        <w:rPr>
          <w:lang w:eastAsia="ja-JP"/>
        </w:rPr>
        <w:t xml:space="preserve"> </w:t>
      </w:r>
      <w:r>
        <w:rPr>
          <w:lang w:eastAsia="ja-JP"/>
        </w:rPr>
        <w:t xml:space="preserve">L/hr based on </w:t>
      </w:r>
      <w:proofErr w:type="spellStart"/>
      <w:r>
        <w:rPr>
          <w:lang w:eastAsia="ja-JP"/>
        </w:rPr>
        <w:t>popPK</w:t>
      </w:r>
      <w:proofErr w:type="spellEnd"/>
      <w:r>
        <w:rPr>
          <w:lang w:eastAsia="ja-JP"/>
        </w:rPr>
        <w:t xml:space="preserve"> analysis under fed conditions</w:t>
      </w:r>
      <w:r w:rsidR="00370429">
        <w:rPr>
          <w:lang w:eastAsia="ja-JP"/>
        </w:rPr>
        <w:t xml:space="preserve">. </w:t>
      </w:r>
      <w:proofErr w:type="spellStart"/>
      <w:r>
        <w:rPr>
          <w:lang w:eastAsia="ja-JP"/>
        </w:rPr>
        <w:t>Alpelisib</w:t>
      </w:r>
      <w:proofErr w:type="spellEnd"/>
      <w:r>
        <w:rPr>
          <w:lang w:eastAsia="ja-JP"/>
        </w:rPr>
        <w:t xml:space="preserve"> is primarily metabolised by chemical and enzymatic </w:t>
      </w:r>
      <w:proofErr w:type="gramStart"/>
      <w:r>
        <w:rPr>
          <w:lang w:eastAsia="ja-JP"/>
        </w:rPr>
        <w:t>hydrolysis,</w:t>
      </w:r>
      <w:proofErr w:type="gramEnd"/>
      <w:r>
        <w:rPr>
          <w:lang w:eastAsia="ja-JP"/>
        </w:rPr>
        <w:t xml:space="preserve"> and to a lesser extent by </w:t>
      </w:r>
      <w:r w:rsidR="00A84BD3">
        <w:rPr>
          <w:lang w:eastAsia="ja-JP"/>
        </w:rPr>
        <w:t>cytochrome P450 (</w:t>
      </w:r>
      <w:r>
        <w:rPr>
          <w:lang w:eastAsia="ja-JP"/>
        </w:rPr>
        <w:t>CYP</w:t>
      </w:r>
      <w:r w:rsidR="00A84BD3">
        <w:rPr>
          <w:lang w:eastAsia="ja-JP"/>
        </w:rPr>
        <w:t>)</w:t>
      </w:r>
      <w:r w:rsidR="00347F32">
        <w:rPr>
          <w:lang w:eastAsia="ja-JP"/>
        </w:rPr>
        <w:t xml:space="preserve"> enzyme</w:t>
      </w:r>
      <w:r w:rsidR="00A84BD3">
        <w:rPr>
          <w:lang w:eastAsia="ja-JP"/>
        </w:rPr>
        <w:t xml:space="preserve"> </w:t>
      </w:r>
      <w:r>
        <w:rPr>
          <w:lang w:eastAsia="ja-JP"/>
        </w:rPr>
        <w:t>3A4</w:t>
      </w:r>
      <w:r w:rsidR="00370429">
        <w:rPr>
          <w:lang w:eastAsia="ja-JP"/>
        </w:rPr>
        <w:t>.</w:t>
      </w:r>
      <w:bookmarkStart w:id="43" w:name="_Ref48029568"/>
      <w:r w:rsidR="00347F32">
        <w:rPr>
          <w:rStyle w:val="FootnoteReference"/>
          <w:lang w:eastAsia="ja-JP"/>
        </w:rPr>
        <w:footnoteReference w:id="12"/>
      </w:r>
      <w:bookmarkEnd w:id="43"/>
      <w:r w:rsidR="00370429">
        <w:rPr>
          <w:lang w:eastAsia="ja-JP"/>
        </w:rPr>
        <w:t xml:space="preserve"> </w:t>
      </w:r>
      <w:proofErr w:type="spellStart"/>
      <w:r>
        <w:rPr>
          <w:lang w:eastAsia="ja-JP"/>
        </w:rPr>
        <w:t>Alpelisib</w:t>
      </w:r>
      <w:proofErr w:type="spellEnd"/>
      <w:r>
        <w:rPr>
          <w:lang w:eastAsia="ja-JP"/>
        </w:rPr>
        <w:t xml:space="preserve"> and its metabolites </w:t>
      </w:r>
      <w:proofErr w:type="gramStart"/>
      <w:r>
        <w:rPr>
          <w:lang w:eastAsia="ja-JP"/>
        </w:rPr>
        <w:t>are mostly excreted</w:t>
      </w:r>
      <w:proofErr w:type="gramEnd"/>
      <w:r>
        <w:rPr>
          <w:lang w:eastAsia="ja-JP"/>
        </w:rPr>
        <w:t xml:space="preserve"> in faeces (81%).</w:t>
      </w:r>
    </w:p>
    <w:p w14:paraId="09208AAA" w14:textId="28AE7A90" w:rsidR="00C22B8B" w:rsidRDefault="00C22B8B" w:rsidP="00C22B8B">
      <w:pPr>
        <w:autoSpaceDE w:val="0"/>
        <w:autoSpaceDN w:val="0"/>
        <w:adjustRightInd w:val="0"/>
        <w:spacing w:line="240" w:lineRule="auto"/>
        <w:rPr>
          <w:lang w:eastAsia="ja-JP"/>
        </w:rPr>
      </w:pPr>
      <w:r>
        <w:rPr>
          <w:rFonts w:asciiTheme="minorHAnsi" w:eastAsiaTheme="minorHAnsi" w:hAnsiTheme="minorHAnsi" w:cs="Calibri"/>
        </w:rPr>
        <w:t>The</w:t>
      </w:r>
      <w:r w:rsidRPr="00937595">
        <w:rPr>
          <w:rFonts w:asciiTheme="minorHAnsi" w:eastAsiaTheme="minorHAnsi" w:hAnsiTheme="minorHAnsi" w:cs="Calibri"/>
        </w:rPr>
        <w:t xml:space="preserve"> 300 mg </w:t>
      </w:r>
      <w:r>
        <w:rPr>
          <w:rFonts w:asciiTheme="minorHAnsi" w:eastAsiaTheme="minorHAnsi" w:hAnsiTheme="minorHAnsi" w:cs="Calibri"/>
        </w:rPr>
        <w:t xml:space="preserve">dosage evaluated in the </w:t>
      </w:r>
      <w:r w:rsidR="00C86F38">
        <w:rPr>
          <w:rFonts w:asciiTheme="minorHAnsi" w:eastAsiaTheme="minorHAnsi" w:hAnsiTheme="minorHAnsi" w:cs="Calibri"/>
        </w:rPr>
        <w:t>P</w:t>
      </w:r>
      <w:r w:rsidR="00370429">
        <w:rPr>
          <w:rFonts w:asciiTheme="minorHAnsi" w:eastAsiaTheme="minorHAnsi" w:hAnsiTheme="minorHAnsi" w:cs="Calibri"/>
        </w:rPr>
        <w:t>hase III</w:t>
      </w:r>
      <w:r>
        <w:rPr>
          <w:rFonts w:asciiTheme="minorHAnsi" w:eastAsiaTheme="minorHAnsi" w:hAnsiTheme="minorHAnsi" w:cs="Calibri"/>
        </w:rPr>
        <w:t xml:space="preserve"> study</w:t>
      </w:r>
      <w:r w:rsidRPr="00937595">
        <w:rPr>
          <w:rFonts w:asciiTheme="minorHAnsi" w:eastAsiaTheme="minorHAnsi" w:hAnsiTheme="minorHAnsi" w:cs="Calibri"/>
        </w:rPr>
        <w:t xml:space="preserve"> </w:t>
      </w:r>
      <w:proofErr w:type="gramStart"/>
      <w:r w:rsidRPr="00937595">
        <w:rPr>
          <w:rFonts w:asciiTheme="minorHAnsi" w:eastAsiaTheme="minorHAnsi" w:hAnsiTheme="minorHAnsi" w:cs="Calibri"/>
        </w:rPr>
        <w:t xml:space="preserve">was </w:t>
      </w:r>
      <w:r>
        <w:rPr>
          <w:rFonts w:asciiTheme="minorHAnsi" w:eastAsiaTheme="minorHAnsi" w:hAnsiTheme="minorHAnsi" w:cs="Calibri"/>
        </w:rPr>
        <w:t>selected</w:t>
      </w:r>
      <w:proofErr w:type="gramEnd"/>
      <w:r>
        <w:rPr>
          <w:rFonts w:asciiTheme="minorHAnsi" w:eastAsiaTheme="minorHAnsi" w:hAnsiTheme="minorHAnsi" w:cs="Calibri"/>
        </w:rPr>
        <w:t xml:space="preserve"> based</w:t>
      </w:r>
      <w:r w:rsidRPr="00937595">
        <w:rPr>
          <w:rFonts w:asciiTheme="minorHAnsi" w:eastAsiaTheme="minorHAnsi" w:hAnsiTheme="minorHAnsi" w:cs="Calibri"/>
        </w:rPr>
        <w:t xml:space="preserve"> on the </w:t>
      </w:r>
      <w:r>
        <w:rPr>
          <w:lang w:eastAsia="ja-JP"/>
        </w:rPr>
        <w:t>safety profile, exposure and evidence of clinical activity</w:t>
      </w:r>
      <w:r>
        <w:rPr>
          <w:rFonts w:asciiTheme="minorHAnsi" w:eastAsiaTheme="minorHAnsi" w:hAnsiTheme="minorHAnsi" w:cs="Calibri"/>
        </w:rPr>
        <w:t xml:space="preserve"> in the dose-finding </w:t>
      </w:r>
      <w:r w:rsidR="00662E17">
        <w:rPr>
          <w:rFonts w:asciiTheme="minorHAnsi" w:eastAsiaTheme="minorHAnsi" w:hAnsiTheme="minorHAnsi" w:cs="Calibri"/>
        </w:rPr>
        <w:t>S</w:t>
      </w:r>
      <w:r w:rsidR="007160DF">
        <w:rPr>
          <w:rFonts w:asciiTheme="minorHAnsi" w:eastAsiaTheme="minorHAnsi" w:hAnsiTheme="minorHAnsi" w:cs="Calibri"/>
        </w:rPr>
        <w:t>tudy</w:t>
      </w:r>
      <w:r w:rsidR="00E56AD7">
        <w:rPr>
          <w:rFonts w:asciiTheme="minorHAnsi" w:eastAsiaTheme="minorHAnsi" w:hAnsiTheme="minorHAnsi" w:cs="Calibri"/>
        </w:rPr>
        <w:t> </w:t>
      </w:r>
      <w:r w:rsidR="00C876EB">
        <w:rPr>
          <w:rFonts w:asciiTheme="minorHAnsi" w:eastAsiaTheme="minorHAnsi" w:hAnsiTheme="minorHAnsi" w:cs="Calibri"/>
        </w:rPr>
        <w:t>C</w:t>
      </w:r>
      <w:r w:rsidR="007160DF">
        <w:rPr>
          <w:rFonts w:asciiTheme="minorHAnsi" w:eastAsiaTheme="minorHAnsi" w:hAnsiTheme="minorHAnsi" w:cs="Calibri"/>
        </w:rPr>
        <w:t>BLY719X</w:t>
      </w:r>
      <w:r>
        <w:rPr>
          <w:rFonts w:asciiTheme="minorHAnsi" w:eastAsiaTheme="minorHAnsi" w:hAnsiTheme="minorHAnsi" w:cs="Calibri"/>
        </w:rPr>
        <w:t>2101</w:t>
      </w:r>
      <w:r w:rsidR="00370429">
        <w:rPr>
          <w:rFonts w:asciiTheme="minorHAnsi" w:eastAsiaTheme="minorHAnsi" w:hAnsiTheme="minorHAnsi" w:cs="Calibri"/>
        </w:rPr>
        <w:t xml:space="preserve">. </w:t>
      </w:r>
      <w:r>
        <w:rPr>
          <w:lang w:eastAsia="ja-JP"/>
        </w:rPr>
        <w:t>Exposure-response analyses of safety showed an increase in the risk of hyperglycaemia with increasing exposure</w:t>
      </w:r>
      <w:r w:rsidR="00370429">
        <w:rPr>
          <w:lang w:eastAsia="ja-JP"/>
        </w:rPr>
        <w:t xml:space="preserve">. </w:t>
      </w:r>
      <w:r w:rsidR="00662E17">
        <w:rPr>
          <w:lang w:eastAsia="ja-JP"/>
        </w:rPr>
        <w:t>The cardiac safety report from S</w:t>
      </w:r>
      <w:r>
        <w:rPr>
          <w:lang w:eastAsia="ja-JP"/>
        </w:rPr>
        <w:t>tudy</w:t>
      </w:r>
      <w:r w:rsidR="00E56AD7">
        <w:rPr>
          <w:lang w:eastAsia="ja-JP"/>
        </w:rPr>
        <w:t> </w:t>
      </w:r>
      <w:r w:rsidR="00C876EB">
        <w:rPr>
          <w:lang w:eastAsia="ja-JP"/>
        </w:rPr>
        <w:t>C</w:t>
      </w:r>
      <w:r w:rsidR="007160DF">
        <w:rPr>
          <w:rFonts w:asciiTheme="minorHAnsi" w:eastAsiaTheme="minorHAnsi" w:hAnsiTheme="minorHAnsi" w:cs="Calibri"/>
        </w:rPr>
        <w:t>BLY719</w:t>
      </w:r>
      <w:r>
        <w:rPr>
          <w:lang w:eastAsia="ja-JP"/>
        </w:rPr>
        <w:t>X2101</w:t>
      </w:r>
      <w:r w:rsidRPr="00494D76">
        <w:rPr>
          <w:rFonts w:asciiTheme="minorHAnsi" w:eastAsiaTheme="minorHAnsi" w:hAnsiTheme="minorHAnsi" w:cs="Calibri"/>
        </w:rPr>
        <w:t xml:space="preserve"> </w:t>
      </w:r>
      <w:r>
        <w:rPr>
          <w:rFonts w:asciiTheme="minorHAnsi" w:eastAsiaTheme="minorHAnsi" w:hAnsiTheme="minorHAnsi" w:cs="Calibri"/>
        </w:rPr>
        <w:t>showed no</w:t>
      </w:r>
      <w:r w:rsidRPr="00494D76">
        <w:rPr>
          <w:rFonts w:asciiTheme="minorHAnsi" w:eastAsiaTheme="minorHAnsi" w:hAnsiTheme="minorHAnsi" w:cs="Calibri"/>
        </w:rPr>
        <w:t xml:space="preserve"> large effect on QTcF prolongation</w:t>
      </w:r>
      <w:proofErr w:type="gramStart"/>
      <w:r w:rsidR="00E56AD7">
        <w:rPr>
          <w:rFonts w:asciiTheme="minorHAnsi" w:eastAsiaTheme="minorHAnsi" w:hAnsiTheme="minorHAnsi" w:cs="Calibri"/>
        </w:rPr>
        <w:t>;</w:t>
      </w:r>
      <w:proofErr w:type="gramEnd"/>
      <w:r w:rsidR="00E56AD7">
        <w:rPr>
          <w:rStyle w:val="FootnoteReference"/>
          <w:rFonts w:asciiTheme="minorHAnsi" w:eastAsiaTheme="minorHAnsi" w:hAnsiTheme="minorHAnsi" w:cs="Calibri"/>
        </w:rPr>
        <w:footnoteReference w:id="13"/>
      </w:r>
      <w:r>
        <w:rPr>
          <w:rFonts w:asciiTheme="minorHAnsi" w:eastAsiaTheme="minorHAnsi" w:hAnsiTheme="minorHAnsi" w:cs="Calibri"/>
        </w:rPr>
        <w:t xml:space="preserve"> </w:t>
      </w:r>
      <w:r w:rsidR="00662E17">
        <w:rPr>
          <w:rFonts w:asciiTheme="minorHAnsi" w:eastAsiaTheme="minorHAnsi" w:hAnsiTheme="minorHAnsi" w:cs="Calibri"/>
        </w:rPr>
        <w:t>(that is</w:t>
      </w:r>
      <w:r w:rsidRPr="00494D76">
        <w:rPr>
          <w:rFonts w:asciiTheme="minorHAnsi" w:eastAsiaTheme="minorHAnsi" w:hAnsiTheme="minorHAnsi" w:cs="Calibri"/>
        </w:rPr>
        <w:t xml:space="preserve"> &gt;</w:t>
      </w:r>
      <w:r w:rsidR="00662E17">
        <w:rPr>
          <w:rFonts w:asciiTheme="minorHAnsi" w:eastAsiaTheme="minorHAnsi" w:hAnsiTheme="minorHAnsi" w:cs="Calibri"/>
        </w:rPr>
        <w:t xml:space="preserve"> </w:t>
      </w:r>
      <w:r w:rsidRPr="00494D76">
        <w:rPr>
          <w:rFonts w:asciiTheme="minorHAnsi" w:eastAsiaTheme="minorHAnsi" w:hAnsiTheme="minorHAnsi" w:cs="Calibri"/>
        </w:rPr>
        <w:t>20</w:t>
      </w:r>
      <w:r>
        <w:rPr>
          <w:rFonts w:asciiTheme="minorHAnsi" w:eastAsiaTheme="minorHAnsi" w:hAnsiTheme="minorHAnsi" w:cs="Calibri"/>
        </w:rPr>
        <w:t xml:space="preserve"> </w:t>
      </w:r>
      <w:proofErr w:type="spellStart"/>
      <w:r w:rsidRPr="00494D76">
        <w:rPr>
          <w:rFonts w:asciiTheme="minorHAnsi" w:eastAsiaTheme="minorHAnsi" w:hAnsiTheme="minorHAnsi" w:cs="Calibri"/>
        </w:rPr>
        <w:t>ms</w:t>
      </w:r>
      <w:proofErr w:type="spellEnd"/>
      <w:r w:rsidRPr="00494D76">
        <w:rPr>
          <w:rFonts w:asciiTheme="minorHAnsi" w:eastAsiaTheme="minorHAnsi" w:hAnsiTheme="minorHAnsi" w:cs="Calibri"/>
        </w:rPr>
        <w:t xml:space="preserve">) </w:t>
      </w:r>
      <w:r>
        <w:rPr>
          <w:rFonts w:asciiTheme="minorHAnsi" w:eastAsiaTheme="minorHAnsi" w:hAnsiTheme="minorHAnsi" w:cs="Calibri"/>
        </w:rPr>
        <w:t xml:space="preserve">at the proposed 300 mg dose, with or without </w:t>
      </w:r>
      <w:proofErr w:type="spellStart"/>
      <w:r>
        <w:rPr>
          <w:rFonts w:asciiTheme="minorHAnsi" w:eastAsiaTheme="minorHAnsi" w:hAnsiTheme="minorHAnsi" w:cs="Calibri"/>
        </w:rPr>
        <w:t>fulvestrant</w:t>
      </w:r>
      <w:proofErr w:type="spellEnd"/>
      <w:r w:rsidRPr="00494D76">
        <w:rPr>
          <w:rFonts w:asciiTheme="minorHAnsi" w:eastAsiaTheme="minorHAnsi" w:hAnsiTheme="minorHAnsi" w:cs="Calibri"/>
        </w:rPr>
        <w:t>.</w:t>
      </w:r>
    </w:p>
    <w:p w14:paraId="40745C6C" w14:textId="71C4E30F" w:rsidR="00584817" w:rsidRDefault="00C22B8B" w:rsidP="00C22B8B">
      <w:pPr>
        <w:autoSpaceDE w:val="0"/>
        <w:autoSpaceDN w:val="0"/>
        <w:adjustRightInd w:val="0"/>
        <w:spacing w:line="240" w:lineRule="auto"/>
        <w:rPr>
          <w:lang w:eastAsia="ja-JP"/>
        </w:rPr>
      </w:pPr>
      <w:r>
        <w:rPr>
          <w:lang w:eastAsia="ja-JP"/>
        </w:rPr>
        <w:t xml:space="preserve">The proposed dosing guidance </w:t>
      </w:r>
      <w:proofErr w:type="gramStart"/>
      <w:r>
        <w:rPr>
          <w:lang w:eastAsia="ja-JP"/>
        </w:rPr>
        <w:t>is supported</w:t>
      </w:r>
      <w:proofErr w:type="gramEnd"/>
      <w:r>
        <w:rPr>
          <w:lang w:eastAsia="ja-JP"/>
        </w:rPr>
        <w:t xml:space="preserve"> by the submitted PK and </w:t>
      </w:r>
      <w:proofErr w:type="spellStart"/>
      <w:r>
        <w:rPr>
          <w:lang w:eastAsia="ja-JP"/>
        </w:rPr>
        <w:t>popPK</w:t>
      </w:r>
      <w:proofErr w:type="spellEnd"/>
      <w:r>
        <w:rPr>
          <w:lang w:eastAsia="ja-JP"/>
        </w:rPr>
        <w:t xml:space="preserve"> data</w:t>
      </w:r>
      <w:r w:rsidR="00370429">
        <w:rPr>
          <w:lang w:eastAsia="ja-JP"/>
        </w:rPr>
        <w:t xml:space="preserve">. </w:t>
      </w:r>
      <w:r>
        <w:rPr>
          <w:lang w:eastAsia="ja-JP"/>
        </w:rPr>
        <w:t xml:space="preserve">Sufficient data </w:t>
      </w:r>
      <w:proofErr w:type="gramStart"/>
      <w:r>
        <w:rPr>
          <w:lang w:eastAsia="ja-JP"/>
        </w:rPr>
        <w:t>have been provided</w:t>
      </w:r>
      <w:proofErr w:type="gramEnd"/>
      <w:r>
        <w:rPr>
          <w:lang w:eastAsia="ja-JP"/>
        </w:rPr>
        <w:t xml:space="preserve"> to support the dosing advice with regard to food, hepatic impairment, renal impairment, age, gender, and ethnicity</w:t>
      </w:r>
      <w:r w:rsidR="00370429">
        <w:rPr>
          <w:lang w:eastAsia="ja-JP"/>
        </w:rPr>
        <w:t xml:space="preserve">. </w:t>
      </w:r>
      <w:r>
        <w:rPr>
          <w:lang w:eastAsia="ja-JP"/>
        </w:rPr>
        <w:t>No dose adjustment is required based on body weight, age, ethnicity, or gender, or in patients with mild or moderate renal impairment, or mild, moderate or severe hepatic impairment</w:t>
      </w:r>
      <w:r w:rsidR="00370429">
        <w:rPr>
          <w:lang w:eastAsia="ja-JP"/>
        </w:rPr>
        <w:t xml:space="preserve">. </w:t>
      </w:r>
      <w:r>
        <w:rPr>
          <w:lang w:eastAsia="ja-JP"/>
        </w:rPr>
        <w:t xml:space="preserve">There is no experience with </w:t>
      </w:r>
      <w:proofErr w:type="spellStart"/>
      <w:r>
        <w:rPr>
          <w:lang w:eastAsia="ja-JP"/>
        </w:rPr>
        <w:t>P</w:t>
      </w:r>
      <w:r w:rsidR="00085335">
        <w:rPr>
          <w:lang w:eastAsia="ja-JP"/>
        </w:rPr>
        <w:t>iqray</w:t>
      </w:r>
      <w:proofErr w:type="spellEnd"/>
      <w:r>
        <w:rPr>
          <w:lang w:eastAsia="ja-JP"/>
        </w:rPr>
        <w:t xml:space="preserve"> in patients with severe renal impairment</w:t>
      </w:r>
      <w:r w:rsidR="00584817">
        <w:rPr>
          <w:lang w:eastAsia="ja-JP"/>
        </w:rPr>
        <w:t>.</w:t>
      </w:r>
    </w:p>
    <w:p w14:paraId="4B0A6BB5" w14:textId="086839CA" w:rsidR="00584817" w:rsidRDefault="00C22B8B" w:rsidP="00C22B8B">
      <w:pPr>
        <w:autoSpaceDE w:val="0"/>
        <w:autoSpaceDN w:val="0"/>
        <w:adjustRightInd w:val="0"/>
        <w:spacing w:line="240" w:lineRule="auto"/>
        <w:rPr>
          <w:rFonts w:asciiTheme="minorHAnsi" w:eastAsiaTheme="minorHAnsi" w:hAnsiTheme="minorHAnsi" w:cs="Calibri-BoldItalic"/>
          <w:bCs/>
          <w:iCs/>
        </w:rPr>
      </w:pPr>
      <w:r>
        <w:rPr>
          <w:rFonts w:asciiTheme="minorHAnsi" w:hAnsiTheme="minorHAnsi" w:cstheme="minorHAnsi"/>
          <w:iCs/>
        </w:rPr>
        <w:t xml:space="preserve">There is uncertainty about the potential interactions resulting from induction of </w:t>
      </w:r>
      <w:r>
        <w:rPr>
          <w:lang w:eastAsia="ja-JP"/>
        </w:rPr>
        <w:t>CYP2B6, CYP2C9 and CYP3A4</w:t>
      </w:r>
      <w:r w:rsidR="00370429">
        <w:rPr>
          <w:lang w:eastAsia="ja-JP"/>
        </w:rPr>
        <w:t>.</w:t>
      </w:r>
      <w:r w:rsidR="00347F32" w:rsidRPr="008C0283">
        <w:rPr>
          <w:vertAlign w:val="superscript"/>
          <w:lang w:eastAsia="ja-JP"/>
        </w:rPr>
        <w:fldChar w:fldCharType="begin"/>
      </w:r>
      <w:r w:rsidR="00347F32" w:rsidRPr="008C0283">
        <w:rPr>
          <w:vertAlign w:val="superscript"/>
          <w:lang w:eastAsia="ja-JP"/>
        </w:rPr>
        <w:instrText xml:space="preserve"> NOTEREF _Ref48029568 \h </w:instrText>
      </w:r>
      <w:r w:rsidR="00347F32">
        <w:rPr>
          <w:vertAlign w:val="superscript"/>
          <w:lang w:eastAsia="ja-JP"/>
        </w:rPr>
        <w:instrText xml:space="preserve"> \* MERGEFORMAT </w:instrText>
      </w:r>
      <w:r w:rsidR="00347F32" w:rsidRPr="008C0283">
        <w:rPr>
          <w:vertAlign w:val="superscript"/>
          <w:lang w:eastAsia="ja-JP"/>
        </w:rPr>
      </w:r>
      <w:r w:rsidR="00347F32" w:rsidRPr="008C0283">
        <w:rPr>
          <w:vertAlign w:val="superscript"/>
          <w:lang w:eastAsia="ja-JP"/>
        </w:rPr>
        <w:fldChar w:fldCharType="separate"/>
      </w:r>
      <w:proofErr w:type="gramStart"/>
      <w:r w:rsidR="007C6ED1">
        <w:rPr>
          <w:vertAlign w:val="superscript"/>
          <w:lang w:eastAsia="ja-JP"/>
        </w:rPr>
        <w:t>11</w:t>
      </w:r>
      <w:r w:rsidR="00347F32" w:rsidRPr="008C0283">
        <w:rPr>
          <w:vertAlign w:val="superscript"/>
          <w:lang w:eastAsia="ja-JP"/>
        </w:rPr>
        <w:fldChar w:fldCharType="end"/>
      </w:r>
      <w:r w:rsidR="00370429">
        <w:rPr>
          <w:lang w:eastAsia="ja-JP"/>
        </w:rPr>
        <w:t xml:space="preserve"> </w:t>
      </w:r>
      <w:r>
        <w:rPr>
          <w:lang w:eastAsia="ja-JP"/>
        </w:rPr>
        <w:t xml:space="preserve">As a post-marketing commitment to the FDA, the sponsor is required to conduct a clinical trial to </w:t>
      </w:r>
      <w:r w:rsidRPr="001452D1">
        <w:rPr>
          <w:rFonts w:asciiTheme="minorHAnsi" w:eastAsiaTheme="minorHAnsi" w:hAnsiTheme="minorHAnsi" w:cs="Calibri-BoldItalic"/>
          <w:bCs/>
          <w:iCs/>
        </w:rPr>
        <w:t xml:space="preserve">evaluate the effect of repeat doses of </w:t>
      </w:r>
      <w:proofErr w:type="spellStart"/>
      <w:r w:rsidRPr="001452D1">
        <w:rPr>
          <w:rFonts w:asciiTheme="minorHAnsi" w:eastAsiaTheme="minorHAnsi" w:hAnsiTheme="minorHAnsi" w:cs="Calibri-BoldItalic"/>
          <w:bCs/>
          <w:iCs/>
        </w:rPr>
        <w:t>alpelisib</w:t>
      </w:r>
      <w:proofErr w:type="spellEnd"/>
      <w:r w:rsidRPr="001452D1">
        <w:rPr>
          <w:rFonts w:asciiTheme="minorHAnsi" w:eastAsiaTheme="minorHAnsi" w:hAnsiTheme="minorHAnsi" w:cs="Calibri-BoldItalic"/>
          <w:bCs/>
          <w:iCs/>
        </w:rPr>
        <w:t xml:space="preserve"> on the single dose</w:t>
      </w:r>
      <w:r>
        <w:rPr>
          <w:rFonts w:asciiTheme="minorHAnsi" w:eastAsiaTheme="minorHAnsi" w:hAnsiTheme="minorHAnsi" w:cs="Calibri-BoldItalic"/>
          <w:bCs/>
          <w:iCs/>
        </w:rPr>
        <w:t xml:space="preserve"> </w:t>
      </w:r>
      <w:r w:rsidRPr="001452D1">
        <w:rPr>
          <w:rFonts w:asciiTheme="minorHAnsi" w:eastAsiaTheme="minorHAnsi" w:hAnsiTheme="minorHAnsi" w:cs="Calibri-BoldItalic"/>
          <w:bCs/>
          <w:iCs/>
        </w:rPr>
        <w:t>pharmacokinetics of sensitive probe substrates to a</w:t>
      </w:r>
      <w:r>
        <w:rPr>
          <w:rFonts w:asciiTheme="minorHAnsi" w:eastAsiaTheme="minorHAnsi" w:hAnsiTheme="minorHAnsi" w:cs="Calibri-BoldItalic"/>
          <w:bCs/>
          <w:iCs/>
        </w:rPr>
        <w:t xml:space="preserve">ssess the magnitude of exposure </w:t>
      </w:r>
      <w:r w:rsidRPr="001452D1">
        <w:rPr>
          <w:rFonts w:asciiTheme="minorHAnsi" w:eastAsiaTheme="minorHAnsi" w:hAnsiTheme="minorHAnsi" w:cs="Calibri-BoldItalic"/>
          <w:bCs/>
          <w:iCs/>
        </w:rPr>
        <w:t>change for sensitive substrates of CYP2B6, CYP3A4 an</w:t>
      </w:r>
      <w:r>
        <w:rPr>
          <w:rFonts w:asciiTheme="minorHAnsi" w:eastAsiaTheme="minorHAnsi" w:hAnsiTheme="minorHAnsi" w:cs="Calibri-BoldItalic"/>
          <w:bCs/>
          <w:iCs/>
        </w:rPr>
        <w:t xml:space="preserve">d CYP2C-family enzymes (CYP2C9, </w:t>
      </w:r>
      <w:r w:rsidRPr="001452D1">
        <w:rPr>
          <w:rFonts w:asciiTheme="minorHAnsi" w:eastAsiaTheme="minorHAnsi" w:hAnsiTheme="minorHAnsi" w:cs="Calibri-BoldItalic"/>
          <w:bCs/>
          <w:iCs/>
        </w:rPr>
        <w:t>CYP2C19 and/or CYP2C8)</w:t>
      </w:r>
      <w:r w:rsidR="00216466">
        <w:rPr>
          <w:rFonts w:asciiTheme="minorHAnsi" w:eastAsiaTheme="minorHAnsi" w:hAnsiTheme="minorHAnsi" w:cs="Calibri-BoldItalic"/>
          <w:bCs/>
          <w:iCs/>
        </w:rPr>
        <w:t>;</w:t>
      </w:r>
      <w:r w:rsidRPr="001452D1">
        <w:rPr>
          <w:rFonts w:asciiTheme="minorHAnsi" w:eastAsiaTheme="minorHAnsi" w:hAnsiTheme="minorHAnsi" w:cs="Calibri-BoldItalic"/>
          <w:bCs/>
          <w:iCs/>
        </w:rPr>
        <w:t xml:space="preserve"> and to determine appropriate dosing recommendations</w:t>
      </w:r>
      <w:r w:rsidR="00584817">
        <w:rPr>
          <w:rFonts w:asciiTheme="minorHAnsi" w:eastAsiaTheme="minorHAnsi" w:hAnsiTheme="minorHAnsi" w:cs="Calibri-BoldItalic"/>
          <w:bCs/>
          <w:iCs/>
        </w:rPr>
        <w:t>.</w:t>
      </w:r>
      <w:proofErr w:type="gramEnd"/>
    </w:p>
    <w:p w14:paraId="69D2DBBD" w14:textId="2235392B" w:rsidR="00C22B8B" w:rsidRDefault="00C22B8B" w:rsidP="00C22B8B">
      <w:pPr>
        <w:pStyle w:val="Heading4"/>
      </w:pPr>
      <w:r w:rsidRPr="00AA53F4">
        <w:t xml:space="preserve">Study </w:t>
      </w:r>
      <w:r w:rsidR="00C86F38">
        <w:t>CBYL719C2301 (</w:t>
      </w:r>
      <w:r>
        <w:t>SOLAR-1</w:t>
      </w:r>
      <w:r w:rsidR="00C86F38">
        <w:t xml:space="preserve"> trial</w:t>
      </w:r>
      <w:r>
        <w:t>)</w:t>
      </w:r>
    </w:p>
    <w:p w14:paraId="5944CB75" w14:textId="60FB1E4F" w:rsidR="00584817" w:rsidRDefault="00C22B8B" w:rsidP="00C22B8B">
      <w:pPr>
        <w:rPr>
          <w:lang w:val="en-US" w:eastAsia="ja-JP"/>
        </w:rPr>
      </w:pPr>
      <w:r>
        <w:t xml:space="preserve">The efficacy and safety of </w:t>
      </w:r>
      <w:proofErr w:type="spellStart"/>
      <w:r>
        <w:t>alpelisib</w:t>
      </w:r>
      <w:proofErr w:type="spellEnd"/>
      <w:r>
        <w:t xml:space="preserve"> in the proposed indication are derived primarily from the </w:t>
      </w:r>
      <w:r w:rsidR="00C86F38">
        <w:t>P</w:t>
      </w:r>
      <w:r w:rsidR="00370429">
        <w:t>hase III</w:t>
      </w:r>
      <w:r>
        <w:t xml:space="preserve"> study, SOLAR-1</w:t>
      </w:r>
      <w:r w:rsidR="001B3F84">
        <w:t xml:space="preserve"> trial</w:t>
      </w:r>
      <w:r>
        <w:t>, a multicentre,</w:t>
      </w:r>
      <w:r w:rsidRPr="00A9127C">
        <w:t xml:space="preserve"> </w:t>
      </w:r>
      <w:r w:rsidRPr="00A9127C">
        <w:rPr>
          <w:lang w:eastAsia="ja-JP"/>
        </w:rPr>
        <w:t>randomised</w:t>
      </w:r>
      <w:r>
        <w:rPr>
          <w:lang w:val="en-US" w:eastAsia="ja-JP"/>
        </w:rPr>
        <w:t>,</w:t>
      </w:r>
      <w:r w:rsidR="00085335">
        <w:rPr>
          <w:lang w:val="en-US" w:eastAsia="ja-JP"/>
        </w:rPr>
        <w:t xml:space="preserve"> double </w:t>
      </w:r>
      <w:r w:rsidRPr="00737F71">
        <w:rPr>
          <w:lang w:val="en-US" w:eastAsia="ja-JP"/>
        </w:rPr>
        <w:t>blind, placebo</w:t>
      </w:r>
      <w:r w:rsidR="00085335">
        <w:rPr>
          <w:lang w:val="en-US" w:eastAsia="ja-JP"/>
        </w:rPr>
        <w:t xml:space="preserve"> </w:t>
      </w:r>
      <w:r w:rsidRPr="00737F71">
        <w:rPr>
          <w:lang w:val="en-US" w:eastAsia="ja-JP"/>
        </w:rPr>
        <w:t>controlled</w:t>
      </w:r>
      <w:r>
        <w:rPr>
          <w:lang w:val="en-US" w:eastAsia="ja-JP"/>
        </w:rPr>
        <w:t xml:space="preserve"> </w:t>
      </w:r>
      <w:r w:rsidRPr="00737F71">
        <w:rPr>
          <w:lang w:val="en-US" w:eastAsia="ja-JP"/>
        </w:rPr>
        <w:t xml:space="preserve">study of </w:t>
      </w:r>
      <w:proofErr w:type="spellStart"/>
      <w:r w:rsidRPr="00737F71">
        <w:rPr>
          <w:lang w:val="en-US" w:eastAsia="ja-JP"/>
        </w:rPr>
        <w:t>alpelisib</w:t>
      </w:r>
      <w:proofErr w:type="spellEnd"/>
      <w:r w:rsidRPr="00737F71">
        <w:rPr>
          <w:lang w:val="en-US" w:eastAsia="ja-JP"/>
        </w:rPr>
        <w:t xml:space="preserve"> </w:t>
      </w:r>
      <w:r>
        <w:rPr>
          <w:lang w:val="en-US" w:eastAsia="ja-JP"/>
        </w:rPr>
        <w:t xml:space="preserve">plus </w:t>
      </w:r>
      <w:proofErr w:type="spellStart"/>
      <w:r w:rsidRPr="00737F71">
        <w:rPr>
          <w:lang w:val="en-US" w:eastAsia="ja-JP"/>
        </w:rPr>
        <w:t>fulvestrant</w:t>
      </w:r>
      <w:proofErr w:type="spellEnd"/>
      <w:r w:rsidRPr="00737F71">
        <w:rPr>
          <w:lang w:val="en-US" w:eastAsia="ja-JP"/>
        </w:rPr>
        <w:t xml:space="preserve"> </w:t>
      </w:r>
      <w:r>
        <w:rPr>
          <w:lang w:val="en-US" w:eastAsia="ja-JP"/>
        </w:rPr>
        <w:t xml:space="preserve">compared to placebo plus </w:t>
      </w:r>
      <w:proofErr w:type="spellStart"/>
      <w:r>
        <w:rPr>
          <w:lang w:val="en-US" w:eastAsia="ja-JP"/>
        </w:rPr>
        <w:t>fulvestrant</w:t>
      </w:r>
      <w:proofErr w:type="spellEnd"/>
      <w:r>
        <w:rPr>
          <w:lang w:val="en-US" w:eastAsia="ja-JP"/>
        </w:rPr>
        <w:t xml:space="preserve"> in</w:t>
      </w:r>
      <w:r w:rsidRPr="00737F71">
        <w:rPr>
          <w:lang w:val="en-US" w:eastAsia="ja-JP"/>
        </w:rPr>
        <w:t xml:space="preserve"> postmenopausal women</w:t>
      </w:r>
      <w:r>
        <w:rPr>
          <w:lang w:val="en-US" w:eastAsia="ja-JP"/>
        </w:rPr>
        <w:t>,</w:t>
      </w:r>
      <w:r w:rsidRPr="00737F71">
        <w:rPr>
          <w:lang w:val="en-US" w:eastAsia="ja-JP"/>
        </w:rPr>
        <w:t xml:space="preserve"> and men</w:t>
      </w:r>
      <w:r>
        <w:rPr>
          <w:lang w:val="en-US" w:eastAsia="ja-JP"/>
        </w:rPr>
        <w:t xml:space="preserve">, </w:t>
      </w:r>
      <w:r w:rsidRPr="00737F71">
        <w:rPr>
          <w:lang w:val="en-US" w:eastAsia="ja-JP"/>
        </w:rPr>
        <w:t xml:space="preserve">with </w:t>
      </w:r>
      <w:r>
        <w:rPr>
          <w:lang w:val="en-US" w:eastAsia="ja-JP"/>
        </w:rPr>
        <w:t>HR-</w:t>
      </w:r>
      <w:r w:rsidRPr="00737F71">
        <w:rPr>
          <w:lang w:val="en-US" w:eastAsia="ja-JP"/>
        </w:rPr>
        <w:t xml:space="preserve">positive, HER2-negative advanced breast </w:t>
      </w:r>
      <w:r w:rsidRPr="00737F71">
        <w:rPr>
          <w:lang w:val="en-US" w:eastAsia="ja-JP"/>
        </w:rPr>
        <w:lastRenderedPageBreak/>
        <w:t>cancer which</w:t>
      </w:r>
      <w:r>
        <w:rPr>
          <w:lang w:val="en-US" w:eastAsia="ja-JP"/>
        </w:rPr>
        <w:t xml:space="preserve"> has </w:t>
      </w:r>
      <w:r w:rsidRPr="00737F71">
        <w:rPr>
          <w:lang w:val="en-US" w:eastAsia="ja-JP"/>
        </w:rPr>
        <w:t>progressed on or after aromatase inhibitor treatment</w:t>
      </w:r>
      <w:r w:rsidR="00370429">
        <w:rPr>
          <w:lang w:val="en-US" w:eastAsia="ja-JP"/>
        </w:rPr>
        <w:t xml:space="preserve">. </w:t>
      </w:r>
      <w:r>
        <w:rPr>
          <w:lang w:val="en-US" w:eastAsia="ja-JP"/>
        </w:rPr>
        <w:t>The study commenced in July 2015 and is ongoing</w:t>
      </w:r>
      <w:r w:rsidR="00370429">
        <w:rPr>
          <w:lang w:val="en-US" w:eastAsia="ja-JP"/>
        </w:rPr>
        <w:t xml:space="preserve">. </w:t>
      </w:r>
      <w:r>
        <w:rPr>
          <w:lang w:val="en-US" w:eastAsia="ja-JP"/>
        </w:rPr>
        <w:t xml:space="preserve">It </w:t>
      </w:r>
      <w:proofErr w:type="gramStart"/>
      <w:r>
        <w:rPr>
          <w:lang w:val="en-US" w:eastAsia="ja-JP"/>
        </w:rPr>
        <w:t>is being conducted</w:t>
      </w:r>
      <w:proofErr w:type="gramEnd"/>
      <w:r>
        <w:rPr>
          <w:lang w:val="en-US" w:eastAsia="ja-JP"/>
        </w:rPr>
        <w:t xml:space="preserve"> at 275 sites in 33 countries</w:t>
      </w:r>
      <w:r w:rsidR="00584817">
        <w:rPr>
          <w:lang w:val="en-US" w:eastAsia="ja-JP"/>
        </w:rPr>
        <w:t>.</w:t>
      </w:r>
    </w:p>
    <w:p w14:paraId="3F3E33A0" w14:textId="1CB1D120" w:rsidR="00C22B8B" w:rsidRDefault="00C22B8B" w:rsidP="00C22B8B">
      <w:pPr>
        <w:rPr>
          <w:lang w:val="en-US" w:eastAsia="ja-JP"/>
        </w:rPr>
      </w:pPr>
      <w:r w:rsidRPr="00B97625">
        <w:rPr>
          <w:lang w:eastAsia="ja-JP"/>
        </w:rPr>
        <w:t xml:space="preserve">The </w:t>
      </w:r>
      <w:r>
        <w:rPr>
          <w:lang w:eastAsia="ja-JP"/>
        </w:rPr>
        <w:t>p</w:t>
      </w:r>
      <w:r w:rsidRPr="00B97625">
        <w:rPr>
          <w:lang w:eastAsia="ja-JP"/>
        </w:rPr>
        <w:t>rimary objective was to</w:t>
      </w:r>
      <w:r w:rsidRPr="00B97625">
        <w:rPr>
          <w:lang w:val="en-US" w:eastAsia="ja-JP"/>
        </w:rPr>
        <w:t xml:space="preserve"> determine whether treatment with </w:t>
      </w:r>
      <w:proofErr w:type="spellStart"/>
      <w:r w:rsidRPr="00B97625">
        <w:rPr>
          <w:lang w:val="en-US" w:eastAsia="ja-JP"/>
        </w:rPr>
        <w:t>alpelisib</w:t>
      </w:r>
      <w:proofErr w:type="spellEnd"/>
      <w:r w:rsidRPr="00B97625">
        <w:rPr>
          <w:lang w:val="en-US" w:eastAsia="ja-JP"/>
        </w:rPr>
        <w:t xml:space="preserve"> </w:t>
      </w:r>
      <w:r>
        <w:rPr>
          <w:lang w:val="en-US" w:eastAsia="ja-JP"/>
        </w:rPr>
        <w:t>plus</w:t>
      </w:r>
      <w:r w:rsidRPr="00342700">
        <w:rPr>
          <w:lang w:val="en-US" w:eastAsia="ja-JP"/>
        </w:rPr>
        <w:t xml:space="preserve"> </w:t>
      </w:r>
      <w:proofErr w:type="spellStart"/>
      <w:r w:rsidRPr="00342700">
        <w:rPr>
          <w:lang w:val="en-US" w:eastAsia="ja-JP"/>
        </w:rPr>
        <w:t>fulvestrant</w:t>
      </w:r>
      <w:proofErr w:type="spellEnd"/>
      <w:r w:rsidRPr="00342700">
        <w:rPr>
          <w:lang w:val="en-US" w:eastAsia="ja-JP"/>
        </w:rPr>
        <w:t xml:space="preserve"> prolongs progression-free </w:t>
      </w:r>
      <w:proofErr w:type="gramStart"/>
      <w:r w:rsidRPr="00342700">
        <w:rPr>
          <w:lang w:val="en-US" w:eastAsia="ja-JP"/>
        </w:rPr>
        <w:t>survival</w:t>
      </w:r>
      <w:proofErr w:type="gramEnd"/>
      <w:r w:rsidRPr="00342700">
        <w:rPr>
          <w:lang w:val="en-US" w:eastAsia="ja-JP"/>
        </w:rPr>
        <w:t xml:space="preserve"> (PFS) based on local investigator assessment compared to placebo </w:t>
      </w:r>
      <w:r>
        <w:rPr>
          <w:lang w:val="en-US" w:eastAsia="ja-JP"/>
        </w:rPr>
        <w:t>plus</w:t>
      </w:r>
      <w:r w:rsidRPr="00342700">
        <w:rPr>
          <w:lang w:val="en-US" w:eastAsia="ja-JP"/>
        </w:rPr>
        <w:t xml:space="preserve"> </w:t>
      </w:r>
      <w:proofErr w:type="spellStart"/>
      <w:r w:rsidRPr="00342700">
        <w:rPr>
          <w:lang w:val="en-US" w:eastAsia="ja-JP"/>
        </w:rPr>
        <w:t>fulvestrant</w:t>
      </w:r>
      <w:proofErr w:type="spellEnd"/>
      <w:r w:rsidRPr="00342700">
        <w:rPr>
          <w:lang w:val="en-US" w:eastAsia="ja-JP"/>
        </w:rPr>
        <w:t xml:space="preserve"> for </w:t>
      </w:r>
      <w:r w:rsidR="00AF6E81">
        <w:rPr>
          <w:lang w:val="en-US" w:eastAsia="ja-JP"/>
        </w:rPr>
        <w:t xml:space="preserve">patients with </w:t>
      </w:r>
      <w:r w:rsidR="00AF6E81" w:rsidRPr="00CB732F">
        <w:rPr>
          <w:i/>
          <w:lang w:val="en-US" w:eastAsia="ja-JP"/>
        </w:rPr>
        <w:t>PIK3CA</w:t>
      </w:r>
      <w:r w:rsidR="00AF6E81">
        <w:rPr>
          <w:lang w:val="en-US" w:eastAsia="ja-JP"/>
        </w:rPr>
        <w:t xml:space="preserve"> </w:t>
      </w:r>
      <w:r w:rsidRPr="00B97625">
        <w:rPr>
          <w:lang w:val="en-US" w:eastAsia="ja-JP"/>
        </w:rPr>
        <w:t>muta</w:t>
      </w:r>
      <w:r>
        <w:rPr>
          <w:lang w:val="en-US" w:eastAsia="ja-JP"/>
        </w:rPr>
        <w:t>ted</w:t>
      </w:r>
      <w:r w:rsidRPr="00B97625">
        <w:rPr>
          <w:lang w:val="en-US" w:eastAsia="ja-JP"/>
        </w:rPr>
        <w:t xml:space="preserve"> advanced breast cancer</w:t>
      </w:r>
      <w:r w:rsidR="00370429">
        <w:rPr>
          <w:lang w:val="en-US" w:eastAsia="ja-JP"/>
        </w:rPr>
        <w:t xml:space="preserve">. </w:t>
      </w:r>
      <w:r w:rsidRPr="00B97625">
        <w:rPr>
          <w:lang w:val="en-US" w:eastAsia="ja-JP"/>
        </w:rPr>
        <w:t>The key secondary objective was to</w:t>
      </w:r>
      <w:r w:rsidRPr="00342700">
        <w:rPr>
          <w:lang w:val="en-US" w:eastAsia="ja-JP"/>
        </w:rPr>
        <w:t xml:space="preserve"> determine whether treatment with </w:t>
      </w:r>
      <w:proofErr w:type="spellStart"/>
      <w:r w:rsidRPr="00342700">
        <w:rPr>
          <w:lang w:val="en-US" w:eastAsia="ja-JP"/>
        </w:rPr>
        <w:t>alpelisib</w:t>
      </w:r>
      <w:proofErr w:type="spellEnd"/>
      <w:r w:rsidRPr="00342700">
        <w:rPr>
          <w:lang w:val="en-US" w:eastAsia="ja-JP"/>
        </w:rPr>
        <w:t xml:space="preserve"> </w:t>
      </w:r>
      <w:r>
        <w:rPr>
          <w:lang w:val="en-US" w:eastAsia="ja-JP"/>
        </w:rPr>
        <w:t xml:space="preserve">plus </w:t>
      </w:r>
      <w:proofErr w:type="spellStart"/>
      <w:r w:rsidRPr="00342700">
        <w:rPr>
          <w:lang w:val="en-US" w:eastAsia="ja-JP"/>
        </w:rPr>
        <w:t>fulvestrant</w:t>
      </w:r>
      <w:proofErr w:type="spellEnd"/>
      <w:r w:rsidRPr="00342700">
        <w:rPr>
          <w:lang w:val="en-US" w:eastAsia="ja-JP"/>
        </w:rPr>
        <w:t xml:space="preserve"> prolongs overall </w:t>
      </w:r>
      <w:proofErr w:type="gramStart"/>
      <w:r w:rsidRPr="00342700">
        <w:rPr>
          <w:lang w:val="en-US" w:eastAsia="ja-JP"/>
        </w:rPr>
        <w:t>survival</w:t>
      </w:r>
      <w:proofErr w:type="gramEnd"/>
      <w:r w:rsidRPr="00342700">
        <w:rPr>
          <w:lang w:val="en-US" w:eastAsia="ja-JP"/>
        </w:rPr>
        <w:t xml:space="preserve"> (OS) compared to placebo </w:t>
      </w:r>
      <w:r>
        <w:rPr>
          <w:lang w:val="en-US" w:eastAsia="ja-JP"/>
        </w:rPr>
        <w:t>plus</w:t>
      </w:r>
      <w:r w:rsidRPr="00342700">
        <w:rPr>
          <w:lang w:val="en-US" w:eastAsia="ja-JP"/>
        </w:rPr>
        <w:t xml:space="preserve"> </w:t>
      </w:r>
      <w:proofErr w:type="spellStart"/>
      <w:r w:rsidRPr="00342700">
        <w:rPr>
          <w:lang w:val="en-US" w:eastAsia="ja-JP"/>
        </w:rPr>
        <w:t>fulvestrant</w:t>
      </w:r>
      <w:proofErr w:type="spellEnd"/>
      <w:r w:rsidRPr="00342700">
        <w:rPr>
          <w:lang w:val="en-US" w:eastAsia="ja-JP"/>
        </w:rPr>
        <w:t xml:space="preserve"> for </w:t>
      </w:r>
      <w:r w:rsidR="00AF6E81">
        <w:rPr>
          <w:lang w:val="en-US" w:eastAsia="ja-JP"/>
        </w:rPr>
        <w:t xml:space="preserve">patients with </w:t>
      </w:r>
      <w:r w:rsidR="00AF6E81" w:rsidRPr="00CB732F">
        <w:rPr>
          <w:i/>
          <w:lang w:val="en-US" w:eastAsia="ja-JP"/>
        </w:rPr>
        <w:t>PIK3CA</w:t>
      </w:r>
      <w:r w:rsidR="00AF6E81">
        <w:rPr>
          <w:lang w:val="en-US" w:eastAsia="ja-JP"/>
        </w:rPr>
        <w:t xml:space="preserve"> </w:t>
      </w:r>
      <w:r w:rsidRPr="00342700">
        <w:rPr>
          <w:lang w:val="en-US" w:eastAsia="ja-JP"/>
        </w:rPr>
        <w:t>muta</w:t>
      </w:r>
      <w:r>
        <w:rPr>
          <w:lang w:val="en-US" w:eastAsia="ja-JP"/>
        </w:rPr>
        <w:t>ted</w:t>
      </w:r>
      <w:r w:rsidRPr="00342700">
        <w:rPr>
          <w:lang w:val="en-US" w:eastAsia="ja-JP"/>
        </w:rPr>
        <w:t xml:space="preserve"> advanced breast cancer.</w:t>
      </w:r>
    </w:p>
    <w:p w14:paraId="504F5F16" w14:textId="598F9C09" w:rsidR="00584817" w:rsidRDefault="00C22B8B" w:rsidP="00C22B8B">
      <w:pPr>
        <w:rPr>
          <w:shd w:val="clear" w:color="auto" w:fill="FFFFFF"/>
        </w:rPr>
      </w:pPr>
      <w:r>
        <w:rPr>
          <w:lang w:val="en-US" w:eastAsia="ja-JP"/>
        </w:rPr>
        <w:t xml:space="preserve">There were several important amendments to the protocol during the study in response to emerging knowledge regarding </w:t>
      </w:r>
      <w:r w:rsidRPr="00CB732F">
        <w:rPr>
          <w:i/>
          <w:lang w:val="en-US" w:eastAsia="ja-JP"/>
        </w:rPr>
        <w:t>PIK3CA</w:t>
      </w:r>
      <w:r>
        <w:rPr>
          <w:lang w:val="en-US" w:eastAsia="ja-JP"/>
        </w:rPr>
        <w:t xml:space="preserve"> status</w:t>
      </w:r>
      <w:r w:rsidR="00370429">
        <w:rPr>
          <w:lang w:val="en-US" w:eastAsia="ja-JP"/>
        </w:rPr>
        <w:t xml:space="preserve">. </w:t>
      </w:r>
      <w:r>
        <w:rPr>
          <w:lang w:val="en-US" w:eastAsia="ja-JP"/>
        </w:rPr>
        <w:t xml:space="preserve">Efficacy in the non-mutant cohort </w:t>
      </w:r>
      <w:proofErr w:type="gramStart"/>
      <w:r>
        <w:rPr>
          <w:lang w:val="en-US" w:eastAsia="ja-JP"/>
        </w:rPr>
        <w:t>was changed</w:t>
      </w:r>
      <w:proofErr w:type="gramEnd"/>
      <w:r>
        <w:rPr>
          <w:lang w:val="en-US" w:eastAsia="ja-JP"/>
        </w:rPr>
        <w:t xml:space="preserve"> from a primary to a secondary, proof-of-concept objective based on data suggesting that patients with a </w:t>
      </w:r>
      <w:r w:rsidRPr="00CB732F">
        <w:rPr>
          <w:i/>
          <w:lang w:val="en-US" w:eastAsia="ja-JP"/>
        </w:rPr>
        <w:t>PIK3CA</w:t>
      </w:r>
      <w:r>
        <w:rPr>
          <w:lang w:val="en-US" w:eastAsia="ja-JP"/>
        </w:rPr>
        <w:t xml:space="preserve"> mutation may derive greater benefit than patients without a mutation</w:t>
      </w:r>
      <w:r w:rsidR="00370429">
        <w:rPr>
          <w:lang w:val="en-US" w:eastAsia="ja-JP"/>
        </w:rPr>
        <w:t xml:space="preserve">. </w:t>
      </w:r>
      <w:r>
        <w:rPr>
          <w:shd w:val="clear" w:color="auto" w:fill="FFFFFF"/>
        </w:rPr>
        <w:t>The</w:t>
      </w:r>
      <w:r w:rsidRPr="003B6813">
        <w:rPr>
          <w:shd w:val="clear" w:color="auto" w:fill="FFFFFF"/>
        </w:rPr>
        <w:t xml:space="preserve"> protocol </w:t>
      </w:r>
      <w:proofErr w:type="gramStart"/>
      <w:r>
        <w:rPr>
          <w:shd w:val="clear" w:color="auto" w:fill="FFFFFF"/>
        </w:rPr>
        <w:t>was also amended</w:t>
      </w:r>
      <w:proofErr w:type="gramEnd"/>
      <w:r>
        <w:rPr>
          <w:shd w:val="clear" w:color="auto" w:fill="FFFFFF"/>
        </w:rPr>
        <w:t xml:space="preserve"> during the study to stop</w:t>
      </w:r>
      <w:r w:rsidRPr="003B6813">
        <w:rPr>
          <w:shd w:val="clear" w:color="auto" w:fill="FFFFFF"/>
        </w:rPr>
        <w:t xml:space="preserve"> endocrine</w:t>
      </w:r>
      <w:r w:rsidR="00085335">
        <w:rPr>
          <w:shd w:val="clear" w:color="auto" w:fill="FFFFFF"/>
        </w:rPr>
        <w:noBreakHyphen/>
      </w:r>
      <w:r w:rsidRPr="003B6813">
        <w:rPr>
          <w:shd w:val="clear" w:color="auto" w:fill="FFFFFF"/>
        </w:rPr>
        <w:t xml:space="preserve">sensitive patients </w:t>
      </w:r>
      <w:r>
        <w:rPr>
          <w:shd w:val="clear" w:color="auto" w:fill="FFFFFF"/>
        </w:rPr>
        <w:t>(</w:t>
      </w:r>
      <w:r w:rsidRPr="003B6813">
        <w:rPr>
          <w:shd w:val="clear" w:color="auto" w:fill="FFFFFF"/>
        </w:rPr>
        <w:t xml:space="preserve">relapsed </w:t>
      </w:r>
      <w:r>
        <w:rPr>
          <w:shd w:val="clear" w:color="auto" w:fill="FFFFFF"/>
        </w:rPr>
        <w:t>≥</w:t>
      </w:r>
      <w:r w:rsidR="00085335">
        <w:rPr>
          <w:shd w:val="clear" w:color="auto" w:fill="FFFFFF"/>
        </w:rPr>
        <w:t xml:space="preserve"> </w:t>
      </w:r>
      <w:r w:rsidRPr="003B6813">
        <w:rPr>
          <w:shd w:val="clear" w:color="auto" w:fill="FFFFFF"/>
        </w:rPr>
        <w:t xml:space="preserve">12 months after completion of adjuvant </w:t>
      </w:r>
      <w:r>
        <w:rPr>
          <w:shd w:val="clear" w:color="auto" w:fill="FFFFFF"/>
        </w:rPr>
        <w:t>ET</w:t>
      </w:r>
      <w:r w:rsidRPr="003B6813">
        <w:rPr>
          <w:shd w:val="clear" w:color="auto" w:fill="FFFFFF"/>
        </w:rPr>
        <w:t xml:space="preserve"> and not treated for advanced disease</w:t>
      </w:r>
      <w:r>
        <w:rPr>
          <w:shd w:val="clear" w:color="auto" w:fill="FFFFFF"/>
        </w:rPr>
        <w:t>)</w:t>
      </w:r>
      <w:r w:rsidRPr="003B6813">
        <w:rPr>
          <w:shd w:val="clear" w:color="auto" w:fill="FFFFFF"/>
        </w:rPr>
        <w:t xml:space="preserve"> </w:t>
      </w:r>
      <w:r>
        <w:rPr>
          <w:shd w:val="clear" w:color="auto" w:fill="FFFFFF"/>
        </w:rPr>
        <w:t>from being</w:t>
      </w:r>
      <w:r w:rsidRPr="003B6813">
        <w:rPr>
          <w:shd w:val="clear" w:color="auto" w:fill="FFFFFF"/>
        </w:rPr>
        <w:t xml:space="preserve"> enrol</w:t>
      </w:r>
      <w:r>
        <w:rPr>
          <w:shd w:val="clear" w:color="auto" w:fill="FFFFFF"/>
        </w:rPr>
        <w:t>led</w:t>
      </w:r>
      <w:r w:rsidRPr="003B6813">
        <w:rPr>
          <w:shd w:val="clear" w:color="auto" w:fill="FFFFFF"/>
        </w:rPr>
        <w:t>, to focus the trial on the endocrine</w:t>
      </w:r>
      <w:r w:rsidR="00853BDA">
        <w:rPr>
          <w:shd w:val="clear" w:color="auto" w:fill="FFFFFF"/>
        </w:rPr>
        <w:noBreakHyphen/>
      </w:r>
      <w:r w:rsidRPr="003B6813">
        <w:rPr>
          <w:shd w:val="clear" w:color="auto" w:fill="FFFFFF"/>
        </w:rPr>
        <w:t>resistant population</w:t>
      </w:r>
      <w:r w:rsidR="00584817">
        <w:rPr>
          <w:shd w:val="clear" w:color="auto" w:fill="FFFFFF"/>
        </w:rPr>
        <w:t>.</w:t>
      </w:r>
    </w:p>
    <w:p w14:paraId="0FFFA04B" w14:textId="4CE4BEEF" w:rsidR="00584817" w:rsidRDefault="00C22B8B" w:rsidP="00C22B8B">
      <w:r>
        <w:t>Eligibility criteria included postmenopausal women, and men, who had locally confirmed HR-positive, HER2-negative advanced breast cancer, with radiological or objective evidence of recurrence or progression during or after aromatase inhibitor therapy (</w:t>
      </w:r>
      <w:proofErr w:type="spellStart"/>
      <w:r>
        <w:t>neoadjuvant</w:t>
      </w:r>
      <w:proofErr w:type="spellEnd"/>
      <w:r>
        <w:t>, adjuvant, or for advanced disease)</w:t>
      </w:r>
      <w:r w:rsidR="00370429">
        <w:t xml:space="preserve">. </w:t>
      </w:r>
      <w:r>
        <w:t xml:space="preserve">Female patients were not eligible if menopausal status </w:t>
      </w:r>
      <w:proofErr w:type="gramStart"/>
      <w:r>
        <w:t>was induced</w:t>
      </w:r>
      <w:proofErr w:type="gramEnd"/>
      <w:r>
        <w:t xml:space="preserve"> by ovarian </w:t>
      </w:r>
      <w:r w:rsidRPr="00F24FD6">
        <w:t>suppression</w:t>
      </w:r>
      <w:r w:rsidR="00370429">
        <w:t xml:space="preserve">. </w:t>
      </w:r>
      <w:r>
        <w:t xml:space="preserve">Patients had to have adequate tumour tissue for central testing for </w:t>
      </w:r>
      <w:r w:rsidRPr="00CB732F">
        <w:rPr>
          <w:i/>
        </w:rPr>
        <w:t>PIK3CA</w:t>
      </w:r>
      <w:r>
        <w:t xml:space="preserve"> mutations, and baseline </w:t>
      </w:r>
      <w:r w:rsidR="00853BDA" w:rsidRPr="00853BDA">
        <w:t>Eastern Cooperative Oncology Group (</w:t>
      </w:r>
      <w:r w:rsidRPr="00853BDA">
        <w:t>ECOG</w:t>
      </w:r>
      <w:r w:rsidR="00853BDA" w:rsidRPr="00853BDA">
        <w:t>) performance status</w:t>
      </w:r>
      <w:r w:rsidRPr="00853BDA">
        <w:t xml:space="preserve"> 0 or 1</w:t>
      </w:r>
      <w:r w:rsidR="00370429" w:rsidRPr="00853BDA">
        <w:t>.</w:t>
      </w:r>
      <w:r w:rsidR="00DC2D73">
        <w:rPr>
          <w:rStyle w:val="FootnoteReference"/>
        </w:rPr>
        <w:footnoteReference w:id="14"/>
      </w:r>
      <w:r w:rsidR="00370429" w:rsidRPr="00853BDA">
        <w:t xml:space="preserve"> </w:t>
      </w:r>
      <w:r w:rsidRPr="00853BDA">
        <w:t xml:space="preserve">Patients </w:t>
      </w:r>
      <w:proofErr w:type="gramStart"/>
      <w:r w:rsidRPr="00853BDA">
        <w:t>were excluded</w:t>
      </w:r>
      <w:proofErr w:type="gramEnd"/>
      <w:r w:rsidRPr="00853BDA">
        <w:t xml:space="preserve"> if they had previously received chemotherapy for advanced disease or </w:t>
      </w:r>
      <w:proofErr w:type="spellStart"/>
      <w:r w:rsidRPr="00853BDA">
        <w:t>fulvestrant</w:t>
      </w:r>
      <w:proofErr w:type="spellEnd"/>
      <w:r>
        <w:t xml:space="preserve"> therapy or any PI3K, AKT or</w:t>
      </w:r>
      <w:r w:rsidRPr="00DC2D73">
        <w:t xml:space="preserve"> </w:t>
      </w:r>
      <w:r w:rsidR="001D5DFC">
        <w:t>mammalian</w:t>
      </w:r>
      <w:r w:rsidR="00DC2D73" w:rsidRPr="00DC2D73">
        <w:t xml:space="preserve"> target of rapamycin kinase (</w:t>
      </w:r>
      <w:proofErr w:type="spellStart"/>
      <w:r w:rsidRPr="00DC2D73">
        <w:t>mTOR</w:t>
      </w:r>
      <w:proofErr w:type="spellEnd"/>
      <w:r w:rsidR="00DC2D73" w:rsidRPr="00DC2D73">
        <w:t>)</w:t>
      </w:r>
      <w:r>
        <w:t xml:space="preserve"> inhibitor, or had an established diagnosis of type 1 or uncontrolled type 2 diabetes mellitus</w:t>
      </w:r>
      <w:r w:rsidR="00584817">
        <w:t>.</w:t>
      </w:r>
    </w:p>
    <w:p w14:paraId="5CB513CB" w14:textId="733DEB33" w:rsidR="00C22B8B" w:rsidRDefault="00C22B8B" w:rsidP="006E2A8D">
      <w:pPr>
        <w:rPr>
          <w:lang w:val="en-US" w:eastAsia="ja-JP"/>
        </w:rPr>
      </w:pPr>
      <w:r w:rsidRPr="00CB732F">
        <w:rPr>
          <w:i/>
          <w:lang w:val="en-US" w:eastAsia="ja-JP"/>
        </w:rPr>
        <w:t>PIK3CA</w:t>
      </w:r>
      <w:r>
        <w:rPr>
          <w:lang w:val="en-US" w:eastAsia="ja-JP"/>
        </w:rPr>
        <w:t xml:space="preserve"> mutation testing was performed</w:t>
      </w:r>
      <w:r w:rsidRPr="007E4CB7">
        <w:rPr>
          <w:lang w:val="en-US" w:eastAsia="ja-JP"/>
        </w:rPr>
        <w:t xml:space="preserve"> </w:t>
      </w:r>
      <w:r>
        <w:rPr>
          <w:lang w:val="en-US" w:eastAsia="ja-JP"/>
        </w:rPr>
        <w:t>centrally on</w:t>
      </w:r>
      <w:r w:rsidRPr="00A9127C">
        <w:rPr>
          <w:lang w:eastAsia="ja-JP"/>
        </w:rPr>
        <w:t xml:space="preserve"> tumour</w:t>
      </w:r>
      <w:r>
        <w:rPr>
          <w:lang w:val="en-US" w:eastAsia="ja-JP"/>
        </w:rPr>
        <w:t xml:space="preserve"> tissue (predominantly archival tissue) prior to enrolment</w:t>
      </w:r>
      <w:r w:rsidR="00370429">
        <w:rPr>
          <w:lang w:val="en-US" w:eastAsia="ja-JP"/>
        </w:rPr>
        <w:t xml:space="preserve">. </w:t>
      </w:r>
      <w:r w:rsidRPr="00CB732F">
        <w:rPr>
          <w:i/>
          <w:lang w:val="en-US" w:eastAsia="ja-JP"/>
        </w:rPr>
        <w:t>PIK3CA</w:t>
      </w:r>
      <w:r>
        <w:rPr>
          <w:lang w:val="en-US" w:eastAsia="ja-JP"/>
        </w:rPr>
        <w:t xml:space="preserve"> mutations were identified by real-time </w:t>
      </w:r>
      <w:r w:rsidR="00DC2D73">
        <w:rPr>
          <w:lang w:val="en-US" w:eastAsia="ja-JP"/>
        </w:rPr>
        <w:t>polymerase chain reaction (</w:t>
      </w:r>
      <w:r>
        <w:rPr>
          <w:lang w:val="en-US" w:eastAsia="ja-JP"/>
        </w:rPr>
        <w:t>PCR</w:t>
      </w:r>
      <w:r w:rsidR="00DC2D73">
        <w:rPr>
          <w:lang w:val="en-US" w:eastAsia="ja-JP"/>
        </w:rPr>
        <w:t>)</w:t>
      </w:r>
      <w:r>
        <w:rPr>
          <w:lang w:val="en-US" w:eastAsia="ja-JP"/>
        </w:rPr>
        <w:t xml:space="preserve"> analysis of defined mutation hotspots on exons 7, 9 and 20 using</w:t>
      </w:r>
      <w:r w:rsidRPr="007E4CB7">
        <w:rPr>
          <w:lang w:val="en-US" w:eastAsia="ja-JP"/>
        </w:rPr>
        <w:t xml:space="preserve"> </w:t>
      </w:r>
      <w:r>
        <w:rPr>
          <w:lang w:val="en-US" w:eastAsia="ja-JP"/>
        </w:rPr>
        <w:t>a</w:t>
      </w:r>
      <w:r w:rsidR="00AF6E81">
        <w:rPr>
          <w:lang w:val="en-US" w:eastAsia="ja-JP"/>
        </w:rPr>
        <w:t xml:space="preserve"> Novartis c</w:t>
      </w:r>
      <w:r>
        <w:rPr>
          <w:lang w:val="en-US" w:eastAsia="ja-JP"/>
        </w:rPr>
        <w:t xml:space="preserve">linical </w:t>
      </w:r>
      <w:r w:rsidR="00AF6E81">
        <w:rPr>
          <w:lang w:val="en-US" w:eastAsia="ja-JP"/>
        </w:rPr>
        <w:t>t</w:t>
      </w:r>
      <w:r>
        <w:rPr>
          <w:lang w:val="en-US" w:eastAsia="ja-JP"/>
        </w:rPr>
        <w:t xml:space="preserve">rial </w:t>
      </w:r>
      <w:r w:rsidR="00AF6E81">
        <w:rPr>
          <w:lang w:val="en-US" w:eastAsia="ja-JP"/>
        </w:rPr>
        <w:t>a</w:t>
      </w:r>
      <w:r>
        <w:rPr>
          <w:lang w:val="en-US" w:eastAsia="ja-JP"/>
        </w:rPr>
        <w:t>ssay</w:t>
      </w:r>
      <w:r w:rsidR="004800AB">
        <w:rPr>
          <w:lang w:val="en-US" w:eastAsia="ja-JP"/>
        </w:rPr>
        <w:t xml:space="preserve"> (CTA</w:t>
      </w:r>
      <w:r w:rsidR="00AF6E81">
        <w:rPr>
          <w:lang w:val="en-US" w:eastAsia="ja-JP"/>
        </w:rPr>
        <w:t>)</w:t>
      </w:r>
      <w:r w:rsidRPr="007E4CB7">
        <w:rPr>
          <w:lang w:val="en-US" w:eastAsia="ja-JP"/>
        </w:rPr>
        <w:t xml:space="preserve"> </w:t>
      </w:r>
      <w:r>
        <w:rPr>
          <w:lang w:val="en-US" w:eastAsia="ja-JP"/>
        </w:rPr>
        <w:t>for the first 395 patients enrolled and</w:t>
      </w:r>
      <w:r w:rsidRPr="007E4CB7">
        <w:rPr>
          <w:lang w:val="en-US" w:eastAsia="ja-JP"/>
        </w:rPr>
        <w:t xml:space="preserve"> the </w:t>
      </w:r>
      <w:proofErr w:type="spellStart"/>
      <w:r w:rsidRPr="007E4CB7">
        <w:rPr>
          <w:lang w:val="en-US" w:eastAsia="ja-JP"/>
        </w:rPr>
        <w:t>Q</w:t>
      </w:r>
      <w:r w:rsidR="00085335">
        <w:rPr>
          <w:lang w:val="en-US" w:eastAsia="ja-JP"/>
        </w:rPr>
        <w:t>iagen</w:t>
      </w:r>
      <w:proofErr w:type="spellEnd"/>
      <w:r w:rsidRPr="007E4CB7">
        <w:rPr>
          <w:lang w:val="en-US" w:eastAsia="ja-JP"/>
        </w:rPr>
        <w:t xml:space="preserve"> </w:t>
      </w:r>
      <w:proofErr w:type="spellStart"/>
      <w:r w:rsidR="00085335">
        <w:rPr>
          <w:lang w:val="en-US" w:eastAsia="ja-JP"/>
        </w:rPr>
        <w:t>therascreen</w:t>
      </w:r>
      <w:proofErr w:type="spellEnd"/>
      <w:r w:rsidR="00AF6E81">
        <w:rPr>
          <w:lang w:val="en-US" w:eastAsia="ja-JP"/>
        </w:rPr>
        <w:t xml:space="preserve"> PIK3CA RGQ PCR k</w:t>
      </w:r>
      <w:r w:rsidRPr="00056E02">
        <w:rPr>
          <w:lang w:val="en-US" w:eastAsia="ja-JP"/>
        </w:rPr>
        <w:t>it</w:t>
      </w:r>
      <w:r w:rsidR="00DC2D73">
        <w:rPr>
          <w:lang w:val="en-US" w:eastAsia="ja-JP"/>
        </w:rPr>
        <w:t>;</w:t>
      </w:r>
      <w:r w:rsidR="00DC2D73">
        <w:rPr>
          <w:rStyle w:val="FootnoteReference"/>
          <w:lang w:val="en-US" w:eastAsia="ja-JP"/>
        </w:rPr>
        <w:footnoteReference w:id="15"/>
      </w:r>
      <w:r>
        <w:rPr>
          <w:lang w:val="en-US" w:eastAsia="ja-JP"/>
        </w:rPr>
        <w:t xml:space="preserve"> for the subsequent 177 patients</w:t>
      </w:r>
      <w:r w:rsidR="00370429">
        <w:rPr>
          <w:lang w:val="en-US" w:eastAsia="ja-JP"/>
        </w:rPr>
        <w:t xml:space="preserve">. </w:t>
      </w:r>
      <w:r>
        <w:rPr>
          <w:lang w:val="en-US" w:eastAsia="ja-JP"/>
        </w:rPr>
        <w:t>The change in</w:t>
      </w:r>
      <w:r w:rsidRPr="006E2A8D">
        <w:rPr>
          <w:i/>
          <w:lang w:val="en-US" w:eastAsia="ja-JP"/>
        </w:rPr>
        <w:t xml:space="preserve"> </w:t>
      </w:r>
      <w:r w:rsidR="006E2A8D" w:rsidRPr="006E2A8D">
        <w:rPr>
          <w:i/>
          <w:lang w:val="en-US" w:eastAsia="ja-JP"/>
        </w:rPr>
        <w:t>in vitro</w:t>
      </w:r>
      <w:r w:rsidR="006E2A8D">
        <w:rPr>
          <w:lang w:val="en-US" w:eastAsia="ja-JP"/>
        </w:rPr>
        <w:t xml:space="preserve"> diagnosis (</w:t>
      </w:r>
      <w:r>
        <w:rPr>
          <w:lang w:val="en-US" w:eastAsia="ja-JP"/>
        </w:rPr>
        <w:t>IVD</w:t>
      </w:r>
      <w:r w:rsidR="006E2A8D">
        <w:rPr>
          <w:lang w:val="en-US" w:eastAsia="ja-JP"/>
        </w:rPr>
        <w:t>)</w:t>
      </w:r>
      <w:r>
        <w:rPr>
          <w:lang w:val="en-US" w:eastAsia="ja-JP"/>
        </w:rPr>
        <w:t xml:space="preserve"> </w:t>
      </w:r>
      <w:proofErr w:type="gramStart"/>
      <w:r>
        <w:rPr>
          <w:lang w:val="en-US" w:eastAsia="ja-JP"/>
        </w:rPr>
        <w:t>was made</w:t>
      </w:r>
      <w:proofErr w:type="gramEnd"/>
      <w:r>
        <w:rPr>
          <w:lang w:val="en-US" w:eastAsia="ja-JP"/>
        </w:rPr>
        <w:t xml:space="preserve"> to suppo</w:t>
      </w:r>
      <w:r w:rsidR="006E2A8D">
        <w:rPr>
          <w:lang w:val="en-US" w:eastAsia="ja-JP"/>
        </w:rPr>
        <w:t xml:space="preserve">rt the development of the </w:t>
      </w:r>
      <w:proofErr w:type="spellStart"/>
      <w:r w:rsidR="006E2A8D">
        <w:rPr>
          <w:lang w:val="en-US" w:eastAsia="ja-JP"/>
        </w:rPr>
        <w:t>Qiagen</w:t>
      </w:r>
      <w:proofErr w:type="spellEnd"/>
      <w:r>
        <w:rPr>
          <w:lang w:val="en-US" w:eastAsia="ja-JP"/>
        </w:rPr>
        <w:t xml:space="preserve"> IVD for commercial use as a companion diagnostic for </w:t>
      </w:r>
      <w:proofErr w:type="spellStart"/>
      <w:r>
        <w:rPr>
          <w:lang w:val="en-US" w:eastAsia="ja-JP"/>
        </w:rPr>
        <w:t>P</w:t>
      </w:r>
      <w:r w:rsidR="00085335">
        <w:rPr>
          <w:lang w:val="en-US" w:eastAsia="ja-JP"/>
        </w:rPr>
        <w:t>iqray</w:t>
      </w:r>
      <w:proofErr w:type="spellEnd"/>
      <w:r w:rsidR="00370429">
        <w:rPr>
          <w:lang w:val="en-US" w:eastAsia="ja-JP"/>
        </w:rPr>
        <w:t xml:space="preserve">. </w:t>
      </w:r>
      <w:r w:rsidRPr="00D5442D">
        <w:rPr>
          <w:lang w:val="en-US" w:eastAsia="ja-JP"/>
        </w:rPr>
        <w:t xml:space="preserve">The IVDs </w:t>
      </w:r>
      <w:proofErr w:type="gramStart"/>
      <w:r w:rsidRPr="00D5442D">
        <w:rPr>
          <w:lang w:val="en-US" w:eastAsia="ja-JP"/>
        </w:rPr>
        <w:t>are dis</w:t>
      </w:r>
      <w:r w:rsidR="00D5442D" w:rsidRPr="00D5442D">
        <w:rPr>
          <w:lang w:val="en-US" w:eastAsia="ja-JP"/>
        </w:rPr>
        <w:t>cussed</w:t>
      </w:r>
      <w:proofErr w:type="gramEnd"/>
      <w:r w:rsidR="00D5442D" w:rsidRPr="00D5442D">
        <w:rPr>
          <w:lang w:val="en-US" w:eastAsia="ja-JP"/>
        </w:rPr>
        <w:t xml:space="preserve"> in further detail</w:t>
      </w:r>
      <w:r w:rsidR="00D5442D" w:rsidRPr="00BD5995">
        <w:rPr>
          <w:lang w:val="en-US" w:eastAsia="ja-JP"/>
        </w:rPr>
        <w:t xml:space="preserve"> in Section ‘</w:t>
      </w:r>
      <w:r w:rsidR="00BD5995" w:rsidRPr="00BD5995">
        <w:rPr>
          <w:lang w:val="en-US" w:eastAsia="ja-JP"/>
        </w:rPr>
        <w:fldChar w:fldCharType="begin"/>
      </w:r>
      <w:r w:rsidR="00BD5995" w:rsidRPr="00BD5995">
        <w:rPr>
          <w:lang w:val="en-US" w:eastAsia="ja-JP"/>
        </w:rPr>
        <w:instrText xml:space="preserve"> REF _Ref20901984 \h  \* MERGEFORMAT </w:instrText>
      </w:r>
      <w:r w:rsidR="00BD5995" w:rsidRPr="00BD5995">
        <w:rPr>
          <w:lang w:val="en-US" w:eastAsia="ja-JP"/>
        </w:rPr>
      </w:r>
      <w:r w:rsidR="00BD5995" w:rsidRPr="00BD5995">
        <w:rPr>
          <w:lang w:val="en-US" w:eastAsia="ja-JP"/>
        </w:rPr>
        <w:fldChar w:fldCharType="separate"/>
      </w:r>
      <w:r w:rsidR="007C6ED1">
        <w:t>Companion diagnostic</w:t>
      </w:r>
      <w:r w:rsidR="00BD5995" w:rsidRPr="00BD5995">
        <w:rPr>
          <w:lang w:val="en-US" w:eastAsia="ja-JP"/>
        </w:rPr>
        <w:fldChar w:fldCharType="end"/>
      </w:r>
      <w:r w:rsidR="00BD5995" w:rsidRPr="00BD5995">
        <w:rPr>
          <w:lang w:val="en-US" w:eastAsia="ja-JP"/>
        </w:rPr>
        <w:t>’</w:t>
      </w:r>
      <w:r w:rsidR="00D5442D" w:rsidRPr="00D5442D">
        <w:rPr>
          <w:lang w:val="en-US" w:eastAsia="ja-JP"/>
        </w:rPr>
        <w:t>, below</w:t>
      </w:r>
      <w:r w:rsidRPr="00D5442D">
        <w:rPr>
          <w:lang w:val="en-US" w:eastAsia="ja-JP"/>
        </w:rPr>
        <w:t>.</w:t>
      </w:r>
    </w:p>
    <w:p w14:paraId="29C53594" w14:textId="755F5483" w:rsidR="00584817" w:rsidRDefault="00C22B8B" w:rsidP="00C22B8B">
      <w:pPr>
        <w:rPr>
          <w:lang w:val="en-US" w:eastAsia="ja-JP"/>
        </w:rPr>
      </w:pPr>
      <w:r w:rsidRPr="00CB732F">
        <w:rPr>
          <w:i/>
          <w:lang w:val="en-US" w:eastAsia="ja-JP"/>
        </w:rPr>
        <w:t>PIK3CA</w:t>
      </w:r>
      <w:r w:rsidRPr="004A6878">
        <w:rPr>
          <w:lang w:val="en-US" w:eastAsia="ja-JP"/>
        </w:rPr>
        <w:t xml:space="preserve"> non-mutant status </w:t>
      </w:r>
      <w:proofErr w:type="gramStart"/>
      <w:r w:rsidRPr="004A6878">
        <w:rPr>
          <w:lang w:val="en-US" w:eastAsia="ja-JP"/>
        </w:rPr>
        <w:t>was defined</w:t>
      </w:r>
      <w:proofErr w:type="gramEnd"/>
      <w:r w:rsidRPr="004A6878">
        <w:rPr>
          <w:lang w:val="en-US" w:eastAsia="ja-JP"/>
        </w:rPr>
        <w:t xml:space="preserve"> as all analyses for </w:t>
      </w:r>
      <w:r w:rsidRPr="00CB732F">
        <w:rPr>
          <w:i/>
          <w:lang w:val="en-US" w:eastAsia="ja-JP"/>
        </w:rPr>
        <w:t>PIK3CA</w:t>
      </w:r>
      <w:r w:rsidRPr="004A6878">
        <w:rPr>
          <w:lang w:val="en-US" w:eastAsia="ja-JP"/>
        </w:rPr>
        <w:t xml:space="preserve"> mutation </w:t>
      </w:r>
      <w:r>
        <w:rPr>
          <w:lang w:val="en-US" w:eastAsia="ja-JP"/>
        </w:rPr>
        <w:t>being</w:t>
      </w:r>
      <w:r w:rsidRPr="004A6878">
        <w:rPr>
          <w:lang w:val="en-US" w:eastAsia="ja-JP"/>
        </w:rPr>
        <w:t xml:space="preserve"> interpretable and show</w:t>
      </w:r>
      <w:r>
        <w:rPr>
          <w:lang w:val="en-US" w:eastAsia="ja-JP"/>
        </w:rPr>
        <w:t>ing</w:t>
      </w:r>
      <w:r w:rsidRPr="004A6878">
        <w:rPr>
          <w:lang w:val="en-US" w:eastAsia="ja-JP"/>
        </w:rPr>
        <w:t xml:space="preserve"> no evidence of a mutation in the </w:t>
      </w:r>
      <w:r w:rsidRPr="00CB732F">
        <w:rPr>
          <w:i/>
          <w:lang w:val="en-US" w:eastAsia="ja-JP"/>
        </w:rPr>
        <w:t>PIK3CA</w:t>
      </w:r>
      <w:r w:rsidRPr="004A6878">
        <w:rPr>
          <w:lang w:val="en-US" w:eastAsia="ja-JP"/>
        </w:rPr>
        <w:t xml:space="preserve"> gene for the defined hotspots in exons 7, 9, and 20</w:t>
      </w:r>
      <w:r w:rsidR="00370429">
        <w:rPr>
          <w:lang w:val="en-US" w:eastAsia="ja-JP"/>
        </w:rPr>
        <w:t xml:space="preserve">. </w:t>
      </w:r>
      <w:r w:rsidRPr="004A6878">
        <w:rPr>
          <w:lang w:val="en-US" w:eastAsia="ja-JP"/>
        </w:rPr>
        <w:t>If the PIK3CA analysis was not fully interpretable</w:t>
      </w:r>
      <w:r>
        <w:rPr>
          <w:lang w:val="en-US" w:eastAsia="ja-JP"/>
        </w:rPr>
        <w:t xml:space="preserve"> (</w:t>
      </w:r>
      <w:r w:rsidR="006E2A8D">
        <w:rPr>
          <w:lang w:val="en-US" w:eastAsia="ja-JP"/>
        </w:rPr>
        <w:t>that is</w:t>
      </w:r>
      <w:r w:rsidRPr="004A6878">
        <w:rPr>
          <w:lang w:val="en-US" w:eastAsia="ja-JP"/>
        </w:rPr>
        <w:t xml:space="preserve"> at </w:t>
      </w:r>
      <w:r w:rsidRPr="004A6878">
        <w:rPr>
          <w:lang w:val="en-US" w:eastAsia="ja-JP"/>
        </w:rPr>
        <w:lastRenderedPageBreak/>
        <w:t xml:space="preserve">least one hotspot provided a non-interpretable </w:t>
      </w:r>
      <w:proofErr w:type="gramStart"/>
      <w:r w:rsidRPr="004A6878">
        <w:rPr>
          <w:lang w:val="en-US" w:eastAsia="ja-JP"/>
        </w:rPr>
        <w:t>result</w:t>
      </w:r>
      <w:r>
        <w:rPr>
          <w:lang w:val="en-US" w:eastAsia="ja-JP"/>
        </w:rPr>
        <w:t>)</w:t>
      </w:r>
      <w:proofErr w:type="gramEnd"/>
      <w:r w:rsidRPr="004A6878">
        <w:rPr>
          <w:lang w:val="en-US" w:eastAsia="ja-JP"/>
        </w:rPr>
        <w:t xml:space="preserve"> the patient was not eligible for the study</w:t>
      </w:r>
      <w:r w:rsidR="00584817">
        <w:rPr>
          <w:lang w:val="en-US" w:eastAsia="ja-JP"/>
        </w:rPr>
        <w:t>.</w:t>
      </w:r>
    </w:p>
    <w:p w14:paraId="0DA538A6" w14:textId="32F3413C" w:rsidR="00C22B8B" w:rsidRDefault="00F02BBF" w:rsidP="00C22B8B">
      <w:pPr>
        <w:rPr>
          <w:lang w:val="en-US" w:eastAsia="ja-JP"/>
        </w:rPr>
      </w:pPr>
      <w:r>
        <w:rPr>
          <w:lang w:val="en-US" w:eastAsia="ja-JP"/>
        </w:rPr>
        <w:t>Five hundred and seventy two</w:t>
      </w:r>
      <w:r w:rsidR="00C22B8B">
        <w:rPr>
          <w:lang w:val="en-US" w:eastAsia="ja-JP"/>
        </w:rPr>
        <w:t xml:space="preserve"> patients </w:t>
      </w:r>
      <w:proofErr w:type="gramStart"/>
      <w:r w:rsidR="00C22B8B">
        <w:rPr>
          <w:lang w:val="en-US" w:eastAsia="ja-JP"/>
        </w:rPr>
        <w:t>were enrolled</w:t>
      </w:r>
      <w:proofErr w:type="gramEnd"/>
      <w:r w:rsidR="00C22B8B">
        <w:rPr>
          <w:lang w:val="en-US" w:eastAsia="ja-JP"/>
        </w:rPr>
        <w:t xml:space="preserve"> to two cohorts (</w:t>
      </w:r>
      <w:r w:rsidR="00C22B8B" w:rsidRPr="00CB732F">
        <w:rPr>
          <w:i/>
          <w:lang w:val="en-US" w:eastAsia="ja-JP"/>
        </w:rPr>
        <w:t>PIK3CA</w:t>
      </w:r>
      <w:r w:rsidR="00C22B8B" w:rsidRPr="0071138E">
        <w:rPr>
          <w:lang w:val="en-US" w:eastAsia="ja-JP"/>
        </w:rPr>
        <w:t xml:space="preserve"> mutant</w:t>
      </w:r>
      <w:r w:rsidR="00085335">
        <w:rPr>
          <w:lang w:val="en-US" w:eastAsia="ja-JP"/>
        </w:rPr>
        <w:t xml:space="preserve"> (</w:t>
      </w:r>
      <w:r w:rsidR="00C22B8B">
        <w:rPr>
          <w:lang w:val="en-US" w:eastAsia="ja-JP"/>
        </w:rPr>
        <w:t>n</w:t>
      </w:r>
      <w:r w:rsidR="00F338D5">
        <w:rPr>
          <w:lang w:val="en-US" w:eastAsia="ja-JP"/>
        </w:rPr>
        <w:t> </w:t>
      </w:r>
      <w:r w:rsidR="00C22B8B">
        <w:rPr>
          <w:lang w:val="en-US" w:eastAsia="ja-JP"/>
        </w:rPr>
        <w:t>=</w:t>
      </w:r>
      <w:r w:rsidR="00F338D5">
        <w:rPr>
          <w:lang w:val="en-US" w:eastAsia="ja-JP"/>
        </w:rPr>
        <w:t> </w:t>
      </w:r>
      <w:r w:rsidR="00C22B8B">
        <w:rPr>
          <w:lang w:val="en-US" w:eastAsia="ja-JP"/>
        </w:rPr>
        <w:t>341</w:t>
      </w:r>
      <w:r w:rsidR="00085335">
        <w:rPr>
          <w:lang w:val="en-US" w:eastAsia="ja-JP"/>
        </w:rPr>
        <w:t>)</w:t>
      </w:r>
      <w:r w:rsidR="00C22B8B" w:rsidRPr="0071138E">
        <w:rPr>
          <w:lang w:val="en-US" w:eastAsia="ja-JP"/>
        </w:rPr>
        <w:t xml:space="preserve"> and </w:t>
      </w:r>
      <w:r w:rsidR="00C22B8B" w:rsidRPr="00CB732F">
        <w:rPr>
          <w:i/>
          <w:lang w:val="en-US" w:eastAsia="ja-JP"/>
        </w:rPr>
        <w:t>PIK3CA</w:t>
      </w:r>
      <w:r w:rsidR="00C22B8B" w:rsidRPr="0071138E">
        <w:rPr>
          <w:lang w:val="en-US" w:eastAsia="ja-JP"/>
        </w:rPr>
        <w:t xml:space="preserve"> non</w:t>
      </w:r>
      <w:r w:rsidR="00085335">
        <w:rPr>
          <w:lang w:val="en-US" w:eastAsia="ja-JP"/>
        </w:rPr>
        <w:noBreakHyphen/>
      </w:r>
      <w:r w:rsidR="00C22B8B" w:rsidRPr="0071138E">
        <w:rPr>
          <w:lang w:val="en-US" w:eastAsia="ja-JP"/>
        </w:rPr>
        <w:t>mutant</w:t>
      </w:r>
      <w:r w:rsidR="00085335">
        <w:rPr>
          <w:lang w:val="en-US" w:eastAsia="ja-JP"/>
        </w:rPr>
        <w:t xml:space="preserve"> (n</w:t>
      </w:r>
      <w:r w:rsidR="006E2A8D">
        <w:rPr>
          <w:lang w:val="en-US" w:eastAsia="ja-JP"/>
        </w:rPr>
        <w:t xml:space="preserve"> </w:t>
      </w:r>
      <w:r w:rsidR="00085335">
        <w:rPr>
          <w:lang w:val="en-US" w:eastAsia="ja-JP"/>
        </w:rPr>
        <w:t>=</w:t>
      </w:r>
      <w:r w:rsidR="006E2A8D">
        <w:rPr>
          <w:lang w:val="en-US" w:eastAsia="ja-JP"/>
        </w:rPr>
        <w:t xml:space="preserve"> </w:t>
      </w:r>
      <w:r w:rsidR="00085335">
        <w:rPr>
          <w:lang w:val="en-US" w:eastAsia="ja-JP"/>
        </w:rPr>
        <w:t>231)</w:t>
      </w:r>
      <w:r w:rsidR="00C22B8B">
        <w:rPr>
          <w:lang w:val="en-US" w:eastAsia="ja-JP"/>
        </w:rPr>
        <w:t xml:space="preserve">) and then </w:t>
      </w:r>
      <w:proofErr w:type="spellStart"/>
      <w:r w:rsidR="00C22B8B">
        <w:rPr>
          <w:lang w:val="en-US" w:eastAsia="ja-JP"/>
        </w:rPr>
        <w:t>randomi</w:t>
      </w:r>
      <w:r w:rsidR="00347F32">
        <w:rPr>
          <w:lang w:val="en-US" w:eastAsia="ja-JP"/>
        </w:rPr>
        <w:t>s</w:t>
      </w:r>
      <w:r w:rsidR="00C22B8B">
        <w:rPr>
          <w:lang w:val="en-US" w:eastAsia="ja-JP"/>
        </w:rPr>
        <w:t>ed</w:t>
      </w:r>
      <w:proofErr w:type="spellEnd"/>
      <w:r w:rsidR="00C22B8B">
        <w:rPr>
          <w:lang w:val="en-US" w:eastAsia="ja-JP"/>
        </w:rPr>
        <w:t xml:space="preserve"> 1:1 to receive either:</w:t>
      </w:r>
    </w:p>
    <w:p w14:paraId="167AEF88" w14:textId="750C292C" w:rsidR="00C22B8B" w:rsidRPr="004205BA" w:rsidRDefault="00347F32" w:rsidP="00085335">
      <w:pPr>
        <w:pStyle w:val="ListBullet"/>
        <w:rPr>
          <w:lang w:val="en-US"/>
        </w:rPr>
      </w:pPr>
      <w:proofErr w:type="spellStart"/>
      <w:r>
        <w:rPr>
          <w:lang w:val="en-US"/>
        </w:rPr>
        <w:t>a</w:t>
      </w:r>
      <w:r w:rsidR="006E2A8D">
        <w:rPr>
          <w:lang w:val="en-US"/>
        </w:rPr>
        <w:t>lpelisib</w:t>
      </w:r>
      <w:proofErr w:type="spellEnd"/>
      <w:r w:rsidR="006E2A8D">
        <w:rPr>
          <w:lang w:val="en-US"/>
        </w:rPr>
        <w:t xml:space="preserve"> 300 mg orally QD</w:t>
      </w:r>
      <w:r w:rsidR="00C22B8B" w:rsidRPr="004205BA">
        <w:rPr>
          <w:lang w:val="en-US"/>
        </w:rPr>
        <w:t xml:space="preserve"> + </w:t>
      </w:r>
      <w:proofErr w:type="spellStart"/>
      <w:r w:rsidR="00C22B8B" w:rsidRPr="004205BA">
        <w:rPr>
          <w:lang w:val="en-US"/>
        </w:rPr>
        <w:t>fulvestrant</w:t>
      </w:r>
      <w:proofErr w:type="spellEnd"/>
      <w:r w:rsidR="00C22B8B" w:rsidRPr="004205BA">
        <w:rPr>
          <w:lang w:val="en-US"/>
        </w:rPr>
        <w:t xml:space="preserve"> 500 mg </w:t>
      </w:r>
      <w:r w:rsidR="006E2A8D">
        <w:rPr>
          <w:lang w:val="en-US"/>
        </w:rPr>
        <w:t>intramuscular (IM)</w:t>
      </w:r>
      <w:r w:rsidR="00C22B8B" w:rsidRPr="004205BA">
        <w:rPr>
          <w:lang w:val="en-US"/>
        </w:rPr>
        <w:t xml:space="preserve"> on Days 1 and 15 of Cycle 1 and on Day 1 </w:t>
      </w:r>
      <w:r w:rsidR="00C22B8B">
        <w:rPr>
          <w:lang w:val="en-US"/>
        </w:rPr>
        <w:t>(</w:t>
      </w:r>
      <w:r w:rsidR="00C22B8B" w:rsidRPr="004205BA">
        <w:rPr>
          <w:lang w:val="en-US"/>
        </w:rPr>
        <w:t>± 3 days</w:t>
      </w:r>
      <w:r w:rsidR="00C22B8B">
        <w:rPr>
          <w:lang w:val="en-US"/>
        </w:rPr>
        <w:t>)</w:t>
      </w:r>
      <w:r w:rsidR="00C22B8B" w:rsidRPr="004205BA">
        <w:rPr>
          <w:lang w:val="en-US"/>
        </w:rPr>
        <w:t xml:space="preserve"> of each subsequent cycle</w:t>
      </w:r>
      <w:r w:rsidR="00085335">
        <w:rPr>
          <w:lang w:val="en-US"/>
        </w:rPr>
        <w:t xml:space="preserve"> (28 </w:t>
      </w:r>
      <w:r w:rsidR="00C22B8B">
        <w:rPr>
          <w:lang w:val="en-US"/>
        </w:rPr>
        <w:t>day cycle)</w:t>
      </w:r>
      <w:r w:rsidR="00C22B8B" w:rsidRPr="004205BA">
        <w:rPr>
          <w:lang w:val="en-US"/>
        </w:rPr>
        <w:t>; or</w:t>
      </w:r>
    </w:p>
    <w:p w14:paraId="0543E2DE" w14:textId="31C4EE20" w:rsidR="00C22B8B" w:rsidRPr="00071AD9" w:rsidRDefault="00347F32" w:rsidP="00085335">
      <w:pPr>
        <w:pStyle w:val="ListBullet"/>
        <w:rPr>
          <w:lang w:val="en-US"/>
        </w:rPr>
      </w:pPr>
      <w:r>
        <w:rPr>
          <w:lang w:val="en-US"/>
        </w:rPr>
        <w:t>p</w:t>
      </w:r>
      <w:r w:rsidR="006E2A8D">
        <w:rPr>
          <w:lang w:val="en-US"/>
        </w:rPr>
        <w:t>lacebo orally QD</w:t>
      </w:r>
      <w:r w:rsidR="00C22B8B" w:rsidRPr="00071AD9">
        <w:rPr>
          <w:lang w:val="en-US"/>
        </w:rPr>
        <w:t xml:space="preserve"> + </w:t>
      </w:r>
      <w:proofErr w:type="spellStart"/>
      <w:r w:rsidR="00C22B8B" w:rsidRPr="00071AD9">
        <w:rPr>
          <w:lang w:val="en-US"/>
        </w:rPr>
        <w:t>fulvestrant</w:t>
      </w:r>
      <w:proofErr w:type="spellEnd"/>
      <w:r w:rsidR="00C22B8B" w:rsidRPr="00071AD9">
        <w:rPr>
          <w:lang w:val="en-US"/>
        </w:rPr>
        <w:t xml:space="preserve"> 500 mg </w:t>
      </w:r>
      <w:r w:rsidR="00C22B8B">
        <w:rPr>
          <w:lang w:val="en-US"/>
        </w:rPr>
        <w:t>IM</w:t>
      </w:r>
      <w:r w:rsidR="00C22B8B" w:rsidRPr="00071AD9">
        <w:rPr>
          <w:lang w:val="en-US"/>
        </w:rPr>
        <w:t xml:space="preserve"> on Days 1 and 15 of Cycle 1 and on Day 1 </w:t>
      </w:r>
      <w:r w:rsidR="00C22B8B">
        <w:rPr>
          <w:lang w:val="en-US"/>
        </w:rPr>
        <w:t>(</w:t>
      </w:r>
      <w:r w:rsidR="00C22B8B" w:rsidRPr="00071AD9">
        <w:rPr>
          <w:lang w:val="en-US"/>
        </w:rPr>
        <w:t>±</w:t>
      </w:r>
      <w:r w:rsidR="00085335">
        <w:rPr>
          <w:lang w:val="en-US"/>
        </w:rPr>
        <w:t> </w:t>
      </w:r>
      <w:r w:rsidR="00C22B8B" w:rsidRPr="00071AD9">
        <w:rPr>
          <w:lang w:val="en-US"/>
        </w:rPr>
        <w:t>3</w:t>
      </w:r>
      <w:r w:rsidR="00C22B8B">
        <w:rPr>
          <w:lang w:val="en-US"/>
        </w:rPr>
        <w:t xml:space="preserve"> </w:t>
      </w:r>
      <w:r w:rsidR="00C22B8B" w:rsidRPr="00071AD9">
        <w:rPr>
          <w:lang w:val="en-US"/>
        </w:rPr>
        <w:t>days</w:t>
      </w:r>
      <w:r w:rsidR="00C22B8B">
        <w:rPr>
          <w:lang w:val="en-US"/>
        </w:rPr>
        <w:t>)</w:t>
      </w:r>
      <w:r w:rsidR="00C22B8B" w:rsidRPr="00071AD9">
        <w:rPr>
          <w:lang w:val="en-US"/>
        </w:rPr>
        <w:t xml:space="preserve"> of </w:t>
      </w:r>
      <w:r w:rsidR="00C22B8B">
        <w:rPr>
          <w:lang w:val="en-US"/>
        </w:rPr>
        <w:t>each</w:t>
      </w:r>
      <w:r w:rsidR="00C22B8B" w:rsidRPr="00071AD9">
        <w:rPr>
          <w:lang w:val="en-US"/>
        </w:rPr>
        <w:t xml:space="preserve"> subsequent cycle</w:t>
      </w:r>
      <w:r w:rsidR="00085335">
        <w:rPr>
          <w:lang w:val="en-US"/>
        </w:rPr>
        <w:t xml:space="preserve"> (28 </w:t>
      </w:r>
      <w:r w:rsidR="00C22B8B">
        <w:rPr>
          <w:lang w:val="en-US"/>
        </w:rPr>
        <w:t>day cycle).</w:t>
      </w:r>
    </w:p>
    <w:p w14:paraId="4CC227DE" w14:textId="2778E5A3" w:rsidR="00085335" w:rsidRDefault="00C22B8B" w:rsidP="00085335">
      <w:pPr>
        <w:autoSpaceDE w:val="0"/>
        <w:autoSpaceDN w:val="0"/>
        <w:adjustRightInd w:val="0"/>
        <w:spacing w:before="0" w:after="0" w:line="240" w:lineRule="auto"/>
        <w:rPr>
          <w:lang w:val="en-US" w:eastAsia="ja-JP"/>
        </w:rPr>
      </w:pPr>
      <w:r>
        <w:rPr>
          <w:shd w:val="clear" w:color="auto" w:fill="FFFFFF"/>
        </w:rPr>
        <w:t xml:space="preserve">Within each cohort, randomisation was stratified according to the presence of lung and/or </w:t>
      </w:r>
      <w:r w:rsidRPr="00946B76">
        <w:rPr>
          <w:rFonts w:asciiTheme="minorHAnsi" w:hAnsiTheme="minorHAnsi"/>
          <w:shd w:val="clear" w:color="auto" w:fill="FFFFFF"/>
        </w:rPr>
        <w:t>liver metastases (yes/no) and prior treatment with CDK4/6 inhibitor (yes/no)</w:t>
      </w:r>
      <w:r w:rsidR="00370429">
        <w:rPr>
          <w:rFonts w:asciiTheme="minorHAnsi" w:hAnsiTheme="minorHAnsi"/>
          <w:shd w:val="clear" w:color="auto" w:fill="FFFFFF"/>
        </w:rPr>
        <w:t xml:space="preserve">. </w:t>
      </w:r>
      <w:r w:rsidRPr="00946B76">
        <w:rPr>
          <w:rFonts w:asciiTheme="minorHAnsi" w:eastAsiaTheme="minorHAnsi" w:hAnsiTheme="minorHAnsi" w:cs="Calibri"/>
        </w:rPr>
        <w:t xml:space="preserve">Treatment was continued until disease progression, unacceptable toxicity, </w:t>
      </w:r>
      <w:proofErr w:type="gramStart"/>
      <w:r w:rsidRPr="00946B76">
        <w:rPr>
          <w:rFonts w:asciiTheme="minorHAnsi" w:eastAsiaTheme="minorHAnsi" w:hAnsiTheme="minorHAnsi" w:cs="Calibri"/>
        </w:rPr>
        <w:t>withdrawal</w:t>
      </w:r>
      <w:proofErr w:type="gramEnd"/>
      <w:r w:rsidRPr="00946B76">
        <w:rPr>
          <w:rFonts w:asciiTheme="minorHAnsi" w:eastAsiaTheme="minorHAnsi" w:hAnsiTheme="minorHAnsi" w:cs="Calibri"/>
        </w:rPr>
        <w:t xml:space="preserve"> of consent, loss to follow-up, death, or discontinuation from the study treatment due to any other reason.</w:t>
      </w:r>
      <w:r w:rsidRPr="00946B76">
        <w:rPr>
          <w:rFonts w:asciiTheme="minorHAnsi" w:hAnsiTheme="minorHAnsi"/>
          <w:shd w:val="clear" w:color="auto" w:fill="FFFFFF"/>
        </w:rPr>
        <w:t xml:space="preserve"> Imaging (</w:t>
      </w:r>
      <w:r w:rsidR="003D5756">
        <w:rPr>
          <w:rFonts w:asciiTheme="minorHAnsi" w:hAnsiTheme="minorHAnsi"/>
          <w:shd w:val="clear" w:color="auto" w:fill="FFFFFF"/>
        </w:rPr>
        <w:t>computed tomography (</w:t>
      </w:r>
      <w:r w:rsidRPr="00946B76">
        <w:rPr>
          <w:rFonts w:asciiTheme="minorHAnsi" w:hAnsiTheme="minorHAnsi"/>
          <w:shd w:val="clear" w:color="auto" w:fill="FFFFFF"/>
        </w:rPr>
        <w:t>CT</w:t>
      </w:r>
      <w:r w:rsidR="003D5756">
        <w:rPr>
          <w:rFonts w:asciiTheme="minorHAnsi" w:hAnsiTheme="minorHAnsi"/>
          <w:shd w:val="clear" w:color="auto" w:fill="FFFFFF"/>
        </w:rPr>
        <w:t>)</w:t>
      </w:r>
      <w:r w:rsidRPr="00946B76">
        <w:rPr>
          <w:rFonts w:asciiTheme="minorHAnsi" w:hAnsiTheme="minorHAnsi"/>
          <w:shd w:val="clear" w:color="auto" w:fill="FFFFFF"/>
        </w:rPr>
        <w:t xml:space="preserve">, </w:t>
      </w:r>
      <w:r w:rsidR="003D5756">
        <w:rPr>
          <w:rFonts w:asciiTheme="minorHAnsi" w:hAnsiTheme="minorHAnsi"/>
          <w:shd w:val="clear" w:color="auto" w:fill="FFFFFF"/>
        </w:rPr>
        <w:t>magnetic resonance imaging (</w:t>
      </w:r>
      <w:r w:rsidRPr="00946B76">
        <w:rPr>
          <w:rFonts w:asciiTheme="minorHAnsi" w:hAnsiTheme="minorHAnsi"/>
          <w:shd w:val="clear" w:color="auto" w:fill="FFFFFF"/>
        </w:rPr>
        <w:t>MRI</w:t>
      </w:r>
      <w:r w:rsidR="003D5756">
        <w:rPr>
          <w:rFonts w:asciiTheme="minorHAnsi" w:hAnsiTheme="minorHAnsi"/>
          <w:shd w:val="clear" w:color="auto" w:fill="FFFFFF"/>
        </w:rPr>
        <w:t>)</w:t>
      </w:r>
      <w:r w:rsidRPr="00946B76">
        <w:rPr>
          <w:rFonts w:asciiTheme="minorHAnsi" w:hAnsiTheme="minorHAnsi"/>
          <w:shd w:val="clear" w:color="auto" w:fill="FFFFFF"/>
        </w:rPr>
        <w:t xml:space="preserve"> or both) was performed at screening within 4 weeks of</w:t>
      </w:r>
      <w:r>
        <w:rPr>
          <w:shd w:val="clear" w:color="auto" w:fill="FFFFFF"/>
        </w:rPr>
        <w:t xml:space="preserve"> randomisation, </w:t>
      </w:r>
      <w:r w:rsidRPr="0082140D">
        <w:rPr>
          <w:shd w:val="clear" w:color="auto" w:fill="FFFFFF"/>
        </w:rPr>
        <w:t>every 8 weeks for the first 18 months, and then every 12 weeks until disease progression</w:t>
      </w:r>
      <w:r>
        <w:rPr>
          <w:shd w:val="clear" w:color="auto" w:fill="FFFFFF"/>
        </w:rPr>
        <w:t>, death</w:t>
      </w:r>
      <w:r w:rsidRPr="0082140D">
        <w:rPr>
          <w:shd w:val="clear" w:color="auto" w:fill="FFFFFF"/>
        </w:rPr>
        <w:t xml:space="preserve"> or withdrawal for any other reason</w:t>
      </w:r>
      <w:r w:rsidR="00370429">
        <w:rPr>
          <w:shd w:val="clear" w:color="auto" w:fill="FFFFFF"/>
        </w:rPr>
        <w:t xml:space="preserve">. </w:t>
      </w:r>
      <w:r w:rsidRPr="0082140D">
        <w:rPr>
          <w:lang w:val="en-US"/>
        </w:rPr>
        <w:t xml:space="preserve">Treatment crossover from placebo plus </w:t>
      </w:r>
      <w:proofErr w:type="spellStart"/>
      <w:r w:rsidRPr="0082140D">
        <w:rPr>
          <w:lang w:val="en-US"/>
        </w:rPr>
        <w:t>fulvestrant</w:t>
      </w:r>
      <w:proofErr w:type="spellEnd"/>
      <w:r w:rsidRPr="0082140D">
        <w:rPr>
          <w:lang w:val="en-US"/>
        </w:rPr>
        <w:t xml:space="preserve"> to </w:t>
      </w:r>
      <w:proofErr w:type="spellStart"/>
      <w:r w:rsidRPr="0082140D">
        <w:rPr>
          <w:lang w:val="en-US"/>
        </w:rPr>
        <w:t>alpelisib</w:t>
      </w:r>
      <w:proofErr w:type="spellEnd"/>
      <w:r w:rsidRPr="0082140D">
        <w:rPr>
          <w:lang w:val="en-US"/>
        </w:rPr>
        <w:t xml:space="preserve"> plus </w:t>
      </w:r>
      <w:proofErr w:type="spellStart"/>
      <w:r w:rsidRPr="0082140D">
        <w:rPr>
          <w:lang w:val="en-US"/>
        </w:rPr>
        <w:t>fulvestrant</w:t>
      </w:r>
      <w:proofErr w:type="spellEnd"/>
      <w:r w:rsidRPr="0082140D">
        <w:rPr>
          <w:lang w:val="en-US"/>
        </w:rPr>
        <w:t xml:space="preserve"> </w:t>
      </w:r>
      <w:proofErr w:type="gramStart"/>
      <w:r w:rsidRPr="001831F5">
        <w:rPr>
          <w:lang w:val="en-US"/>
        </w:rPr>
        <w:t>was not permitted</w:t>
      </w:r>
      <w:proofErr w:type="gramEnd"/>
      <w:r w:rsidR="00370429">
        <w:rPr>
          <w:lang w:val="en-US"/>
        </w:rPr>
        <w:t xml:space="preserve">. </w:t>
      </w:r>
      <w:proofErr w:type="spellStart"/>
      <w:r w:rsidRPr="001831F5">
        <w:rPr>
          <w:lang w:val="en-US" w:eastAsia="ja-JP"/>
        </w:rPr>
        <w:t>Unblinding</w:t>
      </w:r>
      <w:proofErr w:type="spellEnd"/>
      <w:r w:rsidRPr="001831F5">
        <w:rPr>
          <w:lang w:val="en-US" w:eastAsia="ja-JP"/>
        </w:rPr>
        <w:t xml:space="preserve"> was not permitted at disease progression (except in </w:t>
      </w:r>
      <w:proofErr w:type="gramStart"/>
      <w:r w:rsidRPr="001831F5">
        <w:rPr>
          <w:lang w:val="en-US" w:eastAsia="ja-JP"/>
        </w:rPr>
        <w:t>emergency situations</w:t>
      </w:r>
      <w:proofErr w:type="gramEnd"/>
      <w:r w:rsidRPr="001831F5">
        <w:rPr>
          <w:lang w:val="en-US" w:eastAsia="ja-JP"/>
        </w:rPr>
        <w:t>).</w:t>
      </w:r>
    </w:p>
    <w:p w14:paraId="12CB7974" w14:textId="56B7303B" w:rsidR="00085335" w:rsidRPr="00085335" w:rsidRDefault="00C22B8B" w:rsidP="00085335">
      <w:pPr>
        <w:pStyle w:val="Heading5"/>
        <w:rPr>
          <w:rFonts w:eastAsia="Cambria"/>
          <w:szCs w:val="22"/>
          <w:lang w:val="en-US" w:eastAsia="ja-JP"/>
        </w:rPr>
      </w:pPr>
      <w:r w:rsidRPr="005D129A">
        <w:rPr>
          <w:shd w:val="clear" w:color="auto" w:fill="FFFFFF"/>
        </w:rPr>
        <w:t>Primary endpoint</w:t>
      </w:r>
    </w:p>
    <w:p w14:paraId="692E5FC3" w14:textId="7478A9BA" w:rsidR="00085335" w:rsidRDefault="00C22B8B" w:rsidP="00C22B8B">
      <w:pPr>
        <w:rPr>
          <w:shd w:val="clear" w:color="auto" w:fill="FFFFFF"/>
        </w:rPr>
      </w:pPr>
      <w:r>
        <w:rPr>
          <w:shd w:val="clear" w:color="auto" w:fill="FFFFFF"/>
        </w:rPr>
        <w:t>PFS based on investigator assessment using RECIST v</w:t>
      </w:r>
      <w:r w:rsidR="00347F32">
        <w:rPr>
          <w:shd w:val="clear" w:color="auto" w:fill="FFFFFF"/>
        </w:rPr>
        <w:t xml:space="preserve">ersion </w:t>
      </w:r>
      <w:r>
        <w:rPr>
          <w:shd w:val="clear" w:color="auto" w:fill="FFFFFF"/>
        </w:rPr>
        <w:t xml:space="preserve">1.1 in subjects with </w:t>
      </w:r>
      <w:r w:rsidRPr="00CB732F">
        <w:rPr>
          <w:i/>
          <w:shd w:val="clear" w:color="auto" w:fill="FFFFFF"/>
        </w:rPr>
        <w:t>PIK3CA</w:t>
      </w:r>
      <w:r>
        <w:rPr>
          <w:shd w:val="clear" w:color="auto" w:fill="FFFFFF"/>
        </w:rPr>
        <w:t xml:space="preserve"> mutant tumours</w:t>
      </w:r>
      <w:r w:rsidR="00370429">
        <w:rPr>
          <w:shd w:val="clear" w:color="auto" w:fill="FFFFFF"/>
        </w:rPr>
        <w:t>.</w:t>
      </w:r>
      <w:r w:rsidR="006E2A8D">
        <w:rPr>
          <w:rStyle w:val="FootnoteReference"/>
          <w:shd w:val="clear" w:color="auto" w:fill="FFFFFF"/>
        </w:rPr>
        <w:footnoteReference w:id="16"/>
      </w:r>
      <w:r w:rsidR="00370429">
        <w:rPr>
          <w:shd w:val="clear" w:color="auto" w:fill="FFFFFF"/>
        </w:rPr>
        <w:t xml:space="preserve"> </w:t>
      </w:r>
      <w:r>
        <w:rPr>
          <w:shd w:val="clear" w:color="auto" w:fill="FFFFFF"/>
        </w:rPr>
        <w:t xml:space="preserve">The primary endpoint was supported by an analysis of PFS by </w:t>
      </w:r>
      <w:r w:rsidR="00582830">
        <w:rPr>
          <w:shd w:val="clear" w:color="auto" w:fill="FFFFFF"/>
        </w:rPr>
        <w:t>blinded independent review committee (</w:t>
      </w:r>
      <w:r w:rsidRPr="00582830">
        <w:rPr>
          <w:shd w:val="clear" w:color="auto" w:fill="FFFFFF"/>
        </w:rPr>
        <w:t>BIRC</w:t>
      </w:r>
      <w:r w:rsidR="00582830" w:rsidRPr="00582830">
        <w:rPr>
          <w:shd w:val="clear" w:color="auto" w:fill="FFFFFF"/>
        </w:rPr>
        <w:t>)</w:t>
      </w:r>
      <w:r>
        <w:rPr>
          <w:shd w:val="clear" w:color="auto" w:fill="FFFFFF"/>
        </w:rPr>
        <w:t xml:space="preserve"> using an audit-based approach (random selection of 50% of </w:t>
      </w:r>
      <w:r w:rsidRPr="00CB732F">
        <w:rPr>
          <w:i/>
          <w:shd w:val="clear" w:color="auto" w:fill="FFFFFF"/>
        </w:rPr>
        <w:t>PIK3CA</w:t>
      </w:r>
      <w:r>
        <w:rPr>
          <w:shd w:val="clear" w:color="auto" w:fill="FFFFFF"/>
        </w:rPr>
        <w:t xml:space="preserve"> mutant cohort)</w:t>
      </w:r>
      <w:r w:rsidR="00085335">
        <w:rPr>
          <w:shd w:val="clear" w:color="auto" w:fill="FFFFFF"/>
        </w:rPr>
        <w:t>.</w:t>
      </w:r>
    </w:p>
    <w:p w14:paraId="590804E7" w14:textId="4E929A18" w:rsidR="00085335" w:rsidRPr="00085335" w:rsidRDefault="00C22B8B" w:rsidP="00085335">
      <w:pPr>
        <w:pStyle w:val="Heading5"/>
      </w:pPr>
      <w:r w:rsidRPr="00085335">
        <w:rPr>
          <w:rStyle w:val="Heading5Char"/>
          <w:b/>
          <w:bCs/>
          <w:i/>
        </w:rPr>
        <w:t>Key secondary endpoint</w:t>
      </w:r>
    </w:p>
    <w:p w14:paraId="086E0F4E" w14:textId="3D7E330B" w:rsidR="00085335" w:rsidRDefault="00C22B8B" w:rsidP="00C22B8B">
      <w:pPr>
        <w:rPr>
          <w:shd w:val="clear" w:color="auto" w:fill="FFFFFF"/>
        </w:rPr>
      </w:pPr>
      <w:r>
        <w:rPr>
          <w:shd w:val="clear" w:color="auto" w:fill="FFFFFF"/>
        </w:rPr>
        <w:t>O</w:t>
      </w:r>
      <w:r w:rsidR="00347F32">
        <w:rPr>
          <w:shd w:val="clear" w:color="auto" w:fill="FFFFFF"/>
        </w:rPr>
        <w:t>verall survival (OS)</w:t>
      </w:r>
      <w:r>
        <w:rPr>
          <w:shd w:val="clear" w:color="auto" w:fill="FFFFFF"/>
        </w:rPr>
        <w:t xml:space="preserve"> in subjects with </w:t>
      </w:r>
      <w:r w:rsidRPr="00CB732F">
        <w:rPr>
          <w:i/>
          <w:shd w:val="clear" w:color="auto" w:fill="FFFFFF"/>
        </w:rPr>
        <w:t>PIK3CA</w:t>
      </w:r>
      <w:r>
        <w:rPr>
          <w:shd w:val="clear" w:color="auto" w:fill="FFFFFF"/>
        </w:rPr>
        <w:t xml:space="preserve"> mutant tumours</w:t>
      </w:r>
      <w:r w:rsidR="00085335">
        <w:rPr>
          <w:shd w:val="clear" w:color="auto" w:fill="FFFFFF"/>
        </w:rPr>
        <w:t>.</w:t>
      </w:r>
    </w:p>
    <w:p w14:paraId="6F1AE1E8" w14:textId="2249E8A0" w:rsidR="00085335" w:rsidRPr="00085335" w:rsidRDefault="00C22B8B" w:rsidP="00085335">
      <w:pPr>
        <w:pStyle w:val="Heading5"/>
        <w:rPr>
          <w:rStyle w:val="Heading5Char"/>
          <w:rFonts w:eastAsia="Cambria"/>
          <w:b/>
          <w:bCs/>
          <w:i/>
        </w:rPr>
      </w:pPr>
      <w:r w:rsidRPr="00085335">
        <w:rPr>
          <w:rStyle w:val="Heading5Char"/>
          <w:b/>
          <w:bCs/>
          <w:i/>
        </w:rPr>
        <w:t>Other secondary efficacy endpoints</w:t>
      </w:r>
    </w:p>
    <w:p w14:paraId="2987C0A5" w14:textId="1D6052E5" w:rsidR="00584817" w:rsidRDefault="00C22B8B" w:rsidP="00C22B8B">
      <w:pPr>
        <w:rPr>
          <w:rFonts w:asciiTheme="minorHAnsi" w:eastAsiaTheme="minorHAnsi" w:hAnsiTheme="minorHAnsi" w:cs="Arial"/>
        </w:rPr>
      </w:pPr>
      <w:r w:rsidRPr="003042CE">
        <w:rPr>
          <w:rFonts w:asciiTheme="minorHAnsi" w:eastAsiaTheme="minorHAnsi" w:hAnsiTheme="minorHAnsi" w:cs="Arial"/>
        </w:rPr>
        <w:t xml:space="preserve">PFS and OS in </w:t>
      </w:r>
      <w:r>
        <w:rPr>
          <w:rFonts w:asciiTheme="minorHAnsi" w:eastAsiaTheme="minorHAnsi" w:hAnsiTheme="minorHAnsi" w:cs="Arial"/>
        </w:rPr>
        <w:t>the</w:t>
      </w:r>
      <w:r w:rsidRPr="003042CE">
        <w:rPr>
          <w:rFonts w:asciiTheme="minorHAnsi" w:eastAsiaTheme="minorHAnsi" w:hAnsiTheme="minorHAnsi" w:cs="Arial"/>
        </w:rPr>
        <w:t xml:space="preserve"> </w:t>
      </w:r>
      <w:r w:rsidRPr="00CB732F">
        <w:rPr>
          <w:rFonts w:asciiTheme="minorHAnsi" w:eastAsiaTheme="minorHAnsi" w:hAnsiTheme="minorHAnsi" w:cs="Arial"/>
          <w:i/>
        </w:rPr>
        <w:t>PIK3CA</w:t>
      </w:r>
      <w:r w:rsidRPr="003042CE">
        <w:rPr>
          <w:rFonts w:asciiTheme="minorHAnsi" w:eastAsiaTheme="minorHAnsi" w:hAnsiTheme="minorHAnsi" w:cs="Arial"/>
        </w:rPr>
        <w:t xml:space="preserve"> non-mutant </w:t>
      </w:r>
      <w:r>
        <w:rPr>
          <w:rFonts w:asciiTheme="minorHAnsi" w:eastAsiaTheme="minorHAnsi" w:hAnsiTheme="minorHAnsi" w:cs="Arial"/>
        </w:rPr>
        <w:t>cohort;</w:t>
      </w:r>
      <w:r w:rsidRPr="003042CE">
        <w:rPr>
          <w:rFonts w:asciiTheme="minorHAnsi" w:eastAsiaTheme="minorHAnsi" w:hAnsiTheme="minorHAnsi" w:cs="Arial"/>
        </w:rPr>
        <w:t xml:space="preserve"> </w:t>
      </w:r>
      <w:r w:rsidR="00595524">
        <w:rPr>
          <w:rFonts w:asciiTheme="minorHAnsi" w:eastAsiaTheme="minorHAnsi" w:hAnsiTheme="minorHAnsi" w:cs="Arial"/>
        </w:rPr>
        <w:t>overall response rate (</w:t>
      </w:r>
      <w:r w:rsidRPr="003042CE">
        <w:rPr>
          <w:rFonts w:asciiTheme="minorHAnsi" w:eastAsiaTheme="minorHAnsi" w:hAnsiTheme="minorHAnsi" w:cs="Arial"/>
        </w:rPr>
        <w:t>ORR</w:t>
      </w:r>
      <w:r w:rsidR="00595524">
        <w:rPr>
          <w:rFonts w:asciiTheme="minorHAnsi" w:eastAsiaTheme="minorHAnsi" w:hAnsiTheme="minorHAnsi" w:cs="Arial"/>
        </w:rPr>
        <w:t>)</w:t>
      </w:r>
      <w:r>
        <w:rPr>
          <w:rFonts w:asciiTheme="minorHAnsi" w:eastAsiaTheme="minorHAnsi" w:hAnsiTheme="minorHAnsi" w:cs="Arial"/>
        </w:rPr>
        <w:t>;</w:t>
      </w:r>
      <w:r w:rsidRPr="003042CE">
        <w:rPr>
          <w:rFonts w:asciiTheme="minorHAnsi" w:eastAsiaTheme="minorHAnsi" w:hAnsiTheme="minorHAnsi" w:cs="Arial"/>
        </w:rPr>
        <w:t xml:space="preserve"> </w:t>
      </w:r>
      <w:r w:rsidR="00762F70" w:rsidRPr="003042CE">
        <w:rPr>
          <w:rFonts w:asciiTheme="minorHAnsi" w:eastAsiaTheme="minorHAnsi" w:hAnsiTheme="minorHAnsi" w:cs="Arial"/>
        </w:rPr>
        <w:t>c</w:t>
      </w:r>
      <w:r w:rsidR="00762F70">
        <w:rPr>
          <w:rFonts w:asciiTheme="minorHAnsi" w:eastAsiaTheme="minorHAnsi" w:hAnsiTheme="minorHAnsi" w:cs="Arial"/>
        </w:rPr>
        <w:t xml:space="preserve">linical </w:t>
      </w:r>
      <w:r w:rsidR="00762F70" w:rsidRPr="003042CE">
        <w:rPr>
          <w:rFonts w:asciiTheme="minorHAnsi" w:eastAsiaTheme="minorHAnsi" w:hAnsiTheme="minorHAnsi" w:cs="Arial"/>
        </w:rPr>
        <w:t>b</w:t>
      </w:r>
      <w:r w:rsidR="00762F70">
        <w:rPr>
          <w:rFonts w:asciiTheme="minorHAnsi" w:eastAsiaTheme="minorHAnsi" w:hAnsiTheme="minorHAnsi" w:cs="Arial"/>
        </w:rPr>
        <w:t xml:space="preserve">enefit </w:t>
      </w:r>
      <w:r w:rsidR="00762F70" w:rsidRPr="003042CE">
        <w:rPr>
          <w:rFonts w:asciiTheme="minorHAnsi" w:eastAsiaTheme="minorHAnsi" w:hAnsiTheme="minorHAnsi" w:cs="Arial"/>
        </w:rPr>
        <w:t>r</w:t>
      </w:r>
      <w:r w:rsidR="00762F70">
        <w:rPr>
          <w:rFonts w:asciiTheme="minorHAnsi" w:eastAsiaTheme="minorHAnsi" w:hAnsiTheme="minorHAnsi" w:cs="Arial"/>
        </w:rPr>
        <w:t>ate</w:t>
      </w:r>
      <w:r>
        <w:rPr>
          <w:rFonts w:asciiTheme="minorHAnsi" w:eastAsiaTheme="minorHAnsi" w:hAnsiTheme="minorHAnsi" w:cs="Arial"/>
        </w:rPr>
        <w:t>;</w:t>
      </w:r>
      <w:r w:rsidRPr="003042CE">
        <w:rPr>
          <w:rFonts w:asciiTheme="minorHAnsi" w:eastAsiaTheme="minorHAnsi" w:hAnsiTheme="minorHAnsi" w:cs="Arial"/>
        </w:rPr>
        <w:t xml:space="preserve"> PFS in subjects where </w:t>
      </w:r>
      <w:r w:rsidRPr="00CB732F">
        <w:rPr>
          <w:rFonts w:asciiTheme="minorHAnsi" w:eastAsiaTheme="minorHAnsi" w:hAnsiTheme="minorHAnsi" w:cs="Arial"/>
          <w:i/>
        </w:rPr>
        <w:t>PIK3CA</w:t>
      </w:r>
      <w:r w:rsidRPr="003042CE">
        <w:rPr>
          <w:rFonts w:asciiTheme="minorHAnsi" w:eastAsiaTheme="minorHAnsi" w:hAnsiTheme="minorHAnsi" w:cs="Arial"/>
        </w:rPr>
        <w:t xml:space="preserve"> mutation status was determined </w:t>
      </w:r>
      <w:r w:rsidR="00F24F10">
        <w:rPr>
          <w:rFonts w:asciiTheme="minorHAnsi" w:eastAsiaTheme="minorHAnsi" w:hAnsiTheme="minorHAnsi" w:cs="Arial"/>
        </w:rPr>
        <w:t>from circulating tumour deoxyribonucleic acid</w:t>
      </w:r>
      <w:r w:rsidRPr="003042CE">
        <w:rPr>
          <w:rFonts w:asciiTheme="minorHAnsi" w:eastAsiaTheme="minorHAnsi" w:hAnsiTheme="minorHAnsi" w:cs="Arial"/>
        </w:rPr>
        <w:t xml:space="preserve"> </w:t>
      </w:r>
      <w:r>
        <w:rPr>
          <w:rFonts w:asciiTheme="minorHAnsi" w:eastAsiaTheme="minorHAnsi" w:hAnsiTheme="minorHAnsi" w:cs="Arial"/>
        </w:rPr>
        <w:t>(</w:t>
      </w:r>
      <w:proofErr w:type="spellStart"/>
      <w:r w:rsidRPr="003042CE">
        <w:rPr>
          <w:rFonts w:asciiTheme="minorHAnsi" w:eastAsiaTheme="minorHAnsi" w:hAnsiTheme="minorHAnsi" w:cs="Arial"/>
        </w:rPr>
        <w:t>ctDNA</w:t>
      </w:r>
      <w:proofErr w:type="spellEnd"/>
      <w:r>
        <w:rPr>
          <w:rFonts w:asciiTheme="minorHAnsi" w:eastAsiaTheme="minorHAnsi" w:hAnsiTheme="minorHAnsi" w:cs="Arial"/>
        </w:rPr>
        <w:t>);</w:t>
      </w:r>
      <w:r w:rsidRPr="003042CE">
        <w:rPr>
          <w:rFonts w:asciiTheme="minorHAnsi" w:eastAsiaTheme="minorHAnsi" w:hAnsiTheme="minorHAnsi" w:cs="Arial"/>
        </w:rPr>
        <w:t xml:space="preserve"> time to deterioration of ECOG performance status</w:t>
      </w:r>
      <w:r w:rsidR="00370429">
        <w:rPr>
          <w:rFonts w:asciiTheme="minorHAnsi" w:eastAsiaTheme="minorHAnsi" w:hAnsiTheme="minorHAnsi" w:cs="Arial"/>
        </w:rPr>
        <w:t xml:space="preserve">. </w:t>
      </w:r>
      <w:r w:rsidR="00085335">
        <w:rPr>
          <w:rFonts w:asciiTheme="minorHAnsi" w:eastAsiaTheme="minorHAnsi" w:hAnsiTheme="minorHAnsi" w:cs="Arial"/>
        </w:rPr>
        <w:t xml:space="preserve">Patient </w:t>
      </w:r>
      <w:r>
        <w:rPr>
          <w:rFonts w:asciiTheme="minorHAnsi" w:eastAsiaTheme="minorHAnsi" w:hAnsiTheme="minorHAnsi" w:cs="Arial"/>
        </w:rPr>
        <w:t xml:space="preserve">reported outcomes were also assessed, including </w:t>
      </w:r>
      <w:r w:rsidR="00595524">
        <w:rPr>
          <w:rFonts w:asciiTheme="minorHAnsi" w:eastAsiaTheme="minorHAnsi" w:hAnsiTheme="minorHAnsi" w:cs="Arial"/>
        </w:rPr>
        <w:t>health related quality of life (</w:t>
      </w:r>
      <w:proofErr w:type="spellStart"/>
      <w:r>
        <w:rPr>
          <w:rFonts w:asciiTheme="minorHAnsi" w:eastAsiaTheme="minorHAnsi" w:hAnsiTheme="minorHAnsi" w:cs="Arial"/>
        </w:rPr>
        <w:t>HRQoL</w:t>
      </w:r>
      <w:proofErr w:type="spellEnd"/>
      <w:r w:rsidR="00595524">
        <w:rPr>
          <w:rFonts w:asciiTheme="minorHAnsi" w:eastAsiaTheme="minorHAnsi" w:hAnsiTheme="minorHAnsi" w:cs="Arial"/>
        </w:rPr>
        <w:t>)</w:t>
      </w:r>
      <w:r>
        <w:rPr>
          <w:rFonts w:asciiTheme="minorHAnsi" w:eastAsiaTheme="minorHAnsi" w:hAnsiTheme="minorHAnsi" w:cs="Arial"/>
        </w:rPr>
        <w:t xml:space="preserve"> based on </w:t>
      </w:r>
      <w:r w:rsidR="00595524">
        <w:rPr>
          <w:rFonts w:asciiTheme="minorHAnsi" w:eastAsiaTheme="minorHAnsi" w:hAnsiTheme="minorHAnsi" w:cs="Arial"/>
        </w:rPr>
        <w:t>European Organisation for Research and Treatment of Cancer (</w:t>
      </w:r>
      <w:r w:rsidRPr="003042CE">
        <w:rPr>
          <w:rFonts w:asciiTheme="minorHAnsi" w:eastAsiaTheme="minorHAnsi" w:hAnsiTheme="minorHAnsi" w:cs="Arial"/>
        </w:rPr>
        <w:t>EORTC</w:t>
      </w:r>
      <w:r w:rsidR="00595524">
        <w:rPr>
          <w:rFonts w:asciiTheme="minorHAnsi" w:eastAsiaTheme="minorHAnsi" w:hAnsiTheme="minorHAnsi" w:cs="Arial"/>
        </w:rPr>
        <w:t>)</w:t>
      </w:r>
      <w:r w:rsidRPr="003042CE">
        <w:rPr>
          <w:rFonts w:asciiTheme="minorHAnsi" w:eastAsiaTheme="minorHAnsi" w:hAnsiTheme="minorHAnsi" w:cs="Arial"/>
        </w:rPr>
        <w:t xml:space="preserve"> </w:t>
      </w:r>
      <w:r w:rsidR="00B53101">
        <w:t>quality of life q</w:t>
      </w:r>
      <w:r w:rsidR="00595524" w:rsidRPr="00595524">
        <w:t>uestionnaire</w:t>
      </w:r>
      <w:r w:rsidR="008C0283">
        <w:t>-</w:t>
      </w:r>
      <w:r w:rsidR="008C0283">
        <w:rPr>
          <w:rFonts w:asciiTheme="minorHAnsi" w:eastAsiaTheme="minorHAnsi" w:hAnsiTheme="minorHAnsi" w:cs="Arial"/>
        </w:rPr>
        <w:t xml:space="preserve">core </w:t>
      </w:r>
      <w:r w:rsidR="004818EA">
        <w:t>30</w:t>
      </w:r>
      <w:r w:rsidR="00347F32">
        <w:t xml:space="preserve"> questions</w:t>
      </w:r>
      <w:r w:rsidR="004818EA">
        <w:t xml:space="preserve"> </w:t>
      </w:r>
      <w:r w:rsidR="00595524">
        <w:t>(</w:t>
      </w:r>
      <w:r w:rsidRPr="00595524">
        <w:t>QLQ-C30</w:t>
      </w:r>
      <w:r w:rsidR="00595524">
        <w:t>)</w:t>
      </w:r>
      <w:r w:rsidRPr="00595524">
        <w:t xml:space="preserve">, </w:t>
      </w:r>
      <w:r w:rsidR="00B53101">
        <w:t xml:space="preserve">5 level </w:t>
      </w:r>
      <w:proofErr w:type="spellStart"/>
      <w:r w:rsidR="00595524">
        <w:t>EuroQol</w:t>
      </w:r>
      <w:proofErr w:type="spellEnd"/>
      <w:r w:rsidR="00595524">
        <w:t xml:space="preserve"> five</w:t>
      </w:r>
      <w:r w:rsidR="00347F32">
        <w:noBreakHyphen/>
      </w:r>
      <w:r w:rsidR="00595524">
        <w:t>dimensional</w:t>
      </w:r>
      <w:r w:rsidR="00B53101">
        <w:t xml:space="preserve"> (</w:t>
      </w:r>
      <w:r w:rsidRPr="00595524">
        <w:t>E</w:t>
      </w:r>
      <w:r>
        <w:rPr>
          <w:rFonts w:asciiTheme="minorHAnsi" w:eastAsiaTheme="minorHAnsi" w:hAnsiTheme="minorHAnsi" w:cs="Arial"/>
        </w:rPr>
        <w:t>Q</w:t>
      </w:r>
      <w:r w:rsidR="00347F32">
        <w:rPr>
          <w:rFonts w:asciiTheme="minorHAnsi" w:eastAsiaTheme="minorHAnsi" w:hAnsiTheme="minorHAnsi" w:cs="Arial"/>
        </w:rPr>
        <w:noBreakHyphen/>
      </w:r>
      <w:r>
        <w:rPr>
          <w:rFonts w:asciiTheme="minorHAnsi" w:eastAsiaTheme="minorHAnsi" w:hAnsiTheme="minorHAnsi" w:cs="Arial"/>
        </w:rPr>
        <w:t>5D</w:t>
      </w:r>
      <w:r w:rsidR="00347F32">
        <w:rPr>
          <w:rFonts w:asciiTheme="minorHAnsi" w:eastAsiaTheme="minorHAnsi" w:hAnsiTheme="minorHAnsi" w:cs="Arial"/>
        </w:rPr>
        <w:noBreakHyphen/>
      </w:r>
      <w:r>
        <w:rPr>
          <w:rFonts w:asciiTheme="minorHAnsi" w:eastAsiaTheme="minorHAnsi" w:hAnsiTheme="minorHAnsi" w:cs="Arial"/>
        </w:rPr>
        <w:t>5L</w:t>
      </w:r>
      <w:r w:rsidR="00B53101">
        <w:rPr>
          <w:rFonts w:asciiTheme="minorHAnsi" w:eastAsiaTheme="minorHAnsi" w:hAnsiTheme="minorHAnsi" w:cs="Arial"/>
        </w:rPr>
        <w:t>)</w:t>
      </w:r>
      <w:r>
        <w:rPr>
          <w:rFonts w:asciiTheme="minorHAnsi" w:eastAsiaTheme="minorHAnsi" w:hAnsiTheme="minorHAnsi" w:cs="Arial"/>
        </w:rPr>
        <w:t xml:space="preserve"> </w:t>
      </w:r>
      <w:r w:rsidRPr="00B53101">
        <w:t xml:space="preserve">and </w:t>
      </w:r>
      <w:r w:rsidR="00347F32">
        <w:t>B</w:t>
      </w:r>
      <w:r w:rsidR="00B53101">
        <w:t xml:space="preserve">rief </w:t>
      </w:r>
      <w:r w:rsidR="00347F32">
        <w:t>P</w:t>
      </w:r>
      <w:r w:rsidR="00B53101">
        <w:t xml:space="preserve">ain </w:t>
      </w:r>
      <w:r w:rsidR="00347F32">
        <w:t>I</w:t>
      </w:r>
      <w:r w:rsidR="00B53101">
        <w:t>nventory - s</w:t>
      </w:r>
      <w:r w:rsidR="00B53101" w:rsidRPr="00B53101">
        <w:t>hor</w:t>
      </w:r>
      <w:r w:rsidR="00B53101">
        <w:t>t f</w:t>
      </w:r>
      <w:r w:rsidR="00B53101" w:rsidRPr="00B53101">
        <w:t>orm (</w:t>
      </w:r>
      <w:r w:rsidRPr="00B53101">
        <w:t>BPI-SF</w:t>
      </w:r>
      <w:r w:rsidR="00B53101">
        <w:rPr>
          <w:rFonts w:asciiTheme="minorHAnsi" w:eastAsiaTheme="minorHAnsi" w:hAnsiTheme="minorHAnsi" w:cs="Arial"/>
        </w:rPr>
        <w:t>)</w:t>
      </w:r>
      <w:r>
        <w:rPr>
          <w:rFonts w:asciiTheme="minorHAnsi" w:eastAsiaTheme="minorHAnsi" w:hAnsiTheme="minorHAnsi" w:cs="Arial"/>
        </w:rPr>
        <w:t xml:space="preserve"> questionnaires</w:t>
      </w:r>
      <w:r w:rsidR="00584817">
        <w:rPr>
          <w:rFonts w:asciiTheme="minorHAnsi" w:eastAsiaTheme="minorHAnsi" w:hAnsiTheme="minorHAnsi" w:cs="Arial"/>
        </w:rPr>
        <w:t>.</w:t>
      </w:r>
      <w:r w:rsidR="004A30B7">
        <w:rPr>
          <w:rStyle w:val="FootnoteReference"/>
          <w:rFonts w:asciiTheme="minorHAnsi" w:eastAsiaTheme="minorHAnsi" w:hAnsiTheme="minorHAnsi" w:cs="Arial"/>
        </w:rPr>
        <w:footnoteReference w:id="17"/>
      </w:r>
    </w:p>
    <w:p w14:paraId="3B41B91B" w14:textId="232A988E" w:rsidR="00085335" w:rsidRDefault="00085335" w:rsidP="00085335">
      <w:pPr>
        <w:pStyle w:val="Heading5"/>
        <w:rPr>
          <w:rFonts w:eastAsiaTheme="minorHAnsi"/>
        </w:rPr>
      </w:pPr>
      <w:r>
        <w:rPr>
          <w:rFonts w:eastAsiaTheme="minorHAnsi"/>
        </w:rPr>
        <w:t>Results</w:t>
      </w:r>
    </w:p>
    <w:p w14:paraId="57F6556D" w14:textId="1D0BB280" w:rsidR="00C22B8B" w:rsidRDefault="00C22B8B" w:rsidP="00C22B8B">
      <w:pPr>
        <w:autoSpaceDE w:val="0"/>
        <w:autoSpaceDN w:val="0"/>
        <w:adjustRightInd w:val="0"/>
        <w:spacing w:line="240" w:lineRule="auto"/>
        <w:rPr>
          <w:rFonts w:asciiTheme="minorHAnsi" w:eastAsiaTheme="minorHAnsi" w:hAnsiTheme="minorHAnsi"/>
          <w:lang w:val="en-US"/>
        </w:rPr>
      </w:pPr>
      <w:r>
        <w:rPr>
          <w:lang w:val="en-US" w:eastAsia="ja-JP"/>
        </w:rPr>
        <w:t xml:space="preserve">The treatment arms </w:t>
      </w:r>
      <w:proofErr w:type="gramStart"/>
      <w:r>
        <w:rPr>
          <w:lang w:val="en-US" w:eastAsia="ja-JP"/>
        </w:rPr>
        <w:t>were reasonably well balanced</w:t>
      </w:r>
      <w:proofErr w:type="gramEnd"/>
      <w:r>
        <w:rPr>
          <w:lang w:val="en-US" w:eastAsia="ja-JP"/>
        </w:rPr>
        <w:t xml:space="preserve"> with regard to demographic and baseline disease characteristics</w:t>
      </w:r>
      <w:r w:rsidR="00370429">
        <w:rPr>
          <w:lang w:val="en-US" w:eastAsia="ja-JP"/>
        </w:rPr>
        <w:t xml:space="preserve">. </w:t>
      </w:r>
      <w:r>
        <w:rPr>
          <w:rFonts w:asciiTheme="minorHAnsi" w:eastAsiaTheme="minorHAnsi" w:hAnsiTheme="minorHAnsi"/>
          <w:lang w:val="en-US"/>
        </w:rPr>
        <w:t xml:space="preserve">In the </w:t>
      </w:r>
      <w:r w:rsidRPr="00CB732F">
        <w:rPr>
          <w:rFonts w:asciiTheme="minorHAnsi" w:eastAsiaTheme="minorHAnsi" w:hAnsiTheme="minorHAnsi"/>
          <w:i/>
          <w:lang w:val="en-US"/>
        </w:rPr>
        <w:t>PIK3CA</w:t>
      </w:r>
      <w:r>
        <w:rPr>
          <w:rFonts w:asciiTheme="minorHAnsi" w:eastAsiaTheme="minorHAnsi" w:hAnsiTheme="minorHAnsi"/>
          <w:lang w:val="en-US"/>
        </w:rPr>
        <w:t xml:space="preserve"> mutant cohort, t</w:t>
      </w:r>
      <w:r w:rsidRPr="00812638">
        <w:rPr>
          <w:rFonts w:asciiTheme="minorHAnsi" w:eastAsiaTheme="minorHAnsi" w:hAnsiTheme="minorHAnsi"/>
          <w:lang w:val="en-US"/>
        </w:rPr>
        <w:t>he median age was 63</w:t>
      </w:r>
      <w:r w:rsidR="00762F70">
        <w:rPr>
          <w:rFonts w:asciiTheme="minorHAnsi" w:eastAsiaTheme="minorHAnsi" w:hAnsiTheme="minorHAnsi"/>
          <w:lang w:val="en-US"/>
        </w:rPr>
        <w:t> </w:t>
      </w:r>
      <w:r w:rsidRPr="00812638">
        <w:rPr>
          <w:rFonts w:asciiTheme="minorHAnsi" w:eastAsiaTheme="minorHAnsi" w:hAnsiTheme="minorHAnsi"/>
          <w:lang w:val="en-US"/>
        </w:rPr>
        <w:t xml:space="preserve">years (range: 25 to 92) and 99.7% of the </w:t>
      </w:r>
      <w:r>
        <w:rPr>
          <w:rFonts w:asciiTheme="minorHAnsi" w:eastAsiaTheme="minorHAnsi" w:hAnsiTheme="minorHAnsi"/>
          <w:lang w:val="en-US"/>
        </w:rPr>
        <w:t>patient</w:t>
      </w:r>
      <w:r w:rsidRPr="00812638">
        <w:rPr>
          <w:rFonts w:asciiTheme="minorHAnsi" w:eastAsiaTheme="minorHAnsi" w:hAnsiTheme="minorHAnsi"/>
          <w:lang w:val="en-US"/>
        </w:rPr>
        <w:t xml:space="preserve">s were female </w:t>
      </w:r>
      <w:r>
        <w:rPr>
          <w:rFonts w:asciiTheme="minorHAnsi" w:eastAsiaTheme="minorHAnsi" w:hAnsiTheme="minorHAnsi"/>
          <w:lang w:val="en-US"/>
        </w:rPr>
        <w:t>(</w:t>
      </w:r>
      <w:r w:rsidRPr="00812638">
        <w:rPr>
          <w:rFonts w:asciiTheme="minorHAnsi" w:eastAsiaTheme="minorHAnsi" w:hAnsiTheme="minorHAnsi"/>
          <w:lang w:val="en-US"/>
        </w:rPr>
        <w:t xml:space="preserve">one male </w:t>
      </w:r>
      <w:r>
        <w:rPr>
          <w:rFonts w:asciiTheme="minorHAnsi" w:eastAsiaTheme="minorHAnsi" w:hAnsiTheme="minorHAnsi"/>
          <w:lang w:val="en-US"/>
        </w:rPr>
        <w:t>patient</w:t>
      </w:r>
      <w:r w:rsidRPr="00812638">
        <w:rPr>
          <w:rFonts w:asciiTheme="minorHAnsi" w:eastAsiaTheme="minorHAnsi" w:hAnsiTheme="minorHAnsi"/>
          <w:lang w:val="en-US"/>
        </w:rPr>
        <w:t xml:space="preserve"> enrolled</w:t>
      </w:r>
      <w:r>
        <w:rPr>
          <w:rFonts w:asciiTheme="minorHAnsi" w:eastAsiaTheme="minorHAnsi" w:hAnsiTheme="minorHAnsi"/>
          <w:lang w:val="en-US"/>
        </w:rPr>
        <w:t>)</w:t>
      </w:r>
      <w:r w:rsidR="00370429">
        <w:rPr>
          <w:rFonts w:asciiTheme="minorHAnsi" w:eastAsiaTheme="minorHAnsi" w:hAnsiTheme="minorHAnsi"/>
          <w:lang w:val="en-US"/>
        </w:rPr>
        <w:t xml:space="preserve">. </w:t>
      </w:r>
      <w:r w:rsidRPr="00812638">
        <w:rPr>
          <w:rFonts w:asciiTheme="minorHAnsi" w:eastAsiaTheme="minorHAnsi" w:hAnsiTheme="minorHAnsi"/>
          <w:lang w:val="en-US"/>
        </w:rPr>
        <w:t xml:space="preserve">66.3% of </w:t>
      </w:r>
      <w:r>
        <w:rPr>
          <w:rFonts w:asciiTheme="minorHAnsi" w:eastAsiaTheme="minorHAnsi" w:hAnsiTheme="minorHAnsi"/>
          <w:lang w:val="en-US"/>
        </w:rPr>
        <w:t>patient</w:t>
      </w:r>
      <w:r w:rsidRPr="00812638">
        <w:rPr>
          <w:rFonts w:asciiTheme="minorHAnsi" w:eastAsiaTheme="minorHAnsi" w:hAnsiTheme="minorHAnsi"/>
          <w:lang w:val="en-US"/>
        </w:rPr>
        <w:t xml:space="preserve">s were White </w:t>
      </w:r>
      <w:r>
        <w:rPr>
          <w:rFonts w:asciiTheme="minorHAnsi" w:eastAsiaTheme="minorHAnsi" w:hAnsiTheme="minorHAnsi"/>
          <w:lang w:val="en-US"/>
        </w:rPr>
        <w:t>and</w:t>
      </w:r>
      <w:r w:rsidRPr="00812638">
        <w:rPr>
          <w:rFonts w:asciiTheme="minorHAnsi" w:eastAsiaTheme="minorHAnsi" w:hAnsiTheme="minorHAnsi"/>
          <w:lang w:val="en-US"/>
        </w:rPr>
        <w:t xml:space="preserve"> 21.7% </w:t>
      </w:r>
      <w:r>
        <w:rPr>
          <w:rFonts w:asciiTheme="minorHAnsi" w:eastAsiaTheme="minorHAnsi" w:hAnsiTheme="minorHAnsi"/>
          <w:lang w:val="en-US"/>
        </w:rPr>
        <w:t>were</w:t>
      </w:r>
      <w:r w:rsidRPr="00812638">
        <w:rPr>
          <w:rFonts w:asciiTheme="minorHAnsi" w:eastAsiaTheme="minorHAnsi" w:hAnsiTheme="minorHAnsi"/>
          <w:lang w:val="en-US"/>
        </w:rPr>
        <w:t xml:space="preserve"> Asian</w:t>
      </w:r>
      <w:r w:rsidR="00370429">
        <w:rPr>
          <w:rFonts w:asciiTheme="minorHAnsi" w:eastAsiaTheme="minorHAnsi" w:hAnsiTheme="minorHAnsi"/>
          <w:lang w:val="en-US"/>
        </w:rPr>
        <w:t xml:space="preserve">. </w:t>
      </w:r>
      <w:proofErr w:type="gramStart"/>
      <w:r w:rsidR="00582830">
        <w:rPr>
          <w:rFonts w:asciiTheme="minorHAnsi" w:eastAsiaTheme="minorHAnsi" w:hAnsiTheme="minorHAnsi"/>
          <w:lang w:val="en-US"/>
        </w:rPr>
        <w:t>97.7%</w:t>
      </w:r>
      <w:proofErr w:type="gramEnd"/>
      <w:r w:rsidR="00582830">
        <w:rPr>
          <w:rFonts w:asciiTheme="minorHAnsi" w:eastAsiaTheme="minorHAnsi" w:hAnsiTheme="minorHAnsi"/>
          <w:lang w:val="en-US"/>
        </w:rPr>
        <w:t xml:space="preserve"> had S</w:t>
      </w:r>
      <w:r>
        <w:rPr>
          <w:rFonts w:asciiTheme="minorHAnsi" w:eastAsiaTheme="minorHAnsi" w:hAnsiTheme="minorHAnsi"/>
          <w:lang w:val="en-US"/>
        </w:rPr>
        <w:t>tage IV di</w:t>
      </w:r>
      <w:r w:rsidR="00582830">
        <w:rPr>
          <w:rFonts w:asciiTheme="minorHAnsi" w:eastAsiaTheme="minorHAnsi" w:hAnsiTheme="minorHAnsi"/>
          <w:lang w:val="en-US"/>
        </w:rPr>
        <w:t xml:space="preserve">sease at </w:t>
      </w:r>
      <w:r w:rsidR="00762F70">
        <w:rPr>
          <w:rFonts w:asciiTheme="minorHAnsi" w:eastAsiaTheme="minorHAnsi" w:hAnsiTheme="minorHAnsi"/>
          <w:lang w:val="en-US"/>
        </w:rPr>
        <w:t>B</w:t>
      </w:r>
      <w:r w:rsidR="00582830">
        <w:rPr>
          <w:rFonts w:asciiTheme="minorHAnsi" w:eastAsiaTheme="minorHAnsi" w:hAnsiTheme="minorHAnsi"/>
          <w:lang w:val="en-US"/>
        </w:rPr>
        <w:t>aseline and 2.3% had S</w:t>
      </w:r>
      <w:r>
        <w:rPr>
          <w:rFonts w:asciiTheme="minorHAnsi" w:eastAsiaTheme="minorHAnsi" w:hAnsiTheme="minorHAnsi"/>
          <w:lang w:val="en-US"/>
        </w:rPr>
        <w:t>tage III</w:t>
      </w:r>
      <w:r w:rsidR="003F45C3">
        <w:rPr>
          <w:rFonts w:asciiTheme="minorHAnsi" w:eastAsiaTheme="minorHAnsi" w:hAnsiTheme="minorHAnsi"/>
          <w:lang w:val="en-US"/>
        </w:rPr>
        <w:t xml:space="preserve"> disease</w:t>
      </w:r>
      <w:r w:rsidR="00370429">
        <w:rPr>
          <w:rFonts w:asciiTheme="minorHAnsi" w:eastAsiaTheme="minorHAnsi" w:hAnsiTheme="minorHAnsi"/>
          <w:lang w:val="en-US"/>
        </w:rPr>
        <w:t xml:space="preserve">. </w:t>
      </w:r>
      <w:r>
        <w:rPr>
          <w:rFonts w:asciiTheme="minorHAnsi" w:eastAsiaTheme="minorHAnsi" w:hAnsiTheme="minorHAnsi"/>
          <w:lang w:val="en-US"/>
        </w:rPr>
        <w:t xml:space="preserve">Prior treatments </w:t>
      </w:r>
      <w:proofErr w:type="gramStart"/>
      <w:r>
        <w:rPr>
          <w:rFonts w:asciiTheme="minorHAnsi" w:eastAsiaTheme="minorHAnsi" w:hAnsiTheme="minorHAnsi"/>
          <w:lang w:val="en-US"/>
        </w:rPr>
        <w:t>were reasonably balanced</w:t>
      </w:r>
      <w:proofErr w:type="gramEnd"/>
      <w:r>
        <w:rPr>
          <w:rFonts w:asciiTheme="minorHAnsi" w:eastAsiaTheme="minorHAnsi" w:hAnsiTheme="minorHAnsi"/>
          <w:lang w:val="en-US"/>
        </w:rPr>
        <w:t>, but only 6% of patients had received prior treatment with a CDK4/6 inhibitor</w:t>
      </w:r>
      <w:r w:rsidR="00370429">
        <w:rPr>
          <w:rFonts w:asciiTheme="minorHAnsi" w:eastAsiaTheme="minorHAnsi" w:hAnsiTheme="minorHAnsi"/>
          <w:lang w:val="en-US"/>
        </w:rPr>
        <w:t xml:space="preserve">. </w:t>
      </w:r>
      <w:proofErr w:type="gramStart"/>
      <w:r>
        <w:rPr>
          <w:rFonts w:asciiTheme="minorHAnsi" w:eastAsiaTheme="minorHAnsi" w:hAnsiTheme="minorHAnsi"/>
          <w:lang w:val="en-US"/>
        </w:rPr>
        <w:t>13%</w:t>
      </w:r>
      <w:proofErr w:type="gramEnd"/>
      <w:r>
        <w:rPr>
          <w:rFonts w:asciiTheme="minorHAnsi" w:eastAsiaTheme="minorHAnsi" w:hAnsiTheme="minorHAnsi"/>
          <w:lang w:val="en-US"/>
        </w:rPr>
        <w:t xml:space="preserve"> were classified as having primary resistance at </w:t>
      </w:r>
      <w:r w:rsidR="00762F70">
        <w:rPr>
          <w:rFonts w:asciiTheme="minorHAnsi" w:eastAsiaTheme="minorHAnsi" w:hAnsiTheme="minorHAnsi"/>
          <w:lang w:val="en-US"/>
        </w:rPr>
        <w:t>B</w:t>
      </w:r>
      <w:r>
        <w:rPr>
          <w:rFonts w:asciiTheme="minorHAnsi" w:eastAsiaTheme="minorHAnsi" w:hAnsiTheme="minorHAnsi"/>
          <w:lang w:val="en-US"/>
        </w:rPr>
        <w:t>aseline, 72% had secondary resistance and 11% were endocrine sensitive</w:t>
      </w:r>
      <w:r w:rsidR="00370429">
        <w:rPr>
          <w:rFonts w:asciiTheme="minorHAnsi" w:eastAsiaTheme="minorHAnsi" w:hAnsiTheme="minorHAnsi"/>
          <w:lang w:val="en-US"/>
        </w:rPr>
        <w:t xml:space="preserve">. </w:t>
      </w:r>
      <w:r w:rsidRPr="003B6813">
        <w:rPr>
          <w:shd w:val="clear" w:color="auto" w:fill="FFFFFF"/>
        </w:rPr>
        <w:t xml:space="preserve">Primary resistance </w:t>
      </w:r>
      <w:proofErr w:type="gramStart"/>
      <w:r w:rsidRPr="003B6813">
        <w:rPr>
          <w:shd w:val="clear" w:color="auto" w:fill="FFFFFF"/>
        </w:rPr>
        <w:t>was defined</w:t>
      </w:r>
      <w:proofErr w:type="gramEnd"/>
      <w:r w:rsidRPr="003B6813">
        <w:rPr>
          <w:shd w:val="clear" w:color="auto" w:fill="FFFFFF"/>
        </w:rPr>
        <w:t xml:space="preserve"> as relapse within 24</w:t>
      </w:r>
      <w:r w:rsidR="00762F70">
        <w:rPr>
          <w:shd w:val="clear" w:color="auto" w:fill="FFFFFF"/>
        </w:rPr>
        <w:t> </w:t>
      </w:r>
      <w:r w:rsidRPr="003B6813">
        <w:rPr>
          <w:shd w:val="clear" w:color="auto" w:fill="FFFFFF"/>
        </w:rPr>
        <w:t>months whil</w:t>
      </w:r>
      <w:r>
        <w:rPr>
          <w:shd w:val="clear" w:color="auto" w:fill="FFFFFF"/>
        </w:rPr>
        <w:t>st on</w:t>
      </w:r>
      <w:r w:rsidRPr="003B6813">
        <w:rPr>
          <w:shd w:val="clear" w:color="auto" w:fill="FFFFFF"/>
        </w:rPr>
        <w:t xml:space="preserve"> adjuvant </w:t>
      </w:r>
      <w:r>
        <w:rPr>
          <w:shd w:val="clear" w:color="auto" w:fill="FFFFFF"/>
        </w:rPr>
        <w:t>ET</w:t>
      </w:r>
      <w:r w:rsidRPr="003B6813">
        <w:rPr>
          <w:shd w:val="clear" w:color="auto" w:fill="FFFFFF"/>
        </w:rPr>
        <w:t xml:space="preserve"> or pro</w:t>
      </w:r>
      <w:r>
        <w:rPr>
          <w:shd w:val="clear" w:color="auto" w:fill="FFFFFF"/>
        </w:rPr>
        <w:t>gression within 6 months whilst on ET</w:t>
      </w:r>
      <w:r w:rsidRPr="003B6813">
        <w:rPr>
          <w:shd w:val="clear" w:color="auto" w:fill="FFFFFF"/>
        </w:rPr>
        <w:t xml:space="preserve"> for advanced disease</w:t>
      </w:r>
      <w:r w:rsidR="00370429">
        <w:rPr>
          <w:shd w:val="clear" w:color="auto" w:fill="FFFFFF"/>
        </w:rPr>
        <w:t xml:space="preserve">. </w:t>
      </w:r>
      <w:r w:rsidRPr="003B6813">
        <w:rPr>
          <w:shd w:val="clear" w:color="auto" w:fill="FFFFFF"/>
        </w:rPr>
        <w:t xml:space="preserve">Secondary resistance </w:t>
      </w:r>
      <w:proofErr w:type="gramStart"/>
      <w:r w:rsidRPr="003B6813">
        <w:rPr>
          <w:shd w:val="clear" w:color="auto" w:fill="FFFFFF"/>
        </w:rPr>
        <w:t>was defined</w:t>
      </w:r>
      <w:proofErr w:type="gramEnd"/>
      <w:r w:rsidRPr="003B6813">
        <w:rPr>
          <w:shd w:val="clear" w:color="auto" w:fill="FFFFFF"/>
        </w:rPr>
        <w:t xml:space="preserve"> as relapse after at least 24 months o</w:t>
      </w:r>
      <w:r>
        <w:rPr>
          <w:shd w:val="clear" w:color="auto" w:fill="FFFFFF"/>
        </w:rPr>
        <w:t>n</w:t>
      </w:r>
      <w:r w:rsidRPr="003B6813">
        <w:rPr>
          <w:shd w:val="clear" w:color="auto" w:fill="FFFFFF"/>
        </w:rPr>
        <w:t xml:space="preserve"> </w:t>
      </w:r>
      <w:r w:rsidRPr="003B6813">
        <w:rPr>
          <w:shd w:val="clear" w:color="auto" w:fill="FFFFFF"/>
        </w:rPr>
        <w:lastRenderedPageBreak/>
        <w:t xml:space="preserve">adjuvant </w:t>
      </w:r>
      <w:r>
        <w:rPr>
          <w:shd w:val="clear" w:color="auto" w:fill="FFFFFF"/>
        </w:rPr>
        <w:t>ET</w:t>
      </w:r>
      <w:r w:rsidRPr="003B6813">
        <w:rPr>
          <w:shd w:val="clear" w:color="auto" w:fill="FFFFFF"/>
        </w:rPr>
        <w:t xml:space="preserve">, relapse within 12 months after ending adjuvant </w:t>
      </w:r>
      <w:r>
        <w:rPr>
          <w:shd w:val="clear" w:color="auto" w:fill="FFFFFF"/>
        </w:rPr>
        <w:t>ET</w:t>
      </w:r>
      <w:r w:rsidRPr="003B6813">
        <w:rPr>
          <w:shd w:val="clear" w:color="auto" w:fill="FFFFFF"/>
        </w:rPr>
        <w:t xml:space="preserve">, or progression after at least 6 months of </w:t>
      </w:r>
      <w:r>
        <w:rPr>
          <w:shd w:val="clear" w:color="auto" w:fill="FFFFFF"/>
        </w:rPr>
        <w:t>ET</w:t>
      </w:r>
      <w:r w:rsidRPr="003B6813">
        <w:rPr>
          <w:shd w:val="clear" w:color="auto" w:fill="FFFFFF"/>
        </w:rPr>
        <w:t xml:space="preserve"> for advanced disease</w:t>
      </w:r>
      <w:r>
        <w:rPr>
          <w:shd w:val="clear" w:color="auto" w:fill="FFFFFF"/>
        </w:rPr>
        <w:t>.</w:t>
      </w:r>
    </w:p>
    <w:p w14:paraId="20382E7C" w14:textId="6E514521" w:rsidR="00584817" w:rsidRDefault="00C22B8B" w:rsidP="00C22B8B">
      <w:pPr>
        <w:autoSpaceDE w:val="0"/>
        <w:autoSpaceDN w:val="0"/>
        <w:adjustRightInd w:val="0"/>
        <w:spacing w:line="240" w:lineRule="auto"/>
        <w:rPr>
          <w:rFonts w:asciiTheme="minorHAnsi" w:eastAsiaTheme="minorHAnsi" w:hAnsiTheme="minorHAnsi"/>
          <w:lang w:val="en-US"/>
        </w:rPr>
      </w:pPr>
      <w:r>
        <w:rPr>
          <w:rFonts w:asciiTheme="minorHAnsi" w:eastAsiaTheme="minorHAnsi" w:hAnsiTheme="minorHAnsi"/>
          <w:lang w:val="en-US"/>
        </w:rPr>
        <w:t xml:space="preserve">All efficacy analyses </w:t>
      </w:r>
      <w:proofErr w:type="gramStart"/>
      <w:r>
        <w:rPr>
          <w:rFonts w:asciiTheme="minorHAnsi" w:eastAsiaTheme="minorHAnsi" w:hAnsiTheme="minorHAnsi"/>
          <w:lang w:val="en-US"/>
        </w:rPr>
        <w:t>were performed</w:t>
      </w:r>
      <w:proofErr w:type="gramEnd"/>
      <w:r>
        <w:rPr>
          <w:rFonts w:asciiTheme="minorHAnsi" w:eastAsiaTheme="minorHAnsi" w:hAnsiTheme="minorHAnsi"/>
          <w:lang w:val="en-US"/>
        </w:rPr>
        <w:t xml:space="preserve"> on the </w:t>
      </w:r>
      <w:r w:rsidR="00582830">
        <w:rPr>
          <w:rFonts w:asciiTheme="minorHAnsi" w:eastAsiaTheme="minorHAnsi" w:hAnsiTheme="minorHAnsi"/>
          <w:lang w:val="en-US"/>
        </w:rPr>
        <w:t>full analysis set</w:t>
      </w:r>
      <w:r w:rsidR="004818EA">
        <w:rPr>
          <w:rFonts w:asciiTheme="minorHAnsi" w:eastAsiaTheme="minorHAnsi" w:hAnsiTheme="minorHAnsi"/>
          <w:lang w:val="en-US"/>
        </w:rPr>
        <w:t xml:space="preserve"> (FAS)</w:t>
      </w:r>
      <w:r w:rsidR="00582830">
        <w:rPr>
          <w:rFonts w:asciiTheme="minorHAnsi" w:eastAsiaTheme="minorHAnsi" w:hAnsiTheme="minorHAnsi"/>
          <w:lang w:val="en-US"/>
        </w:rPr>
        <w:t xml:space="preserve"> </w:t>
      </w:r>
      <w:r>
        <w:rPr>
          <w:rFonts w:asciiTheme="minorHAnsi" w:eastAsiaTheme="minorHAnsi" w:hAnsiTheme="minorHAnsi"/>
          <w:lang w:val="en-US"/>
        </w:rPr>
        <w:t>(all</w:t>
      </w:r>
      <w:r w:rsidRPr="00A9127C">
        <w:rPr>
          <w:rFonts w:asciiTheme="minorHAnsi" w:eastAsiaTheme="minorHAnsi" w:hAnsiTheme="minorHAnsi"/>
        </w:rPr>
        <w:t xml:space="preserve"> randomised</w:t>
      </w:r>
      <w:r>
        <w:rPr>
          <w:rFonts w:asciiTheme="minorHAnsi" w:eastAsiaTheme="minorHAnsi" w:hAnsiTheme="minorHAnsi"/>
          <w:lang w:val="en-US"/>
        </w:rPr>
        <w:t xml:space="preserve"> subjects)</w:t>
      </w:r>
      <w:r w:rsidR="00370429">
        <w:rPr>
          <w:rFonts w:asciiTheme="minorHAnsi" w:eastAsiaTheme="minorHAnsi" w:hAnsiTheme="minorHAnsi"/>
          <w:lang w:val="en-US"/>
        </w:rPr>
        <w:t xml:space="preserve">. </w:t>
      </w:r>
      <w:r>
        <w:rPr>
          <w:rFonts w:asciiTheme="minorHAnsi" w:eastAsiaTheme="minorHAnsi" w:hAnsiTheme="minorHAnsi"/>
          <w:lang w:val="en-US"/>
        </w:rPr>
        <w:t>Planned analyses of PFS included a futility interim analysis after approximately 97 PFS events, an interim analysis after approximately 185 PFS events, and a final analysis after approximately 243 PFS events</w:t>
      </w:r>
      <w:r w:rsidR="00370429">
        <w:rPr>
          <w:rFonts w:asciiTheme="minorHAnsi" w:eastAsiaTheme="minorHAnsi" w:hAnsiTheme="minorHAnsi"/>
          <w:lang w:val="en-US"/>
        </w:rPr>
        <w:t xml:space="preserve">. </w:t>
      </w:r>
      <w:r>
        <w:rPr>
          <w:rFonts w:asciiTheme="minorHAnsi" w:eastAsiaTheme="minorHAnsi" w:hAnsiTheme="minorHAnsi"/>
          <w:lang w:val="en-US"/>
        </w:rPr>
        <w:t>This submission presents the final PFS analysis</w:t>
      </w:r>
      <w:r w:rsidR="00370429">
        <w:rPr>
          <w:rFonts w:asciiTheme="minorHAnsi" w:eastAsiaTheme="minorHAnsi" w:hAnsiTheme="minorHAnsi"/>
          <w:lang w:val="en-US"/>
        </w:rPr>
        <w:t xml:space="preserve">. </w:t>
      </w:r>
      <w:r>
        <w:rPr>
          <w:rFonts w:asciiTheme="minorHAnsi" w:eastAsiaTheme="minorHAnsi" w:hAnsiTheme="minorHAnsi"/>
          <w:lang w:val="en-US"/>
        </w:rPr>
        <w:t xml:space="preserve">The interim </w:t>
      </w:r>
      <w:r w:rsidR="0088006C">
        <w:rPr>
          <w:rFonts w:asciiTheme="minorHAnsi" w:eastAsiaTheme="minorHAnsi" w:hAnsiTheme="minorHAnsi"/>
          <w:lang w:val="en-US"/>
        </w:rPr>
        <w:t xml:space="preserve">clinical study report </w:t>
      </w:r>
      <w:r>
        <w:rPr>
          <w:rFonts w:asciiTheme="minorHAnsi" w:eastAsiaTheme="minorHAnsi" w:hAnsiTheme="minorHAnsi"/>
          <w:lang w:val="en-US"/>
        </w:rPr>
        <w:t>dated 6 Nov</w:t>
      </w:r>
      <w:r w:rsidR="004818EA">
        <w:rPr>
          <w:rFonts w:asciiTheme="minorHAnsi" w:eastAsiaTheme="minorHAnsi" w:hAnsiTheme="minorHAnsi"/>
          <w:lang w:val="en-US"/>
        </w:rPr>
        <w:t>ember</w:t>
      </w:r>
      <w:r>
        <w:rPr>
          <w:rFonts w:asciiTheme="minorHAnsi" w:eastAsiaTheme="minorHAnsi" w:hAnsiTheme="minorHAnsi"/>
          <w:lang w:val="en-US"/>
        </w:rPr>
        <w:t xml:space="preserve"> 2018 has a data cut-off date of 12 June 2018</w:t>
      </w:r>
      <w:r w:rsidRPr="006F2F22">
        <w:rPr>
          <w:rFonts w:asciiTheme="minorHAnsi" w:eastAsiaTheme="minorHAnsi" w:hAnsiTheme="minorHAnsi"/>
          <w:lang w:val="en-US"/>
        </w:rPr>
        <w:t xml:space="preserve"> </w:t>
      </w:r>
      <w:r>
        <w:rPr>
          <w:rFonts w:asciiTheme="minorHAnsi" w:eastAsiaTheme="minorHAnsi" w:hAnsiTheme="minorHAnsi"/>
          <w:lang w:val="en-US"/>
        </w:rPr>
        <w:t xml:space="preserve">for the </w:t>
      </w:r>
      <w:r w:rsidRPr="006F2F22">
        <w:rPr>
          <w:rFonts w:asciiTheme="minorHAnsi" w:eastAsiaTheme="minorHAnsi" w:hAnsiTheme="minorHAnsi"/>
          <w:lang w:val="en-US"/>
        </w:rPr>
        <w:t xml:space="preserve">efficacy analysis in </w:t>
      </w:r>
      <w:r>
        <w:rPr>
          <w:rFonts w:asciiTheme="minorHAnsi" w:eastAsiaTheme="minorHAnsi" w:hAnsiTheme="minorHAnsi"/>
          <w:lang w:val="en-US"/>
        </w:rPr>
        <w:t xml:space="preserve">the </w:t>
      </w:r>
      <w:r w:rsidRPr="00CB732F">
        <w:rPr>
          <w:rFonts w:asciiTheme="minorHAnsi" w:eastAsiaTheme="minorHAnsi" w:hAnsiTheme="minorHAnsi"/>
          <w:i/>
          <w:lang w:val="en-US"/>
        </w:rPr>
        <w:t>PIK3CA</w:t>
      </w:r>
      <w:r>
        <w:rPr>
          <w:rFonts w:asciiTheme="minorHAnsi" w:eastAsiaTheme="minorHAnsi" w:hAnsiTheme="minorHAnsi"/>
          <w:lang w:val="en-US"/>
        </w:rPr>
        <w:t xml:space="preserve"> </w:t>
      </w:r>
      <w:r w:rsidRPr="006F2F22">
        <w:rPr>
          <w:rFonts w:asciiTheme="minorHAnsi" w:eastAsiaTheme="minorHAnsi" w:hAnsiTheme="minorHAnsi"/>
          <w:lang w:val="en-US"/>
        </w:rPr>
        <w:t>mutant cohort</w:t>
      </w:r>
      <w:r>
        <w:rPr>
          <w:rFonts w:asciiTheme="minorHAnsi" w:eastAsiaTheme="minorHAnsi" w:hAnsiTheme="minorHAnsi"/>
          <w:lang w:val="en-US"/>
        </w:rPr>
        <w:t xml:space="preserve"> </w:t>
      </w:r>
      <w:r w:rsidRPr="006F2F22">
        <w:rPr>
          <w:rFonts w:asciiTheme="minorHAnsi" w:eastAsiaTheme="minorHAnsi" w:hAnsiTheme="minorHAnsi"/>
          <w:lang w:val="en-US"/>
        </w:rPr>
        <w:t>and 23</w:t>
      </w:r>
      <w:r>
        <w:rPr>
          <w:rFonts w:asciiTheme="minorHAnsi" w:eastAsiaTheme="minorHAnsi" w:hAnsiTheme="minorHAnsi"/>
          <w:lang w:val="en-US"/>
        </w:rPr>
        <w:t xml:space="preserve"> Dec</w:t>
      </w:r>
      <w:r w:rsidR="004818EA">
        <w:rPr>
          <w:rFonts w:asciiTheme="minorHAnsi" w:eastAsiaTheme="minorHAnsi" w:hAnsiTheme="minorHAnsi"/>
          <w:lang w:val="en-US"/>
        </w:rPr>
        <w:t>ember</w:t>
      </w:r>
      <w:r>
        <w:rPr>
          <w:rFonts w:asciiTheme="minorHAnsi" w:eastAsiaTheme="minorHAnsi" w:hAnsiTheme="minorHAnsi"/>
          <w:lang w:val="en-US"/>
        </w:rPr>
        <w:t xml:space="preserve"> </w:t>
      </w:r>
      <w:r w:rsidRPr="006F2F22">
        <w:rPr>
          <w:rFonts w:asciiTheme="minorHAnsi" w:eastAsiaTheme="minorHAnsi" w:hAnsiTheme="minorHAnsi"/>
          <w:lang w:val="en-US"/>
        </w:rPr>
        <w:t>2016</w:t>
      </w:r>
      <w:r>
        <w:rPr>
          <w:rFonts w:asciiTheme="minorHAnsi" w:eastAsiaTheme="minorHAnsi" w:hAnsiTheme="minorHAnsi"/>
          <w:lang w:val="en-US"/>
        </w:rPr>
        <w:t xml:space="preserve"> for the </w:t>
      </w:r>
      <w:r w:rsidRPr="00CB732F">
        <w:rPr>
          <w:rFonts w:asciiTheme="minorHAnsi" w:eastAsiaTheme="minorHAnsi" w:hAnsiTheme="minorHAnsi"/>
          <w:i/>
          <w:lang w:val="en-US"/>
        </w:rPr>
        <w:t>PIK3CA</w:t>
      </w:r>
      <w:r w:rsidRPr="006F2F22">
        <w:rPr>
          <w:rFonts w:asciiTheme="minorHAnsi" w:eastAsiaTheme="minorHAnsi" w:hAnsiTheme="minorHAnsi"/>
          <w:lang w:val="en-US"/>
        </w:rPr>
        <w:t xml:space="preserve"> non</w:t>
      </w:r>
      <w:r w:rsidR="00BC6EC4">
        <w:rPr>
          <w:rFonts w:asciiTheme="minorHAnsi" w:eastAsiaTheme="minorHAnsi" w:hAnsiTheme="minorHAnsi"/>
          <w:lang w:val="en-US"/>
        </w:rPr>
        <w:noBreakHyphen/>
      </w:r>
      <w:r w:rsidRPr="006F2F22">
        <w:rPr>
          <w:rFonts w:asciiTheme="minorHAnsi" w:eastAsiaTheme="minorHAnsi" w:hAnsiTheme="minorHAnsi"/>
          <w:lang w:val="en-US"/>
        </w:rPr>
        <w:t>mutant cohort</w:t>
      </w:r>
      <w:r w:rsidR="00370429">
        <w:rPr>
          <w:rFonts w:asciiTheme="minorHAnsi" w:eastAsiaTheme="minorHAnsi" w:hAnsiTheme="minorHAnsi"/>
          <w:lang w:val="en-US"/>
        </w:rPr>
        <w:t xml:space="preserve">. </w:t>
      </w:r>
      <w:r>
        <w:rPr>
          <w:rFonts w:asciiTheme="minorHAnsi" w:eastAsiaTheme="minorHAnsi" w:hAnsiTheme="minorHAnsi"/>
          <w:lang w:val="en-US"/>
        </w:rPr>
        <w:t>Updated data for the non-mutant cohort (to 12 Jun</w:t>
      </w:r>
      <w:r w:rsidR="00582830">
        <w:rPr>
          <w:rFonts w:asciiTheme="minorHAnsi" w:eastAsiaTheme="minorHAnsi" w:hAnsiTheme="minorHAnsi"/>
          <w:lang w:val="en-US"/>
        </w:rPr>
        <w:t xml:space="preserve">e 2018) </w:t>
      </w:r>
      <w:proofErr w:type="gramStart"/>
      <w:r w:rsidR="00582830">
        <w:rPr>
          <w:rFonts w:asciiTheme="minorHAnsi" w:eastAsiaTheme="minorHAnsi" w:hAnsiTheme="minorHAnsi"/>
          <w:lang w:val="en-US"/>
        </w:rPr>
        <w:t xml:space="preserve">were </w:t>
      </w:r>
      <w:r w:rsidR="00582830" w:rsidRPr="00D5442D">
        <w:rPr>
          <w:rFonts w:asciiTheme="minorHAnsi" w:eastAsiaTheme="minorHAnsi" w:hAnsiTheme="minorHAnsi"/>
          <w:lang w:val="en-US"/>
        </w:rPr>
        <w:t>provided</w:t>
      </w:r>
      <w:proofErr w:type="gramEnd"/>
      <w:r w:rsidR="00582830" w:rsidRPr="00D5442D">
        <w:rPr>
          <w:rFonts w:asciiTheme="minorHAnsi" w:eastAsiaTheme="minorHAnsi" w:hAnsiTheme="minorHAnsi"/>
          <w:lang w:val="en-US"/>
        </w:rPr>
        <w:t xml:space="preserve"> with the </w:t>
      </w:r>
      <w:r w:rsidRPr="00D5442D">
        <w:rPr>
          <w:rFonts w:asciiTheme="minorHAnsi" w:eastAsiaTheme="minorHAnsi" w:hAnsiTheme="minorHAnsi"/>
          <w:lang w:val="en-US"/>
        </w:rPr>
        <w:t>response</w:t>
      </w:r>
      <w:r w:rsidR="00BC6EC4">
        <w:rPr>
          <w:rFonts w:asciiTheme="minorHAnsi" w:eastAsiaTheme="minorHAnsi" w:hAnsiTheme="minorHAnsi"/>
          <w:lang w:val="en-US"/>
        </w:rPr>
        <w:t xml:space="preserve"> to TGA questions</w:t>
      </w:r>
      <w:r w:rsidRPr="00D5442D">
        <w:rPr>
          <w:rFonts w:asciiTheme="minorHAnsi" w:eastAsiaTheme="minorHAnsi" w:hAnsiTheme="minorHAnsi"/>
          <w:lang w:val="en-US"/>
        </w:rPr>
        <w:t xml:space="preserve"> to support the evaluation of the clinical utility of </w:t>
      </w:r>
      <w:r w:rsidRPr="00CB732F">
        <w:rPr>
          <w:rFonts w:asciiTheme="minorHAnsi" w:eastAsiaTheme="minorHAnsi" w:hAnsiTheme="minorHAnsi"/>
          <w:i/>
          <w:lang w:val="en-US"/>
        </w:rPr>
        <w:t>PIK3CA</w:t>
      </w:r>
      <w:r w:rsidRPr="00D5442D">
        <w:rPr>
          <w:rFonts w:asciiTheme="minorHAnsi" w:eastAsiaTheme="minorHAnsi" w:hAnsiTheme="minorHAnsi"/>
          <w:lang w:val="en-US"/>
        </w:rPr>
        <w:t xml:space="preserve"> mutation</w:t>
      </w:r>
      <w:r>
        <w:rPr>
          <w:rFonts w:asciiTheme="minorHAnsi" w:eastAsiaTheme="minorHAnsi" w:hAnsiTheme="minorHAnsi"/>
          <w:lang w:val="en-US"/>
        </w:rPr>
        <w:t xml:space="preserve"> testing</w:t>
      </w:r>
      <w:r w:rsidR="00584817">
        <w:rPr>
          <w:rFonts w:asciiTheme="minorHAnsi" w:eastAsiaTheme="minorHAnsi" w:hAnsiTheme="minorHAnsi"/>
          <w:lang w:val="en-US"/>
        </w:rPr>
        <w:t>.</w:t>
      </w:r>
    </w:p>
    <w:p w14:paraId="265C1680" w14:textId="6A1AD6A1" w:rsidR="00C22B8B" w:rsidRDefault="00C22B8B" w:rsidP="00C22B8B">
      <w:pPr>
        <w:autoSpaceDE w:val="0"/>
        <w:autoSpaceDN w:val="0"/>
        <w:adjustRightInd w:val="0"/>
        <w:spacing w:line="240" w:lineRule="auto"/>
        <w:rPr>
          <w:rFonts w:asciiTheme="minorHAnsi" w:eastAsiaTheme="minorHAnsi" w:hAnsiTheme="minorHAnsi"/>
          <w:lang w:val="en-US"/>
        </w:rPr>
      </w:pPr>
      <w:r>
        <w:rPr>
          <w:lang w:val="en-US" w:eastAsia="ja-JP"/>
        </w:rPr>
        <w:t>The majority of patients i</w:t>
      </w:r>
      <w:r w:rsidRPr="00655DD7">
        <w:rPr>
          <w:lang w:val="en-US" w:eastAsia="ja-JP"/>
        </w:rPr>
        <w:t xml:space="preserve">n the </w:t>
      </w:r>
      <w:r w:rsidRPr="00CB732F">
        <w:rPr>
          <w:i/>
          <w:lang w:val="en-US" w:eastAsia="ja-JP"/>
        </w:rPr>
        <w:t>PIK3CA</w:t>
      </w:r>
      <w:r w:rsidRPr="00655DD7">
        <w:rPr>
          <w:lang w:val="en-US" w:eastAsia="ja-JP"/>
        </w:rPr>
        <w:t xml:space="preserve"> mutant cohort</w:t>
      </w:r>
      <w:r>
        <w:rPr>
          <w:lang w:val="en-US" w:eastAsia="ja-JP"/>
        </w:rPr>
        <w:t xml:space="preserve"> had discontinued study treatment as at 12 June 2018 (</w:t>
      </w:r>
      <w:r w:rsidRPr="00655DD7">
        <w:rPr>
          <w:lang w:val="en-US" w:eastAsia="ja-JP"/>
        </w:rPr>
        <w:t>75.1% in</w:t>
      </w:r>
      <w:r>
        <w:rPr>
          <w:lang w:val="en-US" w:eastAsia="ja-JP"/>
        </w:rPr>
        <w:t xml:space="preserve"> </w:t>
      </w:r>
      <w:r w:rsidRPr="00655DD7">
        <w:rPr>
          <w:lang w:val="en-US" w:eastAsia="ja-JP"/>
        </w:rPr>
        <w:t xml:space="preserve">the </w:t>
      </w:r>
      <w:proofErr w:type="spellStart"/>
      <w:r w:rsidRPr="00655DD7">
        <w:rPr>
          <w:lang w:val="en-US" w:eastAsia="ja-JP"/>
        </w:rPr>
        <w:t>alpelisib</w:t>
      </w:r>
      <w:proofErr w:type="spellEnd"/>
      <w:r>
        <w:rPr>
          <w:lang w:val="en-US" w:eastAsia="ja-JP"/>
        </w:rPr>
        <w:t xml:space="preserve"> plus </w:t>
      </w:r>
      <w:proofErr w:type="spellStart"/>
      <w:r>
        <w:rPr>
          <w:lang w:val="en-US" w:eastAsia="ja-JP"/>
        </w:rPr>
        <w:t>f</w:t>
      </w:r>
      <w:r w:rsidRPr="00655DD7">
        <w:rPr>
          <w:lang w:val="en-US" w:eastAsia="ja-JP"/>
        </w:rPr>
        <w:t>ulvestrant</w:t>
      </w:r>
      <w:proofErr w:type="spellEnd"/>
      <w:r w:rsidRPr="00655DD7">
        <w:rPr>
          <w:lang w:val="en-US" w:eastAsia="ja-JP"/>
        </w:rPr>
        <w:t xml:space="preserve"> arm</w:t>
      </w:r>
      <w:r>
        <w:rPr>
          <w:lang w:val="en-US" w:eastAsia="ja-JP"/>
        </w:rPr>
        <w:t>,</w:t>
      </w:r>
      <w:r w:rsidRPr="00655DD7">
        <w:rPr>
          <w:lang w:val="en-US" w:eastAsia="ja-JP"/>
        </w:rPr>
        <w:t xml:space="preserve"> 80.8%</w:t>
      </w:r>
      <w:r>
        <w:rPr>
          <w:lang w:val="en-US" w:eastAsia="ja-JP"/>
        </w:rPr>
        <w:t xml:space="preserve"> </w:t>
      </w:r>
      <w:r w:rsidRPr="00655DD7">
        <w:rPr>
          <w:lang w:val="en-US" w:eastAsia="ja-JP"/>
        </w:rPr>
        <w:t>in the placebo</w:t>
      </w:r>
      <w:r>
        <w:rPr>
          <w:lang w:val="en-US" w:eastAsia="ja-JP"/>
        </w:rPr>
        <w:t xml:space="preserve"> plus </w:t>
      </w:r>
      <w:proofErr w:type="spellStart"/>
      <w:r w:rsidRPr="00655DD7">
        <w:rPr>
          <w:lang w:val="en-US" w:eastAsia="ja-JP"/>
        </w:rPr>
        <w:t>fulvestrant</w:t>
      </w:r>
      <w:proofErr w:type="spellEnd"/>
      <w:r w:rsidRPr="00655DD7">
        <w:rPr>
          <w:lang w:val="en-US" w:eastAsia="ja-JP"/>
        </w:rPr>
        <w:t xml:space="preserve"> arm</w:t>
      </w:r>
      <w:r>
        <w:rPr>
          <w:lang w:val="en-US" w:eastAsia="ja-JP"/>
        </w:rPr>
        <w:t>)</w:t>
      </w:r>
      <w:r w:rsidR="00370429">
        <w:rPr>
          <w:lang w:val="en-US" w:eastAsia="ja-JP"/>
        </w:rPr>
        <w:t xml:space="preserve">. </w:t>
      </w:r>
      <w:r w:rsidRPr="00655DD7">
        <w:rPr>
          <w:lang w:val="en-US" w:eastAsia="ja-JP"/>
        </w:rPr>
        <w:t>The primary reason for discontinuing treatment was progressive</w:t>
      </w:r>
      <w:r>
        <w:rPr>
          <w:lang w:val="en-US" w:eastAsia="ja-JP"/>
        </w:rPr>
        <w:t xml:space="preserve"> </w:t>
      </w:r>
      <w:r w:rsidRPr="00655DD7">
        <w:rPr>
          <w:lang w:val="en-US" w:eastAsia="ja-JP"/>
        </w:rPr>
        <w:t xml:space="preserve">disease (55.0% in the </w:t>
      </w:r>
      <w:proofErr w:type="spellStart"/>
      <w:r w:rsidRPr="00655DD7">
        <w:rPr>
          <w:lang w:val="en-US" w:eastAsia="ja-JP"/>
        </w:rPr>
        <w:t>alpelisib</w:t>
      </w:r>
      <w:proofErr w:type="spellEnd"/>
      <w:r>
        <w:rPr>
          <w:lang w:val="en-US" w:eastAsia="ja-JP"/>
        </w:rPr>
        <w:t xml:space="preserve"> plus </w:t>
      </w:r>
      <w:proofErr w:type="spellStart"/>
      <w:r w:rsidRPr="00655DD7">
        <w:rPr>
          <w:lang w:val="en-US" w:eastAsia="ja-JP"/>
        </w:rPr>
        <w:t>fulvestra</w:t>
      </w:r>
      <w:r>
        <w:rPr>
          <w:lang w:val="en-US" w:eastAsia="ja-JP"/>
        </w:rPr>
        <w:t>nt</w:t>
      </w:r>
      <w:proofErr w:type="spellEnd"/>
      <w:r>
        <w:rPr>
          <w:lang w:val="en-US" w:eastAsia="ja-JP"/>
        </w:rPr>
        <w:t xml:space="preserve"> arm </w:t>
      </w:r>
      <w:r w:rsidR="00297D08">
        <w:rPr>
          <w:lang w:val="en-US" w:eastAsia="ja-JP"/>
        </w:rPr>
        <w:t>versus</w:t>
      </w:r>
      <w:r>
        <w:rPr>
          <w:lang w:val="en-US" w:eastAsia="ja-JP"/>
        </w:rPr>
        <w:t xml:space="preserve"> 68.0% in the placebo plus </w:t>
      </w:r>
      <w:proofErr w:type="spellStart"/>
      <w:r w:rsidRPr="00655DD7">
        <w:rPr>
          <w:lang w:val="en-US" w:eastAsia="ja-JP"/>
        </w:rPr>
        <w:t>fulvestrant</w:t>
      </w:r>
      <w:proofErr w:type="spellEnd"/>
      <w:r>
        <w:rPr>
          <w:lang w:val="en-US" w:eastAsia="ja-JP"/>
        </w:rPr>
        <w:t xml:space="preserve"> </w:t>
      </w:r>
      <w:r w:rsidRPr="00655DD7">
        <w:rPr>
          <w:lang w:val="en-US" w:eastAsia="ja-JP"/>
        </w:rPr>
        <w:t>arm)</w:t>
      </w:r>
      <w:r>
        <w:rPr>
          <w:lang w:val="en-US" w:eastAsia="ja-JP"/>
        </w:rPr>
        <w:t>.</w:t>
      </w:r>
    </w:p>
    <w:p w14:paraId="35D802F8" w14:textId="4A828D06" w:rsidR="00C22B8B" w:rsidRDefault="00C22B8B" w:rsidP="00C113CA">
      <w:pPr>
        <w:pStyle w:val="Heading4"/>
      </w:pPr>
      <w:r w:rsidRPr="00AA53F4">
        <w:t>Efficacy</w:t>
      </w:r>
    </w:p>
    <w:p w14:paraId="3AF6AF19" w14:textId="4F200AC2" w:rsidR="00C22B8B" w:rsidRDefault="00C1447C" w:rsidP="00C22B8B">
      <w:pPr>
        <w:autoSpaceDE w:val="0"/>
        <w:autoSpaceDN w:val="0"/>
        <w:adjustRightInd w:val="0"/>
        <w:spacing w:line="240" w:lineRule="auto"/>
        <w:rPr>
          <w:rFonts w:asciiTheme="minorHAnsi" w:eastAsiaTheme="minorHAnsi" w:hAnsiTheme="minorHAnsi" w:cs="Calibri"/>
        </w:rPr>
      </w:pPr>
      <w:r>
        <w:rPr>
          <w:rFonts w:asciiTheme="minorHAnsi" w:eastAsiaTheme="minorHAnsi" w:hAnsiTheme="minorHAnsi" w:cs="Calibri"/>
        </w:rPr>
        <w:t xml:space="preserve">The </w:t>
      </w:r>
      <w:r w:rsidR="00C22B8B">
        <w:rPr>
          <w:rFonts w:asciiTheme="minorHAnsi" w:eastAsiaTheme="minorHAnsi" w:hAnsiTheme="minorHAnsi" w:cs="Calibri"/>
        </w:rPr>
        <w:t xml:space="preserve">SOLAR-1 </w:t>
      </w:r>
      <w:r w:rsidR="00C86F38">
        <w:rPr>
          <w:rFonts w:asciiTheme="minorHAnsi" w:eastAsiaTheme="minorHAnsi" w:hAnsiTheme="minorHAnsi" w:cs="Calibri"/>
        </w:rPr>
        <w:t xml:space="preserve">trial </w:t>
      </w:r>
      <w:r w:rsidR="00C22B8B">
        <w:rPr>
          <w:rFonts w:asciiTheme="minorHAnsi" w:eastAsiaTheme="minorHAnsi" w:hAnsiTheme="minorHAnsi" w:cs="Calibri"/>
        </w:rPr>
        <w:t xml:space="preserve">met its primary objective at the final PFS analysis, demonstrating superiority of </w:t>
      </w:r>
      <w:proofErr w:type="spellStart"/>
      <w:r w:rsidR="00C22B8B">
        <w:rPr>
          <w:rFonts w:asciiTheme="minorHAnsi" w:eastAsiaTheme="minorHAnsi" w:hAnsiTheme="minorHAnsi" w:cs="Calibri"/>
        </w:rPr>
        <w:t>alpelisib</w:t>
      </w:r>
      <w:proofErr w:type="spellEnd"/>
      <w:r w:rsidR="00C22B8B">
        <w:rPr>
          <w:rFonts w:asciiTheme="minorHAnsi" w:eastAsiaTheme="minorHAnsi" w:hAnsiTheme="minorHAnsi" w:cs="Calibri"/>
        </w:rPr>
        <w:t xml:space="preserve"> plus </w:t>
      </w:r>
      <w:proofErr w:type="spellStart"/>
      <w:r w:rsidR="00C22B8B" w:rsidRPr="00217565">
        <w:rPr>
          <w:rFonts w:asciiTheme="minorHAnsi" w:eastAsiaTheme="minorHAnsi" w:hAnsiTheme="minorHAnsi" w:cs="Calibri"/>
        </w:rPr>
        <w:t>fulvestrant</w:t>
      </w:r>
      <w:proofErr w:type="spellEnd"/>
      <w:r w:rsidR="00C22B8B" w:rsidRPr="00217565">
        <w:rPr>
          <w:rFonts w:asciiTheme="minorHAnsi" w:eastAsiaTheme="minorHAnsi" w:hAnsiTheme="minorHAnsi" w:cs="Calibri"/>
        </w:rPr>
        <w:t xml:space="preserve"> over </w:t>
      </w:r>
      <w:r w:rsidR="00C22B8B">
        <w:rPr>
          <w:rFonts w:asciiTheme="minorHAnsi" w:eastAsiaTheme="minorHAnsi" w:hAnsiTheme="minorHAnsi" w:cs="Calibri"/>
        </w:rPr>
        <w:t xml:space="preserve">placebo plus </w:t>
      </w:r>
      <w:proofErr w:type="spellStart"/>
      <w:r w:rsidR="00C22B8B" w:rsidRPr="00217565">
        <w:rPr>
          <w:rFonts w:asciiTheme="minorHAnsi" w:eastAsiaTheme="minorHAnsi" w:hAnsiTheme="minorHAnsi" w:cs="Calibri"/>
        </w:rPr>
        <w:t>fulvestrant</w:t>
      </w:r>
      <w:proofErr w:type="spellEnd"/>
      <w:r w:rsidR="00C22B8B" w:rsidRPr="00217565">
        <w:rPr>
          <w:rFonts w:asciiTheme="minorHAnsi" w:eastAsiaTheme="minorHAnsi" w:hAnsiTheme="minorHAnsi" w:cs="Calibri"/>
        </w:rPr>
        <w:t xml:space="preserve"> for the primary endpoint of PFS </w:t>
      </w:r>
      <w:r w:rsidR="00C22B8B">
        <w:rPr>
          <w:rFonts w:asciiTheme="minorHAnsi" w:eastAsiaTheme="minorHAnsi" w:hAnsiTheme="minorHAnsi" w:cs="Calibri"/>
        </w:rPr>
        <w:t>by</w:t>
      </w:r>
      <w:r w:rsidR="00C22B8B" w:rsidRPr="00217565">
        <w:rPr>
          <w:rFonts w:asciiTheme="minorHAnsi" w:eastAsiaTheme="minorHAnsi" w:hAnsiTheme="minorHAnsi" w:cs="Calibri"/>
        </w:rPr>
        <w:t xml:space="preserve"> investigator assessment in the </w:t>
      </w:r>
      <w:r w:rsidR="00C22B8B" w:rsidRPr="00CB732F">
        <w:rPr>
          <w:rFonts w:asciiTheme="minorHAnsi" w:eastAsiaTheme="minorHAnsi" w:hAnsiTheme="minorHAnsi" w:cs="Calibri"/>
          <w:i/>
        </w:rPr>
        <w:t>PIK3CA</w:t>
      </w:r>
      <w:r w:rsidR="00C22B8B" w:rsidRPr="00217565">
        <w:rPr>
          <w:rFonts w:asciiTheme="minorHAnsi" w:eastAsiaTheme="minorHAnsi" w:hAnsiTheme="minorHAnsi" w:cs="Calibri"/>
        </w:rPr>
        <w:t xml:space="preserve"> mutant cohort</w:t>
      </w:r>
      <w:r w:rsidR="00775093">
        <w:rPr>
          <w:rFonts w:asciiTheme="minorHAnsi" w:eastAsiaTheme="minorHAnsi" w:hAnsiTheme="minorHAnsi" w:cs="Calibri"/>
        </w:rPr>
        <w:t xml:space="preserve"> (hazard ratio</w:t>
      </w:r>
      <w:r w:rsidR="00C22B8B">
        <w:rPr>
          <w:rFonts w:asciiTheme="minorHAnsi" w:eastAsiaTheme="minorHAnsi" w:hAnsiTheme="minorHAnsi" w:cs="Calibri"/>
        </w:rPr>
        <w:t xml:space="preserve"> 0.65, 95% </w:t>
      </w:r>
      <w:r w:rsidR="00BC6EC4">
        <w:rPr>
          <w:rFonts w:asciiTheme="minorHAnsi" w:eastAsiaTheme="minorHAnsi" w:hAnsiTheme="minorHAnsi" w:cs="Calibri"/>
        </w:rPr>
        <w:t>confidence interval (</w:t>
      </w:r>
      <w:r w:rsidR="00C22B8B">
        <w:rPr>
          <w:rFonts w:asciiTheme="minorHAnsi" w:eastAsiaTheme="minorHAnsi" w:hAnsiTheme="minorHAnsi" w:cs="Calibri"/>
        </w:rPr>
        <w:t>CI</w:t>
      </w:r>
      <w:r w:rsidR="00BC6EC4">
        <w:rPr>
          <w:rFonts w:asciiTheme="minorHAnsi" w:eastAsiaTheme="minorHAnsi" w:hAnsiTheme="minorHAnsi" w:cs="Calibri"/>
        </w:rPr>
        <w:t>)</w:t>
      </w:r>
      <w:r w:rsidR="00C22B8B">
        <w:rPr>
          <w:rFonts w:asciiTheme="minorHAnsi" w:eastAsiaTheme="minorHAnsi" w:hAnsiTheme="minorHAnsi" w:cs="Calibri"/>
        </w:rPr>
        <w:t xml:space="preserve"> 0.50, 0.85, </w:t>
      </w:r>
      <w:r w:rsidR="0018398D">
        <w:rPr>
          <w:rFonts w:asciiTheme="minorHAnsi" w:eastAsiaTheme="minorHAnsi" w:hAnsiTheme="minorHAnsi" w:cs="Calibri"/>
        </w:rPr>
        <w:t xml:space="preserve">one-sided </w:t>
      </w:r>
      <w:r w:rsidR="00C22B8B">
        <w:rPr>
          <w:rFonts w:asciiTheme="minorHAnsi" w:eastAsiaTheme="minorHAnsi" w:hAnsiTheme="minorHAnsi" w:cs="Calibri"/>
        </w:rPr>
        <w:t>p</w:t>
      </w:r>
      <w:r w:rsidR="00297D08">
        <w:rPr>
          <w:rFonts w:asciiTheme="minorHAnsi" w:eastAsiaTheme="minorHAnsi" w:hAnsiTheme="minorHAnsi" w:cs="Calibri"/>
        </w:rPr>
        <w:t> </w:t>
      </w:r>
      <w:r w:rsidR="00C22B8B">
        <w:rPr>
          <w:rFonts w:asciiTheme="minorHAnsi" w:eastAsiaTheme="minorHAnsi" w:hAnsiTheme="minorHAnsi" w:cs="Calibri"/>
        </w:rPr>
        <w:t>=</w:t>
      </w:r>
      <w:r w:rsidR="00297D08">
        <w:rPr>
          <w:rFonts w:asciiTheme="minorHAnsi" w:eastAsiaTheme="minorHAnsi" w:hAnsiTheme="minorHAnsi" w:cs="Calibri"/>
        </w:rPr>
        <w:t> </w:t>
      </w:r>
      <w:r w:rsidR="00C22B8B">
        <w:rPr>
          <w:rFonts w:asciiTheme="minorHAnsi" w:eastAsiaTheme="minorHAnsi" w:hAnsiTheme="minorHAnsi" w:cs="Calibri"/>
        </w:rPr>
        <w:t>0.00065)</w:t>
      </w:r>
      <w:r w:rsidR="00E2429A">
        <w:rPr>
          <w:rFonts w:asciiTheme="minorHAnsi" w:eastAsiaTheme="minorHAnsi" w:hAnsiTheme="minorHAnsi" w:cs="Calibri"/>
        </w:rPr>
        <w:t xml:space="preserve"> (</w:t>
      </w:r>
      <w:r w:rsidR="00E2429A">
        <w:rPr>
          <w:rFonts w:asciiTheme="minorHAnsi" w:eastAsiaTheme="minorHAnsi" w:hAnsiTheme="minorHAnsi" w:cs="Calibri"/>
        </w:rPr>
        <w:fldChar w:fldCharType="begin"/>
      </w:r>
      <w:r w:rsidR="00E2429A">
        <w:rPr>
          <w:rFonts w:asciiTheme="minorHAnsi" w:eastAsiaTheme="minorHAnsi" w:hAnsiTheme="minorHAnsi" w:cs="Calibri"/>
        </w:rPr>
        <w:instrText xml:space="preserve"> REF _Ref43366395 \h </w:instrText>
      </w:r>
      <w:r w:rsidR="00E2429A">
        <w:rPr>
          <w:rFonts w:asciiTheme="minorHAnsi" w:eastAsiaTheme="minorHAnsi" w:hAnsiTheme="minorHAnsi" w:cs="Calibri"/>
        </w:rPr>
      </w:r>
      <w:r w:rsidR="00E2429A">
        <w:rPr>
          <w:rFonts w:asciiTheme="minorHAnsi" w:eastAsiaTheme="minorHAnsi" w:hAnsiTheme="minorHAnsi" w:cs="Calibri"/>
        </w:rPr>
        <w:fldChar w:fldCharType="separate"/>
      </w:r>
      <w:r w:rsidR="007C6ED1">
        <w:t xml:space="preserve">Table </w:t>
      </w:r>
      <w:r w:rsidR="007C6ED1">
        <w:rPr>
          <w:noProof/>
        </w:rPr>
        <w:t>2</w:t>
      </w:r>
      <w:r w:rsidR="00E2429A">
        <w:rPr>
          <w:rFonts w:asciiTheme="minorHAnsi" w:eastAsiaTheme="minorHAnsi" w:hAnsiTheme="minorHAnsi" w:cs="Calibri"/>
        </w:rPr>
        <w:fldChar w:fldCharType="end"/>
      </w:r>
      <w:r w:rsidR="00E2429A">
        <w:rPr>
          <w:rFonts w:asciiTheme="minorHAnsi" w:eastAsiaTheme="minorHAnsi" w:hAnsiTheme="minorHAnsi" w:cs="Calibri"/>
        </w:rPr>
        <w:t>)</w:t>
      </w:r>
      <w:r w:rsidR="00370429">
        <w:rPr>
          <w:rFonts w:asciiTheme="minorHAnsi" w:eastAsiaTheme="minorHAnsi" w:hAnsiTheme="minorHAnsi" w:cs="Calibri"/>
        </w:rPr>
        <w:t xml:space="preserve">. </w:t>
      </w:r>
      <w:r w:rsidR="00C22B8B">
        <w:rPr>
          <w:rFonts w:asciiTheme="minorHAnsi" w:eastAsia="TimesNewRoman" w:hAnsiTheme="minorHAnsi" w:cs="TimesNewRoman"/>
        </w:rPr>
        <w:t>Median time to a PFS event was 5.3</w:t>
      </w:r>
      <w:r w:rsidR="00BC6EC4">
        <w:rPr>
          <w:rFonts w:asciiTheme="minorHAnsi" w:eastAsia="TimesNewRoman" w:hAnsiTheme="minorHAnsi" w:cs="TimesNewRoman"/>
        </w:rPr>
        <w:t> </w:t>
      </w:r>
      <w:r w:rsidR="00C22B8B">
        <w:rPr>
          <w:rFonts w:asciiTheme="minorHAnsi" w:eastAsia="TimesNewRoman" w:hAnsiTheme="minorHAnsi" w:cs="TimesNewRoman"/>
        </w:rPr>
        <w:t xml:space="preserve">months longer in the </w:t>
      </w:r>
      <w:proofErr w:type="spellStart"/>
      <w:r w:rsidR="00C22B8B">
        <w:rPr>
          <w:rFonts w:asciiTheme="minorHAnsi" w:eastAsia="TimesNewRoman" w:hAnsiTheme="minorHAnsi" w:cs="TimesNewRoman"/>
        </w:rPr>
        <w:t>alpelisib</w:t>
      </w:r>
      <w:proofErr w:type="spellEnd"/>
      <w:r w:rsidR="00C22B8B">
        <w:rPr>
          <w:rFonts w:asciiTheme="minorHAnsi" w:eastAsia="TimesNewRoman" w:hAnsiTheme="minorHAnsi" w:cs="TimesNewRoman"/>
        </w:rPr>
        <w:t xml:space="preserve"> plus </w:t>
      </w:r>
      <w:proofErr w:type="spellStart"/>
      <w:r w:rsidR="00C22B8B">
        <w:rPr>
          <w:rFonts w:asciiTheme="minorHAnsi" w:eastAsia="TimesNewRoman" w:hAnsiTheme="minorHAnsi" w:cs="TimesNewRoman"/>
        </w:rPr>
        <w:t>fulvestrant</w:t>
      </w:r>
      <w:proofErr w:type="spellEnd"/>
      <w:r w:rsidR="00C22B8B">
        <w:rPr>
          <w:rFonts w:asciiTheme="minorHAnsi" w:eastAsia="TimesNewRoman" w:hAnsiTheme="minorHAnsi" w:cs="TimesNewRoman"/>
        </w:rPr>
        <w:t xml:space="preserve"> arm than the placeb</w:t>
      </w:r>
      <w:r w:rsidR="00297D08">
        <w:rPr>
          <w:rFonts w:asciiTheme="minorHAnsi" w:eastAsia="TimesNewRoman" w:hAnsiTheme="minorHAnsi" w:cs="TimesNewRoman"/>
        </w:rPr>
        <w:t xml:space="preserve">o plus </w:t>
      </w:r>
      <w:proofErr w:type="spellStart"/>
      <w:r w:rsidR="00297D08">
        <w:rPr>
          <w:rFonts w:asciiTheme="minorHAnsi" w:eastAsia="TimesNewRoman" w:hAnsiTheme="minorHAnsi" w:cs="TimesNewRoman"/>
        </w:rPr>
        <w:t>fulvestrant</w:t>
      </w:r>
      <w:proofErr w:type="spellEnd"/>
      <w:r w:rsidR="00297D08">
        <w:rPr>
          <w:rFonts w:asciiTheme="minorHAnsi" w:eastAsia="TimesNewRoman" w:hAnsiTheme="minorHAnsi" w:cs="TimesNewRoman"/>
        </w:rPr>
        <w:t xml:space="preserve"> arm (11.0 versus</w:t>
      </w:r>
      <w:r w:rsidR="00C22B8B">
        <w:rPr>
          <w:rFonts w:asciiTheme="minorHAnsi" w:eastAsia="TimesNewRoman" w:hAnsiTheme="minorHAnsi" w:cs="TimesNewRoman"/>
        </w:rPr>
        <w:t xml:space="preserve"> 5.7 months)</w:t>
      </w:r>
      <w:r w:rsidR="00370429">
        <w:rPr>
          <w:rFonts w:asciiTheme="minorHAnsi" w:eastAsia="TimesNewRoman" w:hAnsiTheme="minorHAnsi" w:cs="TimesNewRoman"/>
        </w:rPr>
        <w:t xml:space="preserve">. </w:t>
      </w:r>
      <w:r w:rsidR="00C22B8B">
        <w:rPr>
          <w:rFonts w:asciiTheme="minorHAnsi" w:eastAsia="TimesNewRoman" w:hAnsiTheme="minorHAnsi" w:cs="TimesNewRoman"/>
        </w:rPr>
        <w:t>M</w:t>
      </w:r>
      <w:r w:rsidR="00297D08">
        <w:rPr>
          <w:rFonts w:asciiTheme="minorHAnsi" w:eastAsia="TimesNewRoman" w:hAnsiTheme="minorHAnsi" w:cs="TimesNewRoman"/>
        </w:rPr>
        <w:t>edian follow-</w:t>
      </w:r>
      <w:r w:rsidR="00C22B8B" w:rsidRPr="00026927">
        <w:rPr>
          <w:rFonts w:asciiTheme="minorHAnsi" w:eastAsia="TimesNewRoman" w:hAnsiTheme="minorHAnsi" w:cs="TimesNewRoman"/>
        </w:rPr>
        <w:t xml:space="preserve">up </w:t>
      </w:r>
      <w:r w:rsidR="00C22B8B" w:rsidRPr="00217565">
        <w:rPr>
          <w:rFonts w:asciiTheme="minorHAnsi" w:eastAsiaTheme="minorHAnsi" w:hAnsiTheme="minorHAnsi" w:cs="Calibri"/>
        </w:rPr>
        <w:t xml:space="preserve">in the </w:t>
      </w:r>
      <w:r w:rsidR="00C22B8B" w:rsidRPr="00CB732F">
        <w:rPr>
          <w:rFonts w:asciiTheme="minorHAnsi" w:eastAsiaTheme="minorHAnsi" w:hAnsiTheme="minorHAnsi" w:cs="Calibri"/>
          <w:i/>
        </w:rPr>
        <w:t>PIK3CA</w:t>
      </w:r>
      <w:r w:rsidR="00C22B8B" w:rsidRPr="00217565">
        <w:rPr>
          <w:rFonts w:asciiTheme="minorHAnsi" w:eastAsiaTheme="minorHAnsi" w:hAnsiTheme="minorHAnsi" w:cs="Calibri"/>
        </w:rPr>
        <w:t xml:space="preserve"> mutant cohort</w:t>
      </w:r>
      <w:r w:rsidR="00C22B8B" w:rsidRPr="00026927">
        <w:rPr>
          <w:rFonts w:asciiTheme="minorHAnsi" w:eastAsia="TimesNewRoman" w:hAnsiTheme="minorHAnsi" w:cs="TimesNewRoman"/>
        </w:rPr>
        <w:t xml:space="preserve"> was 20.2</w:t>
      </w:r>
      <w:r w:rsidR="00BC6EC4">
        <w:rPr>
          <w:rFonts w:asciiTheme="minorHAnsi" w:eastAsia="TimesNewRoman" w:hAnsiTheme="minorHAnsi" w:cs="TimesNewRoman"/>
        </w:rPr>
        <w:t> </w:t>
      </w:r>
      <w:r w:rsidR="00C22B8B" w:rsidRPr="00026927">
        <w:rPr>
          <w:rFonts w:asciiTheme="minorHAnsi" w:eastAsia="TimesNewRoman" w:hAnsiTheme="minorHAnsi" w:cs="TimesNewRoman"/>
        </w:rPr>
        <w:t>months.</w:t>
      </w:r>
    </w:p>
    <w:p w14:paraId="24A8251B" w14:textId="5DA0E05D" w:rsidR="00C22B8B" w:rsidRDefault="00297D08" w:rsidP="00297D08">
      <w:pPr>
        <w:pStyle w:val="TableTitle"/>
        <w:rPr>
          <w:rFonts w:asciiTheme="minorHAnsi" w:eastAsiaTheme="minorHAnsi" w:hAnsiTheme="minorHAnsi" w:cs="Calibri"/>
        </w:rPr>
      </w:pPr>
      <w:bookmarkStart w:id="44" w:name="_Ref43366395"/>
      <w:r>
        <w:t xml:space="preserve">Table </w:t>
      </w:r>
      <w:r>
        <w:fldChar w:fldCharType="begin"/>
      </w:r>
      <w:r>
        <w:instrText>SEQ Table \* ARABIC</w:instrText>
      </w:r>
      <w:r>
        <w:fldChar w:fldCharType="separate"/>
      </w:r>
      <w:r w:rsidR="007C6ED1">
        <w:rPr>
          <w:noProof/>
        </w:rPr>
        <w:t>2</w:t>
      </w:r>
      <w:r>
        <w:fldChar w:fldCharType="end"/>
      </w:r>
      <w:bookmarkEnd w:id="44"/>
      <w:r>
        <w:t>:</w:t>
      </w:r>
      <w:r w:rsidR="00C22B8B">
        <w:t xml:space="preserve"> </w:t>
      </w:r>
      <w:r w:rsidR="00C1447C">
        <w:t xml:space="preserve">Study CBYL719C2301 (SOLAR-1 trial) </w:t>
      </w:r>
      <w:r w:rsidR="00C22B8B">
        <w:t>Analysis o</w:t>
      </w:r>
      <w:r w:rsidR="00D5442D">
        <w:t xml:space="preserve">f </w:t>
      </w:r>
      <w:r w:rsidR="00C1447C">
        <w:t>progression free survival</w:t>
      </w:r>
      <w:r w:rsidR="00D5442D">
        <w:t xml:space="preserve"> per </w:t>
      </w:r>
      <w:r w:rsidR="00C1447C">
        <w:t>i</w:t>
      </w:r>
      <w:r w:rsidR="00D5442D">
        <w:t>nvestigator review (full analysis set</w:t>
      </w:r>
      <w:r w:rsidR="00C86F38">
        <w:t xml:space="preserve">, </w:t>
      </w:r>
      <w:r w:rsidR="00C86F38" w:rsidRPr="00CB732F">
        <w:rPr>
          <w:i/>
        </w:rPr>
        <w:t>PIK3CA</w:t>
      </w:r>
      <w:r w:rsidR="00C86F38">
        <w:t xml:space="preserve"> mutant cohort, </w:t>
      </w:r>
      <w:r w:rsidR="00C22B8B">
        <w:t>data cut-off 12 June 2018)</w:t>
      </w:r>
    </w:p>
    <w:p w14:paraId="61A43A2C" w14:textId="77777777" w:rsidR="00C22B8B" w:rsidRDefault="00C22B8B" w:rsidP="00C22B8B">
      <w:pPr>
        <w:autoSpaceDE w:val="0"/>
        <w:autoSpaceDN w:val="0"/>
        <w:adjustRightInd w:val="0"/>
        <w:spacing w:line="240" w:lineRule="auto"/>
        <w:rPr>
          <w:rFonts w:asciiTheme="minorHAnsi" w:eastAsiaTheme="minorHAnsi" w:hAnsiTheme="minorHAnsi" w:cs="Calibri"/>
        </w:rPr>
      </w:pPr>
      <w:r>
        <w:rPr>
          <w:noProof/>
          <w:lang w:eastAsia="en-AU"/>
        </w:rPr>
        <w:drawing>
          <wp:inline distT="0" distB="0" distL="0" distR="0" wp14:anchorId="6FA588F0" wp14:editId="1B62ED72">
            <wp:extent cx="5490845" cy="974390"/>
            <wp:effectExtent l="0" t="0" r="0" b="0"/>
            <wp:docPr id="1" name="Picture 1" descr="Study CBYL719C2301 (SOLAR-1 trial) Analysis of progression free survival per investigator review (full analysis set, PIK3CA mutant cohort, data cut-off 12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90845" cy="974390"/>
                    </a:xfrm>
                    <a:prstGeom prst="rect">
                      <a:avLst/>
                    </a:prstGeom>
                  </pic:spPr>
                </pic:pic>
              </a:graphicData>
            </a:graphic>
          </wp:inline>
        </w:drawing>
      </w:r>
    </w:p>
    <w:p w14:paraId="7458A11E" w14:textId="511F28CE" w:rsidR="00C22B8B" w:rsidRPr="00311E0A" w:rsidRDefault="00532DA4" w:rsidP="00311E0A">
      <w:pPr>
        <w:pStyle w:val="TableDescription"/>
      </w:pPr>
      <w:r w:rsidRPr="00311E0A">
        <w:rPr>
          <w:rStyle w:val="FootnoteTextChar"/>
          <w:sz w:val="19"/>
          <w:szCs w:val="19"/>
        </w:rPr>
        <w:t xml:space="preserve">N = </w:t>
      </w:r>
      <w:r w:rsidR="00A5357B" w:rsidRPr="00311E0A">
        <w:rPr>
          <w:rStyle w:val="FootnoteTextChar"/>
          <w:sz w:val="19"/>
          <w:szCs w:val="19"/>
        </w:rPr>
        <w:t xml:space="preserve">total </w:t>
      </w:r>
      <w:r w:rsidRPr="00311E0A">
        <w:rPr>
          <w:rStyle w:val="FootnoteTextChar"/>
          <w:sz w:val="19"/>
          <w:szCs w:val="19"/>
        </w:rPr>
        <w:t>number of subjects</w:t>
      </w:r>
      <w:r w:rsidR="00A5357B" w:rsidRPr="00311E0A">
        <w:rPr>
          <w:rStyle w:val="FootnoteTextChar"/>
          <w:sz w:val="19"/>
          <w:szCs w:val="19"/>
        </w:rPr>
        <w:t xml:space="preserve"> included in the analysis</w:t>
      </w:r>
      <w:proofErr w:type="gramStart"/>
      <w:r w:rsidRPr="00311E0A">
        <w:rPr>
          <w:rStyle w:val="FootnoteTextChar"/>
          <w:sz w:val="19"/>
          <w:szCs w:val="19"/>
        </w:rPr>
        <w:t>;</w:t>
      </w:r>
      <w:proofErr w:type="gramEnd"/>
      <w:r w:rsidRPr="00311E0A">
        <w:rPr>
          <w:rStyle w:val="FootnoteTextChar"/>
          <w:sz w:val="19"/>
          <w:szCs w:val="19"/>
        </w:rPr>
        <w:t xml:space="preserve"> CI = confidence interval</w:t>
      </w:r>
      <w:r w:rsidR="00A5357B" w:rsidRPr="00311E0A">
        <w:t>.</w:t>
      </w:r>
    </w:p>
    <w:p w14:paraId="3496D218" w14:textId="7B516AAF" w:rsidR="00532DA4" w:rsidRPr="00D5442D" w:rsidRDefault="00532DA4" w:rsidP="006452E8">
      <w:pPr>
        <w:pStyle w:val="TableDescription"/>
        <w:spacing w:before="0"/>
      </w:pPr>
      <w:r w:rsidRPr="00D5442D">
        <w:rPr>
          <w:vertAlign w:val="superscript"/>
        </w:rPr>
        <w:t xml:space="preserve">1 </w:t>
      </w:r>
      <w:r w:rsidR="004818EA">
        <w:t>Both l</w:t>
      </w:r>
      <w:r w:rsidRPr="00D5442D">
        <w:t xml:space="preserve">og-rank test and Cox </w:t>
      </w:r>
      <w:r w:rsidR="004818EA">
        <w:t xml:space="preserve">proportional hazard model </w:t>
      </w:r>
      <w:proofErr w:type="gramStart"/>
      <w:r w:rsidR="004818EA">
        <w:t>were stratified</w:t>
      </w:r>
      <w:proofErr w:type="gramEnd"/>
      <w:r w:rsidR="004818EA">
        <w:t xml:space="preserve"> by p</w:t>
      </w:r>
      <w:r w:rsidRPr="00D5442D">
        <w:t>rior CDK4/6 inhibitor usage and pre</w:t>
      </w:r>
      <w:r w:rsidR="008C0283">
        <w:t>sence of lung/liver metastases.</w:t>
      </w:r>
    </w:p>
    <w:p w14:paraId="50073E05" w14:textId="05D07294" w:rsidR="00532DA4" w:rsidRPr="00D5442D" w:rsidRDefault="00532DA4" w:rsidP="006452E8">
      <w:pPr>
        <w:pStyle w:val="TableDescription"/>
        <w:spacing w:before="0"/>
      </w:pPr>
      <w:proofErr w:type="gramStart"/>
      <w:r w:rsidRPr="00D5442D">
        <w:rPr>
          <w:vertAlign w:val="superscript"/>
        </w:rPr>
        <w:t>3</w:t>
      </w:r>
      <w:proofErr w:type="gramEnd"/>
      <w:r w:rsidRPr="00D5442D">
        <w:rPr>
          <w:vertAlign w:val="superscript"/>
        </w:rPr>
        <w:t xml:space="preserve"> </w:t>
      </w:r>
      <w:r w:rsidRPr="00D5442D">
        <w:t>Median (time to event) an</w:t>
      </w:r>
      <w:r w:rsidR="004C0C21">
        <w:t xml:space="preserve">d its 95% CI were generated by Kaplan-Meier </w:t>
      </w:r>
      <w:r w:rsidRPr="00D5442D">
        <w:t>estimation.</w:t>
      </w:r>
    </w:p>
    <w:p w14:paraId="2F1A325F" w14:textId="1728D4FD" w:rsidR="00532DA4" w:rsidRPr="00D5442D" w:rsidRDefault="00532DA4" w:rsidP="006452E8">
      <w:pPr>
        <w:pStyle w:val="TableDescription"/>
        <w:spacing w:before="0"/>
      </w:pPr>
      <w:proofErr w:type="gramStart"/>
      <w:r w:rsidRPr="00D5442D">
        <w:rPr>
          <w:vertAlign w:val="superscript"/>
        </w:rPr>
        <w:t>4</w:t>
      </w:r>
      <w:proofErr w:type="gramEnd"/>
      <w:r w:rsidRPr="00D5442D">
        <w:rPr>
          <w:vertAlign w:val="superscript"/>
        </w:rPr>
        <w:t xml:space="preserve"> </w:t>
      </w:r>
      <w:r w:rsidRPr="00D5442D">
        <w:t>p-value was one tailed</w:t>
      </w:r>
      <w:r w:rsidR="0018398D">
        <w:t xml:space="preserve"> </w:t>
      </w:r>
      <w:r w:rsidR="0018398D" w:rsidRPr="00D5442D">
        <w:t>and was compared to pre-specified significance levels defined by the study</w:t>
      </w:r>
      <w:r w:rsidRPr="00D5442D">
        <w:t>.</w:t>
      </w:r>
    </w:p>
    <w:p w14:paraId="43F34533" w14:textId="0147DAB7" w:rsidR="00532DA4" w:rsidRDefault="00532DA4" w:rsidP="006452E8">
      <w:pPr>
        <w:pStyle w:val="TableDescription"/>
        <w:spacing w:before="0"/>
      </w:pPr>
      <w:proofErr w:type="gramStart"/>
      <w:r w:rsidRPr="00D5442D">
        <w:rPr>
          <w:vertAlign w:val="superscript"/>
        </w:rPr>
        <w:t>5</w:t>
      </w:r>
      <w:proofErr w:type="gramEnd"/>
      <w:r w:rsidRPr="00D5442D">
        <w:rPr>
          <w:vertAlign w:val="superscript"/>
        </w:rPr>
        <w:t xml:space="preserve"> </w:t>
      </w:r>
      <w:r w:rsidRPr="00D5442D">
        <w:t xml:space="preserve">Hazard Ratio of </w:t>
      </w:r>
      <w:proofErr w:type="spellStart"/>
      <w:r w:rsidRPr="00D5442D">
        <w:t>alpelisib</w:t>
      </w:r>
      <w:proofErr w:type="spellEnd"/>
      <w:r w:rsidRPr="00D5442D">
        <w:t xml:space="preserve"> plus </w:t>
      </w:r>
      <w:proofErr w:type="spellStart"/>
      <w:r w:rsidRPr="00D5442D">
        <w:t>fulvestrant</w:t>
      </w:r>
      <w:proofErr w:type="spellEnd"/>
      <w:r w:rsidRPr="00D5442D">
        <w:t xml:space="preserve"> versus placebo plus </w:t>
      </w:r>
      <w:proofErr w:type="spellStart"/>
      <w:r w:rsidRPr="00D5442D">
        <w:t>fulvestrant</w:t>
      </w:r>
      <w:proofErr w:type="spellEnd"/>
      <w:r w:rsidRPr="00D5442D">
        <w:t xml:space="preserve"> (placebo plus </w:t>
      </w:r>
      <w:proofErr w:type="spellStart"/>
      <w:r w:rsidRPr="00D5442D">
        <w:t>fulvestrant</w:t>
      </w:r>
      <w:proofErr w:type="spellEnd"/>
      <w:r w:rsidRPr="00D5442D">
        <w:t xml:space="preserve"> is the control).</w:t>
      </w:r>
    </w:p>
    <w:p w14:paraId="0729F4C3" w14:textId="78100BDB" w:rsidR="00C22B8B" w:rsidRDefault="00C22B8B" w:rsidP="00297D08">
      <w:pPr>
        <w:pStyle w:val="TableTitle"/>
      </w:pPr>
      <w:r>
        <w:lastRenderedPageBreak/>
        <w:t xml:space="preserve">Figure </w:t>
      </w:r>
      <w:r>
        <w:fldChar w:fldCharType="begin"/>
      </w:r>
      <w:r>
        <w:instrText>SEQ Figure \* ARABIC</w:instrText>
      </w:r>
      <w:r>
        <w:fldChar w:fldCharType="separate"/>
      </w:r>
      <w:r w:rsidR="007C6ED1">
        <w:rPr>
          <w:noProof/>
        </w:rPr>
        <w:t>2</w:t>
      </w:r>
      <w:r>
        <w:fldChar w:fldCharType="end"/>
      </w:r>
      <w:r w:rsidR="00297D08">
        <w:rPr>
          <w:noProof/>
        </w:rPr>
        <w:t>:</w:t>
      </w:r>
      <w:r w:rsidR="007B33BB">
        <w:t xml:space="preserve"> </w:t>
      </w:r>
      <w:r w:rsidR="00C1447C" w:rsidRPr="00AA53F4">
        <w:t xml:space="preserve">Study </w:t>
      </w:r>
      <w:r w:rsidR="00C1447C">
        <w:t xml:space="preserve">CBYL719C2301 (SOLAR-1 trial) </w:t>
      </w:r>
      <w:r w:rsidR="007B33BB">
        <w:t xml:space="preserve">Kaplan-Meier plot of </w:t>
      </w:r>
      <w:r w:rsidR="007B33BB" w:rsidRPr="00342700">
        <w:rPr>
          <w:lang w:val="en-US" w:eastAsia="ja-JP"/>
        </w:rPr>
        <w:t>progression-free survival</w:t>
      </w:r>
      <w:r>
        <w:t xml:space="preserve"> </w:t>
      </w:r>
      <w:r w:rsidR="007B33BB">
        <w:t>per i</w:t>
      </w:r>
      <w:r w:rsidR="00D5442D">
        <w:t>nvestigator assessment (full analysis set</w:t>
      </w:r>
      <w:r>
        <w:t xml:space="preserve">, </w:t>
      </w:r>
      <w:r w:rsidRPr="00CB732F">
        <w:rPr>
          <w:i/>
        </w:rPr>
        <w:t>PIK3CA</w:t>
      </w:r>
      <w:r>
        <w:t xml:space="preserve"> mutant cohort)</w:t>
      </w:r>
    </w:p>
    <w:p w14:paraId="6F9F8FDD" w14:textId="40670C16" w:rsidR="00C22B8B" w:rsidRDefault="00A90B9C" w:rsidP="00C22B8B">
      <w:r>
        <w:rPr>
          <w:noProof/>
          <w:lang w:eastAsia="en-AU"/>
        </w:rPr>
        <w:drawing>
          <wp:inline distT="0" distB="0" distL="0" distR="0" wp14:anchorId="4C478C9F" wp14:editId="44F8333A">
            <wp:extent cx="5400040" cy="4814570"/>
            <wp:effectExtent l="0" t="0" r="0" b="5080"/>
            <wp:docPr id="11" name="Picture 11" descr="Study CBYL719C2301 (SOLAR-1 trial) Kaplan-Meier plot of progression-free survival per investigator assessment (full analysis set, PIK3CA mutant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4814570"/>
                    </a:xfrm>
                    <a:prstGeom prst="rect">
                      <a:avLst/>
                    </a:prstGeom>
                  </pic:spPr>
                </pic:pic>
              </a:graphicData>
            </a:graphic>
          </wp:inline>
        </w:drawing>
      </w:r>
    </w:p>
    <w:p w14:paraId="557E8554" w14:textId="6EAFB14C" w:rsidR="00A90B9C" w:rsidRPr="00311E0A" w:rsidRDefault="00A90B9C" w:rsidP="00311E0A">
      <w:pPr>
        <w:pStyle w:val="TableDescription"/>
      </w:pPr>
      <w:r w:rsidRPr="00311E0A">
        <w:rPr>
          <w:rStyle w:val="FootnoteTextChar"/>
          <w:sz w:val="19"/>
          <w:szCs w:val="19"/>
        </w:rPr>
        <w:t xml:space="preserve">N = total number of subjects included in the analysis; n = </w:t>
      </w:r>
      <w:r w:rsidR="0052608D" w:rsidRPr="00311E0A">
        <w:rPr>
          <w:rStyle w:val="FootnoteTextChar"/>
          <w:sz w:val="19"/>
          <w:szCs w:val="19"/>
        </w:rPr>
        <w:t>total number of events included in the analysis</w:t>
      </w:r>
      <w:r w:rsidRPr="00311E0A">
        <w:rPr>
          <w:rStyle w:val="FootnoteTextChar"/>
          <w:sz w:val="19"/>
          <w:szCs w:val="19"/>
        </w:rPr>
        <w:t>; CI</w:t>
      </w:r>
      <w:r w:rsidR="00775093" w:rsidRPr="00311E0A">
        <w:rPr>
          <w:rStyle w:val="FootnoteTextChar"/>
          <w:sz w:val="19"/>
          <w:szCs w:val="19"/>
        </w:rPr>
        <w:t> </w:t>
      </w:r>
      <w:r w:rsidRPr="00311E0A">
        <w:rPr>
          <w:rStyle w:val="FootnoteTextChar"/>
          <w:sz w:val="19"/>
          <w:szCs w:val="19"/>
        </w:rPr>
        <w:t>=</w:t>
      </w:r>
      <w:r w:rsidR="00775093" w:rsidRPr="00311E0A">
        <w:rPr>
          <w:rStyle w:val="FootnoteTextChar"/>
          <w:sz w:val="19"/>
          <w:szCs w:val="19"/>
        </w:rPr>
        <w:t> </w:t>
      </w:r>
      <w:r w:rsidRPr="00311E0A">
        <w:rPr>
          <w:rStyle w:val="FootnoteTextChar"/>
          <w:sz w:val="19"/>
          <w:szCs w:val="19"/>
        </w:rPr>
        <w:t>confidence interval</w:t>
      </w:r>
      <w:r w:rsidRPr="00311E0A">
        <w:t>.</w:t>
      </w:r>
    </w:p>
    <w:p w14:paraId="575F05DF" w14:textId="7996B71C" w:rsidR="00584817" w:rsidRDefault="00C22B8B" w:rsidP="00C22B8B">
      <w:pPr>
        <w:rPr>
          <w:rFonts w:asciiTheme="minorHAnsi" w:eastAsiaTheme="minorHAnsi" w:hAnsiTheme="minorHAnsi" w:cs="Calibri"/>
        </w:rPr>
      </w:pPr>
      <w:r w:rsidRPr="003C75C2">
        <w:rPr>
          <w:rFonts w:asciiTheme="minorHAnsi" w:hAnsiTheme="minorHAnsi"/>
        </w:rPr>
        <w:t xml:space="preserve">The </w:t>
      </w:r>
      <w:r w:rsidR="0018398D">
        <w:rPr>
          <w:rFonts w:asciiTheme="minorHAnsi" w:hAnsiTheme="minorHAnsi"/>
        </w:rPr>
        <w:t xml:space="preserve">supplementary </w:t>
      </w:r>
      <w:r>
        <w:rPr>
          <w:rFonts w:asciiTheme="minorHAnsi" w:hAnsiTheme="minorHAnsi"/>
        </w:rPr>
        <w:t xml:space="preserve">analysis of </w:t>
      </w:r>
      <w:r w:rsidRPr="003C75C2">
        <w:rPr>
          <w:rFonts w:asciiTheme="minorHAnsi" w:hAnsiTheme="minorHAnsi"/>
        </w:rPr>
        <w:t xml:space="preserve">PFS by BIRC based </w:t>
      </w:r>
      <w:r>
        <w:rPr>
          <w:rFonts w:asciiTheme="minorHAnsi" w:hAnsiTheme="minorHAnsi"/>
        </w:rPr>
        <w:t xml:space="preserve">on a 50% audit sample </w:t>
      </w:r>
      <w:r w:rsidR="00775093">
        <w:rPr>
          <w:rFonts w:asciiTheme="minorHAnsi" w:eastAsiaTheme="minorHAnsi" w:hAnsiTheme="minorHAnsi" w:cs="Calibri"/>
        </w:rPr>
        <w:t>(hazard ratio</w:t>
      </w:r>
      <w:r w:rsidRPr="003C75C2">
        <w:rPr>
          <w:rFonts w:asciiTheme="minorHAnsi" w:eastAsiaTheme="minorHAnsi" w:hAnsiTheme="minorHAnsi" w:cs="Calibri"/>
        </w:rPr>
        <w:t xml:space="preserve"> 0.48</w:t>
      </w:r>
      <w:r>
        <w:rPr>
          <w:rFonts w:asciiTheme="minorHAnsi" w:eastAsiaTheme="minorHAnsi" w:hAnsiTheme="minorHAnsi" w:cs="Calibri"/>
        </w:rPr>
        <w:t>,</w:t>
      </w:r>
      <w:r w:rsidRPr="003C75C2">
        <w:rPr>
          <w:rFonts w:asciiTheme="minorHAnsi" w:eastAsiaTheme="minorHAnsi" w:hAnsiTheme="minorHAnsi" w:cs="Calibri"/>
        </w:rPr>
        <w:t xml:space="preserve"> 95%</w:t>
      </w:r>
      <w:r w:rsidR="00297D08">
        <w:rPr>
          <w:rFonts w:asciiTheme="minorHAnsi" w:eastAsiaTheme="minorHAnsi" w:hAnsiTheme="minorHAnsi" w:cs="Calibri"/>
        </w:rPr>
        <w:t> </w:t>
      </w:r>
      <w:r w:rsidRPr="003C75C2">
        <w:rPr>
          <w:rFonts w:asciiTheme="minorHAnsi" w:eastAsiaTheme="minorHAnsi" w:hAnsiTheme="minorHAnsi" w:cs="Calibri"/>
        </w:rPr>
        <w:t>CI</w:t>
      </w:r>
      <w:r w:rsidR="00297D08">
        <w:rPr>
          <w:rFonts w:asciiTheme="minorHAnsi" w:eastAsiaTheme="minorHAnsi" w:hAnsiTheme="minorHAnsi" w:cs="Calibri"/>
        </w:rPr>
        <w:t> </w:t>
      </w:r>
      <w:r w:rsidRPr="003C75C2">
        <w:rPr>
          <w:rFonts w:asciiTheme="minorHAnsi" w:eastAsiaTheme="minorHAnsi" w:hAnsiTheme="minorHAnsi" w:cs="Calibri"/>
        </w:rPr>
        <w:t xml:space="preserve">0.32, 0.71; median PFS 11.1 months </w:t>
      </w:r>
      <w:r>
        <w:rPr>
          <w:rFonts w:asciiTheme="minorHAnsi" w:eastAsiaTheme="minorHAnsi" w:hAnsiTheme="minorHAnsi" w:cs="Calibri"/>
        </w:rPr>
        <w:t xml:space="preserve">for </w:t>
      </w:r>
      <w:proofErr w:type="spellStart"/>
      <w:r>
        <w:rPr>
          <w:rFonts w:asciiTheme="minorHAnsi" w:eastAsiaTheme="minorHAnsi" w:hAnsiTheme="minorHAnsi" w:cs="Calibri"/>
        </w:rPr>
        <w:t>alpelisib</w:t>
      </w:r>
      <w:proofErr w:type="spellEnd"/>
      <w:r>
        <w:rPr>
          <w:rFonts w:asciiTheme="minorHAnsi" w:eastAsiaTheme="minorHAnsi" w:hAnsiTheme="minorHAnsi" w:cs="Calibri"/>
        </w:rPr>
        <w:t xml:space="preserve"> plus </w:t>
      </w:r>
      <w:proofErr w:type="spellStart"/>
      <w:r>
        <w:rPr>
          <w:rFonts w:asciiTheme="minorHAnsi" w:eastAsiaTheme="minorHAnsi" w:hAnsiTheme="minorHAnsi" w:cs="Calibri"/>
        </w:rPr>
        <w:t>fulvestrant</w:t>
      </w:r>
      <w:proofErr w:type="spellEnd"/>
      <w:r>
        <w:rPr>
          <w:rFonts w:asciiTheme="minorHAnsi" w:eastAsiaTheme="minorHAnsi" w:hAnsiTheme="minorHAnsi" w:cs="Calibri"/>
        </w:rPr>
        <w:t xml:space="preserve"> </w:t>
      </w:r>
      <w:r w:rsidR="00297D08">
        <w:rPr>
          <w:rFonts w:asciiTheme="minorHAnsi" w:eastAsiaTheme="minorHAnsi" w:hAnsiTheme="minorHAnsi" w:cs="Calibri"/>
        </w:rPr>
        <w:t>versus</w:t>
      </w:r>
      <w:r w:rsidRPr="003C75C2">
        <w:rPr>
          <w:rFonts w:asciiTheme="minorHAnsi" w:eastAsiaTheme="minorHAnsi" w:hAnsiTheme="minorHAnsi" w:cs="Calibri"/>
        </w:rPr>
        <w:t xml:space="preserve"> </w:t>
      </w:r>
      <w:r>
        <w:rPr>
          <w:rFonts w:asciiTheme="minorHAnsi" w:eastAsiaTheme="minorHAnsi" w:hAnsiTheme="minorHAnsi" w:cs="Calibri"/>
        </w:rPr>
        <w:t>3.7</w:t>
      </w:r>
      <w:r w:rsidR="00BC6EC4">
        <w:rPr>
          <w:rFonts w:asciiTheme="minorHAnsi" w:eastAsiaTheme="minorHAnsi" w:hAnsiTheme="minorHAnsi" w:cs="Calibri"/>
        </w:rPr>
        <w:t> </w:t>
      </w:r>
      <w:r w:rsidRPr="003C75C2">
        <w:rPr>
          <w:rFonts w:asciiTheme="minorHAnsi" w:eastAsiaTheme="minorHAnsi" w:hAnsiTheme="minorHAnsi" w:cs="Calibri"/>
        </w:rPr>
        <w:t>months</w:t>
      </w:r>
      <w:r>
        <w:rPr>
          <w:rFonts w:asciiTheme="minorHAnsi" w:eastAsiaTheme="minorHAnsi" w:hAnsiTheme="minorHAnsi" w:cs="Calibri"/>
        </w:rPr>
        <w:t xml:space="preserve"> for placebo plus </w:t>
      </w:r>
      <w:proofErr w:type="spellStart"/>
      <w:r>
        <w:rPr>
          <w:rFonts w:asciiTheme="minorHAnsi" w:eastAsiaTheme="minorHAnsi" w:hAnsiTheme="minorHAnsi" w:cs="Calibri"/>
        </w:rPr>
        <w:t>fulvestrant</w:t>
      </w:r>
      <w:proofErr w:type="spellEnd"/>
      <w:r w:rsidRPr="003C75C2">
        <w:rPr>
          <w:rFonts w:asciiTheme="minorHAnsi" w:eastAsiaTheme="minorHAnsi" w:hAnsiTheme="minorHAnsi" w:cs="Calibri"/>
        </w:rPr>
        <w:t>)</w:t>
      </w:r>
      <w:r>
        <w:rPr>
          <w:rFonts w:asciiTheme="minorHAnsi" w:eastAsiaTheme="minorHAnsi" w:hAnsiTheme="minorHAnsi" w:cs="Calibri"/>
        </w:rPr>
        <w:t xml:space="preserve"> was supportive of the primary endpoint</w:t>
      </w:r>
      <w:r w:rsidR="00584817">
        <w:rPr>
          <w:rFonts w:asciiTheme="minorHAnsi" w:eastAsiaTheme="minorHAnsi" w:hAnsiTheme="minorHAnsi" w:cs="Calibri"/>
        </w:rPr>
        <w:t>.</w:t>
      </w:r>
    </w:p>
    <w:p w14:paraId="73712E20" w14:textId="67E84572" w:rsidR="00584817" w:rsidRDefault="00C22B8B" w:rsidP="00C22B8B">
      <w:pPr>
        <w:rPr>
          <w:rFonts w:asciiTheme="minorHAnsi" w:eastAsiaTheme="minorHAnsi" w:hAnsiTheme="minorHAnsi" w:cs="Calibri"/>
        </w:rPr>
      </w:pPr>
      <w:r>
        <w:rPr>
          <w:rFonts w:asciiTheme="minorHAnsi" w:eastAsiaTheme="minorHAnsi" w:hAnsiTheme="minorHAnsi" w:cs="Calibri"/>
        </w:rPr>
        <w:t>Subgroup analyses of PFS by stratification factors and other demographic and prognostic factors were broadly consistent with the primary endpoint, though the number of patients and PFS events in some subgroups were too small to draw meaningful conclusions</w:t>
      </w:r>
      <w:r w:rsidR="00370429">
        <w:rPr>
          <w:rFonts w:asciiTheme="minorHAnsi" w:eastAsiaTheme="minorHAnsi" w:hAnsiTheme="minorHAnsi" w:cs="Calibri"/>
        </w:rPr>
        <w:t xml:space="preserve">. </w:t>
      </w:r>
      <w:r>
        <w:rPr>
          <w:rFonts w:asciiTheme="minorHAnsi" w:eastAsiaTheme="minorHAnsi" w:hAnsiTheme="minorHAnsi" w:cs="Calibri"/>
        </w:rPr>
        <w:t>The PFS outcome for patients aged ≥</w:t>
      </w:r>
      <w:r w:rsidR="00297D08">
        <w:rPr>
          <w:rFonts w:asciiTheme="minorHAnsi" w:eastAsiaTheme="minorHAnsi" w:hAnsiTheme="minorHAnsi" w:cs="Calibri"/>
        </w:rPr>
        <w:t xml:space="preserve"> </w:t>
      </w:r>
      <w:r w:rsidR="00775093">
        <w:rPr>
          <w:rFonts w:asciiTheme="minorHAnsi" w:eastAsiaTheme="minorHAnsi" w:hAnsiTheme="minorHAnsi" w:cs="Calibri"/>
        </w:rPr>
        <w:t>75 years (hazard ratio</w:t>
      </w:r>
      <w:r>
        <w:rPr>
          <w:rFonts w:asciiTheme="minorHAnsi" w:eastAsiaTheme="minorHAnsi" w:hAnsiTheme="minorHAnsi" w:cs="Calibri"/>
        </w:rPr>
        <w:t xml:space="preserve"> 1.12, 95% CI 0.54, 2.34) </w:t>
      </w:r>
      <w:proofErr w:type="gramStart"/>
      <w:r>
        <w:rPr>
          <w:rFonts w:asciiTheme="minorHAnsi" w:eastAsiaTheme="minorHAnsi" w:hAnsiTheme="minorHAnsi" w:cs="Calibri"/>
        </w:rPr>
        <w:t>was based</w:t>
      </w:r>
      <w:proofErr w:type="gramEnd"/>
      <w:r>
        <w:rPr>
          <w:rFonts w:asciiTheme="minorHAnsi" w:eastAsiaTheme="minorHAnsi" w:hAnsiTheme="minorHAnsi" w:cs="Calibri"/>
        </w:rPr>
        <w:t xml:space="preserve"> on 46 patients</w:t>
      </w:r>
      <w:r w:rsidR="00370429">
        <w:rPr>
          <w:rFonts w:asciiTheme="minorHAnsi" w:eastAsiaTheme="minorHAnsi" w:hAnsiTheme="minorHAnsi" w:cs="Calibri"/>
        </w:rPr>
        <w:t xml:space="preserve">. </w:t>
      </w:r>
      <w:r>
        <w:rPr>
          <w:rFonts w:asciiTheme="minorHAnsi" w:eastAsiaTheme="minorHAnsi" w:hAnsiTheme="minorHAnsi" w:cs="Calibri"/>
        </w:rPr>
        <w:t xml:space="preserve">Only 20 (6%) patients in the </w:t>
      </w:r>
      <w:r w:rsidRPr="00CB732F">
        <w:rPr>
          <w:rFonts w:asciiTheme="minorHAnsi" w:eastAsiaTheme="minorHAnsi" w:hAnsiTheme="minorHAnsi" w:cs="Calibri"/>
          <w:i/>
        </w:rPr>
        <w:t>PIK3CA</w:t>
      </w:r>
      <w:r>
        <w:rPr>
          <w:rFonts w:asciiTheme="minorHAnsi" w:eastAsiaTheme="minorHAnsi" w:hAnsiTheme="minorHAnsi" w:cs="Calibri"/>
        </w:rPr>
        <w:t xml:space="preserve"> mutant cohort, 9 in the </w:t>
      </w:r>
      <w:proofErr w:type="spellStart"/>
      <w:r>
        <w:rPr>
          <w:rFonts w:asciiTheme="minorHAnsi" w:eastAsiaTheme="minorHAnsi" w:hAnsiTheme="minorHAnsi" w:cs="Calibri"/>
        </w:rPr>
        <w:t>alpelisib</w:t>
      </w:r>
      <w:proofErr w:type="spellEnd"/>
      <w:r>
        <w:rPr>
          <w:rFonts w:asciiTheme="minorHAnsi" w:eastAsiaTheme="minorHAnsi" w:hAnsiTheme="minorHAnsi" w:cs="Calibri"/>
        </w:rPr>
        <w:t xml:space="preserve"> plus </w:t>
      </w:r>
      <w:proofErr w:type="spellStart"/>
      <w:r>
        <w:rPr>
          <w:rFonts w:asciiTheme="minorHAnsi" w:eastAsiaTheme="minorHAnsi" w:hAnsiTheme="minorHAnsi" w:cs="Calibri"/>
        </w:rPr>
        <w:t>fulvestrant</w:t>
      </w:r>
      <w:proofErr w:type="spellEnd"/>
      <w:r>
        <w:rPr>
          <w:rFonts w:asciiTheme="minorHAnsi" w:eastAsiaTheme="minorHAnsi" w:hAnsiTheme="minorHAnsi" w:cs="Calibri"/>
        </w:rPr>
        <w:t xml:space="preserve"> arm and 11 in the placebo plus </w:t>
      </w:r>
      <w:proofErr w:type="spellStart"/>
      <w:r>
        <w:rPr>
          <w:rFonts w:asciiTheme="minorHAnsi" w:eastAsiaTheme="minorHAnsi" w:hAnsiTheme="minorHAnsi" w:cs="Calibri"/>
        </w:rPr>
        <w:t>fulvestrant</w:t>
      </w:r>
      <w:proofErr w:type="spellEnd"/>
      <w:r>
        <w:rPr>
          <w:rFonts w:asciiTheme="minorHAnsi" w:eastAsiaTheme="minorHAnsi" w:hAnsiTheme="minorHAnsi" w:cs="Calibri"/>
        </w:rPr>
        <w:t xml:space="preserve"> arm, had received prior treatment with a CDK4/6 inhibitor, limiting the conclusions that </w:t>
      </w:r>
      <w:proofErr w:type="gramStart"/>
      <w:r>
        <w:rPr>
          <w:rFonts w:asciiTheme="minorHAnsi" w:eastAsiaTheme="minorHAnsi" w:hAnsiTheme="minorHAnsi" w:cs="Calibri"/>
        </w:rPr>
        <w:t>can be drawn</w:t>
      </w:r>
      <w:proofErr w:type="gramEnd"/>
      <w:r>
        <w:rPr>
          <w:rFonts w:asciiTheme="minorHAnsi" w:eastAsiaTheme="minorHAnsi" w:hAnsiTheme="minorHAnsi" w:cs="Calibri"/>
        </w:rPr>
        <w:t xml:space="preserve"> in this subgroup</w:t>
      </w:r>
      <w:r w:rsidR="00584817">
        <w:rPr>
          <w:rFonts w:asciiTheme="minorHAnsi" w:eastAsiaTheme="minorHAnsi" w:hAnsiTheme="minorHAnsi" w:cs="Calibri"/>
        </w:rPr>
        <w:t>.</w:t>
      </w:r>
    </w:p>
    <w:p w14:paraId="580373F7" w14:textId="5BE24259" w:rsidR="00C22B8B" w:rsidRDefault="00C22B8B" w:rsidP="00C22B8B">
      <w:r>
        <w:t xml:space="preserve">Data for OS, the key secondary efficacy endpoint, were immature at this interim analysis, with 92 deaths reported, </w:t>
      </w:r>
      <w:r w:rsidRPr="005C7082">
        <w:rPr>
          <w:lang w:val="en-US"/>
        </w:rPr>
        <w:t>40 (23.7%) in</w:t>
      </w:r>
      <w:r>
        <w:rPr>
          <w:lang w:val="en-US"/>
        </w:rPr>
        <w:t xml:space="preserve"> </w:t>
      </w:r>
      <w:r w:rsidRPr="005C7082">
        <w:rPr>
          <w:lang w:val="en-US"/>
        </w:rPr>
        <w:t xml:space="preserve">the </w:t>
      </w:r>
      <w:proofErr w:type="spellStart"/>
      <w:r w:rsidRPr="005C7082">
        <w:rPr>
          <w:lang w:val="en-US"/>
        </w:rPr>
        <w:t>alpelisib</w:t>
      </w:r>
      <w:proofErr w:type="spellEnd"/>
      <w:r>
        <w:rPr>
          <w:lang w:val="en-US"/>
        </w:rPr>
        <w:t xml:space="preserve"> plus </w:t>
      </w:r>
      <w:proofErr w:type="spellStart"/>
      <w:r w:rsidRPr="005C7082">
        <w:rPr>
          <w:lang w:val="en-US"/>
        </w:rPr>
        <w:t>fulvestrant</w:t>
      </w:r>
      <w:proofErr w:type="spellEnd"/>
      <w:r w:rsidRPr="005C7082">
        <w:rPr>
          <w:lang w:val="en-US"/>
        </w:rPr>
        <w:t xml:space="preserve"> arm and 52 (30.2%) in the placebo</w:t>
      </w:r>
      <w:r>
        <w:rPr>
          <w:lang w:val="en-US"/>
        </w:rPr>
        <w:t xml:space="preserve"> plus </w:t>
      </w:r>
      <w:proofErr w:type="spellStart"/>
      <w:r w:rsidRPr="005C7082">
        <w:rPr>
          <w:lang w:val="en-US"/>
        </w:rPr>
        <w:t>fulvestrant</w:t>
      </w:r>
      <w:proofErr w:type="spellEnd"/>
      <w:r w:rsidRPr="005C7082">
        <w:rPr>
          <w:lang w:val="en-US"/>
        </w:rPr>
        <w:t xml:space="preserve"> arm</w:t>
      </w:r>
      <w:r w:rsidR="00775093">
        <w:rPr>
          <w:lang w:val="en-US"/>
        </w:rPr>
        <w:t xml:space="preserve"> (hazard ratio</w:t>
      </w:r>
      <w:r>
        <w:rPr>
          <w:lang w:val="en-US"/>
        </w:rPr>
        <w:t xml:space="preserve"> 0.73, </w:t>
      </w:r>
      <w:r w:rsidRPr="005C7082">
        <w:rPr>
          <w:lang w:val="en-US"/>
        </w:rPr>
        <w:t>95% CI 0.48, 1.10; p = 0.06</w:t>
      </w:r>
      <w:r>
        <w:rPr>
          <w:lang w:val="en-US"/>
        </w:rPr>
        <w:t>)</w:t>
      </w:r>
      <w:r w:rsidR="00370429">
        <w:rPr>
          <w:lang w:val="en-US"/>
        </w:rPr>
        <w:t xml:space="preserve">. </w:t>
      </w:r>
      <w:r>
        <w:rPr>
          <w:lang w:val="en-US"/>
        </w:rPr>
        <w:t>The pre</w:t>
      </w:r>
      <w:r w:rsidR="00297D08">
        <w:rPr>
          <w:lang w:val="en-US"/>
        </w:rPr>
        <w:noBreakHyphen/>
      </w:r>
      <w:r>
        <w:rPr>
          <w:lang w:val="en-US"/>
        </w:rPr>
        <w:t>specified stopping boundary was not crossed.</w:t>
      </w:r>
    </w:p>
    <w:p w14:paraId="1784ABC4" w14:textId="5E29056A" w:rsidR="00584817" w:rsidRDefault="00C22B8B" w:rsidP="00C22B8B">
      <w:pPr>
        <w:autoSpaceDE w:val="0"/>
        <w:autoSpaceDN w:val="0"/>
        <w:adjustRightInd w:val="0"/>
        <w:spacing w:line="240" w:lineRule="auto"/>
        <w:rPr>
          <w:rFonts w:asciiTheme="minorHAnsi" w:eastAsia="TimesNewRoman" w:hAnsiTheme="minorHAnsi" w:cs="TimesNewRoman"/>
        </w:rPr>
      </w:pPr>
      <w:r>
        <w:t xml:space="preserve">In the </w:t>
      </w:r>
      <w:r w:rsidRPr="00CB732F">
        <w:rPr>
          <w:i/>
        </w:rPr>
        <w:t>PIK3CA</w:t>
      </w:r>
      <w:r>
        <w:t xml:space="preserve"> non-mutant cohort, PFS was 1.8 months longer in the </w:t>
      </w:r>
      <w:proofErr w:type="spellStart"/>
      <w:r>
        <w:rPr>
          <w:lang w:val="en-US"/>
        </w:rPr>
        <w:t>alpelisib</w:t>
      </w:r>
      <w:proofErr w:type="spellEnd"/>
      <w:r>
        <w:rPr>
          <w:lang w:val="en-US"/>
        </w:rPr>
        <w:t xml:space="preserve"> plus </w:t>
      </w:r>
      <w:proofErr w:type="spellStart"/>
      <w:r>
        <w:rPr>
          <w:lang w:val="en-US"/>
        </w:rPr>
        <w:t>fulvestrant</w:t>
      </w:r>
      <w:proofErr w:type="spellEnd"/>
      <w:r>
        <w:rPr>
          <w:lang w:val="en-US"/>
        </w:rPr>
        <w:t xml:space="preserve"> arm compared with the placebo plus </w:t>
      </w:r>
      <w:proofErr w:type="spellStart"/>
      <w:r>
        <w:rPr>
          <w:lang w:val="en-US"/>
        </w:rPr>
        <w:t>fulvestrant</w:t>
      </w:r>
      <w:proofErr w:type="spellEnd"/>
      <w:r>
        <w:rPr>
          <w:lang w:val="en-US"/>
        </w:rPr>
        <w:t xml:space="preserve"> arm (7.4 versus 5.6 months;</w:t>
      </w:r>
      <w:r w:rsidRPr="00BF50AF">
        <w:rPr>
          <w:rFonts w:asciiTheme="minorHAnsi" w:eastAsia="TimesNewRoman" w:hAnsiTheme="minorHAnsi" w:cs="TimesNewRoman"/>
        </w:rPr>
        <w:t xml:space="preserve"> </w:t>
      </w:r>
      <w:r w:rsidRPr="00B779A3">
        <w:rPr>
          <w:rFonts w:asciiTheme="minorHAnsi" w:eastAsia="TimesNewRoman" w:hAnsiTheme="minorHAnsi" w:cs="TimesNewRoman"/>
        </w:rPr>
        <w:t xml:space="preserve">estimated HR </w:t>
      </w:r>
      <w:r>
        <w:rPr>
          <w:rFonts w:asciiTheme="minorHAnsi" w:eastAsia="TimesNewRoman" w:hAnsiTheme="minorHAnsi" w:cs="TimesNewRoman"/>
        </w:rPr>
        <w:t>0.85,</w:t>
      </w:r>
      <w:r w:rsidRPr="00B779A3">
        <w:rPr>
          <w:rFonts w:asciiTheme="minorHAnsi" w:eastAsia="TimesNewRoman" w:hAnsiTheme="minorHAnsi" w:cs="TimesNewRoman"/>
        </w:rPr>
        <w:t xml:space="preserve"> 95% CI 0.58, 1.25</w:t>
      </w:r>
      <w:r>
        <w:rPr>
          <w:lang w:val="en-US"/>
        </w:rPr>
        <w:t>)</w:t>
      </w:r>
      <w:r w:rsidR="00370429">
        <w:rPr>
          <w:lang w:val="en-US"/>
        </w:rPr>
        <w:t xml:space="preserve">. </w:t>
      </w:r>
      <w:r w:rsidRPr="00B779A3">
        <w:rPr>
          <w:rFonts w:asciiTheme="minorHAnsi" w:eastAsia="TimesNewRoman" w:hAnsiTheme="minorHAnsi" w:cs="TimesNewRoman"/>
        </w:rPr>
        <w:t>P</w:t>
      </w:r>
      <w:r>
        <w:rPr>
          <w:rFonts w:asciiTheme="minorHAnsi" w:eastAsia="TimesNewRoman" w:hAnsiTheme="minorHAnsi" w:cs="TimesNewRoman"/>
        </w:rPr>
        <w:t>re-specified p</w:t>
      </w:r>
      <w:r w:rsidRPr="00B779A3">
        <w:rPr>
          <w:rFonts w:asciiTheme="minorHAnsi" w:eastAsia="TimesNewRoman" w:hAnsiTheme="minorHAnsi" w:cs="TimesNewRoman"/>
        </w:rPr>
        <w:t>roof-of-concept criteria</w:t>
      </w:r>
      <w:r w:rsidR="00775093">
        <w:rPr>
          <w:rFonts w:asciiTheme="minorHAnsi" w:eastAsia="TimesNewRoman" w:hAnsiTheme="minorHAnsi" w:cs="TimesNewRoman"/>
        </w:rPr>
        <w:t xml:space="preserve"> (hazard ratio</w:t>
      </w:r>
      <w:r>
        <w:rPr>
          <w:rFonts w:asciiTheme="minorHAnsi" w:eastAsia="TimesNewRoman" w:hAnsiTheme="minorHAnsi" w:cs="TimesNewRoman"/>
        </w:rPr>
        <w:t xml:space="preserve"> ≤</w:t>
      </w:r>
      <w:r w:rsidR="00297D08">
        <w:rPr>
          <w:rFonts w:asciiTheme="minorHAnsi" w:eastAsia="TimesNewRoman" w:hAnsiTheme="minorHAnsi" w:cs="TimesNewRoman"/>
        </w:rPr>
        <w:t xml:space="preserve"> </w:t>
      </w:r>
      <w:r>
        <w:rPr>
          <w:rFonts w:asciiTheme="minorHAnsi" w:eastAsia="TimesNewRoman" w:hAnsiTheme="minorHAnsi" w:cs="TimesNewRoman"/>
        </w:rPr>
        <w:t>0.</w:t>
      </w:r>
      <w:r w:rsidR="00775093">
        <w:rPr>
          <w:rFonts w:asciiTheme="minorHAnsi" w:eastAsia="TimesNewRoman" w:hAnsiTheme="minorHAnsi" w:cs="TimesNewRoman"/>
        </w:rPr>
        <w:t>60 and posterior probability (hazard ratio</w:t>
      </w:r>
      <w:r w:rsidR="00297D08">
        <w:rPr>
          <w:rFonts w:asciiTheme="minorHAnsi" w:eastAsia="TimesNewRoman" w:hAnsiTheme="minorHAnsi" w:cs="TimesNewRoman"/>
        </w:rPr>
        <w:t xml:space="preserve"> </w:t>
      </w:r>
      <w:r>
        <w:rPr>
          <w:rFonts w:asciiTheme="minorHAnsi" w:eastAsia="TimesNewRoman" w:hAnsiTheme="minorHAnsi" w:cs="TimesNewRoman"/>
        </w:rPr>
        <w:t>&lt;</w:t>
      </w:r>
      <w:r w:rsidR="00297D08">
        <w:rPr>
          <w:rFonts w:asciiTheme="minorHAnsi" w:eastAsia="TimesNewRoman" w:hAnsiTheme="minorHAnsi" w:cs="TimesNewRoman"/>
        </w:rPr>
        <w:t xml:space="preserve"> </w:t>
      </w:r>
      <w:r>
        <w:rPr>
          <w:rFonts w:asciiTheme="minorHAnsi" w:eastAsia="TimesNewRoman" w:hAnsiTheme="minorHAnsi" w:cs="TimesNewRoman"/>
        </w:rPr>
        <w:t>1) ≥</w:t>
      </w:r>
      <w:r w:rsidR="00297D08">
        <w:rPr>
          <w:rFonts w:asciiTheme="minorHAnsi" w:eastAsia="TimesNewRoman" w:hAnsiTheme="minorHAnsi" w:cs="TimesNewRoman"/>
        </w:rPr>
        <w:t xml:space="preserve"> </w:t>
      </w:r>
      <w:r>
        <w:rPr>
          <w:rFonts w:asciiTheme="minorHAnsi" w:eastAsia="TimesNewRoman" w:hAnsiTheme="minorHAnsi" w:cs="TimesNewRoman"/>
        </w:rPr>
        <w:t xml:space="preserve">90%) </w:t>
      </w:r>
      <w:r w:rsidRPr="00B779A3">
        <w:rPr>
          <w:rFonts w:asciiTheme="minorHAnsi" w:eastAsia="TimesNewRoman" w:hAnsiTheme="minorHAnsi" w:cs="TimesNewRoman"/>
        </w:rPr>
        <w:t xml:space="preserve">for PFS in the </w:t>
      </w:r>
      <w:r w:rsidRPr="00CB732F">
        <w:rPr>
          <w:rFonts w:asciiTheme="minorHAnsi" w:eastAsia="TimesNewRoman" w:hAnsiTheme="minorHAnsi" w:cs="TimesNewRoman"/>
          <w:i/>
        </w:rPr>
        <w:t>PIK3CA</w:t>
      </w:r>
      <w:r w:rsidRPr="00B779A3">
        <w:rPr>
          <w:rFonts w:asciiTheme="minorHAnsi" w:eastAsia="TimesNewRoman" w:hAnsiTheme="minorHAnsi" w:cs="TimesNewRoman"/>
        </w:rPr>
        <w:t xml:space="preserve"> </w:t>
      </w:r>
      <w:r w:rsidRPr="00B779A3">
        <w:rPr>
          <w:rFonts w:asciiTheme="minorHAnsi" w:eastAsia="TimesNewRoman" w:hAnsiTheme="minorHAnsi" w:cs="TimesNewRoman"/>
        </w:rPr>
        <w:lastRenderedPageBreak/>
        <w:t>non</w:t>
      </w:r>
      <w:r w:rsidR="00775093">
        <w:rPr>
          <w:rFonts w:asciiTheme="minorHAnsi" w:eastAsia="TimesNewRoman" w:hAnsiTheme="minorHAnsi" w:cs="TimesNewRoman"/>
        </w:rPr>
        <w:noBreakHyphen/>
      </w:r>
      <w:r w:rsidRPr="00B779A3">
        <w:rPr>
          <w:rFonts w:asciiTheme="minorHAnsi" w:eastAsia="TimesNewRoman" w:hAnsiTheme="minorHAnsi" w:cs="TimesNewRoman"/>
        </w:rPr>
        <w:t>mutant cohort were not met</w:t>
      </w:r>
      <w:r>
        <w:rPr>
          <w:rFonts w:asciiTheme="minorHAnsi" w:eastAsia="TimesNewRoman" w:hAnsiTheme="minorHAnsi" w:cs="TimesNewRoman"/>
        </w:rPr>
        <w:t xml:space="preserve">, so no further </w:t>
      </w:r>
      <w:r w:rsidR="0018398D">
        <w:rPr>
          <w:rFonts w:asciiTheme="minorHAnsi" w:eastAsia="TimesNewRoman" w:hAnsiTheme="minorHAnsi" w:cs="TimesNewRoman"/>
        </w:rPr>
        <w:t xml:space="preserve">inferential </w:t>
      </w:r>
      <w:r>
        <w:rPr>
          <w:rFonts w:asciiTheme="minorHAnsi" w:eastAsia="TimesNewRoman" w:hAnsiTheme="minorHAnsi" w:cs="TimesNewRoman"/>
        </w:rPr>
        <w:t>analyses of efficacy in the non</w:t>
      </w:r>
      <w:r w:rsidR="00C1447C">
        <w:rPr>
          <w:rFonts w:asciiTheme="minorHAnsi" w:eastAsia="TimesNewRoman" w:hAnsiTheme="minorHAnsi" w:cs="TimesNewRoman"/>
        </w:rPr>
        <w:noBreakHyphen/>
      </w:r>
      <w:r>
        <w:rPr>
          <w:rFonts w:asciiTheme="minorHAnsi" w:eastAsia="TimesNewRoman" w:hAnsiTheme="minorHAnsi" w:cs="TimesNewRoman"/>
        </w:rPr>
        <w:t>mutant cohort were performed</w:t>
      </w:r>
      <w:r w:rsidR="00584817">
        <w:rPr>
          <w:rFonts w:asciiTheme="minorHAnsi" w:eastAsia="TimesNewRoman" w:hAnsiTheme="minorHAnsi" w:cs="TimesNewRoman"/>
        </w:rPr>
        <w:t>.</w:t>
      </w:r>
    </w:p>
    <w:p w14:paraId="57BE3A4B" w14:textId="39CC4B16" w:rsidR="00584817" w:rsidRDefault="00C22B8B" w:rsidP="00C22B8B">
      <w:pPr>
        <w:tabs>
          <w:tab w:val="left" w:pos="5400"/>
        </w:tabs>
      </w:pPr>
      <w:r>
        <w:t xml:space="preserve">In the </w:t>
      </w:r>
      <w:r w:rsidRPr="00CB732F">
        <w:rPr>
          <w:i/>
        </w:rPr>
        <w:t>PIK3CA</w:t>
      </w:r>
      <w:r>
        <w:t xml:space="preserve"> mutant cohort, ORR was 26.6% in the </w:t>
      </w:r>
      <w:proofErr w:type="spellStart"/>
      <w:r>
        <w:t>alpelisib</w:t>
      </w:r>
      <w:proofErr w:type="spellEnd"/>
      <w:r>
        <w:t xml:space="preserve"> plus </w:t>
      </w:r>
      <w:proofErr w:type="spellStart"/>
      <w:r>
        <w:t>fulvestrant</w:t>
      </w:r>
      <w:proofErr w:type="spellEnd"/>
      <w:r>
        <w:t xml:space="preserve"> arm (1</w:t>
      </w:r>
      <w:r w:rsidR="002C32E7">
        <w:t> </w:t>
      </w:r>
      <w:r>
        <w:t xml:space="preserve">(0.6%) </w:t>
      </w:r>
      <w:r w:rsidR="00775093">
        <w:t>complete response (</w:t>
      </w:r>
      <w:r>
        <w:t>CR</w:t>
      </w:r>
      <w:r w:rsidR="00775093">
        <w:t>)</w:t>
      </w:r>
      <w:r>
        <w:t xml:space="preserve">, 44 (26%) </w:t>
      </w:r>
      <w:r w:rsidR="00775093">
        <w:t>partial response (</w:t>
      </w:r>
      <w:r>
        <w:t>PR</w:t>
      </w:r>
      <w:r w:rsidR="00775093">
        <w:t>)</w:t>
      </w:r>
      <w:r>
        <w:t xml:space="preserve">) and 12.8% in the placebo plus </w:t>
      </w:r>
      <w:proofErr w:type="spellStart"/>
      <w:r>
        <w:t>fulvestrant</w:t>
      </w:r>
      <w:proofErr w:type="spellEnd"/>
      <w:r>
        <w:t xml:space="preserve"> arm (2 (1.2%) CR, 20 (11.6%) PR)</w:t>
      </w:r>
      <w:r w:rsidR="00584817">
        <w:t>.</w:t>
      </w:r>
    </w:p>
    <w:p w14:paraId="37CF4303" w14:textId="21FB0AA6" w:rsidR="00C22B8B" w:rsidRDefault="00C22B8B" w:rsidP="00C22B8B">
      <w:pPr>
        <w:rPr>
          <w:rFonts w:asciiTheme="minorHAnsi" w:eastAsiaTheme="minorHAnsi" w:hAnsiTheme="minorHAnsi"/>
          <w:lang w:val="en-US"/>
        </w:rPr>
      </w:pPr>
      <w:r>
        <w:rPr>
          <w:rFonts w:asciiTheme="minorHAnsi" w:eastAsiaTheme="minorHAnsi" w:hAnsiTheme="minorHAnsi"/>
          <w:lang w:val="en-US"/>
        </w:rPr>
        <w:t xml:space="preserve">PFS in patients who were </w:t>
      </w:r>
      <w:r w:rsidRPr="00CB732F">
        <w:rPr>
          <w:rFonts w:asciiTheme="minorHAnsi" w:eastAsiaTheme="minorHAnsi" w:hAnsiTheme="minorHAnsi"/>
          <w:i/>
          <w:lang w:val="en-US"/>
        </w:rPr>
        <w:t>PIK3CA</w:t>
      </w:r>
      <w:r>
        <w:rPr>
          <w:rFonts w:asciiTheme="minorHAnsi" w:eastAsiaTheme="minorHAnsi" w:hAnsiTheme="minorHAnsi"/>
          <w:lang w:val="en-US"/>
        </w:rPr>
        <w:t xml:space="preserve"> mutation positive based on testing of</w:t>
      </w:r>
      <w:r w:rsidR="00762097">
        <w:rPr>
          <w:rFonts w:asciiTheme="minorHAnsi" w:eastAsiaTheme="minorHAnsi" w:hAnsiTheme="minorHAnsi"/>
          <w:lang w:val="en-US"/>
        </w:rPr>
        <w:t xml:space="preserve"> </w:t>
      </w:r>
      <w:proofErr w:type="spellStart"/>
      <w:r>
        <w:rPr>
          <w:rFonts w:asciiTheme="minorHAnsi" w:eastAsiaTheme="minorHAnsi" w:hAnsiTheme="minorHAnsi"/>
          <w:lang w:val="en-US"/>
        </w:rPr>
        <w:t>ctDNA</w:t>
      </w:r>
      <w:proofErr w:type="spellEnd"/>
      <w:r>
        <w:rPr>
          <w:rFonts w:asciiTheme="minorHAnsi" w:eastAsiaTheme="minorHAnsi" w:hAnsiTheme="minorHAnsi"/>
          <w:lang w:val="en-US"/>
        </w:rPr>
        <w:t xml:space="preserve"> in plasma </w:t>
      </w:r>
      <w:r w:rsidRPr="008E38BD">
        <w:rPr>
          <w:rFonts w:asciiTheme="minorHAnsi" w:eastAsiaTheme="minorHAnsi" w:hAnsiTheme="minorHAnsi"/>
          <w:lang w:val="en-US"/>
        </w:rPr>
        <w:t>(N</w:t>
      </w:r>
      <w:r w:rsidR="00297D08">
        <w:rPr>
          <w:rFonts w:asciiTheme="minorHAnsi" w:eastAsiaTheme="minorHAnsi" w:hAnsiTheme="minorHAnsi"/>
          <w:lang w:val="en-US"/>
        </w:rPr>
        <w:t xml:space="preserve"> </w:t>
      </w:r>
      <w:r w:rsidRPr="008E38BD">
        <w:rPr>
          <w:rFonts w:asciiTheme="minorHAnsi" w:eastAsiaTheme="minorHAnsi" w:hAnsiTheme="minorHAnsi"/>
          <w:lang w:val="en-US"/>
        </w:rPr>
        <w:t>=</w:t>
      </w:r>
      <w:r w:rsidR="00297D08">
        <w:rPr>
          <w:rFonts w:asciiTheme="minorHAnsi" w:eastAsiaTheme="minorHAnsi" w:hAnsiTheme="minorHAnsi"/>
          <w:lang w:val="en-US"/>
        </w:rPr>
        <w:t xml:space="preserve"> </w:t>
      </w:r>
      <w:r w:rsidRPr="008E38BD">
        <w:rPr>
          <w:rFonts w:asciiTheme="minorHAnsi" w:eastAsiaTheme="minorHAnsi" w:hAnsiTheme="minorHAnsi"/>
          <w:lang w:val="en-US"/>
        </w:rPr>
        <w:t>185</w:t>
      </w:r>
      <w:r>
        <w:rPr>
          <w:rFonts w:asciiTheme="minorHAnsi" w:eastAsiaTheme="minorHAnsi" w:hAnsiTheme="minorHAnsi"/>
          <w:lang w:val="en-US"/>
        </w:rPr>
        <w:t xml:space="preserve">; </w:t>
      </w:r>
      <w:r w:rsidR="00775093">
        <w:rPr>
          <w:rFonts w:asciiTheme="minorHAnsi" w:eastAsiaTheme="minorHAnsi" w:hAnsiTheme="minorHAnsi"/>
          <w:lang w:val="en-US"/>
        </w:rPr>
        <w:t>hazard ratio</w:t>
      </w:r>
      <w:r w:rsidRPr="008E38BD">
        <w:rPr>
          <w:rFonts w:asciiTheme="minorHAnsi" w:eastAsiaTheme="minorHAnsi" w:hAnsiTheme="minorHAnsi"/>
          <w:lang w:val="en-US"/>
        </w:rPr>
        <w:t xml:space="preserve"> 0.54, 95% CI 0.33, 0.88)</w:t>
      </w:r>
      <w:r>
        <w:rPr>
          <w:rFonts w:asciiTheme="minorHAnsi" w:eastAsiaTheme="minorHAnsi" w:hAnsiTheme="minorHAnsi"/>
          <w:lang w:val="en-US"/>
        </w:rPr>
        <w:t xml:space="preserve"> was consistent with the primary efficacy endpoint</w:t>
      </w:r>
      <w:r w:rsidR="00370429">
        <w:rPr>
          <w:rFonts w:asciiTheme="minorHAnsi" w:eastAsiaTheme="minorHAnsi" w:hAnsiTheme="minorHAnsi"/>
          <w:lang w:val="en-US"/>
        </w:rPr>
        <w:t xml:space="preserve">. </w:t>
      </w:r>
      <w:r>
        <w:rPr>
          <w:rFonts w:asciiTheme="minorHAnsi" w:eastAsiaTheme="minorHAnsi" w:hAnsiTheme="minorHAnsi"/>
          <w:lang w:val="en-US"/>
        </w:rPr>
        <w:t xml:space="preserve">ORR in patients with a </w:t>
      </w:r>
      <w:r w:rsidRPr="00CB732F">
        <w:rPr>
          <w:rFonts w:asciiTheme="minorHAnsi" w:eastAsiaTheme="minorHAnsi" w:hAnsiTheme="minorHAnsi"/>
          <w:i/>
          <w:lang w:val="en-US"/>
        </w:rPr>
        <w:t>PIK3CA</w:t>
      </w:r>
      <w:r>
        <w:rPr>
          <w:rFonts w:asciiTheme="minorHAnsi" w:eastAsiaTheme="minorHAnsi" w:hAnsiTheme="minorHAnsi"/>
          <w:lang w:val="en-US"/>
        </w:rPr>
        <w:t xml:space="preserve"> mutation detected in </w:t>
      </w:r>
      <w:proofErr w:type="spellStart"/>
      <w:r>
        <w:rPr>
          <w:rFonts w:asciiTheme="minorHAnsi" w:eastAsiaTheme="minorHAnsi" w:hAnsiTheme="minorHAnsi"/>
          <w:lang w:val="en-US"/>
        </w:rPr>
        <w:t>ctDNA</w:t>
      </w:r>
      <w:proofErr w:type="spellEnd"/>
      <w:r>
        <w:rPr>
          <w:rFonts w:asciiTheme="minorHAnsi" w:eastAsiaTheme="minorHAnsi" w:hAnsiTheme="minorHAnsi"/>
          <w:lang w:val="en-US"/>
        </w:rPr>
        <w:t xml:space="preserve"> (28.3% </w:t>
      </w:r>
      <w:r w:rsidR="00297D08">
        <w:rPr>
          <w:rFonts w:asciiTheme="minorHAnsi" w:eastAsiaTheme="minorHAnsi" w:hAnsiTheme="minorHAnsi"/>
          <w:lang w:val="en-US"/>
        </w:rPr>
        <w:t>versus</w:t>
      </w:r>
      <w:r>
        <w:rPr>
          <w:rFonts w:asciiTheme="minorHAnsi" w:eastAsiaTheme="minorHAnsi" w:hAnsiTheme="minorHAnsi"/>
          <w:lang w:val="en-US"/>
        </w:rPr>
        <w:t xml:space="preserve"> 9.6%) was similar to the results based on</w:t>
      </w:r>
      <w:r w:rsidRPr="00A9127C">
        <w:rPr>
          <w:rFonts w:asciiTheme="minorHAnsi" w:eastAsiaTheme="minorHAnsi" w:hAnsiTheme="minorHAnsi"/>
        </w:rPr>
        <w:t xml:space="preserve"> tumour</w:t>
      </w:r>
      <w:r>
        <w:rPr>
          <w:rFonts w:asciiTheme="minorHAnsi" w:eastAsiaTheme="minorHAnsi" w:hAnsiTheme="minorHAnsi"/>
          <w:lang w:val="en-US"/>
        </w:rPr>
        <w:t xml:space="preserve"> tissue testing.</w:t>
      </w:r>
    </w:p>
    <w:p w14:paraId="254A95EB" w14:textId="6305BA63" w:rsidR="00584817" w:rsidRDefault="00C22B8B" w:rsidP="00C22B8B">
      <w:pPr>
        <w:rPr>
          <w:lang w:val="en-US"/>
        </w:rPr>
      </w:pPr>
      <w:r w:rsidRPr="00691422">
        <w:rPr>
          <w:lang w:val="en-US"/>
        </w:rPr>
        <w:t xml:space="preserve">In the </w:t>
      </w:r>
      <w:r w:rsidRPr="00CB732F">
        <w:rPr>
          <w:i/>
          <w:lang w:val="en-US"/>
        </w:rPr>
        <w:t>PIK3CA</w:t>
      </w:r>
      <w:r w:rsidRPr="00691422">
        <w:rPr>
          <w:lang w:val="en-US"/>
        </w:rPr>
        <w:t xml:space="preserve"> mutant cohort, there was no difference </w:t>
      </w:r>
      <w:proofErr w:type="gramStart"/>
      <w:r>
        <w:rPr>
          <w:lang w:val="en-US"/>
        </w:rPr>
        <w:t xml:space="preserve">between </w:t>
      </w:r>
      <w:r w:rsidRPr="00691422">
        <w:rPr>
          <w:lang w:val="en-US"/>
        </w:rPr>
        <w:t xml:space="preserve">the treatment </w:t>
      </w:r>
      <w:r>
        <w:rPr>
          <w:lang w:val="en-US"/>
        </w:rPr>
        <w:t>arms</w:t>
      </w:r>
      <w:r w:rsidRPr="00691422">
        <w:rPr>
          <w:lang w:val="en-US"/>
        </w:rPr>
        <w:t xml:space="preserve"> with respect to</w:t>
      </w:r>
      <w:r>
        <w:rPr>
          <w:lang w:val="en-US"/>
        </w:rPr>
        <w:t xml:space="preserve"> </w:t>
      </w:r>
      <w:r w:rsidRPr="00691422">
        <w:rPr>
          <w:lang w:val="en-US"/>
        </w:rPr>
        <w:t>time to def</w:t>
      </w:r>
      <w:r w:rsidR="00C86F38">
        <w:rPr>
          <w:lang w:val="en-US"/>
        </w:rPr>
        <w:t>initive deterioration in ECOG performance status</w:t>
      </w:r>
      <w:proofErr w:type="gramEnd"/>
      <w:r w:rsidR="00775093">
        <w:rPr>
          <w:lang w:val="en-US"/>
        </w:rPr>
        <w:t xml:space="preserve"> (hazard ratio</w:t>
      </w:r>
      <w:r w:rsidRPr="00691422">
        <w:rPr>
          <w:lang w:val="en-US"/>
        </w:rPr>
        <w:t xml:space="preserve"> = 1.0;</w:t>
      </w:r>
      <w:r>
        <w:rPr>
          <w:lang w:val="en-US"/>
        </w:rPr>
        <w:t xml:space="preserve"> </w:t>
      </w:r>
      <w:r w:rsidRPr="00691422">
        <w:rPr>
          <w:lang w:val="en-US"/>
        </w:rPr>
        <w:t>95% CI: 0.65, 1.53)</w:t>
      </w:r>
      <w:r w:rsidR="00584817">
        <w:rPr>
          <w:lang w:val="en-US"/>
        </w:rPr>
        <w:t>.</w:t>
      </w:r>
    </w:p>
    <w:p w14:paraId="39662B51" w14:textId="1F2FA0B1" w:rsidR="00584817" w:rsidRDefault="00A108D3" w:rsidP="00C22B8B">
      <w:pPr>
        <w:rPr>
          <w:lang w:val="en-US"/>
        </w:rPr>
      </w:pPr>
      <w:r w:rsidRPr="00F65166">
        <w:rPr>
          <w:lang w:val="en-US" w:eastAsia="ja-JP"/>
        </w:rPr>
        <w:t>P</w:t>
      </w:r>
      <w:r>
        <w:rPr>
          <w:lang w:val="en-US" w:eastAsia="ja-JP"/>
        </w:rPr>
        <w:t>atient reported outcome</w:t>
      </w:r>
      <w:r w:rsidRPr="00F65166">
        <w:rPr>
          <w:lang w:val="en-US" w:eastAsia="ja-JP"/>
        </w:rPr>
        <w:t xml:space="preserve"> </w:t>
      </w:r>
      <w:r>
        <w:rPr>
          <w:lang w:val="en-US" w:eastAsia="ja-JP"/>
        </w:rPr>
        <w:t xml:space="preserve">data collection declined after Cycle 7, limiting the conclusions that </w:t>
      </w:r>
      <w:proofErr w:type="gramStart"/>
      <w:r>
        <w:rPr>
          <w:lang w:val="en-US" w:eastAsia="ja-JP"/>
        </w:rPr>
        <w:t>can be drawn</w:t>
      </w:r>
      <w:proofErr w:type="gramEnd"/>
      <w:r>
        <w:rPr>
          <w:lang w:val="en-US" w:eastAsia="ja-JP"/>
        </w:rPr>
        <w:t xml:space="preserve"> about quality of life differences. </w:t>
      </w:r>
      <w:proofErr w:type="spellStart"/>
      <w:r w:rsidR="00C22B8B">
        <w:rPr>
          <w:lang w:val="en-US"/>
        </w:rPr>
        <w:t>HRQoL</w:t>
      </w:r>
      <w:proofErr w:type="spellEnd"/>
      <w:r w:rsidR="00C22B8B">
        <w:rPr>
          <w:lang w:val="en-US"/>
        </w:rPr>
        <w:t xml:space="preserve"> measures in the mutant cohort appeared to be broadly similar across the treatment arms, but there was a pattern of lower </w:t>
      </w:r>
      <w:r w:rsidR="00C22B8B" w:rsidRPr="003042CE">
        <w:rPr>
          <w:rFonts w:asciiTheme="minorHAnsi" w:eastAsiaTheme="minorHAnsi" w:hAnsiTheme="minorHAnsi" w:cs="Arial"/>
        </w:rPr>
        <w:t>EORTC QLQ-C30</w:t>
      </w:r>
      <w:r w:rsidR="00C22B8B">
        <w:rPr>
          <w:rFonts w:asciiTheme="minorHAnsi" w:eastAsiaTheme="minorHAnsi" w:hAnsiTheme="minorHAnsi" w:cs="Arial"/>
        </w:rPr>
        <w:t xml:space="preserve"> scores </w:t>
      </w:r>
      <w:r w:rsidR="00C22B8B">
        <w:rPr>
          <w:lang w:val="en-US"/>
        </w:rPr>
        <w:t xml:space="preserve">in the </w:t>
      </w:r>
      <w:proofErr w:type="spellStart"/>
      <w:r w:rsidR="00C22B8B">
        <w:rPr>
          <w:lang w:val="en-US"/>
        </w:rPr>
        <w:t>alpelisib</w:t>
      </w:r>
      <w:proofErr w:type="spellEnd"/>
      <w:r w:rsidR="00C22B8B">
        <w:rPr>
          <w:lang w:val="en-US"/>
        </w:rPr>
        <w:t xml:space="preserve"> plus </w:t>
      </w:r>
      <w:proofErr w:type="spellStart"/>
      <w:r w:rsidR="00C22B8B">
        <w:rPr>
          <w:lang w:val="en-US"/>
        </w:rPr>
        <w:t>fulvestrant</w:t>
      </w:r>
      <w:proofErr w:type="spellEnd"/>
      <w:r w:rsidR="00C22B8B">
        <w:rPr>
          <w:lang w:val="en-US"/>
        </w:rPr>
        <w:t xml:space="preserve"> arm over the duration of the study</w:t>
      </w:r>
      <w:r w:rsidR="00584817">
        <w:rPr>
          <w:lang w:val="en-US"/>
        </w:rPr>
        <w:t>.</w:t>
      </w:r>
    </w:p>
    <w:p w14:paraId="1F989F30" w14:textId="77777777" w:rsidR="00C22B8B" w:rsidRDefault="00C22B8B" w:rsidP="00C22B8B">
      <w:pPr>
        <w:pStyle w:val="Heading4"/>
      </w:pPr>
      <w:r w:rsidRPr="00AA53F4">
        <w:t>Safety</w:t>
      </w:r>
    </w:p>
    <w:p w14:paraId="3D1FC955" w14:textId="6230A442" w:rsidR="00584817" w:rsidRDefault="00C22B8B" w:rsidP="00C22B8B">
      <w:r>
        <w:t xml:space="preserve">The evaluation of safety focussed primarily on the </w:t>
      </w:r>
      <w:r w:rsidR="00C86F38">
        <w:t>P</w:t>
      </w:r>
      <w:r w:rsidR="00370429">
        <w:t>hase III</w:t>
      </w:r>
      <w:r>
        <w:t xml:space="preserve"> study, SOLAR-1</w:t>
      </w:r>
      <w:r w:rsidR="00C86F38">
        <w:t xml:space="preserve"> trial</w:t>
      </w:r>
      <w:r>
        <w:t xml:space="preserve"> (cut-off </w:t>
      </w:r>
      <w:r w:rsidRPr="00C876EB">
        <w:t>date 12 June 2018)</w:t>
      </w:r>
      <w:r w:rsidR="00370429" w:rsidRPr="00C876EB">
        <w:t xml:space="preserve">. </w:t>
      </w:r>
      <w:r w:rsidRPr="00C876EB">
        <w:t xml:space="preserve">Safety </w:t>
      </w:r>
      <w:r w:rsidR="00297D08" w:rsidRPr="00C876EB">
        <w:t>data from the two dose finding S</w:t>
      </w:r>
      <w:r w:rsidRPr="00C876EB">
        <w:t xml:space="preserve">tudies </w:t>
      </w:r>
      <w:r w:rsidR="00C876EB" w:rsidRPr="00C876EB">
        <w:t xml:space="preserve">CBYL719X2101 </w:t>
      </w:r>
      <w:r w:rsidRPr="00C876EB">
        <w:t xml:space="preserve">and </w:t>
      </w:r>
      <w:r w:rsidR="00C876EB" w:rsidRPr="00C876EB">
        <w:t>CBYL719X1101</w:t>
      </w:r>
      <w:r w:rsidRPr="00C876EB">
        <w:t xml:space="preserve"> were not pooled with SOLAR-1 </w:t>
      </w:r>
      <w:r w:rsidR="00C86F38" w:rsidRPr="00C876EB">
        <w:t xml:space="preserve">trial </w:t>
      </w:r>
      <w:r w:rsidRPr="00C876EB">
        <w:t>data due to differences in the study populations and dosages, but the data were generally consistent with the safety profile from</w:t>
      </w:r>
      <w:r>
        <w:t xml:space="preserve"> SOLAR-1</w:t>
      </w:r>
      <w:r w:rsidR="00C86F38">
        <w:t xml:space="preserve"> trial</w:t>
      </w:r>
      <w:r w:rsidR="00584817">
        <w:t>.</w:t>
      </w:r>
    </w:p>
    <w:p w14:paraId="077B9401" w14:textId="2D87FD03" w:rsidR="00584817" w:rsidRDefault="00C22B8B" w:rsidP="00C22B8B">
      <w:pPr>
        <w:rPr>
          <w:lang w:val="en-US" w:eastAsia="ja-JP"/>
        </w:rPr>
      </w:pPr>
      <w:r>
        <w:rPr>
          <w:lang w:val="en-US" w:eastAsia="ja-JP"/>
        </w:rPr>
        <w:t xml:space="preserve">Of the 571 patients </w:t>
      </w:r>
      <w:r w:rsidRPr="005452DE">
        <w:rPr>
          <w:lang w:val="en-US" w:eastAsia="ja-JP"/>
        </w:rPr>
        <w:t>who received at least one dose of study treatment</w:t>
      </w:r>
      <w:r>
        <w:rPr>
          <w:lang w:val="en-US" w:eastAsia="ja-JP"/>
        </w:rPr>
        <w:t xml:space="preserve"> in </w:t>
      </w:r>
      <w:r w:rsidRPr="00C21B1A">
        <w:rPr>
          <w:lang w:val="en-US" w:eastAsia="ja-JP"/>
        </w:rPr>
        <w:t>SOLAR-1</w:t>
      </w:r>
      <w:r w:rsidR="00C86F38">
        <w:rPr>
          <w:lang w:val="en-US" w:eastAsia="ja-JP"/>
        </w:rPr>
        <w:t xml:space="preserve"> trial</w:t>
      </w:r>
      <w:r>
        <w:rPr>
          <w:lang w:val="en-US" w:eastAsia="ja-JP"/>
        </w:rPr>
        <w:t xml:space="preserve">, </w:t>
      </w:r>
      <w:r w:rsidRPr="00BB3D0B">
        <w:rPr>
          <w:lang w:val="en-US" w:eastAsia="ja-JP"/>
        </w:rPr>
        <w:t xml:space="preserve">284 </w:t>
      </w:r>
      <w:proofErr w:type="gramStart"/>
      <w:r w:rsidRPr="00BB3D0B">
        <w:rPr>
          <w:lang w:val="en-US" w:eastAsia="ja-JP"/>
        </w:rPr>
        <w:t xml:space="preserve">were </w:t>
      </w:r>
      <w:proofErr w:type="spellStart"/>
      <w:r w:rsidRPr="00BB3D0B">
        <w:rPr>
          <w:lang w:val="en-US" w:eastAsia="ja-JP"/>
        </w:rPr>
        <w:t>randomi</w:t>
      </w:r>
      <w:r>
        <w:rPr>
          <w:lang w:val="en-US" w:eastAsia="ja-JP"/>
        </w:rPr>
        <w:t>s</w:t>
      </w:r>
      <w:r w:rsidRPr="00BB3D0B">
        <w:rPr>
          <w:lang w:val="en-US" w:eastAsia="ja-JP"/>
        </w:rPr>
        <w:t>ed</w:t>
      </w:r>
      <w:proofErr w:type="spellEnd"/>
      <w:proofErr w:type="gramEnd"/>
      <w:r w:rsidRPr="00BB3D0B">
        <w:rPr>
          <w:lang w:val="en-US" w:eastAsia="ja-JP"/>
        </w:rPr>
        <w:t xml:space="preserve"> to </w:t>
      </w:r>
      <w:proofErr w:type="spellStart"/>
      <w:r w:rsidRPr="00BB3D0B">
        <w:rPr>
          <w:lang w:val="en-US" w:eastAsia="ja-JP"/>
        </w:rPr>
        <w:t>alpelisib</w:t>
      </w:r>
      <w:proofErr w:type="spellEnd"/>
      <w:r w:rsidRPr="00BB3D0B">
        <w:rPr>
          <w:lang w:val="en-US" w:eastAsia="ja-JP"/>
        </w:rPr>
        <w:t xml:space="preserve"> plus</w:t>
      </w:r>
      <w:r>
        <w:rPr>
          <w:lang w:val="en-US" w:eastAsia="ja-JP"/>
        </w:rPr>
        <w:t xml:space="preserve"> </w:t>
      </w:r>
      <w:proofErr w:type="spellStart"/>
      <w:r w:rsidRPr="00BB3D0B">
        <w:rPr>
          <w:lang w:val="en-US" w:eastAsia="ja-JP"/>
        </w:rPr>
        <w:t>fulvestrant</w:t>
      </w:r>
      <w:proofErr w:type="spellEnd"/>
      <w:r w:rsidRPr="00BB3D0B">
        <w:rPr>
          <w:lang w:val="en-US" w:eastAsia="ja-JP"/>
        </w:rPr>
        <w:t xml:space="preserve"> (169 in the </w:t>
      </w:r>
      <w:r w:rsidRPr="00CB732F">
        <w:rPr>
          <w:i/>
          <w:lang w:val="en-US" w:eastAsia="ja-JP"/>
        </w:rPr>
        <w:t>PIK3CA</w:t>
      </w:r>
      <w:r w:rsidRPr="00BB3D0B">
        <w:rPr>
          <w:lang w:val="en-US" w:eastAsia="ja-JP"/>
        </w:rPr>
        <w:t xml:space="preserve"> mutant cohort and 115 in the non-mutant cohort) and 287 to placebo plus </w:t>
      </w:r>
      <w:proofErr w:type="spellStart"/>
      <w:r w:rsidRPr="00BB3D0B">
        <w:rPr>
          <w:lang w:val="en-US" w:eastAsia="ja-JP"/>
        </w:rPr>
        <w:t>fulvestrant</w:t>
      </w:r>
      <w:proofErr w:type="spellEnd"/>
      <w:r w:rsidRPr="00BB3D0B">
        <w:rPr>
          <w:lang w:val="en-US" w:eastAsia="ja-JP"/>
        </w:rPr>
        <w:t xml:space="preserve"> (171 in the</w:t>
      </w:r>
      <w:r>
        <w:rPr>
          <w:lang w:val="en-US" w:eastAsia="ja-JP"/>
        </w:rPr>
        <w:t xml:space="preserve"> </w:t>
      </w:r>
      <w:r w:rsidRPr="00CB732F">
        <w:rPr>
          <w:i/>
          <w:lang w:val="en-US" w:eastAsia="ja-JP"/>
        </w:rPr>
        <w:t>PIK3CA</w:t>
      </w:r>
      <w:r w:rsidRPr="00BB3D0B">
        <w:rPr>
          <w:lang w:val="en-US" w:eastAsia="ja-JP"/>
        </w:rPr>
        <w:t xml:space="preserve"> mutant cohort and 116 in the non-mutant cohort)</w:t>
      </w:r>
      <w:r w:rsidR="00370429">
        <w:rPr>
          <w:lang w:val="en-US" w:eastAsia="ja-JP"/>
        </w:rPr>
        <w:t xml:space="preserve">. </w:t>
      </w:r>
      <w:r w:rsidRPr="00BB3D0B">
        <w:rPr>
          <w:lang w:val="en-US" w:eastAsia="ja-JP"/>
        </w:rPr>
        <w:t xml:space="preserve">The presence or absence of </w:t>
      </w:r>
      <w:r w:rsidRPr="00CB732F">
        <w:rPr>
          <w:i/>
          <w:lang w:val="en-US" w:eastAsia="ja-JP"/>
        </w:rPr>
        <w:t>PIK3CA</w:t>
      </w:r>
      <w:r w:rsidRPr="00BB3D0B">
        <w:rPr>
          <w:lang w:val="en-US" w:eastAsia="ja-JP"/>
        </w:rPr>
        <w:t xml:space="preserve"> mutations </w:t>
      </w:r>
      <w:proofErr w:type="gramStart"/>
      <w:r w:rsidRPr="00BB3D0B">
        <w:rPr>
          <w:lang w:val="en-US" w:eastAsia="ja-JP"/>
        </w:rPr>
        <w:t xml:space="preserve">was not </w:t>
      </w:r>
      <w:r>
        <w:rPr>
          <w:lang w:val="en-US" w:eastAsia="ja-JP"/>
        </w:rPr>
        <w:t>expec</w:t>
      </w:r>
      <w:r w:rsidRPr="00BB3D0B">
        <w:rPr>
          <w:lang w:val="en-US" w:eastAsia="ja-JP"/>
        </w:rPr>
        <w:t>ted</w:t>
      </w:r>
      <w:proofErr w:type="gramEnd"/>
      <w:r w:rsidRPr="00BB3D0B">
        <w:rPr>
          <w:lang w:val="en-US" w:eastAsia="ja-JP"/>
        </w:rPr>
        <w:t xml:space="preserve"> to affect the</w:t>
      </w:r>
      <w:r>
        <w:rPr>
          <w:lang w:val="en-US" w:eastAsia="ja-JP"/>
        </w:rPr>
        <w:t xml:space="preserve"> safety profile</w:t>
      </w:r>
      <w:r w:rsidR="00370429">
        <w:rPr>
          <w:lang w:val="en-US" w:eastAsia="ja-JP"/>
        </w:rPr>
        <w:t xml:space="preserve">. </w:t>
      </w:r>
      <w:r>
        <w:rPr>
          <w:lang w:val="en-US" w:eastAsia="ja-JP"/>
        </w:rPr>
        <w:t>T</w:t>
      </w:r>
      <w:r w:rsidRPr="00BB3D0B">
        <w:rPr>
          <w:lang w:val="en-US" w:eastAsia="ja-JP"/>
        </w:rPr>
        <w:t xml:space="preserve">he incidence of </w:t>
      </w:r>
      <w:r w:rsidR="001B3F84">
        <w:rPr>
          <w:lang w:val="en-US" w:eastAsia="ja-JP"/>
        </w:rPr>
        <w:t>adverse events (</w:t>
      </w:r>
      <w:r w:rsidRPr="00BB3D0B">
        <w:rPr>
          <w:lang w:val="en-US" w:eastAsia="ja-JP"/>
        </w:rPr>
        <w:t>AE</w:t>
      </w:r>
      <w:r w:rsidR="00311E0A">
        <w:rPr>
          <w:lang w:val="en-US" w:eastAsia="ja-JP"/>
        </w:rPr>
        <w:t>s</w:t>
      </w:r>
      <w:r w:rsidR="001B3F84">
        <w:rPr>
          <w:lang w:val="en-US" w:eastAsia="ja-JP"/>
        </w:rPr>
        <w:t>)</w:t>
      </w:r>
      <w:r w:rsidRPr="00BB3D0B">
        <w:rPr>
          <w:lang w:val="en-US" w:eastAsia="ja-JP"/>
        </w:rPr>
        <w:t xml:space="preserve">, </w:t>
      </w:r>
      <w:r w:rsidR="001B3F84">
        <w:rPr>
          <w:lang w:val="en-US" w:eastAsia="ja-JP"/>
        </w:rPr>
        <w:t>serious adverse events (</w:t>
      </w:r>
      <w:r w:rsidRPr="00BB3D0B">
        <w:rPr>
          <w:lang w:val="en-US" w:eastAsia="ja-JP"/>
        </w:rPr>
        <w:t>SAE</w:t>
      </w:r>
      <w:r w:rsidR="00311E0A">
        <w:rPr>
          <w:lang w:val="en-US" w:eastAsia="ja-JP"/>
        </w:rPr>
        <w:t>s</w:t>
      </w:r>
      <w:r w:rsidR="001B3F84">
        <w:rPr>
          <w:lang w:val="en-US" w:eastAsia="ja-JP"/>
        </w:rPr>
        <w:t>)</w:t>
      </w:r>
      <w:r w:rsidRPr="00BB3D0B">
        <w:rPr>
          <w:lang w:val="en-US" w:eastAsia="ja-JP"/>
        </w:rPr>
        <w:t xml:space="preserve">, and </w:t>
      </w:r>
      <w:r w:rsidR="001B3F84">
        <w:rPr>
          <w:lang w:val="en-US" w:eastAsia="ja-JP"/>
        </w:rPr>
        <w:t>adverse events of special inte</w:t>
      </w:r>
      <w:r w:rsidR="00311E0A">
        <w:rPr>
          <w:lang w:val="en-US" w:eastAsia="ja-JP"/>
        </w:rPr>
        <w:t>rest</w:t>
      </w:r>
      <w:r w:rsidR="00CB732F">
        <w:rPr>
          <w:lang w:val="en-US" w:eastAsia="ja-JP"/>
        </w:rPr>
        <w:t xml:space="preserve"> </w:t>
      </w:r>
      <w:r w:rsidR="001B3F84">
        <w:rPr>
          <w:lang w:val="en-US" w:eastAsia="ja-JP"/>
        </w:rPr>
        <w:t>(</w:t>
      </w:r>
      <w:r w:rsidRPr="00BB3D0B">
        <w:rPr>
          <w:lang w:val="en-US" w:eastAsia="ja-JP"/>
        </w:rPr>
        <w:t>AESI</w:t>
      </w:r>
      <w:r w:rsidR="00311E0A">
        <w:rPr>
          <w:lang w:val="en-US" w:eastAsia="ja-JP"/>
        </w:rPr>
        <w:t>s</w:t>
      </w:r>
      <w:r w:rsidR="001B3F84">
        <w:rPr>
          <w:lang w:val="en-US" w:eastAsia="ja-JP"/>
        </w:rPr>
        <w:t>)</w:t>
      </w:r>
      <w:r w:rsidRPr="00BB3D0B">
        <w:rPr>
          <w:lang w:val="en-US" w:eastAsia="ja-JP"/>
        </w:rPr>
        <w:t xml:space="preserve"> was generally consistent between the </w:t>
      </w:r>
      <w:r w:rsidRPr="00CB732F">
        <w:rPr>
          <w:i/>
          <w:lang w:val="en-US" w:eastAsia="ja-JP"/>
        </w:rPr>
        <w:t>PIK3CA</w:t>
      </w:r>
      <w:r>
        <w:rPr>
          <w:lang w:val="en-US" w:eastAsia="ja-JP"/>
        </w:rPr>
        <w:t xml:space="preserve"> </w:t>
      </w:r>
      <w:r w:rsidRPr="00BB3D0B">
        <w:rPr>
          <w:lang w:val="en-US" w:eastAsia="ja-JP"/>
        </w:rPr>
        <w:t>mutant and non-mutant cohorts</w:t>
      </w:r>
      <w:r>
        <w:rPr>
          <w:lang w:val="en-US" w:eastAsia="ja-JP"/>
        </w:rPr>
        <w:t>,</w:t>
      </w:r>
      <w:r w:rsidRPr="00BB3D0B">
        <w:rPr>
          <w:lang w:val="en-US" w:eastAsia="ja-JP"/>
        </w:rPr>
        <w:t xml:space="preserve"> </w:t>
      </w:r>
      <w:r>
        <w:rPr>
          <w:lang w:val="en-US" w:eastAsia="ja-JP"/>
        </w:rPr>
        <w:t>so</w:t>
      </w:r>
      <w:r w:rsidRPr="00BB3D0B">
        <w:rPr>
          <w:lang w:val="en-US" w:eastAsia="ja-JP"/>
        </w:rPr>
        <w:t xml:space="preserve"> safety data from both cohorts </w:t>
      </w:r>
      <w:proofErr w:type="gramStart"/>
      <w:r w:rsidRPr="00BB3D0B">
        <w:rPr>
          <w:lang w:val="en-US" w:eastAsia="ja-JP"/>
        </w:rPr>
        <w:t xml:space="preserve">were </w:t>
      </w:r>
      <w:r>
        <w:rPr>
          <w:lang w:val="en-US" w:eastAsia="ja-JP"/>
        </w:rPr>
        <w:t>presented</w:t>
      </w:r>
      <w:proofErr w:type="gramEnd"/>
      <w:r>
        <w:rPr>
          <w:lang w:val="en-US" w:eastAsia="ja-JP"/>
        </w:rPr>
        <w:t xml:space="preserve"> together</w:t>
      </w:r>
      <w:r w:rsidR="00584817">
        <w:rPr>
          <w:lang w:val="en-US" w:eastAsia="ja-JP"/>
        </w:rPr>
        <w:t>.</w:t>
      </w:r>
    </w:p>
    <w:p w14:paraId="2AE9A0D6" w14:textId="23E55C66" w:rsidR="00C22B8B" w:rsidRDefault="00C22B8B" w:rsidP="00C22B8B">
      <w:pPr>
        <w:rPr>
          <w:lang w:val="en-US" w:eastAsia="ja-JP"/>
        </w:rPr>
      </w:pPr>
      <w:r w:rsidRPr="003612B2">
        <w:rPr>
          <w:lang w:val="en-US" w:eastAsia="ja-JP"/>
        </w:rPr>
        <w:t xml:space="preserve">In the </w:t>
      </w:r>
      <w:proofErr w:type="spellStart"/>
      <w:r w:rsidRPr="003612B2">
        <w:rPr>
          <w:lang w:val="en-US" w:eastAsia="ja-JP"/>
        </w:rPr>
        <w:t>alpelisib</w:t>
      </w:r>
      <w:proofErr w:type="spellEnd"/>
      <w:r w:rsidRPr="003612B2">
        <w:rPr>
          <w:lang w:val="en-US" w:eastAsia="ja-JP"/>
        </w:rPr>
        <w:t xml:space="preserve"> plus </w:t>
      </w:r>
      <w:proofErr w:type="spellStart"/>
      <w:r w:rsidRPr="003612B2">
        <w:rPr>
          <w:lang w:val="en-US" w:eastAsia="ja-JP"/>
        </w:rPr>
        <w:t>fulvestrant</w:t>
      </w:r>
      <w:proofErr w:type="spellEnd"/>
      <w:r w:rsidRPr="003612B2">
        <w:rPr>
          <w:lang w:val="en-US" w:eastAsia="ja-JP"/>
        </w:rPr>
        <w:t xml:space="preserve"> </w:t>
      </w:r>
      <w:r>
        <w:rPr>
          <w:lang w:val="en-US" w:eastAsia="ja-JP"/>
        </w:rPr>
        <w:t>arm</w:t>
      </w:r>
      <w:r w:rsidRPr="003612B2">
        <w:rPr>
          <w:lang w:val="en-US" w:eastAsia="ja-JP"/>
        </w:rPr>
        <w:t xml:space="preserve">, </w:t>
      </w:r>
      <w:r>
        <w:rPr>
          <w:lang w:val="en-US" w:eastAsia="ja-JP"/>
        </w:rPr>
        <w:t xml:space="preserve">median duration of </w:t>
      </w:r>
      <w:r w:rsidRPr="003612B2">
        <w:rPr>
          <w:lang w:val="en-US" w:eastAsia="ja-JP"/>
        </w:rPr>
        <w:t xml:space="preserve">exposure </w:t>
      </w:r>
      <w:r>
        <w:rPr>
          <w:lang w:val="en-US" w:eastAsia="ja-JP"/>
        </w:rPr>
        <w:t>was</w:t>
      </w:r>
      <w:r w:rsidRPr="003612B2">
        <w:rPr>
          <w:lang w:val="en-US" w:eastAsia="ja-JP"/>
        </w:rPr>
        <w:t xml:space="preserve"> 5.5 months </w:t>
      </w:r>
      <w:r>
        <w:rPr>
          <w:lang w:val="en-US" w:eastAsia="ja-JP"/>
        </w:rPr>
        <w:t xml:space="preserve">for </w:t>
      </w:r>
      <w:proofErr w:type="spellStart"/>
      <w:r>
        <w:rPr>
          <w:lang w:val="en-US" w:eastAsia="ja-JP"/>
        </w:rPr>
        <w:t>alpelisib</w:t>
      </w:r>
      <w:proofErr w:type="spellEnd"/>
      <w:r>
        <w:rPr>
          <w:lang w:val="en-US" w:eastAsia="ja-JP"/>
        </w:rPr>
        <w:t xml:space="preserve"> and </w:t>
      </w:r>
      <w:r w:rsidRPr="003612B2">
        <w:rPr>
          <w:lang w:val="en-US" w:eastAsia="ja-JP"/>
        </w:rPr>
        <w:t xml:space="preserve">8.2 </w:t>
      </w:r>
      <w:r>
        <w:rPr>
          <w:lang w:val="en-US" w:eastAsia="ja-JP"/>
        </w:rPr>
        <w:t xml:space="preserve">months for </w:t>
      </w:r>
      <w:proofErr w:type="spellStart"/>
      <w:r w:rsidRPr="003612B2">
        <w:rPr>
          <w:lang w:val="en-US" w:eastAsia="ja-JP"/>
        </w:rPr>
        <w:t>fulvestrant</w:t>
      </w:r>
      <w:proofErr w:type="spellEnd"/>
      <w:r w:rsidR="00370429">
        <w:rPr>
          <w:lang w:val="en-US" w:eastAsia="ja-JP"/>
        </w:rPr>
        <w:t xml:space="preserve">. </w:t>
      </w:r>
      <w:r w:rsidRPr="003612B2">
        <w:rPr>
          <w:lang w:val="en-US" w:eastAsia="ja-JP"/>
        </w:rPr>
        <w:t xml:space="preserve">The median duration of exposure to </w:t>
      </w:r>
      <w:proofErr w:type="spellStart"/>
      <w:r w:rsidRPr="003612B2">
        <w:rPr>
          <w:lang w:val="en-US" w:eastAsia="ja-JP"/>
        </w:rPr>
        <w:t>alpelisib</w:t>
      </w:r>
      <w:proofErr w:type="spellEnd"/>
      <w:r w:rsidRPr="003612B2">
        <w:rPr>
          <w:lang w:val="en-US" w:eastAsia="ja-JP"/>
        </w:rPr>
        <w:t xml:space="preserve"> was similar in the two cohorts</w:t>
      </w:r>
      <w:r w:rsidR="00370429">
        <w:rPr>
          <w:lang w:val="en-US" w:eastAsia="ja-JP"/>
        </w:rPr>
        <w:t xml:space="preserve">. </w:t>
      </w:r>
      <w:r>
        <w:rPr>
          <w:lang w:val="en-US" w:eastAsia="ja-JP"/>
        </w:rPr>
        <w:t xml:space="preserve">In the placebo plus </w:t>
      </w:r>
      <w:proofErr w:type="spellStart"/>
      <w:r>
        <w:rPr>
          <w:lang w:val="en-US" w:eastAsia="ja-JP"/>
        </w:rPr>
        <w:t>fulvestrant</w:t>
      </w:r>
      <w:proofErr w:type="spellEnd"/>
      <w:r>
        <w:rPr>
          <w:lang w:val="en-US" w:eastAsia="ja-JP"/>
        </w:rPr>
        <w:t xml:space="preserve"> group, median duration of exposure was 5.6 months for each.</w:t>
      </w:r>
    </w:p>
    <w:p w14:paraId="5FCC0D9A" w14:textId="77FD6ACC" w:rsidR="00584817" w:rsidRDefault="00C22B8B" w:rsidP="00C22B8B">
      <w:pPr>
        <w:autoSpaceDE w:val="0"/>
        <w:autoSpaceDN w:val="0"/>
        <w:adjustRightInd w:val="0"/>
        <w:spacing w:line="240" w:lineRule="auto"/>
        <w:rPr>
          <w:rFonts w:asciiTheme="minorHAnsi" w:eastAsiaTheme="minorHAnsi" w:hAnsiTheme="minorHAnsi"/>
          <w:lang w:val="en-US"/>
        </w:rPr>
      </w:pPr>
      <w:r w:rsidRPr="00655418">
        <w:rPr>
          <w:lang w:val="en-US" w:eastAsia="ja-JP"/>
        </w:rPr>
        <w:t>AEs</w:t>
      </w:r>
      <w:r>
        <w:rPr>
          <w:lang w:val="en-US" w:eastAsia="ja-JP"/>
        </w:rPr>
        <w:t>,</w:t>
      </w:r>
      <w:r w:rsidRPr="00655418">
        <w:rPr>
          <w:lang w:val="en-US" w:eastAsia="ja-JP"/>
        </w:rPr>
        <w:t xml:space="preserve"> </w:t>
      </w:r>
      <w:r w:rsidR="00BC6EC4">
        <w:rPr>
          <w:lang w:val="en-US" w:eastAsia="ja-JP"/>
        </w:rPr>
        <w:t>G</w:t>
      </w:r>
      <w:r w:rsidR="00297D08">
        <w:rPr>
          <w:lang w:val="en-US" w:eastAsia="ja-JP"/>
        </w:rPr>
        <w:t xml:space="preserve">rade 3 to </w:t>
      </w:r>
      <w:r>
        <w:rPr>
          <w:lang w:val="en-US" w:eastAsia="ja-JP"/>
        </w:rPr>
        <w:t xml:space="preserve">4 AEs, </w:t>
      </w:r>
      <w:r w:rsidRPr="00655418">
        <w:rPr>
          <w:lang w:val="en-US" w:eastAsia="ja-JP"/>
        </w:rPr>
        <w:t>SAEs, AEs leading to discontinuation, and</w:t>
      </w:r>
      <w:r>
        <w:rPr>
          <w:lang w:val="en-US" w:eastAsia="ja-JP"/>
        </w:rPr>
        <w:t xml:space="preserve"> </w:t>
      </w:r>
      <w:r w:rsidRPr="00655418">
        <w:rPr>
          <w:lang w:val="en-US" w:eastAsia="ja-JP"/>
        </w:rPr>
        <w:t>AEs leading to dose adjustment</w:t>
      </w:r>
      <w:r>
        <w:rPr>
          <w:lang w:val="en-US" w:eastAsia="ja-JP"/>
        </w:rPr>
        <w:t>/interruption</w:t>
      </w:r>
      <w:r w:rsidRPr="00655418">
        <w:rPr>
          <w:lang w:val="en-US" w:eastAsia="ja-JP"/>
        </w:rPr>
        <w:t xml:space="preserve"> </w:t>
      </w:r>
      <w:r>
        <w:rPr>
          <w:lang w:val="en-US" w:eastAsia="ja-JP"/>
        </w:rPr>
        <w:t>all occurred more commonly</w:t>
      </w:r>
      <w:r w:rsidRPr="00655418">
        <w:rPr>
          <w:lang w:val="en-US" w:eastAsia="ja-JP"/>
        </w:rPr>
        <w:t xml:space="preserve"> in the </w:t>
      </w:r>
      <w:proofErr w:type="spellStart"/>
      <w:r w:rsidRPr="00655418">
        <w:rPr>
          <w:lang w:val="en-US" w:eastAsia="ja-JP"/>
        </w:rPr>
        <w:t>alpelisib</w:t>
      </w:r>
      <w:proofErr w:type="spellEnd"/>
      <w:r w:rsidRPr="00655418">
        <w:rPr>
          <w:lang w:val="en-US" w:eastAsia="ja-JP"/>
        </w:rPr>
        <w:t xml:space="preserve"> plus </w:t>
      </w:r>
      <w:proofErr w:type="spellStart"/>
      <w:r w:rsidRPr="00655418">
        <w:rPr>
          <w:lang w:val="en-US" w:eastAsia="ja-JP"/>
        </w:rPr>
        <w:t>fulvestrant</w:t>
      </w:r>
      <w:proofErr w:type="spellEnd"/>
      <w:r w:rsidRPr="00655418">
        <w:rPr>
          <w:lang w:val="en-US" w:eastAsia="ja-JP"/>
        </w:rPr>
        <w:t xml:space="preserve"> group</w:t>
      </w:r>
      <w:r>
        <w:rPr>
          <w:lang w:val="en-US" w:eastAsia="ja-JP"/>
        </w:rPr>
        <w:t xml:space="preserve"> (</w:t>
      </w:r>
      <w:r>
        <w:rPr>
          <w:lang w:val="en-US" w:eastAsia="ja-JP"/>
        </w:rPr>
        <w:fldChar w:fldCharType="begin"/>
      </w:r>
      <w:r>
        <w:rPr>
          <w:lang w:val="en-US" w:eastAsia="ja-JP"/>
        </w:rPr>
        <w:instrText xml:space="preserve"> REF _Ref27986511 \h </w:instrText>
      </w:r>
      <w:r>
        <w:rPr>
          <w:lang w:val="en-US" w:eastAsia="ja-JP"/>
        </w:rPr>
      </w:r>
      <w:r>
        <w:rPr>
          <w:lang w:val="en-US" w:eastAsia="ja-JP"/>
        </w:rPr>
        <w:fldChar w:fldCharType="separate"/>
      </w:r>
      <w:r w:rsidR="007C6ED1">
        <w:t xml:space="preserve">Table </w:t>
      </w:r>
      <w:r w:rsidR="007C6ED1">
        <w:rPr>
          <w:noProof/>
        </w:rPr>
        <w:t>3</w:t>
      </w:r>
      <w:r>
        <w:rPr>
          <w:lang w:val="en-US" w:eastAsia="ja-JP"/>
        </w:rPr>
        <w:fldChar w:fldCharType="end"/>
      </w:r>
      <w:r>
        <w:rPr>
          <w:lang w:val="en-US" w:eastAsia="ja-JP"/>
        </w:rPr>
        <w:t>)</w:t>
      </w:r>
      <w:r w:rsidR="00370429">
        <w:rPr>
          <w:lang w:val="en-US" w:eastAsia="ja-JP"/>
        </w:rPr>
        <w:t xml:space="preserve">. </w:t>
      </w:r>
      <w:r>
        <w:rPr>
          <w:lang w:val="en-US" w:eastAsia="ja-JP"/>
        </w:rPr>
        <w:t>The most frequent AEs (&gt;</w:t>
      </w:r>
      <w:r w:rsidR="00297D08">
        <w:rPr>
          <w:lang w:val="en-US" w:eastAsia="ja-JP"/>
        </w:rPr>
        <w:t xml:space="preserve"> </w:t>
      </w:r>
      <w:proofErr w:type="gramStart"/>
      <w:r>
        <w:rPr>
          <w:lang w:val="en-US" w:eastAsia="ja-JP"/>
        </w:rPr>
        <w:t>10%</w:t>
      </w:r>
      <w:proofErr w:type="gramEnd"/>
      <w:r>
        <w:rPr>
          <w:lang w:val="en-US" w:eastAsia="ja-JP"/>
        </w:rPr>
        <w:t xml:space="preserve">) are listed in </w:t>
      </w:r>
      <w:r>
        <w:rPr>
          <w:lang w:val="en-US" w:eastAsia="ja-JP"/>
        </w:rPr>
        <w:fldChar w:fldCharType="begin"/>
      </w:r>
      <w:r>
        <w:rPr>
          <w:lang w:val="en-US" w:eastAsia="ja-JP"/>
        </w:rPr>
        <w:instrText xml:space="preserve"> REF _Ref17812190 \h </w:instrText>
      </w:r>
      <w:r>
        <w:rPr>
          <w:lang w:val="en-US" w:eastAsia="ja-JP"/>
        </w:rPr>
      </w:r>
      <w:r>
        <w:rPr>
          <w:lang w:val="en-US" w:eastAsia="ja-JP"/>
        </w:rPr>
        <w:fldChar w:fldCharType="separate"/>
      </w:r>
      <w:r w:rsidR="007C6ED1">
        <w:t xml:space="preserve">Table </w:t>
      </w:r>
      <w:r w:rsidR="007C6ED1">
        <w:rPr>
          <w:noProof/>
        </w:rPr>
        <w:t>4</w:t>
      </w:r>
      <w:r>
        <w:rPr>
          <w:lang w:val="en-US" w:eastAsia="ja-JP"/>
        </w:rPr>
        <w:fldChar w:fldCharType="end"/>
      </w:r>
      <w:r w:rsidR="00370429">
        <w:rPr>
          <w:lang w:val="en-US" w:eastAsia="ja-JP"/>
        </w:rPr>
        <w:t xml:space="preserve">. </w:t>
      </w:r>
      <w:proofErr w:type="spellStart"/>
      <w:r>
        <w:rPr>
          <w:lang w:val="en-US" w:eastAsia="ja-JP"/>
        </w:rPr>
        <w:t>Hyperglycaemia</w:t>
      </w:r>
      <w:proofErr w:type="spellEnd"/>
      <w:r>
        <w:rPr>
          <w:lang w:val="en-US" w:eastAsia="ja-JP"/>
        </w:rPr>
        <w:t xml:space="preserve"> was the most commonly reported AE, followed by </w:t>
      </w:r>
      <w:r w:rsidR="001B3F84">
        <w:rPr>
          <w:lang w:val="en-US" w:eastAsia="ja-JP"/>
        </w:rPr>
        <w:t>gastrointestinal (</w:t>
      </w:r>
      <w:r>
        <w:rPr>
          <w:lang w:val="en-US" w:eastAsia="ja-JP"/>
        </w:rPr>
        <w:t>GI</w:t>
      </w:r>
      <w:r w:rsidR="001B3F84">
        <w:rPr>
          <w:lang w:val="en-US" w:eastAsia="ja-JP"/>
        </w:rPr>
        <w:t>)</w:t>
      </w:r>
      <w:r>
        <w:rPr>
          <w:lang w:val="en-US" w:eastAsia="ja-JP"/>
        </w:rPr>
        <w:t xml:space="preserve"> toxicities and fatigue/asthenia</w:t>
      </w:r>
      <w:r w:rsidR="00370429">
        <w:rPr>
          <w:lang w:val="en-US" w:eastAsia="ja-JP"/>
        </w:rPr>
        <w:t xml:space="preserve">. </w:t>
      </w:r>
      <w:r>
        <w:rPr>
          <w:rFonts w:asciiTheme="minorHAnsi" w:eastAsiaTheme="minorHAnsi" w:hAnsiTheme="minorHAnsi"/>
          <w:lang w:val="en-US"/>
        </w:rPr>
        <w:t>AESI are</w:t>
      </w:r>
      <w:r w:rsidRPr="00977ABD">
        <w:rPr>
          <w:rFonts w:asciiTheme="minorHAnsi" w:eastAsiaTheme="minorHAnsi" w:hAnsiTheme="minorHAnsi"/>
        </w:rPr>
        <w:t xml:space="preserve"> summarised</w:t>
      </w:r>
      <w:r>
        <w:rPr>
          <w:rFonts w:asciiTheme="minorHAnsi" w:eastAsiaTheme="minorHAnsi" w:hAnsiTheme="minorHAnsi"/>
          <w:lang w:val="en-US"/>
        </w:rPr>
        <w:t xml:space="preserve"> in </w:t>
      </w:r>
      <w:r>
        <w:rPr>
          <w:rFonts w:asciiTheme="minorHAnsi" w:eastAsiaTheme="minorHAnsi" w:hAnsiTheme="minorHAnsi"/>
          <w:lang w:val="en-US"/>
        </w:rPr>
        <w:fldChar w:fldCharType="begin"/>
      </w:r>
      <w:r>
        <w:rPr>
          <w:rFonts w:asciiTheme="minorHAnsi" w:eastAsiaTheme="minorHAnsi" w:hAnsiTheme="minorHAnsi"/>
          <w:lang w:val="en-US"/>
        </w:rPr>
        <w:instrText xml:space="preserve"> REF _Ref24447649 \h </w:instrText>
      </w:r>
      <w:r>
        <w:rPr>
          <w:rFonts w:asciiTheme="minorHAnsi" w:eastAsiaTheme="minorHAnsi" w:hAnsiTheme="minorHAnsi"/>
          <w:lang w:val="en-US"/>
        </w:rPr>
      </w:r>
      <w:r>
        <w:rPr>
          <w:rFonts w:asciiTheme="minorHAnsi" w:eastAsiaTheme="minorHAnsi" w:hAnsiTheme="minorHAnsi"/>
          <w:lang w:val="en-US"/>
        </w:rPr>
        <w:fldChar w:fldCharType="separate"/>
      </w:r>
      <w:r w:rsidR="007C6ED1">
        <w:t xml:space="preserve">Table </w:t>
      </w:r>
      <w:r w:rsidR="007C6ED1">
        <w:rPr>
          <w:noProof/>
        </w:rPr>
        <w:t>5</w:t>
      </w:r>
      <w:r>
        <w:rPr>
          <w:rFonts w:asciiTheme="minorHAnsi" w:eastAsiaTheme="minorHAnsi" w:hAnsiTheme="minorHAnsi"/>
          <w:lang w:val="en-US"/>
        </w:rPr>
        <w:fldChar w:fldCharType="end"/>
      </w:r>
      <w:r w:rsidR="00584817">
        <w:rPr>
          <w:rFonts w:asciiTheme="minorHAnsi" w:eastAsiaTheme="minorHAnsi" w:hAnsiTheme="minorHAnsi"/>
          <w:lang w:val="en-US"/>
        </w:rPr>
        <w:t>.</w:t>
      </w:r>
    </w:p>
    <w:p w14:paraId="3232C14F" w14:textId="3FF63682" w:rsidR="00584817" w:rsidRDefault="00C22B8B" w:rsidP="00C22B8B">
      <w:pPr>
        <w:rPr>
          <w:lang w:val="en-US" w:eastAsia="ja-JP"/>
        </w:rPr>
      </w:pPr>
      <w:r>
        <w:rPr>
          <w:lang w:val="en-US"/>
        </w:rPr>
        <w:t>AEs requiring &gt;</w:t>
      </w:r>
      <w:r w:rsidR="00297D08">
        <w:rPr>
          <w:lang w:val="en-US"/>
        </w:rPr>
        <w:t xml:space="preserve"> </w:t>
      </w:r>
      <w:proofErr w:type="gramStart"/>
      <w:r>
        <w:rPr>
          <w:lang w:val="en-US"/>
        </w:rPr>
        <w:t>10%</w:t>
      </w:r>
      <w:proofErr w:type="gramEnd"/>
      <w:r>
        <w:rPr>
          <w:lang w:val="en-US"/>
        </w:rPr>
        <w:t xml:space="preserve"> patients to commence additional therapies included </w:t>
      </w:r>
      <w:proofErr w:type="spellStart"/>
      <w:r>
        <w:rPr>
          <w:lang w:val="en-US"/>
        </w:rPr>
        <w:t>hyperglycaemia</w:t>
      </w:r>
      <w:proofErr w:type="spellEnd"/>
      <w:r>
        <w:rPr>
          <w:lang w:val="en-US"/>
        </w:rPr>
        <w:t xml:space="preserve"> (54.9%), diarrhea (30.3%), rash (29.2%, plus maculopapular rash 12.3%), nausea (19.7%), </w:t>
      </w:r>
      <w:r w:rsidRPr="00E3471C">
        <w:rPr>
          <w:lang w:val="en-US"/>
        </w:rPr>
        <w:t xml:space="preserve">stomatitis (19.0%), </w:t>
      </w:r>
      <w:r w:rsidRPr="00E3471C">
        <w:rPr>
          <w:lang w:val="en-US" w:eastAsia="ja-JP"/>
        </w:rPr>
        <w:t>pruritus (11.3%), mucosal inflammation (10.9%), pyrexia (10.9%), and urinary tract infection (10.2%)</w:t>
      </w:r>
      <w:r w:rsidR="00584817">
        <w:rPr>
          <w:lang w:val="en-US" w:eastAsia="ja-JP"/>
        </w:rPr>
        <w:t>.</w:t>
      </w:r>
    </w:p>
    <w:p w14:paraId="7F1152FB" w14:textId="1FFB074D" w:rsidR="00C22B8B" w:rsidRDefault="00C22B8B" w:rsidP="001F2BB7">
      <w:pPr>
        <w:pStyle w:val="TableTitle"/>
      </w:pPr>
      <w:bookmarkStart w:id="45" w:name="_Ref27986511"/>
      <w:r>
        <w:lastRenderedPageBreak/>
        <w:t xml:space="preserve">Table </w:t>
      </w:r>
      <w:r>
        <w:fldChar w:fldCharType="begin"/>
      </w:r>
      <w:r>
        <w:instrText>SEQ Table \* ARABIC</w:instrText>
      </w:r>
      <w:r>
        <w:fldChar w:fldCharType="separate"/>
      </w:r>
      <w:r w:rsidR="007C6ED1">
        <w:rPr>
          <w:noProof/>
        </w:rPr>
        <w:t>3</w:t>
      </w:r>
      <w:r>
        <w:fldChar w:fldCharType="end"/>
      </w:r>
      <w:bookmarkEnd w:id="45"/>
      <w:r w:rsidR="00297D08">
        <w:t xml:space="preserve">: </w:t>
      </w:r>
      <w:r w:rsidR="00C1447C" w:rsidRPr="00AA53F4">
        <w:t xml:space="preserve">Study </w:t>
      </w:r>
      <w:r w:rsidR="00C1447C">
        <w:t xml:space="preserve">CBYL719C2301 (SOLAR-1 trial) </w:t>
      </w:r>
      <w:r>
        <w:t>Overview of adverse events, safety set</w:t>
      </w:r>
      <w:r w:rsidR="00D5442D">
        <w:t>, data cut-off 12 June 2018</w:t>
      </w:r>
      <w:r w:rsidR="00775093">
        <w:rPr>
          <w:noProof/>
          <w:lang w:eastAsia="en-AU"/>
        </w:rPr>
        <mc:AlternateContent>
          <mc:Choice Requires="wps">
            <w:drawing>
              <wp:anchor distT="0" distB="0" distL="114300" distR="114300" simplePos="0" relativeHeight="251658240" behindDoc="0" locked="0" layoutInCell="1" allowOverlap="1" wp14:anchorId="6E3A623C" wp14:editId="76418FCD">
                <wp:simplePos x="0" y="0"/>
                <wp:positionH relativeFrom="column">
                  <wp:posOffset>870585</wp:posOffset>
                </wp:positionH>
                <wp:positionV relativeFrom="paragraph">
                  <wp:posOffset>2552700</wp:posOffset>
                </wp:positionV>
                <wp:extent cx="784860" cy="125730"/>
                <wp:effectExtent l="0" t="0" r="0" b="7620"/>
                <wp:wrapNone/>
                <wp:docPr id="5" name="Rounded Rectangle 5"/>
                <wp:cNvGraphicFramePr/>
                <a:graphic xmlns:a="http://schemas.openxmlformats.org/drawingml/2006/main">
                  <a:graphicData uri="http://schemas.microsoft.com/office/word/2010/wordprocessingShape">
                    <wps:wsp>
                      <wps:cNvSpPr/>
                      <wps:spPr>
                        <a:xfrm>
                          <a:off x="0" y="0"/>
                          <a:ext cx="784860" cy="12573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06DA79" id="Rounded Rectangle 5" o:spid="_x0000_s1026" style="position:absolute;margin-left:68.55pt;margin-top:201pt;width:61.8pt;height:9.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LHmwIAAJAFAAAOAAAAZHJzL2Uyb0RvYy54bWysVEtPGzEQvlfqf7B8L5tNE6ARGxSBqCoh&#10;QEDF2fHa2ZW8Htd2skl/fWe8j1CKeqiag+PZ+eb1eWYuLveNYTvlQw224PnJhDNlJZS13RT8+/PN&#10;p3POQhS2FAasKvhBBX65/PjhonULNYUKTKk8Qyc2LFpX8CpGt8iyICvViHACTllUavCNiCj6TVZ6&#10;0aL3xmTTyeQ0a8GXzoNUIeDX607Jl8m/1krGe62DiswUHHOL6fTpXNOZLS/EYuOFq2rZpyH+IYtG&#10;1BaDjq6uRRRs6+s/XDW19BBAxxMJTQZa11KlGrCafPKmmqdKOJVqQXKCG2kK/8+tvNs9eFaXBZ9z&#10;ZkWDT/QIW1uqkj0iecJujGJzoql1YYHoJ/fgeynglWrea9/QP1bD9onaw0it2kcm8ePZ+ez8FB9A&#10;oiqfzs8+J+qzo7HzIX5V0DC6FNxTEpRBYlXsbkPEqIgfcBQwgKnLm9qYJFDLqCvj2U7gY683OWWN&#10;Fr+hjCWsBbLq1PQlo+K6ctItHowinLGPSiM7WMA0JZL68hhESKlszDtVJUrVxZ5P8DdEH9JKuSSH&#10;5Flj/NF372BAdk4G312WPZ5MVWrr0Xjyt8Q649EiRQYbR+OmtuDfc2Cwqj5yhx9I6qghltZQHrB3&#10;PHRDFZy8qfHtbkWID8LjFOFz42aI93hoA23Bob9xVoH/+d53wmNzo5azFqey4OHHVnjFmflmse2/&#10;5LMZjXESZvOzKQr+tWb9WmO3zRVgL+S4g5xMV8JHM1y1h+YFF8iKoqJKWImxCy6jH4Sr2G0LXEFS&#10;rVYJhqPrRLy1T06Sc2KV2vJ5/yK86xs4YuffwTDBYvGmhTssWVpYbSPoOvX3kdeebxz71Dj9iqK9&#10;8lpOqOMiXf4CAAD//wMAUEsDBBQABgAIAAAAIQBrOv0n3wAAAAsBAAAPAAAAZHJzL2Rvd25yZXYu&#10;eG1sTI/NTsMwEITvSLyDtUjcqJ2AmirEqRBSTxUI2jyAE5skNF5Htpuft2c5wXFmP83OFPvFDmwy&#10;PvQOJSQbAcxg43SPrYTqfHjYAQtRoVaDQyNhNQH25e1NoXLtZvw00ym2jEIw5EpCF+OYcx6azlgV&#10;Nm40SLcv562KJH3LtVczhduBp0JsuVU90odOjea1M83ldLUSlvejPyT9Ol2q+Vi160f9PbxlUt7f&#10;LS/PwKJZ4h8Mv/WpOpTUqXZX1IENpB+zhFAJTyKlUUSkW5EBq8lJkx3wsuD/N5Q/AAAA//8DAFBL&#10;AQItABQABgAIAAAAIQC2gziS/gAAAOEBAAATAAAAAAAAAAAAAAAAAAAAAABbQ29udGVudF9UeXBl&#10;c10ueG1sUEsBAi0AFAAGAAgAAAAhADj9If/WAAAAlAEAAAsAAAAAAAAAAAAAAAAALwEAAF9yZWxz&#10;Ly5yZWxzUEsBAi0AFAAGAAgAAAAhANRpssebAgAAkAUAAA4AAAAAAAAAAAAAAAAALgIAAGRycy9l&#10;Mm9Eb2MueG1sUEsBAi0AFAAGAAgAAAAhAGs6/SffAAAACwEAAA8AAAAAAAAAAAAAAAAA9QQAAGRy&#10;cy9kb3ducmV2LnhtbFBLBQYAAAAABAAEAPMAAAABBgAAAAA=&#10;" fillcolor="white [3212]" stroked="f" strokeweight="2pt"/>
            </w:pict>
          </mc:Fallback>
        </mc:AlternateContent>
      </w:r>
    </w:p>
    <w:p w14:paraId="2C91B615" w14:textId="068B6609" w:rsidR="00122D87" w:rsidRDefault="00122D87" w:rsidP="00C22B8B">
      <w:pPr>
        <w:jc w:val="both"/>
      </w:pPr>
      <w:r>
        <w:rPr>
          <w:noProof/>
          <w:lang w:eastAsia="en-AU"/>
        </w:rPr>
        <w:drawing>
          <wp:inline distT="0" distB="0" distL="0" distR="0" wp14:anchorId="2CD60F95" wp14:editId="714D591D">
            <wp:extent cx="5400040" cy="2830830"/>
            <wp:effectExtent l="0" t="0" r="0" b="7620"/>
            <wp:docPr id="16" name="Picture 16" descr="Study CBYL719C2301 (SOLAR-1 trial) Overview of adverse events, safety set, data cut-off 12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830830"/>
                    </a:xfrm>
                    <a:prstGeom prst="rect">
                      <a:avLst/>
                    </a:prstGeom>
                  </pic:spPr>
                </pic:pic>
              </a:graphicData>
            </a:graphic>
          </wp:inline>
        </w:drawing>
      </w:r>
    </w:p>
    <w:p w14:paraId="3CD32892" w14:textId="0E1B60FE" w:rsidR="00C22B8B" w:rsidRDefault="00C22B8B" w:rsidP="00297D08">
      <w:pPr>
        <w:pStyle w:val="TableTitle"/>
      </w:pPr>
      <w:bookmarkStart w:id="46" w:name="_Ref17812190"/>
      <w:r>
        <w:lastRenderedPageBreak/>
        <w:t xml:space="preserve">Table </w:t>
      </w:r>
      <w:r>
        <w:fldChar w:fldCharType="begin"/>
      </w:r>
      <w:r>
        <w:instrText>SEQ Table \* ARABIC</w:instrText>
      </w:r>
      <w:r>
        <w:fldChar w:fldCharType="separate"/>
      </w:r>
      <w:r w:rsidR="007C6ED1">
        <w:rPr>
          <w:noProof/>
        </w:rPr>
        <w:t>4</w:t>
      </w:r>
      <w:r>
        <w:fldChar w:fldCharType="end"/>
      </w:r>
      <w:bookmarkEnd w:id="46"/>
      <w:r w:rsidR="00297D08">
        <w:t xml:space="preserve">: </w:t>
      </w:r>
      <w:r w:rsidR="00C1447C" w:rsidRPr="00AA53F4">
        <w:t xml:space="preserve">Study </w:t>
      </w:r>
      <w:r w:rsidR="00C1447C">
        <w:t xml:space="preserve">CBYL719C2301 (SOLAR-1 trial) </w:t>
      </w:r>
      <w:r>
        <w:t>Adverse events by preferred term and maximum grade (&gt;</w:t>
      </w:r>
      <w:r w:rsidR="00454C93">
        <w:t xml:space="preserve"> </w:t>
      </w:r>
      <w:r w:rsidR="008A74C8">
        <w:t xml:space="preserve">10% in either treatment arm), </w:t>
      </w:r>
      <w:r w:rsidR="00535345">
        <w:t>s</w:t>
      </w:r>
      <w:r>
        <w:t xml:space="preserve">afety set, </w:t>
      </w:r>
      <w:r w:rsidR="00D5442D">
        <w:t>data cut-off 12 June 2018</w:t>
      </w:r>
    </w:p>
    <w:p w14:paraId="0BC83DB6" w14:textId="21351662" w:rsidR="00C22B8B" w:rsidRDefault="001B3F84" w:rsidP="00C22B8B">
      <w:pPr>
        <w:jc w:val="both"/>
      </w:pPr>
      <w:r>
        <w:rPr>
          <w:noProof/>
          <w:lang w:eastAsia="en-AU"/>
        </w:rPr>
        <w:drawing>
          <wp:inline distT="0" distB="0" distL="0" distR="0" wp14:anchorId="0CA86DE5" wp14:editId="368C285E">
            <wp:extent cx="5400040" cy="5236845"/>
            <wp:effectExtent l="0" t="0" r="0" b="1905"/>
            <wp:docPr id="13" name="Picture 13" descr="Study CBYL719C2301 (SOLAR-1 trial) Adverse events by preferred term and maximum grade (&gt; 10% in either treatment arm), safety set, data cut-off 12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5236845"/>
                    </a:xfrm>
                    <a:prstGeom prst="rect">
                      <a:avLst/>
                    </a:prstGeom>
                  </pic:spPr>
                </pic:pic>
              </a:graphicData>
            </a:graphic>
          </wp:inline>
        </w:drawing>
      </w:r>
    </w:p>
    <w:p w14:paraId="1BF42C56" w14:textId="28FBB82A" w:rsidR="00C22B8B" w:rsidRDefault="00C22B8B" w:rsidP="00297D08">
      <w:pPr>
        <w:pStyle w:val="TableTitle"/>
        <w:rPr>
          <w:lang w:val="en-US" w:eastAsia="ja-JP"/>
        </w:rPr>
      </w:pPr>
      <w:bookmarkStart w:id="47" w:name="_Ref17876739"/>
      <w:bookmarkStart w:id="48" w:name="_Ref24447649"/>
      <w:r>
        <w:t xml:space="preserve">Table </w:t>
      </w:r>
      <w:r>
        <w:fldChar w:fldCharType="begin"/>
      </w:r>
      <w:r>
        <w:instrText>SEQ Table \* ARABIC</w:instrText>
      </w:r>
      <w:r>
        <w:fldChar w:fldCharType="separate"/>
      </w:r>
      <w:r w:rsidR="007C6ED1">
        <w:rPr>
          <w:noProof/>
        </w:rPr>
        <w:t>5</w:t>
      </w:r>
      <w:r>
        <w:fldChar w:fldCharType="end"/>
      </w:r>
      <w:bookmarkEnd w:id="47"/>
      <w:bookmarkEnd w:id="48"/>
      <w:r w:rsidR="00297D08">
        <w:t xml:space="preserve">: </w:t>
      </w:r>
      <w:r w:rsidR="00C1447C" w:rsidRPr="00AA53F4">
        <w:t xml:space="preserve">Study </w:t>
      </w:r>
      <w:r w:rsidR="00C1447C">
        <w:t xml:space="preserve">CBYL719C2301 (SOLAR-1 trial) </w:t>
      </w:r>
      <w:r w:rsidR="00535345">
        <w:t xml:space="preserve">Overview of </w:t>
      </w:r>
      <w:r w:rsidR="00535345">
        <w:rPr>
          <w:lang w:val="en-US" w:eastAsia="ja-JP"/>
        </w:rPr>
        <w:t>adverse events of special interest</w:t>
      </w:r>
      <w:r w:rsidR="00535345">
        <w:t>, s</w:t>
      </w:r>
      <w:r>
        <w:t xml:space="preserve">afety set, </w:t>
      </w:r>
      <w:r w:rsidR="00535345">
        <w:t>data cut-off 12 June 2018</w:t>
      </w:r>
    </w:p>
    <w:p w14:paraId="48DFCE02" w14:textId="3FC7AE68" w:rsidR="00297D08" w:rsidRDefault="001B3F84" w:rsidP="00C22B8B">
      <w:pPr>
        <w:rPr>
          <w:rFonts w:asciiTheme="minorHAnsi" w:eastAsiaTheme="minorHAnsi" w:hAnsiTheme="minorHAnsi"/>
          <w:lang w:val="en-US"/>
        </w:rPr>
      </w:pPr>
      <w:r>
        <w:rPr>
          <w:noProof/>
          <w:lang w:eastAsia="en-AU"/>
        </w:rPr>
        <w:drawing>
          <wp:inline distT="0" distB="0" distL="0" distR="0" wp14:anchorId="6A7A9AFA" wp14:editId="3AC7B7CC">
            <wp:extent cx="5400040" cy="1960880"/>
            <wp:effectExtent l="0" t="0" r="0" b="1270"/>
            <wp:docPr id="14" name="Picture 14" descr="Study CBYL719C2301 (SOLAR-1 trial) Overview of adverse events of special interest, safety set, data cut-off 12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960880"/>
                    </a:xfrm>
                    <a:prstGeom prst="rect">
                      <a:avLst/>
                    </a:prstGeom>
                  </pic:spPr>
                </pic:pic>
              </a:graphicData>
            </a:graphic>
          </wp:inline>
        </w:drawing>
      </w:r>
    </w:p>
    <w:p w14:paraId="0155A215" w14:textId="03EDEE22" w:rsidR="00C22B8B" w:rsidRDefault="00C22B8B" w:rsidP="00C22B8B">
      <w:pPr>
        <w:rPr>
          <w:lang w:val="en-US" w:eastAsia="ja-JP"/>
        </w:rPr>
      </w:pPr>
      <w:r w:rsidRPr="00E3471C">
        <w:rPr>
          <w:rFonts w:asciiTheme="minorHAnsi" w:eastAsiaTheme="minorHAnsi" w:hAnsiTheme="minorHAnsi"/>
          <w:lang w:val="en-US"/>
        </w:rPr>
        <w:lastRenderedPageBreak/>
        <w:t xml:space="preserve">Patients with pre-diabetes </w:t>
      </w:r>
      <w:r w:rsidR="002C32E7">
        <w:rPr>
          <w:rFonts w:asciiTheme="minorHAnsi" w:hAnsiTheme="minorHAnsi"/>
          <w:lang w:val="en-US" w:eastAsia="ja-JP"/>
        </w:rPr>
        <w:t>(</w:t>
      </w:r>
      <w:r w:rsidR="00C876EB">
        <w:rPr>
          <w:rFonts w:asciiTheme="minorHAnsi" w:hAnsiTheme="minorHAnsi"/>
          <w:lang w:val="en-US" w:eastAsia="ja-JP"/>
        </w:rPr>
        <w:t>fasting plasma glucose (</w:t>
      </w:r>
      <w:r w:rsidR="002C32E7">
        <w:rPr>
          <w:rFonts w:asciiTheme="minorHAnsi" w:hAnsiTheme="minorHAnsi"/>
          <w:lang w:val="en-US" w:eastAsia="ja-JP"/>
        </w:rPr>
        <w:t>FPG</w:t>
      </w:r>
      <w:r w:rsidR="00A12745">
        <w:rPr>
          <w:rFonts w:asciiTheme="minorHAnsi" w:hAnsiTheme="minorHAnsi"/>
          <w:lang w:val="en-US" w:eastAsia="ja-JP"/>
        </w:rPr>
        <w:t>)</w:t>
      </w:r>
      <w:r w:rsidR="002C32E7">
        <w:rPr>
          <w:rFonts w:asciiTheme="minorHAnsi" w:hAnsiTheme="minorHAnsi"/>
          <w:lang w:val="en-US" w:eastAsia="ja-JP"/>
        </w:rPr>
        <w:t xml:space="preserve"> 5.6 to</w:t>
      </w:r>
      <w:r w:rsidRPr="00E3471C">
        <w:rPr>
          <w:rFonts w:asciiTheme="minorHAnsi" w:hAnsiTheme="minorHAnsi"/>
          <w:lang w:val="en-US" w:eastAsia="ja-JP"/>
        </w:rPr>
        <w:t xml:space="preserve"> &lt;</w:t>
      </w:r>
      <w:r w:rsidR="00297D08">
        <w:rPr>
          <w:rFonts w:asciiTheme="minorHAnsi" w:hAnsiTheme="minorHAnsi"/>
          <w:lang w:val="en-US" w:eastAsia="ja-JP"/>
        </w:rPr>
        <w:t xml:space="preserve"> </w:t>
      </w:r>
      <w:r w:rsidRPr="00E3471C">
        <w:rPr>
          <w:rFonts w:asciiTheme="minorHAnsi" w:hAnsiTheme="minorHAnsi"/>
          <w:lang w:val="en-US" w:eastAsia="ja-JP"/>
        </w:rPr>
        <w:t xml:space="preserve">7.0 </w:t>
      </w:r>
      <w:proofErr w:type="spellStart"/>
      <w:r w:rsidRPr="00E3471C">
        <w:rPr>
          <w:rFonts w:asciiTheme="minorHAnsi" w:hAnsiTheme="minorHAnsi"/>
          <w:lang w:val="en-US" w:eastAsia="ja-JP"/>
        </w:rPr>
        <w:t>mmol</w:t>
      </w:r>
      <w:proofErr w:type="spellEnd"/>
      <w:r w:rsidRPr="00E3471C">
        <w:rPr>
          <w:rFonts w:asciiTheme="minorHAnsi" w:hAnsiTheme="minorHAnsi"/>
          <w:lang w:val="en-US" w:eastAsia="ja-JP"/>
        </w:rPr>
        <w:t>/L or</w:t>
      </w:r>
      <w:r w:rsidRPr="00FE6706">
        <w:rPr>
          <w:lang w:val="en-US" w:eastAsia="ja-JP"/>
        </w:rPr>
        <w:t xml:space="preserve"> </w:t>
      </w:r>
      <w:r w:rsidR="00311E0A">
        <w:rPr>
          <w:lang w:val="en-US" w:eastAsia="ja-JP"/>
        </w:rPr>
        <w:t>glycated</w:t>
      </w:r>
      <w:r w:rsidR="00A12745">
        <w:rPr>
          <w:lang w:val="en-US" w:eastAsia="ja-JP"/>
        </w:rPr>
        <w:t xml:space="preserve"> </w:t>
      </w:r>
      <w:proofErr w:type="spellStart"/>
      <w:r w:rsidR="00A12745">
        <w:rPr>
          <w:lang w:val="en-US" w:eastAsia="ja-JP"/>
        </w:rPr>
        <w:t>haemoglobin</w:t>
      </w:r>
      <w:proofErr w:type="spellEnd"/>
      <w:r w:rsidR="00A12745">
        <w:rPr>
          <w:lang w:val="en-US" w:eastAsia="ja-JP"/>
        </w:rPr>
        <w:t xml:space="preserve"> </w:t>
      </w:r>
      <w:proofErr w:type="gramStart"/>
      <w:r w:rsidR="00A12745">
        <w:rPr>
          <w:lang w:val="en-US" w:eastAsia="ja-JP"/>
        </w:rPr>
        <w:t>A1c</w:t>
      </w:r>
      <w:proofErr w:type="gramEnd"/>
      <w:r w:rsidR="00A12745">
        <w:rPr>
          <w:lang w:val="en-US" w:eastAsia="ja-JP"/>
        </w:rPr>
        <w:t xml:space="preserve"> (</w:t>
      </w:r>
      <w:r w:rsidRPr="00FE6706">
        <w:rPr>
          <w:lang w:val="en-US" w:eastAsia="ja-JP"/>
        </w:rPr>
        <w:t>HbA1c</w:t>
      </w:r>
      <w:r w:rsidR="00A12745">
        <w:rPr>
          <w:lang w:val="en-US" w:eastAsia="ja-JP"/>
        </w:rPr>
        <w:t>)</w:t>
      </w:r>
      <w:r w:rsidR="00D821E8">
        <w:rPr>
          <w:lang w:val="en-US" w:eastAsia="ja-JP"/>
        </w:rPr>
        <w:t>;</w:t>
      </w:r>
      <w:r w:rsidR="00D821E8">
        <w:rPr>
          <w:rStyle w:val="FootnoteReference"/>
          <w:lang w:val="en-US" w:eastAsia="ja-JP"/>
        </w:rPr>
        <w:footnoteReference w:id="18"/>
      </w:r>
      <w:r w:rsidRPr="00FE6706">
        <w:rPr>
          <w:lang w:val="en-US" w:eastAsia="ja-JP"/>
        </w:rPr>
        <w:t xml:space="preserve"> 5.7</w:t>
      </w:r>
      <w:r w:rsidR="002C32E7">
        <w:rPr>
          <w:lang w:val="en-US" w:eastAsia="ja-JP"/>
        </w:rPr>
        <w:t xml:space="preserve"> to</w:t>
      </w:r>
      <w:r w:rsidRPr="00FE6706">
        <w:rPr>
          <w:lang w:val="en-US" w:eastAsia="ja-JP"/>
        </w:rPr>
        <w:t xml:space="preserve"> &lt;</w:t>
      </w:r>
      <w:r w:rsidR="00297D08">
        <w:rPr>
          <w:lang w:val="en-US" w:eastAsia="ja-JP"/>
        </w:rPr>
        <w:t xml:space="preserve"> </w:t>
      </w:r>
      <w:r w:rsidRPr="00FE6706">
        <w:rPr>
          <w:lang w:val="en-US" w:eastAsia="ja-JP"/>
        </w:rPr>
        <w:t>6.5%)</w:t>
      </w:r>
      <w:r>
        <w:rPr>
          <w:lang w:val="en-US" w:eastAsia="ja-JP"/>
        </w:rPr>
        <w:t xml:space="preserve"> had a shorter median duration of exposure to </w:t>
      </w:r>
      <w:proofErr w:type="spellStart"/>
      <w:r>
        <w:rPr>
          <w:lang w:val="en-US" w:eastAsia="ja-JP"/>
        </w:rPr>
        <w:t>alpelisib</w:t>
      </w:r>
      <w:proofErr w:type="spellEnd"/>
      <w:r>
        <w:rPr>
          <w:lang w:val="en-US" w:eastAsia="ja-JP"/>
        </w:rPr>
        <w:t xml:space="preserve"> (5.1 months </w:t>
      </w:r>
      <w:r w:rsidR="00297D08">
        <w:rPr>
          <w:lang w:val="en-US" w:eastAsia="ja-JP"/>
        </w:rPr>
        <w:t>versus</w:t>
      </w:r>
      <w:r>
        <w:rPr>
          <w:lang w:val="en-US" w:eastAsia="ja-JP"/>
        </w:rPr>
        <w:t xml:space="preserve"> 7.5 months) compared to those without pre</w:t>
      </w:r>
      <w:r w:rsidR="00A12745">
        <w:rPr>
          <w:lang w:val="en-US" w:eastAsia="ja-JP"/>
        </w:rPr>
        <w:noBreakHyphen/>
      </w:r>
      <w:r>
        <w:rPr>
          <w:lang w:val="en-US" w:eastAsia="ja-JP"/>
        </w:rPr>
        <w:t xml:space="preserve">diabetes </w:t>
      </w:r>
      <w:r w:rsidRPr="00FE6706">
        <w:rPr>
          <w:lang w:val="en-US" w:eastAsia="ja-JP"/>
        </w:rPr>
        <w:t>(FPG &lt;</w:t>
      </w:r>
      <w:r w:rsidR="00297D08">
        <w:rPr>
          <w:lang w:val="en-US" w:eastAsia="ja-JP"/>
        </w:rPr>
        <w:t xml:space="preserve"> </w:t>
      </w:r>
      <w:r w:rsidRPr="00FE6706">
        <w:rPr>
          <w:lang w:val="en-US" w:eastAsia="ja-JP"/>
        </w:rPr>
        <w:t xml:space="preserve">5.6 </w:t>
      </w:r>
      <w:proofErr w:type="spellStart"/>
      <w:r w:rsidRPr="00FE6706">
        <w:rPr>
          <w:lang w:val="en-US" w:eastAsia="ja-JP"/>
        </w:rPr>
        <w:t>mmol</w:t>
      </w:r>
      <w:proofErr w:type="spellEnd"/>
      <w:r w:rsidRPr="00FE6706">
        <w:rPr>
          <w:lang w:val="en-US" w:eastAsia="ja-JP"/>
        </w:rPr>
        <w:t>/L and HbA1c &lt;</w:t>
      </w:r>
      <w:r w:rsidR="00297D08">
        <w:rPr>
          <w:lang w:val="en-US" w:eastAsia="ja-JP"/>
        </w:rPr>
        <w:t xml:space="preserve"> </w:t>
      </w:r>
      <w:r w:rsidRPr="00FE6706">
        <w:rPr>
          <w:lang w:val="en-US" w:eastAsia="ja-JP"/>
        </w:rPr>
        <w:t>5.7%)</w:t>
      </w:r>
      <w:r>
        <w:rPr>
          <w:lang w:val="en-US" w:eastAsia="ja-JP"/>
        </w:rPr>
        <w:t>.</w:t>
      </w:r>
    </w:p>
    <w:p w14:paraId="4D37B401" w14:textId="51E16B52" w:rsidR="00C22B8B" w:rsidRDefault="00C22B8B" w:rsidP="00C22B8B">
      <w:pPr>
        <w:rPr>
          <w:lang w:val="en-US" w:eastAsia="ja-JP"/>
        </w:rPr>
      </w:pPr>
      <w:r>
        <w:rPr>
          <w:rFonts w:asciiTheme="minorHAnsi" w:eastAsiaTheme="minorHAnsi" w:hAnsiTheme="minorHAnsi"/>
          <w:lang w:val="en-US"/>
        </w:rPr>
        <w:t>O</w:t>
      </w:r>
      <w:r w:rsidRPr="00201FBE">
        <w:rPr>
          <w:rFonts w:asciiTheme="minorHAnsi" w:eastAsiaTheme="minorHAnsi" w:hAnsiTheme="minorHAnsi"/>
          <w:lang w:val="en-US"/>
        </w:rPr>
        <w:t>steonecrosis of the jaw</w:t>
      </w:r>
      <w:r>
        <w:rPr>
          <w:rFonts w:asciiTheme="minorHAnsi" w:eastAsiaTheme="minorHAnsi" w:hAnsiTheme="minorHAnsi"/>
          <w:lang w:val="en-US"/>
        </w:rPr>
        <w:t xml:space="preserve"> (ONJ) </w:t>
      </w:r>
      <w:proofErr w:type="gramStart"/>
      <w:r>
        <w:rPr>
          <w:rFonts w:asciiTheme="minorHAnsi" w:eastAsiaTheme="minorHAnsi" w:hAnsiTheme="minorHAnsi"/>
          <w:lang w:val="en-US"/>
        </w:rPr>
        <w:t>was reported</w:t>
      </w:r>
      <w:proofErr w:type="gramEnd"/>
      <w:r w:rsidRPr="00201FBE">
        <w:rPr>
          <w:rFonts w:asciiTheme="minorHAnsi" w:eastAsiaTheme="minorHAnsi" w:hAnsiTheme="minorHAnsi"/>
          <w:lang w:val="en-US"/>
        </w:rPr>
        <w:t xml:space="preserve"> in 4.2% </w:t>
      </w:r>
      <w:r>
        <w:rPr>
          <w:rFonts w:asciiTheme="minorHAnsi" w:eastAsiaTheme="minorHAnsi" w:hAnsiTheme="minorHAnsi"/>
          <w:lang w:val="en-US"/>
        </w:rPr>
        <w:t>of</w:t>
      </w:r>
      <w:r w:rsidRPr="00201FBE">
        <w:rPr>
          <w:rFonts w:asciiTheme="minorHAnsi" w:eastAsiaTheme="minorHAnsi" w:hAnsiTheme="minorHAnsi"/>
          <w:lang w:val="en-US"/>
        </w:rPr>
        <w:t xml:space="preserve"> patients in the</w:t>
      </w:r>
      <w:r w:rsidRPr="00977ABD">
        <w:rPr>
          <w:rFonts w:asciiTheme="minorHAnsi" w:eastAsiaTheme="minorHAnsi" w:hAnsiTheme="minorHAnsi"/>
        </w:rPr>
        <w:t xml:space="preserve"> </w:t>
      </w:r>
      <w:proofErr w:type="spellStart"/>
      <w:r w:rsidRPr="00977ABD">
        <w:rPr>
          <w:rFonts w:asciiTheme="minorHAnsi" w:eastAsiaTheme="minorHAnsi" w:hAnsiTheme="minorHAnsi"/>
        </w:rPr>
        <w:t>alpelisib</w:t>
      </w:r>
      <w:proofErr w:type="spellEnd"/>
      <w:r>
        <w:rPr>
          <w:rFonts w:asciiTheme="minorHAnsi" w:eastAsiaTheme="minorHAnsi" w:hAnsiTheme="minorHAnsi"/>
          <w:lang w:val="en-US"/>
        </w:rPr>
        <w:t xml:space="preserve"> plus </w:t>
      </w:r>
      <w:proofErr w:type="spellStart"/>
      <w:r>
        <w:rPr>
          <w:rFonts w:asciiTheme="minorHAnsi" w:eastAsiaTheme="minorHAnsi" w:hAnsiTheme="minorHAnsi"/>
          <w:lang w:val="en-US"/>
        </w:rPr>
        <w:t>fulvestrant</w:t>
      </w:r>
      <w:proofErr w:type="spellEnd"/>
      <w:r>
        <w:rPr>
          <w:rFonts w:asciiTheme="minorHAnsi" w:eastAsiaTheme="minorHAnsi" w:hAnsiTheme="minorHAnsi"/>
          <w:lang w:val="en-US"/>
        </w:rPr>
        <w:t xml:space="preserve"> group</w:t>
      </w:r>
      <w:r w:rsidRPr="00201FBE">
        <w:rPr>
          <w:rFonts w:asciiTheme="minorHAnsi" w:eastAsiaTheme="minorHAnsi" w:hAnsiTheme="minorHAnsi"/>
          <w:lang w:val="en-US"/>
        </w:rPr>
        <w:t xml:space="preserve"> </w:t>
      </w:r>
      <w:r>
        <w:rPr>
          <w:rFonts w:asciiTheme="minorHAnsi" w:eastAsiaTheme="minorHAnsi" w:hAnsiTheme="minorHAnsi"/>
          <w:lang w:val="en-US"/>
        </w:rPr>
        <w:t>compared to</w:t>
      </w:r>
      <w:r w:rsidRPr="00201FBE">
        <w:rPr>
          <w:rFonts w:asciiTheme="minorHAnsi" w:eastAsiaTheme="minorHAnsi" w:hAnsiTheme="minorHAnsi"/>
          <w:lang w:val="en-US"/>
        </w:rPr>
        <w:t xml:space="preserve"> 1.4% in the </w:t>
      </w:r>
      <w:r>
        <w:rPr>
          <w:rFonts w:asciiTheme="minorHAnsi" w:eastAsiaTheme="minorHAnsi" w:hAnsiTheme="minorHAnsi"/>
          <w:lang w:val="en-US"/>
        </w:rPr>
        <w:t xml:space="preserve">placebo plus </w:t>
      </w:r>
      <w:proofErr w:type="spellStart"/>
      <w:r>
        <w:rPr>
          <w:rFonts w:asciiTheme="minorHAnsi" w:eastAsiaTheme="minorHAnsi" w:hAnsiTheme="minorHAnsi"/>
          <w:lang w:val="en-US"/>
        </w:rPr>
        <w:t>fulvestrant</w:t>
      </w:r>
      <w:proofErr w:type="spellEnd"/>
      <w:r>
        <w:rPr>
          <w:rFonts w:asciiTheme="minorHAnsi" w:eastAsiaTheme="minorHAnsi" w:hAnsiTheme="minorHAnsi"/>
          <w:lang w:val="en-US"/>
        </w:rPr>
        <w:t xml:space="preserve"> group</w:t>
      </w:r>
      <w:r w:rsidR="00370429">
        <w:rPr>
          <w:rFonts w:asciiTheme="minorHAnsi" w:eastAsiaTheme="minorHAnsi" w:hAnsiTheme="minorHAnsi"/>
          <w:lang w:val="en-US"/>
        </w:rPr>
        <w:t xml:space="preserve">. </w:t>
      </w:r>
      <w:r>
        <w:rPr>
          <w:rFonts w:asciiTheme="minorHAnsi" w:eastAsiaTheme="minorHAnsi" w:hAnsiTheme="minorHAnsi"/>
          <w:lang w:val="en-US"/>
        </w:rPr>
        <w:t>A</w:t>
      </w:r>
      <w:r w:rsidRPr="005E3805">
        <w:rPr>
          <w:rFonts w:asciiTheme="minorHAnsi" w:eastAsiaTheme="minorHAnsi" w:hAnsiTheme="minorHAnsi"/>
          <w:lang w:val="en-US"/>
        </w:rPr>
        <w:t xml:space="preserve">ll </w:t>
      </w:r>
      <w:r>
        <w:rPr>
          <w:rFonts w:asciiTheme="minorHAnsi" w:eastAsiaTheme="minorHAnsi" w:hAnsiTheme="minorHAnsi"/>
          <w:lang w:val="en-US"/>
        </w:rPr>
        <w:t>of these patients</w:t>
      </w:r>
      <w:r w:rsidRPr="005E3805">
        <w:rPr>
          <w:rFonts w:asciiTheme="minorHAnsi" w:eastAsiaTheme="minorHAnsi" w:hAnsiTheme="minorHAnsi"/>
          <w:lang w:val="en-US"/>
        </w:rPr>
        <w:t xml:space="preserve"> were receiving or had received a bisphosphonate</w:t>
      </w:r>
      <w:r>
        <w:rPr>
          <w:rFonts w:asciiTheme="minorHAnsi" w:eastAsiaTheme="minorHAnsi" w:hAnsiTheme="minorHAnsi"/>
          <w:lang w:val="en-US"/>
        </w:rPr>
        <w:t>.</w:t>
      </w:r>
    </w:p>
    <w:p w14:paraId="6D0162ED" w14:textId="691EFCC0" w:rsidR="00C22B8B" w:rsidRDefault="00C22B8B" w:rsidP="00C22B8B">
      <w:pPr>
        <w:rPr>
          <w:lang w:val="en-US" w:eastAsia="ja-JP"/>
        </w:rPr>
      </w:pPr>
      <w:r>
        <w:rPr>
          <w:lang w:val="en-US" w:eastAsia="ja-JP"/>
        </w:rPr>
        <w:t xml:space="preserve">There were </w:t>
      </w:r>
      <w:r w:rsidRPr="00064E86">
        <w:rPr>
          <w:lang w:val="en-US" w:eastAsia="ja-JP"/>
        </w:rPr>
        <w:t xml:space="preserve">78 (27.5%) </w:t>
      </w:r>
      <w:r>
        <w:rPr>
          <w:lang w:val="en-US" w:eastAsia="ja-JP"/>
        </w:rPr>
        <w:t xml:space="preserve">deaths </w:t>
      </w:r>
      <w:r w:rsidRPr="00064E86">
        <w:rPr>
          <w:lang w:val="en-US" w:eastAsia="ja-JP"/>
        </w:rPr>
        <w:t>in the</w:t>
      </w:r>
      <w:r>
        <w:rPr>
          <w:lang w:val="en-US" w:eastAsia="ja-JP"/>
        </w:rPr>
        <w:t xml:space="preserve"> </w:t>
      </w:r>
      <w:proofErr w:type="spellStart"/>
      <w:r w:rsidRPr="00064E86">
        <w:rPr>
          <w:lang w:val="en-US" w:eastAsia="ja-JP"/>
        </w:rPr>
        <w:t>alpelisib</w:t>
      </w:r>
      <w:proofErr w:type="spellEnd"/>
      <w:r w:rsidRPr="00064E86">
        <w:rPr>
          <w:lang w:val="en-US" w:eastAsia="ja-JP"/>
        </w:rPr>
        <w:t xml:space="preserve"> plus </w:t>
      </w:r>
      <w:proofErr w:type="spellStart"/>
      <w:r w:rsidRPr="00064E86">
        <w:rPr>
          <w:lang w:val="en-US" w:eastAsia="ja-JP"/>
        </w:rPr>
        <w:t>fulvestrant</w:t>
      </w:r>
      <w:proofErr w:type="spellEnd"/>
      <w:r w:rsidRPr="00064E86">
        <w:rPr>
          <w:lang w:val="en-US" w:eastAsia="ja-JP"/>
        </w:rPr>
        <w:t xml:space="preserve"> group and 91 (31.7%) in the placebo plus </w:t>
      </w:r>
      <w:proofErr w:type="spellStart"/>
      <w:r w:rsidRPr="00064E86">
        <w:rPr>
          <w:lang w:val="en-US" w:eastAsia="ja-JP"/>
        </w:rPr>
        <w:t>fulvestrant</w:t>
      </w:r>
      <w:proofErr w:type="spellEnd"/>
      <w:r w:rsidRPr="00064E86">
        <w:rPr>
          <w:lang w:val="en-US" w:eastAsia="ja-JP"/>
        </w:rPr>
        <w:t xml:space="preserve"> group</w:t>
      </w:r>
      <w:r w:rsidR="00370429">
        <w:rPr>
          <w:lang w:val="en-US" w:eastAsia="ja-JP"/>
        </w:rPr>
        <w:t xml:space="preserve">. </w:t>
      </w:r>
      <w:r w:rsidRPr="00064E86">
        <w:rPr>
          <w:lang w:val="en-US" w:eastAsia="ja-JP"/>
        </w:rPr>
        <w:t>Most deaths were due to the study indication</w:t>
      </w:r>
      <w:r w:rsidR="00370429">
        <w:rPr>
          <w:lang w:val="en-US" w:eastAsia="ja-JP"/>
        </w:rPr>
        <w:t xml:space="preserve">. </w:t>
      </w:r>
      <w:r w:rsidRPr="00147D45">
        <w:rPr>
          <w:lang w:val="en-US" w:eastAsia="ja-JP"/>
        </w:rPr>
        <w:t>None</w:t>
      </w:r>
      <w:r>
        <w:rPr>
          <w:lang w:val="en-US" w:eastAsia="ja-JP"/>
        </w:rPr>
        <w:t xml:space="preserve"> of the deaths in the </w:t>
      </w:r>
      <w:proofErr w:type="spellStart"/>
      <w:r>
        <w:rPr>
          <w:lang w:val="en-US" w:eastAsia="ja-JP"/>
        </w:rPr>
        <w:t>alpelisib</w:t>
      </w:r>
      <w:proofErr w:type="spellEnd"/>
      <w:r>
        <w:rPr>
          <w:lang w:val="en-US" w:eastAsia="ja-JP"/>
        </w:rPr>
        <w:t xml:space="preserve"> plus </w:t>
      </w:r>
      <w:proofErr w:type="spellStart"/>
      <w:r>
        <w:rPr>
          <w:lang w:val="en-US" w:eastAsia="ja-JP"/>
        </w:rPr>
        <w:t>fulvestrant</w:t>
      </w:r>
      <w:proofErr w:type="spellEnd"/>
      <w:r>
        <w:rPr>
          <w:lang w:val="en-US" w:eastAsia="ja-JP"/>
        </w:rPr>
        <w:t xml:space="preserve"> group </w:t>
      </w:r>
      <w:proofErr w:type="gramStart"/>
      <w:r>
        <w:rPr>
          <w:lang w:val="en-US" w:eastAsia="ja-JP"/>
        </w:rPr>
        <w:t>appear</w:t>
      </w:r>
      <w:proofErr w:type="gramEnd"/>
      <w:r>
        <w:rPr>
          <w:lang w:val="en-US" w:eastAsia="ja-JP"/>
        </w:rPr>
        <w:t xml:space="preserve"> to be related to study treatment.</w:t>
      </w:r>
    </w:p>
    <w:p w14:paraId="693D1E39" w14:textId="1C25D1B2" w:rsidR="00584817" w:rsidRDefault="00C22B8B" w:rsidP="00C22B8B">
      <w:pPr>
        <w:autoSpaceDE w:val="0"/>
        <w:autoSpaceDN w:val="0"/>
        <w:adjustRightInd w:val="0"/>
        <w:spacing w:line="240" w:lineRule="auto"/>
        <w:rPr>
          <w:rFonts w:asciiTheme="minorHAnsi" w:eastAsiaTheme="minorHAnsi" w:hAnsiTheme="minorHAnsi" w:cs="Calibri"/>
        </w:rPr>
      </w:pPr>
      <w:r w:rsidRPr="00C5276C">
        <w:rPr>
          <w:rFonts w:asciiTheme="minorHAnsi" w:eastAsiaTheme="minorHAnsi" w:hAnsiTheme="minorHAnsi" w:cs="Calibri"/>
        </w:rPr>
        <w:t xml:space="preserve">Cardiac safety </w:t>
      </w:r>
      <w:proofErr w:type="gramStart"/>
      <w:r w:rsidRPr="00C5276C">
        <w:rPr>
          <w:rFonts w:asciiTheme="minorHAnsi" w:eastAsiaTheme="minorHAnsi" w:hAnsiTheme="minorHAnsi" w:cs="Calibri"/>
        </w:rPr>
        <w:t>was assessed</w:t>
      </w:r>
      <w:proofErr w:type="gramEnd"/>
      <w:r w:rsidRPr="00C5276C">
        <w:rPr>
          <w:rFonts w:asciiTheme="minorHAnsi" w:eastAsiaTheme="minorHAnsi" w:hAnsiTheme="minorHAnsi" w:cs="Calibri"/>
        </w:rPr>
        <w:t xml:space="preserve"> in the dose escalation </w:t>
      </w:r>
      <w:r w:rsidR="00297D08">
        <w:rPr>
          <w:rFonts w:asciiTheme="minorHAnsi" w:eastAsiaTheme="minorHAnsi" w:hAnsiTheme="minorHAnsi" w:cs="Calibri"/>
        </w:rPr>
        <w:t>S</w:t>
      </w:r>
      <w:r w:rsidRPr="00C5276C">
        <w:rPr>
          <w:rFonts w:asciiTheme="minorHAnsi" w:eastAsiaTheme="minorHAnsi" w:hAnsiTheme="minorHAnsi" w:cs="Calibri"/>
        </w:rPr>
        <w:t xml:space="preserve">tudy </w:t>
      </w:r>
      <w:r w:rsidR="00C876EB" w:rsidRPr="00C876EB">
        <w:t xml:space="preserve">CBYL719X2101 </w:t>
      </w:r>
      <w:r>
        <w:rPr>
          <w:rFonts w:asciiTheme="minorHAnsi" w:eastAsiaTheme="minorHAnsi" w:hAnsiTheme="minorHAnsi" w:cs="Calibri"/>
        </w:rPr>
        <w:t xml:space="preserve">and </w:t>
      </w:r>
      <w:r w:rsidR="004E5250">
        <w:rPr>
          <w:rFonts w:asciiTheme="minorHAnsi" w:eastAsiaTheme="minorHAnsi" w:hAnsiTheme="minorHAnsi" w:cs="Calibri"/>
        </w:rPr>
        <w:t xml:space="preserve">the </w:t>
      </w:r>
      <w:r>
        <w:rPr>
          <w:rFonts w:asciiTheme="minorHAnsi" w:eastAsiaTheme="minorHAnsi" w:hAnsiTheme="minorHAnsi" w:cs="Calibri"/>
        </w:rPr>
        <w:t>SOLAR-1</w:t>
      </w:r>
      <w:r w:rsidR="00C86F38">
        <w:rPr>
          <w:rFonts w:asciiTheme="minorHAnsi" w:eastAsiaTheme="minorHAnsi" w:hAnsiTheme="minorHAnsi" w:cs="Calibri"/>
        </w:rPr>
        <w:t xml:space="preserve"> trial</w:t>
      </w:r>
      <w:r w:rsidR="00370429">
        <w:rPr>
          <w:rFonts w:asciiTheme="minorHAnsi" w:eastAsiaTheme="minorHAnsi" w:hAnsiTheme="minorHAnsi" w:cs="Calibri"/>
        </w:rPr>
        <w:t xml:space="preserve">. </w:t>
      </w:r>
      <w:r>
        <w:rPr>
          <w:rFonts w:asciiTheme="minorHAnsi" w:eastAsiaTheme="minorHAnsi" w:hAnsiTheme="minorHAnsi" w:cs="Calibri"/>
        </w:rPr>
        <w:t>In</w:t>
      </w:r>
      <w:r w:rsidR="00297D08">
        <w:rPr>
          <w:rFonts w:asciiTheme="minorHAnsi" w:eastAsiaTheme="minorHAnsi" w:hAnsiTheme="minorHAnsi" w:cs="Calibri"/>
        </w:rPr>
        <w:t xml:space="preserve"> Study </w:t>
      </w:r>
      <w:r w:rsidR="00A12745" w:rsidRPr="00C876EB">
        <w:t>CBYL719X2101</w:t>
      </w:r>
      <w:r>
        <w:rPr>
          <w:rFonts w:asciiTheme="minorHAnsi" w:eastAsiaTheme="minorHAnsi" w:hAnsiTheme="minorHAnsi" w:cs="Calibri"/>
        </w:rPr>
        <w:t>, a</w:t>
      </w:r>
      <w:r w:rsidRPr="00C5276C">
        <w:rPr>
          <w:rFonts w:asciiTheme="minorHAnsi" w:eastAsiaTheme="minorHAnsi" w:hAnsiTheme="minorHAnsi" w:cs="Calibri"/>
        </w:rPr>
        <w:t xml:space="preserve">nalysis of ECG data in patients receiving </w:t>
      </w:r>
      <w:proofErr w:type="spellStart"/>
      <w:r w:rsidRPr="00C5276C">
        <w:rPr>
          <w:rFonts w:asciiTheme="minorHAnsi" w:eastAsiaTheme="minorHAnsi" w:hAnsiTheme="minorHAnsi" w:cs="Calibri"/>
        </w:rPr>
        <w:t>alpelisib</w:t>
      </w:r>
      <w:proofErr w:type="spellEnd"/>
      <w:r w:rsidRPr="00C5276C">
        <w:rPr>
          <w:rFonts w:asciiTheme="minorHAnsi" w:eastAsiaTheme="minorHAnsi" w:hAnsiTheme="minorHAnsi" w:cs="Calibri"/>
        </w:rPr>
        <w:t xml:space="preserve"> 400</w:t>
      </w:r>
      <w:r w:rsidR="00A12745">
        <w:rPr>
          <w:rFonts w:asciiTheme="minorHAnsi" w:eastAsiaTheme="minorHAnsi" w:hAnsiTheme="minorHAnsi" w:cs="Calibri"/>
        </w:rPr>
        <w:t> </w:t>
      </w:r>
      <w:r w:rsidRPr="00C5276C">
        <w:rPr>
          <w:rFonts w:asciiTheme="minorHAnsi" w:eastAsiaTheme="minorHAnsi" w:hAnsiTheme="minorHAnsi" w:cs="Calibri"/>
        </w:rPr>
        <w:t xml:space="preserve">mg QD with or without </w:t>
      </w:r>
      <w:proofErr w:type="spellStart"/>
      <w:r w:rsidRPr="00C5276C">
        <w:rPr>
          <w:rFonts w:asciiTheme="minorHAnsi" w:eastAsiaTheme="minorHAnsi" w:hAnsiTheme="minorHAnsi" w:cs="Calibri"/>
        </w:rPr>
        <w:t>fulvestrant</w:t>
      </w:r>
      <w:proofErr w:type="spellEnd"/>
      <w:r w:rsidRPr="00C5276C">
        <w:rPr>
          <w:rFonts w:asciiTheme="minorHAnsi" w:eastAsiaTheme="minorHAnsi" w:hAnsiTheme="minorHAnsi" w:cs="Calibri"/>
        </w:rPr>
        <w:t xml:space="preserve"> demonstrated the</w:t>
      </w:r>
      <w:r w:rsidR="002C32E7">
        <w:rPr>
          <w:rFonts w:asciiTheme="minorHAnsi" w:eastAsiaTheme="minorHAnsi" w:hAnsiTheme="minorHAnsi" w:cs="Calibri"/>
        </w:rPr>
        <w:t xml:space="preserve"> absence of a large effect (that is</w:t>
      </w:r>
      <w:r w:rsidRPr="00C5276C">
        <w:rPr>
          <w:rFonts w:asciiTheme="minorHAnsi" w:eastAsiaTheme="minorHAnsi" w:hAnsiTheme="minorHAnsi" w:cs="Calibri"/>
        </w:rPr>
        <w:t xml:space="preserve"> &gt;</w:t>
      </w:r>
      <w:r w:rsidR="00297D08">
        <w:rPr>
          <w:rFonts w:asciiTheme="minorHAnsi" w:eastAsiaTheme="minorHAnsi" w:hAnsiTheme="minorHAnsi" w:cs="Calibri"/>
        </w:rPr>
        <w:t xml:space="preserve"> </w:t>
      </w:r>
      <w:r w:rsidRPr="00C5276C">
        <w:rPr>
          <w:rFonts w:asciiTheme="minorHAnsi" w:eastAsiaTheme="minorHAnsi" w:hAnsiTheme="minorHAnsi" w:cs="Calibri"/>
        </w:rPr>
        <w:t xml:space="preserve">20 </w:t>
      </w:r>
      <w:proofErr w:type="spellStart"/>
      <w:r w:rsidRPr="00C5276C">
        <w:rPr>
          <w:rFonts w:asciiTheme="minorHAnsi" w:eastAsiaTheme="minorHAnsi" w:hAnsiTheme="minorHAnsi" w:cs="Calibri"/>
        </w:rPr>
        <w:t>ms</w:t>
      </w:r>
      <w:proofErr w:type="spellEnd"/>
      <w:r w:rsidRPr="00C5276C">
        <w:rPr>
          <w:rFonts w:asciiTheme="minorHAnsi" w:eastAsiaTheme="minorHAnsi" w:hAnsiTheme="minorHAnsi" w:cs="Calibri"/>
        </w:rPr>
        <w:t xml:space="preserve">) on </w:t>
      </w:r>
      <w:proofErr w:type="spellStart"/>
      <w:r w:rsidRPr="00C5276C">
        <w:rPr>
          <w:rFonts w:asciiTheme="minorHAnsi" w:eastAsiaTheme="minorHAnsi" w:hAnsiTheme="minorHAnsi" w:cs="Calibri"/>
        </w:rPr>
        <w:t>QTcF</w:t>
      </w:r>
      <w:proofErr w:type="spellEnd"/>
      <w:r w:rsidRPr="00C5276C">
        <w:rPr>
          <w:rFonts w:asciiTheme="minorHAnsi" w:eastAsiaTheme="minorHAnsi" w:hAnsiTheme="minorHAnsi" w:cs="Calibri"/>
        </w:rPr>
        <w:t xml:space="preserve"> prolongation</w:t>
      </w:r>
      <w:r w:rsidR="00370429">
        <w:rPr>
          <w:rFonts w:asciiTheme="minorHAnsi" w:eastAsiaTheme="minorHAnsi" w:hAnsiTheme="minorHAnsi" w:cs="Calibri"/>
        </w:rPr>
        <w:t xml:space="preserve">. </w:t>
      </w:r>
      <w:r>
        <w:rPr>
          <w:rFonts w:asciiTheme="minorHAnsi" w:eastAsiaTheme="minorHAnsi" w:hAnsiTheme="minorHAnsi" w:cs="Calibri"/>
        </w:rPr>
        <w:t>In SOLAR-1</w:t>
      </w:r>
      <w:r w:rsidR="00C86F38">
        <w:rPr>
          <w:rFonts w:asciiTheme="minorHAnsi" w:eastAsiaTheme="minorHAnsi" w:hAnsiTheme="minorHAnsi" w:cs="Calibri"/>
        </w:rPr>
        <w:t xml:space="preserve"> trial</w:t>
      </w:r>
      <w:r>
        <w:rPr>
          <w:rFonts w:asciiTheme="minorHAnsi" w:eastAsiaTheme="minorHAnsi" w:hAnsiTheme="minorHAnsi" w:cs="Calibri"/>
        </w:rPr>
        <w:t>, there was no notable difference in QT prolongation between the two arms</w:t>
      </w:r>
      <w:r w:rsidR="00370429">
        <w:rPr>
          <w:rFonts w:asciiTheme="minorHAnsi" w:eastAsiaTheme="minorHAnsi" w:hAnsiTheme="minorHAnsi" w:cs="Calibri"/>
        </w:rPr>
        <w:t xml:space="preserve">. </w:t>
      </w:r>
      <w:r>
        <w:rPr>
          <w:rFonts w:asciiTheme="minorHAnsi" w:eastAsiaTheme="minorHAnsi" w:hAnsiTheme="minorHAnsi" w:cs="Calibri"/>
        </w:rPr>
        <w:t>N</w:t>
      </w:r>
      <w:r w:rsidRPr="00D27033">
        <w:rPr>
          <w:rFonts w:asciiTheme="minorHAnsi" w:eastAsiaTheme="minorHAnsi" w:hAnsiTheme="minorHAnsi" w:cs="Calibri"/>
        </w:rPr>
        <w:t>ew QTcF values &gt;</w:t>
      </w:r>
      <w:r w:rsidR="00297D08">
        <w:rPr>
          <w:rFonts w:asciiTheme="minorHAnsi" w:eastAsiaTheme="minorHAnsi" w:hAnsiTheme="minorHAnsi" w:cs="Calibri"/>
        </w:rPr>
        <w:t xml:space="preserve"> </w:t>
      </w:r>
      <w:r w:rsidRPr="00D27033">
        <w:rPr>
          <w:rFonts w:asciiTheme="minorHAnsi" w:eastAsiaTheme="minorHAnsi" w:hAnsiTheme="minorHAnsi" w:cs="Calibri"/>
        </w:rPr>
        <w:t xml:space="preserve">500 </w:t>
      </w:r>
      <w:proofErr w:type="spellStart"/>
      <w:r w:rsidRPr="00D27033">
        <w:rPr>
          <w:rFonts w:asciiTheme="minorHAnsi" w:eastAsiaTheme="minorHAnsi" w:hAnsiTheme="minorHAnsi" w:cs="Calibri"/>
        </w:rPr>
        <w:t>ms</w:t>
      </w:r>
      <w:proofErr w:type="spellEnd"/>
      <w:r w:rsidRPr="00D27033">
        <w:rPr>
          <w:rFonts w:asciiTheme="minorHAnsi" w:eastAsiaTheme="minorHAnsi" w:hAnsiTheme="minorHAnsi" w:cs="Calibri"/>
        </w:rPr>
        <w:t xml:space="preserve"> </w:t>
      </w:r>
      <w:proofErr w:type="gramStart"/>
      <w:r w:rsidRPr="00D27033">
        <w:rPr>
          <w:rFonts w:asciiTheme="minorHAnsi" w:eastAsiaTheme="minorHAnsi" w:hAnsiTheme="minorHAnsi" w:cs="Calibri"/>
        </w:rPr>
        <w:t>were</w:t>
      </w:r>
      <w:r>
        <w:rPr>
          <w:rFonts w:asciiTheme="minorHAnsi" w:eastAsiaTheme="minorHAnsi" w:hAnsiTheme="minorHAnsi" w:cs="Calibri"/>
        </w:rPr>
        <w:t xml:space="preserve"> </w:t>
      </w:r>
      <w:r w:rsidRPr="00D27033">
        <w:rPr>
          <w:rFonts w:asciiTheme="minorHAnsi" w:eastAsiaTheme="minorHAnsi" w:hAnsiTheme="minorHAnsi" w:cs="Calibri"/>
        </w:rPr>
        <w:t>observed</w:t>
      </w:r>
      <w:proofErr w:type="gramEnd"/>
      <w:r w:rsidRPr="00D27033">
        <w:rPr>
          <w:rFonts w:asciiTheme="minorHAnsi" w:eastAsiaTheme="minorHAnsi" w:hAnsiTheme="minorHAnsi" w:cs="Calibri"/>
        </w:rPr>
        <w:t xml:space="preserve"> in two </w:t>
      </w:r>
      <w:r>
        <w:rPr>
          <w:rFonts w:asciiTheme="minorHAnsi" w:eastAsiaTheme="minorHAnsi" w:hAnsiTheme="minorHAnsi" w:cs="Calibri"/>
        </w:rPr>
        <w:t>patients</w:t>
      </w:r>
      <w:r w:rsidRPr="00D27033">
        <w:rPr>
          <w:rFonts w:asciiTheme="minorHAnsi" w:eastAsiaTheme="minorHAnsi" w:hAnsiTheme="minorHAnsi" w:cs="Calibri"/>
        </w:rPr>
        <w:t xml:space="preserve"> (0.7%) </w:t>
      </w:r>
      <w:r>
        <w:rPr>
          <w:rFonts w:asciiTheme="minorHAnsi" w:eastAsiaTheme="minorHAnsi" w:hAnsiTheme="minorHAnsi" w:cs="Calibri"/>
        </w:rPr>
        <w:t>i</w:t>
      </w:r>
      <w:r w:rsidRPr="00D27033">
        <w:rPr>
          <w:rFonts w:asciiTheme="minorHAnsi" w:eastAsiaTheme="minorHAnsi" w:hAnsiTheme="minorHAnsi" w:cs="Calibri"/>
        </w:rPr>
        <w:t xml:space="preserve">n the </w:t>
      </w:r>
      <w:proofErr w:type="spellStart"/>
      <w:r w:rsidRPr="00D27033">
        <w:rPr>
          <w:rFonts w:asciiTheme="minorHAnsi" w:eastAsiaTheme="minorHAnsi" w:hAnsiTheme="minorHAnsi" w:cs="Calibri"/>
        </w:rPr>
        <w:t>alpelisib</w:t>
      </w:r>
      <w:proofErr w:type="spellEnd"/>
      <w:r w:rsidRPr="00D27033">
        <w:rPr>
          <w:rFonts w:asciiTheme="minorHAnsi" w:eastAsiaTheme="minorHAnsi" w:hAnsiTheme="minorHAnsi" w:cs="Calibri"/>
        </w:rPr>
        <w:t xml:space="preserve"> plus </w:t>
      </w:r>
      <w:proofErr w:type="spellStart"/>
      <w:r w:rsidRPr="00D27033">
        <w:rPr>
          <w:rFonts w:asciiTheme="minorHAnsi" w:eastAsiaTheme="minorHAnsi" w:hAnsiTheme="minorHAnsi" w:cs="Calibri"/>
        </w:rPr>
        <w:t>fulvestrant</w:t>
      </w:r>
      <w:proofErr w:type="spellEnd"/>
      <w:r w:rsidRPr="00D27033">
        <w:rPr>
          <w:rFonts w:asciiTheme="minorHAnsi" w:eastAsiaTheme="minorHAnsi" w:hAnsiTheme="minorHAnsi" w:cs="Calibri"/>
        </w:rPr>
        <w:t xml:space="preserve"> group </w:t>
      </w:r>
      <w:r>
        <w:rPr>
          <w:rFonts w:asciiTheme="minorHAnsi" w:eastAsiaTheme="minorHAnsi" w:hAnsiTheme="minorHAnsi" w:cs="Calibri"/>
        </w:rPr>
        <w:t>compared to</w:t>
      </w:r>
      <w:r w:rsidRPr="00D27033">
        <w:rPr>
          <w:rFonts w:asciiTheme="minorHAnsi" w:eastAsiaTheme="minorHAnsi" w:hAnsiTheme="minorHAnsi" w:cs="Calibri"/>
        </w:rPr>
        <w:t xml:space="preserve"> one </w:t>
      </w:r>
      <w:r>
        <w:rPr>
          <w:rFonts w:asciiTheme="minorHAnsi" w:eastAsiaTheme="minorHAnsi" w:hAnsiTheme="minorHAnsi" w:cs="Calibri"/>
        </w:rPr>
        <w:t>patient</w:t>
      </w:r>
      <w:r w:rsidRPr="00D27033">
        <w:rPr>
          <w:rFonts w:asciiTheme="minorHAnsi" w:eastAsiaTheme="minorHAnsi" w:hAnsiTheme="minorHAnsi" w:cs="Calibri"/>
        </w:rPr>
        <w:t xml:space="preserve"> (0.4%) in the placebo plus </w:t>
      </w:r>
      <w:proofErr w:type="spellStart"/>
      <w:r w:rsidRPr="00D27033">
        <w:rPr>
          <w:rFonts w:asciiTheme="minorHAnsi" w:eastAsiaTheme="minorHAnsi" w:hAnsiTheme="minorHAnsi" w:cs="Calibri"/>
        </w:rPr>
        <w:t>fulvestrant</w:t>
      </w:r>
      <w:proofErr w:type="spellEnd"/>
      <w:r w:rsidRPr="00D27033">
        <w:rPr>
          <w:rFonts w:asciiTheme="minorHAnsi" w:eastAsiaTheme="minorHAnsi" w:hAnsiTheme="minorHAnsi" w:cs="Calibri"/>
        </w:rPr>
        <w:t xml:space="preserve"> group</w:t>
      </w:r>
      <w:r>
        <w:rPr>
          <w:rFonts w:asciiTheme="minorHAnsi" w:eastAsiaTheme="minorHAnsi" w:hAnsiTheme="minorHAnsi" w:cs="Calibri"/>
        </w:rPr>
        <w:t>, and n</w:t>
      </w:r>
      <w:r w:rsidRPr="00D27033">
        <w:rPr>
          <w:rFonts w:asciiTheme="minorHAnsi" w:eastAsiaTheme="minorHAnsi" w:hAnsiTheme="minorHAnsi" w:cs="Calibri"/>
        </w:rPr>
        <w:t>ew QTcF values &gt;</w:t>
      </w:r>
      <w:r w:rsidR="00297D08">
        <w:rPr>
          <w:rFonts w:asciiTheme="minorHAnsi" w:eastAsiaTheme="minorHAnsi" w:hAnsiTheme="minorHAnsi" w:cs="Calibri"/>
        </w:rPr>
        <w:t xml:space="preserve"> </w:t>
      </w:r>
      <w:r w:rsidRPr="00D27033">
        <w:rPr>
          <w:rFonts w:asciiTheme="minorHAnsi" w:eastAsiaTheme="minorHAnsi" w:hAnsiTheme="minorHAnsi" w:cs="Calibri"/>
        </w:rPr>
        <w:t xml:space="preserve">480 </w:t>
      </w:r>
      <w:proofErr w:type="spellStart"/>
      <w:r w:rsidRPr="00D27033">
        <w:rPr>
          <w:rFonts w:asciiTheme="minorHAnsi" w:eastAsiaTheme="minorHAnsi" w:hAnsiTheme="minorHAnsi" w:cs="Calibri"/>
        </w:rPr>
        <w:t>ms</w:t>
      </w:r>
      <w:proofErr w:type="spellEnd"/>
      <w:r w:rsidRPr="00D27033">
        <w:rPr>
          <w:rFonts w:asciiTheme="minorHAnsi" w:eastAsiaTheme="minorHAnsi" w:hAnsiTheme="minorHAnsi" w:cs="Calibri"/>
        </w:rPr>
        <w:t xml:space="preserve"> and ≤</w:t>
      </w:r>
      <w:r w:rsidR="00297D08">
        <w:rPr>
          <w:rFonts w:asciiTheme="minorHAnsi" w:eastAsiaTheme="minorHAnsi" w:hAnsiTheme="minorHAnsi" w:cs="Calibri"/>
        </w:rPr>
        <w:t xml:space="preserve"> </w:t>
      </w:r>
      <w:r w:rsidRPr="00D27033">
        <w:rPr>
          <w:rFonts w:asciiTheme="minorHAnsi" w:eastAsiaTheme="minorHAnsi" w:hAnsiTheme="minorHAnsi" w:cs="Calibri"/>
        </w:rPr>
        <w:t xml:space="preserve">500 </w:t>
      </w:r>
      <w:proofErr w:type="spellStart"/>
      <w:r w:rsidRPr="00D27033">
        <w:rPr>
          <w:rFonts w:asciiTheme="minorHAnsi" w:eastAsiaTheme="minorHAnsi" w:hAnsiTheme="minorHAnsi" w:cs="Calibri"/>
        </w:rPr>
        <w:t>ms</w:t>
      </w:r>
      <w:proofErr w:type="spellEnd"/>
      <w:r w:rsidRPr="00D27033">
        <w:rPr>
          <w:rFonts w:asciiTheme="minorHAnsi" w:eastAsiaTheme="minorHAnsi" w:hAnsiTheme="minorHAnsi" w:cs="Calibri"/>
        </w:rPr>
        <w:t xml:space="preserve"> were observed in 2.6%</w:t>
      </w:r>
      <w:r w:rsidR="00297D08">
        <w:rPr>
          <w:rFonts w:asciiTheme="minorHAnsi" w:eastAsiaTheme="minorHAnsi" w:hAnsiTheme="minorHAnsi" w:cs="Calibri"/>
        </w:rPr>
        <w:t xml:space="preserve"> versus</w:t>
      </w:r>
      <w:r>
        <w:rPr>
          <w:rFonts w:asciiTheme="minorHAnsi" w:eastAsiaTheme="minorHAnsi" w:hAnsiTheme="minorHAnsi" w:cs="Calibri"/>
        </w:rPr>
        <w:t xml:space="preserve"> 1.8%, respectively</w:t>
      </w:r>
      <w:r w:rsidR="00370429">
        <w:rPr>
          <w:rFonts w:asciiTheme="minorHAnsi" w:eastAsiaTheme="minorHAnsi" w:hAnsiTheme="minorHAnsi" w:cs="Calibri"/>
        </w:rPr>
        <w:t xml:space="preserve">. </w:t>
      </w:r>
      <w:r>
        <w:rPr>
          <w:rFonts w:asciiTheme="minorHAnsi" w:eastAsiaTheme="minorHAnsi" w:hAnsiTheme="minorHAnsi" w:cs="Calibri"/>
        </w:rPr>
        <w:t xml:space="preserve">No clinically significant cardiac sequelae </w:t>
      </w:r>
      <w:proofErr w:type="gramStart"/>
      <w:r>
        <w:rPr>
          <w:rFonts w:asciiTheme="minorHAnsi" w:eastAsiaTheme="minorHAnsi" w:hAnsiTheme="minorHAnsi" w:cs="Calibri"/>
        </w:rPr>
        <w:t>were reported</w:t>
      </w:r>
      <w:proofErr w:type="gramEnd"/>
      <w:r>
        <w:rPr>
          <w:rFonts w:asciiTheme="minorHAnsi" w:eastAsiaTheme="minorHAnsi" w:hAnsiTheme="minorHAnsi" w:cs="Calibri"/>
        </w:rPr>
        <w:t xml:space="preserve"> in patients with prolonged QTcF values</w:t>
      </w:r>
      <w:r w:rsidR="00584817">
        <w:rPr>
          <w:rFonts w:asciiTheme="minorHAnsi" w:eastAsiaTheme="minorHAnsi" w:hAnsiTheme="minorHAnsi" w:cs="Calibri"/>
        </w:rPr>
        <w:t>.</w:t>
      </w:r>
    </w:p>
    <w:p w14:paraId="68BD61EC" w14:textId="77777777" w:rsidR="00C22B8B" w:rsidRDefault="00C22B8B" w:rsidP="00C22B8B">
      <w:pPr>
        <w:pStyle w:val="Heading4"/>
        <w:spacing w:before="240"/>
      </w:pPr>
      <w:bookmarkStart w:id="49" w:name="_Ref20901984"/>
      <w:r>
        <w:t>Companion diagnostic</w:t>
      </w:r>
      <w:bookmarkEnd w:id="49"/>
    </w:p>
    <w:p w14:paraId="4462862E" w14:textId="42D8BCDA" w:rsidR="00584817" w:rsidRDefault="00C22B8B" w:rsidP="00C22B8B">
      <w:pPr>
        <w:rPr>
          <w:lang w:val="en-US" w:eastAsia="ja-JP"/>
        </w:rPr>
      </w:pPr>
      <w:r w:rsidRPr="007B33BB">
        <w:rPr>
          <w:lang w:val="en-US" w:eastAsia="ja-JP"/>
        </w:rPr>
        <w:t xml:space="preserve">The Novartis CTA </w:t>
      </w:r>
      <w:proofErr w:type="gramStart"/>
      <w:r w:rsidRPr="007B33BB">
        <w:rPr>
          <w:lang w:val="en-US" w:eastAsia="ja-JP"/>
        </w:rPr>
        <w:t>was</w:t>
      </w:r>
      <w:r>
        <w:rPr>
          <w:lang w:val="en-US" w:eastAsia="ja-JP"/>
        </w:rPr>
        <w:t xml:space="preserve"> used</w:t>
      </w:r>
      <w:proofErr w:type="gramEnd"/>
      <w:r>
        <w:rPr>
          <w:lang w:val="en-US" w:eastAsia="ja-JP"/>
        </w:rPr>
        <w:t xml:space="preserve"> to detect </w:t>
      </w:r>
      <w:r w:rsidRPr="00CB732F">
        <w:rPr>
          <w:i/>
          <w:lang w:val="en-US" w:eastAsia="ja-JP"/>
        </w:rPr>
        <w:t>PIK3CA</w:t>
      </w:r>
      <w:r>
        <w:rPr>
          <w:lang w:val="en-US" w:eastAsia="ja-JP"/>
        </w:rPr>
        <w:t xml:space="preserve"> mutations in the first 395 patients enrolled in SOLAR-1</w:t>
      </w:r>
      <w:r w:rsidR="00C86F38">
        <w:rPr>
          <w:lang w:val="en-US" w:eastAsia="ja-JP"/>
        </w:rPr>
        <w:t xml:space="preserve"> trial</w:t>
      </w:r>
      <w:r>
        <w:rPr>
          <w:lang w:val="en-US" w:eastAsia="ja-JP"/>
        </w:rPr>
        <w:t xml:space="preserve"> and</w:t>
      </w:r>
      <w:r w:rsidRPr="007E4CB7">
        <w:rPr>
          <w:lang w:val="en-US" w:eastAsia="ja-JP"/>
        </w:rPr>
        <w:t xml:space="preserve"> the </w:t>
      </w:r>
      <w:proofErr w:type="spellStart"/>
      <w:r w:rsidRPr="007E4CB7">
        <w:rPr>
          <w:lang w:val="en-US" w:eastAsia="ja-JP"/>
        </w:rPr>
        <w:t>Q</w:t>
      </w:r>
      <w:r w:rsidR="00297D08">
        <w:rPr>
          <w:lang w:val="en-US" w:eastAsia="ja-JP"/>
        </w:rPr>
        <w:t>iagen</w:t>
      </w:r>
      <w:proofErr w:type="spellEnd"/>
      <w:r w:rsidRPr="007E4CB7">
        <w:rPr>
          <w:lang w:val="en-US" w:eastAsia="ja-JP"/>
        </w:rPr>
        <w:t xml:space="preserve"> </w:t>
      </w:r>
      <w:proofErr w:type="spellStart"/>
      <w:r w:rsidR="00297D08">
        <w:rPr>
          <w:lang w:val="en-US" w:eastAsia="ja-JP"/>
        </w:rPr>
        <w:t>therascreen</w:t>
      </w:r>
      <w:proofErr w:type="spellEnd"/>
      <w:r w:rsidRPr="00056E02">
        <w:rPr>
          <w:lang w:val="en-US" w:eastAsia="ja-JP"/>
        </w:rPr>
        <w:t xml:space="preserve"> PIK3CA RGQ PCR Kit</w:t>
      </w:r>
      <w:r>
        <w:rPr>
          <w:lang w:val="en-US" w:eastAsia="ja-JP"/>
        </w:rPr>
        <w:t xml:space="preserve"> was used for the subsequent 177 patients</w:t>
      </w:r>
      <w:r w:rsidR="00370429">
        <w:rPr>
          <w:lang w:val="en-US" w:eastAsia="ja-JP"/>
        </w:rPr>
        <w:t xml:space="preserve">. </w:t>
      </w:r>
      <w:r>
        <w:rPr>
          <w:lang w:val="en-US" w:eastAsia="ja-JP"/>
        </w:rPr>
        <w:t xml:space="preserve">The sequential use of the Novartis CTA and </w:t>
      </w:r>
      <w:proofErr w:type="spellStart"/>
      <w:r>
        <w:rPr>
          <w:lang w:val="en-US" w:eastAsia="ja-JP"/>
        </w:rPr>
        <w:t>Q</w:t>
      </w:r>
      <w:r w:rsidR="00297D08">
        <w:rPr>
          <w:lang w:val="en-US" w:eastAsia="ja-JP"/>
        </w:rPr>
        <w:t>iagen</w:t>
      </w:r>
      <w:proofErr w:type="spellEnd"/>
      <w:r>
        <w:rPr>
          <w:lang w:val="en-US" w:eastAsia="ja-JP"/>
        </w:rPr>
        <w:t xml:space="preserve"> IVD in this study resulted in 172 of the 177 patients enrolled with the </w:t>
      </w:r>
      <w:proofErr w:type="spellStart"/>
      <w:r>
        <w:rPr>
          <w:lang w:val="en-US" w:eastAsia="ja-JP"/>
        </w:rPr>
        <w:t>Q</w:t>
      </w:r>
      <w:r w:rsidR="00297D08">
        <w:rPr>
          <w:lang w:val="en-US" w:eastAsia="ja-JP"/>
        </w:rPr>
        <w:t>iagen</w:t>
      </w:r>
      <w:proofErr w:type="spellEnd"/>
      <w:r>
        <w:rPr>
          <w:lang w:val="en-US" w:eastAsia="ja-JP"/>
        </w:rPr>
        <w:t xml:space="preserve"> IVD being allocated to the </w:t>
      </w:r>
      <w:r w:rsidRPr="00CB732F">
        <w:rPr>
          <w:i/>
          <w:lang w:val="en-US" w:eastAsia="ja-JP"/>
        </w:rPr>
        <w:t>PIK3CA</w:t>
      </w:r>
      <w:r>
        <w:rPr>
          <w:lang w:val="en-US" w:eastAsia="ja-JP"/>
        </w:rPr>
        <w:t xml:space="preserve"> mutant cohort and only </w:t>
      </w:r>
      <w:proofErr w:type="gramStart"/>
      <w:r>
        <w:rPr>
          <w:lang w:val="en-US" w:eastAsia="ja-JP"/>
        </w:rPr>
        <w:t>5</w:t>
      </w:r>
      <w:proofErr w:type="gramEnd"/>
      <w:r>
        <w:rPr>
          <w:lang w:val="en-US" w:eastAsia="ja-JP"/>
        </w:rPr>
        <w:t xml:space="preserve"> to the non-mutant cohort</w:t>
      </w:r>
      <w:r w:rsidR="00584817">
        <w:rPr>
          <w:lang w:val="en-US" w:eastAsia="ja-JP"/>
        </w:rPr>
        <w:t>.</w:t>
      </w:r>
    </w:p>
    <w:p w14:paraId="12C27EB0" w14:textId="7EED657A" w:rsidR="00584817" w:rsidRDefault="00C22B8B" w:rsidP="00C22B8B">
      <w:pPr>
        <w:rPr>
          <w:lang w:val="en-US" w:eastAsia="ja-JP"/>
        </w:rPr>
      </w:pPr>
      <w:r w:rsidRPr="004546AC">
        <w:rPr>
          <w:lang w:val="en-US" w:eastAsia="ja-JP"/>
        </w:rPr>
        <w:t xml:space="preserve">The </w:t>
      </w:r>
      <w:proofErr w:type="spellStart"/>
      <w:r w:rsidRPr="004546AC">
        <w:rPr>
          <w:lang w:val="en-US" w:eastAsia="ja-JP"/>
        </w:rPr>
        <w:t>Q</w:t>
      </w:r>
      <w:r w:rsidR="00297D08" w:rsidRPr="004546AC">
        <w:rPr>
          <w:lang w:val="en-US" w:eastAsia="ja-JP"/>
        </w:rPr>
        <w:t>iagen</w:t>
      </w:r>
      <w:proofErr w:type="spellEnd"/>
      <w:r w:rsidRPr="004546AC">
        <w:rPr>
          <w:lang w:val="en-US" w:eastAsia="ja-JP"/>
        </w:rPr>
        <w:t xml:space="preserve"> </w:t>
      </w:r>
      <w:proofErr w:type="spellStart"/>
      <w:r w:rsidR="00297D08" w:rsidRPr="004546AC">
        <w:rPr>
          <w:lang w:val="en-US" w:eastAsia="ja-JP"/>
        </w:rPr>
        <w:t>therascreen</w:t>
      </w:r>
      <w:proofErr w:type="spellEnd"/>
      <w:r w:rsidR="00E86090" w:rsidRPr="004546AC">
        <w:rPr>
          <w:lang w:val="en-US" w:eastAsia="ja-JP"/>
        </w:rPr>
        <w:t xml:space="preserve"> PIK3CA RGQ PCR k</w:t>
      </w:r>
      <w:r w:rsidRPr="004546AC">
        <w:rPr>
          <w:lang w:val="en-US" w:eastAsia="ja-JP"/>
        </w:rPr>
        <w:t xml:space="preserve">it </w:t>
      </w:r>
      <w:r w:rsidRPr="004546AC">
        <w:rPr>
          <w:rFonts w:asciiTheme="minorHAnsi" w:hAnsiTheme="minorHAnsi" w:cs="Arial"/>
          <w:color w:val="000000"/>
        </w:rPr>
        <w:t xml:space="preserve">is a real-time qualitative PCR test for the detection of 11 mutations in the </w:t>
      </w:r>
      <w:r w:rsidRPr="00CB732F">
        <w:rPr>
          <w:rFonts w:asciiTheme="minorHAnsi" w:hAnsiTheme="minorHAnsi" w:cs="Arial"/>
          <w:i/>
          <w:color w:val="000000"/>
        </w:rPr>
        <w:t>PIK3CA</w:t>
      </w:r>
      <w:r w:rsidRPr="004546AC">
        <w:rPr>
          <w:rFonts w:asciiTheme="minorHAnsi" w:hAnsiTheme="minorHAnsi" w:cs="Arial"/>
          <w:color w:val="000000"/>
        </w:rPr>
        <w:t xml:space="preserve"> gene (Exon 7: C420</w:t>
      </w:r>
      <w:r w:rsidR="00297D08" w:rsidRPr="004546AC">
        <w:rPr>
          <w:rFonts w:asciiTheme="minorHAnsi" w:hAnsiTheme="minorHAnsi" w:cs="Arial"/>
          <w:color w:val="000000"/>
        </w:rPr>
        <w:t>R; Exon 9: E542K, E545A, E545D (</w:t>
      </w:r>
      <w:r w:rsidRPr="004546AC">
        <w:rPr>
          <w:rFonts w:asciiTheme="minorHAnsi" w:hAnsiTheme="minorHAnsi" w:cs="Arial"/>
          <w:color w:val="000000"/>
        </w:rPr>
        <w:t>1635G</w:t>
      </w:r>
      <w:r w:rsidR="00297D08" w:rsidRPr="004546AC">
        <w:rPr>
          <w:rFonts w:asciiTheme="minorHAnsi" w:hAnsiTheme="minorHAnsi" w:cs="Arial"/>
          <w:color w:val="000000"/>
        </w:rPr>
        <w:t xml:space="preserve"> </w:t>
      </w:r>
      <w:r w:rsidRPr="004546AC">
        <w:rPr>
          <w:rFonts w:asciiTheme="minorHAnsi" w:hAnsiTheme="minorHAnsi" w:cs="Arial"/>
          <w:color w:val="000000"/>
        </w:rPr>
        <w:t>&gt;</w:t>
      </w:r>
      <w:r w:rsidR="00297D08" w:rsidRPr="004546AC">
        <w:rPr>
          <w:rFonts w:asciiTheme="minorHAnsi" w:hAnsiTheme="minorHAnsi" w:cs="Arial"/>
          <w:color w:val="000000"/>
        </w:rPr>
        <w:t xml:space="preserve"> T only)</w:t>
      </w:r>
      <w:r w:rsidRPr="004546AC">
        <w:rPr>
          <w:rFonts w:asciiTheme="minorHAnsi" w:hAnsiTheme="minorHAnsi" w:cs="Arial"/>
          <w:color w:val="000000"/>
        </w:rPr>
        <w:t>, E545G, E545K, Q546E, Q546R; and Exon 20: H1047L, H1047R, H1047Y)</w:t>
      </w:r>
      <w:r w:rsidR="00535345" w:rsidRPr="004546AC">
        <w:rPr>
          <w:rFonts w:asciiTheme="minorHAnsi" w:hAnsiTheme="minorHAnsi" w:cs="Arial"/>
          <w:color w:val="000000"/>
        </w:rPr>
        <w:t>;</w:t>
      </w:r>
      <w:r w:rsidR="00535345" w:rsidRPr="004546AC">
        <w:rPr>
          <w:rStyle w:val="FootnoteReference"/>
          <w:rFonts w:asciiTheme="minorHAnsi" w:hAnsiTheme="minorHAnsi" w:cs="Arial"/>
          <w:color w:val="000000"/>
        </w:rPr>
        <w:footnoteReference w:id="19"/>
      </w:r>
      <w:r w:rsidRPr="004546AC">
        <w:rPr>
          <w:rFonts w:asciiTheme="minorHAnsi" w:hAnsiTheme="minorHAnsi" w:cs="Arial"/>
          <w:color w:val="000000"/>
        </w:rPr>
        <w:t xml:space="preserve"> using genomic </w:t>
      </w:r>
      <w:r w:rsidR="00762097">
        <w:rPr>
          <w:rFonts w:asciiTheme="minorHAnsi" w:hAnsiTheme="minorHAnsi" w:cs="Arial"/>
          <w:color w:val="000000"/>
        </w:rPr>
        <w:t>deoxyribonucleic acid (</w:t>
      </w:r>
      <w:r w:rsidRPr="004546AC">
        <w:rPr>
          <w:rFonts w:asciiTheme="minorHAnsi" w:hAnsiTheme="minorHAnsi" w:cs="Arial"/>
          <w:color w:val="000000"/>
        </w:rPr>
        <w:t>DNA</w:t>
      </w:r>
      <w:r w:rsidR="00762097">
        <w:rPr>
          <w:rFonts w:asciiTheme="minorHAnsi" w:hAnsiTheme="minorHAnsi" w:cs="Arial"/>
          <w:color w:val="000000"/>
        </w:rPr>
        <w:t>)</w:t>
      </w:r>
      <w:r w:rsidRPr="004546AC">
        <w:rPr>
          <w:rFonts w:asciiTheme="minorHAnsi" w:hAnsiTheme="minorHAnsi" w:cs="Arial"/>
          <w:color w:val="000000"/>
        </w:rPr>
        <w:t xml:space="preserve"> extracted from tumour tissue or </w:t>
      </w:r>
      <w:proofErr w:type="spellStart"/>
      <w:r w:rsidRPr="004546AC">
        <w:rPr>
          <w:rFonts w:asciiTheme="minorHAnsi" w:hAnsiTheme="minorHAnsi" w:cs="Arial"/>
          <w:color w:val="000000"/>
        </w:rPr>
        <w:t>ctDNA</w:t>
      </w:r>
      <w:proofErr w:type="spellEnd"/>
      <w:r w:rsidRPr="004546AC">
        <w:rPr>
          <w:rFonts w:asciiTheme="minorHAnsi" w:hAnsiTheme="minorHAnsi" w:cs="Arial"/>
          <w:color w:val="000000"/>
        </w:rPr>
        <w:t xml:space="preserve"> in plasma</w:t>
      </w:r>
      <w:r w:rsidR="00370429" w:rsidRPr="004546AC">
        <w:rPr>
          <w:rFonts w:asciiTheme="minorHAnsi" w:hAnsiTheme="minorHAnsi" w:cs="Arial"/>
          <w:color w:val="000000"/>
        </w:rPr>
        <w:t xml:space="preserve">. </w:t>
      </w:r>
      <w:r w:rsidR="00A12745">
        <w:rPr>
          <w:lang w:val="en-US" w:eastAsia="ja-JP"/>
        </w:rPr>
        <w:t xml:space="preserve">The </w:t>
      </w:r>
      <w:proofErr w:type="spellStart"/>
      <w:r w:rsidR="00A12745">
        <w:rPr>
          <w:lang w:val="en-US" w:eastAsia="ja-JP"/>
        </w:rPr>
        <w:t>Qiagen</w:t>
      </w:r>
      <w:proofErr w:type="spellEnd"/>
      <w:r w:rsidRPr="004546AC">
        <w:rPr>
          <w:lang w:val="en-US" w:eastAsia="ja-JP"/>
        </w:rPr>
        <w:t xml:space="preserve"> IVD differs from the Novartis CTA in not detecting the Q546K</w:t>
      </w:r>
      <w:r w:rsidR="00A12745">
        <w:rPr>
          <w:lang w:val="en-US" w:eastAsia="ja-JP"/>
        </w:rPr>
        <w:t xml:space="preserve"> (glutamine at position 546 replaced by lysine)</w:t>
      </w:r>
      <w:r w:rsidRPr="004546AC">
        <w:rPr>
          <w:lang w:val="en-US" w:eastAsia="ja-JP"/>
        </w:rPr>
        <w:t xml:space="preserve"> mutation</w:t>
      </w:r>
      <w:r w:rsidR="00370429" w:rsidRPr="004546AC">
        <w:rPr>
          <w:lang w:val="en-US" w:eastAsia="ja-JP"/>
        </w:rPr>
        <w:t xml:space="preserve">. </w:t>
      </w:r>
      <w:proofErr w:type="gramStart"/>
      <w:r w:rsidRPr="004546AC">
        <w:rPr>
          <w:lang w:val="en-US" w:eastAsia="ja-JP"/>
        </w:rPr>
        <w:t>Also</w:t>
      </w:r>
      <w:proofErr w:type="gramEnd"/>
      <w:r w:rsidRPr="004546AC">
        <w:rPr>
          <w:lang w:val="en-US" w:eastAsia="ja-JP"/>
        </w:rPr>
        <w:t xml:space="preserve">, the Novartis CTA, based on the </w:t>
      </w:r>
      <w:proofErr w:type="spellStart"/>
      <w:r w:rsidRPr="004546AC">
        <w:rPr>
          <w:lang w:val="en-US" w:eastAsia="ja-JP"/>
        </w:rPr>
        <w:t>Cobas</w:t>
      </w:r>
      <w:proofErr w:type="spellEnd"/>
      <w:r w:rsidRPr="004546AC">
        <w:rPr>
          <w:lang w:val="en-US" w:eastAsia="ja-JP"/>
        </w:rPr>
        <w:t xml:space="preserve"> </w:t>
      </w:r>
      <w:proofErr w:type="spellStart"/>
      <w:r w:rsidRPr="004546AC">
        <w:rPr>
          <w:lang w:val="en-US" w:eastAsia="ja-JP"/>
        </w:rPr>
        <w:t>plaform</w:t>
      </w:r>
      <w:proofErr w:type="spellEnd"/>
      <w:r w:rsidRPr="004546AC">
        <w:rPr>
          <w:lang w:val="en-US" w:eastAsia="ja-JP"/>
        </w:rPr>
        <w:t>, used a multiplexing strategy which did not differentiate all mutations</w:t>
      </w:r>
      <w:r w:rsidRPr="007E4CB7">
        <w:rPr>
          <w:lang w:val="en-US" w:eastAsia="ja-JP"/>
        </w:rPr>
        <w:t xml:space="preserve"> </w:t>
      </w:r>
      <w:r>
        <w:rPr>
          <w:lang w:val="en-US" w:eastAsia="ja-JP"/>
        </w:rPr>
        <w:t>(E545A/D/G/K mutations</w:t>
      </w:r>
      <w:r w:rsidRPr="001F5A57">
        <w:rPr>
          <w:lang w:val="en-US" w:eastAsia="ja-JP"/>
        </w:rPr>
        <w:t xml:space="preserve"> </w:t>
      </w:r>
      <w:r>
        <w:rPr>
          <w:lang w:val="en-US" w:eastAsia="ja-JP"/>
        </w:rPr>
        <w:t>reported as</w:t>
      </w:r>
      <w:r w:rsidRPr="007E4CB7">
        <w:rPr>
          <w:lang w:val="en-US" w:eastAsia="ja-JP"/>
        </w:rPr>
        <w:t xml:space="preserve"> </w:t>
      </w:r>
      <w:r>
        <w:rPr>
          <w:lang w:val="en-US" w:eastAsia="ja-JP"/>
        </w:rPr>
        <w:t>E545X,</w:t>
      </w:r>
      <w:r w:rsidRPr="007E4CB7">
        <w:rPr>
          <w:lang w:val="en-US" w:eastAsia="ja-JP"/>
        </w:rPr>
        <w:t xml:space="preserve"> Q546E/</w:t>
      </w:r>
      <w:r>
        <w:rPr>
          <w:lang w:val="en-US" w:eastAsia="ja-JP"/>
        </w:rPr>
        <w:t>K/</w:t>
      </w:r>
      <w:r w:rsidRPr="007E4CB7">
        <w:rPr>
          <w:lang w:val="en-US" w:eastAsia="ja-JP"/>
        </w:rPr>
        <w:t>R mutations</w:t>
      </w:r>
      <w:r>
        <w:rPr>
          <w:lang w:val="en-US" w:eastAsia="ja-JP"/>
        </w:rPr>
        <w:t xml:space="preserve"> reported as </w:t>
      </w:r>
      <w:r w:rsidRPr="007E4CB7">
        <w:rPr>
          <w:lang w:val="en-US" w:eastAsia="ja-JP"/>
        </w:rPr>
        <w:t>Q546X</w:t>
      </w:r>
      <w:r>
        <w:rPr>
          <w:lang w:val="en-US" w:eastAsia="ja-JP"/>
        </w:rPr>
        <w:t>,</w:t>
      </w:r>
      <w:r w:rsidRPr="007E4CB7">
        <w:rPr>
          <w:lang w:val="en-US" w:eastAsia="ja-JP"/>
        </w:rPr>
        <w:t xml:space="preserve"> and H1047L/R/Y mutations</w:t>
      </w:r>
      <w:r>
        <w:rPr>
          <w:lang w:val="en-US" w:eastAsia="ja-JP"/>
        </w:rPr>
        <w:t xml:space="preserve"> reported as</w:t>
      </w:r>
      <w:r w:rsidRPr="001F5A57">
        <w:rPr>
          <w:lang w:val="en-US" w:eastAsia="ja-JP"/>
        </w:rPr>
        <w:t xml:space="preserve"> </w:t>
      </w:r>
      <w:r w:rsidRPr="007E4CB7">
        <w:rPr>
          <w:lang w:val="en-US" w:eastAsia="ja-JP"/>
        </w:rPr>
        <w:t>H1047X</w:t>
      </w:r>
      <w:r>
        <w:rPr>
          <w:lang w:val="en-US" w:eastAsia="ja-JP"/>
        </w:rPr>
        <w:t>)</w:t>
      </w:r>
      <w:r w:rsidR="00584817">
        <w:rPr>
          <w:lang w:val="en-US" w:eastAsia="ja-JP"/>
        </w:rPr>
        <w:t>.</w:t>
      </w:r>
    </w:p>
    <w:p w14:paraId="4A82CF99" w14:textId="12F00E72" w:rsidR="00C22B8B" w:rsidRPr="00EE0DDA" w:rsidRDefault="00C22B8B" w:rsidP="00EE0DDA">
      <w:r>
        <w:rPr>
          <w:rFonts w:asciiTheme="minorHAnsi" w:eastAsiaTheme="minorHAnsi" w:hAnsiTheme="minorHAnsi"/>
          <w:lang w:val="en-US"/>
        </w:rPr>
        <w:t xml:space="preserve">The 395 patients enrolled </w:t>
      </w:r>
      <w:proofErr w:type="gramStart"/>
      <w:r>
        <w:rPr>
          <w:rFonts w:asciiTheme="minorHAnsi" w:eastAsiaTheme="minorHAnsi" w:hAnsiTheme="minorHAnsi"/>
          <w:lang w:val="en-US"/>
        </w:rPr>
        <w:t>on the basis of</w:t>
      </w:r>
      <w:proofErr w:type="gramEnd"/>
      <w:r>
        <w:rPr>
          <w:rFonts w:asciiTheme="minorHAnsi" w:eastAsiaTheme="minorHAnsi" w:hAnsiTheme="minorHAnsi"/>
          <w:lang w:val="en-US"/>
        </w:rPr>
        <w:t xml:space="preserve"> the Novartis CTA were retros</w:t>
      </w:r>
      <w:r w:rsidR="002C32E7">
        <w:rPr>
          <w:rFonts w:asciiTheme="minorHAnsi" w:eastAsiaTheme="minorHAnsi" w:hAnsiTheme="minorHAnsi"/>
          <w:lang w:val="en-US"/>
        </w:rPr>
        <w:t xml:space="preserve">pectively tested with the </w:t>
      </w:r>
      <w:proofErr w:type="spellStart"/>
      <w:r w:rsidR="002C32E7">
        <w:rPr>
          <w:rFonts w:asciiTheme="minorHAnsi" w:eastAsiaTheme="minorHAnsi" w:hAnsiTheme="minorHAnsi"/>
          <w:lang w:val="en-US"/>
        </w:rPr>
        <w:t>Qiagen</w:t>
      </w:r>
      <w:proofErr w:type="spellEnd"/>
      <w:r w:rsidR="00FA1A64">
        <w:rPr>
          <w:rFonts w:asciiTheme="minorHAnsi" w:eastAsiaTheme="minorHAnsi" w:hAnsiTheme="minorHAnsi"/>
          <w:lang w:val="en-US"/>
        </w:rPr>
        <w:t xml:space="preserve"> IVD (t</w:t>
      </w:r>
      <w:r>
        <w:rPr>
          <w:rFonts w:asciiTheme="minorHAnsi" w:eastAsiaTheme="minorHAnsi" w:hAnsiTheme="minorHAnsi"/>
          <w:lang w:val="en-US"/>
        </w:rPr>
        <w:t xml:space="preserve">issue </w:t>
      </w:r>
      <w:r w:rsidR="00C615EC">
        <w:rPr>
          <w:rFonts w:asciiTheme="minorHAnsi" w:eastAsiaTheme="minorHAnsi" w:hAnsiTheme="minorHAnsi"/>
          <w:lang w:val="en-US"/>
        </w:rPr>
        <w:t>companion diagnostics (</w:t>
      </w:r>
      <w:proofErr w:type="spellStart"/>
      <w:r>
        <w:rPr>
          <w:rFonts w:asciiTheme="minorHAnsi" w:eastAsiaTheme="minorHAnsi" w:hAnsiTheme="minorHAnsi"/>
          <w:lang w:val="en-US"/>
        </w:rPr>
        <w:t>CDx</w:t>
      </w:r>
      <w:proofErr w:type="spellEnd"/>
      <w:r w:rsidR="00C615EC">
        <w:rPr>
          <w:rFonts w:asciiTheme="minorHAnsi" w:eastAsiaTheme="minorHAnsi" w:hAnsiTheme="minorHAnsi"/>
          <w:lang w:val="en-US"/>
        </w:rPr>
        <w:t>)</w:t>
      </w:r>
      <w:r>
        <w:rPr>
          <w:rFonts w:asciiTheme="minorHAnsi" w:eastAsiaTheme="minorHAnsi" w:hAnsiTheme="minorHAnsi"/>
          <w:lang w:val="en-US"/>
        </w:rPr>
        <w:t>)</w:t>
      </w:r>
      <w:r w:rsidR="00370429">
        <w:rPr>
          <w:rFonts w:asciiTheme="minorHAnsi" w:eastAsiaTheme="minorHAnsi" w:hAnsiTheme="minorHAnsi"/>
          <w:lang w:val="en-US"/>
        </w:rPr>
        <w:t xml:space="preserve">. </w:t>
      </w:r>
      <w:r>
        <w:rPr>
          <w:rFonts w:asciiTheme="minorHAnsi" w:eastAsiaTheme="minorHAnsi" w:hAnsiTheme="minorHAnsi"/>
          <w:lang w:val="en-US"/>
        </w:rPr>
        <w:t>A concordance analysis (</w:t>
      </w:r>
      <w:r>
        <w:rPr>
          <w:rFonts w:asciiTheme="minorHAnsi" w:eastAsiaTheme="minorHAnsi" w:hAnsiTheme="minorHAnsi"/>
          <w:lang w:val="en-US"/>
        </w:rPr>
        <w:fldChar w:fldCharType="begin"/>
      </w:r>
      <w:r>
        <w:rPr>
          <w:rFonts w:asciiTheme="minorHAnsi" w:eastAsiaTheme="minorHAnsi" w:hAnsiTheme="minorHAnsi"/>
          <w:lang w:val="en-US"/>
        </w:rPr>
        <w:instrText xml:space="preserve"> REF _Ref20144352 \h </w:instrText>
      </w:r>
      <w:r>
        <w:rPr>
          <w:rFonts w:asciiTheme="minorHAnsi" w:eastAsiaTheme="minorHAnsi" w:hAnsiTheme="minorHAnsi"/>
          <w:lang w:val="en-US"/>
        </w:rPr>
      </w:r>
      <w:r>
        <w:rPr>
          <w:rFonts w:asciiTheme="minorHAnsi" w:eastAsiaTheme="minorHAnsi" w:hAnsiTheme="minorHAnsi"/>
          <w:lang w:val="en-US"/>
        </w:rPr>
        <w:fldChar w:fldCharType="separate"/>
      </w:r>
      <w:r w:rsidR="007C6ED1">
        <w:t xml:space="preserve">Table </w:t>
      </w:r>
      <w:r w:rsidR="007C6ED1">
        <w:rPr>
          <w:noProof/>
        </w:rPr>
        <w:t>6</w:t>
      </w:r>
      <w:r>
        <w:rPr>
          <w:rFonts w:asciiTheme="minorHAnsi" w:eastAsiaTheme="minorHAnsi" w:hAnsiTheme="minorHAnsi"/>
          <w:lang w:val="en-US"/>
        </w:rPr>
        <w:fldChar w:fldCharType="end"/>
      </w:r>
      <w:r>
        <w:rPr>
          <w:rFonts w:asciiTheme="minorHAnsi" w:eastAsiaTheme="minorHAnsi" w:hAnsiTheme="minorHAnsi"/>
          <w:lang w:val="en-US"/>
        </w:rPr>
        <w:t xml:space="preserve">) showed </w:t>
      </w:r>
      <w:r w:rsidRPr="00205731">
        <w:rPr>
          <w:lang w:val="en-US"/>
        </w:rPr>
        <w:t>positive percent agreement (PPA), negative percent agreement (NPA) and</w:t>
      </w:r>
      <w:r>
        <w:rPr>
          <w:lang w:val="en-US"/>
        </w:rPr>
        <w:t xml:space="preserve"> </w:t>
      </w:r>
      <w:r w:rsidRPr="00205731">
        <w:rPr>
          <w:lang w:val="en-US"/>
        </w:rPr>
        <w:t>overall percent agreement (OPA)</w:t>
      </w:r>
      <w:r>
        <w:rPr>
          <w:lang w:val="en-US"/>
        </w:rPr>
        <w:t xml:space="preserve"> </w:t>
      </w:r>
      <w:r w:rsidRPr="00EE0DDA">
        <w:t>of 97.0%, 92.5% and</w:t>
      </w:r>
      <w:r w:rsidR="00FA1A64">
        <w:t xml:space="preserve"> 94.4% respectively (including t</w:t>
      </w:r>
      <w:r w:rsidRPr="00EE0DDA">
        <w:t xml:space="preserve">issue </w:t>
      </w:r>
      <w:proofErr w:type="spellStart"/>
      <w:r w:rsidRPr="00EE0DDA">
        <w:t>CDx</w:t>
      </w:r>
      <w:proofErr w:type="spellEnd"/>
      <w:r w:rsidRPr="00EE0DDA">
        <w:t xml:space="preserve"> invalid results), meeting the pre-specified acceptance crit</w:t>
      </w:r>
      <w:r w:rsidR="00FA1A64">
        <w:t xml:space="preserve">eria for agreement </w:t>
      </w:r>
      <w:r w:rsidR="00FA1A64">
        <w:lastRenderedPageBreak/>
        <w:t>between the t</w:t>
      </w:r>
      <w:r w:rsidRPr="00EE0DDA">
        <w:t xml:space="preserve">issue </w:t>
      </w:r>
      <w:proofErr w:type="spellStart"/>
      <w:r w:rsidRPr="00EE0DDA">
        <w:t>CDx</w:t>
      </w:r>
      <w:proofErr w:type="spellEnd"/>
      <w:r w:rsidRPr="00EE0DDA">
        <w:t xml:space="preserve"> and the CTA</w:t>
      </w:r>
      <w:r w:rsidR="00370429" w:rsidRPr="00EE0DDA">
        <w:t xml:space="preserve">. </w:t>
      </w:r>
      <w:r w:rsidRPr="00EE0DDA">
        <w:t xml:space="preserve">The analytical validity of the </w:t>
      </w:r>
      <w:proofErr w:type="spellStart"/>
      <w:r w:rsidRPr="00EE0DDA">
        <w:t>Q</w:t>
      </w:r>
      <w:r w:rsidR="00A40152" w:rsidRPr="00EE0DDA">
        <w:t>iagen</w:t>
      </w:r>
      <w:proofErr w:type="spellEnd"/>
      <w:r w:rsidRPr="00EE0DDA">
        <w:t xml:space="preserve"> IVD </w:t>
      </w:r>
      <w:proofErr w:type="gramStart"/>
      <w:r w:rsidRPr="00EE0DDA">
        <w:t>will be assessed</w:t>
      </w:r>
      <w:proofErr w:type="gramEnd"/>
      <w:r w:rsidRPr="00EE0DDA">
        <w:t xml:space="preserve"> separately as part of the evaluation of the IVD.</w:t>
      </w:r>
    </w:p>
    <w:p w14:paraId="1762FA20" w14:textId="4678B6CA" w:rsidR="00C22B8B" w:rsidRDefault="00C22B8B" w:rsidP="00EE0DDA">
      <w:pPr>
        <w:rPr>
          <w:lang w:val="en-US"/>
        </w:rPr>
      </w:pPr>
      <w:r w:rsidRPr="00EE0DDA">
        <w:t>PFS an</w:t>
      </w:r>
      <w:r w:rsidR="00FA1A64">
        <w:t xml:space="preserve">alyses </w:t>
      </w:r>
      <w:proofErr w:type="gramStart"/>
      <w:r w:rsidR="00FA1A64">
        <w:t>were performed</w:t>
      </w:r>
      <w:proofErr w:type="gramEnd"/>
      <w:r w:rsidR="00FA1A64">
        <w:t xml:space="preserve"> based on t</w:t>
      </w:r>
      <w:r w:rsidRPr="00EE0DDA">
        <w:t xml:space="preserve">issue </w:t>
      </w:r>
      <w:proofErr w:type="spellStart"/>
      <w:r w:rsidRPr="00EE0DDA">
        <w:t>CDx</w:t>
      </w:r>
      <w:proofErr w:type="spellEnd"/>
      <w:r w:rsidRPr="00EE0DDA">
        <w:t xml:space="preserve"> </w:t>
      </w:r>
      <w:r w:rsidRPr="00CB732F">
        <w:rPr>
          <w:i/>
        </w:rPr>
        <w:t>PIK3CA</w:t>
      </w:r>
      <w:r w:rsidRPr="00EE0DDA">
        <w:t xml:space="preserve"> mutation status</w:t>
      </w:r>
      <w:r w:rsidR="00370429" w:rsidRPr="00EE0DDA">
        <w:t xml:space="preserve">. </w:t>
      </w:r>
      <w:r w:rsidRPr="00EE0DDA">
        <w:t xml:space="preserve">PFS for </w:t>
      </w:r>
      <w:proofErr w:type="spellStart"/>
      <w:r w:rsidRPr="00EE0DDA">
        <w:t>alp</w:t>
      </w:r>
      <w:r w:rsidR="00FA1A64">
        <w:t>elisib</w:t>
      </w:r>
      <w:proofErr w:type="spellEnd"/>
      <w:r w:rsidR="00FA1A64">
        <w:t xml:space="preserve"> plus </w:t>
      </w:r>
      <w:proofErr w:type="spellStart"/>
      <w:r w:rsidR="00FA1A64">
        <w:t>fulvestrant</w:t>
      </w:r>
      <w:proofErr w:type="spellEnd"/>
      <w:r w:rsidR="00FA1A64">
        <w:t xml:space="preserve"> in the t</w:t>
      </w:r>
      <w:r w:rsidRPr="00EE0DDA">
        <w:t>issue</w:t>
      </w:r>
      <w:r>
        <w:rPr>
          <w:rFonts w:asciiTheme="minorHAnsi" w:eastAsiaTheme="minorHAnsi" w:hAnsiTheme="minorHAnsi"/>
          <w:lang w:val="en-US"/>
        </w:rPr>
        <w:t xml:space="preserve"> </w:t>
      </w:r>
      <w:proofErr w:type="spellStart"/>
      <w:r>
        <w:rPr>
          <w:rFonts w:asciiTheme="minorHAnsi" w:eastAsiaTheme="minorHAnsi" w:hAnsiTheme="minorHAnsi"/>
          <w:lang w:val="en-US"/>
        </w:rPr>
        <w:t>CDx</w:t>
      </w:r>
      <w:proofErr w:type="spellEnd"/>
      <w:r>
        <w:rPr>
          <w:rFonts w:asciiTheme="minorHAnsi" w:eastAsiaTheme="minorHAnsi" w:hAnsiTheme="minorHAnsi"/>
          <w:lang w:val="en-US"/>
        </w:rPr>
        <w:t xml:space="preserve"> </w:t>
      </w:r>
      <w:r w:rsidRPr="005A3519">
        <w:rPr>
          <w:rFonts w:asciiTheme="minorHAnsi" w:eastAsiaTheme="minorHAnsi" w:hAnsiTheme="minorHAnsi"/>
          <w:i/>
          <w:lang w:val="en-US"/>
        </w:rPr>
        <w:t>PIK3CA</w:t>
      </w:r>
      <w:r>
        <w:rPr>
          <w:rFonts w:asciiTheme="minorHAnsi" w:eastAsiaTheme="minorHAnsi" w:hAnsiTheme="minorHAnsi"/>
          <w:lang w:val="en-US"/>
        </w:rPr>
        <w:t xml:space="preserve"> </w:t>
      </w:r>
      <w:r w:rsidR="00C615EC">
        <w:rPr>
          <w:rFonts w:asciiTheme="minorHAnsi" w:eastAsiaTheme="minorHAnsi" w:hAnsiTheme="minorHAnsi"/>
          <w:lang w:val="en-US"/>
        </w:rPr>
        <w:t>mutation-positive population (hazard ratio</w:t>
      </w:r>
      <w:r>
        <w:rPr>
          <w:rFonts w:asciiTheme="minorHAnsi" w:eastAsiaTheme="minorHAnsi" w:hAnsiTheme="minorHAnsi"/>
          <w:lang w:val="en-US"/>
        </w:rPr>
        <w:t xml:space="preserve"> 0.64, 95% CI 0.48, 0.85) was similar to the primary efficacy outcome </w:t>
      </w:r>
      <w:r w:rsidR="00C615EC">
        <w:rPr>
          <w:rFonts w:asciiTheme="minorHAnsi" w:eastAsiaTheme="minorHAnsi" w:hAnsiTheme="minorHAnsi" w:cs="Calibri"/>
        </w:rPr>
        <w:t>(hazard ratio</w:t>
      </w:r>
      <w:r w:rsidRPr="008718CE">
        <w:rPr>
          <w:rFonts w:asciiTheme="minorHAnsi" w:eastAsiaTheme="minorHAnsi" w:hAnsiTheme="minorHAnsi" w:cs="Calibri"/>
        </w:rPr>
        <w:t xml:space="preserve"> 0.65, 95% CI 0.50, 0.85)</w:t>
      </w:r>
      <w:r w:rsidR="00370429">
        <w:rPr>
          <w:rFonts w:asciiTheme="minorHAnsi" w:eastAsiaTheme="minorHAnsi" w:hAnsiTheme="minorHAnsi" w:cs="Calibri"/>
        </w:rPr>
        <w:t xml:space="preserve">. </w:t>
      </w:r>
      <w:r w:rsidR="00C615EC">
        <w:rPr>
          <w:rFonts w:asciiTheme="minorHAnsi" w:eastAsiaTheme="minorHAnsi" w:hAnsiTheme="minorHAnsi" w:cs="Calibri"/>
        </w:rPr>
        <w:t>The hazard ratio</w:t>
      </w:r>
      <w:r w:rsidR="00FA1A64">
        <w:rPr>
          <w:rFonts w:asciiTheme="minorHAnsi" w:eastAsiaTheme="minorHAnsi" w:hAnsiTheme="minorHAnsi" w:cs="Calibri"/>
        </w:rPr>
        <w:t xml:space="preserve"> for PFS in the t</w:t>
      </w:r>
      <w:r>
        <w:rPr>
          <w:rFonts w:asciiTheme="minorHAnsi" w:eastAsiaTheme="minorHAnsi" w:hAnsiTheme="minorHAnsi" w:cs="Calibri"/>
        </w:rPr>
        <w:t xml:space="preserve">issue </w:t>
      </w:r>
      <w:proofErr w:type="spellStart"/>
      <w:r>
        <w:rPr>
          <w:rFonts w:asciiTheme="minorHAnsi" w:eastAsiaTheme="minorHAnsi" w:hAnsiTheme="minorHAnsi" w:cs="Calibri"/>
        </w:rPr>
        <w:t>CDx</w:t>
      </w:r>
      <w:proofErr w:type="spellEnd"/>
      <w:r>
        <w:rPr>
          <w:rFonts w:asciiTheme="minorHAnsi" w:eastAsiaTheme="minorHAnsi" w:hAnsiTheme="minorHAnsi" w:cs="Calibri"/>
        </w:rPr>
        <w:t xml:space="preserve"> </w:t>
      </w:r>
      <w:r w:rsidRPr="005A3519">
        <w:rPr>
          <w:rFonts w:asciiTheme="minorHAnsi" w:eastAsiaTheme="minorHAnsi" w:hAnsiTheme="minorHAnsi" w:cs="Calibri"/>
          <w:i/>
        </w:rPr>
        <w:t>PIK3CA</w:t>
      </w:r>
      <w:r>
        <w:rPr>
          <w:rFonts w:asciiTheme="minorHAnsi" w:eastAsiaTheme="minorHAnsi" w:hAnsiTheme="minorHAnsi" w:cs="Calibri"/>
        </w:rPr>
        <w:t xml:space="preserve"> non-mutant populatio</w:t>
      </w:r>
      <w:r w:rsidR="00A40152">
        <w:rPr>
          <w:rFonts w:asciiTheme="minorHAnsi" w:eastAsiaTheme="minorHAnsi" w:hAnsiTheme="minorHAnsi" w:cs="Calibri"/>
        </w:rPr>
        <w:t>n was 0.72 (95% CI 0.45, 1.15).</w:t>
      </w:r>
    </w:p>
    <w:p w14:paraId="4B22536C" w14:textId="5C91FFF7" w:rsidR="00C22B8B" w:rsidRDefault="00C22B8B" w:rsidP="00A40152">
      <w:pPr>
        <w:pStyle w:val="TableTitle"/>
        <w:rPr>
          <w:rFonts w:asciiTheme="minorHAnsi" w:eastAsiaTheme="minorHAnsi" w:hAnsiTheme="minorHAnsi"/>
          <w:lang w:val="en-US"/>
        </w:rPr>
      </w:pPr>
      <w:bookmarkStart w:id="50" w:name="_Ref20144352"/>
      <w:r>
        <w:t xml:space="preserve">Table </w:t>
      </w:r>
      <w:r>
        <w:fldChar w:fldCharType="begin"/>
      </w:r>
      <w:r>
        <w:instrText>SEQ Table \* ARABIC</w:instrText>
      </w:r>
      <w:r>
        <w:fldChar w:fldCharType="separate"/>
      </w:r>
      <w:r w:rsidR="007C6ED1">
        <w:rPr>
          <w:noProof/>
        </w:rPr>
        <w:t>6</w:t>
      </w:r>
      <w:r>
        <w:fldChar w:fldCharType="end"/>
      </w:r>
      <w:bookmarkEnd w:id="50"/>
      <w:r w:rsidR="00A40152">
        <w:t xml:space="preserve">: </w:t>
      </w:r>
      <w:r>
        <w:t>Contingency table between the</w:t>
      </w:r>
      <w:r w:rsidR="003E7F74">
        <w:t xml:space="preserve"> tissue </w:t>
      </w:r>
      <w:r w:rsidR="004800AB">
        <w:t>companion diagnostics and clinical trial assay</w:t>
      </w:r>
      <w:r w:rsidR="00C615EC">
        <w:t xml:space="preserve"> results (full analysis set</w:t>
      </w:r>
      <w:r w:rsidR="004800AB">
        <w:t>, clinical trial assay</w:t>
      </w:r>
      <w:r>
        <w:t>-enrolled)</w:t>
      </w:r>
    </w:p>
    <w:p w14:paraId="7EE7401B" w14:textId="27D82562" w:rsidR="00C22B8B" w:rsidRDefault="008B3967" w:rsidP="00C22B8B">
      <w:pPr>
        <w:rPr>
          <w:rFonts w:asciiTheme="minorHAnsi" w:eastAsiaTheme="minorHAnsi" w:hAnsiTheme="minorHAnsi"/>
          <w:lang w:val="en-US"/>
        </w:rPr>
      </w:pPr>
      <w:r>
        <w:rPr>
          <w:noProof/>
          <w:lang w:eastAsia="en-AU"/>
        </w:rPr>
        <w:drawing>
          <wp:inline distT="0" distB="0" distL="0" distR="0" wp14:anchorId="2841F94A" wp14:editId="1B7E87A2">
            <wp:extent cx="5400040" cy="1256665"/>
            <wp:effectExtent l="0" t="0" r="0" b="635"/>
            <wp:docPr id="3" name="Picture 3" descr="Contingency table between the tissue companion diagnostics and clinical trial assay results (full analysis set, clinical trial assay-en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256665"/>
                    </a:xfrm>
                    <a:prstGeom prst="rect">
                      <a:avLst/>
                    </a:prstGeom>
                  </pic:spPr>
                </pic:pic>
              </a:graphicData>
            </a:graphic>
          </wp:inline>
        </w:drawing>
      </w:r>
    </w:p>
    <w:p w14:paraId="08933EE7" w14:textId="271FA188" w:rsidR="00584817" w:rsidRDefault="00C22B8B" w:rsidP="00C22B8B">
      <w:pPr>
        <w:rPr>
          <w:rFonts w:asciiTheme="minorHAnsi" w:eastAsiaTheme="minorHAnsi" w:hAnsiTheme="minorHAnsi"/>
          <w:lang w:val="en-US"/>
        </w:rPr>
      </w:pPr>
      <w:proofErr w:type="gramStart"/>
      <w:r>
        <w:rPr>
          <w:rFonts w:asciiTheme="minorHAnsi" w:eastAsiaTheme="minorHAnsi" w:hAnsiTheme="minorHAnsi"/>
          <w:lang w:val="en-US"/>
        </w:rPr>
        <w:t xml:space="preserve">Plasma samples for detection of </w:t>
      </w:r>
      <w:r w:rsidRPr="005A3519">
        <w:rPr>
          <w:rFonts w:asciiTheme="minorHAnsi" w:eastAsiaTheme="minorHAnsi" w:hAnsiTheme="minorHAnsi"/>
          <w:i/>
          <w:lang w:val="en-US"/>
        </w:rPr>
        <w:t>PIK3CA</w:t>
      </w:r>
      <w:r>
        <w:rPr>
          <w:rFonts w:asciiTheme="minorHAnsi" w:eastAsiaTheme="minorHAnsi" w:hAnsiTheme="minorHAnsi"/>
          <w:lang w:val="en-US"/>
        </w:rPr>
        <w:t xml:space="preserve"> mutations in </w:t>
      </w:r>
      <w:proofErr w:type="spellStart"/>
      <w:r>
        <w:rPr>
          <w:rFonts w:asciiTheme="minorHAnsi" w:eastAsiaTheme="minorHAnsi" w:hAnsiTheme="minorHAnsi"/>
          <w:lang w:val="en-US"/>
        </w:rPr>
        <w:t>ctDNA</w:t>
      </w:r>
      <w:proofErr w:type="spellEnd"/>
      <w:r>
        <w:rPr>
          <w:rFonts w:asciiTheme="minorHAnsi" w:eastAsiaTheme="minorHAnsi" w:hAnsiTheme="minorHAnsi"/>
          <w:lang w:val="en-US"/>
        </w:rPr>
        <w:t xml:space="preserve"> were collected from 554</w:t>
      </w:r>
      <w:r w:rsidR="004E5250">
        <w:rPr>
          <w:rFonts w:asciiTheme="minorHAnsi" w:eastAsiaTheme="minorHAnsi" w:hAnsiTheme="minorHAnsi"/>
          <w:lang w:val="en-US"/>
        </w:rPr>
        <w:t> </w:t>
      </w:r>
      <w:r>
        <w:rPr>
          <w:rFonts w:asciiTheme="minorHAnsi" w:eastAsiaTheme="minorHAnsi" w:hAnsiTheme="minorHAnsi"/>
          <w:lang w:val="en-US"/>
        </w:rPr>
        <w:t>patients in SOLAR-1</w:t>
      </w:r>
      <w:r w:rsidR="00C86F38">
        <w:rPr>
          <w:rFonts w:asciiTheme="minorHAnsi" w:eastAsiaTheme="minorHAnsi" w:hAnsiTheme="minorHAnsi"/>
          <w:lang w:val="en-US"/>
        </w:rPr>
        <w:t xml:space="preserve"> trial</w:t>
      </w:r>
      <w:r>
        <w:rPr>
          <w:rFonts w:asciiTheme="minorHAnsi" w:eastAsiaTheme="minorHAnsi" w:hAnsiTheme="minorHAnsi"/>
          <w:lang w:val="en-US"/>
        </w:rPr>
        <w:t xml:space="preserve"> (plasma samples were unavailable for 18 patients) and retrospectively tested using the </w:t>
      </w:r>
      <w:proofErr w:type="spellStart"/>
      <w:r>
        <w:rPr>
          <w:rFonts w:asciiTheme="minorHAnsi" w:eastAsiaTheme="minorHAnsi" w:hAnsiTheme="minorHAnsi"/>
          <w:lang w:val="en-US"/>
        </w:rPr>
        <w:t>Q</w:t>
      </w:r>
      <w:r w:rsidR="00A40152">
        <w:rPr>
          <w:rFonts w:asciiTheme="minorHAnsi" w:eastAsiaTheme="minorHAnsi" w:hAnsiTheme="minorHAnsi"/>
          <w:lang w:val="en-US"/>
        </w:rPr>
        <w:t>iagen</w:t>
      </w:r>
      <w:proofErr w:type="spellEnd"/>
      <w:r>
        <w:rPr>
          <w:rFonts w:asciiTheme="minorHAnsi" w:eastAsiaTheme="minorHAnsi" w:hAnsiTheme="minorHAnsi"/>
          <w:lang w:val="en-US"/>
        </w:rPr>
        <w:t xml:space="preserve"> </w:t>
      </w:r>
      <w:r w:rsidR="00A12745">
        <w:rPr>
          <w:rFonts w:asciiTheme="minorHAnsi" w:eastAsiaTheme="minorHAnsi" w:hAnsiTheme="minorHAnsi"/>
          <w:lang w:val="en-US"/>
        </w:rPr>
        <w:t>p</w:t>
      </w:r>
      <w:r>
        <w:rPr>
          <w:rFonts w:asciiTheme="minorHAnsi" w:eastAsiaTheme="minorHAnsi" w:hAnsiTheme="minorHAnsi"/>
          <w:lang w:val="en-US"/>
        </w:rPr>
        <w:t xml:space="preserve">lasma </w:t>
      </w:r>
      <w:proofErr w:type="spellStart"/>
      <w:r>
        <w:rPr>
          <w:rFonts w:asciiTheme="minorHAnsi" w:eastAsiaTheme="minorHAnsi" w:hAnsiTheme="minorHAnsi"/>
          <w:lang w:val="en-US"/>
        </w:rPr>
        <w:t>CDx</w:t>
      </w:r>
      <w:proofErr w:type="spellEnd"/>
      <w:r w:rsidR="00370429">
        <w:rPr>
          <w:rFonts w:asciiTheme="minorHAnsi" w:eastAsiaTheme="minorHAnsi" w:hAnsiTheme="minorHAnsi"/>
          <w:lang w:val="en-US"/>
        </w:rPr>
        <w:t xml:space="preserve">. </w:t>
      </w:r>
      <w:r w:rsidR="00A12745">
        <w:rPr>
          <w:rFonts w:asciiTheme="minorHAnsi" w:eastAsiaTheme="minorHAnsi" w:hAnsiTheme="minorHAnsi"/>
          <w:lang w:val="en-US"/>
        </w:rPr>
        <w:t xml:space="preserve">Concordance analyses for the tissue </w:t>
      </w:r>
      <w:proofErr w:type="spellStart"/>
      <w:r w:rsidR="00A12745">
        <w:rPr>
          <w:rFonts w:asciiTheme="minorHAnsi" w:eastAsiaTheme="minorHAnsi" w:hAnsiTheme="minorHAnsi"/>
          <w:lang w:val="en-US"/>
        </w:rPr>
        <w:t>CDx</w:t>
      </w:r>
      <w:proofErr w:type="spellEnd"/>
      <w:r w:rsidR="00A12745">
        <w:rPr>
          <w:rFonts w:asciiTheme="minorHAnsi" w:eastAsiaTheme="minorHAnsi" w:hAnsiTheme="minorHAnsi"/>
          <w:lang w:val="en-US"/>
        </w:rPr>
        <w:t xml:space="preserve"> and p</w:t>
      </w:r>
      <w:r>
        <w:rPr>
          <w:rFonts w:asciiTheme="minorHAnsi" w:eastAsiaTheme="minorHAnsi" w:hAnsiTheme="minorHAnsi"/>
          <w:lang w:val="en-US"/>
        </w:rPr>
        <w:t xml:space="preserve">lasma </w:t>
      </w:r>
      <w:proofErr w:type="spellStart"/>
      <w:r>
        <w:rPr>
          <w:rFonts w:asciiTheme="minorHAnsi" w:eastAsiaTheme="minorHAnsi" w:hAnsiTheme="minorHAnsi"/>
          <w:lang w:val="en-US"/>
        </w:rPr>
        <w:t>CDx</w:t>
      </w:r>
      <w:proofErr w:type="spellEnd"/>
      <w:r>
        <w:rPr>
          <w:rFonts w:asciiTheme="minorHAnsi" w:eastAsiaTheme="minorHAnsi" w:hAnsiTheme="minorHAnsi"/>
          <w:lang w:val="en-US"/>
        </w:rPr>
        <w:t xml:space="preserve"> (</w:t>
      </w:r>
      <w:r>
        <w:rPr>
          <w:rFonts w:asciiTheme="minorHAnsi" w:eastAsiaTheme="minorHAnsi" w:hAnsiTheme="minorHAnsi"/>
          <w:lang w:val="en-US"/>
        </w:rPr>
        <w:fldChar w:fldCharType="begin"/>
      </w:r>
      <w:r>
        <w:rPr>
          <w:rFonts w:asciiTheme="minorHAnsi" w:eastAsiaTheme="minorHAnsi" w:hAnsiTheme="minorHAnsi"/>
          <w:lang w:val="en-US"/>
        </w:rPr>
        <w:instrText xml:space="preserve"> REF _Ref16840380 \h </w:instrText>
      </w:r>
      <w:r>
        <w:rPr>
          <w:rFonts w:asciiTheme="minorHAnsi" w:eastAsiaTheme="minorHAnsi" w:hAnsiTheme="minorHAnsi"/>
          <w:lang w:val="en-US"/>
        </w:rPr>
      </w:r>
      <w:r>
        <w:rPr>
          <w:rFonts w:asciiTheme="minorHAnsi" w:eastAsiaTheme="minorHAnsi" w:hAnsiTheme="minorHAnsi"/>
          <w:lang w:val="en-US"/>
        </w:rPr>
        <w:fldChar w:fldCharType="separate"/>
      </w:r>
      <w:r w:rsidR="007C6ED1">
        <w:t xml:space="preserve">Table </w:t>
      </w:r>
      <w:r w:rsidR="007C6ED1">
        <w:rPr>
          <w:noProof/>
        </w:rPr>
        <w:t>7</w:t>
      </w:r>
      <w:r>
        <w:rPr>
          <w:rFonts w:asciiTheme="minorHAnsi" w:eastAsiaTheme="minorHAnsi" w:hAnsiTheme="minorHAnsi"/>
          <w:lang w:val="en-US"/>
        </w:rPr>
        <w:fldChar w:fldCharType="end"/>
      </w:r>
      <w:r>
        <w:rPr>
          <w:rFonts w:asciiTheme="minorHAnsi" w:eastAsiaTheme="minorHAnsi" w:hAnsiTheme="minorHAnsi"/>
          <w:lang w:val="en-US"/>
        </w:rPr>
        <w:t>) showed the PPA of the plasma test compared to tissue test was 54.6% and the NPA was 97.2%</w:t>
      </w:r>
      <w:r w:rsidR="00370429">
        <w:rPr>
          <w:rFonts w:asciiTheme="minorHAnsi" w:eastAsiaTheme="minorHAnsi" w:hAnsiTheme="minorHAnsi"/>
          <w:lang w:val="en-US"/>
        </w:rPr>
        <w:t>.</w:t>
      </w:r>
      <w:proofErr w:type="gramEnd"/>
      <w:r w:rsidR="00370429">
        <w:rPr>
          <w:rFonts w:asciiTheme="minorHAnsi" w:eastAsiaTheme="minorHAnsi" w:hAnsiTheme="minorHAnsi"/>
          <w:lang w:val="en-US"/>
        </w:rPr>
        <w:t xml:space="preserve"> </w:t>
      </w:r>
      <w:proofErr w:type="gramStart"/>
      <w:r w:rsidRPr="0078685C">
        <w:rPr>
          <w:rFonts w:asciiTheme="minorHAnsi" w:eastAsiaTheme="minorHAnsi" w:hAnsiTheme="minorHAnsi"/>
          <w:lang w:val="en-US"/>
        </w:rPr>
        <w:t>155</w:t>
      </w:r>
      <w:proofErr w:type="gramEnd"/>
      <w:r w:rsidRPr="0078685C">
        <w:rPr>
          <w:rFonts w:asciiTheme="minorHAnsi" w:eastAsiaTheme="minorHAnsi" w:hAnsiTheme="minorHAnsi"/>
          <w:lang w:val="en-US"/>
        </w:rPr>
        <w:t xml:space="preserve"> of 543 plasma </w:t>
      </w:r>
      <w:r>
        <w:rPr>
          <w:rFonts w:asciiTheme="minorHAnsi" w:eastAsiaTheme="minorHAnsi" w:hAnsiTheme="minorHAnsi"/>
          <w:lang w:val="en-US"/>
        </w:rPr>
        <w:t>results</w:t>
      </w:r>
      <w:r w:rsidRPr="0078685C">
        <w:rPr>
          <w:rFonts w:asciiTheme="minorHAnsi" w:eastAsiaTheme="minorHAnsi" w:hAnsiTheme="minorHAnsi"/>
          <w:lang w:val="en-US"/>
        </w:rPr>
        <w:t xml:space="preserve"> </w:t>
      </w:r>
      <w:r>
        <w:rPr>
          <w:rFonts w:asciiTheme="minorHAnsi" w:eastAsiaTheme="minorHAnsi" w:hAnsiTheme="minorHAnsi"/>
          <w:lang w:val="en-US"/>
        </w:rPr>
        <w:t xml:space="preserve">were </w:t>
      </w:r>
      <w:r w:rsidRPr="0078685C">
        <w:rPr>
          <w:rFonts w:asciiTheme="minorHAnsi" w:eastAsiaTheme="minorHAnsi" w:hAnsiTheme="minorHAnsi"/>
          <w:lang w:val="en-US"/>
        </w:rPr>
        <w:t>discordan</w:t>
      </w:r>
      <w:r>
        <w:rPr>
          <w:rFonts w:asciiTheme="minorHAnsi" w:eastAsiaTheme="minorHAnsi" w:hAnsiTheme="minorHAnsi"/>
          <w:lang w:val="en-US"/>
        </w:rPr>
        <w:t>t with the</w:t>
      </w:r>
      <w:r w:rsidRPr="0078685C">
        <w:rPr>
          <w:rFonts w:asciiTheme="minorHAnsi" w:eastAsiaTheme="minorHAnsi" w:hAnsiTheme="minorHAnsi"/>
          <w:lang w:val="en-US"/>
        </w:rPr>
        <w:t xml:space="preserve"> tissue result</w:t>
      </w:r>
      <w:r w:rsidR="00370429">
        <w:rPr>
          <w:rFonts w:asciiTheme="minorHAnsi" w:eastAsiaTheme="minorHAnsi" w:hAnsiTheme="minorHAnsi"/>
          <w:lang w:val="en-US"/>
        </w:rPr>
        <w:t xml:space="preserve">. </w:t>
      </w:r>
      <w:r w:rsidRPr="0078685C">
        <w:rPr>
          <w:rFonts w:asciiTheme="minorHAnsi" w:eastAsiaTheme="minorHAnsi" w:hAnsiTheme="minorHAnsi"/>
          <w:lang w:val="en-US"/>
        </w:rPr>
        <w:t xml:space="preserve">Of the </w:t>
      </w:r>
      <w:proofErr w:type="gramStart"/>
      <w:r w:rsidRPr="0078685C">
        <w:rPr>
          <w:rFonts w:asciiTheme="minorHAnsi" w:eastAsiaTheme="minorHAnsi" w:hAnsiTheme="minorHAnsi"/>
          <w:lang w:val="en-US"/>
        </w:rPr>
        <w:t>6</w:t>
      </w:r>
      <w:proofErr w:type="gramEnd"/>
      <w:r w:rsidRPr="0078685C">
        <w:rPr>
          <w:rFonts w:asciiTheme="minorHAnsi" w:eastAsiaTheme="minorHAnsi" w:hAnsiTheme="minorHAnsi"/>
          <w:lang w:val="en-US"/>
        </w:rPr>
        <w:t xml:space="preserve"> plasma positive sample</w:t>
      </w:r>
      <w:r>
        <w:rPr>
          <w:rFonts w:asciiTheme="minorHAnsi" w:eastAsiaTheme="minorHAnsi" w:hAnsiTheme="minorHAnsi"/>
          <w:lang w:val="en-US"/>
        </w:rPr>
        <w:t xml:space="preserve">s that were tissue negative, </w:t>
      </w:r>
      <w:r w:rsidRPr="001879E8">
        <w:rPr>
          <w:rFonts w:asciiTheme="minorHAnsi" w:eastAsiaTheme="minorHAnsi" w:hAnsiTheme="minorHAnsi"/>
          <w:lang w:val="en-US"/>
        </w:rPr>
        <w:t xml:space="preserve">5 cases were confirmed plasma positive </w:t>
      </w:r>
      <w:r>
        <w:rPr>
          <w:rFonts w:asciiTheme="minorHAnsi" w:eastAsiaTheme="minorHAnsi" w:hAnsiTheme="minorHAnsi"/>
          <w:lang w:val="en-US"/>
        </w:rPr>
        <w:t xml:space="preserve">and 1 case plasma negative </w:t>
      </w:r>
      <w:r w:rsidRPr="001879E8">
        <w:rPr>
          <w:rFonts w:asciiTheme="minorHAnsi" w:eastAsiaTheme="minorHAnsi" w:hAnsiTheme="minorHAnsi"/>
          <w:lang w:val="en-US"/>
        </w:rPr>
        <w:t xml:space="preserve">by </w:t>
      </w:r>
      <w:proofErr w:type="spellStart"/>
      <w:r w:rsidR="00EE0DDA">
        <w:rPr>
          <w:rFonts w:asciiTheme="minorHAnsi" w:eastAsiaTheme="minorHAnsi" w:hAnsiTheme="minorHAnsi"/>
          <w:lang w:val="en-US"/>
        </w:rPr>
        <w:t>Oncomin</w:t>
      </w:r>
      <w:proofErr w:type="spellEnd"/>
      <w:r>
        <w:rPr>
          <w:rFonts w:asciiTheme="minorHAnsi" w:eastAsiaTheme="minorHAnsi" w:hAnsiTheme="minorHAnsi"/>
          <w:lang w:val="en-US"/>
        </w:rPr>
        <w:t xml:space="preserve"> </w:t>
      </w:r>
      <w:r w:rsidR="004C6A3C">
        <w:rPr>
          <w:rFonts w:asciiTheme="minorHAnsi" w:eastAsiaTheme="minorHAnsi" w:hAnsiTheme="minorHAnsi"/>
          <w:lang w:val="en-US"/>
        </w:rPr>
        <w:t>next generation sequencing (</w:t>
      </w:r>
      <w:r w:rsidRPr="001879E8">
        <w:rPr>
          <w:rFonts w:asciiTheme="minorHAnsi" w:eastAsiaTheme="minorHAnsi" w:hAnsiTheme="minorHAnsi"/>
          <w:lang w:val="en-US"/>
        </w:rPr>
        <w:t>NGS</w:t>
      </w:r>
      <w:r w:rsidR="004C6A3C">
        <w:rPr>
          <w:rFonts w:asciiTheme="minorHAnsi" w:eastAsiaTheme="minorHAnsi" w:hAnsiTheme="minorHAnsi"/>
          <w:lang w:val="en-US"/>
        </w:rPr>
        <w:t>)</w:t>
      </w:r>
      <w:r>
        <w:rPr>
          <w:rFonts w:asciiTheme="minorHAnsi" w:eastAsiaTheme="minorHAnsi" w:hAnsiTheme="minorHAnsi"/>
          <w:lang w:val="en-US"/>
        </w:rPr>
        <w:t xml:space="preserve"> testing</w:t>
      </w:r>
      <w:r w:rsidR="00370429">
        <w:rPr>
          <w:rFonts w:asciiTheme="minorHAnsi" w:eastAsiaTheme="minorHAnsi" w:hAnsiTheme="minorHAnsi"/>
          <w:lang w:val="en-US"/>
        </w:rPr>
        <w:t xml:space="preserve">. </w:t>
      </w:r>
      <w:r w:rsidRPr="0078685C">
        <w:rPr>
          <w:rFonts w:asciiTheme="minorHAnsi" w:eastAsiaTheme="minorHAnsi" w:hAnsiTheme="minorHAnsi"/>
          <w:lang w:val="en-US"/>
        </w:rPr>
        <w:t>Of the 149 plasma negative sample</w:t>
      </w:r>
      <w:r>
        <w:rPr>
          <w:rFonts w:asciiTheme="minorHAnsi" w:eastAsiaTheme="minorHAnsi" w:hAnsiTheme="minorHAnsi"/>
          <w:lang w:val="en-US"/>
        </w:rPr>
        <w:t xml:space="preserve">s that were tissue positive, </w:t>
      </w:r>
      <w:r w:rsidRPr="001879E8">
        <w:rPr>
          <w:rFonts w:asciiTheme="minorHAnsi" w:eastAsiaTheme="minorHAnsi" w:hAnsiTheme="minorHAnsi"/>
          <w:lang w:val="en-US"/>
        </w:rPr>
        <w:t>119 cases were c</w:t>
      </w:r>
      <w:r>
        <w:rPr>
          <w:rFonts w:asciiTheme="minorHAnsi" w:eastAsiaTheme="minorHAnsi" w:hAnsiTheme="minorHAnsi"/>
          <w:lang w:val="en-US"/>
        </w:rPr>
        <w:t xml:space="preserve">onfirmed plasma negative by NGS, </w:t>
      </w:r>
      <w:r w:rsidRPr="001879E8">
        <w:rPr>
          <w:rFonts w:asciiTheme="minorHAnsi" w:eastAsiaTheme="minorHAnsi" w:hAnsiTheme="minorHAnsi"/>
          <w:lang w:val="en-US"/>
        </w:rPr>
        <w:t>28 cases were plasma positive by NGS</w:t>
      </w:r>
      <w:r>
        <w:rPr>
          <w:rFonts w:asciiTheme="minorHAnsi" w:eastAsiaTheme="minorHAnsi" w:hAnsiTheme="minorHAnsi"/>
          <w:lang w:val="en-US"/>
        </w:rPr>
        <w:t xml:space="preserve"> (</w:t>
      </w:r>
      <w:r w:rsidRPr="001879E8">
        <w:rPr>
          <w:rFonts w:asciiTheme="minorHAnsi" w:eastAsiaTheme="minorHAnsi" w:hAnsiTheme="minorHAnsi"/>
          <w:lang w:val="en-US"/>
        </w:rPr>
        <w:t xml:space="preserve">27 of </w:t>
      </w:r>
      <w:r>
        <w:rPr>
          <w:rFonts w:asciiTheme="minorHAnsi" w:eastAsiaTheme="minorHAnsi" w:hAnsiTheme="minorHAnsi"/>
          <w:lang w:val="en-US"/>
        </w:rPr>
        <w:t xml:space="preserve">these </w:t>
      </w:r>
      <w:r w:rsidRPr="001879E8">
        <w:rPr>
          <w:rFonts w:asciiTheme="minorHAnsi" w:eastAsiaTheme="minorHAnsi" w:hAnsiTheme="minorHAnsi"/>
          <w:lang w:val="en-US"/>
        </w:rPr>
        <w:t xml:space="preserve">had mutant fraction below the </w:t>
      </w:r>
      <w:proofErr w:type="spellStart"/>
      <w:r w:rsidRPr="001879E8">
        <w:rPr>
          <w:rFonts w:asciiTheme="minorHAnsi" w:eastAsiaTheme="minorHAnsi" w:hAnsiTheme="minorHAnsi"/>
          <w:lang w:val="en-US"/>
        </w:rPr>
        <w:t>CDx</w:t>
      </w:r>
      <w:proofErr w:type="spellEnd"/>
      <w:r>
        <w:rPr>
          <w:rFonts w:asciiTheme="minorHAnsi" w:eastAsiaTheme="minorHAnsi" w:hAnsiTheme="minorHAnsi"/>
          <w:lang w:val="en-US"/>
        </w:rPr>
        <w:t xml:space="preserve"> </w:t>
      </w:r>
      <w:r w:rsidRPr="001879E8">
        <w:rPr>
          <w:rFonts w:asciiTheme="minorHAnsi" w:eastAsiaTheme="minorHAnsi" w:hAnsiTheme="minorHAnsi"/>
          <w:lang w:val="en-US"/>
        </w:rPr>
        <w:t>plasma assay limit of detection</w:t>
      </w:r>
      <w:r>
        <w:rPr>
          <w:rFonts w:asciiTheme="minorHAnsi" w:eastAsiaTheme="minorHAnsi" w:hAnsiTheme="minorHAnsi"/>
          <w:lang w:val="en-US"/>
        </w:rPr>
        <w:t>) and 2 cases had missing NGS results due to insufficient DNA</w:t>
      </w:r>
      <w:r w:rsidR="00584817">
        <w:rPr>
          <w:rFonts w:asciiTheme="minorHAnsi" w:eastAsiaTheme="minorHAnsi" w:hAnsiTheme="minorHAnsi"/>
          <w:lang w:val="en-US"/>
        </w:rPr>
        <w:t>.</w:t>
      </w:r>
    </w:p>
    <w:p w14:paraId="13E0D766" w14:textId="295348BE" w:rsidR="00C22B8B" w:rsidRDefault="00C22B8B" w:rsidP="00C22B8B">
      <w:pPr>
        <w:rPr>
          <w:rFonts w:asciiTheme="minorHAnsi" w:hAnsiTheme="minorHAnsi" w:cs="Arial"/>
          <w:color w:val="000000"/>
          <w:shd w:val="clear" w:color="auto" w:fill="F9F9F3"/>
        </w:rPr>
      </w:pPr>
      <w:r>
        <w:rPr>
          <w:rFonts w:asciiTheme="minorHAnsi" w:eastAsiaTheme="minorHAnsi" w:hAnsiTheme="minorHAnsi"/>
          <w:lang w:val="en-US"/>
        </w:rPr>
        <w:t xml:space="preserve">PFS for </w:t>
      </w:r>
      <w:proofErr w:type="spellStart"/>
      <w:r>
        <w:rPr>
          <w:rFonts w:asciiTheme="minorHAnsi" w:eastAsiaTheme="minorHAnsi" w:hAnsiTheme="minorHAnsi"/>
          <w:lang w:val="en-US"/>
        </w:rPr>
        <w:t>alp</w:t>
      </w:r>
      <w:r w:rsidR="004C6A3C">
        <w:rPr>
          <w:rFonts w:asciiTheme="minorHAnsi" w:eastAsiaTheme="minorHAnsi" w:hAnsiTheme="minorHAnsi"/>
          <w:lang w:val="en-US"/>
        </w:rPr>
        <w:t>elisib</w:t>
      </w:r>
      <w:proofErr w:type="spellEnd"/>
      <w:r w:rsidR="004C6A3C">
        <w:rPr>
          <w:rFonts w:asciiTheme="minorHAnsi" w:eastAsiaTheme="minorHAnsi" w:hAnsiTheme="minorHAnsi"/>
          <w:lang w:val="en-US"/>
        </w:rPr>
        <w:t xml:space="preserve"> plus </w:t>
      </w:r>
      <w:proofErr w:type="spellStart"/>
      <w:r w:rsidR="004C6A3C">
        <w:rPr>
          <w:rFonts w:asciiTheme="minorHAnsi" w:eastAsiaTheme="minorHAnsi" w:hAnsiTheme="minorHAnsi"/>
          <w:lang w:val="en-US"/>
        </w:rPr>
        <w:t>fulvestrant</w:t>
      </w:r>
      <w:proofErr w:type="spellEnd"/>
      <w:r w:rsidR="004C6A3C">
        <w:rPr>
          <w:rFonts w:asciiTheme="minorHAnsi" w:eastAsiaTheme="minorHAnsi" w:hAnsiTheme="minorHAnsi"/>
          <w:lang w:val="en-US"/>
        </w:rPr>
        <w:t xml:space="preserve"> in the p</w:t>
      </w:r>
      <w:r>
        <w:rPr>
          <w:rFonts w:asciiTheme="minorHAnsi" w:eastAsiaTheme="minorHAnsi" w:hAnsiTheme="minorHAnsi"/>
          <w:lang w:val="en-US"/>
        </w:rPr>
        <w:t xml:space="preserve">lasma </w:t>
      </w:r>
      <w:proofErr w:type="spellStart"/>
      <w:r>
        <w:rPr>
          <w:rFonts w:asciiTheme="minorHAnsi" w:eastAsiaTheme="minorHAnsi" w:hAnsiTheme="minorHAnsi"/>
          <w:lang w:val="en-US"/>
        </w:rPr>
        <w:t>CDx</w:t>
      </w:r>
      <w:proofErr w:type="spellEnd"/>
      <w:r>
        <w:rPr>
          <w:rFonts w:asciiTheme="minorHAnsi" w:eastAsiaTheme="minorHAnsi" w:hAnsiTheme="minorHAnsi"/>
          <w:lang w:val="en-US"/>
        </w:rPr>
        <w:t xml:space="preserve"> </w:t>
      </w:r>
      <w:r w:rsidRPr="005A3519">
        <w:rPr>
          <w:rFonts w:asciiTheme="minorHAnsi" w:eastAsiaTheme="minorHAnsi" w:hAnsiTheme="minorHAnsi"/>
          <w:i/>
          <w:lang w:val="en-US"/>
        </w:rPr>
        <w:t>PIK3CA</w:t>
      </w:r>
      <w:r>
        <w:rPr>
          <w:rFonts w:asciiTheme="minorHAnsi" w:eastAsiaTheme="minorHAnsi" w:hAnsiTheme="minorHAnsi"/>
          <w:lang w:val="en-US"/>
        </w:rPr>
        <w:t xml:space="preserve"> mutation-positive population </w:t>
      </w:r>
      <w:r w:rsidR="00762097">
        <w:rPr>
          <w:rFonts w:asciiTheme="minorHAnsi" w:eastAsiaTheme="minorHAnsi" w:hAnsiTheme="minorHAnsi"/>
          <w:lang w:val="en-US"/>
        </w:rPr>
        <w:t>(hazard ratio</w:t>
      </w:r>
      <w:r w:rsidRPr="008E38BD">
        <w:rPr>
          <w:rFonts w:asciiTheme="minorHAnsi" w:eastAsiaTheme="minorHAnsi" w:hAnsiTheme="minorHAnsi"/>
          <w:lang w:val="en-US"/>
        </w:rPr>
        <w:t xml:space="preserve"> 0.54, 95% CI 0.33, 0.88</w:t>
      </w:r>
      <w:r w:rsidR="00FA1A64">
        <w:rPr>
          <w:rFonts w:asciiTheme="minorHAnsi" w:eastAsiaTheme="minorHAnsi" w:hAnsiTheme="minorHAnsi"/>
          <w:lang w:val="en-US"/>
        </w:rPr>
        <w:t>) was similar to the t</w:t>
      </w:r>
      <w:r>
        <w:rPr>
          <w:rFonts w:asciiTheme="minorHAnsi" w:eastAsiaTheme="minorHAnsi" w:hAnsiTheme="minorHAnsi"/>
          <w:lang w:val="en-US"/>
        </w:rPr>
        <w:t xml:space="preserve">issue </w:t>
      </w:r>
      <w:proofErr w:type="spellStart"/>
      <w:r>
        <w:rPr>
          <w:rFonts w:asciiTheme="minorHAnsi" w:eastAsiaTheme="minorHAnsi" w:hAnsiTheme="minorHAnsi"/>
          <w:lang w:val="en-US"/>
        </w:rPr>
        <w:t>CDx</w:t>
      </w:r>
      <w:proofErr w:type="spellEnd"/>
      <w:r>
        <w:rPr>
          <w:rFonts w:asciiTheme="minorHAnsi" w:eastAsiaTheme="minorHAnsi" w:hAnsiTheme="minorHAnsi"/>
          <w:lang w:val="en-US"/>
        </w:rPr>
        <w:t xml:space="preserve"> outcome an</w:t>
      </w:r>
      <w:r w:rsidR="00A40152">
        <w:rPr>
          <w:rFonts w:asciiTheme="minorHAnsi" w:eastAsiaTheme="minorHAnsi" w:hAnsiTheme="minorHAnsi"/>
          <w:lang w:val="en-US"/>
        </w:rPr>
        <w:t>d the primary efficacy outcome.</w:t>
      </w:r>
    </w:p>
    <w:p w14:paraId="33B40F5D" w14:textId="53ADD753" w:rsidR="00C22B8B" w:rsidRPr="004A08F3" w:rsidRDefault="00C22B8B" w:rsidP="00A40152">
      <w:pPr>
        <w:pStyle w:val="TableTitle"/>
      </w:pPr>
      <w:bookmarkStart w:id="51" w:name="_Ref16840380"/>
      <w:r>
        <w:t xml:space="preserve">Table </w:t>
      </w:r>
      <w:r>
        <w:fldChar w:fldCharType="begin"/>
      </w:r>
      <w:r>
        <w:instrText>SEQ Table \* ARABIC</w:instrText>
      </w:r>
      <w:r>
        <w:fldChar w:fldCharType="separate"/>
      </w:r>
      <w:r w:rsidR="007C6ED1">
        <w:rPr>
          <w:noProof/>
        </w:rPr>
        <w:t>7</w:t>
      </w:r>
      <w:r>
        <w:fldChar w:fldCharType="end"/>
      </w:r>
      <w:bookmarkEnd w:id="51"/>
      <w:r w:rsidR="00A40152">
        <w:t>:</w:t>
      </w:r>
      <w:r w:rsidR="003E7F74">
        <w:t xml:space="preserve"> Contingency table between </w:t>
      </w:r>
      <w:proofErr w:type="gramStart"/>
      <w:r w:rsidR="003E7F74">
        <w:t>t</w:t>
      </w:r>
      <w:r w:rsidR="00D06377">
        <w:t>issue companion diagnostics</w:t>
      </w:r>
      <w:r>
        <w:t xml:space="preserve"> res</w:t>
      </w:r>
      <w:r w:rsidR="00D06377">
        <w:t>ults</w:t>
      </w:r>
      <w:proofErr w:type="gramEnd"/>
      <w:r w:rsidR="00D06377">
        <w:t xml:space="preserve"> and plasma companion diagnostics</w:t>
      </w:r>
      <w:r w:rsidR="003E7F74">
        <w:t xml:space="preserve"> results (full analysis set</w:t>
      </w:r>
      <w:r>
        <w:t>)</w:t>
      </w:r>
    </w:p>
    <w:p w14:paraId="1DBE3C2D" w14:textId="213E653F" w:rsidR="00C22B8B" w:rsidRPr="004A08F3" w:rsidRDefault="008B3967" w:rsidP="00C22B8B">
      <w:pPr>
        <w:tabs>
          <w:tab w:val="left" w:pos="5400"/>
        </w:tabs>
      </w:pPr>
      <w:r>
        <w:rPr>
          <w:noProof/>
          <w:lang w:eastAsia="en-AU"/>
        </w:rPr>
        <w:drawing>
          <wp:inline distT="0" distB="0" distL="0" distR="0" wp14:anchorId="10585AF2" wp14:editId="620032F8">
            <wp:extent cx="5400040" cy="1341120"/>
            <wp:effectExtent l="0" t="0" r="0" b="0"/>
            <wp:docPr id="4" name="Picture 4" descr="Contingency table between tissue companion diagnostics results and plasma companion diagnostics resul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341120"/>
                    </a:xfrm>
                    <a:prstGeom prst="rect">
                      <a:avLst/>
                    </a:prstGeom>
                  </pic:spPr>
                </pic:pic>
              </a:graphicData>
            </a:graphic>
          </wp:inline>
        </w:drawing>
      </w:r>
    </w:p>
    <w:p w14:paraId="6E578982" w14:textId="77777777" w:rsidR="008E7846" w:rsidRDefault="00386150" w:rsidP="007B6132">
      <w:pPr>
        <w:pStyle w:val="Heading3"/>
        <w:rPr>
          <w:lang w:eastAsia="en-AU"/>
        </w:rPr>
      </w:pPr>
      <w:bookmarkStart w:id="52" w:name="_Toc48147464"/>
      <w:r>
        <w:rPr>
          <w:lang w:eastAsia="en-AU"/>
        </w:rPr>
        <w:t>Risk m</w:t>
      </w:r>
      <w:r w:rsidR="008E7846">
        <w:rPr>
          <w:lang w:eastAsia="en-AU"/>
        </w:rPr>
        <w:t xml:space="preserve">anagement </w:t>
      </w:r>
      <w:r>
        <w:rPr>
          <w:lang w:eastAsia="en-AU"/>
        </w:rPr>
        <w:t>p</w:t>
      </w:r>
      <w:r w:rsidR="008E7846">
        <w:rPr>
          <w:lang w:eastAsia="en-AU"/>
        </w:rPr>
        <w:t>lan</w:t>
      </w:r>
      <w:bookmarkEnd w:id="42"/>
      <w:bookmarkEnd w:id="52"/>
    </w:p>
    <w:p w14:paraId="2F43211C" w14:textId="34C3C20E" w:rsidR="00584817" w:rsidRDefault="00C22B8B" w:rsidP="00C22B8B">
      <w:r>
        <w:t xml:space="preserve">The sponsor </w:t>
      </w:r>
      <w:r w:rsidRPr="002E5B08">
        <w:t xml:space="preserve">has </w:t>
      </w:r>
      <w:r w:rsidRPr="00F04454">
        <w:t>submitted EU-</w:t>
      </w:r>
      <w:r w:rsidR="004C6A3C" w:rsidRPr="00F04454">
        <w:t>risk management</w:t>
      </w:r>
      <w:r w:rsidR="004C6A3C">
        <w:t xml:space="preserve"> plan (</w:t>
      </w:r>
      <w:r w:rsidRPr="002E5B08">
        <w:t>RMP</w:t>
      </w:r>
      <w:r w:rsidR="004C6A3C">
        <w:t>)</w:t>
      </w:r>
      <w:r w:rsidRPr="002E5B08">
        <w:t xml:space="preserve"> version 1.0 (4 Dec</w:t>
      </w:r>
      <w:r w:rsidR="00F04454">
        <w:t>ember</w:t>
      </w:r>
      <w:r w:rsidRPr="002E5B08">
        <w:t xml:space="preserve"> 2018; </w:t>
      </w:r>
      <w:r w:rsidR="004C6A3C">
        <w:t>data lock point (</w:t>
      </w:r>
      <w:r w:rsidRPr="002E5B08">
        <w:t>DLP</w:t>
      </w:r>
      <w:r w:rsidR="004C6A3C">
        <w:t>)</w:t>
      </w:r>
      <w:r w:rsidRPr="002E5B08">
        <w:t xml:space="preserve"> 12 Jun</w:t>
      </w:r>
      <w:r w:rsidR="00F04454">
        <w:t>e</w:t>
      </w:r>
      <w:r w:rsidRPr="002E5B08">
        <w:t xml:space="preserve"> 2018) and </w:t>
      </w:r>
      <w:r w:rsidR="004C6A3C">
        <w:t>Australia</w:t>
      </w:r>
      <w:r w:rsidR="00F04454">
        <w:t>n</w:t>
      </w:r>
      <w:r w:rsidR="00311E0A">
        <w:t xml:space="preserve"> s</w:t>
      </w:r>
      <w:r w:rsidR="004C6A3C">
        <w:t>pecific Annex (</w:t>
      </w:r>
      <w:r w:rsidRPr="002E5B08">
        <w:t>ASA</w:t>
      </w:r>
      <w:r w:rsidR="004C6A3C">
        <w:t>)</w:t>
      </w:r>
      <w:r w:rsidRPr="002E5B08">
        <w:t xml:space="preserve"> version 1.0 </w:t>
      </w:r>
      <w:r w:rsidRPr="002E5B08">
        <w:lastRenderedPageBreak/>
        <w:t xml:space="preserve">(7 </w:t>
      </w:r>
      <w:r w:rsidR="00F04454">
        <w:t>February</w:t>
      </w:r>
      <w:r w:rsidRPr="002E5B08">
        <w:t xml:space="preserve"> 2019) in support of this application</w:t>
      </w:r>
      <w:r w:rsidR="00370429">
        <w:t xml:space="preserve">. </w:t>
      </w:r>
      <w:r>
        <w:t xml:space="preserve">The proposed pharmacovigilance and risk minimisation activities </w:t>
      </w:r>
      <w:proofErr w:type="gramStart"/>
      <w:r>
        <w:t>are listed</w:t>
      </w:r>
      <w:proofErr w:type="gramEnd"/>
      <w:r>
        <w:t xml:space="preserve"> in </w:t>
      </w:r>
      <w:r>
        <w:fldChar w:fldCharType="begin"/>
      </w:r>
      <w:r>
        <w:instrText xml:space="preserve"> REF _Ref27559095 \h </w:instrText>
      </w:r>
      <w:r>
        <w:fldChar w:fldCharType="separate"/>
      </w:r>
      <w:r w:rsidR="007C6ED1">
        <w:t xml:space="preserve">Table </w:t>
      </w:r>
      <w:r w:rsidR="007C6ED1">
        <w:rPr>
          <w:noProof/>
        </w:rPr>
        <w:t>8</w:t>
      </w:r>
      <w:r>
        <w:fldChar w:fldCharType="end"/>
      </w:r>
      <w:r w:rsidR="00584817">
        <w:t>.</w:t>
      </w:r>
      <w:r w:rsidR="004E5250" w:rsidRPr="004E5250">
        <w:rPr>
          <w:rStyle w:val="FootnoteReference"/>
          <w:lang w:eastAsia="en-AU"/>
        </w:rPr>
        <w:t xml:space="preserve"> </w:t>
      </w:r>
      <w:r w:rsidR="004E5250">
        <w:rPr>
          <w:rStyle w:val="FootnoteReference"/>
          <w:lang w:eastAsia="en-AU"/>
        </w:rPr>
        <w:footnoteReference w:id="20"/>
      </w:r>
    </w:p>
    <w:p w14:paraId="1B28E2E3" w14:textId="0994D819" w:rsidR="00C22B8B" w:rsidRDefault="00C22B8B" w:rsidP="00A40152">
      <w:pPr>
        <w:pStyle w:val="TableTitle"/>
      </w:pPr>
      <w:bookmarkStart w:id="53" w:name="_Ref27559095"/>
      <w:r>
        <w:t xml:space="preserve">Table </w:t>
      </w:r>
      <w:r>
        <w:fldChar w:fldCharType="begin"/>
      </w:r>
      <w:r>
        <w:instrText>SEQ Table \* ARABIC</w:instrText>
      </w:r>
      <w:r>
        <w:fldChar w:fldCharType="separate"/>
      </w:r>
      <w:r w:rsidR="007C6ED1">
        <w:rPr>
          <w:noProof/>
        </w:rPr>
        <w:t>8</w:t>
      </w:r>
      <w:r>
        <w:fldChar w:fldCharType="end"/>
      </w:r>
      <w:bookmarkEnd w:id="53"/>
      <w:r w:rsidR="00A40152">
        <w:t>:</w:t>
      </w:r>
      <w:r>
        <w:t xml:space="preserve"> Summary of safety concerns</w:t>
      </w:r>
    </w:p>
    <w:tbl>
      <w:tblPr>
        <w:tblStyle w:val="TableTGAblue"/>
        <w:tblW w:w="0" w:type="auto"/>
        <w:tblLook w:val="04A0" w:firstRow="1" w:lastRow="0" w:firstColumn="1" w:lastColumn="0" w:noHBand="0" w:noVBand="1"/>
      </w:tblPr>
      <w:tblGrid>
        <w:gridCol w:w="2208"/>
        <w:gridCol w:w="2262"/>
        <w:gridCol w:w="890"/>
        <w:gridCol w:w="1112"/>
        <w:gridCol w:w="890"/>
        <w:gridCol w:w="1112"/>
      </w:tblGrid>
      <w:tr w:rsidR="00A40152" w:rsidRPr="00F04454" w14:paraId="1CCD3146" w14:textId="77777777" w:rsidTr="006452E8">
        <w:trPr>
          <w:cnfStyle w:val="100000000000" w:firstRow="1" w:lastRow="0" w:firstColumn="0" w:lastColumn="0" w:oddVBand="0" w:evenVBand="0" w:oddHBand="0" w:evenHBand="0" w:firstRowFirstColumn="0" w:firstRowLastColumn="0" w:lastRowFirstColumn="0" w:lastRowLastColumn="0"/>
          <w:trHeight w:val="131"/>
        </w:trPr>
        <w:tc>
          <w:tcPr>
            <w:tcW w:w="0" w:type="auto"/>
            <w:gridSpan w:val="2"/>
            <w:vMerge w:val="restart"/>
            <w:tcBorders>
              <w:top w:val="single" w:sz="12" w:space="0" w:color="000000" w:themeColor="text1"/>
              <w:left w:val="single" w:sz="12" w:space="0" w:color="000000" w:themeColor="text1"/>
            </w:tcBorders>
          </w:tcPr>
          <w:p w14:paraId="3F093F18" w14:textId="77777777" w:rsidR="00A40152" w:rsidRPr="00F04454" w:rsidRDefault="00A40152" w:rsidP="00F04454">
            <w:pPr>
              <w:pStyle w:val="Tabletext"/>
              <w:ind w:left="0" w:right="0"/>
              <w:rPr>
                <w:b w:val="0"/>
                <w:sz w:val="20"/>
                <w:szCs w:val="20"/>
              </w:rPr>
            </w:pPr>
            <w:r w:rsidRPr="00F04454">
              <w:rPr>
                <w:sz w:val="20"/>
                <w:szCs w:val="20"/>
              </w:rPr>
              <w:t>Summary of safety concerns</w:t>
            </w:r>
          </w:p>
        </w:tc>
        <w:tc>
          <w:tcPr>
            <w:tcW w:w="0" w:type="auto"/>
            <w:gridSpan w:val="2"/>
            <w:tcBorders>
              <w:top w:val="single" w:sz="12" w:space="0" w:color="000000" w:themeColor="text1"/>
              <w:bottom w:val="nil"/>
            </w:tcBorders>
          </w:tcPr>
          <w:p w14:paraId="60C647C5" w14:textId="77777777" w:rsidR="00A40152" w:rsidRPr="00F04454" w:rsidRDefault="00A40152" w:rsidP="00F04454">
            <w:pPr>
              <w:pStyle w:val="Tabletext"/>
              <w:ind w:left="0" w:right="0"/>
              <w:rPr>
                <w:b w:val="0"/>
                <w:sz w:val="20"/>
                <w:szCs w:val="20"/>
              </w:rPr>
            </w:pPr>
            <w:r w:rsidRPr="00F04454">
              <w:rPr>
                <w:sz w:val="20"/>
                <w:szCs w:val="20"/>
              </w:rPr>
              <w:t>Pharmacovigilance</w:t>
            </w:r>
          </w:p>
        </w:tc>
        <w:tc>
          <w:tcPr>
            <w:tcW w:w="0" w:type="auto"/>
            <w:gridSpan w:val="2"/>
            <w:tcBorders>
              <w:top w:val="single" w:sz="12" w:space="0" w:color="000000" w:themeColor="text1"/>
              <w:bottom w:val="nil"/>
              <w:right w:val="single" w:sz="12" w:space="0" w:color="000000" w:themeColor="text1"/>
            </w:tcBorders>
          </w:tcPr>
          <w:p w14:paraId="31BC386B" w14:textId="79C26E2F" w:rsidR="00A40152" w:rsidRPr="00F04454" w:rsidRDefault="004C6A3C" w:rsidP="00F04454">
            <w:pPr>
              <w:pStyle w:val="Tabletext"/>
              <w:ind w:left="0" w:right="0"/>
              <w:rPr>
                <w:b w:val="0"/>
                <w:sz w:val="20"/>
                <w:szCs w:val="20"/>
              </w:rPr>
            </w:pPr>
            <w:r w:rsidRPr="00F04454">
              <w:rPr>
                <w:sz w:val="20"/>
                <w:szCs w:val="20"/>
              </w:rPr>
              <w:t>Risk m</w:t>
            </w:r>
            <w:r w:rsidR="00A40152" w:rsidRPr="00F04454">
              <w:rPr>
                <w:sz w:val="20"/>
                <w:szCs w:val="20"/>
              </w:rPr>
              <w:t>inimisation</w:t>
            </w:r>
          </w:p>
        </w:tc>
      </w:tr>
      <w:tr w:rsidR="00A40152" w:rsidRPr="00F04454" w14:paraId="2FE9108F" w14:textId="77777777" w:rsidTr="006452E8">
        <w:trPr>
          <w:trHeight w:val="150"/>
        </w:trPr>
        <w:tc>
          <w:tcPr>
            <w:tcW w:w="0" w:type="auto"/>
            <w:gridSpan w:val="2"/>
            <w:vMerge/>
            <w:tcBorders>
              <w:left w:val="single" w:sz="12" w:space="0" w:color="000000" w:themeColor="text1"/>
              <w:right w:val="nil"/>
            </w:tcBorders>
          </w:tcPr>
          <w:p w14:paraId="06E7FA17" w14:textId="77777777" w:rsidR="00A40152" w:rsidRPr="00F04454" w:rsidRDefault="00A40152" w:rsidP="00F04454">
            <w:pPr>
              <w:pStyle w:val="Tabletext"/>
              <w:ind w:left="0" w:right="0"/>
              <w:rPr>
                <w:b/>
                <w:sz w:val="20"/>
                <w:szCs w:val="20"/>
              </w:rPr>
            </w:pPr>
          </w:p>
        </w:tc>
        <w:tc>
          <w:tcPr>
            <w:tcW w:w="0" w:type="auto"/>
            <w:tcBorders>
              <w:top w:val="nil"/>
              <w:left w:val="nil"/>
              <w:bottom w:val="single" w:sz="12" w:space="0" w:color="000000" w:themeColor="text1"/>
              <w:right w:val="nil"/>
            </w:tcBorders>
            <w:shd w:val="clear" w:color="auto" w:fill="006DA7"/>
          </w:tcPr>
          <w:p w14:paraId="0C71E58D" w14:textId="77777777" w:rsidR="00A40152" w:rsidRPr="006452E8" w:rsidRDefault="00A40152" w:rsidP="00F04454">
            <w:pPr>
              <w:pStyle w:val="Tabletext"/>
              <w:ind w:left="0" w:right="0"/>
              <w:rPr>
                <w:color w:val="FFFFFF" w:themeColor="background1"/>
                <w:sz w:val="20"/>
                <w:szCs w:val="20"/>
              </w:rPr>
            </w:pPr>
            <w:r w:rsidRPr="006452E8">
              <w:rPr>
                <w:color w:val="FFFFFF" w:themeColor="background1"/>
                <w:sz w:val="20"/>
                <w:szCs w:val="20"/>
              </w:rPr>
              <w:t>Routine</w:t>
            </w:r>
          </w:p>
        </w:tc>
        <w:tc>
          <w:tcPr>
            <w:tcW w:w="0" w:type="auto"/>
            <w:tcBorders>
              <w:top w:val="nil"/>
              <w:left w:val="nil"/>
              <w:bottom w:val="single" w:sz="12" w:space="0" w:color="000000" w:themeColor="text1"/>
              <w:right w:val="nil"/>
            </w:tcBorders>
            <w:shd w:val="clear" w:color="auto" w:fill="006DA7"/>
          </w:tcPr>
          <w:p w14:paraId="0880179C" w14:textId="77777777" w:rsidR="00A40152" w:rsidRPr="006452E8" w:rsidRDefault="00A40152" w:rsidP="00F04454">
            <w:pPr>
              <w:pStyle w:val="Tabletext"/>
              <w:ind w:left="0" w:right="0"/>
              <w:rPr>
                <w:color w:val="FFFFFF" w:themeColor="background1"/>
                <w:sz w:val="20"/>
                <w:szCs w:val="20"/>
              </w:rPr>
            </w:pPr>
            <w:r w:rsidRPr="006452E8">
              <w:rPr>
                <w:color w:val="FFFFFF" w:themeColor="background1"/>
                <w:sz w:val="20"/>
                <w:szCs w:val="20"/>
              </w:rPr>
              <w:t>Additional</w:t>
            </w:r>
          </w:p>
        </w:tc>
        <w:tc>
          <w:tcPr>
            <w:tcW w:w="0" w:type="auto"/>
            <w:tcBorders>
              <w:top w:val="nil"/>
              <w:left w:val="nil"/>
              <w:bottom w:val="single" w:sz="12" w:space="0" w:color="000000" w:themeColor="text1"/>
              <w:right w:val="nil"/>
            </w:tcBorders>
            <w:shd w:val="clear" w:color="auto" w:fill="006DA7"/>
          </w:tcPr>
          <w:p w14:paraId="351676CB" w14:textId="77777777" w:rsidR="00A40152" w:rsidRPr="006452E8" w:rsidRDefault="00A40152" w:rsidP="00F04454">
            <w:pPr>
              <w:pStyle w:val="Tabletext"/>
              <w:ind w:left="0" w:right="0"/>
              <w:rPr>
                <w:color w:val="FFFFFF" w:themeColor="background1"/>
                <w:sz w:val="20"/>
                <w:szCs w:val="20"/>
              </w:rPr>
            </w:pPr>
            <w:r w:rsidRPr="006452E8">
              <w:rPr>
                <w:color w:val="FFFFFF" w:themeColor="background1"/>
                <w:sz w:val="20"/>
                <w:szCs w:val="20"/>
              </w:rPr>
              <w:t>Routine</w:t>
            </w:r>
          </w:p>
        </w:tc>
        <w:tc>
          <w:tcPr>
            <w:tcW w:w="0" w:type="auto"/>
            <w:tcBorders>
              <w:top w:val="nil"/>
              <w:left w:val="nil"/>
              <w:bottom w:val="single" w:sz="12" w:space="0" w:color="000000" w:themeColor="text1"/>
              <w:right w:val="single" w:sz="12" w:space="0" w:color="000000" w:themeColor="text1"/>
            </w:tcBorders>
            <w:shd w:val="clear" w:color="auto" w:fill="006DA7"/>
          </w:tcPr>
          <w:p w14:paraId="39D80949" w14:textId="77777777" w:rsidR="00A40152" w:rsidRPr="006452E8" w:rsidRDefault="00A40152" w:rsidP="00F04454">
            <w:pPr>
              <w:pStyle w:val="Tabletext"/>
              <w:ind w:left="0" w:right="0"/>
              <w:rPr>
                <w:color w:val="FFFFFF" w:themeColor="background1"/>
                <w:sz w:val="20"/>
                <w:szCs w:val="20"/>
              </w:rPr>
            </w:pPr>
            <w:r w:rsidRPr="006452E8">
              <w:rPr>
                <w:color w:val="FFFFFF" w:themeColor="background1"/>
                <w:sz w:val="20"/>
                <w:szCs w:val="20"/>
              </w:rPr>
              <w:t>Additional</w:t>
            </w:r>
          </w:p>
        </w:tc>
      </w:tr>
      <w:tr w:rsidR="00A40152" w:rsidRPr="00F04454" w14:paraId="4EC6A2B9" w14:textId="77777777" w:rsidTr="006452E8">
        <w:trPr>
          <w:trHeight w:val="137"/>
        </w:trPr>
        <w:tc>
          <w:tcPr>
            <w:tcW w:w="0" w:type="auto"/>
            <w:vMerge w:val="restart"/>
            <w:tcBorders>
              <w:top w:val="single" w:sz="12" w:space="0" w:color="000000" w:themeColor="text1"/>
            </w:tcBorders>
          </w:tcPr>
          <w:p w14:paraId="1B2D0C07" w14:textId="77777777" w:rsidR="00A40152" w:rsidRPr="00F04454" w:rsidRDefault="00A40152" w:rsidP="00F04454">
            <w:pPr>
              <w:pStyle w:val="Tabletext"/>
              <w:ind w:left="0" w:right="0"/>
              <w:rPr>
                <w:b/>
                <w:sz w:val="20"/>
                <w:szCs w:val="20"/>
              </w:rPr>
            </w:pPr>
            <w:r w:rsidRPr="00F04454">
              <w:rPr>
                <w:b/>
                <w:sz w:val="20"/>
                <w:szCs w:val="20"/>
              </w:rPr>
              <w:t>Important identified risks</w:t>
            </w:r>
          </w:p>
        </w:tc>
        <w:tc>
          <w:tcPr>
            <w:tcW w:w="0" w:type="auto"/>
            <w:tcBorders>
              <w:top w:val="single" w:sz="12" w:space="0" w:color="000000" w:themeColor="text1"/>
            </w:tcBorders>
          </w:tcPr>
          <w:p w14:paraId="2A33265C" w14:textId="77777777" w:rsidR="00A40152" w:rsidRPr="00F04454" w:rsidRDefault="00A40152" w:rsidP="00F04454">
            <w:pPr>
              <w:pStyle w:val="Tabletext"/>
              <w:ind w:left="0" w:right="0"/>
              <w:rPr>
                <w:sz w:val="20"/>
                <w:szCs w:val="20"/>
              </w:rPr>
            </w:pPr>
            <w:r w:rsidRPr="00F04454">
              <w:rPr>
                <w:sz w:val="20"/>
                <w:szCs w:val="20"/>
              </w:rPr>
              <w:t>Hypersensitivity</w:t>
            </w:r>
          </w:p>
        </w:tc>
        <w:tc>
          <w:tcPr>
            <w:tcW w:w="0" w:type="auto"/>
            <w:tcBorders>
              <w:top w:val="single" w:sz="12" w:space="0" w:color="000000" w:themeColor="text1"/>
            </w:tcBorders>
          </w:tcPr>
          <w:p w14:paraId="07536BA5"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Borders>
              <w:top w:val="single" w:sz="12" w:space="0" w:color="000000" w:themeColor="text1"/>
            </w:tcBorders>
          </w:tcPr>
          <w:p w14:paraId="265552B7" w14:textId="77777777" w:rsidR="00A40152" w:rsidRPr="00F04454" w:rsidRDefault="00A40152" w:rsidP="00F04454">
            <w:pPr>
              <w:pStyle w:val="Tabletext"/>
              <w:ind w:left="0" w:right="0"/>
              <w:jc w:val="center"/>
              <w:rPr>
                <w:sz w:val="20"/>
                <w:szCs w:val="20"/>
              </w:rPr>
            </w:pPr>
            <w:r w:rsidRPr="00F04454">
              <w:rPr>
                <w:sz w:val="20"/>
                <w:szCs w:val="20"/>
              </w:rPr>
              <w:t>–</w:t>
            </w:r>
          </w:p>
        </w:tc>
        <w:tc>
          <w:tcPr>
            <w:tcW w:w="0" w:type="auto"/>
            <w:tcBorders>
              <w:top w:val="single" w:sz="12" w:space="0" w:color="000000" w:themeColor="text1"/>
            </w:tcBorders>
          </w:tcPr>
          <w:p w14:paraId="3252EBAE"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Borders>
              <w:top w:val="single" w:sz="12" w:space="0" w:color="000000" w:themeColor="text1"/>
            </w:tcBorders>
          </w:tcPr>
          <w:p w14:paraId="32284AB4" w14:textId="77777777" w:rsidR="00A40152" w:rsidRPr="00F04454" w:rsidRDefault="00A40152" w:rsidP="00F04454">
            <w:pPr>
              <w:pStyle w:val="Tabletext"/>
              <w:ind w:left="0" w:right="0"/>
              <w:jc w:val="center"/>
              <w:rPr>
                <w:sz w:val="20"/>
                <w:szCs w:val="20"/>
              </w:rPr>
            </w:pPr>
            <w:r w:rsidRPr="00F04454">
              <w:rPr>
                <w:sz w:val="20"/>
                <w:szCs w:val="20"/>
              </w:rPr>
              <w:t>–</w:t>
            </w:r>
          </w:p>
        </w:tc>
      </w:tr>
      <w:tr w:rsidR="00A40152" w:rsidRPr="00F04454" w14:paraId="468A683D" w14:textId="77777777" w:rsidTr="00F04454">
        <w:trPr>
          <w:trHeight w:val="94"/>
        </w:trPr>
        <w:tc>
          <w:tcPr>
            <w:tcW w:w="0" w:type="auto"/>
            <w:vMerge/>
          </w:tcPr>
          <w:p w14:paraId="355D6A0D" w14:textId="77777777" w:rsidR="00A40152" w:rsidRPr="00F04454" w:rsidRDefault="00A40152" w:rsidP="00F04454">
            <w:pPr>
              <w:pStyle w:val="Tabletext"/>
              <w:ind w:left="0" w:right="0"/>
              <w:rPr>
                <w:b/>
                <w:sz w:val="20"/>
                <w:szCs w:val="20"/>
              </w:rPr>
            </w:pPr>
          </w:p>
        </w:tc>
        <w:tc>
          <w:tcPr>
            <w:tcW w:w="0" w:type="auto"/>
          </w:tcPr>
          <w:p w14:paraId="5BBA3C34" w14:textId="77777777" w:rsidR="00A40152" w:rsidRPr="00F04454" w:rsidRDefault="00A40152" w:rsidP="00F04454">
            <w:pPr>
              <w:pStyle w:val="Tabletext"/>
              <w:ind w:left="0" w:right="0"/>
              <w:rPr>
                <w:sz w:val="20"/>
                <w:szCs w:val="20"/>
              </w:rPr>
            </w:pPr>
            <w:r w:rsidRPr="00F04454">
              <w:rPr>
                <w:sz w:val="20"/>
                <w:szCs w:val="20"/>
              </w:rPr>
              <w:t>Hyperglycaemia</w:t>
            </w:r>
          </w:p>
        </w:tc>
        <w:tc>
          <w:tcPr>
            <w:tcW w:w="0" w:type="auto"/>
          </w:tcPr>
          <w:p w14:paraId="12A47BAC"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4B2934B9" w14:textId="77777777" w:rsidR="00A40152" w:rsidRPr="00F04454" w:rsidRDefault="00A40152" w:rsidP="00F04454">
            <w:pPr>
              <w:pStyle w:val="Tabletext"/>
              <w:ind w:left="0" w:right="0"/>
              <w:jc w:val="center"/>
              <w:rPr>
                <w:sz w:val="20"/>
                <w:szCs w:val="20"/>
              </w:rPr>
            </w:pPr>
            <w:r w:rsidRPr="00F04454">
              <w:rPr>
                <w:sz w:val="20"/>
                <w:szCs w:val="20"/>
              </w:rPr>
              <w:t>–</w:t>
            </w:r>
          </w:p>
        </w:tc>
        <w:tc>
          <w:tcPr>
            <w:tcW w:w="0" w:type="auto"/>
          </w:tcPr>
          <w:p w14:paraId="06D882BD"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3B1C44DB"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r w:rsidRPr="00F04454">
              <w:rPr>
                <w:sz w:val="20"/>
                <w:szCs w:val="20"/>
                <w:vertAlign w:val="superscript"/>
              </w:rPr>
              <w:t>*</w:t>
            </w:r>
          </w:p>
        </w:tc>
      </w:tr>
      <w:tr w:rsidR="00A40152" w:rsidRPr="00F04454" w14:paraId="78F42FB2" w14:textId="77777777" w:rsidTr="00F04454">
        <w:trPr>
          <w:trHeight w:val="94"/>
        </w:trPr>
        <w:tc>
          <w:tcPr>
            <w:tcW w:w="0" w:type="auto"/>
            <w:vMerge/>
          </w:tcPr>
          <w:p w14:paraId="46CDCE77" w14:textId="77777777" w:rsidR="00A40152" w:rsidRPr="00F04454" w:rsidRDefault="00A40152" w:rsidP="00F04454">
            <w:pPr>
              <w:pStyle w:val="Tabletext"/>
              <w:ind w:left="0" w:right="0"/>
              <w:rPr>
                <w:b/>
                <w:sz w:val="20"/>
                <w:szCs w:val="20"/>
              </w:rPr>
            </w:pPr>
          </w:p>
        </w:tc>
        <w:tc>
          <w:tcPr>
            <w:tcW w:w="0" w:type="auto"/>
          </w:tcPr>
          <w:p w14:paraId="6076910E" w14:textId="77777777" w:rsidR="00A40152" w:rsidRPr="00F04454" w:rsidRDefault="00A40152" w:rsidP="00F04454">
            <w:pPr>
              <w:pStyle w:val="Tabletext"/>
              <w:ind w:left="0" w:right="0"/>
              <w:rPr>
                <w:sz w:val="20"/>
                <w:szCs w:val="20"/>
              </w:rPr>
            </w:pPr>
            <w:r w:rsidRPr="00F04454">
              <w:rPr>
                <w:sz w:val="20"/>
                <w:szCs w:val="20"/>
              </w:rPr>
              <w:t>Pneumonitis</w:t>
            </w:r>
          </w:p>
        </w:tc>
        <w:tc>
          <w:tcPr>
            <w:tcW w:w="0" w:type="auto"/>
          </w:tcPr>
          <w:p w14:paraId="3FA7C085"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21918084" w14:textId="77777777" w:rsidR="00A40152" w:rsidRPr="00F04454" w:rsidRDefault="00A40152" w:rsidP="00F04454">
            <w:pPr>
              <w:pStyle w:val="Tabletext"/>
              <w:ind w:left="0" w:right="0"/>
              <w:jc w:val="center"/>
              <w:rPr>
                <w:sz w:val="20"/>
                <w:szCs w:val="20"/>
              </w:rPr>
            </w:pPr>
            <w:r w:rsidRPr="00F04454">
              <w:rPr>
                <w:sz w:val="20"/>
                <w:szCs w:val="20"/>
              </w:rPr>
              <w:t>–</w:t>
            </w:r>
          </w:p>
        </w:tc>
        <w:tc>
          <w:tcPr>
            <w:tcW w:w="0" w:type="auto"/>
          </w:tcPr>
          <w:p w14:paraId="65FC0564"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1067CB70" w14:textId="77777777" w:rsidR="00A40152" w:rsidRPr="00F04454" w:rsidRDefault="00A40152" w:rsidP="00F04454">
            <w:pPr>
              <w:pStyle w:val="Tabletext"/>
              <w:ind w:left="0" w:right="0"/>
              <w:jc w:val="center"/>
              <w:rPr>
                <w:sz w:val="20"/>
                <w:szCs w:val="20"/>
              </w:rPr>
            </w:pPr>
            <w:r w:rsidRPr="00F04454">
              <w:rPr>
                <w:sz w:val="20"/>
                <w:szCs w:val="20"/>
              </w:rPr>
              <w:t>–</w:t>
            </w:r>
          </w:p>
        </w:tc>
      </w:tr>
      <w:tr w:rsidR="00A40152" w:rsidRPr="00F04454" w14:paraId="5F42E785" w14:textId="77777777" w:rsidTr="00F04454">
        <w:trPr>
          <w:trHeight w:val="94"/>
        </w:trPr>
        <w:tc>
          <w:tcPr>
            <w:tcW w:w="0" w:type="auto"/>
            <w:vMerge/>
          </w:tcPr>
          <w:p w14:paraId="4AD6BFB7" w14:textId="77777777" w:rsidR="00A40152" w:rsidRPr="00F04454" w:rsidRDefault="00A40152" w:rsidP="00F04454">
            <w:pPr>
              <w:pStyle w:val="Tabletext"/>
              <w:ind w:left="0" w:right="0"/>
              <w:rPr>
                <w:b/>
                <w:sz w:val="20"/>
                <w:szCs w:val="20"/>
              </w:rPr>
            </w:pPr>
          </w:p>
        </w:tc>
        <w:tc>
          <w:tcPr>
            <w:tcW w:w="0" w:type="auto"/>
          </w:tcPr>
          <w:p w14:paraId="2B85B9A8" w14:textId="77777777" w:rsidR="00A40152" w:rsidRPr="00F04454" w:rsidRDefault="00A40152" w:rsidP="00F04454">
            <w:pPr>
              <w:pStyle w:val="Tabletext"/>
              <w:ind w:left="0" w:right="0"/>
              <w:rPr>
                <w:sz w:val="20"/>
                <w:szCs w:val="20"/>
              </w:rPr>
            </w:pPr>
            <w:r w:rsidRPr="00F04454">
              <w:rPr>
                <w:sz w:val="20"/>
                <w:szCs w:val="20"/>
              </w:rPr>
              <w:t>Severe cutaneous reactions</w:t>
            </w:r>
          </w:p>
        </w:tc>
        <w:tc>
          <w:tcPr>
            <w:tcW w:w="0" w:type="auto"/>
          </w:tcPr>
          <w:p w14:paraId="44302445"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05EC346D" w14:textId="77777777" w:rsidR="00A40152" w:rsidRPr="00F04454" w:rsidRDefault="00A40152" w:rsidP="00F04454">
            <w:pPr>
              <w:pStyle w:val="Tabletext"/>
              <w:ind w:left="0" w:right="0"/>
              <w:jc w:val="center"/>
              <w:rPr>
                <w:sz w:val="20"/>
                <w:szCs w:val="20"/>
              </w:rPr>
            </w:pPr>
            <w:r w:rsidRPr="00F04454">
              <w:rPr>
                <w:sz w:val="20"/>
                <w:szCs w:val="20"/>
              </w:rPr>
              <w:t>–</w:t>
            </w:r>
          </w:p>
        </w:tc>
        <w:tc>
          <w:tcPr>
            <w:tcW w:w="0" w:type="auto"/>
          </w:tcPr>
          <w:p w14:paraId="51A3E667"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17CAEF16" w14:textId="77777777" w:rsidR="00A40152" w:rsidRPr="00F04454" w:rsidRDefault="00A40152" w:rsidP="00F04454">
            <w:pPr>
              <w:pStyle w:val="Tabletext"/>
              <w:ind w:left="0" w:right="0"/>
              <w:jc w:val="center"/>
              <w:rPr>
                <w:sz w:val="20"/>
                <w:szCs w:val="20"/>
              </w:rPr>
            </w:pPr>
            <w:r w:rsidRPr="00F04454">
              <w:rPr>
                <w:sz w:val="20"/>
                <w:szCs w:val="20"/>
              </w:rPr>
              <w:t>–</w:t>
            </w:r>
          </w:p>
        </w:tc>
      </w:tr>
      <w:tr w:rsidR="00A40152" w:rsidRPr="00F04454" w14:paraId="219348A5" w14:textId="77777777" w:rsidTr="00F04454">
        <w:trPr>
          <w:trHeight w:val="187"/>
        </w:trPr>
        <w:tc>
          <w:tcPr>
            <w:tcW w:w="0" w:type="auto"/>
            <w:vMerge/>
          </w:tcPr>
          <w:p w14:paraId="24B8D2ED" w14:textId="77777777" w:rsidR="00A40152" w:rsidRPr="00F04454" w:rsidRDefault="00A40152" w:rsidP="00F04454">
            <w:pPr>
              <w:pStyle w:val="Tabletext"/>
              <w:ind w:left="0" w:right="0"/>
              <w:rPr>
                <w:b/>
                <w:sz w:val="20"/>
                <w:szCs w:val="20"/>
              </w:rPr>
            </w:pPr>
          </w:p>
        </w:tc>
        <w:tc>
          <w:tcPr>
            <w:tcW w:w="0" w:type="auto"/>
          </w:tcPr>
          <w:p w14:paraId="6180A05E" w14:textId="77777777" w:rsidR="00A40152" w:rsidRPr="00F04454" w:rsidRDefault="00A40152" w:rsidP="00F04454">
            <w:pPr>
              <w:pStyle w:val="Tabletext"/>
              <w:ind w:left="0" w:right="0"/>
              <w:rPr>
                <w:sz w:val="20"/>
                <w:szCs w:val="20"/>
              </w:rPr>
            </w:pPr>
            <w:r w:rsidRPr="00F04454">
              <w:rPr>
                <w:sz w:val="20"/>
                <w:szCs w:val="20"/>
              </w:rPr>
              <w:t>Osteonecrosis of the jaw</w:t>
            </w:r>
            <w:r w:rsidRPr="00F04454">
              <w:rPr>
                <w:sz w:val="20"/>
                <w:szCs w:val="20"/>
                <w:vertAlign w:val="superscript"/>
              </w:rPr>
              <w:t>*</w:t>
            </w:r>
          </w:p>
        </w:tc>
        <w:tc>
          <w:tcPr>
            <w:tcW w:w="0" w:type="auto"/>
          </w:tcPr>
          <w:p w14:paraId="1E9520EC"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5A1CD15A" w14:textId="77777777" w:rsidR="00A40152" w:rsidRPr="00F04454" w:rsidRDefault="00A40152" w:rsidP="00F04454">
            <w:pPr>
              <w:pStyle w:val="Tabletext"/>
              <w:ind w:left="0" w:right="0"/>
              <w:jc w:val="center"/>
              <w:rPr>
                <w:sz w:val="20"/>
                <w:szCs w:val="20"/>
              </w:rPr>
            </w:pPr>
            <w:r w:rsidRPr="00F04454">
              <w:rPr>
                <w:sz w:val="20"/>
                <w:szCs w:val="20"/>
              </w:rPr>
              <w:t>–</w:t>
            </w:r>
          </w:p>
        </w:tc>
        <w:tc>
          <w:tcPr>
            <w:tcW w:w="0" w:type="auto"/>
          </w:tcPr>
          <w:p w14:paraId="1E985ED0"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567A015E" w14:textId="77777777" w:rsidR="00A40152" w:rsidRPr="00F04454" w:rsidRDefault="00A40152" w:rsidP="00F04454">
            <w:pPr>
              <w:pStyle w:val="Tabletext"/>
              <w:ind w:left="0" w:right="0"/>
              <w:jc w:val="center"/>
              <w:rPr>
                <w:sz w:val="20"/>
                <w:szCs w:val="20"/>
              </w:rPr>
            </w:pPr>
            <w:r w:rsidRPr="00F04454">
              <w:rPr>
                <w:sz w:val="20"/>
                <w:szCs w:val="20"/>
              </w:rPr>
              <w:t>–</w:t>
            </w:r>
          </w:p>
        </w:tc>
      </w:tr>
      <w:tr w:rsidR="00A40152" w:rsidRPr="00F04454" w14:paraId="11BA639F" w14:textId="77777777" w:rsidTr="00F04454">
        <w:trPr>
          <w:trHeight w:val="159"/>
        </w:trPr>
        <w:tc>
          <w:tcPr>
            <w:tcW w:w="0" w:type="auto"/>
          </w:tcPr>
          <w:p w14:paraId="2A569F16" w14:textId="77777777" w:rsidR="00A40152" w:rsidRPr="00F04454" w:rsidRDefault="00A40152" w:rsidP="00F04454">
            <w:pPr>
              <w:pStyle w:val="Tabletext"/>
              <w:ind w:left="0" w:right="0"/>
              <w:rPr>
                <w:b/>
                <w:sz w:val="20"/>
                <w:szCs w:val="20"/>
              </w:rPr>
            </w:pPr>
            <w:r w:rsidRPr="00F04454">
              <w:rPr>
                <w:b/>
                <w:sz w:val="20"/>
                <w:szCs w:val="20"/>
              </w:rPr>
              <w:t>Important potential risks</w:t>
            </w:r>
          </w:p>
        </w:tc>
        <w:tc>
          <w:tcPr>
            <w:tcW w:w="0" w:type="auto"/>
          </w:tcPr>
          <w:p w14:paraId="5821CADC" w14:textId="77777777" w:rsidR="00A40152" w:rsidRPr="00F04454" w:rsidRDefault="00A40152" w:rsidP="00F04454">
            <w:pPr>
              <w:pStyle w:val="Tabletext"/>
              <w:ind w:left="0" w:right="0"/>
              <w:rPr>
                <w:sz w:val="20"/>
                <w:szCs w:val="20"/>
              </w:rPr>
            </w:pPr>
            <w:r w:rsidRPr="00F04454">
              <w:rPr>
                <w:sz w:val="20"/>
                <w:szCs w:val="20"/>
              </w:rPr>
              <w:t>Reproductive toxicity</w:t>
            </w:r>
          </w:p>
        </w:tc>
        <w:tc>
          <w:tcPr>
            <w:tcW w:w="0" w:type="auto"/>
          </w:tcPr>
          <w:p w14:paraId="237038C8"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233F28D9" w14:textId="77777777" w:rsidR="00A40152" w:rsidRPr="00F04454" w:rsidRDefault="00A40152" w:rsidP="00F04454">
            <w:pPr>
              <w:pStyle w:val="Tabletext"/>
              <w:ind w:left="0" w:right="0"/>
              <w:jc w:val="center"/>
              <w:rPr>
                <w:sz w:val="20"/>
                <w:szCs w:val="20"/>
              </w:rPr>
            </w:pPr>
            <w:r w:rsidRPr="00F04454">
              <w:rPr>
                <w:sz w:val="20"/>
                <w:szCs w:val="20"/>
              </w:rPr>
              <w:t>–</w:t>
            </w:r>
          </w:p>
        </w:tc>
        <w:tc>
          <w:tcPr>
            <w:tcW w:w="0" w:type="auto"/>
          </w:tcPr>
          <w:p w14:paraId="490EDEA7"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5A8093FE" w14:textId="77777777" w:rsidR="00A40152" w:rsidRPr="00F04454" w:rsidRDefault="00A40152" w:rsidP="00F04454">
            <w:pPr>
              <w:pStyle w:val="Tabletext"/>
              <w:ind w:left="0" w:right="0"/>
              <w:jc w:val="center"/>
              <w:rPr>
                <w:sz w:val="20"/>
                <w:szCs w:val="20"/>
              </w:rPr>
            </w:pPr>
            <w:r w:rsidRPr="00F04454">
              <w:rPr>
                <w:sz w:val="20"/>
                <w:szCs w:val="20"/>
              </w:rPr>
              <w:t>–</w:t>
            </w:r>
          </w:p>
        </w:tc>
      </w:tr>
      <w:tr w:rsidR="00A40152" w:rsidRPr="00F04454" w14:paraId="6CE09FCA" w14:textId="77777777" w:rsidTr="00F04454">
        <w:trPr>
          <w:trHeight w:val="178"/>
        </w:trPr>
        <w:tc>
          <w:tcPr>
            <w:tcW w:w="0" w:type="auto"/>
          </w:tcPr>
          <w:p w14:paraId="368C9744" w14:textId="77777777" w:rsidR="00A40152" w:rsidRPr="00F04454" w:rsidRDefault="00A40152" w:rsidP="00F04454">
            <w:pPr>
              <w:pStyle w:val="Tabletext"/>
              <w:ind w:left="0" w:right="0"/>
              <w:rPr>
                <w:b/>
                <w:sz w:val="20"/>
                <w:szCs w:val="20"/>
              </w:rPr>
            </w:pPr>
            <w:r w:rsidRPr="00F04454">
              <w:rPr>
                <w:b/>
                <w:sz w:val="20"/>
                <w:szCs w:val="20"/>
              </w:rPr>
              <w:t>Missing information</w:t>
            </w:r>
          </w:p>
        </w:tc>
        <w:tc>
          <w:tcPr>
            <w:tcW w:w="0" w:type="auto"/>
          </w:tcPr>
          <w:p w14:paraId="4A93D0A3" w14:textId="77777777" w:rsidR="00A40152" w:rsidRPr="00F04454" w:rsidRDefault="00A40152" w:rsidP="00F04454">
            <w:pPr>
              <w:pStyle w:val="Tabletext"/>
              <w:ind w:left="0" w:right="0"/>
              <w:rPr>
                <w:sz w:val="20"/>
                <w:szCs w:val="20"/>
              </w:rPr>
            </w:pPr>
            <w:r w:rsidRPr="00F04454">
              <w:rPr>
                <w:sz w:val="20"/>
                <w:szCs w:val="20"/>
              </w:rPr>
              <w:t>Long term use</w:t>
            </w:r>
          </w:p>
        </w:tc>
        <w:tc>
          <w:tcPr>
            <w:tcW w:w="0" w:type="auto"/>
          </w:tcPr>
          <w:p w14:paraId="23B7DB40"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5F62FE84" w14:textId="77777777" w:rsidR="00A40152" w:rsidRPr="00F04454" w:rsidRDefault="00A40152" w:rsidP="00F04454">
            <w:pPr>
              <w:pStyle w:val="Tabletext"/>
              <w:ind w:left="0" w:right="0"/>
              <w:jc w:val="center"/>
              <w:rPr>
                <w:sz w:val="20"/>
                <w:szCs w:val="20"/>
              </w:rPr>
            </w:pPr>
            <w:r w:rsidRPr="00F04454">
              <w:rPr>
                <w:sz w:val="20"/>
                <w:szCs w:val="20"/>
              </w:rPr>
              <w:t>–</w:t>
            </w:r>
          </w:p>
        </w:tc>
        <w:tc>
          <w:tcPr>
            <w:tcW w:w="0" w:type="auto"/>
          </w:tcPr>
          <w:p w14:paraId="73CAE6BE" w14:textId="77777777" w:rsidR="00A40152" w:rsidRPr="00F04454" w:rsidRDefault="00A40152" w:rsidP="00F04454">
            <w:pPr>
              <w:pStyle w:val="Tabletext"/>
              <w:ind w:left="0" w:right="0"/>
              <w:jc w:val="center"/>
              <w:rPr>
                <w:sz w:val="20"/>
                <w:szCs w:val="20"/>
              </w:rPr>
            </w:pPr>
            <w:r w:rsidRPr="00F04454">
              <w:rPr>
                <w:rFonts w:ascii="Wingdings" w:eastAsia="Wingdings" w:hAnsi="Wingdings" w:cs="Wingdings"/>
                <w:sz w:val="20"/>
                <w:szCs w:val="20"/>
              </w:rPr>
              <w:t></w:t>
            </w:r>
          </w:p>
        </w:tc>
        <w:tc>
          <w:tcPr>
            <w:tcW w:w="0" w:type="auto"/>
          </w:tcPr>
          <w:p w14:paraId="4A02EA3A" w14:textId="77777777" w:rsidR="00A40152" w:rsidRPr="00F04454" w:rsidRDefault="00A40152" w:rsidP="00F04454">
            <w:pPr>
              <w:pStyle w:val="Tabletext"/>
              <w:ind w:left="0" w:right="0"/>
              <w:jc w:val="center"/>
              <w:rPr>
                <w:sz w:val="20"/>
                <w:szCs w:val="20"/>
              </w:rPr>
            </w:pPr>
            <w:r w:rsidRPr="00F04454">
              <w:rPr>
                <w:sz w:val="20"/>
                <w:szCs w:val="20"/>
              </w:rPr>
              <w:t>–</w:t>
            </w:r>
          </w:p>
        </w:tc>
      </w:tr>
    </w:tbl>
    <w:p w14:paraId="0A94D278" w14:textId="70AABE30" w:rsidR="00C22B8B" w:rsidRDefault="00A40152" w:rsidP="00F04454">
      <w:pPr>
        <w:pStyle w:val="TableDescription"/>
      </w:pPr>
      <w:r w:rsidRPr="00106573">
        <w:t>*Sponsor</w:t>
      </w:r>
      <w:r w:rsidR="004C6A3C">
        <w:t xml:space="preserve"> committed to </w:t>
      </w:r>
      <w:r w:rsidR="004C6A3C" w:rsidRPr="00F04454">
        <w:t>include</w:t>
      </w:r>
      <w:r w:rsidR="004C6A3C">
        <w:t xml:space="preserve"> at second round of evaluation</w:t>
      </w:r>
    </w:p>
    <w:p w14:paraId="614F2654" w14:textId="709D62F4" w:rsidR="00762097" w:rsidRPr="00A40152" w:rsidRDefault="00762097" w:rsidP="00762097">
      <w:r>
        <w:t xml:space="preserve">The Delegate is satisfied with the </w:t>
      </w:r>
      <w:r w:rsidR="004611AE">
        <w:t>s</w:t>
      </w:r>
      <w:r>
        <w:t>ponsor’s responses regarding QTc prolongation (RMP recommendation 4) and patient alert card (RMP recommendation 5), and do</w:t>
      </w:r>
      <w:r w:rsidR="004E5250">
        <w:t>es</w:t>
      </w:r>
      <w:r>
        <w:t xml:space="preserve"> not propose further action on these matters.</w:t>
      </w:r>
    </w:p>
    <w:p w14:paraId="0A5AFB52" w14:textId="77777777" w:rsidR="00C22B8B" w:rsidRPr="002E37EC" w:rsidRDefault="00C22B8B" w:rsidP="00C22B8B">
      <w:pPr>
        <w:pStyle w:val="Heading4"/>
      </w:pPr>
      <w:r w:rsidRPr="002E37EC">
        <w:t>Recommended conditions of registration</w:t>
      </w:r>
    </w:p>
    <w:p w14:paraId="5F683554" w14:textId="7132E846" w:rsidR="00C22B8B" w:rsidRDefault="00C22B8B" w:rsidP="00A40152">
      <w:pPr>
        <w:pStyle w:val="ListBullet"/>
      </w:pPr>
      <w:r w:rsidRPr="00EF6C71">
        <w:t xml:space="preserve">The </w:t>
      </w:r>
      <w:proofErr w:type="spellStart"/>
      <w:r w:rsidRPr="00EF6C71">
        <w:t>P</w:t>
      </w:r>
      <w:r w:rsidR="00085335" w:rsidRPr="00EF6C71">
        <w:t>iqray</w:t>
      </w:r>
      <w:proofErr w:type="spellEnd"/>
      <w:r w:rsidR="004C6A3C">
        <w:t xml:space="preserve"> EU-RMP</w:t>
      </w:r>
      <w:r w:rsidRPr="00EF6C71">
        <w:t xml:space="preserve"> (version 1.0, dated 0</w:t>
      </w:r>
      <w:r w:rsidR="00F04454">
        <w:t>4 December 2018, DLP</w:t>
      </w:r>
      <w:r w:rsidRPr="00EF6C71">
        <w:t xml:space="preserve"> 12 June 2018), wit</w:t>
      </w:r>
      <w:r w:rsidR="004C6A3C">
        <w:t>h ASA</w:t>
      </w:r>
      <w:r w:rsidRPr="00EF6C71">
        <w:t xml:space="preserve"> (version 1.0, dated 07 February 2019)</w:t>
      </w:r>
      <w:r w:rsidR="00363AD3">
        <w:t>, included with submission PM</w:t>
      </w:r>
      <w:r w:rsidR="00F04454">
        <w:noBreakHyphen/>
      </w:r>
      <w:r w:rsidR="00363AD3">
        <w:t>2019</w:t>
      </w:r>
      <w:r w:rsidR="00F04454">
        <w:noBreakHyphen/>
      </w:r>
      <w:r w:rsidR="00363AD3">
        <w:t>00401-1-4</w:t>
      </w:r>
      <w:r w:rsidRPr="00EF6C71">
        <w:t xml:space="preserve"> and any subsequent revisions, as agreed with the TGA will be implemented in Australia.</w:t>
      </w:r>
    </w:p>
    <w:p w14:paraId="5062DDE2" w14:textId="4ACD677A" w:rsidR="00A40152" w:rsidRDefault="00C22B8B" w:rsidP="00A40152">
      <w:pPr>
        <w:pStyle w:val="ListBullet"/>
      </w:pPr>
      <w:r w:rsidRPr="00EF6C71">
        <w:t>An obligatory component of risk management plans is routine pharmacovigilance. Routine pharmacovigilance includes the submission of periodic safety update reports (PSURs).</w:t>
      </w:r>
    </w:p>
    <w:p w14:paraId="3E1730D5" w14:textId="7B23D262" w:rsidR="00A40152" w:rsidRDefault="00C22B8B" w:rsidP="00A40152">
      <w:pPr>
        <w:pStyle w:val="ListBullet"/>
        <w:numPr>
          <w:ilvl w:val="0"/>
          <w:numId w:val="0"/>
        </w:numPr>
        <w:ind w:left="360"/>
      </w:pPr>
      <w:r w:rsidRPr="00EF6C71">
        <w:t xml:space="preserve">Unless agreed separately between the supplier who is the recipient of the approval and the TGA, the first report </w:t>
      </w:r>
      <w:proofErr w:type="gramStart"/>
      <w:r w:rsidRPr="00EF6C71">
        <w:t>must be submitted</w:t>
      </w:r>
      <w:proofErr w:type="gramEnd"/>
      <w:r w:rsidRPr="00EF6C71">
        <w:t xml:space="preserve"> to TGA no later than 15 calendar months after the date of th</w:t>
      </w:r>
      <w:r w:rsidR="004E5250">
        <w:t>e</w:t>
      </w:r>
      <w:r w:rsidRPr="00EF6C71">
        <w:t xml:space="preserve"> approval letter. The subsequent reports </w:t>
      </w:r>
      <w:proofErr w:type="gramStart"/>
      <w:r w:rsidRPr="00EF6C71">
        <w:t>must be submitted</w:t>
      </w:r>
      <w:proofErr w:type="gramEnd"/>
      <w:r w:rsidRPr="00EF6C71">
        <w:t xml:space="preserve"> no less frequently than annually from the date of the first submitted report </w:t>
      </w:r>
      <w:r w:rsidRPr="00EF6C71">
        <w:lastRenderedPageBreak/>
        <w:t xml:space="preserve">until the period covered by such reports is not less than three years from the date of </w:t>
      </w:r>
      <w:r w:rsidR="00311E0A">
        <w:t>the</w:t>
      </w:r>
      <w:r w:rsidRPr="00EF6C71">
        <w:t xml:space="preserve"> approval letter. The annual submission </w:t>
      </w:r>
      <w:proofErr w:type="gramStart"/>
      <w:r w:rsidRPr="00EF6C71">
        <w:t>may be made up</w:t>
      </w:r>
      <w:proofErr w:type="gramEnd"/>
      <w:r w:rsidRPr="00EF6C71">
        <w:t xml:space="preserve"> of two PSURs each covering six months. If the sponsor wishes, the six monthly reports </w:t>
      </w:r>
      <w:proofErr w:type="gramStart"/>
      <w:r w:rsidRPr="00EF6C71">
        <w:t>may be submitted</w:t>
      </w:r>
      <w:proofErr w:type="gramEnd"/>
      <w:r w:rsidRPr="00EF6C71">
        <w:t xml:space="preserve"> separately as they become available.</w:t>
      </w:r>
    </w:p>
    <w:p w14:paraId="23E66ACE" w14:textId="63E74342" w:rsidR="00A40152" w:rsidRDefault="00C22B8B" w:rsidP="00A40152">
      <w:pPr>
        <w:pStyle w:val="ListBullet"/>
        <w:numPr>
          <w:ilvl w:val="0"/>
          <w:numId w:val="0"/>
        </w:numPr>
        <w:ind w:left="360"/>
      </w:pPr>
      <w:r w:rsidRPr="00EF6C71">
        <w:t xml:space="preserve">The reports are </w:t>
      </w:r>
      <w:proofErr w:type="gramStart"/>
      <w:r w:rsidRPr="00EF6C71">
        <w:t>to at least meet</w:t>
      </w:r>
      <w:proofErr w:type="gramEnd"/>
      <w:r w:rsidRPr="00EF6C71">
        <w:t xml:space="preserve"> the requirements for PSURs as described in the European M</w:t>
      </w:r>
      <w:r w:rsidR="00363AD3">
        <w:t>edicines Agency’s Guideline on Good Pharmacovigilance P</w:t>
      </w:r>
      <w:r w:rsidRPr="00EF6C71">
        <w:t>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1518F09" w14:textId="64A9BA5F" w:rsidR="00584817" w:rsidRDefault="00C22B8B" w:rsidP="00A40152">
      <w:pPr>
        <w:pStyle w:val="ListBullet"/>
      </w:pPr>
      <w:proofErr w:type="spellStart"/>
      <w:r w:rsidRPr="00452F6A">
        <w:t>P</w:t>
      </w:r>
      <w:r w:rsidR="00085335" w:rsidRPr="00452F6A">
        <w:t>iqray</w:t>
      </w:r>
      <w:proofErr w:type="spellEnd"/>
      <w:r w:rsidRPr="00452F6A">
        <w:t xml:space="preserve"> (</w:t>
      </w:r>
      <w:proofErr w:type="spellStart"/>
      <w:r w:rsidRPr="00452F6A">
        <w:t>alpelisib</w:t>
      </w:r>
      <w:proofErr w:type="spellEnd"/>
      <w:r w:rsidRPr="00452F6A">
        <w:t xml:space="preserve">) is to be included in the Black Triangle Scheme. The PI and </w:t>
      </w:r>
      <w:r w:rsidR="00363AD3">
        <w:t>Consumer Medicines Information (</w:t>
      </w:r>
      <w:r w:rsidRPr="00452F6A">
        <w:t>CMI</w:t>
      </w:r>
      <w:r w:rsidR="00363AD3">
        <w:t>)</w:t>
      </w:r>
      <w:r w:rsidRPr="00452F6A">
        <w:t xml:space="preserve"> for </w:t>
      </w:r>
      <w:proofErr w:type="spellStart"/>
      <w:r w:rsidRPr="00452F6A">
        <w:t>P</w:t>
      </w:r>
      <w:r w:rsidR="00085335" w:rsidRPr="00452F6A">
        <w:t>iqray</w:t>
      </w:r>
      <w:proofErr w:type="spellEnd"/>
      <w:r w:rsidRPr="00452F6A">
        <w:t xml:space="preserve"> must include the black triangle symbol and mandatory accompanying text for five years, which starts from the date that the sponsor notifies the TGA of supply of the product</w:t>
      </w:r>
      <w:r w:rsidR="00584817">
        <w:t>.</w:t>
      </w:r>
    </w:p>
    <w:p w14:paraId="1AB599DD" w14:textId="77777777" w:rsidR="008E7846" w:rsidRDefault="00AA0ED0" w:rsidP="008E7846">
      <w:pPr>
        <w:pStyle w:val="Heading3"/>
      </w:pPr>
      <w:bookmarkStart w:id="54" w:name="_Toc247691531"/>
      <w:bookmarkStart w:id="55" w:name="_Toc314842515"/>
      <w:bookmarkStart w:id="56" w:name="_Toc48147465"/>
      <w:bookmarkStart w:id="57" w:name="_Toc196046505"/>
      <w:bookmarkStart w:id="58" w:name="_Toc196046949"/>
      <w:r>
        <w:t>Risk-benefit a</w:t>
      </w:r>
      <w:r w:rsidR="008E7846">
        <w:t>nalysis</w:t>
      </w:r>
      <w:bookmarkEnd w:id="54"/>
      <w:bookmarkEnd w:id="55"/>
      <w:bookmarkEnd w:id="56"/>
    </w:p>
    <w:p w14:paraId="43DC7FA3" w14:textId="69470C2C" w:rsidR="00D23139" w:rsidRDefault="00363AD3" w:rsidP="00D23139">
      <w:pPr>
        <w:pStyle w:val="Heading4"/>
      </w:pPr>
      <w:r>
        <w:t>Delegate’s considerations</w:t>
      </w:r>
    </w:p>
    <w:p w14:paraId="538D86AE" w14:textId="11FA8A87" w:rsidR="00C22B8B" w:rsidRDefault="00363AD3" w:rsidP="00C22B8B">
      <w:pPr>
        <w:pStyle w:val="Heading4"/>
        <w:spacing w:before="240"/>
      </w:pPr>
      <w:r>
        <w:t>Efficacy</w:t>
      </w:r>
    </w:p>
    <w:p w14:paraId="777498CD" w14:textId="42DFC52F" w:rsidR="00584817" w:rsidRDefault="00C22B8B" w:rsidP="00C22B8B">
      <w:pPr>
        <w:autoSpaceDE w:val="0"/>
        <w:autoSpaceDN w:val="0"/>
        <w:adjustRightInd w:val="0"/>
        <w:spacing w:line="240" w:lineRule="auto"/>
        <w:rPr>
          <w:rFonts w:asciiTheme="minorHAnsi" w:eastAsia="TimesNewRoman" w:hAnsiTheme="minorHAnsi" w:cs="TimesNewRoman"/>
        </w:rPr>
      </w:pPr>
      <w:r>
        <w:rPr>
          <w:rFonts w:asciiTheme="minorHAnsi" w:eastAsiaTheme="minorHAnsi" w:hAnsiTheme="minorHAnsi" w:cs="Calibri-BoldItalic"/>
          <w:bCs/>
          <w:iCs/>
        </w:rPr>
        <w:t xml:space="preserve">Treatment with </w:t>
      </w:r>
      <w:proofErr w:type="spellStart"/>
      <w:r>
        <w:rPr>
          <w:rFonts w:asciiTheme="minorHAnsi" w:eastAsiaTheme="minorHAnsi" w:hAnsiTheme="minorHAnsi" w:cs="Calibri-BoldItalic"/>
          <w:bCs/>
          <w:iCs/>
        </w:rPr>
        <w:t>a</w:t>
      </w:r>
      <w:r w:rsidRPr="00537C43">
        <w:rPr>
          <w:rFonts w:asciiTheme="minorHAnsi" w:eastAsiaTheme="minorHAnsi" w:hAnsiTheme="minorHAnsi" w:cs="Calibri-BoldItalic"/>
          <w:bCs/>
          <w:iCs/>
        </w:rPr>
        <w:t>lpelisib</w:t>
      </w:r>
      <w:proofErr w:type="spellEnd"/>
      <w:r w:rsidRPr="00537C43">
        <w:rPr>
          <w:rFonts w:asciiTheme="minorHAnsi" w:eastAsiaTheme="minorHAnsi" w:hAnsiTheme="minorHAnsi" w:cs="Calibri-BoldItalic"/>
          <w:bCs/>
          <w:iCs/>
        </w:rPr>
        <w:t xml:space="preserve"> </w:t>
      </w:r>
      <w:r>
        <w:rPr>
          <w:rFonts w:asciiTheme="minorHAnsi" w:eastAsiaTheme="minorHAnsi" w:hAnsiTheme="minorHAnsi" w:cs="Calibri-BoldItalic"/>
          <w:bCs/>
          <w:iCs/>
        </w:rPr>
        <w:t>and</w:t>
      </w:r>
      <w:r w:rsidRPr="00537C43">
        <w:rPr>
          <w:rFonts w:asciiTheme="minorHAnsi" w:eastAsiaTheme="minorHAnsi" w:hAnsiTheme="minorHAnsi" w:cs="Calibri-BoldItalic"/>
          <w:bCs/>
          <w:iCs/>
        </w:rPr>
        <w:t xml:space="preserve"> </w:t>
      </w:r>
      <w:proofErr w:type="spellStart"/>
      <w:r w:rsidRPr="00537C43">
        <w:rPr>
          <w:rFonts w:asciiTheme="minorHAnsi" w:eastAsiaTheme="minorHAnsi" w:hAnsiTheme="minorHAnsi" w:cs="Calibri-BoldItalic"/>
          <w:bCs/>
          <w:iCs/>
        </w:rPr>
        <w:t>fulvestrant</w:t>
      </w:r>
      <w:proofErr w:type="spellEnd"/>
      <w:r>
        <w:rPr>
          <w:rFonts w:asciiTheme="minorHAnsi" w:eastAsiaTheme="minorHAnsi" w:hAnsiTheme="minorHAnsi" w:cs="Calibri-BoldItalic"/>
          <w:bCs/>
          <w:iCs/>
        </w:rPr>
        <w:t xml:space="preserve">, compared to placebo and </w:t>
      </w:r>
      <w:proofErr w:type="spellStart"/>
      <w:r>
        <w:rPr>
          <w:rFonts w:asciiTheme="minorHAnsi" w:eastAsiaTheme="minorHAnsi" w:hAnsiTheme="minorHAnsi" w:cs="Calibri-BoldItalic"/>
          <w:bCs/>
          <w:iCs/>
        </w:rPr>
        <w:t>fulvestrant</w:t>
      </w:r>
      <w:proofErr w:type="spellEnd"/>
      <w:r>
        <w:rPr>
          <w:rFonts w:asciiTheme="minorHAnsi" w:eastAsiaTheme="minorHAnsi" w:hAnsiTheme="minorHAnsi" w:cs="Calibri-BoldItalic"/>
          <w:bCs/>
          <w:iCs/>
        </w:rPr>
        <w:t>,</w:t>
      </w:r>
      <w:r w:rsidRPr="00537C43">
        <w:rPr>
          <w:rFonts w:asciiTheme="minorHAnsi" w:eastAsiaTheme="minorHAnsi" w:hAnsiTheme="minorHAnsi" w:cs="Calibri-BoldItalic"/>
          <w:bCs/>
          <w:iCs/>
        </w:rPr>
        <w:t xml:space="preserve"> resulted in a clinically meaningful</w:t>
      </w:r>
      <w:r>
        <w:rPr>
          <w:rFonts w:asciiTheme="minorHAnsi" w:eastAsiaTheme="minorHAnsi" w:hAnsiTheme="minorHAnsi" w:cs="Calibri-BoldItalic"/>
          <w:bCs/>
          <w:iCs/>
        </w:rPr>
        <w:t xml:space="preserve"> </w:t>
      </w:r>
      <w:r w:rsidRPr="00537C43">
        <w:rPr>
          <w:rFonts w:asciiTheme="minorHAnsi" w:eastAsiaTheme="minorHAnsi" w:hAnsiTheme="minorHAnsi" w:cs="Calibri-BoldItalic"/>
          <w:bCs/>
          <w:iCs/>
        </w:rPr>
        <w:t>and statistically significant improvement in PFS in patients with HR</w:t>
      </w:r>
      <w:r>
        <w:rPr>
          <w:rFonts w:asciiTheme="minorHAnsi" w:eastAsiaTheme="minorHAnsi" w:hAnsiTheme="minorHAnsi" w:cs="Calibri-BoldItalic"/>
          <w:bCs/>
          <w:iCs/>
        </w:rPr>
        <w:t>-</w:t>
      </w:r>
      <w:r w:rsidRPr="00537C43">
        <w:rPr>
          <w:rFonts w:asciiTheme="minorHAnsi" w:eastAsiaTheme="minorHAnsi" w:hAnsiTheme="minorHAnsi" w:cs="Calibri-BoldItalic"/>
          <w:bCs/>
          <w:iCs/>
        </w:rPr>
        <w:t>positive,</w:t>
      </w:r>
      <w:r>
        <w:rPr>
          <w:rFonts w:asciiTheme="minorHAnsi" w:eastAsiaTheme="minorHAnsi" w:hAnsiTheme="minorHAnsi" w:cs="Calibri-BoldItalic"/>
          <w:bCs/>
          <w:iCs/>
        </w:rPr>
        <w:t xml:space="preserve"> </w:t>
      </w:r>
      <w:r w:rsidRPr="00537C43">
        <w:rPr>
          <w:rFonts w:asciiTheme="minorHAnsi" w:eastAsiaTheme="minorHAnsi" w:hAnsiTheme="minorHAnsi" w:cs="Calibri-BoldItalic"/>
          <w:bCs/>
          <w:iCs/>
        </w:rPr>
        <w:t xml:space="preserve">HER2-negative, </w:t>
      </w:r>
      <w:r w:rsidRPr="005A3519">
        <w:rPr>
          <w:rFonts w:asciiTheme="minorHAnsi" w:eastAsiaTheme="minorHAnsi" w:hAnsiTheme="minorHAnsi" w:cs="Calibri-BoldItalic"/>
          <w:bCs/>
          <w:i/>
          <w:iCs/>
        </w:rPr>
        <w:t>PIK3CA</w:t>
      </w:r>
      <w:r w:rsidRPr="00537C43">
        <w:rPr>
          <w:rFonts w:asciiTheme="minorHAnsi" w:eastAsiaTheme="minorHAnsi" w:hAnsiTheme="minorHAnsi" w:cs="Calibri-BoldItalic"/>
          <w:bCs/>
          <w:iCs/>
        </w:rPr>
        <w:t>-mutated advanced breast cancer following</w:t>
      </w:r>
      <w:r>
        <w:rPr>
          <w:rFonts w:asciiTheme="minorHAnsi" w:eastAsiaTheme="minorHAnsi" w:hAnsiTheme="minorHAnsi" w:cs="Calibri-BoldItalic"/>
          <w:bCs/>
          <w:iCs/>
        </w:rPr>
        <w:t xml:space="preserve"> </w:t>
      </w:r>
      <w:r w:rsidRPr="00537C43">
        <w:rPr>
          <w:rFonts w:asciiTheme="minorHAnsi" w:eastAsiaTheme="minorHAnsi" w:hAnsiTheme="minorHAnsi" w:cs="Calibri-BoldItalic"/>
          <w:bCs/>
          <w:iCs/>
        </w:rPr>
        <w:t>progression on or after endocrine therapy</w:t>
      </w:r>
      <w:r>
        <w:rPr>
          <w:rFonts w:asciiTheme="minorHAnsi" w:eastAsiaTheme="minorHAnsi" w:hAnsiTheme="minorHAnsi" w:cs="Calibri-BoldItalic"/>
          <w:bCs/>
          <w:iCs/>
        </w:rPr>
        <w:t xml:space="preserve"> </w:t>
      </w:r>
      <w:r w:rsidR="00762097">
        <w:rPr>
          <w:rFonts w:asciiTheme="minorHAnsi" w:eastAsiaTheme="minorHAnsi" w:hAnsiTheme="minorHAnsi" w:cs="Calibri"/>
        </w:rPr>
        <w:t>(hazard ratio</w:t>
      </w:r>
      <w:r>
        <w:rPr>
          <w:rFonts w:asciiTheme="minorHAnsi" w:eastAsiaTheme="minorHAnsi" w:hAnsiTheme="minorHAnsi" w:cs="Calibri"/>
        </w:rPr>
        <w:t xml:space="preserve"> 0.65, 95% CI 0.50, 0.85, </w:t>
      </w:r>
      <w:r w:rsidR="00AF1149">
        <w:rPr>
          <w:rFonts w:asciiTheme="minorHAnsi" w:eastAsiaTheme="minorHAnsi" w:hAnsiTheme="minorHAnsi" w:cs="Calibri"/>
        </w:rPr>
        <w:t xml:space="preserve">one-sided </w:t>
      </w:r>
      <w:r>
        <w:rPr>
          <w:rFonts w:asciiTheme="minorHAnsi" w:eastAsiaTheme="minorHAnsi" w:hAnsiTheme="minorHAnsi" w:cs="Calibri"/>
        </w:rPr>
        <w:t>p</w:t>
      </w:r>
      <w:r w:rsidR="00762097">
        <w:rPr>
          <w:rFonts w:asciiTheme="minorHAnsi" w:eastAsiaTheme="minorHAnsi" w:hAnsiTheme="minorHAnsi" w:cs="Calibri"/>
        </w:rPr>
        <w:t> </w:t>
      </w:r>
      <w:r>
        <w:rPr>
          <w:rFonts w:asciiTheme="minorHAnsi" w:eastAsiaTheme="minorHAnsi" w:hAnsiTheme="minorHAnsi" w:cs="Calibri"/>
        </w:rPr>
        <w:t>=</w:t>
      </w:r>
      <w:r w:rsidR="00762097">
        <w:rPr>
          <w:rFonts w:asciiTheme="minorHAnsi" w:eastAsiaTheme="minorHAnsi" w:hAnsiTheme="minorHAnsi" w:cs="Calibri"/>
        </w:rPr>
        <w:t> </w:t>
      </w:r>
      <w:r>
        <w:rPr>
          <w:rFonts w:asciiTheme="minorHAnsi" w:eastAsiaTheme="minorHAnsi" w:hAnsiTheme="minorHAnsi" w:cs="Calibri"/>
        </w:rPr>
        <w:t>0.00065)</w:t>
      </w:r>
      <w:r w:rsidR="00370429">
        <w:rPr>
          <w:rFonts w:asciiTheme="minorHAnsi" w:eastAsiaTheme="minorHAnsi" w:hAnsiTheme="minorHAnsi" w:cs="Calibri-BoldItalic"/>
          <w:bCs/>
          <w:iCs/>
        </w:rPr>
        <w:t xml:space="preserve">. </w:t>
      </w:r>
      <w:r>
        <w:rPr>
          <w:rFonts w:asciiTheme="minorHAnsi" w:eastAsia="TimesNewRoman" w:hAnsiTheme="minorHAnsi" w:cs="TimesNewRoman"/>
        </w:rPr>
        <w:t xml:space="preserve">Median PFS was 11.0 months in the </w:t>
      </w:r>
      <w:proofErr w:type="spellStart"/>
      <w:r>
        <w:rPr>
          <w:rFonts w:asciiTheme="minorHAnsi" w:eastAsia="TimesNewRoman" w:hAnsiTheme="minorHAnsi" w:cs="TimesNewRoman"/>
        </w:rPr>
        <w:t>alpelisib</w:t>
      </w:r>
      <w:proofErr w:type="spellEnd"/>
      <w:r>
        <w:rPr>
          <w:rFonts w:asciiTheme="minorHAnsi" w:eastAsia="TimesNewRoman" w:hAnsiTheme="minorHAnsi" w:cs="TimesNewRoman"/>
        </w:rPr>
        <w:t xml:space="preserve"> with </w:t>
      </w:r>
      <w:proofErr w:type="spellStart"/>
      <w:r>
        <w:rPr>
          <w:rFonts w:asciiTheme="minorHAnsi" w:eastAsia="TimesNewRoman" w:hAnsiTheme="minorHAnsi" w:cs="TimesNewRoman"/>
        </w:rPr>
        <w:t>fulvestrant</w:t>
      </w:r>
      <w:proofErr w:type="spellEnd"/>
      <w:r>
        <w:rPr>
          <w:rFonts w:asciiTheme="minorHAnsi" w:eastAsia="TimesNewRoman" w:hAnsiTheme="minorHAnsi" w:cs="TimesNewRoman"/>
        </w:rPr>
        <w:t xml:space="preserve"> arm and 5.7</w:t>
      </w:r>
      <w:r w:rsidR="004E5250">
        <w:rPr>
          <w:rFonts w:asciiTheme="minorHAnsi" w:eastAsia="TimesNewRoman" w:hAnsiTheme="minorHAnsi" w:cs="TimesNewRoman"/>
        </w:rPr>
        <w:t> </w:t>
      </w:r>
      <w:r>
        <w:rPr>
          <w:rFonts w:asciiTheme="minorHAnsi" w:eastAsia="TimesNewRoman" w:hAnsiTheme="minorHAnsi" w:cs="TimesNewRoman"/>
        </w:rPr>
        <w:t xml:space="preserve">months in the placebo with </w:t>
      </w:r>
      <w:proofErr w:type="spellStart"/>
      <w:r>
        <w:rPr>
          <w:rFonts w:asciiTheme="minorHAnsi" w:eastAsia="TimesNewRoman" w:hAnsiTheme="minorHAnsi" w:cs="TimesNewRoman"/>
        </w:rPr>
        <w:t>fulvestrant</w:t>
      </w:r>
      <w:proofErr w:type="spellEnd"/>
      <w:r>
        <w:rPr>
          <w:rFonts w:asciiTheme="minorHAnsi" w:eastAsia="TimesNewRoman" w:hAnsiTheme="minorHAnsi" w:cs="TimesNewRoman"/>
        </w:rPr>
        <w:t xml:space="preserve"> arm</w:t>
      </w:r>
      <w:r w:rsidR="00584817">
        <w:rPr>
          <w:rFonts w:asciiTheme="minorHAnsi" w:eastAsia="TimesNewRoman" w:hAnsiTheme="minorHAnsi" w:cs="TimesNewRoman"/>
        </w:rPr>
        <w:t>.</w:t>
      </w:r>
    </w:p>
    <w:p w14:paraId="4F16D746" w14:textId="7F22AEF3" w:rsidR="00584817" w:rsidRDefault="00C22B8B" w:rsidP="00C22B8B">
      <w:pPr>
        <w:autoSpaceDE w:val="0"/>
        <w:autoSpaceDN w:val="0"/>
        <w:adjustRightInd w:val="0"/>
        <w:spacing w:line="240" w:lineRule="auto"/>
        <w:rPr>
          <w:rFonts w:asciiTheme="minorHAnsi" w:eastAsiaTheme="minorHAnsi" w:hAnsiTheme="minorHAnsi" w:cs="Calibri-BoldItalic"/>
          <w:bCs/>
          <w:iCs/>
        </w:rPr>
      </w:pPr>
      <w:r>
        <w:rPr>
          <w:rFonts w:asciiTheme="minorHAnsi" w:eastAsia="TimesNewRoman" w:hAnsiTheme="minorHAnsi" w:cs="TimesNewRoman"/>
        </w:rPr>
        <w:t>The key secondary efficacy endpoint was OS</w:t>
      </w:r>
      <w:r w:rsidR="00370429">
        <w:rPr>
          <w:rFonts w:asciiTheme="minorHAnsi" w:eastAsia="TimesNewRoman" w:hAnsiTheme="minorHAnsi" w:cs="TimesNewRoman"/>
        </w:rPr>
        <w:t xml:space="preserve">. </w:t>
      </w:r>
      <w:r>
        <w:rPr>
          <w:rFonts w:asciiTheme="minorHAnsi" w:eastAsiaTheme="minorHAnsi" w:hAnsiTheme="minorHAnsi" w:cs="Calibri-BoldItalic"/>
          <w:bCs/>
          <w:iCs/>
        </w:rPr>
        <w:t xml:space="preserve">OS data were immature at the first interim analysis and a significant benefit in OS </w:t>
      </w:r>
      <w:proofErr w:type="gramStart"/>
      <w:r>
        <w:rPr>
          <w:rFonts w:asciiTheme="minorHAnsi" w:eastAsiaTheme="minorHAnsi" w:hAnsiTheme="minorHAnsi" w:cs="Calibri-BoldItalic"/>
          <w:bCs/>
          <w:iCs/>
        </w:rPr>
        <w:t>was not demonstrated</w:t>
      </w:r>
      <w:proofErr w:type="gramEnd"/>
      <w:r w:rsidR="00370429">
        <w:rPr>
          <w:rFonts w:asciiTheme="minorHAnsi" w:eastAsiaTheme="minorHAnsi" w:hAnsiTheme="minorHAnsi" w:cs="Calibri-BoldItalic"/>
          <w:bCs/>
          <w:iCs/>
        </w:rPr>
        <w:t xml:space="preserve">. </w:t>
      </w:r>
      <w:r>
        <w:rPr>
          <w:rFonts w:asciiTheme="minorHAnsi" w:eastAsiaTheme="minorHAnsi" w:hAnsiTheme="minorHAnsi" w:cs="Calibri-BoldItalic"/>
          <w:bCs/>
          <w:iCs/>
        </w:rPr>
        <w:t>The interim analysis</w:t>
      </w:r>
      <w:r w:rsidR="00BD2AF7">
        <w:rPr>
          <w:rFonts w:asciiTheme="minorHAnsi" w:eastAsiaTheme="minorHAnsi" w:hAnsiTheme="minorHAnsi" w:cs="Calibri-BoldItalic"/>
          <w:bCs/>
          <w:iCs/>
        </w:rPr>
        <w:t xml:space="preserve"> of OS</w:t>
      </w:r>
      <w:r>
        <w:rPr>
          <w:rFonts w:asciiTheme="minorHAnsi" w:eastAsiaTheme="minorHAnsi" w:hAnsiTheme="minorHAnsi" w:cs="Calibri-BoldItalic"/>
          <w:bCs/>
          <w:iCs/>
        </w:rPr>
        <w:t xml:space="preserve"> favoured </w:t>
      </w:r>
      <w:proofErr w:type="spellStart"/>
      <w:r>
        <w:rPr>
          <w:rFonts w:asciiTheme="minorHAnsi" w:eastAsiaTheme="minorHAnsi" w:hAnsiTheme="minorHAnsi" w:cs="Calibri-BoldItalic"/>
          <w:bCs/>
          <w:iCs/>
        </w:rPr>
        <w:t>alpelisib</w:t>
      </w:r>
      <w:proofErr w:type="spellEnd"/>
      <w:r>
        <w:rPr>
          <w:rFonts w:asciiTheme="minorHAnsi" w:eastAsiaTheme="minorHAnsi" w:hAnsiTheme="minorHAnsi" w:cs="Calibri-BoldItalic"/>
          <w:bCs/>
          <w:iCs/>
        </w:rPr>
        <w:t xml:space="preserve"> with </w:t>
      </w:r>
      <w:proofErr w:type="spellStart"/>
      <w:r>
        <w:rPr>
          <w:rFonts w:asciiTheme="minorHAnsi" w:eastAsiaTheme="minorHAnsi" w:hAnsiTheme="minorHAnsi" w:cs="Calibri-BoldItalic"/>
          <w:bCs/>
          <w:iCs/>
        </w:rPr>
        <w:t>fulvestrant</w:t>
      </w:r>
      <w:proofErr w:type="spellEnd"/>
      <w:r w:rsidR="00BD2AF7">
        <w:rPr>
          <w:rFonts w:asciiTheme="minorHAnsi" w:eastAsiaTheme="minorHAnsi" w:hAnsiTheme="minorHAnsi" w:cs="Calibri-BoldItalic"/>
          <w:bCs/>
          <w:iCs/>
        </w:rPr>
        <w:t>.</w:t>
      </w:r>
    </w:p>
    <w:p w14:paraId="3A4D7A5D" w14:textId="77777777" w:rsidR="00C22B8B" w:rsidRDefault="00C22B8B" w:rsidP="00C22B8B">
      <w:pPr>
        <w:autoSpaceDE w:val="0"/>
        <w:autoSpaceDN w:val="0"/>
        <w:adjustRightInd w:val="0"/>
        <w:spacing w:line="240" w:lineRule="auto"/>
        <w:rPr>
          <w:lang w:val="en-US"/>
        </w:rPr>
      </w:pPr>
      <w:r>
        <w:rPr>
          <w:lang w:val="en-US"/>
        </w:rPr>
        <w:t xml:space="preserve">The pre-specified proof-of-concept criteria for PFS in the </w:t>
      </w:r>
      <w:r w:rsidRPr="005A3519">
        <w:rPr>
          <w:i/>
          <w:lang w:val="en-US"/>
        </w:rPr>
        <w:t>PIK3CA</w:t>
      </w:r>
      <w:r>
        <w:rPr>
          <w:lang w:val="en-US"/>
        </w:rPr>
        <w:t xml:space="preserve"> non-mutant cohort </w:t>
      </w:r>
      <w:proofErr w:type="gramStart"/>
      <w:r>
        <w:rPr>
          <w:lang w:val="en-US"/>
        </w:rPr>
        <w:t>were not met</w:t>
      </w:r>
      <w:proofErr w:type="gramEnd"/>
      <w:r>
        <w:rPr>
          <w:lang w:val="en-US"/>
        </w:rPr>
        <w:t>, so a benefit was not demonstrated in this population.</w:t>
      </w:r>
    </w:p>
    <w:p w14:paraId="495C04C5" w14:textId="70AD5064" w:rsidR="00584817" w:rsidRDefault="00C22B8B" w:rsidP="00C22B8B">
      <w:pPr>
        <w:autoSpaceDE w:val="0"/>
        <w:autoSpaceDN w:val="0"/>
        <w:adjustRightInd w:val="0"/>
        <w:spacing w:line="240" w:lineRule="auto"/>
        <w:rPr>
          <w:lang w:val="en-US"/>
        </w:rPr>
      </w:pPr>
      <w:r>
        <w:rPr>
          <w:rFonts w:asciiTheme="minorHAnsi" w:eastAsiaTheme="minorHAnsi" w:hAnsiTheme="minorHAnsi" w:cs="Calibri-BoldItalic"/>
          <w:bCs/>
          <w:iCs/>
        </w:rPr>
        <w:t>Other efficacy a</w:t>
      </w:r>
      <w:r w:rsidRPr="00537C43">
        <w:rPr>
          <w:rFonts w:asciiTheme="minorHAnsi" w:eastAsiaTheme="minorHAnsi" w:hAnsiTheme="minorHAnsi" w:cs="Calibri-BoldItalic"/>
          <w:bCs/>
          <w:iCs/>
        </w:rPr>
        <w:t>nalyses,</w:t>
      </w:r>
      <w:r>
        <w:rPr>
          <w:rFonts w:asciiTheme="minorHAnsi" w:eastAsiaTheme="minorHAnsi" w:hAnsiTheme="minorHAnsi" w:cs="Calibri-BoldItalic"/>
          <w:bCs/>
          <w:iCs/>
        </w:rPr>
        <w:t xml:space="preserve"> including PFS by BICR, ORR and </w:t>
      </w:r>
      <w:r w:rsidR="00D720A9">
        <w:rPr>
          <w:rFonts w:asciiTheme="minorHAnsi" w:eastAsiaTheme="minorHAnsi" w:hAnsiTheme="minorHAnsi" w:cs="Calibri-BoldItalic"/>
          <w:bCs/>
          <w:iCs/>
        </w:rPr>
        <w:t>clinical benefit rate (</w:t>
      </w:r>
      <w:r w:rsidRPr="00D720A9">
        <w:rPr>
          <w:rFonts w:asciiTheme="minorHAnsi" w:eastAsiaTheme="minorHAnsi" w:hAnsiTheme="minorHAnsi" w:cs="Calibri-BoldItalic"/>
          <w:bCs/>
          <w:iCs/>
        </w:rPr>
        <w:t>CBR</w:t>
      </w:r>
      <w:r w:rsidR="00D720A9">
        <w:rPr>
          <w:rFonts w:asciiTheme="minorHAnsi" w:eastAsiaTheme="minorHAnsi" w:hAnsiTheme="minorHAnsi" w:cs="Calibri-BoldItalic"/>
          <w:bCs/>
          <w:iCs/>
        </w:rPr>
        <w:t>)</w:t>
      </w:r>
      <w:r>
        <w:rPr>
          <w:rFonts w:asciiTheme="minorHAnsi" w:eastAsiaTheme="minorHAnsi" w:hAnsiTheme="minorHAnsi" w:cs="Calibri-BoldItalic"/>
          <w:bCs/>
          <w:iCs/>
        </w:rPr>
        <w:t xml:space="preserve"> </w:t>
      </w:r>
      <w:r w:rsidRPr="00537C43">
        <w:rPr>
          <w:rFonts w:asciiTheme="minorHAnsi" w:eastAsiaTheme="minorHAnsi" w:hAnsiTheme="minorHAnsi" w:cs="Calibri-BoldItalic"/>
          <w:bCs/>
          <w:iCs/>
        </w:rPr>
        <w:t>were supportive of the</w:t>
      </w:r>
      <w:r>
        <w:rPr>
          <w:rFonts w:asciiTheme="minorHAnsi" w:eastAsiaTheme="minorHAnsi" w:hAnsiTheme="minorHAnsi" w:cs="Calibri-BoldItalic"/>
          <w:bCs/>
          <w:iCs/>
        </w:rPr>
        <w:t xml:space="preserve"> primary endpoint</w:t>
      </w:r>
      <w:r w:rsidR="00370429">
        <w:rPr>
          <w:rFonts w:asciiTheme="minorHAnsi" w:eastAsiaTheme="minorHAnsi" w:hAnsiTheme="minorHAnsi" w:cs="Calibri-BoldItalic"/>
          <w:bCs/>
          <w:iCs/>
        </w:rPr>
        <w:t xml:space="preserve">. </w:t>
      </w:r>
      <w:r w:rsidR="00A108D3">
        <w:rPr>
          <w:rFonts w:asciiTheme="minorHAnsi" w:eastAsiaTheme="minorHAnsi" w:hAnsiTheme="minorHAnsi" w:cs="Calibri-BoldItalic"/>
          <w:bCs/>
          <w:iCs/>
        </w:rPr>
        <w:t>Given the testing hierarchy in SOLAR-1 trial, these outcomes do not support efficacy claims independent of the primary endpoint.</w:t>
      </w:r>
      <w:r w:rsidR="007024EF">
        <w:rPr>
          <w:lang w:val="en-US"/>
        </w:rPr>
        <w:t xml:space="preserve"> </w:t>
      </w:r>
      <w:r>
        <w:rPr>
          <w:rFonts w:asciiTheme="minorHAnsi" w:eastAsiaTheme="minorHAnsi" w:hAnsiTheme="minorHAnsi" w:cs="Calibri-BoldItalic"/>
          <w:bCs/>
          <w:iCs/>
        </w:rPr>
        <w:t>Analyses</w:t>
      </w:r>
      <w:r>
        <w:rPr>
          <w:lang w:val="en-US"/>
        </w:rPr>
        <w:t xml:space="preserve"> of patient-reported outcomes do not support efficacy claims because of uncertainties arising from missing data</w:t>
      </w:r>
      <w:r w:rsidR="00584817">
        <w:rPr>
          <w:lang w:val="en-US"/>
        </w:rPr>
        <w:t>.</w:t>
      </w:r>
    </w:p>
    <w:p w14:paraId="6A2FE23D" w14:textId="77777777" w:rsidR="00C22B8B" w:rsidRDefault="00C22B8B" w:rsidP="00C22B8B">
      <w:pPr>
        <w:pStyle w:val="Heading4"/>
        <w:spacing w:before="240"/>
      </w:pPr>
      <w:r>
        <w:t>Companion diagnostic</w:t>
      </w:r>
    </w:p>
    <w:p w14:paraId="4A0734D9" w14:textId="5E47ACCF" w:rsidR="00584817" w:rsidRPr="00A40152" w:rsidRDefault="00C22B8B" w:rsidP="00A40152">
      <w:r w:rsidRPr="00A40152">
        <w:t xml:space="preserve">In </w:t>
      </w:r>
      <w:r w:rsidR="004611AE">
        <w:t xml:space="preserve">the </w:t>
      </w:r>
      <w:r w:rsidRPr="00A40152">
        <w:t>SOLAR-1</w:t>
      </w:r>
      <w:r w:rsidR="00C86F38">
        <w:t xml:space="preserve"> trial</w:t>
      </w:r>
      <w:r w:rsidRPr="00A40152">
        <w:t xml:space="preserve">, the Novartis CTA </w:t>
      </w:r>
      <w:proofErr w:type="gramStart"/>
      <w:r w:rsidRPr="00A40152">
        <w:t>was replaced</w:t>
      </w:r>
      <w:proofErr w:type="gramEnd"/>
      <w:r w:rsidRPr="00A40152">
        <w:t xml:space="preserve"> with the </w:t>
      </w:r>
      <w:proofErr w:type="spellStart"/>
      <w:r w:rsidRPr="00A40152">
        <w:t>Q</w:t>
      </w:r>
      <w:r w:rsidR="00A40152" w:rsidRPr="00A40152">
        <w:t>iagen</w:t>
      </w:r>
      <w:proofErr w:type="spellEnd"/>
      <w:r w:rsidRPr="00A40152">
        <w:t xml:space="preserve"> IVD during the course of the study to facilitate the commercial development of the </w:t>
      </w:r>
      <w:proofErr w:type="spellStart"/>
      <w:r w:rsidRPr="00A40152">
        <w:t>Q</w:t>
      </w:r>
      <w:r w:rsidR="00A40152" w:rsidRPr="00A40152">
        <w:t>iagen</w:t>
      </w:r>
      <w:proofErr w:type="spellEnd"/>
      <w:r w:rsidRPr="00A40152">
        <w:t xml:space="preserve"> IVD as a companion diagnostic for </w:t>
      </w:r>
      <w:proofErr w:type="spellStart"/>
      <w:r w:rsidRPr="00A40152">
        <w:t>P</w:t>
      </w:r>
      <w:r w:rsidR="00085335" w:rsidRPr="00A40152">
        <w:t>iqray</w:t>
      </w:r>
      <w:proofErr w:type="spellEnd"/>
      <w:r w:rsidRPr="00A40152">
        <w:t xml:space="preserve"> in the proposed indication</w:t>
      </w:r>
      <w:r w:rsidR="00370429" w:rsidRPr="00A40152">
        <w:t xml:space="preserve">. </w:t>
      </w:r>
      <w:r w:rsidRPr="00A40152">
        <w:t xml:space="preserve">The </w:t>
      </w:r>
      <w:proofErr w:type="spellStart"/>
      <w:r w:rsidRPr="00A40152">
        <w:t>Q</w:t>
      </w:r>
      <w:r w:rsidR="00A40152" w:rsidRPr="00A40152">
        <w:t>iagen</w:t>
      </w:r>
      <w:proofErr w:type="spellEnd"/>
      <w:r w:rsidR="00363AD3">
        <w:t xml:space="preserve"> </w:t>
      </w:r>
      <w:proofErr w:type="spellStart"/>
      <w:r w:rsidR="00363AD3">
        <w:t>therascreen</w:t>
      </w:r>
      <w:proofErr w:type="spellEnd"/>
      <w:r w:rsidR="00363AD3">
        <w:t xml:space="preserve"> PIK3CA RGQ PCR k</w:t>
      </w:r>
      <w:r w:rsidRPr="00A40152">
        <w:t xml:space="preserve">it </w:t>
      </w:r>
      <w:proofErr w:type="gramStart"/>
      <w:r w:rsidRPr="00A40152">
        <w:t>was used</w:t>
      </w:r>
      <w:proofErr w:type="gramEnd"/>
      <w:r w:rsidRPr="00A40152">
        <w:t xml:space="preserve"> to identify </w:t>
      </w:r>
      <w:r w:rsidRPr="005A3519">
        <w:rPr>
          <w:i/>
        </w:rPr>
        <w:t>PIK3CA</w:t>
      </w:r>
      <w:r w:rsidRPr="00A40152">
        <w:t xml:space="preserve"> mutations in tumour tissue and in plasma (</w:t>
      </w:r>
      <w:proofErr w:type="spellStart"/>
      <w:r w:rsidRPr="00A40152">
        <w:t>ctDNA</w:t>
      </w:r>
      <w:proofErr w:type="spellEnd"/>
      <w:r w:rsidRPr="00A40152">
        <w:t>)</w:t>
      </w:r>
      <w:r w:rsidR="00584817" w:rsidRPr="00A40152">
        <w:t>.</w:t>
      </w:r>
    </w:p>
    <w:p w14:paraId="118337E2" w14:textId="0176CB4C" w:rsidR="00584817" w:rsidRPr="00A40152" w:rsidRDefault="00C22B8B" w:rsidP="00A40152">
      <w:r w:rsidRPr="00A40152">
        <w:t xml:space="preserve">Efficacy outcomes in the </w:t>
      </w:r>
      <w:r w:rsidRPr="005A3519">
        <w:rPr>
          <w:i/>
        </w:rPr>
        <w:t>PIK3CA</w:t>
      </w:r>
      <w:r w:rsidRPr="00A40152">
        <w:t xml:space="preserve"> mutant and non-mutant cohorts show that the </w:t>
      </w:r>
      <w:proofErr w:type="spellStart"/>
      <w:r w:rsidRPr="00A40152">
        <w:t>Q</w:t>
      </w:r>
      <w:r w:rsidR="00A40152" w:rsidRPr="00A40152">
        <w:t>iagen</w:t>
      </w:r>
      <w:proofErr w:type="spellEnd"/>
      <w:r w:rsidR="004E5250">
        <w:t> </w:t>
      </w:r>
      <w:r w:rsidRPr="00A40152">
        <w:t xml:space="preserve">IVD identified a subgroup of patients who were more likely to achieve a benefit in PFS from the addition of </w:t>
      </w:r>
      <w:proofErr w:type="spellStart"/>
      <w:r w:rsidRPr="00A40152">
        <w:t>alpelisib</w:t>
      </w:r>
      <w:proofErr w:type="spellEnd"/>
      <w:r w:rsidRPr="00A40152">
        <w:t xml:space="preserve"> to </w:t>
      </w:r>
      <w:proofErr w:type="spellStart"/>
      <w:r w:rsidRPr="00A40152">
        <w:t>fulvestrant</w:t>
      </w:r>
      <w:proofErr w:type="spellEnd"/>
      <w:r w:rsidRPr="00A40152">
        <w:t xml:space="preserve"> in HR-positive, HER2-negative, advanced breast cancer, supporting the clinical utility of the </w:t>
      </w:r>
      <w:proofErr w:type="spellStart"/>
      <w:r w:rsidRPr="00A40152">
        <w:t>Q</w:t>
      </w:r>
      <w:r w:rsidR="00A40152" w:rsidRPr="00A40152">
        <w:t>iagen</w:t>
      </w:r>
      <w:proofErr w:type="spellEnd"/>
      <w:r w:rsidRPr="00A40152">
        <w:t xml:space="preserve"> IVD in the proposed indication</w:t>
      </w:r>
      <w:r w:rsidR="00370429" w:rsidRPr="00A40152">
        <w:t xml:space="preserve">. </w:t>
      </w:r>
      <w:r w:rsidRPr="00A40152">
        <w:t xml:space="preserve">The analytical validity of the </w:t>
      </w:r>
      <w:proofErr w:type="spellStart"/>
      <w:r w:rsidRPr="00A40152">
        <w:t>Q</w:t>
      </w:r>
      <w:r w:rsidR="00A40152" w:rsidRPr="00A40152">
        <w:t>iagen</w:t>
      </w:r>
      <w:proofErr w:type="spellEnd"/>
      <w:r w:rsidRPr="00A40152">
        <w:t xml:space="preserve"> IVD </w:t>
      </w:r>
      <w:proofErr w:type="gramStart"/>
      <w:r w:rsidRPr="00A40152">
        <w:t>will be evaluated</w:t>
      </w:r>
      <w:proofErr w:type="gramEnd"/>
      <w:r w:rsidRPr="00A40152">
        <w:t xml:space="preserve"> separately as part of the assessment of the IVD</w:t>
      </w:r>
      <w:r w:rsidR="00584817" w:rsidRPr="00A40152">
        <w:t>.</w:t>
      </w:r>
    </w:p>
    <w:p w14:paraId="7203A4C7" w14:textId="24E4F47E" w:rsidR="00584817" w:rsidRPr="00A40152" w:rsidRDefault="00C22B8B" w:rsidP="00A40152">
      <w:r w:rsidRPr="00A40152">
        <w:t xml:space="preserve">Efficacy outcomes were similar in patients with a </w:t>
      </w:r>
      <w:r w:rsidRPr="005A3519">
        <w:rPr>
          <w:i/>
        </w:rPr>
        <w:t>PIK3CA</w:t>
      </w:r>
      <w:r w:rsidRPr="00A40152">
        <w:t xml:space="preserve"> mutation detected from </w:t>
      </w:r>
      <w:proofErr w:type="spellStart"/>
      <w:r w:rsidRPr="00A40152">
        <w:t>ctDNA</w:t>
      </w:r>
      <w:proofErr w:type="spellEnd"/>
      <w:r w:rsidRPr="00A40152">
        <w:t xml:space="preserve"> or from tumour tissue, supporting the use of plasma </w:t>
      </w:r>
      <w:proofErr w:type="spellStart"/>
      <w:r w:rsidRPr="00A40152">
        <w:t>ctDNA</w:t>
      </w:r>
      <w:proofErr w:type="spellEnd"/>
      <w:r w:rsidRPr="00A40152">
        <w:t xml:space="preserve"> as an acceptable method of </w:t>
      </w:r>
      <w:r w:rsidRPr="00A40152">
        <w:lastRenderedPageBreak/>
        <w:t xml:space="preserve">detecting </w:t>
      </w:r>
      <w:r w:rsidRPr="005A3519">
        <w:rPr>
          <w:i/>
        </w:rPr>
        <w:t>PIK3CA</w:t>
      </w:r>
      <w:r w:rsidRPr="00A40152">
        <w:t xml:space="preserve"> mutations for treatment selection</w:t>
      </w:r>
      <w:r w:rsidR="00370429" w:rsidRPr="00A40152">
        <w:t xml:space="preserve">. </w:t>
      </w:r>
      <w:r w:rsidRPr="00A40152">
        <w:t xml:space="preserve">Plasma testing has the advantage of easier accessibility compared to tumour tissue, but plasma testing has a lower sensitivity and negative predictive value, so tumour tissue testing (preferably from a metastatic site) </w:t>
      </w:r>
      <w:proofErr w:type="gramStart"/>
      <w:r w:rsidRPr="00A40152">
        <w:t>is recommended</w:t>
      </w:r>
      <w:proofErr w:type="gramEnd"/>
      <w:r w:rsidRPr="00A40152">
        <w:t xml:space="preserve"> if plasma testing is negative</w:t>
      </w:r>
      <w:r w:rsidR="00584817" w:rsidRPr="00A40152">
        <w:t>.</w:t>
      </w:r>
    </w:p>
    <w:p w14:paraId="10D551AB" w14:textId="77777777" w:rsidR="00C22B8B" w:rsidRDefault="00C22B8B" w:rsidP="00C22B8B">
      <w:pPr>
        <w:pStyle w:val="Heading4"/>
        <w:spacing w:before="240"/>
      </w:pPr>
      <w:r>
        <w:t>Safety</w:t>
      </w:r>
    </w:p>
    <w:p w14:paraId="62AACBD6" w14:textId="6934D5D3" w:rsidR="00584817" w:rsidRDefault="00C22B8B" w:rsidP="00C22B8B">
      <w:pPr>
        <w:rPr>
          <w:lang w:val="en-US" w:eastAsia="ja-JP"/>
        </w:rPr>
      </w:pPr>
      <w:r>
        <w:rPr>
          <w:lang w:val="en-US" w:eastAsia="ja-JP"/>
        </w:rPr>
        <w:t xml:space="preserve">The safety profile of </w:t>
      </w:r>
      <w:proofErr w:type="spellStart"/>
      <w:r>
        <w:rPr>
          <w:lang w:val="en-US" w:eastAsia="ja-JP"/>
        </w:rPr>
        <w:t>alpelisib</w:t>
      </w:r>
      <w:proofErr w:type="spellEnd"/>
      <w:r>
        <w:rPr>
          <w:lang w:val="en-US" w:eastAsia="ja-JP"/>
        </w:rPr>
        <w:t xml:space="preserve"> with </w:t>
      </w:r>
      <w:proofErr w:type="spellStart"/>
      <w:r>
        <w:rPr>
          <w:lang w:val="en-US" w:eastAsia="ja-JP"/>
        </w:rPr>
        <w:t>fulvestrant</w:t>
      </w:r>
      <w:proofErr w:type="spellEnd"/>
      <w:r>
        <w:rPr>
          <w:lang w:val="en-US" w:eastAsia="ja-JP"/>
        </w:rPr>
        <w:t xml:space="preserve"> in the proposed indication has been adequately</w:t>
      </w:r>
      <w:r w:rsidRPr="00A9127C">
        <w:rPr>
          <w:lang w:eastAsia="ja-JP"/>
        </w:rPr>
        <w:t xml:space="preserve"> characterised</w:t>
      </w:r>
      <w:r w:rsidR="00370429">
        <w:rPr>
          <w:lang w:val="en-US" w:eastAsia="ja-JP"/>
        </w:rPr>
        <w:t xml:space="preserve">. </w:t>
      </w:r>
      <w:r w:rsidRPr="00504FAE">
        <w:rPr>
          <w:rFonts w:asciiTheme="minorHAnsi" w:hAnsiTheme="minorHAnsi"/>
          <w:lang w:val="en-US" w:eastAsia="ja-JP"/>
        </w:rPr>
        <w:t xml:space="preserve">The addition of </w:t>
      </w:r>
      <w:proofErr w:type="spellStart"/>
      <w:r w:rsidRPr="00504FAE">
        <w:rPr>
          <w:rFonts w:asciiTheme="minorHAnsi" w:hAnsiTheme="minorHAnsi"/>
          <w:lang w:val="en-US" w:eastAsia="ja-JP"/>
        </w:rPr>
        <w:t>alpelisib</w:t>
      </w:r>
      <w:proofErr w:type="spellEnd"/>
      <w:r w:rsidRPr="00504FAE">
        <w:rPr>
          <w:rFonts w:asciiTheme="minorHAnsi" w:hAnsiTheme="minorHAnsi"/>
          <w:lang w:val="en-US" w:eastAsia="ja-JP"/>
        </w:rPr>
        <w:t xml:space="preserve"> to </w:t>
      </w:r>
      <w:proofErr w:type="spellStart"/>
      <w:r w:rsidRPr="00504FAE">
        <w:rPr>
          <w:rFonts w:asciiTheme="minorHAnsi" w:hAnsiTheme="minorHAnsi"/>
          <w:lang w:val="en-US" w:eastAsia="ja-JP"/>
        </w:rPr>
        <w:t>fulvestrant</w:t>
      </w:r>
      <w:proofErr w:type="spellEnd"/>
      <w:r w:rsidRPr="00504FAE">
        <w:rPr>
          <w:rFonts w:asciiTheme="minorHAnsi" w:hAnsiTheme="minorHAnsi"/>
          <w:lang w:val="en-US" w:eastAsia="ja-JP"/>
        </w:rPr>
        <w:t xml:space="preserve"> is associated with a substantial increase in </w:t>
      </w:r>
      <w:r>
        <w:rPr>
          <w:rFonts w:asciiTheme="minorHAnsi" w:hAnsiTheme="minorHAnsi"/>
          <w:lang w:val="en-US" w:eastAsia="ja-JP"/>
        </w:rPr>
        <w:t>toxicity</w:t>
      </w:r>
      <w:r w:rsidRPr="00504FAE">
        <w:rPr>
          <w:rFonts w:asciiTheme="minorHAnsi" w:hAnsiTheme="minorHAnsi"/>
          <w:lang w:val="en-US" w:eastAsia="ja-JP"/>
        </w:rPr>
        <w:t>, particular</w:t>
      </w:r>
      <w:r>
        <w:rPr>
          <w:rFonts w:asciiTheme="minorHAnsi" w:hAnsiTheme="minorHAnsi"/>
          <w:lang w:val="en-US" w:eastAsia="ja-JP"/>
        </w:rPr>
        <w:t>ly</w:t>
      </w:r>
      <w:r w:rsidRPr="00504FAE">
        <w:rPr>
          <w:rFonts w:asciiTheme="minorHAnsi" w:hAnsiTheme="minorHAnsi"/>
          <w:lang w:val="en-US" w:eastAsia="ja-JP"/>
        </w:rPr>
        <w:t xml:space="preserve"> </w:t>
      </w:r>
      <w:r w:rsidR="004611AE">
        <w:rPr>
          <w:rFonts w:asciiTheme="minorHAnsi" w:hAnsiTheme="minorHAnsi"/>
          <w:lang w:val="en-US" w:eastAsia="ja-JP"/>
        </w:rPr>
        <w:t>G</w:t>
      </w:r>
      <w:r w:rsidRPr="00504FAE">
        <w:rPr>
          <w:rFonts w:asciiTheme="minorHAnsi" w:hAnsiTheme="minorHAnsi"/>
          <w:lang w:val="en-US" w:eastAsia="ja-JP"/>
        </w:rPr>
        <w:t>rade 3</w:t>
      </w:r>
      <w:r w:rsidR="00363AD3">
        <w:rPr>
          <w:rFonts w:asciiTheme="minorHAnsi" w:hAnsiTheme="minorHAnsi"/>
          <w:lang w:val="en-US" w:eastAsia="ja-JP"/>
        </w:rPr>
        <w:t xml:space="preserve"> to </w:t>
      </w:r>
      <w:r w:rsidRPr="00504FAE">
        <w:rPr>
          <w:rFonts w:asciiTheme="minorHAnsi" w:hAnsiTheme="minorHAnsi"/>
          <w:lang w:val="en-US" w:eastAsia="ja-JP"/>
        </w:rPr>
        <w:t xml:space="preserve">4 </w:t>
      </w:r>
      <w:r w:rsidR="004611AE">
        <w:rPr>
          <w:rFonts w:asciiTheme="minorHAnsi" w:hAnsiTheme="minorHAnsi"/>
          <w:lang w:val="en-US" w:eastAsia="ja-JP"/>
        </w:rPr>
        <w:t>AEs</w:t>
      </w:r>
      <w:r w:rsidR="00370429">
        <w:rPr>
          <w:rFonts w:asciiTheme="minorHAnsi" w:hAnsiTheme="minorHAnsi"/>
          <w:lang w:val="en-US" w:eastAsia="ja-JP"/>
        </w:rPr>
        <w:t xml:space="preserve">. </w:t>
      </w:r>
      <w:r w:rsidRPr="00BC1485">
        <w:rPr>
          <w:lang w:val="en-US" w:eastAsia="ja-JP"/>
        </w:rPr>
        <w:t xml:space="preserve">The </w:t>
      </w:r>
      <w:r>
        <w:rPr>
          <w:lang w:val="en-US" w:eastAsia="ja-JP"/>
        </w:rPr>
        <w:t xml:space="preserve">most common </w:t>
      </w:r>
      <w:r w:rsidRPr="00BC1485">
        <w:rPr>
          <w:lang w:val="en-US" w:eastAsia="ja-JP"/>
        </w:rPr>
        <w:t xml:space="preserve">AEs </w:t>
      </w:r>
      <w:r>
        <w:rPr>
          <w:lang w:val="en-US" w:eastAsia="ja-JP"/>
        </w:rPr>
        <w:t>(</w:t>
      </w:r>
      <w:r w:rsidRPr="00BC1485">
        <w:rPr>
          <w:lang w:val="en-US" w:eastAsia="ja-JP"/>
        </w:rPr>
        <w:t xml:space="preserve">≥ 20% of </w:t>
      </w:r>
      <w:r>
        <w:rPr>
          <w:lang w:val="en-US" w:eastAsia="ja-JP"/>
        </w:rPr>
        <w:t>patient</w:t>
      </w:r>
      <w:r w:rsidRPr="00BC1485">
        <w:rPr>
          <w:lang w:val="en-US" w:eastAsia="ja-JP"/>
        </w:rPr>
        <w:t>s</w:t>
      </w:r>
      <w:r>
        <w:rPr>
          <w:lang w:val="en-US" w:eastAsia="ja-JP"/>
        </w:rPr>
        <w:t>)</w:t>
      </w:r>
      <w:r w:rsidRPr="00BC1485">
        <w:rPr>
          <w:lang w:val="en-US" w:eastAsia="ja-JP"/>
        </w:rPr>
        <w:t xml:space="preserve"> in the </w:t>
      </w:r>
      <w:proofErr w:type="spellStart"/>
      <w:r w:rsidRPr="00BC1485">
        <w:rPr>
          <w:lang w:val="en-US" w:eastAsia="ja-JP"/>
        </w:rPr>
        <w:t>alpelisib</w:t>
      </w:r>
      <w:proofErr w:type="spellEnd"/>
      <w:r>
        <w:rPr>
          <w:lang w:val="en-US" w:eastAsia="ja-JP"/>
        </w:rPr>
        <w:t xml:space="preserve"> </w:t>
      </w:r>
      <w:r w:rsidRPr="00BC1485">
        <w:rPr>
          <w:lang w:val="en-US" w:eastAsia="ja-JP"/>
        </w:rPr>
        <w:t xml:space="preserve">plus </w:t>
      </w:r>
      <w:proofErr w:type="spellStart"/>
      <w:r w:rsidRPr="00BC1485">
        <w:rPr>
          <w:lang w:val="en-US" w:eastAsia="ja-JP"/>
        </w:rPr>
        <w:t>fulvestrant</w:t>
      </w:r>
      <w:proofErr w:type="spellEnd"/>
      <w:r w:rsidRPr="00BC1485">
        <w:rPr>
          <w:lang w:val="en-US" w:eastAsia="ja-JP"/>
        </w:rPr>
        <w:t xml:space="preserve"> group were</w:t>
      </w:r>
      <w:r w:rsidRPr="00A9127C">
        <w:rPr>
          <w:lang w:eastAsia="ja-JP"/>
        </w:rPr>
        <w:t xml:space="preserve"> hyperglycaemia</w:t>
      </w:r>
      <w:r w:rsidRPr="00BC1485">
        <w:rPr>
          <w:lang w:val="en-US" w:eastAsia="ja-JP"/>
        </w:rPr>
        <w:t xml:space="preserve"> (63.7%)</w:t>
      </w:r>
      <w:r>
        <w:rPr>
          <w:lang w:val="en-US" w:eastAsia="ja-JP"/>
        </w:rPr>
        <w:t>,</w:t>
      </w:r>
      <w:r w:rsidRPr="00A9127C">
        <w:rPr>
          <w:lang w:eastAsia="ja-JP"/>
        </w:rPr>
        <w:t xml:space="preserve"> diarrhoea</w:t>
      </w:r>
      <w:r w:rsidRPr="00BC1485">
        <w:rPr>
          <w:lang w:val="en-US" w:eastAsia="ja-JP"/>
        </w:rPr>
        <w:t xml:space="preserve"> (57.7%)</w:t>
      </w:r>
      <w:r>
        <w:rPr>
          <w:lang w:val="en-US" w:eastAsia="ja-JP"/>
        </w:rPr>
        <w:t>, n</w:t>
      </w:r>
      <w:r w:rsidRPr="00BC1485">
        <w:rPr>
          <w:lang w:val="en-US" w:eastAsia="ja-JP"/>
        </w:rPr>
        <w:t>ausea (44.7%)</w:t>
      </w:r>
      <w:r>
        <w:rPr>
          <w:lang w:val="en-US" w:eastAsia="ja-JP"/>
        </w:rPr>
        <w:t>, d</w:t>
      </w:r>
      <w:r w:rsidRPr="00BC1485">
        <w:rPr>
          <w:lang w:val="en-US" w:eastAsia="ja-JP"/>
        </w:rPr>
        <w:t>ecreased appetite (35.6%)</w:t>
      </w:r>
      <w:r>
        <w:rPr>
          <w:lang w:val="en-US" w:eastAsia="ja-JP"/>
        </w:rPr>
        <w:t xml:space="preserve">, </w:t>
      </w:r>
      <w:proofErr w:type="gramStart"/>
      <w:r>
        <w:rPr>
          <w:lang w:val="en-US" w:eastAsia="ja-JP"/>
        </w:rPr>
        <w:t>r</w:t>
      </w:r>
      <w:r w:rsidR="00A40152">
        <w:rPr>
          <w:lang w:val="en-US" w:eastAsia="ja-JP"/>
        </w:rPr>
        <w:t>ash</w:t>
      </w:r>
      <w:proofErr w:type="gramEnd"/>
      <w:r w:rsidR="00A40152">
        <w:rPr>
          <w:lang w:val="en-US" w:eastAsia="ja-JP"/>
        </w:rPr>
        <w:t xml:space="preserve"> (35.6%) (</w:t>
      </w:r>
      <w:proofErr w:type="gramStart"/>
      <w:r>
        <w:rPr>
          <w:lang w:val="en-US" w:eastAsia="ja-JP"/>
        </w:rPr>
        <w:t>plus</w:t>
      </w:r>
      <w:proofErr w:type="gramEnd"/>
      <w:r w:rsidR="00A40152">
        <w:rPr>
          <w:lang w:val="en-US" w:eastAsia="ja-JP"/>
        </w:rPr>
        <w:t xml:space="preserve"> maculopapular rash 14.1%)</w:t>
      </w:r>
      <w:r>
        <w:rPr>
          <w:lang w:val="en-US" w:eastAsia="ja-JP"/>
        </w:rPr>
        <w:t>, v</w:t>
      </w:r>
      <w:r w:rsidRPr="00BC1485">
        <w:rPr>
          <w:lang w:val="en-US" w:eastAsia="ja-JP"/>
        </w:rPr>
        <w:t>omiting</w:t>
      </w:r>
      <w:r>
        <w:rPr>
          <w:lang w:val="en-US" w:eastAsia="ja-JP"/>
        </w:rPr>
        <w:t xml:space="preserve"> </w:t>
      </w:r>
      <w:r w:rsidRPr="00BC1485">
        <w:rPr>
          <w:lang w:val="en-US" w:eastAsia="ja-JP"/>
        </w:rPr>
        <w:t>(27.1%)</w:t>
      </w:r>
      <w:r>
        <w:rPr>
          <w:lang w:val="en-US" w:eastAsia="ja-JP"/>
        </w:rPr>
        <w:t>, w</w:t>
      </w:r>
      <w:r w:rsidRPr="00BC1485">
        <w:rPr>
          <w:lang w:val="en-US" w:eastAsia="ja-JP"/>
        </w:rPr>
        <w:t>eight decreased (26.8%)</w:t>
      </w:r>
      <w:r>
        <w:rPr>
          <w:lang w:val="en-US" w:eastAsia="ja-JP"/>
        </w:rPr>
        <w:t>, s</w:t>
      </w:r>
      <w:r w:rsidRPr="00BC1485">
        <w:rPr>
          <w:lang w:val="en-US" w:eastAsia="ja-JP"/>
        </w:rPr>
        <w:t>tomatitis (24.6%</w:t>
      </w:r>
      <w:r>
        <w:rPr>
          <w:lang w:val="en-US" w:eastAsia="ja-JP"/>
        </w:rPr>
        <w:t>), f</w:t>
      </w:r>
      <w:r w:rsidRPr="00BC1485">
        <w:rPr>
          <w:lang w:val="en-US" w:eastAsia="ja-JP"/>
        </w:rPr>
        <w:t>atigue (24.3%)</w:t>
      </w:r>
      <w:r>
        <w:rPr>
          <w:lang w:val="en-US" w:eastAsia="ja-JP"/>
        </w:rPr>
        <w:t xml:space="preserve"> and a</w:t>
      </w:r>
      <w:r w:rsidRPr="00BC1485">
        <w:rPr>
          <w:lang w:val="en-US" w:eastAsia="ja-JP"/>
        </w:rPr>
        <w:t>sthenia (20.4%)</w:t>
      </w:r>
      <w:r w:rsidR="00584817">
        <w:rPr>
          <w:lang w:val="en-US" w:eastAsia="ja-JP"/>
        </w:rPr>
        <w:t>.</w:t>
      </w:r>
    </w:p>
    <w:p w14:paraId="4D5AABDB" w14:textId="4CF7A913" w:rsidR="00584817" w:rsidRDefault="00C22B8B" w:rsidP="00C22B8B">
      <w:pPr>
        <w:rPr>
          <w:lang w:eastAsia="ja-JP"/>
        </w:rPr>
      </w:pPr>
      <w:r>
        <w:rPr>
          <w:rFonts w:asciiTheme="minorHAnsi" w:hAnsiTheme="minorHAnsi"/>
          <w:lang w:val="en-US" w:eastAsia="ja-JP"/>
        </w:rPr>
        <w:t xml:space="preserve">78.5% of patients in the </w:t>
      </w:r>
      <w:proofErr w:type="spellStart"/>
      <w:r>
        <w:rPr>
          <w:rFonts w:asciiTheme="minorHAnsi" w:hAnsiTheme="minorHAnsi"/>
          <w:lang w:val="en-US" w:eastAsia="ja-JP"/>
        </w:rPr>
        <w:t>alpelisib</w:t>
      </w:r>
      <w:proofErr w:type="spellEnd"/>
      <w:r>
        <w:rPr>
          <w:rFonts w:asciiTheme="minorHAnsi" w:hAnsiTheme="minorHAnsi"/>
          <w:lang w:val="en-US" w:eastAsia="ja-JP"/>
        </w:rPr>
        <w:t xml:space="preserve"> plus </w:t>
      </w:r>
      <w:proofErr w:type="spellStart"/>
      <w:r>
        <w:rPr>
          <w:rFonts w:asciiTheme="minorHAnsi" w:hAnsiTheme="minorHAnsi"/>
          <w:lang w:val="en-US" w:eastAsia="ja-JP"/>
        </w:rPr>
        <w:t>fulvestrant</w:t>
      </w:r>
      <w:proofErr w:type="spellEnd"/>
      <w:r>
        <w:rPr>
          <w:rFonts w:asciiTheme="minorHAnsi" w:hAnsiTheme="minorHAnsi"/>
          <w:lang w:val="en-US" w:eastAsia="ja-JP"/>
        </w:rPr>
        <w:t xml:space="preserve"> group required dose adjustment or interruption compared to 22.6% in the placebo plus </w:t>
      </w:r>
      <w:proofErr w:type="spellStart"/>
      <w:r>
        <w:rPr>
          <w:rFonts w:asciiTheme="minorHAnsi" w:hAnsiTheme="minorHAnsi"/>
          <w:lang w:val="en-US" w:eastAsia="ja-JP"/>
        </w:rPr>
        <w:t>fulvestrant</w:t>
      </w:r>
      <w:proofErr w:type="spellEnd"/>
      <w:r>
        <w:rPr>
          <w:rFonts w:asciiTheme="minorHAnsi" w:hAnsiTheme="minorHAnsi"/>
          <w:lang w:val="en-US" w:eastAsia="ja-JP"/>
        </w:rPr>
        <w:t xml:space="preserve"> group</w:t>
      </w:r>
      <w:r w:rsidR="00370429">
        <w:rPr>
          <w:rFonts w:asciiTheme="minorHAnsi" w:hAnsiTheme="minorHAnsi"/>
          <w:lang w:val="en-US" w:eastAsia="ja-JP"/>
        </w:rPr>
        <w:t xml:space="preserve">. </w:t>
      </w:r>
      <w:r>
        <w:rPr>
          <w:rFonts w:asciiTheme="minorHAnsi" w:hAnsiTheme="minorHAnsi"/>
          <w:lang w:val="en-US" w:eastAsia="ja-JP"/>
        </w:rPr>
        <w:t xml:space="preserve">Discontinuations due to AEs occurred </w:t>
      </w:r>
      <w:r>
        <w:rPr>
          <w:lang w:eastAsia="ja-JP"/>
        </w:rPr>
        <w:t xml:space="preserve">more than five times as often </w:t>
      </w:r>
      <w:r>
        <w:rPr>
          <w:rFonts w:asciiTheme="minorHAnsi" w:hAnsiTheme="minorHAnsi"/>
          <w:lang w:val="en-US" w:eastAsia="ja-JP"/>
        </w:rPr>
        <w:t xml:space="preserve">in the </w:t>
      </w:r>
      <w:proofErr w:type="spellStart"/>
      <w:r>
        <w:rPr>
          <w:rFonts w:asciiTheme="minorHAnsi" w:hAnsiTheme="minorHAnsi"/>
          <w:lang w:val="en-US" w:eastAsia="ja-JP"/>
        </w:rPr>
        <w:t>alpelisib</w:t>
      </w:r>
      <w:proofErr w:type="spellEnd"/>
      <w:r>
        <w:rPr>
          <w:rFonts w:asciiTheme="minorHAnsi" w:hAnsiTheme="minorHAnsi"/>
          <w:lang w:val="en-US" w:eastAsia="ja-JP"/>
        </w:rPr>
        <w:t xml:space="preserve"> </w:t>
      </w:r>
      <w:proofErr w:type="gramStart"/>
      <w:r>
        <w:rPr>
          <w:rFonts w:asciiTheme="minorHAnsi" w:hAnsiTheme="minorHAnsi"/>
          <w:lang w:val="en-US" w:eastAsia="ja-JP"/>
        </w:rPr>
        <w:t>plus</w:t>
      </w:r>
      <w:proofErr w:type="gramEnd"/>
      <w:r>
        <w:rPr>
          <w:rFonts w:asciiTheme="minorHAnsi" w:hAnsiTheme="minorHAnsi"/>
          <w:lang w:val="en-US" w:eastAsia="ja-JP"/>
        </w:rPr>
        <w:t xml:space="preserve"> </w:t>
      </w:r>
      <w:proofErr w:type="spellStart"/>
      <w:r>
        <w:rPr>
          <w:rFonts w:asciiTheme="minorHAnsi" w:hAnsiTheme="minorHAnsi"/>
          <w:lang w:val="en-US" w:eastAsia="ja-JP"/>
        </w:rPr>
        <w:t>fulvestrant</w:t>
      </w:r>
      <w:proofErr w:type="spellEnd"/>
      <w:r>
        <w:rPr>
          <w:rFonts w:asciiTheme="minorHAnsi" w:hAnsiTheme="minorHAnsi"/>
          <w:lang w:val="en-US" w:eastAsia="ja-JP"/>
        </w:rPr>
        <w:t xml:space="preserve"> group (25%) compared to </w:t>
      </w:r>
      <w:r>
        <w:rPr>
          <w:lang w:eastAsia="ja-JP"/>
        </w:rPr>
        <w:t xml:space="preserve">the placebo plus </w:t>
      </w:r>
      <w:proofErr w:type="spellStart"/>
      <w:r>
        <w:rPr>
          <w:lang w:eastAsia="ja-JP"/>
        </w:rPr>
        <w:t>fulvestrant</w:t>
      </w:r>
      <w:proofErr w:type="spellEnd"/>
      <w:r>
        <w:rPr>
          <w:lang w:eastAsia="ja-JP"/>
        </w:rPr>
        <w:t xml:space="preserve"> group (4.5%), with just over half of the discontinuations in the </w:t>
      </w:r>
      <w:proofErr w:type="spellStart"/>
      <w:r>
        <w:rPr>
          <w:lang w:eastAsia="ja-JP"/>
        </w:rPr>
        <w:t>alpelisib</w:t>
      </w:r>
      <w:proofErr w:type="spellEnd"/>
      <w:r>
        <w:rPr>
          <w:lang w:eastAsia="ja-JP"/>
        </w:rPr>
        <w:t xml:space="preserve"> plus </w:t>
      </w:r>
      <w:proofErr w:type="spellStart"/>
      <w:r>
        <w:rPr>
          <w:lang w:eastAsia="ja-JP"/>
        </w:rPr>
        <w:t>fulvestra</w:t>
      </w:r>
      <w:r w:rsidR="00A40152">
        <w:rPr>
          <w:lang w:eastAsia="ja-JP"/>
        </w:rPr>
        <w:t>nt</w:t>
      </w:r>
      <w:proofErr w:type="spellEnd"/>
      <w:r w:rsidR="00A40152">
        <w:rPr>
          <w:lang w:eastAsia="ja-JP"/>
        </w:rPr>
        <w:t xml:space="preserve"> group being due to a Grade 3 to </w:t>
      </w:r>
      <w:r>
        <w:rPr>
          <w:lang w:eastAsia="ja-JP"/>
        </w:rPr>
        <w:t>4 AE</w:t>
      </w:r>
      <w:r w:rsidR="00584817">
        <w:rPr>
          <w:lang w:eastAsia="ja-JP"/>
        </w:rPr>
        <w:t>.</w:t>
      </w:r>
    </w:p>
    <w:p w14:paraId="2A7FC59B" w14:textId="03D7D070" w:rsidR="00584817" w:rsidRDefault="00C22B8B" w:rsidP="00C22B8B">
      <w:r>
        <w:t xml:space="preserve">An imbalance in cases of ONJ raises the possibility that </w:t>
      </w:r>
      <w:proofErr w:type="spellStart"/>
      <w:r>
        <w:t>alpelisib</w:t>
      </w:r>
      <w:proofErr w:type="spellEnd"/>
      <w:r>
        <w:t xml:space="preserve"> may increase the risk of ONJ beyond the background risk related to use of bisphosphonates or </w:t>
      </w:r>
      <w:proofErr w:type="spellStart"/>
      <w:r>
        <w:t>denosumab</w:t>
      </w:r>
      <w:proofErr w:type="spellEnd"/>
      <w:r w:rsidR="00370429">
        <w:t xml:space="preserve">. </w:t>
      </w:r>
      <w:r>
        <w:t>The clinical studies demonstrated no clinically relevant effect on ECG parameters</w:t>
      </w:r>
      <w:r w:rsidR="00584817">
        <w:t>.</w:t>
      </w:r>
    </w:p>
    <w:p w14:paraId="02CC8502" w14:textId="15E5E42F" w:rsidR="00C22B8B" w:rsidRDefault="00C22B8B" w:rsidP="00C22B8B">
      <w:pPr>
        <w:rPr>
          <w:lang w:val="en-US" w:eastAsia="ja-JP"/>
        </w:rPr>
      </w:pPr>
      <w:r>
        <w:rPr>
          <w:lang w:val="en-US" w:eastAsia="ja-JP"/>
        </w:rPr>
        <w:t>The addition of</w:t>
      </w:r>
      <w:r w:rsidRPr="001373D7">
        <w:rPr>
          <w:lang w:eastAsia="ja-JP"/>
        </w:rPr>
        <w:t xml:space="preserve"> </w:t>
      </w:r>
      <w:proofErr w:type="spellStart"/>
      <w:r w:rsidRPr="001373D7">
        <w:rPr>
          <w:lang w:eastAsia="ja-JP"/>
        </w:rPr>
        <w:t>alpelisib</w:t>
      </w:r>
      <w:proofErr w:type="spellEnd"/>
      <w:r>
        <w:rPr>
          <w:lang w:val="en-US" w:eastAsia="ja-JP"/>
        </w:rPr>
        <w:t xml:space="preserve"> to </w:t>
      </w:r>
      <w:proofErr w:type="spellStart"/>
      <w:r>
        <w:rPr>
          <w:lang w:val="en-US" w:eastAsia="ja-JP"/>
        </w:rPr>
        <w:t>fulvestrant</w:t>
      </w:r>
      <w:proofErr w:type="spellEnd"/>
      <w:r>
        <w:rPr>
          <w:lang w:val="en-US" w:eastAsia="ja-JP"/>
        </w:rPr>
        <w:t xml:space="preserve"> results in a substantial increase in toxicity, but this is mostly manageable with clinical monitoring, dose modifications and additional treatments</w:t>
      </w:r>
      <w:r w:rsidR="00370429">
        <w:rPr>
          <w:lang w:val="en-US" w:eastAsia="ja-JP"/>
        </w:rPr>
        <w:t xml:space="preserve">. </w:t>
      </w:r>
      <w:r>
        <w:rPr>
          <w:lang w:val="en-US" w:eastAsia="ja-JP"/>
        </w:rPr>
        <w:t>Section 4.4 of the PI should contain a precaution regarding the risk of</w:t>
      </w:r>
      <w:r w:rsidRPr="00A9127C">
        <w:rPr>
          <w:lang w:eastAsia="ja-JP"/>
        </w:rPr>
        <w:t xml:space="preserve"> diarrhoea</w:t>
      </w:r>
      <w:r>
        <w:rPr>
          <w:lang w:val="en-US" w:eastAsia="ja-JP"/>
        </w:rPr>
        <w:t>, including associated risks of dehydration and acute renal injury</w:t>
      </w:r>
      <w:r w:rsidR="00370429" w:rsidRPr="002F6CFE">
        <w:rPr>
          <w:lang w:val="en-US" w:eastAsia="ja-JP"/>
        </w:rPr>
        <w:t xml:space="preserve">. </w:t>
      </w:r>
      <w:r w:rsidRPr="002F6CFE">
        <w:rPr>
          <w:lang w:val="en-US" w:eastAsia="ja-JP"/>
        </w:rPr>
        <w:t>Additional comments on safety referen</w:t>
      </w:r>
      <w:r w:rsidR="00311E0A">
        <w:rPr>
          <w:lang w:val="en-US" w:eastAsia="ja-JP"/>
        </w:rPr>
        <w:t xml:space="preserve">ces in the PI </w:t>
      </w:r>
      <w:proofErr w:type="gramStart"/>
      <w:r w:rsidR="00311E0A">
        <w:rPr>
          <w:lang w:val="en-US" w:eastAsia="ja-JP"/>
        </w:rPr>
        <w:t>were</w:t>
      </w:r>
      <w:r w:rsidR="002F6CFE" w:rsidRPr="002F6CFE">
        <w:rPr>
          <w:lang w:val="en-US" w:eastAsia="ja-JP"/>
        </w:rPr>
        <w:t xml:space="preserve"> provided</w:t>
      </w:r>
      <w:proofErr w:type="gramEnd"/>
      <w:r w:rsidR="002F6CFE" w:rsidRPr="002F6CFE">
        <w:rPr>
          <w:lang w:val="en-US" w:eastAsia="ja-JP"/>
        </w:rPr>
        <w:t xml:space="preserve"> </w:t>
      </w:r>
      <w:r w:rsidR="002F6CFE" w:rsidRPr="002F6CFE">
        <w:t>by the Delegate, but are beyond the scope of this AusPAR</w:t>
      </w:r>
      <w:r w:rsidR="00311E0A">
        <w:rPr>
          <w:lang w:val="en-US" w:eastAsia="ja-JP"/>
        </w:rPr>
        <w:t>.</w:t>
      </w:r>
    </w:p>
    <w:p w14:paraId="7B174BF4" w14:textId="77777777" w:rsidR="00C22B8B" w:rsidRDefault="00C22B8B" w:rsidP="00C22B8B">
      <w:pPr>
        <w:pStyle w:val="Heading4"/>
        <w:spacing w:before="240"/>
      </w:pPr>
      <w:r>
        <w:t>Limitations of the data</w:t>
      </w:r>
    </w:p>
    <w:p w14:paraId="47C9D29E" w14:textId="63FEBC09" w:rsidR="00C22B8B" w:rsidRDefault="00C22B8B" w:rsidP="00C22B8B">
      <w:pPr>
        <w:spacing w:line="240" w:lineRule="auto"/>
        <w:rPr>
          <w:rFonts w:asciiTheme="minorHAnsi" w:eastAsia="Times New Roman" w:hAnsiTheme="minorHAnsi"/>
          <w:lang w:val="en-US"/>
        </w:rPr>
      </w:pPr>
      <w:r>
        <w:rPr>
          <w:rFonts w:asciiTheme="minorHAnsi" w:hAnsiTheme="minorHAnsi"/>
          <w:lang w:val="en-US" w:eastAsia="ja-JP"/>
        </w:rPr>
        <w:t xml:space="preserve">The selection of </w:t>
      </w:r>
      <w:proofErr w:type="spellStart"/>
      <w:r>
        <w:rPr>
          <w:rFonts w:asciiTheme="minorHAnsi" w:hAnsiTheme="minorHAnsi"/>
          <w:lang w:val="en-US" w:eastAsia="ja-JP"/>
        </w:rPr>
        <w:t>fulvestrant</w:t>
      </w:r>
      <w:proofErr w:type="spellEnd"/>
      <w:r>
        <w:rPr>
          <w:rFonts w:asciiTheme="minorHAnsi" w:hAnsiTheme="minorHAnsi"/>
          <w:lang w:val="en-US" w:eastAsia="ja-JP"/>
        </w:rPr>
        <w:t xml:space="preserve"> monotherapy as the comparator in the pivotal study has some limitations from an Australian regulatory perspective</w:t>
      </w:r>
      <w:r w:rsidR="00370429">
        <w:rPr>
          <w:rFonts w:asciiTheme="minorHAnsi" w:hAnsiTheme="minorHAnsi"/>
          <w:lang w:val="en-US" w:eastAsia="ja-JP"/>
        </w:rPr>
        <w:t xml:space="preserve">. </w:t>
      </w:r>
      <w:proofErr w:type="spellStart"/>
      <w:r>
        <w:rPr>
          <w:rFonts w:asciiTheme="minorHAnsi" w:hAnsiTheme="minorHAnsi"/>
          <w:lang w:val="en-US" w:eastAsia="ja-JP"/>
        </w:rPr>
        <w:t>Fulvestrant</w:t>
      </w:r>
      <w:proofErr w:type="spellEnd"/>
      <w:r>
        <w:rPr>
          <w:rFonts w:asciiTheme="minorHAnsi" w:hAnsiTheme="minorHAnsi"/>
          <w:lang w:val="en-US" w:eastAsia="ja-JP"/>
        </w:rPr>
        <w:t xml:space="preserve"> is not </w:t>
      </w:r>
      <w:r w:rsidR="00216466">
        <w:rPr>
          <w:rFonts w:asciiTheme="minorHAnsi" w:hAnsiTheme="minorHAnsi"/>
          <w:lang w:val="en-US" w:eastAsia="ja-JP"/>
        </w:rPr>
        <w:t>Pharmaceutical Benefits Scheme</w:t>
      </w:r>
      <w:r w:rsidRPr="009A4C00">
        <w:rPr>
          <w:rFonts w:asciiTheme="minorHAnsi" w:hAnsiTheme="minorHAnsi"/>
          <w:lang w:eastAsia="ja-JP"/>
        </w:rPr>
        <w:t>-subsidised</w:t>
      </w:r>
      <w:r>
        <w:rPr>
          <w:rFonts w:asciiTheme="minorHAnsi" w:hAnsiTheme="minorHAnsi"/>
          <w:lang w:val="en-US" w:eastAsia="ja-JP"/>
        </w:rPr>
        <w:t>, so the cost of self-funding this treatment is a constraint on its use in Australia</w:t>
      </w:r>
      <w:r w:rsidR="00370429">
        <w:rPr>
          <w:rFonts w:asciiTheme="minorHAnsi" w:hAnsiTheme="minorHAnsi"/>
          <w:lang w:val="en-US" w:eastAsia="ja-JP"/>
        </w:rPr>
        <w:t xml:space="preserve">. </w:t>
      </w:r>
      <w:r>
        <w:rPr>
          <w:rFonts w:asciiTheme="minorHAnsi" w:eastAsia="Times New Roman" w:hAnsiTheme="minorHAnsi"/>
          <w:lang w:val="en-US"/>
        </w:rPr>
        <w:t xml:space="preserve">In addition, </w:t>
      </w:r>
      <w:proofErr w:type="spellStart"/>
      <w:r>
        <w:rPr>
          <w:rFonts w:asciiTheme="minorHAnsi" w:eastAsia="Times New Roman" w:hAnsiTheme="minorHAnsi"/>
          <w:lang w:val="en-US"/>
        </w:rPr>
        <w:t>f</w:t>
      </w:r>
      <w:r w:rsidRPr="006C6C94">
        <w:rPr>
          <w:rFonts w:asciiTheme="minorHAnsi" w:eastAsia="Times New Roman" w:hAnsiTheme="minorHAnsi"/>
          <w:lang w:val="en-US"/>
        </w:rPr>
        <w:t>ulvestrant</w:t>
      </w:r>
      <w:proofErr w:type="spellEnd"/>
      <w:r w:rsidRPr="006C6C94">
        <w:rPr>
          <w:rFonts w:asciiTheme="minorHAnsi" w:eastAsia="Times New Roman" w:hAnsiTheme="minorHAnsi"/>
          <w:lang w:val="en-US"/>
        </w:rPr>
        <w:t xml:space="preserve"> </w:t>
      </w:r>
      <w:proofErr w:type="gramStart"/>
      <w:r w:rsidRPr="006C6C94">
        <w:rPr>
          <w:rFonts w:asciiTheme="minorHAnsi" w:eastAsia="Times New Roman" w:hAnsiTheme="minorHAnsi"/>
          <w:lang w:val="en-US"/>
        </w:rPr>
        <w:t xml:space="preserve">is </w:t>
      </w:r>
      <w:r>
        <w:rPr>
          <w:rFonts w:asciiTheme="minorHAnsi" w:eastAsia="Times New Roman" w:hAnsiTheme="minorHAnsi"/>
          <w:lang w:val="en-US"/>
        </w:rPr>
        <w:t>registered</w:t>
      </w:r>
      <w:proofErr w:type="gramEnd"/>
      <w:r>
        <w:rPr>
          <w:rFonts w:asciiTheme="minorHAnsi" w:eastAsia="Times New Roman" w:hAnsiTheme="minorHAnsi"/>
          <w:lang w:val="en-US"/>
        </w:rPr>
        <w:t xml:space="preserve"> in Australia only for the treatment of postmenopausal women with HR-positive, locally advanced or metastatic breast cancer who have progressive disease following prior tamoxifen therapy</w:t>
      </w:r>
      <w:r w:rsidR="00363AD3">
        <w:rPr>
          <w:rFonts w:asciiTheme="minorHAnsi" w:eastAsia="Times New Roman" w:hAnsiTheme="minorHAnsi"/>
          <w:lang w:val="en-US"/>
        </w:rPr>
        <w:t>.</w:t>
      </w:r>
    </w:p>
    <w:p w14:paraId="24A1D56F" w14:textId="3260248F" w:rsidR="00584817" w:rsidRDefault="00C22B8B" w:rsidP="00C22B8B">
      <w:pPr>
        <w:spacing w:line="240" w:lineRule="auto"/>
        <w:rPr>
          <w:rFonts w:asciiTheme="minorHAnsi" w:hAnsiTheme="minorHAnsi"/>
          <w:lang w:val="en-US" w:eastAsia="ja-JP"/>
        </w:rPr>
      </w:pPr>
      <w:r>
        <w:rPr>
          <w:rFonts w:asciiTheme="minorHAnsi" w:eastAsia="Times New Roman" w:hAnsiTheme="minorHAnsi"/>
          <w:lang w:val="en-US"/>
        </w:rPr>
        <w:t xml:space="preserve">The </w:t>
      </w:r>
      <w:r>
        <w:rPr>
          <w:rFonts w:asciiTheme="minorHAnsi" w:hAnsiTheme="minorHAnsi"/>
          <w:lang w:val="en-US" w:eastAsia="ja-JP"/>
        </w:rPr>
        <w:t>addition of a CDK4/6 inhibitor to ET has become a preferred first-line treatment option</w:t>
      </w:r>
      <w:r w:rsidRPr="00AB2AA3">
        <w:rPr>
          <w:rFonts w:asciiTheme="minorHAnsi" w:eastAsia="Times New Roman" w:hAnsiTheme="minorHAnsi"/>
          <w:lang w:val="en-US"/>
        </w:rPr>
        <w:t xml:space="preserve"> </w:t>
      </w:r>
      <w:r>
        <w:rPr>
          <w:rFonts w:asciiTheme="minorHAnsi" w:eastAsia="Times New Roman" w:hAnsiTheme="minorHAnsi"/>
          <w:lang w:val="en-US"/>
        </w:rPr>
        <w:t>of HR-positive, HER2-negative advanced breast cancer</w:t>
      </w:r>
      <w:r w:rsidR="00370429">
        <w:rPr>
          <w:rFonts w:asciiTheme="minorHAnsi" w:hAnsiTheme="minorHAnsi"/>
          <w:lang w:val="en-US" w:eastAsia="ja-JP"/>
        </w:rPr>
        <w:t xml:space="preserve">. </w:t>
      </w:r>
      <w:r w:rsidRPr="008D2CAC">
        <w:rPr>
          <w:rFonts w:asciiTheme="minorHAnsi" w:hAnsiTheme="minorHAnsi"/>
          <w:lang w:val="en-US" w:eastAsia="ja-JP"/>
        </w:rPr>
        <w:t xml:space="preserve">Only </w:t>
      </w:r>
      <w:r>
        <w:rPr>
          <w:rFonts w:asciiTheme="minorHAnsi" w:hAnsiTheme="minorHAnsi"/>
          <w:lang w:val="en-US" w:eastAsia="ja-JP"/>
        </w:rPr>
        <w:t>20 (</w:t>
      </w:r>
      <w:r w:rsidRPr="008D2CAC">
        <w:rPr>
          <w:rFonts w:asciiTheme="minorHAnsi" w:hAnsiTheme="minorHAnsi"/>
          <w:lang w:val="en-US" w:eastAsia="ja-JP"/>
        </w:rPr>
        <w:t>6%</w:t>
      </w:r>
      <w:r>
        <w:rPr>
          <w:rFonts w:asciiTheme="minorHAnsi" w:hAnsiTheme="minorHAnsi"/>
          <w:lang w:val="en-US" w:eastAsia="ja-JP"/>
        </w:rPr>
        <w:t>)</w:t>
      </w:r>
      <w:r w:rsidRPr="008D2CAC">
        <w:rPr>
          <w:rFonts w:asciiTheme="minorHAnsi" w:hAnsiTheme="minorHAnsi"/>
          <w:lang w:val="en-US" w:eastAsia="ja-JP"/>
        </w:rPr>
        <w:t xml:space="preserve"> patients in </w:t>
      </w:r>
      <w:r w:rsidR="004E5250">
        <w:rPr>
          <w:rFonts w:asciiTheme="minorHAnsi" w:hAnsiTheme="minorHAnsi"/>
          <w:lang w:val="en-US" w:eastAsia="ja-JP"/>
        </w:rPr>
        <w:t xml:space="preserve">the </w:t>
      </w:r>
      <w:r>
        <w:rPr>
          <w:rFonts w:asciiTheme="minorHAnsi" w:hAnsiTheme="minorHAnsi"/>
          <w:lang w:val="en-US" w:eastAsia="ja-JP"/>
        </w:rPr>
        <w:t>SOLAR-1</w:t>
      </w:r>
      <w:r w:rsidR="00C86F38">
        <w:rPr>
          <w:rFonts w:asciiTheme="minorHAnsi" w:hAnsiTheme="minorHAnsi"/>
          <w:lang w:val="en-US" w:eastAsia="ja-JP"/>
        </w:rPr>
        <w:t xml:space="preserve"> trial</w:t>
      </w:r>
      <w:r w:rsidRPr="008D2CAC">
        <w:rPr>
          <w:rFonts w:asciiTheme="minorHAnsi" w:hAnsiTheme="minorHAnsi"/>
          <w:lang w:val="en-US" w:eastAsia="ja-JP"/>
        </w:rPr>
        <w:t xml:space="preserve"> </w:t>
      </w:r>
      <w:r>
        <w:rPr>
          <w:rFonts w:asciiTheme="minorHAnsi" w:hAnsiTheme="minorHAnsi"/>
          <w:lang w:val="en-US" w:eastAsia="ja-JP"/>
        </w:rPr>
        <w:t>had</w:t>
      </w:r>
      <w:r w:rsidRPr="008D2CAC">
        <w:rPr>
          <w:rFonts w:asciiTheme="minorHAnsi" w:hAnsiTheme="minorHAnsi"/>
          <w:lang w:val="en-US" w:eastAsia="ja-JP"/>
        </w:rPr>
        <w:t xml:space="preserve"> </w:t>
      </w:r>
      <w:r>
        <w:rPr>
          <w:rFonts w:asciiTheme="minorHAnsi" w:hAnsiTheme="minorHAnsi"/>
          <w:lang w:val="en-US" w:eastAsia="ja-JP"/>
        </w:rPr>
        <w:t>prior treatment with a CDK4/6 inhibitor</w:t>
      </w:r>
      <w:r w:rsidR="00370429">
        <w:rPr>
          <w:rFonts w:asciiTheme="minorHAnsi" w:hAnsiTheme="minorHAnsi"/>
          <w:lang w:val="en-US" w:eastAsia="ja-JP"/>
        </w:rPr>
        <w:t xml:space="preserve">. </w:t>
      </w:r>
      <w:r>
        <w:rPr>
          <w:rFonts w:asciiTheme="minorHAnsi" w:hAnsiTheme="minorHAnsi"/>
          <w:lang w:val="en-US" w:eastAsia="ja-JP"/>
        </w:rPr>
        <w:t xml:space="preserve">Consequently, there is some uncertainty whether the efficacy and safety findings from </w:t>
      </w:r>
      <w:r w:rsidR="004611AE">
        <w:rPr>
          <w:rFonts w:asciiTheme="minorHAnsi" w:hAnsiTheme="minorHAnsi"/>
          <w:lang w:val="en-US" w:eastAsia="ja-JP"/>
        </w:rPr>
        <w:t xml:space="preserve">the </w:t>
      </w:r>
      <w:r>
        <w:rPr>
          <w:rFonts w:asciiTheme="minorHAnsi" w:hAnsiTheme="minorHAnsi"/>
          <w:lang w:val="en-US" w:eastAsia="ja-JP"/>
        </w:rPr>
        <w:t>SOLAR-1</w:t>
      </w:r>
      <w:r w:rsidR="00C86F38">
        <w:rPr>
          <w:rFonts w:asciiTheme="minorHAnsi" w:hAnsiTheme="minorHAnsi"/>
          <w:lang w:val="en-US" w:eastAsia="ja-JP"/>
        </w:rPr>
        <w:t xml:space="preserve"> trial</w:t>
      </w:r>
      <w:r>
        <w:rPr>
          <w:rFonts w:asciiTheme="minorHAnsi" w:hAnsiTheme="minorHAnsi"/>
          <w:lang w:val="en-US" w:eastAsia="ja-JP"/>
        </w:rPr>
        <w:t xml:space="preserve"> </w:t>
      </w:r>
      <w:proofErr w:type="gramStart"/>
      <w:r>
        <w:rPr>
          <w:rFonts w:asciiTheme="minorHAnsi" w:hAnsiTheme="minorHAnsi"/>
          <w:lang w:val="en-US" w:eastAsia="ja-JP"/>
        </w:rPr>
        <w:t>would be replicated</w:t>
      </w:r>
      <w:proofErr w:type="gramEnd"/>
      <w:r>
        <w:rPr>
          <w:rFonts w:asciiTheme="minorHAnsi" w:hAnsiTheme="minorHAnsi"/>
          <w:lang w:val="en-US" w:eastAsia="ja-JP"/>
        </w:rPr>
        <w:t xml:space="preserve"> in patients who have received treatment with a CDK4/6 inhibitor and ET</w:t>
      </w:r>
      <w:r w:rsidR="00584817">
        <w:rPr>
          <w:rFonts w:asciiTheme="minorHAnsi" w:hAnsiTheme="minorHAnsi"/>
          <w:lang w:val="en-US" w:eastAsia="ja-JP"/>
        </w:rPr>
        <w:t>.</w:t>
      </w:r>
    </w:p>
    <w:p w14:paraId="6F85DB96" w14:textId="28FA108E" w:rsidR="00584817" w:rsidRDefault="00C22B8B" w:rsidP="00C22B8B">
      <w:pPr>
        <w:rPr>
          <w:rFonts w:asciiTheme="minorHAnsi" w:hAnsiTheme="minorHAnsi"/>
          <w:lang w:val="en-US" w:eastAsia="ja-JP"/>
        </w:rPr>
      </w:pPr>
      <w:r>
        <w:rPr>
          <w:rFonts w:asciiTheme="minorHAnsi" w:hAnsiTheme="minorHAnsi"/>
          <w:lang w:val="en-US" w:eastAsia="ja-JP"/>
        </w:rPr>
        <w:t>Patients enrolled in the pivotal study did not have the range and severity of medical co</w:t>
      </w:r>
      <w:r w:rsidR="00363AD3">
        <w:rPr>
          <w:rFonts w:asciiTheme="minorHAnsi" w:hAnsiTheme="minorHAnsi"/>
          <w:lang w:val="en-US" w:eastAsia="ja-JP"/>
        </w:rPr>
        <w:noBreakHyphen/>
      </w:r>
      <w:r>
        <w:rPr>
          <w:rFonts w:asciiTheme="minorHAnsi" w:hAnsiTheme="minorHAnsi"/>
          <w:lang w:val="en-US" w:eastAsia="ja-JP"/>
        </w:rPr>
        <w:t xml:space="preserve">morbidities that </w:t>
      </w:r>
      <w:proofErr w:type="gramStart"/>
      <w:r>
        <w:rPr>
          <w:rFonts w:asciiTheme="minorHAnsi" w:hAnsiTheme="minorHAnsi"/>
          <w:lang w:val="en-US" w:eastAsia="ja-JP"/>
        </w:rPr>
        <w:t>would be expected to be seen</w:t>
      </w:r>
      <w:proofErr w:type="gramEnd"/>
      <w:r>
        <w:rPr>
          <w:rFonts w:asciiTheme="minorHAnsi" w:hAnsiTheme="minorHAnsi"/>
          <w:lang w:val="en-US" w:eastAsia="ja-JP"/>
        </w:rPr>
        <w:t xml:space="preserve"> in clinical practice in Australia, so there is some uncertainty regarding </w:t>
      </w:r>
      <w:r w:rsidRPr="002B3481">
        <w:rPr>
          <w:rFonts w:asciiTheme="minorHAnsi" w:hAnsiTheme="minorHAnsi"/>
          <w:lang w:val="en-US" w:eastAsia="ja-JP"/>
        </w:rPr>
        <w:t xml:space="preserve">the tolerability of </w:t>
      </w:r>
      <w:proofErr w:type="spellStart"/>
      <w:r>
        <w:rPr>
          <w:rFonts w:asciiTheme="minorHAnsi" w:hAnsiTheme="minorHAnsi"/>
          <w:lang w:val="en-US" w:eastAsia="ja-JP"/>
        </w:rPr>
        <w:t>alpelisib</w:t>
      </w:r>
      <w:proofErr w:type="spellEnd"/>
      <w:r>
        <w:rPr>
          <w:rFonts w:asciiTheme="minorHAnsi" w:hAnsiTheme="minorHAnsi"/>
          <w:lang w:val="en-US" w:eastAsia="ja-JP"/>
        </w:rPr>
        <w:t xml:space="preserve"> plus </w:t>
      </w:r>
      <w:proofErr w:type="spellStart"/>
      <w:r>
        <w:rPr>
          <w:rFonts w:asciiTheme="minorHAnsi" w:hAnsiTheme="minorHAnsi"/>
          <w:lang w:val="en-US" w:eastAsia="ja-JP"/>
        </w:rPr>
        <w:t>fulvestrant</w:t>
      </w:r>
      <w:proofErr w:type="spellEnd"/>
      <w:r w:rsidRPr="002B3481">
        <w:rPr>
          <w:rFonts w:asciiTheme="minorHAnsi" w:hAnsiTheme="minorHAnsi"/>
          <w:lang w:val="en-US" w:eastAsia="ja-JP"/>
        </w:rPr>
        <w:t xml:space="preserve"> in </w:t>
      </w:r>
      <w:r>
        <w:rPr>
          <w:rFonts w:asciiTheme="minorHAnsi" w:hAnsiTheme="minorHAnsi"/>
          <w:lang w:val="en-US" w:eastAsia="ja-JP"/>
        </w:rPr>
        <w:t>the real-world setting</w:t>
      </w:r>
      <w:r w:rsidR="00584817">
        <w:rPr>
          <w:rFonts w:asciiTheme="minorHAnsi" w:hAnsiTheme="minorHAnsi"/>
          <w:lang w:val="en-US" w:eastAsia="ja-JP"/>
        </w:rPr>
        <w:t>.</w:t>
      </w:r>
    </w:p>
    <w:p w14:paraId="7D4608A4" w14:textId="77777777" w:rsidR="00584817" w:rsidRDefault="00C22B8B" w:rsidP="00C22B8B">
      <w:pPr>
        <w:autoSpaceDE w:val="0"/>
        <w:autoSpaceDN w:val="0"/>
        <w:adjustRightInd w:val="0"/>
        <w:spacing w:line="240" w:lineRule="auto"/>
        <w:rPr>
          <w:lang w:val="en-US"/>
        </w:rPr>
      </w:pPr>
      <w:r>
        <w:rPr>
          <w:lang w:val="en-US"/>
        </w:rPr>
        <w:t>Only one male patient was enrolled (</w:t>
      </w:r>
      <w:r w:rsidRPr="005A3519">
        <w:rPr>
          <w:i/>
          <w:lang w:val="en-US"/>
        </w:rPr>
        <w:t>PIK3CA</w:t>
      </w:r>
      <w:r>
        <w:rPr>
          <w:lang w:val="en-US"/>
        </w:rPr>
        <w:t xml:space="preserve"> mutant cohort, </w:t>
      </w:r>
      <w:proofErr w:type="spellStart"/>
      <w:r>
        <w:rPr>
          <w:lang w:val="en-US"/>
        </w:rPr>
        <w:t>alpelisib</w:t>
      </w:r>
      <w:proofErr w:type="spellEnd"/>
      <w:r>
        <w:rPr>
          <w:lang w:val="en-US"/>
        </w:rPr>
        <w:t xml:space="preserve"> plus </w:t>
      </w:r>
      <w:proofErr w:type="spellStart"/>
      <w:r>
        <w:rPr>
          <w:lang w:val="en-US"/>
        </w:rPr>
        <w:t>fulvestrant</w:t>
      </w:r>
      <w:proofErr w:type="spellEnd"/>
      <w:r>
        <w:rPr>
          <w:lang w:val="en-US"/>
        </w:rPr>
        <w:t xml:space="preserve"> arm), limiting the conclusions that can be drawn regarding efficacy in men, but</w:t>
      </w:r>
      <w:r w:rsidRPr="007413E0">
        <w:rPr>
          <w:lang w:val="en-US"/>
        </w:rPr>
        <w:t xml:space="preserve"> </w:t>
      </w:r>
      <w:r>
        <w:rPr>
          <w:lang w:val="en-US"/>
        </w:rPr>
        <w:t>based on the mechanism of action, the treatment is expected to have similar efficacy across genders</w:t>
      </w:r>
      <w:r w:rsidR="00584817">
        <w:rPr>
          <w:lang w:val="en-US"/>
        </w:rPr>
        <w:t>.</w:t>
      </w:r>
    </w:p>
    <w:p w14:paraId="02C6853A" w14:textId="4A48A604" w:rsidR="00584817" w:rsidRDefault="00C22B8B" w:rsidP="00C22B8B">
      <w:pPr>
        <w:rPr>
          <w:rFonts w:asciiTheme="minorHAnsi" w:hAnsiTheme="minorHAnsi"/>
          <w:lang w:val="en-US" w:eastAsia="ja-JP"/>
        </w:rPr>
      </w:pPr>
      <w:r>
        <w:rPr>
          <w:rFonts w:asciiTheme="minorHAnsi" w:hAnsiTheme="minorHAnsi"/>
          <w:lang w:val="en-US" w:eastAsia="ja-JP"/>
        </w:rPr>
        <w:t>Efficacy and safety data for patients aged ≥</w:t>
      </w:r>
      <w:r w:rsidR="00A40152">
        <w:rPr>
          <w:rFonts w:asciiTheme="minorHAnsi" w:hAnsiTheme="minorHAnsi"/>
          <w:lang w:val="en-US" w:eastAsia="ja-JP"/>
        </w:rPr>
        <w:t xml:space="preserve"> </w:t>
      </w:r>
      <w:r>
        <w:rPr>
          <w:rFonts w:asciiTheme="minorHAnsi" w:hAnsiTheme="minorHAnsi"/>
          <w:lang w:val="en-US" w:eastAsia="ja-JP"/>
        </w:rPr>
        <w:t>75 years are limited, based on small numbers in the pivotal study</w:t>
      </w:r>
      <w:r w:rsidR="00584817">
        <w:rPr>
          <w:rFonts w:asciiTheme="minorHAnsi" w:hAnsiTheme="minorHAnsi"/>
          <w:lang w:val="en-US" w:eastAsia="ja-JP"/>
        </w:rPr>
        <w:t>.</w:t>
      </w:r>
    </w:p>
    <w:p w14:paraId="14F1A91C" w14:textId="3C37EFCB" w:rsidR="00584817" w:rsidRDefault="00C22B8B" w:rsidP="00C22B8B">
      <w:pPr>
        <w:rPr>
          <w:lang w:eastAsia="ja-JP"/>
        </w:rPr>
      </w:pPr>
      <w:r>
        <w:rPr>
          <w:rFonts w:asciiTheme="minorHAnsi" w:hAnsiTheme="minorHAnsi" w:cstheme="minorHAnsi"/>
          <w:iCs/>
        </w:rPr>
        <w:lastRenderedPageBreak/>
        <w:t xml:space="preserve">There is uncertainty about potential interactions resulting from induction of </w:t>
      </w:r>
      <w:r>
        <w:rPr>
          <w:lang w:eastAsia="ja-JP"/>
        </w:rPr>
        <w:t>CYP2B6, CYP2C9 and CYP3A4</w:t>
      </w:r>
      <w:r w:rsidR="00370429">
        <w:rPr>
          <w:lang w:eastAsia="ja-JP"/>
        </w:rPr>
        <w:t xml:space="preserve">. </w:t>
      </w:r>
      <w:r>
        <w:rPr>
          <w:lang w:eastAsia="ja-JP"/>
        </w:rPr>
        <w:t>The sponsor is required to conduct a clinical trial to address this uncertainty as a post-marketing commitment to the FDA</w:t>
      </w:r>
      <w:r w:rsidR="00584817">
        <w:rPr>
          <w:lang w:eastAsia="ja-JP"/>
        </w:rPr>
        <w:t>.</w:t>
      </w:r>
    </w:p>
    <w:p w14:paraId="15F16301" w14:textId="77777777" w:rsidR="00C22B8B" w:rsidRPr="00344546" w:rsidRDefault="00C22B8B" w:rsidP="00C22B8B">
      <w:pPr>
        <w:pStyle w:val="Heading4"/>
        <w:spacing w:before="240"/>
      </w:pPr>
      <w:r w:rsidRPr="00344546">
        <w:t>Proposed indication</w:t>
      </w:r>
    </w:p>
    <w:p w14:paraId="686FE0F2" w14:textId="77777777" w:rsidR="00C22B8B" w:rsidRPr="00344546" w:rsidRDefault="00C22B8B" w:rsidP="00C22B8B">
      <w:pPr>
        <w:spacing w:line="240" w:lineRule="auto"/>
        <w:rPr>
          <w:rFonts w:asciiTheme="minorHAnsi" w:eastAsia="Times New Roman" w:hAnsiTheme="minorHAnsi"/>
          <w:lang w:val="en-US"/>
        </w:rPr>
      </w:pPr>
      <w:r w:rsidRPr="00344546">
        <w:rPr>
          <w:rFonts w:asciiTheme="minorHAnsi" w:eastAsia="Times New Roman" w:hAnsiTheme="minorHAnsi"/>
          <w:lang w:val="en-US"/>
        </w:rPr>
        <w:t>The proposed indication is:</w:t>
      </w:r>
    </w:p>
    <w:p w14:paraId="27159DF9" w14:textId="38D95F22" w:rsidR="00C22B8B" w:rsidRPr="00A40152" w:rsidRDefault="00C22B8B" w:rsidP="00C22B8B">
      <w:pPr>
        <w:ind w:left="426"/>
        <w:rPr>
          <w:rFonts w:asciiTheme="minorHAnsi" w:eastAsia="Times New Roman" w:hAnsiTheme="minorHAnsi"/>
          <w:i/>
          <w:lang w:val="en-US"/>
        </w:rPr>
      </w:pPr>
      <w:proofErr w:type="spellStart"/>
      <w:r w:rsidRPr="00A40152">
        <w:rPr>
          <w:rFonts w:asciiTheme="minorHAnsi" w:hAnsiTheme="minorHAnsi"/>
          <w:i/>
        </w:rPr>
        <w:t>P</w:t>
      </w:r>
      <w:r w:rsidR="00085335" w:rsidRPr="00A40152">
        <w:rPr>
          <w:rFonts w:asciiTheme="minorHAnsi" w:hAnsiTheme="minorHAnsi"/>
          <w:i/>
        </w:rPr>
        <w:t>iqray</w:t>
      </w:r>
      <w:proofErr w:type="spellEnd"/>
      <w:r w:rsidRPr="00A40152">
        <w:rPr>
          <w:rFonts w:asciiTheme="minorHAnsi" w:hAnsiTheme="minorHAnsi"/>
          <w:i/>
        </w:rPr>
        <w:t xml:space="preserve"> </w:t>
      </w:r>
      <w:r w:rsidRPr="00A40152">
        <w:rPr>
          <w:rFonts w:asciiTheme="minorHAnsi" w:hAnsiTheme="minorHAnsi" w:cs="TimesNewRomanPSMT"/>
          <w:i/>
        </w:rPr>
        <w:t>is an α</w:t>
      </w:r>
      <w:r w:rsidRPr="00A40152">
        <w:rPr>
          <w:rFonts w:asciiTheme="minorHAnsi" w:hAnsiTheme="minorHAnsi"/>
          <w:i/>
        </w:rPr>
        <w:t xml:space="preserve">-specific class I phosphatidylinositol-3-kinase (PIK3CA) inhibitor indicated for the treatment of postmenopausal women, and men, with hormone receptor positive, HER2-negative, advanced breast cancer with a PIK3CA mutation in combination with </w:t>
      </w:r>
      <w:proofErr w:type="spellStart"/>
      <w:r w:rsidRPr="00A40152">
        <w:rPr>
          <w:rFonts w:asciiTheme="minorHAnsi" w:hAnsiTheme="minorHAnsi"/>
          <w:i/>
        </w:rPr>
        <w:t>fulvestrant</w:t>
      </w:r>
      <w:proofErr w:type="spellEnd"/>
      <w:r w:rsidRPr="00A40152">
        <w:rPr>
          <w:rFonts w:asciiTheme="minorHAnsi" w:hAnsiTheme="minorHAnsi"/>
          <w:i/>
        </w:rPr>
        <w:t xml:space="preserve"> after disease progression following an endocrine-based regimen.</w:t>
      </w:r>
    </w:p>
    <w:p w14:paraId="035A2F2E" w14:textId="77777777" w:rsidR="00C22B8B" w:rsidRPr="00344546" w:rsidRDefault="00C22B8B" w:rsidP="00C22B8B">
      <w:pPr>
        <w:spacing w:line="240" w:lineRule="auto"/>
        <w:rPr>
          <w:rFonts w:asciiTheme="minorHAnsi" w:eastAsia="Times New Roman" w:hAnsiTheme="minorHAnsi"/>
          <w:lang w:val="en-US"/>
        </w:rPr>
      </w:pPr>
      <w:r w:rsidRPr="00344546">
        <w:rPr>
          <w:rFonts w:asciiTheme="minorHAnsi" w:eastAsia="Times New Roman" w:hAnsiTheme="minorHAnsi"/>
          <w:lang w:val="en-US"/>
        </w:rPr>
        <w:t>The clinical evaluator has recommended the following indication:</w:t>
      </w:r>
    </w:p>
    <w:p w14:paraId="35D0A365" w14:textId="78817D38" w:rsidR="00C22B8B" w:rsidRPr="00A40152" w:rsidRDefault="00C22B8B" w:rsidP="00C22B8B">
      <w:pPr>
        <w:spacing w:line="240" w:lineRule="auto"/>
        <w:ind w:left="426"/>
        <w:rPr>
          <w:rFonts w:asciiTheme="minorHAnsi" w:eastAsia="Times New Roman" w:hAnsiTheme="minorHAnsi"/>
          <w:i/>
          <w:lang w:val="en-US"/>
        </w:rPr>
      </w:pPr>
      <w:proofErr w:type="spellStart"/>
      <w:r w:rsidRPr="00A40152">
        <w:rPr>
          <w:rFonts w:asciiTheme="minorHAnsi" w:eastAsia="Times New Roman" w:hAnsiTheme="minorHAnsi"/>
          <w:i/>
          <w:lang w:val="en-US"/>
        </w:rPr>
        <w:t>P</w:t>
      </w:r>
      <w:r w:rsidR="00085335" w:rsidRPr="00A40152">
        <w:rPr>
          <w:rFonts w:asciiTheme="minorHAnsi" w:eastAsia="Times New Roman" w:hAnsiTheme="minorHAnsi"/>
          <w:i/>
          <w:lang w:val="en-US"/>
        </w:rPr>
        <w:t>iqray</w:t>
      </w:r>
      <w:proofErr w:type="spellEnd"/>
      <w:r w:rsidRPr="00A40152">
        <w:rPr>
          <w:rFonts w:asciiTheme="minorHAnsi" w:eastAsia="Times New Roman" w:hAnsiTheme="minorHAnsi"/>
          <w:i/>
          <w:lang w:val="en-US"/>
        </w:rPr>
        <w:t xml:space="preserve">, in combination with </w:t>
      </w:r>
      <w:proofErr w:type="spellStart"/>
      <w:r w:rsidRPr="00A40152">
        <w:rPr>
          <w:rFonts w:asciiTheme="minorHAnsi" w:eastAsia="Times New Roman" w:hAnsiTheme="minorHAnsi"/>
          <w:i/>
          <w:lang w:val="en-US"/>
        </w:rPr>
        <w:t>fulvestrant</w:t>
      </w:r>
      <w:proofErr w:type="spellEnd"/>
      <w:r w:rsidRPr="00A40152">
        <w:rPr>
          <w:rFonts w:asciiTheme="minorHAnsi" w:eastAsia="Times New Roman" w:hAnsiTheme="minorHAnsi"/>
          <w:i/>
          <w:lang w:val="en-US"/>
        </w:rPr>
        <w:t xml:space="preserve">, </w:t>
      </w:r>
      <w:proofErr w:type="gramStart"/>
      <w:r w:rsidRPr="00A40152">
        <w:rPr>
          <w:rFonts w:asciiTheme="minorHAnsi" w:eastAsia="Times New Roman" w:hAnsiTheme="minorHAnsi"/>
          <w:i/>
          <w:lang w:val="en-US"/>
        </w:rPr>
        <w:t>is indicated</w:t>
      </w:r>
      <w:proofErr w:type="gramEnd"/>
      <w:r w:rsidRPr="00A40152">
        <w:rPr>
          <w:rFonts w:asciiTheme="minorHAnsi" w:eastAsia="Times New Roman" w:hAnsiTheme="minorHAnsi"/>
          <w:i/>
          <w:lang w:val="en-US"/>
        </w:rPr>
        <w:t xml:space="preserve"> for the treatment of men and postmenopausal women with hormone receptor-positive, HER2-negative, PIK3CA-mutated advanced or metastatic breast cancer with disease progression on or following an endocrine-based regimen.</w:t>
      </w:r>
    </w:p>
    <w:p w14:paraId="20192F90" w14:textId="6880F42E" w:rsidR="00C22B8B" w:rsidRPr="00344546" w:rsidRDefault="0096596E" w:rsidP="00C22B8B">
      <w:pPr>
        <w:spacing w:line="240" w:lineRule="auto"/>
      </w:pPr>
      <w:r>
        <w:rPr>
          <w:rFonts w:asciiTheme="minorHAnsi" w:eastAsia="Times New Roman" w:hAnsiTheme="minorHAnsi"/>
          <w:lang w:val="en-US"/>
        </w:rPr>
        <w:t>The Delegate</w:t>
      </w:r>
      <w:r w:rsidR="00A40152">
        <w:rPr>
          <w:rFonts w:asciiTheme="minorHAnsi" w:eastAsia="Times New Roman" w:hAnsiTheme="minorHAnsi"/>
          <w:lang w:val="en-US"/>
        </w:rPr>
        <w:t xml:space="preserve"> </w:t>
      </w:r>
      <w:r w:rsidR="00C22B8B" w:rsidRPr="00344546">
        <w:rPr>
          <w:rFonts w:asciiTheme="minorHAnsi" w:eastAsia="Times New Roman" w:hAnsiTheme="minorHAnsi"/>
          <w:lang w:val="en-US"/>
        </w:rPr>
        <w:t>agree</w:t>
      </w:r>
      <w:r>
        <w:rPr>
          <w:rFonts w:asciiTheme="minorHAnsi" w:eastAsia="Times New Roman" w:hAnsiTheme="minorHAnsi"/>
          <w:lang w:val="en-US"/>
        </w:rPr>
        <w:t>s</w:t>
      </w:r>
      <w:r w:rsidR="00C22B8B" w:rsidRPr="00344546">
        <w:rPr>
          <w:rFonts w:asciiTheme="minorHAnsi" w:eastAsia="Times New Roman" w:hAnsiTheme="minorHAnsi"/>
          <w:lang w:val="en-US"/>
        </w:rPr>
        <w:t xml:space="preserve"> with the evaluator that the text describing the class of the medicine is not required</w:t>
      </w:r>
      <w:r w:rsidR="00370429">
        <w:rPr>
          <w:rFonts w:asciiTheme="minorHAnsi" w:eastAsia="Times New Roman" w:hAnsiTheme="minorHAnsi"/>
          <w:lang w:val="en-US"/>
        </w:rPr>
        <w:t xml:space="preserve">. </w:t>
      </w:r>
      <w:r>
        <w:rPr>
          <w:rFonts w:asciiTheme="minorHAnsi" w:eastAsia="Times New Roman" w:hAnsiTheme="minorHAnsi"/>
          <w:lang w:val="en-US"/>
        </w:rPr>
        <w:t xml:space="preserve">The </w:t>
      </w:r>
      <w:r w:rsidR="00A40152">
        <w:t xml:space="preserve">Delegate </w:t>
      </w:r>
      <w:r w:rsidR="00C22B8B" w:rsidRPr="00344546">
        <w:t>prefer</w:t>
      </w:r>
      <w:r>
        <w:t>s</w:t>
      </w:r>
      <w:r w:rsidR="00D720A9">
        <w:t xml:space="preserve"> the </w:t>
      </w:r>
      <w:r w:rsidR="004E5250">
        <w:t>s</w:t>
      </w:r>
      <w:r w:rsidR="00D720A9">
        <w:t xml:space="preserve">ponsor’s approach for ‘men’ to </w:t>
      </w:r>
      <w:proofErr w:type="gramStart"/>
      <w:r w:rsidR="00D720A9">
        <w:t>be positioned</w:t>
      </w:r>
      <w:proofErr w:type="gramEnd"/>
      <w:r w:rsidR="00D720A9">
        <w:t xml:space="preserve"> after ‘postmenopausal women’</w:t>
      </w:r>
      <w:r w:rsidR="00C22B8B" w:rsidRPr="00344546">
        <w:t xml:space="preserve">, given that the majority of patients being considered for treatment with </w:t>
      </w:r>
      <w:proofErr w:type="spellStart"/>
      <w:r w:rsidR="00C22B8B" w:rsidRPr="00344546">
        <w:t>alpelisib</w:t>
      </w:r>
      <w:proofErr w:type="spellEnd"/>
      <w:r w:rsidR="00C22B8B" w:rsidRPr="00344546">
        <w:t xml:space="preserve"> would be female</w:t>
      </w:r>
      <w:r w:rsidR="00370429">
        <w:t xml:space="preserve">. </w:t>
      </w:r>
      <w:r w:rsidR="00C22B8B" w:rsidRPr="00344546">
        <w:t xml:space="preserve">The indication should refer to the use of a validated test for </w:t>
      </w:r>
      <w:r w:rsidR="00C22B8B" w:rsidRPr="005A3519">
        <w:rPr>
          <w:i/>
        </w:rPr>
        <w:t>PIK3CA</w:t>
      </w:r>
      <w:r w:rsidR="00C22B8B" w:rsidRPr="00344546">
        <w:t xml:space="preserve"> mutation, noting that this wording may need to </w:t>
      </w:r>
      <w:proofErr w:type="gramStart"/>
      <w:r w:rsidR="00C22B8B" w:rsidRPr="00344546">
        <w:t>be revised</w:t>
      </w:r>
      <w:proofErr w:type="gramEnd"/>
      <w:r w:rsidR="00C22B8B" w:rsidRPr="00344546">
        <w:t xml:space="preserve"> </w:t>
      </w:r>
      <w:r w:rsidR="00C22B8B">
        <w:t>when</w:t>
      </w:r>
      <w:r w:rsidR="00C22B8B" w:rsidRPr="00344546">
        <w:t xml:space="preserve"> proposed regulations regarding companion diagnostic devices are introduced in Australia.</w:t>
      </w:r>
    </w:p>
    <w:p w14:paraId="014260F0" w14:textId="77777777" w:rsidR="00C22B8B" w:rsidRPr="00344546" w:rsidRDefault="00C22B8B" w:rsidP="00C22B8B">
      <w:pPr>
        <w:spacing w:line="240" w:lineRule="auto"/>
      </w:pPr>
      <w:r w:rsidRPr="00344546">
        <w:t xml:space="preserve">The following wording </w:t>
      </w:r>
      <w:proofErr w:type="gramStart"/>
      <w:r w:rsidRPr="00344546">
        <w:t>is suggested</w:t>
      </w:r>
      <w:proofErr w:type="gramEnd"/>
      <w:r w:rsidRPr="00344546">
        <w:t>:</w:t>
      </w:r>
    </w:p>
    <w:p w14:paraId="6A8D7E73" w14:textId="0080A1A7" w:rsidR="00C22B8B" w:rsidRPr="0096596E" w:rsidRDefault="00C22B8B" w:rsidP="00C22B8B">
      <w:pPr>
        <w:spacing w:line="240" w:lineRule="auto"/>
        <w:ind w:left="426"/>
        <w:rPr>
          <w:rFonts w:asciiTheme="minorHAnsi" w:hAnsiTheme="minorHAnsi"/>
          <w:i/>
          <w:lang w:val="en-US"/>
        </w:rPr>
      </w:pPr>
      <w:bookmarkStart w:id="59" w:name="indication"/>
      <w:proofErr w:type="spellStart"/>
      <w:r w:rsidRPr="0096596E">
        <w:rPr>
          <w:rFonts w:eastAsia="Times New Roman"/>
          <w:i/>
          <w:lang w:val="en-US"/>
        </w:rPr>
        <w:t>P</w:t>
      </w:r>
      <w:r w:rsidR="00085335" w:rsidRPr="0096596E">
        <w:rPr>
          <w:rFonts w:eastAsia="Times New Roman"/>
          <w:i/>
          <w:lang w:val="en-US"/>
        </w:rPr>
        <w:t>iqray</w:t>
      </w:r>
      <w:bookmarkEnd w:id="59"/>
      <w:proofErr w:type="spellEnd"/>
      <w:r w:rsidRPr="0096596E">
        <w:rPr>
          <w:rFonts w:eastAsia="Times New Roman"/>
          <w:i/>
          <w:lang w:val="en-US"/>
        </w:rPr>
        <w:t xml:space="preserve">, in combination with </w:t>
      </w:r>
      <w:proofErr w:type="spellStart"/>
      <w:r w:rsidRPr="0096596E">
        <w:rPr>
          <w:rFonts w:eastAsia="Times New Roman"/>
          <w:i/>
          <w:lang w:val="en-US"/>
        </w:rPr>
        <w:t>fulvestrant</w:t>
      </w:r>
      <w:proofErr w:type="spellEnd"/>
      <w:r w:rsidRPr="0096596E">
        <w:rPr>
          <w:rFonts w:eastAsia="Times New Roman"/>
          <w:i/>
          <w:lang w:val="en-US"/>
        </w:rPr>
        <w:t>, is indicated for the treatment of postmenopausal women, and men, with hormone receptor-positive, HER2-negative, advanced or metastatic breast cancer with a PIK3CA mutation as detected by a validated test following progression on or after an endocrine-based regimen.</w:t>
      </w:r>
    </w:p>
    <w:p w14:paraId="5138E283" w14:textId="77777777" w:rsidR="00C22B8B" w:rsidRDefault="00C22B8B" w:rsidP="00C22B8B">
      <w:pPr>
        <w:pStyle w:val="Heading4"/>
        <w:spacing w:before="240"/>
      </w:pPr>
      <w:r w:rsidRPr="005529C3">
        <w:t>Conclusion</w:t>
      </w:r>
    </w:p>
    <w:p w14:paraId="0E568DA4" w14:textId="6724117F" w:rsidR="00C22B8B" w:rsidRPr="00DE2AC0" w:rsidRDefault="00C22B8B" w:rsidP="00C22B8B">
      <w:r>
        <w:rPr>
          <w:rFonts w:asciiTheme="minorHAnsi" w:eastAsiaTheme="minorHAnsi" w:hAnsiTheme="minorHAnsi" w:cs="Calibri-BoldItalic"/>
          <w:bCs/>
          <w:iCs/>
        </w:rPr>
        <w:t xml:space="preserve">In </w:t>
      </w:r>
      <w:r w:rsidR="004E5250">
        <w:rPr>
          <w:rFonts w:asciiTheme="minorHAnsi" w:eastAsiaTheme="minorHAnsi" w:hAnsiTheme="minorHAnsi" w:cs="Calibri-BoldItalic"/>
          <w:bCs/>
          <w:iCs/>
        </w:rPr>
        <w:t xml:space="preserve">the </w:t>
      </w:r>
      <w:r>
        <w:rPr>
          <w:rFonts w:asciiTheme="minorHAnsi" w:eastAsiaTheme="minorHAnsi" w:hAnsiTheme="minorHAnsi" w:cs="Calibri-BoldItalic"/>
          <w:bCs/>
          <w:iCs/>
        </w:rPr>
        <w:t>SOLAR-1</w:t>
      </w:r>
      <w:r w:rsidR="00C86F38">
        <w:rPr>
          <w:rFonts w:asciiTheme="minorHAnsi" w:eastAsiaTheme="minorHAnsi" w:hAnsiTheme="minorHAnsi" w:cs="Calibri-BoldItalic"/>
          <w:bCs/>
          <w:iCs/>
        </w:rPr>
        <w:t xml:space="preserve"> trial</w:t>
      </w:r>
      <w:r>
        <w:rPr>
          <w:rFonts w:asciiTheme="minorHAnsi" w:eastAsiaTheme="minorHAnsi" w:hAnsiTheme="minorHAnsi" w:cs="Calibri-BoldItalic"/>
          <w:bCs/>
          <w:iCs/>
        </w:rPr>
        <w:t xml:space="preserve">, treatment with </w:t>
      </w:r>
      <w:proofErr w:type="spellStart"/>
      <w:r>
        <w:rPr>
          <w:rFonts w:asciiTheme="minorHAnsi" w:eastAsiaTheme="minorHAnsi" w:hAnsiTheme="minorHAnsi" w:cs="Calibri-BoldItalic"/>
          <w:bCs/>
          <w:iCs/>
        </w:rPr>
        <w:t>a</w:t>
      </w:r>
      <w:r w:rsidRPr="00537C43">
        <w:rPr>
          <w:rFonts w:asciiTheme="minorHAnsi" w:eastAsiaTheme="minorHAnsi" w:hAnsiTheme="minorHAnsi" w:cs="Calibri-BoldItalic"/>
          <w:bCs/>
          <w:iCs/>
        </w:rPr>
        <w:t>lpelisib</w:t>
      </w:r>
      <w:proofErr w:type="spellEnd"/>
      <w:r w:rsidRPr="00537C43">
        <w:rPr>
          <w:rFonts w:asciiTheme="minorHAnsi" w:eastAsiaTheme="minorHAnsi" w:hAnsiTheme="minorHAnsi" w:cs="Calibri-BoldItalic"/>
          <w:bCs/>
          <w:iCs/>
        </w:rPr>
        <w:t xml:space="preserve"> </w:t>
      </w:r>
      <w:r>
        <w:rPr>
          <w:rFonts w:asciiTheme="minorHAnsi" w:eastAsiaTheme="minorHAnsi" w:hAnsiTheme="minorHAnsi" w:cs="Calibri-BoldItalic"/>
          <w:bCs/>
          <w:iCs/>
        </w:rPr>
        <w:t>and</w:t>
      </w:r>
      <w:r w:rsidRPr="00537C43">
        <w:rPr>
          <w:rFonts w:asciiTheme="minorHAnsi" w:eastAsiaTheme="minorHAnsi" w:hAnsiTheme="minorHAnsi" w:cs="Calibri-BoldItalic"/>
          <w:bCs/>
          <w:iCs/>
        </w:rPr>
        <w:t xml:space="preserve"> </w:t>
      </w:r>
      <w:proofErr w:type="spellStart"/>
      <w:r w:rsidRPr="00537C43">
        <w:rPr>
          <w:rFonts w:asciiTheme="minorHAnsi" w:eastAsiaTheme="minorHAnsi" w:hAnsiTheme="minorHAnsi" w:cs="Calibri-BoldItalic"/>
          <w:bCs/>
          <w:iCs/>
        </w:rPr>
        <w:t>fulvestrant</w:t>
      </w:r>
      <w:proofErr w:type="spellEnd"/>
      <w:r>
        <w:rPr>
          <w:rFonts w:asciiTheme="minorHAnsi" w:eastAsiaTheme="minorHAnsi" w:hAnsiTheme="minorHAnsi" w:cs="Calibri-BoldItalic"/>
          <w:bCs/>
          <w:iCs/>
        </w:rPr>
        <w:t xml:space="preserve">, compared to placebo and </w:t>
      </w:r>
      <w:proofErr w:type="spellStart"/>
      <w:r>
        <w:rPr>
          <w:rFonts w:asciiTheme="minorHAnsi" w:eastAsiaTheme="minorHAnsi" w:hAnsiTheme="minorHAnsi" w:cs="Calibri-BoldItalic"/>
          <w:bCs/>
          <w:iCs/>
        </w:rPr>
        <w:t>fulvestrant</w:t>
      </w:r>
      <w:proofErr w:type="spellEnd"/>
      <w:r>
        <w:rPr>
          <w:rFonts w:asciiTheme="minorHAnsi" w:eastAsiaTheme="minorHAnsi" w:hAnsiTheme="minorHAnsi" w:cs="Calibri-BoldItalic"/>
          <w:bCs/>
          <w:iCs/>
        </w:rPr>
        <w:t>,</w:t>
      </w:r>
      <w:r w:rsidRPr="00537C43">
        <w:rPr>
          <w:rFonts w:asciiTheme="minorHAnsi" w:eastAsiaTheme="minorHAnsi" w:hAnsiTheme="minorHAnsi" w:cs="Calibri-BoldItalic"/>
          <w:bCs/>
          <w:iCs/>
        </w:rPr>
        <w:t xml:space="preserve"> resulted in a clinically meaningful</w:t>
      </w:r>
      <w:r>
        <w:rPr>
          <w:rFonts w:asciiTheme="minorHAnsi" w:eastAsiaTheme="minorHAnsi" w:hAnsiTheme="minorHAnsi" w:cs="Calibri-BoldItalic"/>
          <w:bCs/>
          <w:iCs/>
        </w:rPr>
        <w:t xml:space="preserve"> </w:t>
      </w:r>
      <w:r w:rsidRPr="00537C43">
        <w:rPr>
          <w:rFonts w:asciiTheme="minorHAnsi" w:eastAsiaTheme="minorHAnsi" w:hAnsiTheme="minorHAnsi" w:cs="Calibri-BoldItalic"/>
          <w:bCs/>
          <w:iCs/>
        </w:rPr>
        <w:t>and statistically significant improvement in PFS in patients with HR</w:t>
      </w:r>
      <w:r>
        <w:rPr>
          <w:rFonts w:asciiTheme="minorHAnsi" w:eastAsiaTheme="minorHAnsi" w:hAnsiTheme="minorHAnsi" w:cs="Calibri-BoldItalic"/>
          <w:bCs/>
          <w:iCs/>
        </w:rPr>
        <w:t>-</w:t>
      </w:r>
      <w:r w:rsidRPr="00537C43">
        <w:rPr>
          <w:rFonts w:asciiTheme="minorHAnsi" w:eastAsiaTheme="minorHAnsi" w:hAnsiTheme="minorHAnsi" w:cs="Calibri-BoldItalic"/>
          <w:bCs/>
          <w:iCs/>
        </w:rPr>
        <w:t>positive,</w:t>
      </w:r>
      <w:r>
        <w:rPr>
          <w:rFonts w:asciiTheme="minorHAnsi" w:eastAsiaTheme="minorHAnsi" w:hAnsiTheme="minorHAnsi" w:cs="Calibri-BoldItalic"/>
          <w:bCs/>
          <w:iCs/>
        </w:rPr>
        <w:t xml:space="preserve"> </w:t>
      </w:r>
      <w:r w:rsidRPr="00537C43">
        <w:rPr>
          <w:rFonts w:asciiTheme="minorHAnsi" w:eastAsiaTheme="minorHAnsi" w:hAnsiTheme="minorHAnsi" w:cs="Calibri-BoldItalic"/>
          <w:bCs/>
          <w:iCs/>
        </w:rPr>
        <w:t xml:space="preserve">HER2-negative, </w:t>
      </w:r>
      <w:r w:rsidRPr="005A3519">
        <w:rPr>
          <w:rFonts w:asciiTheme="minorHAnsi" w:eastAsiaTheme="minorHAnsi" w:hAnsiTheme="minorHAnsi" w:cs="Calibri-BoldItalic"/>
          <w:bCs/>
          <w:i/>
          <w:iCs/>
        </w:rPr>
        <w:t>PIK3CA</w:t>
      </w:r>
      <w:r w:rsidRPr="00537C43">
        <w:rPr>
          <w:rFonts w:asciiTheme="minorHAnsi" w:eastAsiaTheme="minorHAnsi" w:hAnsiTheme="minorHAnsi" w:cs="Calibri-BoldItalic"/>
          <w:bCs/>
          <w:iCs/>
        </w:rPr>
        <w:t>-mutated advanced breast cancer following</w:t>
      </w:r>
      <w:r>
        <w:rPr>
          <w:rFonts w:asciiTheme="minorHAnsi" w:eastAsiaTheme="minorHAnsi" w:hAnsiTheme="minorHAnsi" w:cs="Calibri-BoldItalic"/>
          <w:bCs/>
          <w:iCs/>
        </w:rPr>
        <w:t xml:space="preserve"> </w:t>
      </w:r>
      <w:r w:rsidRPr="00537C43">
        <w:rPr>
          <w:rFonts w:asciiTheme="minorHAnsi" w:eastAsiaTheme="minorHAnsi" w:hAnsiTheme="minorHAnsi" w:cs="Calibri-BoldItalic"/>
          <w:bCs/>
          <w:iCs/>
        </w:rPr>
        <w:t>progression on or after endocrine therapy</w:t>
      </w:r>
      <w:r w:rsidR="00370429">
        <w:rPr>
          <w:rFonts w:asciiTheme="minorHAnsi" w:eastAsiaTheme="minorHAnsi" w:hAnsiTheme="minorHAnsi" w:cs="Calibri-BoldItalic"/>
          <w:bCs/>
          <w:iCs/>
        </w:rPr>
        <w:t xml:space="preserve">. </w:t>
      </w:r>
      <w:r>
        <w:rPr>
          <w:rFonts w:asciiTheme="minorHAnsi" w:eastAsiaTheme="minorHAnsi" w:hAnsiTheme="minorHAnsi" w:cs="Calibri-BoldItalic"/>
          <w:bCs/>
          <w:iCs/>
        </w:rPr>
        <w:t xml:space="preserve">A benefit in PFS </w:t>
      </w:r>
      <w:proofErr w:type="gramStart"/>
      <w:r>
        <w:rPr>
          <w:rFonts w:asciiTheme="minorHAnsi" w:eastAsiaTheme="minorHAnsi" w:hAnsiTheme="minorHAnsi" w:cs="Calibri-BoldItalic"/>
          <w:bCs/>
          <w:iCs/>
        </w:rPr>
        <w:t>was not seen</w:t>
      </w:r>
      <w:proofErr w:type="gramEnd"/>
      <w:r>
        <w:rPr>
          <w:rFonts w:asciiTheme="minorHAnsi" w:eastAsiaTheme="minorHAnsi" w:hAnsiTheme="minorHAnsi" w:cs="Calibri-BoldItalic"/>
          <w:bCs/>
          <w:iCs/>
        </w:rPr>
        <w:t xml:space="preserve"> in patients without a </w:t>
      </w:r>
      <w:r w:rsidRPr="005A3519">
        <w:rPr>
          <w:rFonts w:asciiTheme="minorHAnsi" w:eastAsiaTheme="minorHAnsi" w:hAnsiTheme="minorHAnsi" w:cs="Calibri-BoldItalic"/>
          <w:bCs/>
          <w:i/>
          <w:iCs/>
        </w:rPr>
        <w:t>PIK3CA</w:t>
      </w:r>
      <w:r>
        <w:rPr>
          <w:rFonts w:asciiTheme="minorHAnsi" w:eastAsiaTheme="minorHAnsi" w:hAnsiTheme="minorHAnsi" w:cs="Calibri-BoldItalic"/>
          <w:bCs/>
          <w:iCs/>
        </w:rPr>
        <w:t xml:space="preserve"> mutation</w:t>
      </w:r>
      <w:r w:rsidR="00370429">
        <w:rPr>
          <w:rFonts w:asciiTheme="minorHAnsi" w:eastAsiaTheme="minorHAnsi" w:hAnsiTheme="minorHAnsi" w:cs="Calibri-BoldItalic"/>
          <w:bCs/>
          <w:iCs/>
        </w:rPr>
        <w:t xml:space="preserve">. </w:t>
      </w:r>
      <w:r>
        <w:rPr>
          <w:rFonts w:asciiTheme="minorHAnsi" w:eastAsiaTheme="minorHAnsi" w:hAnsiTheme="minorHAnsi" w:cs="Calibri-BoldItalic"/>
          <w:bCs/>
          <w:iCs/>
        </w:rPr>
        <w:t xml:space="preserve">The interim analysis of overall survival in the </w:t>
      </w:r>
      <w:r w:rsidRPr="005A3519">
        <w:rPr>
          <w:rFonts w:asciiTheme="minorHAnsi" w:eastAsiaTheme="minorHAnsi" w:hAnsiTheme="minorHAnsi" w:cs="Calibri-BoldItalic"/>
          <w:bCs/>
          <w:i/>
          <w:iCs/>
        </w:rPr>
        <w:t>PIK3CA</w:t>
      </w:r>
      <w:r w:rsidR="00245130">
        <w:rPr>
          <w:rFonts w:asciiTheme="minorHAnsi" w:eastAsiaTheme="minorHAnsi" w:hAnsiTheme="minorHAnsi" w:cs="Calibri-BoldItalic"/>
          <w:bCs/>
          <w:iCs/>
        </w:rPr>
        <w:noBreakHyphen/>
      </w:r>
      <w:r>
        <w:rPr>
          <w:rFonts w:asciiTheme="minorHAnsi" w:eastAsiaTheme="minorHAnsi" w:hAnsiTheme="minorHAnsi" w:cs="Calibri-BoldItalic"/>
          <w:bCs/>
          <w:iCs/>
        </w:rPr>
        <w:t xml:space="preserve">mutant cohort was immature, but the trend favoured </w:t>
      </w:r>
      <w:proofErr w:type="spellStart"/>
      <w:r>
        <w:rPr>
          <w:rFonts w:asciiTheme="minorHAnsi" w:eastAsiaTheme="minorHAnsi" w:hAnsiTheme="minorHAnsi" w:cs="Calibri-BoldItalic"/>
          <w:bCs/>
          <w:iCs/>
        </w:rPr>
        <w:t>alpelisib</w:t>
      </w:r>
      <w:proofErr w:type="spellEnd"/>
      <w:r>
        <w:rPr>
          <w:rFonts w:asciiTheme="minorHAnsi" w:eastAsiaTheme="minorHAnsi" w:hAnsiTheme="minorHAnsi" w:cs="Calibri-BoldItalic"/>
          <w:bCs/>
          <w:iCs/>
        </w:rPr>
        <w:t xml:space="preserve"> plus </w:t>
      </w:r>
      <w:proofErr w:type="spellStart"/>
      <w:r>
        <w:rPr>
          <w:rFonts w:asciiTheme="minorHAnsi" w:eastAsiaTheme="minorHAnsi" w:hAnsiTheme="minorHAnsi" w:cs="Calibri-BoldItalic"/>
          <w:bCs/>
          <w:iCs/>
        </w:rPr>
        <w:t>fulvestrant</w:t>
      </w:r>
      <w:proofErr w:type="spellEnd"/>
      <w:r w:rsidR="00370429">
        <w:rPr>
          <w:rFonts w:asciiTheme="minorHAnsi" w:eastAsiaTheme="minorHAnsi" w:hAnsiTheme="minorHAnsi" w:cs="Calibri-BoldItalic"/>
          <w:bCs/>
          <w:iCs/>
        </w:rPr>
        <w:t xml:space="preserve">. </w:t>
      </w:r>
      <w:r>
        <w:t>D</w:t>
      </w:r>
      <w:r w:rsidRPr="001E55B3">
        <w:t>ata in patients previously treated with a CDK4/6 inhibitor in association with ET are limited</w:t>
      </w:r>
      <w:r w:rsidR="0096596E">
        <w:t>.</w:t>
      </w:r>
    </w:p>
    <w:p w14:paraId="29847C16" w14:textId="77777777" w:rsidR="00C22B8B" w:rsidRDefault="00C22B8B" w:rsidP="00C22B8B">
      <w:r w:rsidRPr="001E55B3">
        <w:t xml:space="preserve">Treatment with </w:t>
      </w:r>
      <w:proofErr w:type="spellStart"/>
      <w:r w:rsidRPr="001E55B3">
        <w:t>alpelisib</w:t>
      </w:r>
      <w:proofErr w:type="spellEnd"/>
      <w:r w:rsidRPr="001E55B3">
        <w:t xml:space="preserve"> and </w:t>
      </w:r>
      <w:proofErr w:type="spellStart"/>
      <w:r w:rsidRPr="001E55B3">
        <w:t>fulvestrant</w:t>
      </w:r>
      <w:proofErr w:type="spellEnd"/>
      <w:r w:rsidRPr="001E55B3">
        <w:t xml:space="preserve"> is associated with considerable toxicity, but in the context of advanced </w:t>
      </w:r>
      <w:r>
        <w:t xml:space="preserve">or metastatic </w:t>
      </w:r>
      <w:r w:rsidRPr="001E55B3">
        <w:t xml:space="preserve">breast </w:t>
      </w:r>
      <w:proofErr w:type="gramStart"/>
      <w:r w:rsidRPr="001E55B3">
        <w:t>cancer which</w:t>
      </w:r>
      <w:proofErr w:type="gramEnd"/>
      <w:r w:rsidRPr="001E55B3">
        <w:t xml:space="preserve"> has progressed </w:t>
      </w:r>
      <w:r>
        <w:t>following</w:t>
      </w:r>
      <w:r w:rsidRPr="001E55B3">
        <w:t xml:space="preserve"> prior ET, the </w:t>
      </w:r>
      <w:r>
        <w:t xml:space="preserve">overall </w:t>
      </w:r>
      <w:r w:rsidRPr="001E55B3">
        <w:t xml:space="preserve">benefit-risk of </w:t>
      </w:r>
      <w:proofErr w:type="spellStart"/>
      <w:r w:rsidRPr="001E55B3">
        <w:t>alpelisib</w:t>
      </w:r>
      <w:proofErr w:type="spellEnd"/>
      <w:r w:rsidRPr="001E55B3">
        <w:t xml:space="preserve"> in combination with </w:t>
      </w:r>
      <w:proofErr w:type="spellStart"/>
      <w:r w:rsidRPr="001E55B3">
        <w:t>fulvestrant</w:t>
      </w:r>
      <w:proofErr w:type="spellEnd"/>
      <w:r w:rsidRPr="001E55B3">
        <w:t xml:space="preserve"> is favourable.</w:t>
      </w:r>
    </w:p>
    <w:p w14:paraId="5A99119C" w14:textId="77777777" w:rsidR="00C22B8B" w:rsidRPr="001E55B3" w:rsidRDefault="00C22B8B" w:rsidP="00C22B8B">
      <w:r>
        <w:t>There are no outstanding clinical questions requiring expert advice.</w:t>
      </w:r>
    </w:p>
    <w:p w14:paraId="3D4581A9" w14:textId="6D9FCB83" w:rsidR="00C22B8B" w:rsidRDefault="00C22B8B" w:rsidP="00C22B8B">
      <w:pPr>
        <w:pStyle w:val="Heading4"/>
        <w:spacing w:before="240"/>
      </w:pPr>
      <w:r>
        <w:t>Proposed conditions of registration</w:t>
      </w:r>
    </w:p>
    <w:p w14:paraId="601433A1" w14:textId="5FFB1855" w:rsidR="00C22B8B" w:rsidRDefault="00C22B8B" w:rsidP="00AF1063">
      <w:pPr>
        <w:pStyle w:val="ListBullet"/>
      </w:pPr>
      <w:r w:rsidRPr="00DD5652">
        <w:t xml:space="preserve">Submit the final clinical study report for </w:t>
      </w:r>
      <w:r w:rsidR="004611AE">
        <w:t xml:space="preserve">the </w:t>
      </w:r>
      <w:r w:rsidRPr="00DD5652">
        <w:t>SOLAR-1</w:t>
      </w:r>
      <w:r w:rsidR="004611AE">
        <w:t xml:space="preserve"> trial</w:t>
      </w:r>
      <w:r w:rsidRPr="00DD5652">
        <w:t xml:space="preserve"> when available.</w:t>
      </w:r>
    </w:p>
    <w:p w14:paraId="04D5A763" w14:textId="74186BAA" w:rsidR="008D5C0A" w:rsidRDefault="008D5C0A" w:rsidP="008D5C0A">
      <w:pPr>
        <w:pStyle w:val="ListBullet"/>
        <w:numPr>
          <w:ilvl w:val="0"/>
          <w:numId w:val="0"/>
        </w:numPr>
      </w:pPr>
      <w:r>
        <w:t>The above condition is in addition to those provided by the RMP evaluator, as outlined in the Section ‘Recommended conditions of registration’, above.</w:t>
      </w:r>
    </w:p>
    <w:p w14:paraId="6E96E801" w14:textId="3202AC9F" w:rsidR="008E7846" w:rsidRDefault="008E7846" w:rsidP="008E7846">
      <w:pPr>
        <w:pStyle w:val="Heading4"/>
      </w:pPr>
      <w:r>
        <w:lastRenderedPageBreak/>
        <w:t xml:space="preserve">Advisory Committee </w:t>
      </w:r>
      <w:r w:rsidR="004E5250">
        <w:t>c</w:t>
      </w:r>
      <w:r>
        <w:t>onsiderations</w:t>
      </w:r>
      <w:r w:rsidR="00456765">
        <w:rPr>
          <w:rStyle w:val="FootnoteReference"/>
        </w:rPr>
        <w:footnoteReference w:id="21"/>
      </w:r>
    </w:p>
    <w:p w14:paraId="672AF37F" w14:textId="1D4C66D6" w:rsidR="00456765" w:rsidRPr="00A322B3" w:rsidRDefault="00456765" w:rsidP="008E7846">
      <w:r>
        <w:rPr>
          <w:bCs/>
        </w:rPr>
        <w:t>The Delegate did not refer this applicati</w:t>
      </w:r>
      <w:r w:rsidR="004A08F3">
        <w:rPr>
          <w:bCs/>
        </w:rPr>
        <w:t>on to the Advisory Committee on</w:t>
      </w:r>
      <w:r>
        <w:rPr>
          <w:bCs/>
        </w:rPr>
        <w:t xml:space="preserve"> Medicines (ACM) for advice.</w:t>
      </w:r>
    </w:p>
    <w:p w14:paraId="75CC2B5F" w14:textId="77777777" w:rsidR="008E7846" w:rsidRPr="002E238E" w:rsidRDefault="008E7846" w:rsidP="008E7846">
      <w:pPr>
        <w:pStyle w:val="Heading3"/>
      </w:pPr>
      <w:bookmarkStart w:id="60" w:name="_Toc247691532"/>
      <w:bookmarkStart w:id="61" w:name="_Toc314842516"/>
      <w:bookmarkStart w:id="62" w:name="_Toc48147466"/>
      <w:bookmarkEnd w:id="32"/>
      <w:bookmarkEnd w:id="57"/>
      <w:bookmarkEnd w:id="58"/>
      <w:r>
        <w:t>Outcome</w:t>
      </w:r>
      <w:bookmarkEnd w:id="60"/>
      <w:bookmarkEnd w:id="61"/>
      <w:bookmarkEnd w:id="62"/>
    </w:p>
    <w:p w14:paraId="34A8CC5B" w14:textId="4D0ACF7E" w:rsidR="00D23139" w:rsidRPr="00D23139" w:rsidRDefault="00D23139" w:rsidP="00D23139">
      <w:bookmarkStart w:id="63" w:name="_Toc247691533"/>
      <w:bookmarkStart w:id="64" w:name="_Toc314842517"/>
      <w:r w:rsidRPr="00D23139">
        <w:t xml:space="preserve">Based on a review of quality, safety and efficacy, </w:t>
      </w:r>
      <w:r w:rsidR="004611AE">
        <w:t xml:space="preserve">the </w:t>
      </w:r>
      <w:r w:rsidRPr="00D23139">
        <w:t>TGA approved the registra</w:t>
      </w:r>
      <w:r w:rsidR="00D720A9">
        <w:t xml:space="preserve">tion of </w:t>
      </w:r>
      <w:proofErr w:type="spellStart"/>
      <w:r w:rsidR="00DB0A59">
        <w:t>Piqray</w:t>
      </w:r>
      <w:proofErr w:type="spellEnd"/>
      <w:r w:rsidR="00DB0A59">
        <w:rPr>
          <w:rFonts w:eastAsiaTheme="minorHAnsi" w:cs="Cambria"/>
        </w:rPr>
        <w:t xml:space="preserve"> (</w:t>
      </w:r>
      <w:proofErr w:type="spellStart"/>
      <w:r w:rsidR="00DB0A59">
        <w:rPr>
          <w:rFonts w:eastAsiaTheme="minorHAnsi" w:cs="Cambria"/>
        </w:rPr>
        <w:t>alpelisib</w:t>
      </w:r>
      <w:proofErr w:type="spellEnd"/>
      <w:r w:rsidR="00DB0A59">
        <w:rPr>
          <w:rFonts w:eastAsiaTheme="minorHAnsi" w:cs="Cambria"/>
        </w:rPr>
        <w:t>) 200 mg, 250 mg and 300 mg daily dose blisters,</w:t>
      </w:r>
      <w:r w:rsidRPr="00D23139">
        <w:t xml:space="preserve"> indicated </w:t>
      </w:r>
      <w:proofErr w:type="gramStart"/>
      <w:r w:rsidRPr="00D23139">
        <w:t>for</w:t>
      </w:r>
      <w:proofErr w:type="gramEnd"/>
      <w:r w:rsidRPr="00D23139">
        <w:t>:</w:t>
      </w:r>
    </w:p>
    <w:p w14:paraId="0ACB1EB7" w14:textId="6526A958" w:rsidR="00D23139" w:rsidRPr="00DB0A59" w:rsidRDefault="00DB0A59" w:rsidP="00DB0A59">
      <w:pPr>
        <w:ind w:left="720"/>
        <w:rPr>
          <w:i/>
        </w:rPr>
      </w:pPr>
      <w:proofErr w:type="spellStart"/>
      <w:r w:rsidRPr="00DB0A59">
        <w:rPr>
          <w:i/>
        </w:rPr>
        <w:t>Piqray</w:t>
      </w:r>
      <w:proofErr w:type="spellEnd"/>
      <w:r w:rsidRPr="00DB0A59">
        <w:rPr>
          <w:i/>
        </w:rPr>
        <w:t xml:space="preserve"> in combination with </w:t>
      </w:r>
      <w:proofErr w:type="spellStart"/>
      <w:r w:rsidRPr="00DB0A59">
        <w:rPr>
          <w:i/>
        </w:rPr>
        <w:t>fulvestrant</w:t>
      </w:r>
      <w:proofErr w:type="spellEnd"/>
      <w:r w:rsidRPr="00DB0A59">
        <w:rPr>
          <w:i/>
        </w:rPr>
        <w:t>, is indicated for the treatment of postmenopausal women, and men, with hormone receptor positive, HER2-negative, advanced or metastatic breast cancer with a PIK3CA mutation as detected by a validated test following progression on or after an endocrine-based regimen.</w:t>
      </w:r>
    </w:p>
    <w:p w14:paraId="2D661864" w14:textId="77777777" w:rsidR="00D23139" w:rsidRPr="00D23139" w:rsidRDefault="00D23139" w:rsidP="00D23139">
      <w:pPr>
        <w:pStyle w:val="Heading4"/>
      </w:pPr>
      <w:r w:rsidRPr="00D23139">
        <w:t>Specific conditions of registration applying to these goods</w:t>
      </w:r>
    </w:p>
    <w:p w14:paraId="550F9D03" w14:textId="45DD62A3" w:rsidR="002D3C1E" w:rsidRPr="00AF1063" w:rsidRDefault="002D3C1E" w:rsidP="00AF1063">
      <w:pPr>
        <w:pStyle w:val="ListBullet"/>
      </w:pPr>
      <w:proofErr w:type="spellStart"/>
      <w:r>
        <w:t>P</w:t>
      </w:r>
      <w:r w:rsidR="00085335">
        <w:t>iqray</w:t>
      </w:r>
      <w:proofErr w:type="spellEnd"/>
      <w:r>
        <w:t xml:space="preserve"> (</w:t>
      </w:r>
      <w:proofErr w:type="spellStart"/>
      <w:r>
        <w:t>alpelisib</w:t>
      </w:r>
      <w:proofErr w:type="spellEnd"/>
      <w:r>
        <w:t>) is to be included in the Black Triangle Scheme. The PI and CMI for</w:t>
      </w:r>
      <w:r w:rsidR="00AF1063">
        <w:t xml:space="preserve"> </w:t>
      </w:r>
      <w:proofErr w:type="spellStart"/>
      <w:r w:rsidRPr="00AF1063">
        <w:rPr>
          <w:rFonts w:eastAsiaTheme="minorHAnsi" w:cs="Cambria"/>
        </w:rPr>
        <w:t>P</w:t>
      </w:r>
      <w:r w:rsidR="00085335" w:rsidRPr="00AF1063">
        <w:rPr>
          <w:rFonts w:eastAsiaTheme="minorHAnsi" w:cs="Cambria"/>
        </w:rPr>
        <w:t>iqray</w:t>
      </w:r>
      <w:proofErr w:type="spellEnd"/>
      <w:r w:rsidRPr="00AF1063">
        <w:rPr>
          <w:rFonts w:eastAsiaTheme="minorHAnsi" w:cs="Cambria"/>
        </w:rPr>
        <w:t xml:space="preserve"> must include the black triangle symbol and mandatory accompanying text for</w:t>
      </w:r>
      <w:r w:rsidR="00AF1063">
        <w:rPr>
          <w:rFonts w:eastAsiaTheme="minorHAnsi" w:cs="Cambria"/>
        </w:rPr>
        <w:t xml:space="preserve"> </w:t>
      </w:r>
      <w:r w:rsidRPr="00AF1063">
        <w:rPr>
          <w:rFonts w:eastAsiaTheme="minorHAnsi" w:cs="Cambria"/>
        </w:rPr>
        <w:t>five years, which starts from the date that the sponsor notifies the TGA of supply of the</w:t>
      </w:r>
      <w:r w:rsidR="00AF1063">
        <w:rPr>
          <w:rFonts w:eastAsiaTheme="minorHAnsi" w:cs="Cambria"/>
        </w:rPr>
        <w:t xml:space="preserve"> </w:t>
      </w:r>
      <w:r w:rsidRPr="00AF1063">
        <w:rPr>
          <w:rFonts w:eastAsiaTheme="minorHAnsi" w:cs="Cambria"/>
        </w:rPr>
        <w:t>product.</w:t>
      </w:r>
    </w:p>
    <w:p w14:paraId="1FAD0841" w14:textId="4A3E44BA" w:rsidR="002D3C1E" w:rsidRPr="00D53524" w:rsidRDefault="002D3C1E" w:rsidP="00D53524">
      <w:pPr>
        <w:pStyle w:val="ListBullet"/>
      </w:pPr>
      <w:r>
        <w:t xml:space="preserve">The </w:t>
      </w:r>
      <w:proofErr w:type="spellStart"/>
      <w:r>
        <w:t>P</w:t>
      </w:r>
      <w:r w:rsidR="00085335">
        <w:t>iqray</w:t>
      </w:r>
      <w:proofErr w:type="spellEnd"/>
      <w:r w:rsidR="00400E08">
        <w:t xml:space="preserve"> EU-RMP</w:t>
      </w:r>
      <w:r>
        <w:t xml:space="preserve"> (version 1.0, dated 04 December 2018,</w:t>
      </w:r>
      <w:r w:rsidR="00AF1063">
        <w:t xml:space="preserve"> </w:t>
      </w:r>
      <w:r w:rsidR="008D5C0A">
        <w:rPr>
          <w:rFonts w:eastAsiaTheme="minorHAnsi" w:cs="Cambria"/>
        </w:rPr>
        <w:t>DLP</w:t>
      </w:r>
      <w:r w:rsidRPr="00AF1063">
        <w:rPr>
          <w:rFonts w:eastAsiaTheme="minorHAnsi" w:cs="Cambria"/>
        </w:rPr>
        <w:t xml:space="preserve"> 12 June 2018)</w:t>
      </w:r>
      <w:r w:rsidR="00400E08">
        <w:rPr>
          <w:rFonts w:eastAsiaTheme="minorHAnsi" w:cs="Cambria"/>
        </w:rPr>
        <w:t>, with ASA</w:t>
      </w:r>
      <w:r w:rsidRPr="00AF1063">
        <w:rPr>
          <w:rFonts w:eastAsiaTheme="minorHAnsi" w:cs="Cambria"/>
        </w:rPr>
        <w:t xml:space="preserve"> (version 1.0, dated 07</w:t>
      </w:r>
      <w:r w:rsidR="00D53524">
        <w:rPr>
          <w:rFonts w:eastAsiaTheme="minorHAnsi" w:cs="Cambria"/>
        </w:rPr>
        <w:t xml:space="preserve"> </w:t>
      </w:r>
      <w:r w:rsidRPr="00D53524">
        <w:rPr>
          <w:rFonts w:eastAsiaTheme="minorHAnsi" w:cs="Cambria"/>
        </w:rPr>
        <w:t>February 2019),</w:t>
      </w:r>
      <w:r w:rsidR="00400E08">
        <w:rPr>
          <w:rFonts w:eastAsiaTheme="minorHAnsi" w:cs="Cambria"/>
        </w:rPr>
        <w:t xml:space="preserve"> included with submission PM</w:t>
      </w:r>
      <w:r w:rsidR="004611AE">
        <w:rPr>
          <w:rFonts w:eastAsiaTheme="minorHAnsi" w:cs="Cambria"/>
        </w:rPr>
        <w:noBreakHyphen/>
      </w:r>
      <w:r w:rsidR="00400E08">
        <w:rPr>
          <w:rFonts w:eastAsiaTheme="minorHAnsi" w:cs="Cambria"/>
        </w:rPr>
        <w:t>2019</w:t>
      </w:r>
      <w:r w:rsidR="004611AE">
        <w:rPr>
          <w:rFonts w:eastAsiaTheme="minorHAnsi" w:cs="Cambria"/>
        </w:rPr>
        <w:noBreakHyphen/>
      </w:r>
      <w:r w:rsidR="00400E08">
        <w:rPr>
          <w:rFonts w:eastAsiaTheme="minorHAnsi" w:cs="Cambria"/>
        </w:rPr>
        <w:t>00401-1-4</w:t>
      </w:r>
      <w:r w:rsidRPr="00D53524">
        <w:rPr>
          <w:rFonts w:eastAsiaTheme="minorHAnsi" w:cs="Cambria"/>
        </w:rPr>
        <w:t>, a</w:t>
      </w:r>
      <w:r w:rsidR="00AF1063" w:rsidRPr="00D53524">
        <w:rPr>
          <w:rFonts w:eastAsiaTheme="minorHAnsi" w:cs="Cambria"/>
        </w:rPr>
        <w:t xml:space="preserve">nd any subsequent revisions, as </w:t>
      </w:r>
      <w:r w:rsidRPr="00D53524">
        <w:rPr>
          <w:rFonts w:eastAsiaTheme="minorHAnsi" w:cs="Cambria"/>
        </w:rPr>
        <w:t>agreed with the TGA will be implemented in Australia.</w:t>
      </w:r>
    </w:p>
    <w:p w14:paraId="1E0157EC" w14:textId="4DF60EDD" w:rsidR="002D3C1E" w:rsidRPr="00AF1063" w:rsidRDefault="002D3C1E" w:rsidP="00D53524">
      <w:pPr>
        <w:pStyle w:val="ListBullet"/>
        <w:numPr>
          <w:ilvl w:val="0"/>
          <w:numId w:val="0"/>
        </w:numPr>
        <w:ind w:left="360"/>
      </w:pPr>
      <w:r>
        <w:t>An obligatory component of risk management plans is routine pharmacovigilance.</w:t>
      </w:r>
      <w:r w:rsidR="00AF1063">
        <w:t xml:space="preserve"> </w:t>
      </w:r>
      <w:r>
        <w:t>Routine pharmacovigilance includes the submission o</w:t>
      </w:r>
      <w:r w:rsidR="008D5C0A">
        <w:t>f PSURs</w:t>
      </w:r>
      <w:r>
        <w:t>.</w:t>
      </w:r>
    </w:p>
    <w:p w14:paraId="60323673" w14:textId="653F19E5" w:rsidR="002D3C1E" w:rsidRDefault="002D3C1E" w:rsidP="00D53524">
      <w:pPr>
        <w:pStyle w:val="ListBullet"/>
        <w:numPr>
          <w:ilvl w:val="0"/>
          <w:numId w:val="0"/>
        </w:numPr>
        <w:ind w:left="360"/>
      </w:pPr>
      <w:r>
        <w:t>Unless agreed separately between the supplier who is th</w:t>
      </w:r>
      <w:r w:rsidR="00AF1063">
        <w:t xml:space="preserve">e recipient of the approval and </w:t>
      </w:r>
      <w:r>
        <w:t xml:space="preserve">the TGA, the first report </w:t>
      </w:r>
      <w:proofErr w:type="gramStart"/>
      <w:r>
        <w:t>must be submitted</w:t>
      </w:r>
      <w:proofErr w:type="gramEnd"/>
      <w:r>
        <w:t xml:space="preserve"> to TGA n</w:t>
      </w:r>
      <w:r w:rsidR="00AF1063">
        <w:t xml:space="preserve">o later than 15 calendar months </w:t>
      </w:r>
      <w:r>
        <w:t>after the date of this approval letter. The subsequent re</w:t>
      </w:r>
      <w:r w:rsidR="00AF1063">
        <w:t xml:space="preserve">ports </w:t>
      </w:r>
      <w:proofErr w:type="gramStart"/>
      <w:r w:rsidR="00AF1063">
        <w:t>must be submitted</w:t>
      </w:r>
      <w:proofErr w:type="gramEnd"/>
      <w:r w:rsidR="00AF1063">
        <w:t xml:space="preserve"> no less </w:t>
      </w:r>
      <w:r>
        <w:t>frequently than annually from the date of the first su</w:t>
      </w:r>
      <w:r w:rsidR="00AF1063">
        <w:t xml:space="preserve">bmitted report until the period </w:t>
      </w:r>
      <w:r>
        <w:t>covered by such reports is not less than three years from th</w:t>
      </w:r>
      <w:r w:rsidR="00AF1063">
        <w:t xml:space="preserve">e date of this approval letter. </w:t>
      </w:r>
      <w:r>
        <w:t xml:space="preserve">The annual submission </w:t>
      </w:r>
      <w:proofErr w:type="gramStart"/>
      <w:r>
        <w:t>may be made up</w:t>
      </w:r>
      <w:proofErr w:type="gramEnd"/>
      <w:r>
        <w:t xml:space="preserve"> of two PSURs e</w:t>
      </w:r>
      <w:r w:rsidR="00AF1063">
        <w:t xml:space="preserve">ach covering six months. If the </w:t>
      </w:r>
      <w:r>
        <w:t xml:space="preserve">sponsor wishes, the six monthly reports </w:t>
      </w:r>
      <w:proofErr w:type="gramStart"/>
      <w:r>
        <w:t>may be subm</w:t>
      </w:r>
      <w:r w:rsidR="00AF1063">
        <w:t>itted</w:t>
      </w:r>
      <w:proofErr w:type="gramEnd"/>
      <w:r w:rsidR="00AF1063">
        <w:t xml:space="preserve"> separately as they become </w:t>
      </w:r>
      <w:r>
        <w:t>available.</w:t>
      </w:r>
    </w:p>
    <w:p w14:paraId="16AEF51A" w14:textId="61A0B408" w:rsidR="002D3C1E" w:rsidRDefault="002D3C1E" w:rsidP="00D53524">
      <w:pPr>
        <w:pStyle w:val="ListBullet"/>
        <w:numPr>
          <w:ilvl w:val="0"/>
          <w:numId w:val="0"/>
        </w:numPr>
        <w:ind w:left="360"/>
        <w:rPr>
          <w:rFonts w:eastAsiaTheme="minorHAnsi" w:cs="Cambria"/>
        </w:rPr>
      </w:pPr>
      <w:r>
        <w:rPr>
          <w:rFonts w:eastAsiaTheme="minorHAnsi" w:cs="Cambria"/>
        </w:rPr>
        <w:t xml:space="preserve">The reports are </w:t>
      </w:r>
      <w:proofErr w:type="gramStart"/>
      <w:r>
        <w:rPr>
          <w:rFonts w:eastAsiaTheme="minorHAnsi" w:cs="Cambria"/>
        </w:rPr>
        <w:t>to at least meet</w:t>
      </w:r>
      <w:proofErr w:type="gramEnd"/>
      <w:r>
        <w:rPr>
          <w:rFonts w:eastAsiaTheme="minorHAnsi" w:cs="Cambria"/>
        </w:rPr>
        <w:t xml:space="preserve"> the requirement</w:t>
      </w:r>
      <w:r w:rsidR="00AF1063">
        <w:rPr>
          <w:rFonts w:eastAsiaTheme="minorHAnsi" w:cs="Cambria"/>
        </w:rPr>
        <w:t xml:space="preserve">s for PSURs as described in the </w:t>
      </w:r>
      <w:r>
        <w:rPr>
          <w:rFonts w:eastAsiaTheme="minorHAnsi" w:cs="Cambria"/>
        </w:rPr>
        <w:t>European Medicin</w:t>
      </w:r>
      <w:r w:rsidR="008D5C0A">
        <w:rPr>
          <w:rFonts w:eastAsiaTheme="minorHAnsi" w:cs="Cambria"/>
        </w:rPr>
        <w:t>es Agency’s Guideline on G</w:t>
      </w:r>
      <w:r>
        <w:rPr>
          <w:rFonts w:eastAsiaTheme="minorHAnsi" w:cs="Cambria"/>
        </w:rPr>
        <w:t xml:space="preserve">ood </w:t>
      </w:r>
      <w:r w:rsidR="008D5C0A">
        <w:rPr>
          <w:rFonts w:eastAsiaTheme="minorHAnsi" w:cs="Cambria"/>
        </w:rPr>
        <w:t xml:space="preserve">Pharmacovigilance Practices </w:t>
      </w:r>
      <w:r w:rsidR="00AF1063">
        <w:rPr>
          <w:rFonts w:eastAsiaTheme="minorHAnsi" w:cs="Cambria"/>
        </w:rPr>
        <w:t>(</w:t>
      </w:r>
      <w:r w:rsidR="008D5C0A">
        <w:rPr>
          <w:rFonts w:eastAsiaTheme="minorHAnsi" w:cs="Cambria"/>
        </w:rPr>
        <w:t>GVP)</w:t>
      </w:r>
      <w:r w:rsidR="00AF1063">
        <w:rPr>
          <w:rFonts w:eastAsiaTheme="minorHAnsi" w:cs="Cambria"/>
        </w:rPr>
        <w:t xml:space="preserve"> </w:t>
      </w:r>
      <w:r>
        <w:rPr>
          <w:rFonts w:eastAsiaTheme="minorHAnsi" w:cs="Cambria"/>
        </w:rPr>
        <w:t xml:space="preserve">Module VII-periodic safety update report (Rev 1), Part </w:t>
      </w:r>
      <w:r w:rsidR="00AF1063">
        <w:rPr>
          <w:rFonts w:eastAsiaTheme="minorHAnsi" w:cs="Cambria"/>
        </w:rPr>
        <w:t xml:space="preserve">VII.B Structures and processes. </w:t>
      </w:r>
      <w:r>
        <w:rPr>
          <w:rFonts w:eastAsiaTheme="minorHAnsi" w:cs="Cambria"/>
        </w:rPr>
        <w:t>Note that submission of a PSUR does not consti</w:t>
      </w:r>
      <w:r w:rsidR="00AF1063">
        <w:rPr>
          <w:rFonts w:eastAsiaTheme="minorHAnsi" w:cs="Cambria"/>
        </w:rPr>
        <w:t xml:space="preserve">tute an application to vary the </w:t>
      </w:r>
      <w:r>
        <w:rPr>
          <w:rFonts w:eastAsiaTheme="minorHAnsi" w:cs="Cambria"/>
        </w:rPr>
        <w:t>registration. Each report must have been prepared wit</w:t>
      </w:r>
      <w:r w:rsidR="00AF1063">
        <w:rPr>
          <w:rFonts w:eastAsiaTheme="minorHAnsi" w:cs="Cambria"/>
        </w:rPr>
        <w:t xml:space="preserve">hin ninety calendar days of the </w:t>
      </w:r>
      <w:r>
        <w:rPr>
          <w:rFonts w:eastAsiaTheme="minorHAnsi" w:cs="Cambria"/>
        </w:rPr>
        <w:t>data lock point for that report.</w:t>
      </w:r>
    </w:p>
    <w:p w14:paraId="50FDB14C" w14:textId="4E1F17D0" w:rsidR="002D3C1E" w:rsidRDefault="002D3C1E" w:rsidP="00AF1063">
      <w:pPr>
        <w:pStyle w:val="ListBullet"/>
      </w:pPr>
      <w:r>
        <w:t>Submit the final clinical study report for</w:t>
      </w:r>
      <w:r w:rsidR="004611AE">
        <w:t xml:space="preserve"> the</w:t>
      </w:r>
      <w:r>
        <w:t xml:space="preserve"> SOLAR-1 </w:t>
      </w:r>
      <w:r w:rsidR="004611AE">
        <w:t xml:space="preserve">trial </w:t>
      </w:r>
      <w:r>
        <w:t>when available.</w:t>
      </w:r>
    </w:p>
    <w:p w14:paraId="695E94B5" w14:textId="1DA0D571" w:rsidR="00AF1063" w:rsidRPr="008D5C0A" w:rsidRDefault="002D3C1E" w:rsidP="002D3C1E">
      <w:pPr>
        <w:pStyle w:val="ListBullet"/>
      </w:pPr>
      <w:r>
        <w:lastRenderedPageBreak/>
        <w:t>Assessment of the transport potential for BSEP, MATE1 and MRP2 in the liver system is</w:t>
      </w:r>
      <w:r w:rsidR="00AF1063">
        <w:t xml:space="preserve"> </w:t>
      </w:r>
      <w:r w:rsidRPr="00AF1063">
        <w:rPr>
          <w:rFonts w:eastAsiaTheme="minorHAnsi" w:cs="Cambria"/>
        </w:rPr>
        <w:t xml:space="preserve">to </w:t>
      </w:r>
      <w:proofErr w:type="gramStart"/>
      <w:r w:rsidRPr="00AF1063">
        <w:rPr>
          <w:rFonts w:eastAsiaTheme="minorHAnsi" w:cs="Cambria"/>
        </w:rPr>
        <w:t>be performed</w:t>
      </w:r>
      <w:proofErr w:type="gramEnd"/>
      <w:r w:rsidRPr="00AF1063">
        <w:rPr>
          <w:rFonts w:eastAsiaTheme="minorHAnsi" w:cs="Cambria"/>
        </w:rPr>
        <w:t xml:space="preserve"> as a post-marketing commitment.</w:t>
      </w:r>
    </w:p>
    <w:p w14:paraId="37BC4357" w14:textId="11AB84D3" w:rsidR="008E7846" w:rsidRPr="00400E08" w:rsidRDefault="00A80B5B" w:rsidP="00D23139">
      <w:pPr>
        <w:pStyle w:val="Heading2"/>
      </w:pPr>
      <w:bookmarkStart w:id="65" w:name="_Toc48147467"/>
      <w:r w:rsidRPr="00400E08">
        <w:t xml:space="preserve">Attachment 1. </w:t>
      </w:r>
      <w:r w:rsidR="008E7846" w:rsidRPr="00400E08">
        <w:t xml:space="preserve">Product </w:t>
      </w:r>
      <w:r w:rsidR="00AA0ED0" w:rsidRPr="00400E08">
        <w:t>I</w:t>
      </w:r>
      <w:r w:rsidR="008E7846" w:rsidRPr="00400E08">
        <w:t>nformation</w:t>
      </w:r>
      <w:bookmarkEnd w:id="63"/>
      <w:bookmarkEnd w:id="64"/>
      <w:bookmarkEnd w:id="65"/>
    </w:p>
    <w:p w14:paraId="2A985ED6" w14:textId="3EA2851D" w:rsidR="00291957" w:rsidRPr="00E2429A" w:rsidRDefault="006136D7" w:rsidP="00E2429A">
      <w:pPr>
        <w:rPr>
          <w:color w:val="000000"/>
          <w:lang w:eastAsia="en-AU"/>
        </w:rPr>
      </w:pPr>
      <w:r w:rsidRPr="00400E08">
        <w:t xml:space="preserve">The PI for </w:t>
      </w:r>
      <w:proofErr w:type="spellStart"/>
      <w:r w:rsidR="00400E08" w:rsidRPr="00400E08">
        <w:t>Piqray</w:t>
      </w:r>
      <w:proofErr w:type="spellEnd"/>
      <w:r w:rsidRPr="002B3624">
        <w:t xml:space="preserve"> </w:t>
      </w:r>
      <w:r>
        <w:t xml:space="preserve">approved with the </w:t>
      </w:r>
      <w:proofErr w:type="gramStart"/>
      <w:r>
        <w:t xml:space="preserve">submission which is described in </w:t>
      </w:r>
      <w:r w:rsidRPr="002B3624">
        <w:t>this AusPAR</w:t>
      </w:r>
      <w:proofErr w:type="gram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5" w:history="1">
        <w:r w:rsidR="007C6B9B" w:rsidRPr="007C6B9B">
          <w:rPr>
            <w:rStyle w:val="Hyperlink"/>
          </w:rPr>
          <w:t>https://www.tga.gov.au/product-information-pi</w:t>
        </w:r>
      </w:hyperlink>
      <w:r w:rsidR="00400E08">
        <w:t>&gt;.</w:t>
      </w:r>
    </w:p>
    <w:p w14:paraId="327B0D3D" w14:textId="77777777" w:rsidR="00C80137" w:rsidRPr="001D043B" w:rsidRDefault="00C80137" w:rsidP="003A7F6C">
      <w:pPr>
        <w:pStyle w:val="TableTitle"/>
        <w:sectPr w:rsidR="00C80137" w:rsidRPr="001D043B"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FA75E34" w14:textId="77777777" w:rsidTr="00A05FA4">
        <w:trPr>
          <w:trHeight w:hRule="exact" w:val="704"/>
        </w:trPr>
        <w:tc>
          <w:tcPr>
            <w:tcW w:w="9175" w:type="dxa"/>
          </w:tcPr>
          <w:p w14:paraId="35B79A4D" w14:textId="77777777" w:rsidR="001C32CD" w:rsidRPr="00487162" w:rsidRDefault="001C32CD" w:rsidP="00A05FA4">
            <w:pPr>
              <w:pStyle w:val="TGASignoff"/>
            </w:pPr>
            <w:r w:rsidRPr="00487162">
              <w:lastRenderedPageBreak/>
              <w:t>Therapeutic Goods Administration</w:t>
            </w:r>
          </w:p>
        </w:tc>
      </w:tr>
      <w:tr w:rsidR="001C32CD" w:rsidRPr="004C239D" w14:paraId="13D646D7" w14:textId="77777777" w:rsidTr="00A05FA4">
        <w:trPr>
          <w:trHeight w:val="1221"/>
        </w:trPr>
        <w:tc>
          <w:tcPr>
            <w:tcW w:w="9175" w:type="dxa"/>
            <w:tcMar>
              <w:top w:w="28" w:type="dxa"/>
            </w:tcMar>
          </w:tcPr>
          <w:p w14:paraId="32D5CFC0" w14:textId="77777777" w:rsidR="001C32CD" w:rsidRPr="00487162" w:rsidRDefault="001C32CD" w:rsidP="00A05FA4">
            <w:pPr>
              <w:pStyle w:val="Address"/>
            </w:pPr>
            <w:r w:rsidRPr="00487162">
              <w:t>PO Box 100 Woden ACT 2606 Australia</w:t>
            </w:r>
          </w:p>
          <w:p w14:paraId="4F8FD0F1" w14:textId="34ED8EE4" w:rsidR="001C32CD" w:rsidRPr="00487162" w:rsidRDefault="001C32CD" w:rsidP="00A05FA4">
            <w:pPr>
              <w:pStyle w:val="Address"/>
            </w:pPr>
            <w:r w:rsidRPr="00487162">
              <w:t xml:space="preserve">Email: </w:t>
            </w:r>
            <w:hyperlink r:id="rId30" w:history="1">
              <w:r w:rsidRPr="004C239D">
                <w:rPr>
                  <w:rStyle w:val="Hyperlink"/>
                </w:rPr>
                <w:t>info@tga.gov.au</w:t>
              </w:r>
            </w:hyperlink>
            <w:r w:rsidRPr="00487162">
              <w:t xml:space="preserve">  Phone: 1800 020 653  Fax: 02 6232 8605</w:t>
            </w:r>
          </w:p>
          <w:p w14:paraId="5B4F7F5F" w14:textId="188F9A12" w:rsidR="001C32CD" w:rsidRPr="004C239D" w:rsidRDefault="008924E1" w:rsidP="00A05FA4">
            <w:pPr>
              <w:pStyle w:val="Address"/>
              <w:spacing w:line="260" w:lineRule="atLeast"/>
              <w:rPr>
                <w:b/>
                <w:color w:val="0000FF"/>
                <w:u w:val="single"/>
              </w:rPr>
            </w:pPr>
            <w:hyperlink r:id="rId31" w:history="1">
              <w:r w:rsidR="007C6B9B" w:rsidRPr="007C6B9B">
                <w:rPr>
                  <w:rStyle w:val="Hyperlink"/>
                  <w:b/>
                </w:rPr>
                <w:t>https://www.tga.gov.au</w:t>
              </w:r>
            </w:hyperlink>
          </w:p>
        </w:tc>
      </w:tr>
    </w:tbl>
    <w:p w14:paraId="1E686C17" w14:textId="77777777" w:rsidR="00774E1D" w:rsidRPr="008A5E0B" w:rsidRDefault="00774E1D" w:rsidP="004C239D"/>
    <w:sectPr w:rsidR="00774E1D" w:rsidRPr="008A5E0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2405C9" w16cid:durableId="22A5EF57"/>
  <w16cid:commentId w16cid:paraId="3BCFA6F2" w16cid:durableId="22A6DCD3"/>
  <w16cid:commentId w16cid:paraId="53FB299E" w16cid:durableId="22A5EF25"/>
  <w16cid:commentId w16cid:paraId="13016B18" w16cid:durableId="22A5EF26"/>
  <w16cid:commentId w16cid:paraId="551374CD" w16cid:durableId="22A6D847"/>
  <w16cid:commentId w16cid:paraId="7DCCAB41" w16cid:durableId="22A5EF29"/>
  <w16cid:commentId w16cid:paraId="3B513FD5" w16cid:durableId="22A5EF2A"/>
  <w16cid:commentId w16cid:paraId="460896E0" w16cid:durableId="22A5EF2B"/>
  <w16cid:commentId w16cid:paraId="0F947A5B" w16cid:durableId="22A5EF2C"/>
  <w16cid:commentId w16cid:paraId="6AD06050" w16cid:durableId="22A6DB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E559B" w14:textId="77777777" w:rsidR="0057028B" w:rsidRDefault="0057028B" w:rsidP="00C40A36">
      <w:pPr>
        <w:spacing w:after="0"/>
      </w:pPr>
      <w:r>
        <w:separator/>
      </w:r>
    </w:p>
  </w:endnote>
  <w:endnote w:type="continuationSeparator" w:id="0">
    <w:p w14:paraId="04D0A69F" w14:textId="77777777" w:rsidR="0057028B" w:rsidRDefault="0057028B" w:rsidP="00C40A36">
      <w:pPr>
        <w:spacing w:after="0"/>
      </w:pPr>
      <w:r>
        <w:continuationSeparator/>
      </w:r>
    </w:p>
  </w:endnote>
  <w:endnote w:type="continuationNotice" w:id="1">
    <w:p w14:paraId="11C4FFD1" w14:textId="77777777" w:rsidR="0057028B" w:rsidRDefault="005702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NewRoman">
    <w:altName w:val="Yu Gothic UI"/>
    <w:panose1 w:val="00000000000000000000"/>
    <w:charset w:val="00"/>
    <w:family w:val="roman"/>
    <w:notTrueType/>
    <w:pitch w:val="default"/>
    <w:sig w:usb0="00000003" w:usb1="08070000" w:usb2="00000010" w:usb3="00000000" w:csb0="00020001" w:csb1="00000000"/>
  </w:font>
  <w:font w:name="Calibri-Bold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7028B" w:rsidRPr="00487162" w14:paraId="7878C3D5" w14:textId="77777777" w:rsidTr="00DB750B">
      <w:trPr>
        <w:trHeight w:val="269"/>
      </w:trPr>
      <w:tc>
        <w:tcPr>
          <w:tcW w:w="7371" w:type="dxa"/>
          <w:tcMar>
            <w:top w:w="142" w:type="dxa"/>
            <w:bottom w:w="0" w:type="dxa"/>
          </w:tcMar>
        </w:tcPr>
        <w:p w14:paraId="446052FC" w14:textId="17ABB2ED" w:rsidR="0057028B" w:rsidRPr="00487162" w:rsidRDefault="0057028B" w:rsidP="00B16B51">
          <w:pPr>
            <w:pStyle w:val="Footer"/>
          </w:pPr>
          <w:r w:rsidRPr="00487162">
            <w:t>AusPA</w:t>
          </w:r>
          <w:r>
            <w:t xml:space="preserve">R - </w:t>
          </w:r>
          <w:r w:rsidRPr="004F56E8">
            <w:t xml:space="preserve">PIQRAY - </w:t>
          </w:r>
          <w:proofErr w:type="spellStart"/>
          <w:r w:rsidRPr="004F56E8">
            <w:t>alpelisib</w:t>
          </w:r>
          <w:proofErr w:type="spellEnd"/>
          <w:r w:rsidRPr="004F56E8">
            <w:t xml:space="preserve"> - Novartis Pharmaceuticals Australia Pty Ltd - PM-2019-00401-1-4</w:t>
          </w:r>
          <w:r>
            <w:br/>
          </w:r>
          <w:r w:rsidR="00AE4836">
            <w:t>FINAL 20</w:t>
          </w:r>
          <w:r w:rsidR="001F2BB7">
            <w:t xml:space="preserve"> August</w:t>
          </w:r>
          <w:r>
            <w:t xml:space="preserve"> 2020</w:t>
          </w:r>
        </w:p>
      </w:tc>
      <w:tc>
        <w:tcPr>
          <w:tcW w:w="1490" w:type="dxa"/>
          <w:tcMar>
            <w:top w:w="142" w:type="dxa"/>
            <w:bottom w:w="0" w:type="dxa"/>
          </w:tcMar>
        </w:tcPr>
        <w:p w14:paraId="3E5C5D6C" w14:textId="18DF48D1" w:rsidR="0057028B" w:rsidRPr="00487162" w:rsidRDefault="0057028B" w:rsidP="00DB750B">
          <w:pPr>
            <w:pStyle w:val="Footer"/>
            <w:jc w:val="right"/>
          </w:pPr>
          <w:r w:rsidRPr="00487162">
            <w:t xml:space="preserve">Page </w:t>
          </w:r>
          <w:r>
            <w:fldChar w:fldCharType="begin"/>
          </w:r>
          <w:r>
            <w:instrText xml:space="preserve"> PAGE  \* Arabic </w:instrText>
          </w:r>
          <w:r>
            <w:fldChar w:fldCharType="separate"/>
          </w:r>
          <w:r w:rsidR="008924E1">
            <w:rPr>
              <w:noProof/>
            </w:rPr>
            <w:t>21</w:t>
          </w:r>
          <w:r>
            <w:fldChar w:fldCharType="end"/>
          </w:r>
          <w:r w:rsidRPr="00487162">
            <w:t xml:space="preserve"> of </w:t>
          </w:r>
          <w:r>
            <w:fldChar w:fldCharType="begin"/>
          </w:r>
          <w:r>
            <w:instrText>NUMPAGES  \* Arabic</w:instrText>
          </w:r>
          <w:r>
            <w:fldChar w:fldCharType="separate"/>
          </w:r>
          <w:r w:rsidR="008924E1">
            <w:rPr>
              <w:noProof/>
            </w:rPr>
            <w:t>30</w:t>
          </w:r>
          <w:r>
            <w:fldChar w:fldCharType="end"/>
          </w:r>
        </w:p>
      </w:tc>
    </w:tr>
  </w:tbl>
  <w:p w14:paraId="4BFDCD25" w14:textId="77777777" w:rsidR="0057028B" w:rsidRDefault="0057028B"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7028B" w:rsidRPr="00487162" w14:paraId="40635999" w14:textId="77777777" w:rsidTr="00E45619">
      <w:trPr>
        <w:trHeight w:val="269"/>
      </w:trPr>
      <w:tc>
        <w:tcPr>
          <w:tcW w:w="4519" w:type="dxa"/>
          <w:tcBorders>
            <w:top w:val="single" w:sz="4" w:space="0" w:color="auto"/>
          </w:tcBorders>
          <w:tcMar>
            <w:top w:w="142" w:type="dxa"/>
            <w:bottom w:w="0" w:type="dxa"/>
          </w:tcMar>
        </w:tcPr>
        <w:p w14:paraId="0C78FE88" w14:textId="77777777" w:rsidR="0057028B" w:rsidRPr="00487162" w:rsidRDefault="0057028B" w:rsidP="00FE1DEE">
          <w:pPr>
            <w:pStyle w:val="Footer"/>
          </w:pPr>
          <w:r w:rsidRPr="00487162">
            <w:t>Document title, Part #, Section # - Section title</w:t>
          </w:r>
        </w:p>
        <w:p w14:paraId="18C958A3" w14:textId="77777777" w:rsidR="0057028B" w:rsidRPr="00487162" w:rsidRDefault="0057028B" w:rsidP="00FE1DEE">
          <w:pPr>
            <w:pStyle w:val="Footer"/>
          </w:pPr>
          <w:r w:rsidRPr="00487162">
            <w:t>V1.0 October 2010</w:t>
          </w:r>
        </w:p>
      </w:tc>
      <w:tc>
        <w:tcPr>
          <w:tcW w:w="4342" w:type="dxa"/>
          <w:tcBorders>
            <w:top w:val="single" w:sz="4" w:space="0" w:color="auto"/>
          </w:tcBorders>
          <w:tcMar>
            <w:top w:w="142" w:type="dxa"/>
            <w:bottom w:w="0" w:type="dxa"/>
          </w:tcMar>
        </w:tcPr>
        <w:p w14:paraId="7F5A25A6" w14:textId="77777777" w:rsidR="0057028B" w:rsidRPr="00487162" w:rsidRDefault="0057028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w:t>
          </w:r>
          <w:r>
            <w:fldChar w:fldCharType="end"/>
          </w:r>
        </w:p>
      </w:tc>
    </w:tr>
  </w:tbl>
  <w:p w14:paraId="3E712C02" w14:textId="77777777" w:rsidR="0057028B" w:rsidRDefault="005702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EAEEC" w14:textId="77777777" w:rsidR="0057028B" w:rsidRPr="001C32CD" w:rsidRDefault="0057028B"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7028B" w14:paraId="344E65C5" w14:textId="77777777" w:rsidTr="0010601F">
      <w:trPr>
        <w:trHeight w:val="108"/>
      </w:trPr>
      <w:tc>
        <w:tcPr>
          <w:tcW w:w="8875" w:type="dxa"/>
          <w:gridSpan w:val="2"/>
          <w:tcBorders>
            <w:bottom w:val="single" w:sz="4" w:space="0" w:color="auto"/>
          </w:tcBorders>
          <w:tcMar>
            <w:right w:w="284" w:type="dxa"/>
          </w:tcMar>
        </w:tcPr>
        <w:p w14:paraId="005C8E3A" w14:textId="77777777" w:rsidR="0057028B" w:rsidRDefault="0057028B" w:rsidP="006E08B3">
          <w:pPr>
            <w:pStyle w:val="Heading3"/>
          </w:pPr>
          <w:r>
            <w:t>Copyright</w:t>
          </w:r>
        </w:p>
        <w:p w14:paraId="79C90136" w14:textId="77777777" w:rsidR="0057028B" w:rsidRDefault="0057028B" w:rsidP="006E08B3">
          <w:r>
            <w:rPr>
              <w:rFonts w:cs="Arial"/>
            </w:rPr>
            <w:t>©</w:t>
          </w:r>
          <w:r>
            <w:t xml:space="preserve"> Commonwealth of Australia [add year]</w:t>
          </w:r>
        </w:p>
        <w:p w14:paraId="2F407306" w14:textId="77777777" w:rsidR="0057028B" w:rsidRDefault="0057028B" w:rsidP="006E08B3"/>
        <w:p w14:paraId="56897F86" w14:textId="77777777" w:rsidR="0057028B" w:rsidRDefault="0057028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3EE296B" w14:textId="77777777" w:rsidR="0057028B" w:rsidRDefault="0057028B" w:rsidP="006E08B3"/>
        <w:p w14:paraId="12B7E3BD" w14:textId="77777777" w:rsidR="0057028B" w:rsidRDefault="0057028B" w:rsidP="006E08B3">
          <w:pPr>
            <w:pStyle w:val="Heading3"/>
          </w:pPr>
          <w:r>
            <w:t>Confidentiality</w:t>
          </w:r>
        </w:p>
        <w:p w14:paraId="33A8727F" w14:textId="77777777" w:rsidR="0057028B" w:rsidRDefault="0057028B" w:rsidP="006E08B3">
          <w:r>
            <w:t xml:space="preserve">All submissions received </w:t>
          </w:r>
          <w:proofErr w:type="gramStart"/>
          <w:r>
            <w:t>will be placed</w:t>
          </w:r>
          <w:proofErr w:type="gramEnd"/>
          <w:r>
            <w:t xml:space="preserve"> on the TGA’s Internet site, unless marked confidential. Any confidential material contained within your submission </w:t>
          </w:r>
          <w:proofErr w:type="gramStart"/>
          <w:r>
            <w:t>should be provided</w:t>
          </w:r>
          <w:proofErr w:type="gramEnd"/>
          <w:r>
            <w:t xml:space="preserve"> under a separate cover and clearly marked “IN CONFIDENCE”. Reasons for a claim to confidentiality must be included in the space provided on the TGA submission coversheet.</w:t>
          </w:r>
        </w:p>
        <w:p w14:paraId="603D4BC0" w14:textId="77777777" w:rsidR="0057028B" w:rsidRDefault="0057028B" w:rsidP="006E08B3"/>
        <w:p w14:paraId="2A8FE7E2" w14:textId="77777777" w:rsidR="0057028B" w:rsidRDefault="0057028B" w:rsidP="006E08B3">
          <w:r>
            <w:t xml:space="preserve">For submission made by individuals, all personal details, other than your name, </w:t>
          </w:r>
          <w:proofErr w:type="gramStart"/>
          <w:r>
            <w:t>will be removed</w:t>
          </w:r>
          <w:proofErr w:type="gramEnd"/>
          <w:r>
            <w:t xml:space="preserve"> from your submission before it is published on the TGA’s Internet site.</w:t>
          </w:r>
        </w:p>
        <w:p w14:paraId="6DBF887D" w14:textId="77777777" w:rsidR="0057028B" w:rsidRDefault="0057028B" w:rsidP="006E08B3"/>
        <w:p w14:paraId="67E416DF" w14:textId="77777777" w:rsidR="0057028B" w:rsidRDefault="0057028B" w:rsidP="006E08B3">
          <w:r>
            <w:t xml:space="preserve">In addition, a list of parties making submissions </w:t>
          </w:r>
          <w:proofErr w:type="gramStart"/>
          <w:r>
            <w:t>will be published</w:t>
          </w:r>
          <w:proofErr w:type="gramEnd"/>
          <w:r>
            <w:t xml:space="preserve">. If you do not wish to be identified with your </w:t>
          </w:r>
          <w:proofErr w:type="gramStart"/>
          <w:r>
            <w:t>submission</w:t>
          </w:r>
          <w:proofErr w:type="gramEnd"/>
          <w:r>
            <w:t xml:space="preserve"> you must specifically request this in the space provided </w:t>
          </w:r>
          <w:proofErr w:type="spellStart"/>
          <w:r>
            <w:t>ib</w:t>
          </w:r>
          <w:proofErr w:type="spellEnd"/>
          <w:r>
            <w:t xml:space="preserve"> the submission coversheet.</w:t>
          </w:r>
        </w:p>
      </w:tc>
    </w:tr>
    <w:tr w:rsidR="0057028B" w14:paraId="1A26A2A1" w14:textId="77777777" w:rsidTr="0010601F">
      <w:trPr>
        <w:trHeight w:val="417"/>
      </w:trPr>
      <w:tc>
        <w:tcPr>
          <w:tcW w:w="4519" w:type="dxa"/>
          <w:tcBorders>
            <w:top w:val="single" w:sz="4" w:space="0" w:color="auto"/>
          </w:tcBorders>
          <w:tcMar>
            <w:top w:w="142" w:type="dxa"/>
            <w:bottom w:w="0" w:type="dxa"/>
          </w:tcMar>
        </w:tcPr>
        <w:p w14:paraId="3EA2FA9A" w14:textId="77777777" w:rsidR="0057028B" w:rsidRDefault="0057028B" w:rsidP="006E08B3">
          <w:r>
            <w:t>Document title, Part #, Section # - Section title</w:t>
          </w:r>
        </w:p>
        <w:p w14:paraId="0D74BD17" w14:textId="77777777" w:rsidR="0057028B" w:rsidRDefault="0057028B" w:rsidP="006E08B3">
          <w:r>
            <w:t>V1.0 October 2010</w:t>
          </w:r>
        </w:p>
      </w:tc>
      <w:tc>
        <w:tcPr>
          <w:tcW w:w="4356" w:type="dxa"/>
          <w:tcBorders>
            <w:top w:val="single" w:sz="4" w:space="0" w:color="auto"/>
          </w:tcBorders>
          <w:tcMar>
            <w:top w:w="142" w:type="dxa"/>
            <w:bottom w:w="0" w:type="dxa"/>
          </w:tcMar>
        </w:tcPr>
        <w:p w14:paraId="5286D859" w14:textId="77777777" w:rsidR="0057028B" w:rsidRDefault="0057028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w:t>
          </w:r>
          <w:r>
            <w:fldChar w:fldCharType="end"/>
          </w:r>
          <w:r>
            <w:t xml:space="preserve">  </w:t>
          </w:r>
        </w:p>
      </w:tc>
    </w:tr>
  </w:tbl>
  <w:p w14:paraId="5739BB3A" w14:textId="77777777" w:rsidR="0057028B" w:rsidRDefault="0057028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4B8C2" w14:textId="77777777" w:rsidR="0057028B" w:rsidRDefault="0057028B" w:rsidP="00C40A36">
      <w:pPr>
        <w:spacing w:after="0"/>
      </w:pPr>
      <w:r>
        <w:separator/>
      </w:r>
    </w:p>
  </w:footnote>
  <w:footnote w:type="continuationSeparator" w:id="0">
    <w:p w14:paraId="16FA35B9" w14:textId="77777777" w:rsidR="0057028B" w:rsidRDefault="0057028B" w:rsidP="00C40A36">
      <w:pPr>
        <w:spacing w:after="0"/>
      </w:pPr>
      <w:r>
        <w:continuationSeparator/>
      </w:r>
    </w:p>
  </w:footnote>
  <w:footnote w:type="continuationNotice" w:id="1">
    <w:p w14:paraId="48337B95" w14:textId="77777777" w:rsidR="0057028B" w:rsidRDefault="0057028B">
      <w:pPr>
        <w:spacing w:before="0" w:after="0" w:line="240" w:lineRule="auto"/>
      </w:pPr>
    </w:p>
  </w:footnote>
  <w:footnote w:id="2">
    <w:p w14:paraId="1B7E050E" w14:textId="0C814E2C" w:rsidR="00D46E2C" w:rsidRDefault="00D46E2C">
      <w:pPr>
        <w:pStyle w:val="FootnoteText"/>
      </w:pPr>
      <w:r>
        <w:rPr>
          <w:rStyle w:val="FootnoteReference"/>
        </w:rPr>
        <w:footnoteRef/>
      </w:r>
      <w:r>
        <w:t xml:space="preserve"> </w:t>
      </w:r>
      <w:r w:rsidRPr="00C61EC3">
        <w:t xml:space="preserve">The </w:t>
      </w:r>
      <w:r w:rsidRPr="00311E0A">
        <w:t>Black Triangle Scheme</w:t>
      </w:r>
      <w:r w:rsidRPr="00C61EC3">
        <w:t xml:space="preserve"> provides a simple means for practitioners and patients to identify certain types of new prescription medicines, including those </w:t>
      </w:r>
      <w:proofErr w:type="gramStart"/>
      <w:r w:rsidRPr="00C61EC3">
        <w:t>being used</w:t>
      </w:r>
      <w:proofErr w:type="gramEnd"/>
      <w:r w:rsidRPr="00C61EC3">
        <w:t xml:space="preserve">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164A322C" w14:textId="14C11AD5" w:rsidR="0057028B" w:rsidRPr="001F2BB7" w:rsidRDefault="0057028B">
      <w:pPr>
        <w:pStyle w:val="FootnoteText"/>
        <w:rPr>
          <w:lang w:val="en-US"/>
        </w:rPr>
      </w:pPr>
      <w:r>
        <w:rPr>
          <w:rStyle w:val="FootnoteReference"/>
        </w:rPr>
        <w:footnoteRef/>
      </w:r>
      <w:r>
        <w:t xml:space="preserve"> </w:t>
      </w:r>
      <w:r w:rsidRPr="003931DD">
        <w:t xml:space="preserve">The Surveillance, Epidemiology, and End Results (SEER) Program provides information on cancer statistics in an effort to reduce </w:t>
      </w:r>
      <w:r>
        <w:t>the cancer burden among the United States of America</w:t>
      </w:r>
      <w:r w:rsidRPr="003931DD">
        <w:t xml:space="preserve"> population. </w:t>
      </w:r>
      <w:proofErr w:type="gramStart"/>
      <w:r w:rsidRPr="003931DD">
        <w:t xml:space="preserve">SEER is supported by the Surveillance Research Program (SRP) in </w:t>
      </w:r>
      <w:r>
        <w:t>the National Cancer Institute’s</w:t>
      </w:r>
      <w:r w:rsidRPr="003931DD">
        <w:t xml:space="preserve"> Division of Cancer Control and Population Sciences (DCCPS)</w:t>
      </w:r>
      <w:proofErr w:type="gramEnd"/>
      <w:r w:rsidRPr="003931DD">
        <w:t>.</w:t>
      </w:r>
    </w:p>
  </w:footnote>
  <w:footnote w:id="4">
    <w:p w14:paraId="30361134" w14:textId="4D94E91C" w:rsidR="0057028B" w:rsidRPr="001F2BB7" w:rsidRDefault="0057028B" w:rsidP="006A5AF5">
      <w:pPr>
        <w:pStyle w:val="FootnoteText"/>
        <w:rPr>
          <w:lang w:val="fr-FR"/>
        </w:rPr>
      </w:pPr>
      <w:r w:rsidRPr="000D2FD0">
        <w:rPr>
          <w:vertAlign w:val="superscript"/>
        </w:rPr>
        <w:footnoteRef/>
      </w:r>
      <w:r>
        <w:t xml:space="preserve"> </w:t>
      </w:r>
      <w:r w:rsidRPr="004D7552">
        <w:t xml:space="preserve">Surveillance, Epidemiology, and End Results (SEER) Program. SEER*Stat Database: Breast Cancer Recent Trends in SEER Age-Adjusted Incidence Rates, 2000-2017. </w:t>
      </w:r>
      <w:proofErr w:type="spellStart"/>
      <w:r w:rsidRPr="001F2BB7">
        <w:rPr>
          <w:lang w:val="fr-FR"/>
        </w:rPr>
        <w:t>Available</w:t>
      </w:r>
      <w:proofErr w:type="spellEnd"/>
      <w:r w:rsidRPr="001F2BB7">
        <w:rPr>
          <w:lang w:val="fr-FR"/>
        </w:rPr>
        <w:t xml:space="preserve"> </w:t>
      </w:r>
      <w:proofErr w:type="spellStart"/>
      <w:r w:rsidRPr="001F2BB7">
        <w:rPr>
          <w:lang w:val="fr-FR"/>
        </w:rPr>
        <w:t>from</w:t>
      </w:r>
      <w:proofErr w:type="spellEnd"/>
      <w:r w:rsidRPr="001F2BB7">
        <w:rPr>
          <w:lang w:val="fr-FR"/>
        </w:rPr>
        <w:t> </w:t>
      </w:r>
      <w:hyperlink r:id="rId1" w:history="1">
        <w:r w:rsidRPr="001F2BB7">
          <w:rPr>
            <w:rStyle w:val="Hyperlink"/>
            <w:lang w:val="fr-FR"/>
          </w:rPr>
          <w:t>https://seer.cancer.gov/explorer/</w:t>
        </w:r>
      </w:hyperlink>
      <w:r w:rsidRPr="001F2BB7">
        <w:rPr>
          <w:lang w:val="fr-FR"/>
        </w:rPr>
        <w:t>.</w:t>
      </w:r>
    </w:p>
  </w:footnote>
  <w:footnote w:id="5">
    <w:p w14:paraId="4D57BEC5" w14:textId="011D0899" w:rsidR="0057028B" w:rsidRPr="00C66670" w:rsidRDefault="0057028B" w:rsidP="006A5AF5">
      <w:pPr>
        <w:pStyle w:val="FootnoteText"/>
      </w:pPr>
      <w:r>
        <w:rPr>
          <w:rStyle w:val="FootnoteReference"/>
        </w:rPr>
        <w:footnoteRef/>
      </w:r>
      <w:r w:rsidRPr="001F2BB7">
        <w:rPr>
          <w:lang w:val="fr-FR"/>
        </w:rPr>
        <w:t xml:space="preserve"> André F et al. </w:t>
      </w:r>
      <w:r>
        <w:t xml:space="preserve">(2019) </w:t>
      </w:r>
      <w:proofErr w:type="spellStart"/>
      <w:r>
        <w:rPr>
          <w:rStyle w:val="titledefault"/>
          <w:color w:val="1A1A1A"/>
          <w:lang w:val="en"/>
        </w:rPr>
        <w:t>Alpelisib</w:t>
      </w:r>
      <w:proofErr w:type="spellEnd"/>
      <w:r>
        <w:rPr>
          <w:rStyle w:val="titledefault"/>
          <w:color w:val="1A1A1A"/>
          <w:lang w:val="en"/>
        </w:rPr>
        <w:t xml:space="preserve"> for </w:t>
      </w:r>
      <w:r>
        <w:rPr>
          <w:rStyle w:val="titledefault"/>
          <w:i/>
          <w:iCs/>
          <w:color w:val="1A1A1A"/>
          <w:lang w:val="en"/>
        </w:rPr>
        <w:t>PIK3CA</w:t>
      </w:r>
      <w:r>
        <w:rPr>
          <w:rStyle w:val="titledefault"/>
          <w:color w:val="1A1A1A"/>
          <w:lang w:val="en"/>
        </w:rPr>
        <w:t xml:space="preserve">-mutated, hormone receptor–positive advanced breast cancer. </w:t>
      </w:r>
      <w:r w:rsidRPr="00E02CBA">
        <w:rPr>
          <w:i/>
        </w:rPr>
        <w:t xml:space="preserve">N </w:t>
      </w:r>
      <w:proofErr w:type="spellStart"/>
      <w:r w:rsidRPr="00E02CBA">
        <w:rPr>
          <w:i/>
        </w:rPr>
        <w:t>Engl</w:t>
      </w:r>
      <w:proofErr w:type="spellEnd"/>
      <w:r w:rsidRPr="00E02CBA">
        <w:rPr>
          <w:i/>
        </w:rPr>
        <w:t xml:space="preserve"> J Med</w:t>
      </w:r>
      <w:r w:rsidRPr="004D7552">
        <w:t>, 380:1929-1940</w:t>
      </w:r>
      <w:r>
        <w:t>.</w:t>
      </w:r>
    </w:p>
  </w:footnote>
  <w:footnote w:id="6">
    <w:p w14:paraId="44DFB07E" w14:textId="2AB39269" w:rsidR="0057028B" w:rsidRPr="00C66670" w:rsidRDefault="0057028B" w:rsidP="006A5AF5">
      <w:pPr>
        <w:pStyle w:val="FootnoteText"/>
      </w:pPr>
      <w:r w:rsidRPr="00C66670">
        <w:rPr>
          <w:rStyle w:val="FootnoteReference"/>
        </w:rPr>
        <w:footnoteRef/>
      </w:r>
      <w:r w:rsidRPr="00C66670">
        <w:t xml:space="preserve"> </w:t>
      </w:r>
      <w:bookmarkStart w:id="16" w:name="d7e854"/>
      <w:bookmarkEnd w:id="16"/>
      <w:r w:rsidRPr="00C66670">
        <w:t xml:space="preserve">Bachman KE et al. (2004). The </w:t>
      </w:r>
      <w:r w:rsidRPr="000D2FD0">
        <w:rPr>
          <w:i/>
        </w:rPr>
        <w:t>PIK3CA</w:t>
      </w:r>
      <w:r w:rsidRPr="00C66670">
        <w:t xml:space="preserve"> gene </w:t>
      </w:r>
      <w:proofErr w:type="gramStart"/>
      <w:r w:rsidRPr="00C66670">
        <w:t>is mutated</w:t>
      </w:r>
      <w:proofErr w:type="gramEnd"/>
      <w:r w:rsidRPr="00C66670">
        <w:t xml:space="preserve"> with high frequency in human breast cancers. </w:t>
      </w:r>
      <w:r w:rsidRPr="00C66670">
        <w:rPr>
          <w:i/>
        </w:rPr>
        <w:t xml:space="preserve">Cancer </w:t>
      </w:r>
      <w:proofErr w:type="spellStart"/>
      <w:r w:rsidRPr="00C66670">
        <w:rPr>
          <w:i/>
        </w:rPr>
        <w:t>Biol</w:t>
      </w:r>
      <w:proofErr w:type="spellEnd"/>
      <w:r w:rsidRPr="00C66670">
        <w:rPr>
          <w:i/>
        </w:rPr>
        <w:t xml:space="preserve"> </w:t>
      </w:r>
      <w:proofErr w:type="spellStart"/>
      <w:r w:rsidRPr="00C66670">
        <w:rPr>
          <w:i/>
        </w:rPr>
        <w:t>Ther</w:t>
      </w:r>
      <w:proofErr w:type="spellEnd"/>
      <w:r>
        <w:t>,</w:t>
      </w:r>
      <w:r w:rsidRPr="00C66670">
        <w:t xml:space="preserve"> 3:772–775</w:t>
      </w:r>
      <w:r>
        <w:t>.</w:t>
      </w:r>
    </w:p>
  </w:footnote>
  <w:footnote w:id="7">
    <w:p w14:paraId="7E36B31D" w14:textId="7E14F803" w:rsidR="0057028B" w:rsidRDefault="0057028B" w:rsidP="006A5AF5">
      <w:pPr>
        <w:pStyle w:val="FootnoteText"/>
      </w:pPr>
      <w:r w:rsidRPr="00C66670">
        <w:rPr>
          <w:rStyle w:val="FootnoteReference"/>
        </w:rPr>
        <w:footnoteRef/>
      </w:r>
      <w:r w:rsidRPr="00C66670">
        <w:t xml:space="preserve"> </w:t>
      </w:r>
      <w:bookmarkStart w:id="17" w:name="d7e867"/>
      <w:bookmarkEnd w:id="17"/>
      <w:r w:rsidRPr="00C66670">
        <w:t xml:space="preserve">Karakas B et al. (2006). Mutation of the </w:t>
      </w:r>
      <w:r w:rsidRPr="000D2FD0">
        <w:t>PIK3CA</w:t>
      </w:r>
      <w:r w:rsidRPr="00C66670">
        <w:t xml:space="preserve"> oncogene in human cancers. </w:t>
      </w:r>
      <w:r w:rsidRPr="000D2FD0">
        <w:rPr>
          <w:i/>
        </w:rPr>
        <w:t>Br J Cancer</w:t>
      </w:r>
      <w:r w:rsidRPr="000D2FD0">
        <w:t>,</w:t>
      </w:r>
      <w:r w:rsidRPr="00C66670">
        <w:t xml:space="preserve"> 94:455–459.</w:t>
      </w:r>
    </w:p>
  </w:footnote>
  <w:footnote w:id="8">
    <w:p w14:paraId="012A6AB3" w14:textId="23E5BA55" w:rsidR="0057028B" w:rsidRDefault="0057028B">
      <w:pPr>
        <w:pStyle w:val="FootnoteText"/>
      </w:pPr>
      <w:r>
        <w:rPr>
          <w:rStyle w:val="FootnoteReference"/>
        </w:rPr>
        <w:footnoteRef/>
      </w:r>
      <w:r>
        <w:t xml:space="preserve"> Fritsch C et al. (2014). Characterisation of the novel and specific PI3Kα inhibitor NVP-BYL719 and development of the patient stratification strategy for clinical trials. </w:t>
      </w:r>
      <w:proofErr w:type="spellStart"/>
      <w:r w:rsidRPr="000D2FD0">
        <w:rPr>
          <w:i/>
        </w:rPr>
        <w:t>Mol</w:t>
      </w:r>
      <w:proofErr w:type="spellEnd"/>
      <w:r w:rsidRPr="000D2FD0">
        <w:rPr>
          <w:i/>
        </w:rPr>
        <w:t xml:space="preserve"> Cancer </w:t>
      </w:r>
      <w:proofErr w:type="spellStart"/>
      <w:r w:rsidRPr="000D2FD0">
        <w:rPr>
          <w:i/>
        </w:rPr>
        <w:t>Ther</w:t>
      </w:r>
      <w:proofErr w:type="spellEnd"/>
      <w:r>
        <w:t>, 13:1117-29.</w:t>
      </w:r>
    </w:p>
  </w:footnote>
  <w:footnote w:id="9">
    <w:p w14:paraId="342C767A" w14:textId="248579C5" w:rsidR="0057028B" w:rsidRDefault="0057028B" w:rsidP="000D2FD0">
      <w:pPr>
        <w:pStyle w:val="FootnoteText"/>
      </w:pPr>
      <w:r w:rsidRPr="00E55648">
        <w:rPr>
          <w:rStyle w:val="FootnoteTextChar"/>
          <w:vertAlign w:val="superscript"/>
        </w:rPr>
        <w:footnoteRef/>
      </w:r>
      <w:r w:rsidRPr="00E55648">
        <w:rPr>
          <w:rStyle w:val="FootnoteTextChar"/>
          <w:vertAlign w:val="superscript"/>
        </w:rPr>
        <w:t xml:space="preserve"> </w:t>
      </w:r>
      <w:r w:rsidRPr="00C04BCD">
        <w:rPr>
          <w:rStyle w:val="FootnoteTextChar"/>
        </w:rPr>
        <w:t xml:space="preserve">Bosch A (2015). PI3K inhibition results in enhanced </w:t>
      </w:r>
      <w:proofErr w:type="spellStart"/>
      <w:r w:rsidRPr="00C04BCD">
        <w:rPr>
          <w:rStyle w:val="FootnoteTextChar"/>
        </w:rPr>
        <w:t>estrogen</w:t>
      </w:r>
      <w:proofErr w:type="spellEnd"/>
      <w:r w:rsidRPr="00C04BCD">
        <w:rPr>
          <w:rStyle w:val="FootnoteTextChar"/>
        </w:rPr>
        <w:t xml:space="preserve"> receptor function and dependence in hormone receptor-positive breast cancer. </w:t>
      </w:r>
      <w:proofErr w:type="spellStart"/>
      <w:r w:rsidRPr="00C04BCD">
        <w:rPr>
          <w:rStyle w:val="FootnoteTextChar"/>
          <w:i/>
        </w:rPr>
        <w:t>Sci</w:t>
      </w:r>
      <w:proofErr w:type="spellEnd"/>
      <w:r w:rsidRPr="00C04BCD">
        <w:rPr>
          <w:rStyle w:val="FootnoteTextChar"/>
          <w:i/>
        </w:rPr>
        <w:t xml:space="preserve"> </w:t>
      </w:r>
      <w:proofErr w:type="spellStart"/>
      <w:r w:rsidRPr="00C04BCD">
        <w:rPr>
          <w:rStyle w:val="FootnoteTextChar"/>
          <w:i/>
        </w:rPr>
        <w:t>Transl</w:t>
      </w:r>
      <w:proofErr w:type="spellEnd"/>
      <w:r w:rsidRPr="00C04BCD">
        <w:rPr>
          <w:rStyle w:val="FootnoteTextChar"/>
          <w:i/>
        </w:rPr>
        <w:t xml:space="preserve"> Med</w:t>
      </w:r>
      <w:r w:rsidRPr="00C04BCD">
        <w:rPr>
          <w:rStyle w:val="FootnoteTextChar"/>
        </w:rPr>
        <w:t xml:space="preserve">, </w:t>
      </w:r>
      <w:r>
        <w:rPr>
          <w:rStyle w:val="FootnoteTextChar"/>
        </w:rPr>
        <w:t>7 (</w:t>
      </w:r>
      <w:r w:rsidRPr="00C04BCD">
        <w:rPr>
          <w:rStyle w:val="FootnoteTextChar"/>
        </w:rPr>
        <w:t>283</w:t>
      </w:r>
      <w:r>
        <w:rPr>
          <w:rStyle w:val="FootnoteTextChar"/>
        </w:rPr>
        <w:t>),</w:t>
      </w:r>
      <w:r w:rsidRPr="00C04BCD">
        <w:rPr>
          <w:rStyle w:val="FootnoteTextChar"/>
        </w:rPr>
        <w:t xml:space="preserve"> 283ra51</w:t>
      </w:r>
      <w:r>
        <w:rPr>
          <w:rStyle w:val="FootnoteTextChar"/>
        </w:rPr>
        <w:t>.</w:t>
      </w:r>
    </w:p>
  </w:footnote>
  <w:footnote w:id="10">
    <w:p w14:paraId="3EDFE1FD" w14:textId="4EA99D46" w:rsidR="0057028B" w:rsidRDefault="0057028B">
      <w:pPr>
        <w:pStyle w:val="FootnoteText"/>
      </w:pPr>
      <w:r>
        <w:rPr>
          <w:rStyle w:val="FootnoteReference"/>
        </w:rPr>
        <w:footnoteRef/>
      </w:r>
      <w:r w:rsidR="008C0283">
        <w:t xml:space="preserve"> Australian pregnancy C</w:t>
      </w:r>
      <w:r>
        <w:t xml:space="preserve">ategory D: </w:t>
      </w:r>
      <w:proofErr w:type="gramStart"/>
      <w:r w:rsidRPr="0073039A">
        <w:t>Drugs which</w:t>
      </w:r>
      <w:proofErr w:type="gramEnd"/>
      <w:r w:rsidRPr="0073039A">
        <w:t xml:space="preserve"> have caused, are suspected to have caused or may be expected to cause, an increased incidence of human fetal malformations or irreversible damage. These drugs may also have adverse pharmacological effects. Accompanying texts </w:t>
      </w:r>
      <w:proofErr w:type="gramStart"/>
      <w:r w:rsidRPr="0073039A">
        <w:t>should be consulted</w:t>
      </w:r>
      <w:proofErr w:type="gramEnd"/>
      <w:r w:rsidRPr="0073039A">
        <w:t xml:space="preserve"> for further details.</w:t>
      </w:r>
    </w:p>
  </w:footnote>
  <w:footnote w:id="11">
    <w:p w14:paraId="33671AB6" w14:textId="037D1B55" w:rsidR="0057028B" w:rsidRPr="001F2BB7" w:rsidRDefault="0057028B">
      <w:pPr>
        <w:pStyle w:val="FootnoteText"/>
        <w:rPr>
          <w:lang w:val="en-US"/>
        </w:rPr>
      </w:pPr>
      <w:r>
        <w:rPr>
          <w:rStyle w:val="FootnoteReference"/>
        </w:rPr>
        <w:footnoteRef/>
      </w:r>
      <w:r>
        <w:t xml:space="preserve"> </w:t>
      </w:r>
      <w:r w:rsidRPr="00A84BD3">
        <w:t xml:space="preserve">A Phase III randomized </w:t>
      </w:r>
      <w:proofErr w:type="gramStart"/>
      <w:r w:rsidRPr="00A84BD3">
        <w:t>double-blind</w:t>
      </w:r>
      <w:proofErr w:type="gramEnd"/>
      <w:r w:rsidRPr="00A84BD3">
        <w:t xml:space="preserve">, placebo controlled study of </w:t>
      </w:r>
      <w:proofErr w:type="spellStart"/>
      <w:r w:rsidRPr="00A84BD3">
        <w:t>alpelisib</w:t>
      </w:r>
      <w:proofErr w:type="spellEnd"/>
      <w:r w:rsidRPr="00A84BD3">
        <w:t xml:space="preserve"> in combination with </w:t>
      </w:r>
      <w:proofErr w:type="spellStart"/>
      <w:r w:rsidRPr="00A84BD3">
        <w:t>fulvestrant</w:t>
      </w:r>
      <w:proofErr w:type="spellEnd"/>
      <w:r w:rsidRPr="00A84BD3">
        <w:t xml:space="preserve"> for men and postmenopausal women with hormone receptor positive, HER2-negative advanced breast cancer which progressed on or after aromatase inhibitor treatment (SOLAR-1</w:t>
      </w:r>
      <w:r>
        <w:t xml:space="preserve"> trial</w:t>
      </w:r>
      <w:r w:rsidRPr="00A84BD3">
        <w:t>)</w:t>
      </w:r>
      <w:r>
        <w:t xml:space="preserve">. </w:t>
      </w:r>
      <w:r w:rsidRPr="00A84BD3">
        <w:t>ClinicalTrials.gov Identifier: NCT02437318</w:t>
      </w:r>
      <w:r>
        <w:t xml:space="preserve">; </w:t>
      </w:r>
      <w:hyperlink r:id="rId2" w:history="1">
        <w:r>
          <w:rPr>
            <w:rStyle w:val="Hyperlink"/>
          </w:rPr>
          <w:t>https://clinicaltrials.gov/ct2/show/NCT02437318</w:t>
        </w:r>
      </w:hyperlink>
    </w:p>
  </w:footnote>
  <w:footnote w:id="12">
    <w:p w14:paraId="022C8497" w14:textId="77777777" w:rsidR="0057028B" w:rsidRPr="00BD271A" w:rsidRDefault="0057028B" w:rsidP="00347F32">
      <w:pPr>
        <w:pStyle w:val="FootnoteText"/>
        <w:rPr>
          <w:b/>
          <w:lang w:eastAsia="ja-JP"/>
        </w:rPr>
      </w:pPr>
      <w:r>
        <w:rPr>
          <w:rStyle w:val="FootnoteReference"/>
        </w:rPr>
        <w:footnoteRef/>
      </w:r>
      <w:r>
        <w:t xml:space="preserve"> </w:t>
      </w:r>
      <w:r w:rsidRPr="001F2BB7">
        <w:rPr>
          <w:lang w:eastAsia="ja-JP"/>
        </w:rPr>
        <w:t>Cytochrome P450 (CYP) enzymes:</w:t>
      </w:r>
      <w:r>
        <w:rPr>
          <w:b/>
          <w:lang w:eastAsia="ja-JP"/>
        </w:rPr>
        <w:t xml:space="preserve"> </w:t>
      </w:r>
      <w:r>
        <w:rPr>
          <w:lang w:eastAsia="ja-JP"/>
        </w:rPr>
        <w:t xml:space="preserve">CYPs are the major enzymes involved in drug metabolism, accounting for large part of the total metabolism. Most drugs undergo deactivation by CYPs, either directly or by facilitated excretion from the body. </w:t>
      </w:r>
      <w:proofErr w:type="gramStart"/>
      <w:r>
        <w:rPr>
          <w:lang w:eastAsia="ja-JP"/>
        </w:rPr>
        <w:t>Also</w:t>
      </w:r>
      <w:proofErr w:type="gramEnd"/>
      <w:r>
        <w:rPr>
          <w:lang w:eastAsia="ja-JP"/>
        </w:rPr>
        <w:t xml:space="preserve">, many substances are </w:t>
      </w:r>
      <w:proofErr w:type="spellStart"/>
      <w:r>
        <w:rPr>
          <w:lang w:eastAsia="ja-JP"/>
        </w:rPr>
        <w:t>bioactivated</w:t>
      </w:r>
      <w:proofErr w:type="spellEnd"/>
      <w:r>
        <w:rPr>
          <w:lang w:eastAsia="ja-JP"/>
        </w:rPr>
        <w:t xml:space="preserve"> by CYPs to form their active compounds.</w:t>
      </w:r>
    </w:p>
    <w:p w14:paraId="7E453C88" w14:textId="00E7578C" w:rsidR="0057028B" w:rsidRPr="001F2BB7" w:rsidRDefault="0057028B" w:rsidP="00347F32">
      <w:pPr>
        <w:pStyle w:val="FootnoteText"/>
        <w:rPr>
          <w:lang w:val="en-US"/>
        </w:rPr>
      </w:pPr>
      <w:r>
        <w:rPr>
          <w:lang w:eastAsia="ja-JP"/>
        </w:rPr>
        <w:t xml:space="preserve">Many drugs may increase or decrease the activity of various CYP isozymes </w:t>
      </w:r>
      <w:proofErr w:type="gramStart"/>
      <w:r>
        <w:rPr>
          <w:lang w:eastAsia="ja-JP"/>
        </w:rPr>
        <w:t>either by</w:t>
      </w:r>
      <w:proofErr w:type="gramEnd"/>
      <w:r>
        <w:rPr>
          <w:lang w:eastAsia="ja-JP"/>
        </w:rPr>
        <w:t xml:space="preserve">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3">
    <w:p w14:paraId="1D360570" w14:textId="77777777" w:rsidR="0057028B" w:rsidRPr="00AD0F3B" w:rsidRDefault="0057028B" w:rsidP="00E56AD7">
      <w:pPr>
        <w:pStyle w:val="FootnoteText"/>
      </w:pPr>
      <w:r w:rsidRPr="00797943">
        <w:rPr>
          <w:rStyle w:val="FootnoteReference"/>
        </w:rPr>
        <w:footnoteRef/>
      </w:r>
      <w:r w:rsidRPr="00797943">
        <w:t xml:space="preserve"> </w:t>
      </w:r>
      <w:r>
        <w:t xml:space="preserve"> </w:t>
      </w:r>
      <w:r w:rsidRPr="00AD0F3B">
        <w:t xml:space="preserve">The QT interval is the time from the start of the QRS wave complex to the end of the corresponding T wave. It approximates to the time taken for ventricular depolarisation and repolarisation, that is to say, the period of ventricular systole from ventricular </w:t>
      </w:r>
      <w:proofErr w:type="spellStart"/>
      <w:r w:rsidRPr="00AD0F3B">
        <w:t>isovolumetric</w:t>
      </w:r>
      <w:proofErr w:type="spellEnd"/>
      <w:r w:rsidRPr="00AD0F3B">
        <w:t xml:space="preserve"> contraction to </w:t>
      </w:r>
      <w:proofErr w:type="spellStart"/>
      <w:r w:rsidRPr="00AD0F3B">
        <w:t>isovolumetric</w:t>
      </w:r>
      <w:proofErr w:type="spellEnd"/>
      <w:r w:rsidRPr="00AD0F3B">
        <w:t xml:space="preserve"> relaxation.</w:t>
      </w:r>
    </w:p>
    <w:p w14:paraId="3C7B4FDC" w14:textId="77777777" w:rsidR="0057028B" w:rsidRDefault="0057028B" w:rsidP="00E56AD7">
      <w:pPr>
        <w:pStyle w:val="FootnoteText"/>
      </w:pPr>
      <w:r w:rsidRPr="00AD0F3B">
        <w:t xml:space="preserve">The corrected QT interval (QTc) estimates the QT interval at a standard heart rate. This allows comparison of QT values over time at different heart rates and improves detection of patients at increased risk of arrhythmias. The </w:t>
      </w:r>
      <w:r w:rsidRPr="001F2BB7">
        <w:t>QTcF</w:t>
      </w:r>
      <w:r w:rsidRPr="00AD0F3B">
        <w:t xml:space="preserve"> is the QT interval corrected for heart rate according to </w:t>
      </w:r>
      <w:proofErr w:type="spellStart"/>
      <w:r w:rsidRPr="00AD0F3B">
        <w:t>Fridericia’s</w:t>
      </w:r>
      <w:proofErr w:type="spellEnd"/>
      <w:r w:rsidRPr="00AD0F3B">
        <w:t xml:space="preserve"> formula</w:t>
      </w:r>
      <w:r>
        <w:t>.</w:t>
      </w:r>
    </w:p>
  </w:footnote>
  <w:footnote w:id="14">
    <w:p w14:paraId="61268207" w14:textId="5FC41E99" w:rsidR="0057028B" w:rsidRPr="00DC2D73" w:rsidRDefault="0057028B" w:rsidP="00DC2D73">
      <w:pPr>
        <w:pStyle w:val="FootnoteText"/>
      </w:pPr>
      <w:r>
        <w:rPr>
          <w:rStyle w:val="FootnoteReference"/>
        </w:rPr>
        <w:footnoteRef/>
      </w:r>
      <w:r>
        <w:t xml:space="preserve"> </w:t>
      </w:r>
      <w:r w:rsidRPr="001F2BB7">
        <w:t>ECOG Performance Status</w:t>
      </w:r>
      <w:r w:rsidRPr="00347F32">
        <w:t xml:space="preserve">: </w:t>
      </w:r>
      <w:r w:rsidRPr="00DC2D73">
        <w:t>The Eastern Cooperative Oncology Group (ECOG) has developed criteria used by doctors and researchers to assess how a patient's disease is progressing, assess how the disease affects the daily living abilities of the patient, and determine appropriate treatment and pro</w:t>
      </w:r>
      <w:r>
        <w:t>gnosis. The following criteria are used:</w:t>
      </w:r>
    </w:p>
    <w:p w14:paraId="1D572BB3" w14:textId="50C9F73D" w:rsidR="0057028B" w:rsidRPr="00DC2D73" w:rsidRDefault="0057028B" w:rsidP="00DC2D73">
      <w:pPr>
        <w:pStyle w:val="FootnoteText"/>
      </w:pPr>
      <w:r w:rsidRPr="00DC2D73">
        <w:t>0 - Fully active, able to carry on all pre-disease performance without restriction</w:t>
      </w:r>
      <w:r>
        <w:t>;</w:t>
      </w:r>
    </w:p>
    <w:p w14:paraId="34342DBF" w14:textId="76AE47A0" w:rsidR="0057028B" w:rsidRPr="00DC2D73" w:rsidRDefault="0057028B" w:rsidP="00DC2D73">
      <w:pPr>
        <w:pStyle w:val="FootnoteText"/>
      </w:pPr>
      <w:r w:rsidRPr="00DC2D73">
        <w:t xml:space="preserve">1- Restricted in physically strenuous activity but ambulatory and able to carry out work of a light or sedentary nature, </w:t>
      </w:r>
      <w:r>
        <w:t>for example</w:t>
      </w:r>
      <w:r w:rsidRPr="00DC2D73">
        <w:t>, light house work, office work</w:t>
      </w:r>
      <w:r>
        <w:t>;</w:t>
      </w:r>
    </w:p>
    <w:p w14:paraId="50CBC94F" w14:textId="528DC860" w:rsidR="0057028B" w:rsidRPr="00DC2D73" w:rsidRDefault="0057028B" w:rsidP="00DC2D73">
      <w:pPr>
        <w:pStyle w:val="FootnoteText"/>
      </w:pPr>
      <w:r w:rsidRPr="00DC2D73">
        <w:t xml:space="preserve">2 - Ambulatory and capable of all </w:t>
      </w:r>
      <w:proofErr w:type="spellStart"/>
      <w:r w:rsidRPr="00DC2D73">
        <w:t>selfcare</w:t>
      </w:r>
      <w:proofErr w:type="spellEnd"/>
      <w:r w:rsidRPr="00DC2D73">
        <w:t xml:space="preserve"> but unable to carry out any work activities. Up and about more than 50% of waking hours</w:t>
      </w:r>
      <w:r>
        <w:t>;</w:t>
      </w:r>
    </w:p>
    <w:p w14:paraId="34F6BC22" w14:textId="030263BB" w:rsidR="0057028B" w:rsidRPr="00DC2D73" w:rsidRDefault="0057028B" w:rsidP="00DC2D73">
      <w:pPr>
        <w:pStyle w:val="FootnoteText"/>
      </w:pPr>
      <w:r w:rsidRPr="00DC2D73">
        <w:t xml:space="preserve">3 - Capable of only limited </w:t>
      </w:r>
      <w:proofErr w:type="spellStart"/>
      <w:r w:rsidRPr="00DC2D73">
        <w:t>selfcare</w:t>
      </w:r>
      <w:proofErr w:type="spellEnd"/>
      <w:r w:rsidRPr="00DC2D73">
        <w:t>, confined to bed or chair more than 50% of waking hours</w:t>
      </w:r>
      <w:r>
        <w:t>;</w:t>
      </w:r>
    </w:p>
    <w:p w14:paraId="789C356C" w14:textId="069CE3AF" w:rsidR="0057028B" w:rsidRPr="00DC2D73" w:rsidRDefault="0057028B" w:rsidP="00DC2D73">
      <w:pPr>
        <w:pStyle w:val="FootnoteText"/>
      </w:pPr>
      <w:r w:rsidRPr="00DC2D73">
        <w:t xml:space="preserve">4 - Completely disabled. Cannot carry on any </w:t>
      </w:r>
      <w:proofErr w:type="spellStart"/>
      <w:r w:rsidRPr="00DC2D73">
        <w:t>selfcare</w:t>
      </w:r>
      <w:proofErr w:type="spellEnd"/>
      <w:r w:rsidRPr="00DC2D73">
        <w:t>. Totally confined to bed or chair</w:t>
      </w:r>
      <w:r>
        <w:t>; and</w:t>
      </w:r>
    </w:p>
    <w:p w14:paraId="233CD307" w14:textId="191F0BA2" w:rsidR="0057028B" w:rsidRDefault="0057028B" w:rsidP="00DC2D73">
      <w:pPr>
        <w:pStyle w:val="FootnoteText"/>
      </w:pPr>
      <w:r w:rsidRPr="00DC2D73">
        <w:t>5 – Dead</w:t>
      </w:r>
      <w:r>
        <w:t>.</w:t>
      </w:r>
    </w:p>
  </w:footnote>
  <w:footnote w:id="15">
    <w:p w14:paraId="0B6F65B4" w14:textId="39BA917E" w:rsidR="0057028B" w:rsidRDefault="0057028B">
      <w:pPr>
        <w:pStyle w:val="FootnoteText"/>
      </w:pPr>
      <w:r>
        <w:rPr>
          <w:rStyle w:val="FootnoteReference"/>
        </w:rPr>
        <w:footnoteRef/>
      </w:r>
      <w:r>
        <w:t xml:space="preserve"> </w:t>
      </w:r>
      <w:r w:rsidRPr="00DC2D73">
        <w:t>The </w:t>
      </w:r>
      <w:proofErr w:type="spellStart"/>
      <w:r w:rsidRPr="00DC2D73">
        <w:t>therascreen</w:t>
      </w:r>
      <w:proofErr w:type="spellEnd"/>
      <w:r w:rsidRPr="00DC2D73">
        <w:t xml:space="preserve"> PIK3CA RGQ PCR Kit is an </w:t>
      </w:r>
      <w:r w:rsidRPr="00DC2D73">
        <w:rPr>
          <w:i/>
        </w:rPr>
        <w:t>in vitro</w:t>
      </w:r>
      <w:r>
        <w:t xml:space="preserve"> diagnos</w:t>
      </w:r>
      <w:r w:rsidRPr="006E2A8D">
        <w:t>tic test based on real-time qualitative PCR</w:t>
      </w:r>
      <w:r>
        <w:t xml:space="preserve">, which </w:t>
      </w:r>
      <w:proofErr w:type="gramStart"/>
      <w:r>
        <w:t>is</w:t>
      </w:r>
      <w:r w:rsidRPr="006E2A8D">
        <w:t xml:space="preserve"> used</w:t>
      </w:r>
      <w:proofErr w:type="gramEnd"/>
      <w:r w:rsidRPr="006E2A8D">
        <w:t xml:space="preserve"> for the detection of 11 mutations in the</w:t>
      </w:r>
      <w:r>
        <w:t xml:space="preserve"> </w:t>
      </w:r>
      <w:r w:rsidRPr="005A3519">
        <w:rPr>
          <w:i/>
        </w:rPr>
        <w:t>PIK3CA</w:t>
      </w:r>
      <w:r w:rsidRPr="006E2A8D">
        <w:t xml:space="preserve"> gene.</w:t>
      </w:r>
    </w:p>
  </w:footnote>
  <w:footnote w:id="16">
    <w:p w14:paraId="6427C707" w14:textId="042E8818" w:rsidR="0057028B" w:rsidRDefault="0057028B">
      <w:pPr>
        <w:pStyle w:val="FootnoteText"/>
      </w:pPr>
      <w:r>
        <w:rPr>
          <w:rStyle w:val="FootnoteReference"/>
        </w:rPr>
        <w:footnoteRef/>
      </w:r>
      <w:r>
        <w:t xml:space="preserve"> </w:t>
      </w:r>
      <w:r>
        <w:rPr>
          <w:lang w:eastAsia="ja-JP"/>
        </w:rPr>
        <w:t xml:space="preserve">The </w:t>
      </w:r>
      <w:r w:rsidRPr="001F2BB7">
        <w:rPr>
          <w:lang w:eastAsia="ja-JP"/>
        </w:rPr>
        <w:t xml:space="preserve">Response Evaluation Criteria in Solid </w:t>
      </w:r>
      <w:proofErr w:type="spellStart"/>
      <w:r w:rsidRPr="001F2BB7">
        <w:rPr>
          <w:lang w:eastAsia="ja-JP"/>
        </w:rPr>
        <w:t>Tumors</w:t>
      </w:r>
      <w:proofErr w:type="spellEnd"/>
      <w:r w:rsidRPr="001F2BB7">
        <w:rPr>
          <w:lang w:eastAsia="ja-JP"/>
        </w:rPr>
        <w:t xml:space="preserve"> (RECIST)</w:t>
      </w:r>
      <w:r w:rsidRPr="00347F32">
        <w:rPr>
          <w:lang w:eastAsia="ja-JP"/>
        </w:rPr>
        <w:t xml:space="preserve"> </w:t>
      </w:r>
      <w:r>
        <w:rPr>
          <w:lang w:eastAsia="ja-JP"/>
        </w:rPr>
        <w:t>is a voluntary, international standard using unified, easily applicable criteria for measuring tumour response using X-ray, CT and MRI.</w:t>
      </w:r>
    </w:p>
  </w:footnote>
  <w:footnote w:id="17">
    <w:p w14:paraId="504A5E58" w14:textId="195ADEDF" w:rsidR="0057028B" w:rsidRDefault="0057028B">
      <w:pPr>
        <w:pStyle w:val="FootnoteText"/>
      </w:pPr>
      <w:r>
        <w:rPr>
          <w:rStyle w:val="FootnoteReference"/>
        </w:rPr>
        <w:footnoteRef/>
      </w:r>
      <w:r>
        <w:t xml:space="preserve"> EQ-5D-5L and BPI-SF are exploratory endpoints.</w:t>
      </w:r>
    </w:p>
  </w:footnote>
  <w:footnote w:id="18">
    <w:p w14:paraId="00274756" w14:textId="2FA4A159" w:rsidR="0057028B" w:rsidRPr="001F2BB7" w:rsidRDefault="0057028B">
      <w:pPr>
        <w:pStyle w:val="FootnoteText"/>
        <w:rPr>
          <w:lang w:val="en-US"/>
        </w:rPr>
      </w:pPr>
      <w:r>
        <w:rPr>
          <w:rStyle w:val="FootnoteReference"/>
        </w:rPr>
        <w:footnoteRef/>
      </w:r>
      <w:r>
        <w:t xml:space="preserve"> </w:t>
      </w:r>
      <w:r>
        <w:rPr>
          <w:lang w:val="en-US"/>
        </w:rPr>
        <w:t xml:space="preserve">HbA1c, or glycated </w:t>
      </w:r>
      <w:proofErr w:type="spellStart"/>
      <w:r>
        <w:rPr>
          <w:lang w:val="en-US"/>
        </w:rPr>
        <w:t>haemoglobin</w:t>
      </w:r>
      <w:proofErr w:type="spellEnd"/>
      <w:r>
        <w:rPr>
          <w:lang w:val="en-US"/>
        </w:rPr>
        <w:t xml:space="preserve">, is a form of </w:t>
      </w:r>
      <w:proofErr w:type="spellStart"/>
      <w:r>
        <w:rPr>
          <w:lang w:val="en-US"/>
        </w:rPr>
        <w:t>haemoglobin</w:t>
      </w:r>
      <w:proofErr w:type="spellEnd"/>
      <w:r>
        <w:rPr>
          <w:lang w:val="en-US"/>
        </w:rPr>
        <w:t xml:space="preserve"> chemically linked to a sugar via glycation. Hb</w:t>
      </w:r>
      <w:r w:rsidRPr="00B42585">
        <w:rPr>
          <w:lang w:val="en-US"/>
        </w:rPr>
        <w:t>A1c is measured primarily to determ</w:t>
      </w:r>
      <w:r>
        <w:rPr>
          <w:lang w:val="en-US"/>
        </w:rPr>
        <w:t xml:space="preserve">ine the </w:t>
      </w:r>
      <w:proofErr w:type="gramStart"/>
      <w:r>
        <w:rPr>
          <w:lang w:val="en-US"/>
        </w:rPr>
        <w:t xml:space="preserve">three </w:t>
      </w:r>
      <w:r w:rsidRPr="00B42585">
        <w:rPr>
          <w:lang w:val="en-US"/>
        </w:rPr>
        <w:t>month</w:t>
      </w:r>
      <w:proofErr w:type="gramEnd"/>
      <w:r w:rsidRPr="00B42585">
        <w:rPr>
          <w:lang w:val="en-US"/>
        </w:rPr>
        <w:t xml:space="preserve"> average blood sugar level </w:t>
      </w:r>
      <w:r>
        <w:rPr>
          <w:lang w:val="en-US"/>
        </w:rPr>
        <w:t xml:space="preserve">and is the most accepted method of measuring chronic glycaemia. Measurement </w:t>
      </w:r>
      <w:proofErr w:type="gramStart"/>
      <w:r>
        <w:rPr>
          <w:lang w:val="en-US"/>
        </w:rPr>
        <w:t>can be used</w:t>
      </w:r>
      <w:proofErr w:type="gramEnd"/>
      <w:r>
        <w:rPr>
          <w:lang w:val="en-US"/>
        </w:rPr>
        <w:t xml:space="preserve"> as a </w:t>
      </w:r>
      <w:r w:rsidRPr="00B42585">
        <w:rPr>
          <w:lang w:val="en-US"/>
        </w:rPr>
        <w:t xml:space="preserve">diagnostic test for diabetes mellitus and as an assessment test for </w:t>
      </w:r>
      <w:proofErr w:type="spellStart"/>
      <w:r w:rsidRPr="00B42585">
        <w:rPr>
          <w:lang w:val="en-US"/>
        </w:rPr>
        <w:t>glyc</w:t>
      </w:r>
      <w:r>
        <w:rPr>
          <w:lang w:val="en-US"/>
        </w:rPr>
        <w:t>a</w:t>
      </w:r>
      <w:r w:rsidRPr="00B42585">
        <w:rPr>
          <w:lang w:val="en-US"/>
        </w:rPr>
        <w:t>emic</w:t>
      </w:r>
      <w:proofErr w:type="spellEnd"/>
      <w:r w:rsidRPr="00B42585">
        <w:rPr>
          <w:lang w:val="en-US"/>
        </w:rPr>
        <w:t xml:space="preserve"> c</w:t>
      </w:r>
      <w:r>
        <w:rPr>
          <w:lang w:val="en-US"/>
        </w:rPr>
        <w:t xml:space="preserve">ontrol in people with diabetes. </w:t>
      </w:r>
      <w:r w:rsidRPr="00B42585">
        <w:rPr>
          <w:lang w:val="en-US"/>
        </w:rPr>
        <w:t xml:space="preserve">An HbA1c of 48 </w:t>
      </w:r>
      <w:proofErr w:type="spellStart"/>
      <w:r w:rsidRPr="00B42585">
        <w:rPr>
          <w:lang w:val="en-US"/>
        </w:rPr>
        <w:t>mmol</w:t>
      </w:r>
      <w:proofErr w:type="spellEnd"/>
      <w:r w:rsidRPr="00B42585">
        <w:rPr>
          <w:lang w:val="en-US"/>
        </w:rPr>
        <w:t>/</w:t>
      </w:r>
      <w:proofErr w:type="spellStart"/>
      <w:r w:rsidRPr="00B42585">
        <w:rPr>
          <w:lang w:val="en-US"/>
        </w:rPr>
        <w:t>mol</w:t>
      </w:r>
      <w:proofErr w:type="spellEnd"/>
      <w:r w:rsidRPr="00B42585">
        <w:rPr>
          <w:lang w:val="en-US"/>
        </w:rPr>
        <w:t xml:space="preserve"> (6.5%) or greater has now been recommended in Australia for diagnosis of type 2 diabetes.</w:t>
      </w:r>
      <w:r>
        <w:rPr>
          <w:lang w:val="en-US"/>
        </w:rPr>
        <w:t xml:space="preserve"> </w:t>
      </w:r>
      <w:hyperlink r:id="rId3" w:history="1">
        <w:r>
          <w:rPr>
            <w:rStyle w:val="Hyperlink"/>
          </w:rPr>
          <w:t>https://www.nps.org.au/australian-prescriber/articles/glycated-haemoglobin-for-the-diagnosis-of-diabetes</w:t>
        </w:r>
      </w:hyperlink>
    </w:p>
  </w:footnote>
  <w:footnote w:id="19">
    <w:p w14:paraId="4698425C" w14:textId="7758FB1D" w:rsidR="0057028B" w:rsidRDefault="0057028B">
      <w:pPr>
        <w:pStyle w:val="FootnoteText"/>
      </w:pPr>
      <w:r>
        <w:rPr>
          <w:rStyle w:val="FootnoteReference"/>
        </w:rPr>
        <w:footnoteRef/>
      </w:r>
      <w:r>
        <w:t xml:space="preserve"> </w:t>
      </w:r>
      <w:proofErr w:type="gramStart"/>
      <w:r>
        <w:t xml:space="preserve">C420R = cysteine (C) at position 420 </w:t>
      </w:r>
      <w:r w:rsidRPr="00DC59B0">
        <w:t>replaced by arginine (R);</w:t>
      </w:r>
      <w:r w:rsidRPr="00DC59B0">
        <w:rPr>
          <w:rFonts w:asciiTheme="minorHAnsi" w:hAnsiTheme="minorHAnsi" w:cs="Arial"/>
          <w:color w:val="000000"/>
        </w:rPr>
        <w:t xml:space="preserve"> E542K = E at position 542 </w:t>
      </w:r>
      <w:r>
        <w:rPr>
          <w:rFonts w:asciiTheme="minorHAnsi" w:hAnsiTheme="minorHAnsi" w:cs="Arial"/>
          <w:color w:val="000000"/>
        </w:rPr>
        <w:t>replaced by K</w:t>
      </w:r>
      <w:r w:rsidRPr="00DC59B0">
        <w:rPr>
          <w:rFonts w:asciiTheme="minorHAnsi" w:hAnsiTheme="minorHAnsi" w:cs="Arial"/>
          <w:color w:val="000000"/>
        </w:rPr>
        <w:t>;</w:t>
      </w:r>
      <w:r w:rsidRPr="00DC59B0">
        <w:t xml:space="preserve"> </w:t>
      </w:r>
      <w:r w:rsidRPr="00DC59B0">
        <w:rPr>
          <w:rFonts w:asciiTheme="minorHAnsi" w:hAnsiTheme="minorHAnsi" w:cs="Arial"/>
          <w:color w:val="000000"/>
        </w:rPr>
        <w:t>E545A = E at position 545 replaced by alanine (A); E545D = E at position 545 replaced by aspartic acid (D); E545G = E at position 545</w:t>
      </w:r>
      <w:r>
        <w:rPr>
          <w:rFonts w:asciiTheme="minorHAnsi" w:hAnsiTheme="minorHAnsi" w:cs="Arial"/>
          <w:color w:val="000000"/>
        </w:rPr>
        <w:t xml:space="preserve"> </w:t>
      </w:r>
      <w:r w:rsidRPr="00DC59B0">
        <w:rPr>
          <w:rFonts w:asciiTheme="minorHAnsi" w:hAnsiTheme="minorHAnsi" w:cs="Arial"/>
          <w:color w:val="000000"/>
        </w:rPr>
        <w:t xml:space="preserve">replaced </w:t>
      </w:r>
      <w:r>
        <w:rPr>
          <w:rFonts w:asciiTheme="minorHAnsi" w:hAnsiTheme="minorHAnsi" w:cs="Arial"/>
          <w:color w:val="000000"/>
        </w:rPr>
        <w:t>by glycine (G)</w:t>
      </w:r>
      <w:r w:rsidRPr="00DC59B0">
        <w:rPr>
          <w:rFonts w:asciiTheme="minorHAnsi" w:hAnsiTheme="minorHAnsi" w:cs="Arial"/>
          <w:color w:val="000000"/>
        </w:rPr>
        <w:t xml:space="preserve">; E545K = E at position </w:t>
      </w:r>
      <w:r>
        <w:rPr>
          <w:rFonts w:asciiTheme="minorHAnsi" w:hAnsiTheme="minorHAnsi" w:cs="Arial"/>
          <w:color w:val="000000"/>
        </w:rPr>
        <w:t xml:space="preserve">545 </w:t>
      </w:r>
      <w:r w:rsidRPr="00DC59B0">
        <w:rPr>
          <w:rFonts w:asciiTheme="minorHAnsi" w:hAnsiTheme="minorHAnsi" w:cs="Arial"/>
          <w:color w:val="000000"/>
        </w:rPr>
        <w:t>replaced by K, Q546E = g</w:t>
      </w:r>
      <w:r>
        <w:rPr>
          <w:rFonts w:asciiTheme="minorHAnsi" w:hAnsiTheme="minorHAnsi" w:cs="Arial"/>
          <w:color w:val="000000"/>
        </w:rPr>
        <w:t xml:space="preserve">lutamine (Q) at position 546 </w:t>
      </w:r>
      <w:r w:rsidRPr="00DC59B0">
        <w:rPr>
          <w:rFonts w:asciiTheme="minorHAnsi" w:hAnsiTheme="minorHAnsi" w:cs="Arial"/>
          <w:color w:val="000000"/>
        </w:rPr>
        <w:t>replaced by E, Q546R = Q at 546 replaced by R; H1047L</w:t>
      </w:r>
      <w:r>
        <w:rPr>
          <w:rFonts w:asciiTheme="minorHAnsi" w:hAnsiTheme="minorHAnsi" w:cs="Arial"/>
          <w:color w:val="000000"/>
        </w:rPr>
        <w:t xml:space="preserve"> = H</w:t>
      </w:r>
      <w:r w:rsidRPr="00DC59B0">
        <w:rPr>
          <w:rFonts w:asciiTheme="minorHAnsi" w:hAnsiTheme="minorHAnsi" w:cs="Arial"/>
          <w:color w:val="000000"/>
        </w:rPr>
        <w:t xml:space="preserve"> </w:t>
      </w:r>
      <w:r>
        <w:rPr>
          <w:rFonts w:asciiTheme="minorHAnsi" w:hAnsiTheme="minorHAnsi" w:cs="Arial"/>
          <w:color w:val="000000"/>
        </w:rPr>
        <w:t>at position 1047</w:t>
      </w:r>
      <w:r w:rsidRPr="00DC59B0">
        <w:rPr>
          <w:rFonts w:asciiTheme="minorHAnsi" w:hAnsiTheme="minorHAnsi" w:cs="Arial"/>
          <w:color w:val="000000"/>
        </w:rPr>
        <w:t xml:space="preserve"> replaced by leucine (L), H1047R = H at position </w:t>
      </w:r>
      <w:r>
        <w:rPr>
          <w:rFonts w:asciiTheme="minorHAnsi" w:hAnsiTheme="minorHAnsi" w:cs="Arial"/>
          <w:color w:val="000000"/>
        </w:rPr>
        <w:t xml:space="preserve">1047 </w:t>
      </w:r>
      <w:r w:rsidRPr="00DC59B0">
        <w:rPr>
          <w:rFonts w:asciiTheme="minorHAnsi" w:hAnsiTheme="minorHAnsi" w:cs="Arial"/>
          <w:color w:val="000000"/>
        </w:rPr>
        <w:t>replaced by R, H1047Y</w:t>
      </w:r>
      <w:r>
        <w:rPr>
          <w:rFonts w:asciiTheme="minorHAnsi" w:hAnsiTheme="minorHAnsi" w:cs="Arial"/>
          <w:color w:val="000000"/>
        </w:rPr>
        <w:t xml:space="preserve"> = H at position 1047</w:t>
      </w:r>
      <w:r w:rsidRPr="00DC59B0">
        <w:rPr>
          <w:rFonts w:asciiTheme="minorHAnsi" w:hAnsiTheme="minorHAnsi" w:cs="Arial"/>
          <w:color w:val="000000"/>
        </w:rPr>
        <w:t xml:space="preserve"> replaced by tyrosine (Y).</w:t>
      </w:r>
      <w:proofErr w:type="gramEnd"/>
    </w:p>
  </w:footnote>
  <w:footnote w:id="20">
    <w:p w14:paraId="044E33F0" w14:textId="77777777" w:rsidR="0057028B" w:rsidRDefault="0057028B" w:rsidP="004E5250">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472B41D9" w14:textId="77777777" w:rsidR="0057028B" w:rsidRDefault="0057028B" w:rsidP="004E5250">
      <w:pPr>
        <w:pStyle w:val="FootnoteText"/>
      </w:pPr>
      <w:r w:rsidRPr="00F12492">
        <w:rPr>
          <w:i/>
        </w:rPr>
        <w:t>Routine pharmacovigilance</w:t>
      </w:r>
      <w:r>
        <w:t xml:space="preserve"> practices involve the following activities:</w:t>
      </w:r>
    </w:p>
    <w:p w14:paraId="6189FC7E" w14:textId="77777777" w:rsidR="0057028B" w:rsidRPr="008924E1" w:rsidRDefault="0057028B" w:rsidP="008924E1">
      <w:pPr>
        <w:pStyle w:val="ListBullet"/>
        <w:spacing w:before="0" w:after="0"/>
        <w:ind w:left="357" w:hanging="357"/>
        <w:rPr>
          <w:sz w:val="18"/>
          <w:szCs w:val="18"/>
        </w:rPr>
      </w:pPr>
      <w:r w:rsidRPr="008924E1">
        <w:rPr>
          <w:sz w:val="18"/>
          <w:szCs w:val="18"/>
        </w:rPr>
        <w:t>All suspected adverse reactions that are reported to the personnel of the company are collected and collated in an accessible manner;</w:t>
      </w:r>
    </w:p>
    <w:p w14:paraId="05A865BD" w14:textId="77777777" w:rsidR="0057028B" w:rsidRPr="008924E1" w:rsidRDefault="0057028B" w:rsidP="008924E1">
      <w:pPr>
        <w:pStyle w:val="ListBullet"/>
        <w:spacing w:before="0" w:after="0"/>
        <w:ind w:left="357" w:hanging="357"/>
        <w:rPr>
          <w:sz w:val="18"/>
          <w:szCs w:val="18"/>
        </w:rPr>
      </w:pPr>
      <w:r w:rsidRPr="008924E1">
        <w:rPr>
          <w:sz w:val="18"/>
          <w:szCs w:val="18"/>
        </w:rPr>
        <w:t>Reporting to regulatory authorities;</w:t>
      </w:r>
    </w:p>
    <w:p w14:paraId="2853AFB8" w14:textId="77777777" w:rsidR="0057028B" w:rsidRPr="008924E1" w:rsidRDefault="0057028B" w:rsidP="008924E1">
      <w:pPr>
        <w:pStyle w:val="ListBullet"/>
        <w:spacing w:before="0" w:after="0"/>
        <w:ind w:left="357" w:hanging="357"/>
        <w:rPr>
          <w:sz w:val="18"/>
          <w:szCs w:val="18"/>
        </w:rPr>
      </w:pPr>
      <w:r w:rsidRPr="008924E1">
        <w:rPr>
          <w:sz w:val="18"/>
          <w:szCs w:val="18"/>
        </w:rPr>
        <w:t xml:space="preserve">Continuous monitoring of the safety profiles of approved products including signal detection and updating of </w:t>
      </w:r>
      <w:proofErr w:type="spellStart"/>
      <w:r w:rsidRPr="008924E1">
        <w:rPr>
          <w:sz w:val="18"/>
          <w:szCs w:val="18"/>
        </w:rPr>
        <w:t>labeling</w:t>
      </w:r>
      <w:proofErr w:type="spellEnd"/>
      <w:r w:rsidRPr="008924E1">
        <w:rPr>
          <w:sz w:val="18"/>
          <w:szCs w:val="18"/>
        </w:rPr>
        <w:t>;</w:t>
      </w:r>
    </w:p>
    <w:p w14:paraId="2D88F831" w14:textId="77777777" w:rsidR="0057028B" w:rsidRPr="008924E1" w:rsidRDefault="0057028B" w:rsidP="008924E1">
      <w:pPr>
        <w:pStyle w:val="ListBullet"/>
        <w:spacing w:before="0" w:after="0"/>
        <w:ind w:left="357" w:hanging="357"/>
        <w:rPr>
          <w:sz w:val="18"/>
          <w:szCs w:val="18"/>
        </w:rPr>
      </w:pPr>
      <w:r w:rsidRPr="008924E1">
        <w:rPr>
          <w:sz w:val="18"/>
          <w:szCs w:val="18"/>
        </w:rPr>
        <w:t>Submission of PSURs;</w:t>
      </w:r>
    </w:p>
    <w:p w14:paraId="7AA63B2D" w14:textId="77777777" w:rsidR="0057028B" w:rsidRPr="008924E1" w:rsidRDefault="0057028B" w:rsidP="008924E1">
      <w:pPr>
        <w:pStyle w:val="ListBullet"/>
        <w:spacing w:before="0" w:after="0"/>
        <w:ind w:left="357" w:hanging="357"/>
        <w:rPr>
          <w:sz w:val="18"/>
          <w:szCs w:val="18"/>
          <w:lang w:val="en-US"/>
        </w:rPr>
      </w:pPr>
      <w:r w:rsidRPr="008924E1">
        <w:rPr>
          <w:sz w:val="18"/>
          <w:szCs w:val="18"/>
        </w:rPr>
        <w:t>Meeting other local regulatory agency requirements.</w:t>
      </w:r>
    </w:p>
  </w:footnote>
  <w:footnote w:id="21">
    <w:p w14:paraId="3EB15223" w14:textId="77777777" w:rsidR="0057028B" w:rsidRDefault="0057028B"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3A8CF26" w14:textId="77777777" w:rsidR="0057028B" w:rsidRPr="00456765" w:rsidRDefault="0057028B" w:rsidP="00456765">
      <w:pPr>
        <w:pStyle w:val="FootnoteText"/>
        <w:rPr>
          <w:lang w:val="en-US"/>
        </w:rPr>
      </w:pPr>
      <w:r>
        <w:t xml:space="preserve">The Committee </w:t>
      </w:r>
      <w:proofErr w:type="gramStart"/>
      <w:r>
        <w:t>is established</w:t>
      </w:r>
      <w:proofErr w:type="gramEnd"/>
      <w:r>
        <w:t xml:space="preserve"> under Regulation 35 of the </w:t>
      </w:r>
      <w:r w:rsidRPr="008924E1">
        <w:rPr>
          <w:i/>
        </w:rPr>
        <w:t>Therapeutic Goods Regulations 1990</w:t>
      </w:r>
      <w:r>
        <w:t xml:space="preserve">. </w:t>
      </w:r>
      <w:proofErr w:type="gramStart"/>
      <w:r>
        <w:t>Members are appointed by the Minister</w:t>
      </w:r>
      <w:proofErr w:type="gramEnd"/>
      <w:r>
        <w:t xml:space="preserve">. The ACM was established in January 2017 replacing </w:t>
      </w:r>
      <w:r w:rsidRPr="009E0C19">
        <w:t>Advisory Committee on Prescription Medicines (ACPM</w:t>
      </w:r>
      <w:proofErr w:type="gramStart"/>
      <w:r w:rsidRPr="009E0C19">
        <w:t xml:space="preserve">) </w:t>
      </w:r>
      <w:r>
        <w:t>which</w:t>
      </w:r>
      <w:proofErr w:type="gramEnd"/>
      <w:r>
        <w:t xml:space="preserve">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89B66" w14:textId="77777777" w:rsidR="0057028B" w:rsidRDefault="0057028B"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DA772" w14:textId="77777777" w:rsidR="0057028B" w:rsidRDefault="0057028B">
    <w:pPr>
      <w:rPr>
        <w:noProof/>
        <w:lang w:eastAsia="en-AU"/>
      </w:rPr>
    </w:pPr>
    <w:r w:rsidRPr="00347824">
      <w:rPr>
        <w:noProof/>
        <w:lang w:eastAsia="en-AU"/>
      </w:rPr>
      <w:drawing>
        <wp:anchor distT="0" distB="0" distL="114300" distR="114300" simplePos="0" relativeHeight="251658240" behindDoc="1" locked="0" layoutInCell="1" allowOverlap="1" wp14:anchorId="588F0D50" wp14:editId="02FE9EAB">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FFD9D1A" w14:textId="497B146C" w:rsidR="0057028B" w:rsidRDefault="0057028B"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75EC2" w14:textId="77777777" w:rsidR="0057028B" w:rsidRDefault="005702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23CA8" w14:textId="77777777" w:rsidR="0057028B" w:rsidRDefault="0057028B">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1BEAB" w14:textId="77777777" w:rsidR="0057028B" w:rsidRDefault="0057028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9A2EE" w14:textId="77777777" w:rsidR="0057028B" w:rsidRDefault="005702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AF39E" w14:textId="77777777" w:rsidR="0057028B" w:rsidRDefault="0057028B"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7A4B" w14:textId="77777777" w:rsidR="0057028B" w:rsidRDefault="0057028B" w:rsidP="006E08B3">
    <w:r>
      <w:t>Therapeutic Goods Administration</w:t>
    </w:r>
  </w:p>
  <w:p w14:paraId="0C7383C3" w14:textId="77777777" w:rsidR="0057028B" w:rsidRDefault="0057028B"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18B8A6A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8F13E9"/>
    <w:multiLevelType w:val="multilevel"/>
    <w:tmpl w:val="4956D3B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489B15D7"/>
    <w:multiLevelType w:val="hybridMultilevel"/>
    <w:tmpl w:val="CB10ADA4"/>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2A0CC7"/>
    <w:multiLevelType w:val="hybridMultilevel"/>
    <w:tmpl w:val="CE8EA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E4A42C6"/>
    <w:multiLevelType w:val="hybridMultilevel"/>
    <w:tmpl w:val="6A4C6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F1404D7"/>
    <w:multiLevelType w:val="hybridMultilevel"/>
    <w:tmpl w:val="07AA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484793"/>
    <w:multiLevelType w:val="hybridMultilevel"/>
    <w:tmpl w:val="3920FB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num>
  <w:num w:numId="28">
    <w:abstractNumId w:val="9"/>
  </w:num>
  <w:num w:numId="29">
    <w:abstractNumId w:val="11"/>
  </w:num>
  <w:num w:numId="30">
    <w:abstractNumId w:val="12"/>
  </w:num>
  <w:num w:numId="31">
    <w:abstractNumId w:val="10"/>
  </w:num>
  <w:num w:numId="32">
    <w:abstractNumId w:val="6"/>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activeWritingStyle w:appName="MSWord" w:lang="fr-FR" w:vendorID="64" w:dllVersion="131078" w:nlCheck="1" w:checkStyle="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8FD"/>
    <w:rsid w:val="00001092"/>
    <w:rsid w:val="00002031"/>
    <w:rsid w:val="00004734"/>
    <w:rsid w:val="00006B22"/>
    <w:rsid w:val="0001276A"/>
    <w:rsid w:val="000246AE"/>
    <w:rsid w:val="00025C67"/>
    <w:rsid w:val="00030C82"/>
    <w:rsid w:val="00044772"/>
    <w:rsid w:val="0004541C"/>
    <w:rsid w:val="00053962"/>
    <w:rsid w:val="0005559E"/>
    <w:rsid w:val="00057AAC"/>
    <w:rsid w:val="000604D6"/>
    <w:rsid w:val="000734D8"/>
    <w:rsid w:val="00077775"/>
    <w:rsid w:val="00085335"/>
    <w:rsid w:val="00090471"/>
    <w:rsid w:val="000958CC"/>
    <w:rsid w:val="00096AA7"/>
    <w:rsid w:val="000A3AED"/>
    <w:rsid w:val="000B3532"/>
    <w:rsid w:val="000B3A75"/>
    <w:rsid w:val="000C00C2"/>
    <w:rsid w:val="000C4D16"/>
    <w:rsid w:val="000C690F"/>
    <w:rsid w:val="000D1295"/>
    <w:rsid w:val="000D2FD0"/>
    <w:rsid w:val="000D391B"/>
    <w:rsid w:val="000D3D6D"/>
    <w:rsid w:val="000D4540"/>
    <w:rsid w:val="000D4FC7"/>
    <w:rsid w:val="000E6196"/>
    <w:rsid w:val="000F3353"/>
    <w:rsid w:val="000F4869"/>
    <w:rsid w:val="000F5B42"/>
    <w:rsid w:val="000F6E6F"/>
    <w:rsid w:val="0010601F"/>
    <w:rsid w:val="0010788A"/>
    <w:rsid w:val="00107A31"/>
    <w:rsid w:val="00110EA5"/>
    <w:rsid w:val="00112F56"/>
    <w:rsid w:val="00122D87"/>
    <w:rsid w:val="00124ACD"/>
    <w:rsid w:val="00125318"/>
    <w:rsid w:val="001305A2"/>
    <w:rsid w:val="00133238"/>
    <w:rsid w:val="001337D3"/>
    <w:rsid w:val="00133A1B"/>
    <w:rsid w:val="0014197B"/>
    <w:rsid w:val="001447CD"/>
    <w:rsid w:val="00144F2B"/>
    <w:rsid w:val="001516B1"/>
    <w:rsid w:val="00154EBB"/>
    <w:rsid w:val="00156316"/>
    <w:rsid w:val="00161181"/>
    <w:rsid w:val="00162D14"/>
    <w:rsid w:val="00163780"/>
    <w:rsid w:val="00165389"/>
    <w:rsid w:val="00171284"/>
    <w:rsid w:val="0017693F"/>
    <w:rsid w:val="0018110E"/>
    <w:rsid w:val="00181684"/>
    <w:rsid w:val="00181F6D"/>
    <w:rsid w:val="0018398D"/>
    <w:rsid w:val="001843C6"/>
    <w:rsid w:val="00184670"/>
    <w:rsid w:val="001850E0"/>
    <w:rsid w:val="001A03AF"/>
    <w:rsid w:val="001A2158"/>
    <w:rsid w:val="001A525F"/>
    <w:rsid w:val="001B09F9"/>
    <w:rsid w:val="001B1219"/>
    <w:rsid w:val="001B3F84"/>
    <w:rsid w:val="001B5C90"/>
    <w:rsid w:val="001B6448"/>
    <w:rsid w:val="001C32CD"/>
    <w:rsid w:val="001D2984"/>
    <w:rsid w:val="001D5DFC"/>
    <w:rsid w:val="001E07CF"/>
    <w:rsid w:val="001E59F1"/>
    <w:rsid w:val="001F2BB7"/>
    <w:rsid w:val="001F2CEE"/>
    <w:rsid w:val="001F49EB"/>
    <w:rsid w:val="001F6CBA"/>
    <w:rsid w:val="001F751B"/>
    <w:rsid w:val="00201D4E"/>
    <w:rsid w:val="002076C9"/>
    <w:rsid w:val="00216466"/>
    <w:rsid w:val="00220B8A"/>
    <w:rsid w:val="0022189E"/>
    <w:rsid w:val="002257F3"/>
    <w:rsid w:val="002308B1"/>
    <w:rsid w:val="00233456"/>
    <w:rsid w:val="002339A5"/>
    <w:rsid w:val="00242961"/>
    <w:rsid w:val="00245130"/>
    <w:rsid w:val="00253B49"/>
    <w:rsid w:val="002555CF"/>
    <w:rsid w:val="00257848"/>
    <w:rsid w:val="002578E8"/>
    <w:rsid w:val="00267D87"/>
    <w:rsid w:val="0027084A"/>
    <w:rsid w:val="00280265"/>
    <w:rsid w:val="00282722"/>
    <w:rsid w:val="00286434"/>
    <w:rsid w:val="00286C59"/>
    <w:rsid w:val="00287B26"/>
    <w:rsid w:val="00291957"/>
    <w:rsid w:val="002942D1"/>
    <w:rsid w:val="0029501A"/>
    <w:rsid w:val="00297D08"/>
    <w:rsid w:val="002A3721"/>
    <w:rsid w:val="002B0CFD"/>
    <w:rsid w:val="002B1638"/>
    <w:rsid w:val="002B3624"/>
    <w:rsid w:val="002C20E7"/>
    <w:rsid w:val="002C32E7"/>
    <w:rsid w:val="002D0952"/>
    <w:rsid w:val="002D3C1E"/>
    <w:rsid w:val="002E40B3"/>
    <w:rsid w:val="002E4C9A"/>
    <w:rsid w:val="002F0746"/>
    <w:rsid w:val="002F11F8"/>
    <w:rsid w:val="002F206A"/>
    <w:rsid w:val="002F3F56"/>
    <w:rsid w:val="002F44B5"/>
    <w:rsid w:val="002F5122"/>
    <w:rsid w:val="002F6CFE"/>
    <w:rsid w:val="00306527"/>
    <w:rsid w:val="00311AC0"/>
    <w:rsid w:val="00311E0A"/>
    <w:rsid w:val="00316881"/>
    <w:rsid w:val="003176FC"/>
    <w:rsid w:val="0032583B"/>
    <w:rsid w:val="00327883"/>
    <w:rsid w:val="00335504"/>
    <w:rsid w:val="00340161"/>
    <w:rsid w:val="00340C18"/>
    <w:rsid w:val="003442FD"/>
    <w:rsid w:val="00344AE9"/>
    <w:rsid w:val="00347824"/>
    <w:rsid w:val="00347F32"/>
    <w:rsid w:val="00350567"/>
    <w:rsid w:val="003521E8"/>
    <w:rsid w:val="00361A40"/>
    <w:rsid w:val="00363AD3"/>
    <w:rsid w:val="00365645"/>
    <w:rsid w:val="00370429"/>
    <w:rsid w:val="00370CE3"/>
    <w:rsid w:val="003728F3"/>
    <w:rsid w:val="003735BC"/>
    <w:rsid w:val="0037496E"/>
    <w:rsid w:val="00374C13"/>
    <w:rsid w:val="00375CAC"/>
    <w:rsid w:val="00383221"/>
    <w:rsid w:val="00386150"/>
    <w:rsid w:val="003874CE"/>
    <w:rsid w:val="00390900"/>
    <w:rsid w:val="003931DD"/>
    <w:rsid w:val="00397259"/>
    <w:rsid w:val="003A4391"/>
    <w:rsid w:val="003A7F6C"/>
    <w:rsid w:val="003B4D60"/>
    <w:rsid w:val="003B5E1A"/>
    <w:rsid w:val="003B7E39"/>
    <w:rsid w:val="003C58DC"/>
    <w:rsid w:val="003D1E62"/>
    <w:rsid w:val="003D5756"/>
    <w:rsid w:val="003E0B99"/>
    <w:rsid w:val="003E2486"/>
    <w:rsid w:val="003E3208"/>
    <w:rsid w:val="003E3DD3"/>
    <w:rsid w:val="003E7F74"/>
    <w:rsid w:val="003F0B04"/>
    <w:rsid w:val="003F1018"/>
    <w:rsid w:val="003F45C3"/>
    <w:rsid w:val="00400E08"/>
    <w:rsid w:val="0040134E"/>
    <w:rsid w:val="00416E6D"/>
    <w:rsid w:val="004334C7"/>
    <w:rsid w:val="00440A2D"/>
    <w:rsid w:val="00441C3F"/>
    <w:rsid w:val="00444D1A"/>
    <w:rsid w:val="00450DFB"/>
    <w:rsid w:val="0045186A"/>
    <w:rsid w:val="004546AC"/>
    <w:rsid w:val="00454C93"/>
    <w:rsid w:val="004564A7"/>
    <w:rsid w:val="00456765"/>
    <w:rsid w:val="004611AE"/>
    <w:rsid w:val="004617BF"/>
    <w:rsid w:val="00463658"/>
    <w:rsid w:val="004637A0"/>
    <w:rsid w:val="004722CC"/>
    <w:rsid w:val="004733CF"/>
    <w:rsid w:val="004800AB"/>
    <w:rsid w:val="00481532"/>
    <w:rsid w:val="004818EA"/>
    <w:rsid w:val="00490483"/>
    <w:rsid w:val="004936E4"/>
    <w:rsid w:val="00494E60"/>
    <w:rsid w:val="00497487"/>
    <w:rsid w:val="004A08F3"/>
    <w:rsid w:val="004A2771"/>
    <w:rsid w:val="004A30B7"/>
    <w:rsid w:val="004A6189"/>
    <w:rsid w:val="004A7390"/>
    <w:rsid w:val="004A7740"/>
    <w:rsid w:val="004B596A"/>
    <w:rsid w:val="004B7B76"/>
    <w:rsid w:val="004C0C21"/>
    <w:rsid w:val="004C239D"/>
    <w:rsid w:val="004C23F9"/>
    <w:rsid w:val="004C2DCA"/>
    <w:rsid w:val="004C61D2"/>
    <w:rsid w:val="004C6367"/>
    <w:rsid w:val="004C6A3C"/>
    <w:rsid w:val="004D10D7"/>
    <w:rsid w:val="004D1F7E"/>
    <w:rsid w:val="004D5F8E"/>
    <w:rsid w:val="004D7552"/>
    <w:rsid w:val="004D7B2B"/>
    <w:rsid w:val="004E5250"/>
    <w:rsid w:val="004F0C4A"/>
    <w:rsid w:val="004F0F38"/>
    <w:rsid w:val="004F47D6"/>
    <w:rsid w:val="004F56E8"/>
    <w:rsid w:val="00500337"/>
    <w:rsid w:val="00501921"/>
    <w:rsid w:val="005040E1"/>
    <w:rsid w:val="00505BAF"/>
    <w:rsid w:val="005112EC"/>
    <w:rsid w:val="0052608D"/>
    <w:rsid w:val="00530354"/>
    <w:rsid w:val="00532DA4"/>
    <w:rsid w:val="00535345"/>
    <w:rsid w:val="0053625B"/>
    <w:rsid w:val="005434C6"/>
    <w:rsid w:val="00543B39"/>
    <w:rsid w:val="00543EB2"/>
    <w:rsid w:val="00546154"/>
    <w:rsid w:val="00550096"/>
    <w:rsid w:val="00550CA0"/>
    <w:rsid w:val="00555280"/>
    <w:rsid w:val="00557FF9"/>
    <w:rsid w:val="00562327"/>
    <w:rsid w:val="0057028B"/>
    <w:rsid w:val="005711D5"/>
    <w:rsid w:val="005713EC"/>
    <w:rsid w:val="00576378"/>
    <w:rsid w:val="00577130"/>
    <w:rsid w:val="00577945"/>
    <w:rsid w:val="00577E38"/>
    <w:rsid w:val="00582830"/>
    <w:rsid w:val="00584817"/>
    <w:rsid w:val="00585322"/>
    <w:rsid w:val="005857C6"/>
    <w:rsid w:val="00592F6E"/>
    <w:rsid w:val="00593AD1"/>
    <w:rsid w:val="00595524"/>
    <w:rsid w:val="005A3519"/>
    <w:rsid w:val="005A4124"/>
    <w:rsid w:val="005A4F33"/>
    <w:rsid w:val="005A68B6"/>
    <w:rsid w:val="005B3BAE"/>
    <w:rsid w:val="005B5A9D"/>
    <w:rsid w:val="005C3B0A"/>
    <w:rsid w:val="005C53CC"/>
    <w:rsid w:val="005C5570"/>
    <w:rsid w:val="005C79A4"/>
    <w:rsid w:val="005D5442"/>
    <w:rsid w:val="005F4A41"/>
    <w:rsid w:val="005F5144"/>
    <w:rsid w:val="00603F32"/>
    <w:rsid w:val="00605AD4"/>
    <w:rsid w:val="006136D7"/>
    <w:rsid w:val="006176EA"/>
    <w:rsid w:val="006228DD"/>
    <w:rsid w:val="00625A6E"/>
    <w:rsid w:val="0062782C"/>
    <w:rsid w:val="00632398"/>
    <w:rsid w:val="00632EB1"/>
    <w:rsid w:val="00633E3B"/>
    <w:rsid w:val="00640FC3"/>
    <w:rsid w:val="00642020"/>
    <w:rsid w:val="006430EE"/>
    <w:rsid w:val="006452E8"/>
    <w:rsid w:val="0065337B"/>
    <w:rsid w:val="0065419D"/>
    <w:rsid w:val="006603BC"/>
    <w:rsid w:val="006604D8"/>
    <w:rsid w:val="00662CFD"/>
    <w:rsid w:val="00662E17"/>
    <w:rsid w:val="00664A5B"/>
    <w:rsid w:val="0066735C"/>
    <w:rsid w:val="006763D2"/>
    <w:rsid w:val="00680C08"/>
    <w:rsid w:val="00682CF8"/>
    <w:rsid w:val="006916A0"/>
    <w:rsid w:val="006931B1"/>
    <w:rsid w:val="00695FD5"/>
    <w:rsid w:val="006A15C0"/>
    <w:rsid w:val="006A58A8"/>
    <w:rsid w:val="006A5AF5"/>
    <w:rsid w:val="006B4E52"/>
    <w:rsid w:val="006C3E2A"/>
    <w:rsid w:val="006C642F"/>
    <w:rsid w:val="006D03E5"/>
    <w:rsid w:val="006D5D3E"/>
    <w:rsid w:val="006E08B3"/>
    <w:rsid w:val="006E2A8D"/>
    <w:rsid w:val="006F17AC"/>
    <w:rsid w:val="006F25B8"/>
    <w:rsid w:val="006F572E"/>
    <w:rsid w:val="007024EF"/>
    <w:rsid w:val="007046D6"/>
    <w:rsid w:val="00705DB0"/>
    <w:rsid w:val="00712463"/>
    <w:rsid w:val="007160DF"/>
    <w:rsid w:val="00716999"/>
    <w:rsid w:val="00722B57"/>
    <w:rsid w:val="0073039A"/>
    <w:rsid w:val="00730F8A"/>
    <w:rsid w:val="00735A8C"/>
    <w:rsid w:val="0073628F"/>
    <w:rsid w:val="0074253D"/>
    <w:rsid w:val="00743FB3"/>
    <w:rsid w:val="0074429B"/>
    <w:rsid w:val="007506EF"/>
    <w:rsid w:val="007615BC"/>
    <w:rsid w:val="00762097"/>
    <w:rsid w:val="00762F05"/>
    <w:rsid w:val="00762F70"/>
    <w:rsid w:val="007652FF"/>
    <w:rsid w:val="00770CAC"/>
    <w:rsid w:val="00770EF1"/>
    <w:rsid w:val="00773A3A"/>
    <w:rsid w:val="00773EF7"/>
    <w:rsid w:val="00774E1D"/>
    <w:rsid w:val="00775093"/>
    <w:rsid w:val="007765D8"/>
    <w:rsid w:val="0077675A"/>
    <w:rsid w:val="00777880"/>
    <w:rsid w:val="00780355"/>
    <w:rsid w:val="007819FD"/>
    <w:rsid w:val="00785717"/>
    <w:rsid w:val="00785721"/>
    <w:rsid w:val="00785FF5"/>
    <w:rsid w:val="007927E7"/>
    <w:rsid w:val="00793A59"/>
    <w:rsid w:val="00797943"/>
    <w:rsid w:val="007A46F5"/>
    <w:rsid w:val="007A6505"/>
    <w:rsid w:val="007B33BB"/>
    <w:rsid w:val="007B559C"/>
    <w:rsid w:val="007B6132"/>
    <w:rsid w:val="007B6E9F"/>
    <w:rsid w:val="007C1216"/>
    <w:rsid w:val="007C1AF7"/>
    <w:rsid w:val="007C6B9B"/>
    <w:rsid w:val="007C6ED1"/>
    <w:rsid w:val="007D7D33"/>
    <w:rsid w:val="007E34B0"/>
    <w:rsid w:val="007F30FC"/>
    <w:rsid w:val="00805657"/>
    <w:rsid w:val="00805D27"/>
    <w:rsid w:val="0080642C"/>
    <w:rsid w:val="00806DCB"/>
    <w:rsid w:val="00821776"/>
    <w:rsid w:val="008321F5"/>
    <w:rsid w:val="00832369"/>
    <w:rsid w:val="00834660"/>
    <w:rsid w:val="00836BC2"/>
    <w:rsid w:val="0085156D"/>
    <w:rsid w:val="00852B28"/>
    <w:rsid w:val="008530BF"/>
    <w:rsid w:val="00853BDA"/>
    <w:rsid w:val="0085641B"/>
    <w:rsid w:val="00857136"/>
    <w:rsid w:val="00871B0A"/>
    <w:rsid w:val="00875A6B"/>
    <w:rsid w:val="0088006C"/>
    <w:rsid w:val="008842B1"/>
    <w:rsid w:val="00885B11"/>
    <w:rsid w:val="00886D15"/>
    <w:rsid w:val="00887DD8"/>
    <w:rsid w:val="00891BA9"/>
    <w:rsid w:val="008924E1"/>
    <w:rsid w:val="00896018"/>
    <w:rsid w:val="008960DD"/>
    <w:rsid w:val="0089635C"/>
    <w:rsid w:val="008A2B9D"/>
    <w:rsid w:val="008A3D9F"/>
    <w:rsid w:val="008A5E0B"/>
    <w:rsid w:val="008A6D59"/>
    <w:rsid w:val="008A74C8"/>
    <w:rsid w:val="008B3967"/>
    <w:rsid w:val="008B4B03"/>
    <w:rsid w:val="008B596F"/>
    <w:rsid w:val="008C0283"/>
    <w:rsid w:val="008C159F"/>
    <w:rsid w:val="008C1623"/>
    <w:rsid w:val="008C1850"/>
    <w:rsid w:val="008C51A9"/>
    <w:rsid w:val="008D5C0A"/>
    <w:rsid w:val="008E7846"/>
    <w:rsid w:val="008F02E5"/>
    <w:rsid w:val="008F1CCC"/>
    <w:rsid w:val="008F2967"/>
    <w:rsid w:val="008F6943"/>
    <w:rsid w:val="00902A21"/>
    <w:rsid w:val="009032D1"/>
    <w:rsid w:val="00903B92"/>
    <w:rsid w:val="009119F1"/>
    <w:rsid w:val="0091523F"/>
    <w:rsid w:val="00920330"/>
    <w:rsid w:val="009219D7"/>
    <w:rsid w:val="00922D53"/>
    <w:rsid w:val="00923B70"/>
    <w:rsid w:val="00924482"/>
    <w:rsid w:val="00930237"/>
    <w:rsid w:val="00935658"/>
    <w:rsid w:val="00937C17"/>
    <w:rsid w:val="00940A89"/>
    <w:rsid w:val="00941F77"/>
    <w:rsid w:val="00945F4D"/>
    <w:rsid w:val="00946EA5"/>
    <w:rsid w:val="00951F2B"/>
    <w:rsid w:val="00960520"/>
    <w:rsid w:val="00963C08"/>
    <w:rsid w:val="0096596E"/>
    <w:rsid w:val="00967E87"/>
    <w:rsid w:val="009752A5"/>
    <w:rsid w:val="0098585A"/>
    <w:rsid w:val="0099141C"/>
    <w:rsid w:val="009A4CED"/>
    <w:rsid w:val="009A690D"/>
    <w:rsid w:val="009B1D12"/>
    <w:rsid w:val="009B416B"/>
    <w:rsid w:val="009C4BD5"/>
    <w:rsid w:val="009C5917"/>
    <w:rsid w:val="009D7B77"/>
    <w:rsid w:val="009E0BB0"/>
    <w:rsid w:val="009E3FBB"/>
    <w:rsid w:val="009E5766"/>
    <w:rsid w:val="009F6DCB"/>
    <w:rsid w:val="009F7353"/>
    <w:rsid w:val="00A04F85"/>
    <w:rsid w:val="00A05FA4"/>
    <w:rsid w:val="00A102E4"/>
    <w:rsid w:val="00A108D3"/>
    <w:rsid w:val="00A1219C"/>
    <w:rsid w:val="00A12745"/>
    <w:rsid w:val="00A12C42"/>
    <w:rsid w:val="00A14DF7"/>
    <w:rsid w:val="00A22D57"/>
    <w:rsid w:val="00A22F2B"/>
    <w:rsid w:val="00A233B8"/>
    <w:rsid w:val="00A3246D"/>
    <w:rsid w:val="00A36FA7"/>
    <w:rsid w:val="00A40152"/>
    <w:rsid w:val="00A44DDB"/>
    <w:rsid w:val="00A475B7"/>
    <w:rsid w:val="00A47AF7"/>
    <w:rsid w:val="00A47C3E"/>
    <w:rsid w:val="00A50226"/>
    <w:rsid w:val="00A5357B"/>
    <w:rsid w:val="00A60BAD"/>
    <w:rsid w:val="00A62488"/>
    <w:rsid w:val="00A77F87"/>
    <w:rsid w:val="00A80B5B"/>
    <w:rsid w:val="00A84BD3"/>
    <w:rsid w:val="00A84E36"/>
    <w:rsid w:val="00A9019A"/>
    <w:rsid w:val="00A90B9C"/>
    <w:rsid w:val="00A95951"/>
    <w:rsid w:val="00A964D1"/>
    <w:rsid w:val="00AA0ED0"/>
    <w:rsid w:val="00AB7DCB"/>
    <w:rsid w:val="00AC2B40"/>
    <w:rsid w:val="00AC2BB2"/>
    <w:rsid w:val="00AC2C3C"/>
    <w:rsid w:val="00AC512D"/>
    <w:rsid w:val="00AD0083"/>
    <w:rsid w:val="00AD3935"/>
    <w:rsid w:val="00AE4836"/>
    <w:rsid w:val="00AE65EB"/>
    <w:rsid w:val="00AE67A7"/>
    <w:rsid w:val="00AF1063"/>
    <w:rsid w:val="00AF1149"/>
    <w:rsid w:val="00AF1D94"/>
    <w:rsid w:val="00AF22A8"/>
    <w:rsid w:val="00AF43AD"/>
    <w:rsid w:val="00AF60C5"/>
    <w:rsid w:val="00AF6E81"/>
    <w:rsid w:val="00B009C6"/>
    <w:rsid w:val="00B01548"/>
    <w:rsid w:val="00B043A6"/>
    <w:rsid w:val="00B07F06"/>
    <w:rsid w:val="00B1061A"/>
    <w:rsid w:val="00B130C5"/>
    <w:rsid w:val="00B13EBD"/>
    <w:rsid w:val="00B16B51"/>
    <w:rsid w:val="00B21D29"/>
    <w:rsid w:val="00B24AE6"/>
    <w:rsid w:val="00B25034"/>
    <w:rsid w:val="00B26BCD"/>
    <w:rsid w:val="00B33588"/>
    <w:rsid w:val="00B33863"/>
    <w:rsid w:val="00B37D17"/>
    <w:rsid w:val="00B4175E"/>
    <w:rsid w:val="00B41C85"/>
    <w:rsid w:val="00B42585"/>
    <w:rsid w:val="00B452CE"/>
    <w:rsid w:val="00B53101"/>
    <w:rsid w:val="00B54A7D"/>
    <w:rsid w:val="00B54C25"/>
    <w:rsid w:val="00B73D32"/>
    <w:rsid w:val="00B76B91"/>
    <w:rsid w:val="00B77EB1"/>
    <w:rsid w:val="00B77F49"/>
    <w:rsid w:val="00B811C6"/>
    <w:rsid w:val="00B855B0"/>
    <w:rsid w:val="00B92E08"/>
    <w:rsid w:val="00BA1186"/>
    <w:rsid w:val="00BA74A4"/>
    <w:rsid w:val="00BA7565"/>
    <w:rsid w:val="00BC0633"/>
    <w:rsid w:val="00BC1887"/>
    <w:rsid w:val="00BC622A"/>
    <w:rsid w:val="00BC6EC4"/>
    <w:rsid w:val="00BD2AF7"/>
    <w:rsid w:val="00BD5995"/>
    <w:rsid w:val="00BE0156"/>
    <w:rsid w:val="00BE0A78"/>
    <w:rsid w:val="00BE79F0"/>
    <w:rsid w:val="00BF046D"/>
    <w:rsid w:val="00BF1190"/>
    <w:rsid w:val="00BF3774"/>
    <w:rsid w:val="00BF3D92"/>
    <w:rsid w:val="00BF493E"/>
    <w:rsid w:val="00BF5D04"/>
    <w:rsid w:val="00BF6B65"/>
    <w:rsid w:val="00C009AA"/>
    <w:rsid w:val="00C04BCD"/>
    <w:rsid w:val="00C113CA"/>
    <w:rsid w:val="00C1164D"/>
    <w:rsid w:val="00C1447C"/>
    <w:rsid w:val="00C16861"/>
    <w:rsid w:val="00C22B8B"/>
    <w:rsid w:val="00C346AB"/>
    <w:rsid w:val="00C404A6"/>
    <w:rsid w:val="00C40A36"/>
    <w:rsid w:val="00C44419"/>
    <w:rsid w:val="00C45E7B"/>
    <w:rsid w:val="00C471B1"/>
    <w:rsid w:val="00C52E24"/>
    <w:rsid w:val="00C53555"/>
    <w:rsid w:val="00C57A6D"/>
    <w:rsid w:val="00C615EC"/>
    <w:rsid w:val="00C6316B"/>
    <w:rsid w:val="00C634A9"/>
    <w:rsid w:val="00C64586"/>
    <w:rsid w:val="00C66670"/>
    <w:rsid w:val="00C70D53"/>
    <w:rsid w:val="00C73D0B"/>
    <w:rsid w:val="00C74F5C"/>
    <w:rsid w:val="00C772FF"/>
    <w:rsid w:val="00C80137"/>
    <w:rsid w:val="00C801AF"/>
    <w:rsid w:val="00C80256"/>
    <w:rsid w:val="00C83C1B"/>
    <w:rsid w:val="00C86F38"/>
    <w:rsid w:val="00C876EB"/>
    <w:rsid w:val="00C91114"/>
    <w:rsid w:val="00C94CD4"/>
    <w:rsid w:val="00C9747E"/>
    <w:rsid w:val="00CA4BE0"/>
    <w:rsid w:val="00CB6BC0"/>
    <w:rsid w:val="00CB732F"/>
    <w:rsid w:val="00CC1B7C"/>
    <w:rsid w:val="00CC727F"/>
    <w:rsid w:val="00CD31A0"/>
    <w:rsid w:val="00CE71DB"/>
    <w:rsid w:val="00CF15C3"/>
    <w:rsid w:val="00CF18AF"/>
    <w:rsid w:val="00CF2B6F"/>
    <w:rsid w:val="00CF2F3E"/>
    <w:rsid w:val="00CF58B6"/>
    <w:rsid w:val="00D0062D"/>
    <w:rsid w:val="00D00983"/>
    <w:rsid w:val="00D017ED"/>
    <w:rsid w:val="00D02260"/>
    <w:rsid w:val="00D040D3"/>
    <w:rsid w:val="00D04C65"/>
    <w:rsid w:val="00D06377"/>
    <w:rsid w:val="00D153D8"/>
    <w:rsid w:val="00D201D2"/>
    <w:rsid w:val="00D224FE"/>
    <w:rsid w:val="00D23139"/>
    <w:rsid w:val="00D331A9"/>
    <w:rsid w:val="00D425BB"/>
    <w:rsid w:val="00D453FA"/>
    <w:rsid w:val="00D46E2C"/>
    <w:rsid w:val="00D47B73"/>
    <w:rsid w:val="00D53524"/>
    <w:rsid w:val="00D5442D"/>
    <w:rsid w:val="00D561C3"/>
    <w:rsid w:val="00D570D0"/>
    <w:rsid w:val="00D6493E"/>
    <w:rsid w:val="00D71657"/>
    <w:rsid w:val="00D7195D"/>
    <w:rsid w:val="00D720A9"/>
    <w:rsid w:val="00D72FE4"/>
    <w:rsid w:val="00D7301E"/>
    <w:rsid w:val="00D74FA6"/>
    <w:rsid w:val="00D821E8"/>
    <w:rsid w:val="00D83AE1"/>
    <w:rsid w:val="00D855D4"/>
    <w:rsid w:val="00D902C9"/>
    <w:rsid w:val="00D92A12"/>
    <w:rsid w:val="00D93466"/>
    <w:rsid w:val="00D9629A"/>
    <w:rsid w:val="00DA1124"/>
    <w:rsid w:val="00DA18C7"/>
    <w:rsid w:val="00DA264F"/>
    <w:rsid w:val="00DA64CB"/>
    <w:rsid w:val="00DB06B8"/>
    <w:rsid w:val="00DB0A59"/>
    <w:rsid w:val="00DB6124"/>
    <w:rsid w:val="00DB750B"/>
    <w:rsid w:val="00DB75B7"/>
    <w:rsid w:val="00DC0A2F"/>
    <w:rsid w:val="00DC1948"/>
    <w:rsid w:val="00DC2D73"/>
    <w:rsid w:val="00DC59B0"/>
    <w:rsid w:val="00DC6E02"/>
    <w:rsid w:val="00DD28CD"/>
    <w:rsid w:val="00DE02AE"/>
    <w:rsid w:val="00DE2AC0"/>
    <w:rsid w:val="00DE39D1"/>
    <w:rsid w:val="00DF1D7F"/>
    <w:rsid w:val="00DF4BE4"/>
    <w:rsid w:val="00E0068F"/>
    <w:rsid w:val="00E02382"/>
    <w:rsid w:val="00E02CBA"/>
    <w:rsid w:val="00E02FB4"/>
    <w:rsid w:val="00E05A2E"/>
    <w:rsid w:val="00E07D00"/>
    <w:rsid w:val="00E11F73"/>
    <w:rsid w:val="00E13FC7"/>
    <w:rsid w:val="00E20571"/>
    <w:rsid w:val="00E235F7"/>
    <w:rsid w:val="00E23659"/>
    <w:rsid w:val="00E239D4"/>
    <w:rsid w:val="00E2429A"/>
    <w:rsid w:val="00E26130"/>
    <w:rsid w:val="00E35A2F"/>
    <w:rsid w:val="00E40B22"/>
    <w:rsid w:val="00E44ED1"/>
    <w:rsid w:val="00E45619"/>
    <w:rsid w:val="00E4588F"/>
    <w:rsid w:val="00E46DA3"/>
    <w:rsid w:val="00E51BB1"/>
    <w:rsid w:val="00E55648"/>
    <w:rsid w:val="00E55CB0"/>
    <w:rsid w:val="00E56AD7"/>
    <w:rsid w:val="00E624A5"/>
    <w:rsid w:val="00E64BA4"/>
    <w:rsid w:val="00E7344E"/>
    <w:rsid w:val="00E82665"/>
    <w:rsid w:val="00E86090"/>
    <w:rsid w:val="00E87C7E"/>
    <w:rsid w:val="00E87F25"/>
    <w:rsid w:val="00EA2A71"/>
    <w:rsid w:val="00EA4BB8"/>
    <w:rsid w:val="00EB0798"/>
    <w:rsid w:val="00EB40AD"/>
    <w:rsid w:val="00EB586E"/>
    <w:rsid w:val="00EB5FC8"/>
    <w:rsid w:val="00EC463D"/>
    <w:rsid w:val="00EC7A85"/>
    <w:rsid w:val="00ED2922"/>
    <w:rsid w:val="00ED3CAD"/>
    <w:rsid w:val="00ED5A41"/>
    <w:rsid w:val="00EE0DDA"/>
    <w:rsid w:val="00EE1DE8"/>
    <w:rsid w:val="00EE27C2"/>
    <w:rsid w:val="00EF4BAD"/>
    <w:rsid w:val="00EF59DC"/>
    <w:rsid w:val="00EF654D"/>
    <w:rsid w:val="00F02BBF"/>
    <w:rsid w:val="00F033EC"/>
    <w:rsid w:val="00F04454"/>
    <w:rsid w:val="00F04669"/>
    <w:rsid w:val="00F04F68"/>
    <w:rsid w:val="00F12670"/>
    <w:rsid w:val="00F1483C"/>
    <w:rsid w:val="00F14B27"/>
    <w:rsid w:val="00F14E55"/>
    <w:rsid w:val="00F154FD"/>
    <w:rsid w:val="00F24F10"/>
    <w:rsid w:val="00F276BC"/>
    <w:rsid w:val="00F3148D"/>
    <w:rsid w:val="00F325C5"/>
    <w:rsid w:val="00F32FE0"/>
    <w:rsid w:val="00F338D5"/>
    <w:rsid w:val="00F35298"/>
    <w:rsid w:val="00F47333"/>
    <w:rsid w:val="00F47E37"/>
    <w:rsid w:val="00F53C07"/>
    <w:rsid w:val="00F54B65"/>
    <w:rsid w:val="00F640B6"/>
    <w:rsid w:val="00F66DF2"/>
    <w:rsid w:val="00F80E40"/>
    <w:rsid w:val="00F848D9"/>
    <w:rsid w:val="00F91329"/>
    <w:rsid w:val="00FA1A64"/>
    <w:rsid w:val="00FA5069"/>
    <w:rsid w:val="00FA5B82"/>
    <w:rsid w:val="00FA639E"/>
    <w:rsid w:val="00FC1FCA"/>
    <w:rsid w:val="00FC25E4"/>
    <w:rsid w:val="00FC4EF7"/>
    <w:rsid w:val="00FD0824"/>
    <w:rsid w:val="00FD119B"/>
    <w:rsid w:val="00FD1EDC"/>
    <w:rsid w:val="00FD58FD"/>
    <w:rsid w:val="00FE1DEE"/>
    <w:rsid w:val="00FF2126"/>
    <w:rsid w:val="00FF243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22BA6B7"/>
  <w15:docId w15:val="{30656ED8-2CE9-459A-94EA-0046DDAB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452E8"/>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452E8"/>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6452E8"/>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452E8"/>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452E8"/>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6452E8"/>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452E8"/>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apple-converted-space">
    <w:name w:val="apple-converted-space"/>
    <w:basedOn w:val="DefaultParagraphFont"/>
    <w:rsid w:val="00716999"/>
  </w:style>
  <w:style w:type="paragraph" w:styleId="ListParagraph">
    <w:name w:val="List Paragraph"/>
    <w:basedOn w:val="Normal"/>
    <w:uiPriority w:val="34"/>
    <w:rsid w:val="00C22B8B"/>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Normal"/>
    <w:rsid w:val="00584817"/>
    <w:pPr>
      <w:numPr>
        <w:numId w:val="32"/>
      </w:numPr>
      <w:tabs>
        <w:tab w:val="left" w:pos="397"/>
      </w:tabs>
      <w:spacing w:before="0" w:after="180" w:line="252" w:lineRule="auto"/>
    </w:pPr>
    <w:rPr>
      <w:rFonts w:eastAsia="Times New Roman"/>
      <w:snapToGrid w:val="0"/>
      <w:kern w:val="16"/>
      <w:szCs w:val="24"/>
    </w:rPr>
  </w:style>
  <w:style w:type="character" w:customStyle="1" w:styleId="e24kjd">
    <w:name w:val="e24kjd"/>
    <w:basedOn w:val="DefaultParagraphFont"/>
    <w:rsid w:val="00945F4D"/>
  </w:style>
  <w:style w:type="character" w:customStyle="1" w:styleId="st1">
    <w:name w:val="st1"/>
    <w:basedOn w:val="DefaultParagraphFont"/>
    <w:rsid w:val="00E0068F"/>
  </w:style>
  <w:style w:type="paragraph" w:customStyle="1" w:styleId="Standard">
    <w:name w:val="Standard"/>
    <w:basedOn w:val="Normal"/>
    <w:link w:val="StandardChar"/>
    <w:qFormat/>
    <w:rsid w:val="00A4015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A40152"/>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A40152"/>
    <w:rPr>
      <w:rFonts w:ascii="Cambria" w:eastAsia="Cambria" w:hAnsi="Cambria" w:cs="Times New Roman"/>
      <w:snapToGrid/>
      <w:kern w:val="16"/>
      <w:sz w:val="19"/>
      <w:szCs w:val="24"/>
    </w:rPr>
  </w:style>
  <w:style w:type="paragraph" w:customStyle="1" w:styleId="Default">
    <w:name w:val="Default"/>
    <w:rsid w:val="00C83C1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DC2D73"/>
    <w:rPr>
      <w:i/>
      <w:iCs/>
    </w:rPr>
  </w:style>
  <w:style w:type="character" w:customStyle="1" w:styleId="titledefault">
    <w:name w:val="title_default"/>
    <w:basedOn w:val="DefaultParagraphFont"/>
    <w:rsid w:val="004D7552"/>
  </w:style>
  <w:style w:type="paragraph" w:styleId="TOC6">
    <w:name w:val="toc 6"/>
    <w:basedOn w:val="Normal"/>
    <w:next w:val="Normal"/>
    <w:autoRedefine/>
    <w:uiPriority w:val="39"/>
    <w:semiHidden/>
    <w:unhideWhenUsed/>
    <w:rsid w:val="00347F32"/>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207425">
      <w:bodyDiv w:val="1"/>
      <w:marLeft w:val="0"/>
      <w:marRight w:val="0"/>
      <w:marTop w:val="0"/>
      <w:marBottom w:val="0"/>
      <w:divBdr>
        <w:top w:val="none" w:sz="0" w:space="0" w:color="auto"/>
        <w:left w:val="none" w:sz="0" w:space="0" w:color="auto"/>
        <w:bottom w:val="none" w:sz="0" w:space="0" w:color="auto"/>
        <w:right w:val="none" w:sz="0" w:space="0" w:color="auto"/>
      </w:divBdr>
    </w:div>
    <w:div w:id="776947192">
      <w:bodyDiv w:val="1"/>
      <w:marLeft w:val="0"/>
      <w:marRight w:val="0"/>
      <w:marTop w:val="0"/>
      <w:marBottom w:val="0"/>
      <w:divBdr>
        <w:top w:val="none" w:sz="0" w:space="0" w:color="auto"/>
        <w:left w:val="none" w:sz="0" w:space="0" w:color="auto"/>
        <w:bottom w:val="none" w:sz="0" w:space="0" w:color="auto"/>
        <w:right w:val="none" w:sz="0" w:space="0" w:color="auto"/>
      </w:divBdr>
      <w:divsChild>
        <w:div w:id="900216353">
          <w:marLeft w:val="0"/>
          <w:marRight w:val="0"/>
          <w:marTop w:val="0"/>
          <w:marBottom w:val="0"/>
          <w:divBdr>
            <w:top w:val="none" w:sz="0" w:space="0" w:color="auto"/>
            <w:left w:val="none" w:sz="0" w:space="0" w:color="auto"/>
            <w:bottom w:val="none" w:sz="0" w:space="0" w:color="auto"/>
            <w:right w:val="none" w:sz="0" w:space="0" w:color="auto"/>
          </w:divBdr>
          <w:divsChild>
            <w:div w:id="1720786594">
              <w:marLeft w:val="0"/>
              <w:marRight w:val="0"/>
              <w:marTop w:val="0"/>
              <w:marBottom w:val="0"/>
              <w:divBdr>
                <w:top w:val="none" w:sz="0" w:space="0" w:color="auto"/>
                <w:left w:val="none" w:sz="0" w:space="0" w:color="auto"/>
                <w:bottom w:val="none" w:sz="0" w:space="0" w:color="auto"/>
                <w:right w:val="none" w:sz="0" w:space="0" w:color="auto"/>
              </w:divBdr>
              <w:divsChild>
                <w:div w:id="271599000">
                  <w:marLeft w:val="0"/>
                  <w:marRight w:val="0"/>
                  <w:marTop w:val="0"/>
                  <w:marBottom w:val="0"/>
                  <w:divBdr>
                    <w:top w:val="none" w:sz="0" w:space="0" w:color="auto"/>
                    <w:left w:val="none" w:sz="0" w:space="0" w:color="auto"/>
                    <w:bottom w:val="none" w:sz="0" w:space="0" w:color="auto"/>
                    <w:right w:val="none" w:sz="0" w:space="0" w:color="auto"/>
                  </w:divBdr>
                  <w:divsChild>
                    <w:div w:id="586840873">
                      <w:marLeft w:val="0"/>
                      <w:marRight w:val="0"/>
                      <w:marTop w:val="0"/>
                      <w:marBottom w:val="0"/>
                      <w:divBdr>
                        <w:top w:val="none" w:sz="0" w:space="0" w:color="auto"/>
                        <w:left w:val="none" w:sz="0" w:space="0" w:color="auto"/>
                        <w:bottom w:val="none" w:sz="0" w:space="0" w:color="auto"/>
                        <w:right w:val="none" w:sz="0" w:space="0" w:color="auto"/>
                      </w:divBdr>
                      <w:divsChild>
                        <w:div w:id="1510828520">
                          <w:marLeft w:val="0"/>
                          <w:marRight w:val="0"/>
                          <w:marTop w:val="0"/>
                          <w:marBottom w:val="0"/>
                          <w:divBdr>
                            <w:top w:val="none" w:sz="0" w:space="0" w:color="auto"/>
                            <w:left w:val="none" w:sz="0" w:space="0" w:color="auto"/>
                            <w:bottom w:val="none" w:sz="0" w:space="0" w:color="auto"/>
                            <w:right w:val="none" w:sz="0" w:space="0" w:color="auto"/>
                          </w:divBdr>
                          <w:divsChild>
                            <w:div w:id="1043288012">
                              <w:marLeft w:val="0"/>
                              <w:marRight w:val="0"/>
                              <w:marTop w:val="0"/>
                              <w:marBottom w:val="0"/>
                              <w:divBdr>
                                <w:top w:val="none" w:sz="0" w:space="0" w:color="auto"/>
                                <w:left w:val="none" w:sz="0" w:space="0" w:color="auto"/>
                                <w:bottom w:val="none" w:sz="0" w:space="0" w:color="auto"/>
                                <w:right w:val="none" w:sz="0" w:space="0" w:color="auto"/>
                              </w:divBdr>
                              <w:divsChild>
                                <w:div w:id="39668079">
                                  <w:marLeft w:val="0"/>
                                  <w:marRight w:val="0"/>
                                  <w:marTop w:val="0"/>
                                  <w:marBottom w:val="0"/>
                                  <w:divBdr>
                                    <w:top w:val="none" w:sz="0" w:space="0" w:color="auto"/>
                                    <w:left w:val="none" w:sz="0" w:space="0" w:color="auto"/>
                                    <w:bottom w:val="none" w:sz="0" w:space="0" w:color="auto"/>
                                    <w:right w:val="none" w:sz="0" w:space="0" w:color="auto"/>
                                  </w:divBdr>
                                  <w:divsChild>
                                    <w:div w:id="1215236163">
                                      <w:marLeft w:val="0"/>
                                      <w:marRight w:val="0"/>
                                      <w:marTop w:val="0"/>
                                      <w:marBottom w:val="0"/>
                                      <w:divBdr>
                                        <w:top w:val="none" w:sz="0" w:space="0" w:color="auto"/>
                                        <w:left w:val="none" w:sz="0" w:space="0" w:color="auto"/>
                                        <w:bottom w:val="none" w:sz="0" w:space="0" w:color="auto"/>
                                        <w:right w:val="none" w:sz="0" w:space="0" w:color="auto"/>
                                      </w:divBdr>
                                      <w:divsChild>
                                        <w:div w:id="1947535696">
                                          <w:marLeft w:val="0"/>
                                          <w:marRight w:val="0"/>
                                          <w:marTop w:val="0"/>
                                          <w:marBottom w:val="0"/>
                                          <w:divBdr>
                                            <w:top w:val="none" w:sz="0" w:space="0" w:color="auto"/>
                                            <w:left w:val="none" w:sz="0" w:space="0" w:color="auto"/>
                                            <w:bottom w:val="none" w:sz="0" w:space="0" w:color="auto"/>
                                            <w:right w:val="none" w:sz="0" w:space="0" w:color="auto"/>
                                          </w:divBdr>
                                          <w:divsChild>
                                            <w:div w:id="936713184">
                                              <w:marLeft w:val="0"/>
                                              <w:marRight w:val="0"/>
                                              <w:marTop w:val="0"/>
                                              <w:marBottom w:val="0"/>
                                              <w:divBdr>
                                                <w:top w:val="none" w:sz="0" w:space="0" w:color="auto"/>
                                                <w:left w:val="none" w:sz="0" w:space="0" w:color="auto"/>
                                                <w:bottom w:val="none" w:sz="0" w:space="0" w:color="auto"/>
                                                <w:right w:val="none" w:sz="0" w:space="0" w:color="auto"/>
                                              </w:divBdr>
                                              <w:divsChild>
                                                <w:div w:id="1887640280">
                                                  <w:marLeft w:val="0"/>
                                                  <w:marRight w:val="0"/>
                                                  <w:marTop w:val="0"/>
                                                  <w:marBottom w:val="0"/>
                                                  <w:divBdr>
                                                    <w:top w:val="none" w:sz="0" w:space="0" w:color="auto"/>
                                                    <w:left w:val="none" w:sz="0" w:space="0" w:color="auto"/>
                                                    <w:bottom w:val="none" w:sz="0" w:space="0" w:color="auto"/>
                                                    <w:right w:val="none" w:sz="0" w:space="0" w:color="auto"/>
                                                  </w:divBdr>
                                                  <w:divsChild>
                                                    <w:div w:id="103720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4156603">
      <w:bodyDiv w:val="1"/>
      <w:marLeft w:val="0"/>
      <w:marRight w:val="0"/>
      <w:marTop w:val="0"/>
      <w:marBottom w:val="0"/>
      <w:divBdr>
        <w:top w:val="none" w:sz="0" w:space="0" w:color="auto"/>
        <w:left w:val="none" w:sz="0" w:space="0" w:color="auto"/>
        <w:bottom w:val="none" w:sz="0" w:space="0" w:color="auto"/>
        <w:right w:val="none" w:sz="0" w:space="0" w:color="auto"/>
      </w:divBdr>
      <w:divsChild>
        <w:div w:id="414984800">
          <w:marLeft w:val="0"/>
          <w:marRight w:val="0"/>
          <w:marTop w:val="0"/>
          <w:marBottom w:val="0"/>
          <w:divBdr>
            <w:top w:val="none" w:sz="0" w:space="0" w:color="auto"/>
            <w:left w:val="none" w:sz="0" w:space="0" w:color="auto"/>
            <w:bottom w:val="none" w:sz="0" w:space="0" w:color="auto"/>
            <w:right w:val="none" w:sz="0" w:space="0" w:color="auto"/>
          </w:divBdr>
          <w:divsChild>
            <w:div w:id="300502292">
              <w:marLeft w:val="0"/>
              <w:marRight w:val="0"/>
              <w:marTop w:val="0"/>
              <w:marBottom w:val="0"/>
              <w:divBdr>
                <w:top w:val="none" w:sz="0" w:space="0" w:color="auto"/>
                <w:left w:val="none" w:sz="0" w:space="0" w:color="auto"/>
                <w:bottom w:val="none" w:sz="0" w:space="0" w:color="auto"/>
                <w:right w:val="none" w:sz="0" w:space="0" w:color="auto"/>
              </w:divBdr>
              <w:divsChild>
                <w:div w:id="1981029932">
                  <w:marLeft w:val="0"/>
                  <w:marRight w:val="0"/>
                  <w:marTop w:val="0"/>
                  <w:marBottom w:val="0"/>
                  <w:divBdr>
                    <w:top w:val="none" w:sz="0" w:space="0" w:color="auto"/>
                    <w:left w:val="none" w:sz="0" w:space="0" w:color="auto"/>
                    <w:bottom w:val="none" w:sz="0" w:space="0" w:color="auto"/>
                    <w:right w:val="none" w:sz="0" w:space="0" w:color="auto"/>
                  </w:divBdr>
                  <w:divsChild>
                    <w:div w:id="1868714136">
                      <w:marLeft w:val="0"/>
                      <w:marRight w:val="0"/>
                      <w:marTop w:val="0"/>
                      <w:marBottom w:val="0"/>
                      <w:divBdr>
                        <w:top w:val="none" w:sz="0" w:space="0" w:color="auto"/>
                        <w:left w:val="none" w:sz="0" w:space="0" w:color="auto"/>
                        <w:bottom w:val="none" w:sz="0" w:space="0" w:color="auto"/>
                        <w:right w:val="none" w:sz="0" w:space="0" w:color="auto"/>
                      </w:divBdr>
                      <w:divsChild>
                        <w:div w:id="492111121">
                          <w:marLeft w:val="0"/>
                          <w:marRight w:val="0"/>
                          <w:marTop w:val="0"/>
                          <w:marBottom w:val="0"/>
                          <w:divBdr>
                            <w:top w:val="none" w:sz="0" w:space="0" w:color="auto"/>
                            <w:left w:val="none" w:sz="0" w:space="0" w:color="auto"/>
                            <w:bottom w:val="none" w:sz="0" w:space="0" w:color="auto"/>
                            <w:right w:val="none" w:sz="0" w:space="0" w:color="auto"/>
                          </w:divBdr>
                          <w:divsChild>
                            <w:div w:id="536744071">
                              <w:marLeft w:val="0"/>
                              <w:marRight w:val="0"/>
                              <w:marTop w:val="0"/>
                              <w:marBottom w:val="150"/>
                              <w:divBdr>
                                <w:top w:val="none" w:sz="0" w:space="0" w:color="auto"/>
                                <w:left w:val="none" w:sz="0" w:space="0" w:color="auto"/>
                                <w:bottom w:val="none" w:sz="0" w:space="0" w:color="auto"/>
                                <w:right w:val="none" w:sz="0" w:space="0" w:color="auto"/>
                              </w:divBdr>
                              <w:divsChild>
                                <w:div w:id="475294915">
                                  <w:marLeft w:val="0"/>
                                  <w:marRight w:val="0"/>
                                  <w:marTop w:val="0"/>
                                  <w:marBottom w:val="0"/>
                                  <w:divBdr>
                                    <w:top w:val="none" w:sz="0" w:space="0" w:color="auto"/>
                                    <w:left w:val="none" w:sz="0" w:space="0" w:color="auto"/>
                                    <w:bottom w:val="none" w:sz="0" w:space="0" w:color="auto"/>
                                    <w:right w:val="none" w:sz="0" w:space="0" w:color="auto"/>
                                  </w:divBdr>
                                  <w:divsChild>
                                    <w:div w:id="1419598828">
                                      <w:marLeft w:val="0"/>
                                      <w:marRight w:val="0"/>
                                      <w:marTop w:val="0"/>
                                      <w:marBottom w:val="0"/>
                                      <w:divBdr>
                                        <w:top w:val="none" w:sz="0" w:space="0" w:color="auto"/>
                                        <w:left w:val="none" w:sz="0" w:space="0" w:color="auto"/>
                                        <w:bottom w:val="none" w:sz="0" w:space="0" w:color="auto"/>
                                        <w:right w:val="none" w:sz="0" w:space="0" w:color="auto"/>
                                      </w:divBdr>
                                      <w:divsChild>
                                        <w:div w:id="1306468784">
                                          <w:marLeft w:val="0"/>
                                          <w:marRight w:val="0"/>
                                          <w:marTop w:val="0"/>
                                          <w:marBottom w:val="0"/>
                                          <w:divBdr>
                                            <w:top w:val="none" w:sz="0" w:space="0" w:color="auto"/>
                                            <w:left w:val="none" w:sz="0" w:space="0" w:color="auto"/>
                                            <w:bottom w:val="none" w:sz="0" w:space="0" w:color="auto"/>
                                            <w:right w:val="none" w:sz="0" w:space="0" w:color="auto"/>
                                          </w:divBdr>
                                          <w:divsChild>
                                            <w:div w:id="1219512951">
                                              <w:marLeft w:val="0"/>
                                              <w:marRight w:val="0"/>
                                              <w:marTop w:val="75"/>
                                              <w:marBottom w:val="0"/>
                                              <w:divBdr>
                                                <w:top w:val="none" w:sz="0" w:space="0" w:color="auto"/>
                                                <w:left w:val="none" w:sz="0" w:space="0" w:color="auto"/>
                                                <w:bottom w:val="none" w:sz="0" w:space="0" w:color="auto"/>
                                                <w:right w:val="none" w:sz="0" w:space="0" w:color="auto"/>
                                              </w:divBdr>
                                              <w:divsChild>
                                                <w:div w:id="1014066856">
                                                  <w:marLeft w:val="0"/>
                                                  <w:marRight w:val="0"/>
                                                  <w:marTop w:val="0"/>
                                                  <w:marBottom w:val="0"/>
                                                  <w:divBdr>
                                                    <w:top w:val="none" w:sz="0" w:space="0" w:color="auto"/>
                                                    <w:left w:val="none" w:sz="0" w:space="0" w:color="auto"/>
                                                    <w:bottom w:val="none" w:sz="0" w:space="0" w:color="auto"/>
                                                    <w:right w:val="none" w:sz="0" w:space="0" w:color="auto"/>
                                                  </w:divBdr>
                                                  <w:divsChild>
                                                    <w:div w:id="827021763">
                                                      <w:marLeft w:val="0"/>
                                                      <w:marRight w:val="0"/>
                                                      <w:marTop w:val="0"/>
                                                      <w:marBottom w:val="0"/>
                                                      <w:divBdr>
                                                        <w:top w:val="none" w:sz="0" w:space="0" w:color="auto"/>
                                                        <w:left w:val="none" w:sz="0" w:space="0" w:color="auto"/>
                                                        <w:bottom w:val="none" w:sz="0" w:space="0" w:color="auto"/>
                                                        <w:right w:val="none" w:sz="0" w:space="0" w:color="auto"/>
                                                      </w:divBdr>
                                                      <w:divsChild>
                                                        <w:div w:id="713768559">
                                                          <w:marLeft w:val="0"/>
                                                          <w:marRight w:val="0"/>
                                                          <w:marTop w:val="0"/>
                                                          <w:marBottom w:val="0"/>
                                                          <w:divBdr>
                                                            <w:top w:val="none" w:sz="0" w:space="0" w:color="auto"/>
                                                            <w:left w:val="none" w:sz="0" w:space="0" w:color="auto"/>
                                                            <w:bottom w:val="none" w:sz="0" w:space="0" w:color="auto"/>
                                                            <w:right w:val="none" w:sz="0" w:space="0" w:color="auto"/>
                                                          </w:divBdr>
                                                          <w:divsChild>
                                                            <w:div w:id="14627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498959">
                                          <w:marLeft w:val="0"/>
                                          <w:marRight w:val="0"/>
                                          <w:marTop w:val="0"/>
                                          <w:marBottom w:val="0"/>
                                          <w:divBdr>
                                            <w:top w:val="none" w:sz="0" w:space="0" w:color="auto"/>
                                            <w:left w:val="none" w:sz="0" w:space="0" w:color="auto"/>
                                            <w:bottom w:val="none" w:sz="0" w:space="0" w:color="auto"/>
                                            <w:right w:val="none" w:sz="0" w:space="0" w:color="auto"/>
                                          </w:divBdr>
                                          <w:divsChild>
                                            <w:div w:id="1486510716">
                                              <w:marLeft w:val="0"/>
                                              <w:marRight w:val="0"/>
                                              <w:marTop w:val="75"/>
                                              <w:marBottom w:val="0"/>
                                              <w:divBdr>
                                                <w:top w:val="none" w:sz="0" w:space="0" w:color="auto"/>
                                                <w:left w:val="none" w:sz="0" w:space="0" w:color="auto"/>
                                                <w:bottom w:val="none" w:sz="0" w:space="0" w:color="auto"/>
                                                <w:right w:val="none" w:sz="0" w:space="0" w:color="auto"/>
                                              </w:divBdr>
                                              <w:divsChild>
                                                <w:div w:id="1581061897">
                                                  <w:marLeft w:val="0"/>
                                                  <w:marRight w:val="0"/>
                                                  <w:marTop w:val="0"/>
                                                  <w:marBottom w:val="0"/>
                                                  <w:divBdr>
                                                    <w:top w:val="none" w:sz="0" w:space="0" w:color="auto"/>
                                                    <w:left w:val="none" w:sz="0" w:space="0" w:color="auto"/>
                                                    <w:bottom w:val="none" w:sz="0" w:space="0" w:color="auto"/>
                                                    <w:right w:val="none" w:sz="0" w:space="0" w:color="auto"/>
                                                  </w:divBdr>
                                                </w:div>
                                                <w:div w:id="1674408016">
                                                  <w:marLeft w:val="0"/>
                                                  <w:marRight w:val="0"/>
                                                  <w:marTop w:val="0"/>
                                                  <w:marBottom w:val="0"/>
                                                  <w:divBdr>
                                                    <w:top w:val="none" w:sz="0" w:space="0" w:color="auto"/>
                                                    <w:left w:val="none" w:sz="0" w:space="0" w:color="auto"/>
                                                    <w:bottom w:val="none" w:sz="0" w:space="0" w:color="auto"/>
                                                    <w:right w:val="none" w:sz="0" w:space="0" w:color="auto"/>
                                                  </w:divBdr>
                                                  <w:divsChild>
                                                    <w:div w:id="1778865014">
                                                      <w:marLeft w:val="0"/>
                                                      <w:marRight w:val="0"/>
                                                      <w:marTop w:val="0"/>
                                                      <w:marBottom w:val="0"/>
                                                      <w:divBdr>
                                                        <w:top w:val="none" w:sz="0" w:space="0" w:color="auto"/>
                                                        <w:left w:val="none" w:sz="0" w:space="0" w:color="auto"/>
                                                        <w:bottom w:val="none" w:sz="0" w:space="0" w:color="auto"/>
                                                        <w:right w:val="none" w:sz="0" w:space="0" w:color="auto"/>
                                                      </w:divBdr>
                                                      <w:divsChild>
                                                        <w:div w:id="10137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2209623">
      <w:bodyDiv w:val="1"/>
      <w:marLeft w:val="0"/>
      <w:marRight w:val="0"/>
      <w:marTop w:val="0"/>
      <w:marBottom w:val="0"/>
      <w:divBdr>
        <w:top w:val="none" w:sz="0" w:space="0" w:color="auto"/>
        <w:left w:val="none" w:sz="0" w:space="0" w:color="auto"/>
        <w:bottom w:val="none" w:sz="0" w:space="0" w:color="auto"/>
        <w:right w:val="none" w:sz="0" w:space="0" w:color="auto"/>
      </w:divBdr>
    </w:div>
    <w:div w:id="1933584867">
      <w:bodyDiv w:val="1"/>
      <w:marLeft w:val="0"/>
      <w:marRight w:val="0"/>
      <w:marTop w:val="0"/>
      <w:marBottom w:val="0"/>
      <w:divBdr>
        <w:top w:val="none" w:sz="0" w:space="0" w:color="auto"/>
        <w:left w:val="none" w:sz="0" w:space="0" w:color="auto"/>
        <w:bottom w:val="none" w:sz="0" w:space="0" w:color="auto"/>
        <w:right w:val="none" w:sz="0" w:space="0" w:color="auto"/>
      </w:divBdr>
    </w:div>
    <w:div w:id="195625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image" Target="media/image2.png"/><Relationship Id="rId25" Type="http://schemas.openxmlformats.org/officeDocument/2006/relationships/hyperlink" Target="https://www.tga.gov.au/product-information-pi" TargetMode="External"/><Relationship Id="rId33" Type="http://schemas.openxmlformats.org/officeDocument/2006/relationships/header" Target="header7.xml"/><Relationship Id="rId38" Type="http://schemas.openxmlformats.org/officeDocument/2006/relationships/theme" Target="theme/theme1.xm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nps.org.au/australian-prescriber/articles/glycated-haemoglobin-for-the-diagnosis-of-diabetes" TargetMode="External"/><Relationship Id="rId2" Type="http://schemas.openxmlformats.org/officeDocument/2006/relationships/hyperlink" Target="https://clinicaltrials.gov/ct2/show/NCT02437318" TargetMode="External"/><Relationship Id="rId1" Type="http://schemas.openxmlformats.org/officeDocument/2006/relationships/hyperlink" Target="https://seer.cancer.gov/explor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LUST\AppData\Local\Hewlett-Packard\HP%20TRIM\TEMP\HPTRIM.51156\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94B0AD07BC204487AD457BFE210FCD" ma:contentTypeVersion="13" ma:contentTypeDescription="Create a new document." ma:contentTypeScope="" ma:versionID="970840843b04004868473905e1f1018d">
  <xsd:schema xmlns:xsd="http://www.w3.org/2001/XMLSchema" xmlns:xs="http://www.w3.org/2001/XMLSchema" xmlns:p="http://schemas.microsoft.com/office/2006/metadata/properties" xmlns:ns3="d727cc9b-f794-491c-97a4-ae42c284eff0" xmlns:ns4="fb689e2c-ae1d-49c3-b5ce-0e93cf9c8b65" targetNamespace="http://schemas.microsoft.com/office/2006/metadata/properties" ma:root="true" ma:fieldsID="1204b4998c9e61c4b96685b007a0d2bc" ns3:_="" ns4:_="">
    <xsd:import namespace="d727cc9b-f794-491c-97a4-ae42c284eff0"/>
    <xsd:import namespace="fb689e2c-ae1d-49c3-b5ce-0e93cf9c8b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27cc9b-f794-491c-97a4-ae42c284e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89e2c-ae1d-49c3-b5ce-0e93cf9c8b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CBB03-DE94-4EA0-BA06-A11181566582}">
  <ds:schemaRefs>
    <ds:schemaRef ds:uri="http://schemas.microsoft.com/sharepoint/v3/contenttype/forms"/>
  </ds:schemaRefs>
</ds:datastoreItem>
</file>

<file path=customXml/itemProps2.xml><?xml version="1.0" encoding="utf-8"?>
<ds:datastoreItem xmlns:ds="http://schemas.openxmlformats.org/officeDocument/2006/customXml" ds:itemID="{5B723F08-BB22-4382-8F2A-8120B290C076}">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fb689e2c-ae1d-49c3-b5ce-0e93cf9c8b65"/>
    <ds:schemaRef ds:uri="http://schemas.microsoft.com/office/2006/metadata/properties"/>
    <ds:schemaRef ds:uri="d727cc9b-f794-491c-97a4-ae42c284eff0"/>
    <ds:schemaRef ds:uri="http://www.w3.org/XML/1998/namespace"/>
    <ds:schemaRef ds:uri="http://purl.org/dc/elements/1.1/"/>
  </ds:schemaRefs>
</ds:datastoreItem>
</file>

<file path=customXml/itemProps3.xml><?xml version="1.0" encoding="utf-8"?>
<ds:datastoreItem xmlns:ds="http://schemas.openxmlformats.org/officeDocument/2006/customXml" ds:itemID="{2999A3D4-6E06-4F91-838D-F0C991351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27cc9b-f794-491c-97a4-ae42c284eff0"/>
    <ds:schemaRef ds:uri="fb689e2c-ae1d-49c3-b5ce-0e93cf9c8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AE735F-8B19-4A2F-9A84-884DE27B0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208</TotalTime>
  <Pages>30</Pages>
  <Words>8582</Words>
  <Characters>48920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57388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Alpelisib</dc:title>
  <dc:subject>Prescription medicines</dc:subject>
  <dc:creator>Therapeutic Goods Administration</dc:creator>
  <cp:keywords>AusPARs</cp:keywords>
  <cp:lastPrinted>2019-08-14T04:30:00Z</cp:lastPrinted>
  <dcterms:created xsi:type="dcterms:W3CDTF">2020-08-10T22:27:00Z</dcterms:created>
  <dcterms:modified xsi:type="dcterms:W3CDTF">2020-09-03T02:30:00Z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0x0101007094B0AD07BC204487AD457BFE210FCD</vt:lpwstr>
  </property>
  <property fmtid="{D5CDD505-2E9C-101B-9397-08002B2CF9AE}" pid="3" name="MSIP_Label_4929bff8-5b33-42aa-95d2-28f72e792cb0_Enabled">
    <vt:lpwstr>True</vt:lpwstr>
  </property>
  <property fmtid="{D5CDD505-2E9C-101B-9397-08002B2CF9AE}" pid="4" name="MSIP_Label_4929bff8-5b33-42aa-95d2-28f72e792cb0_SiteId">
    <vt:lpwstr>f35a6974-607f-47d4-82d7-ff31d7dc53a5</vt:lpwstr>
  </property>
  <property fmtid="{D5CDD505-2E9C-101B-9397-08002B2CF9AE}" pid="5" name="MSIP_Label_4929bff8-5b33-42aa-95d2-28f72e792cb0_Owner">
    <vt:lpwstr>KAPERMA1@novartis.net</vt:lpwstr>
  </property>
  <property fmtid="{D5CDD505-2E9C-101B-9397-08002B2CF9AE}" pid="6" name="MSIP_Label_4929bff8-5b33-42aa-95d2-28f72e792cb0_SetDate">
    <vt:lpwstr>2020-06-25T19:58:16.7887398Z</vt:lpwstr>
  </property>
  <property fmtid="{D5CDD505-2E9C-101B-9397-08002B2CF9AE}" pid="7" name="MSIP_Label_4929bff8-5b33-42aa-95d2-28f72e792cb0_Name">
    <vt:lpwstr>Business Use Only</vt:lpwstr>
  </property>
  <property fmtid="{D5CDD505-2E9C-101B-9397-08002B2CF9AE}" pid="8" name="MSIP_Label_4929bff8-5b33-42aa-95d2-28f72e792cb0_Application">
    <vt:lpwstr>Microsoft Azure Information Protection</vt:lpwstr>
  </property>
  <property fmtid="{D5CDD505-2E9C-101B-9397-08002B2CF9AE}" pid="9" name="MSIP_Label_4929bff8-5b33-42aa-95d2-28f72e792cb0_ActionId">
    <vt:lpwstr>3691a133-98a2-4a50-91c1-7c4e134feeb3</vt:lpwstr>
  </property>
  <property fmtid="{D5CDD505-2E9C-101B-9397-08002B2CF9AE}" pid="10" name="MSIP_Label_4929bff8-5b33-42aa-95d2-28f72e792cb0_Extended_MSFT_Method">
    <vt:lpwstr>Automatic</vt:lpwstr>
  </property>
  <property fmtid="{D5CDD505-2E9C-101B-9397-08002B2CF9AE}" pid="11" name="Confidentiality">
    <vt:lpwstr>Business Use Only</vt:lpwstr>
  </property>
</Properties>
</file>