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AE8AA" w14:textId="77777777" w:rsidR="00EE63DA" w:rsidRPr="00EE63DA" w:rsidRDefault="00EE63DA" w:rsidP="00EE63DA">
      <w:pPr>
        <w:tabs>
          <w:tab w:val="left" w:pos="284"/>
        </w:tabs>
        <w:autoSpaceDE/>
        <w:autoSpaceDN/>
        <w:adjustRightInd/>
        <w:spacing w:after="480" w:line="240" w:lineRule="auto"/>
        <w:rPr>
          <w:rFonts w:ascii="Cambria" w:eastAsia="Calibri" w:hAnsi="Cambria"/>
          <w:sz w:val="22"/>
          <w:szCs w:val="22"/>
          <w:lang w:eastAsia="en-US"/>
        </w:rPr>
      </w:pPr>
      <w:r w:rsidRPr="00EE63DA">
        <w:rPr>
          <w:rFonts w:ascii="Calibri" w:eastAsia="Calibri" w:hAnsi="Calibri"/>
          <w:noProof/>
          <w:sz w:val="22"/>
          <w:szCs w:val="22"/>
        </w:rPr>
        <mc:AlternateContent>
          <mc:Choice Requires="wps">
            <w:drawing>
              <wp:inline distT="0" distB="0" distL="0" distR="0" wp14:anchorId="5EFC97B3" wp14:editId="1B5494FB">
                <wp:extent cx="252095" cy="252095"/>
                <wp:effectExtent l="0" t="0" r="0" b="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91850C" w14:textId="77777777" w:rsidR="000D71C5" w:rsidRPr="00BE2A26" w:rsidRDefault="000D71C5" w:rsidP="00EE63DA">
                            <w:pPr>
                              <w:spacing w:after="0"/>
                              <w:rPr>
                                <w:rFonts w:ascii="Wingdings 3" w:hAnsi="Wingdings 3"/>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5EFC97B3" id="_x0000_t202" coordsize="21600,21600" o:spt="202" path="m,l,21600r21600,l21600,xe">
                <v:stroke joinstyle="miter"/>
                <v:path gradientshapeok="t" o:connecttype="rect"/>
              </v:shapetype>
              <v:shape id="Text Box 7"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" stroked="f">
                <v:textbox inset="0,0,0,0">
                  <w:txbxContent>
                    <w:p w14:paraId="3F91850C" w14:textId="77777777" w:rsidR="000D71C5" w:rsidRPr="00BE2A26" w:rsidRDefault="000D71C5" w:rsidP="00EE63DA">
                      <w:pPr>
                        <w:spacing w:after="0"/>
                        <w:rPr>
                          <w:rFonts w:ascii="Wingdings 3" w:hAnsi="Wingdings 3"/>
                        </w:rPr>
                      </w:pPr>
                      <w:r w:rsidRPr="00BE2A26">
                        <w:rPr>
                          <w:rFonts w:ascii="SimSun" w:eastAsia="SimSun" w:hAnsi="SimSun" w:cs="Arial" w:hint="eastAsia"/>
                          <w:sz w:val="40"/>
                        </w:rPr>
                        <w:t>▼</w:t>
                      </w:r>
                    </w:p>
                  </w:txbxContent>
                </v:textbox>
                <w10:anchorlock/>
              </v:shape>
            </w:pict>
          </mc:Fallback>
        </mc:AlternateContent>
      </w:r>
      <w:r w:rsidRPr="00EE63DA">
        <w:rPr>
          <w:rFonts w:ascii="Cambria" w:eastAsia="Calibri" w:hAnsi="Cambria"/>
          <w:sz w:val="22"/>
          <w:szCs w:val="22"/>
          <w:lang w:eastAsia="en-US"/>
        </w:rPr>
        <w:t xml:space="preserve">This medicinal product is subject to additional monitoring in Australia. This will allow quick identification of new safety information. Healthcare professionals are asked to report any suspected adverse events at </w:t>
      </w:r>
      <w:hyperlink r:id="rId15" w:history="1">
        <w:r w:rsidRPr="00EE63DA">
          <w:rPr>
            <w:rFonts w:ascii="Cambria" w:eastAsia="Calibri" w:hAnsi="Cambria"/>
            <w:color w:val="0000FF"/>
            <w:sz w:val="22"/>
            <w:szCs w:val="22"/>
            <w:u w:val="single"/>
            <w:lang w:eastAsia="en-US"/>
          </w:rPr>
          <w:t>www.tga.gov.au/reporting-problems</w:t>
        </w:r>
      </w:hyperlink>
      <w:r w:rsidRPr="00EE63DA">
        <w:rPr>
          <w:rFonts w:ascii="Cambria" w:eastAsia="Calibri" w:hAnsi="Cambria"/>
          <w:sz w:val="22"/>
          <w:szCs w:val="22"/>
          <w:lang w:eastAsia="en-US"/>
        </w:rPr>
        <w:t>.</w:t>
      </w:r>
    </w:p>
    <w:p w14:paraId="07FDE168" w14:textId="1B5D15DE" w:rsidR="0077380F" w:rsidRPr="0076694B" w:rsidRDefault="009C3E82" w:rsidP="00D52CC2">
      <w:pPr>
        <w:widowControl w:val="0"/>
        <w:autoSpaceDE/>
        <w:autoSpaceDN/>
        <w:adjustRightInd/>
        <w:spacing w:before="120" w:line="240" w:lineRule="auto"/>
        <w:rPr>
          <w:b/>
          <w:sz w:val="32"/>
          <w:szCs w:val="32"/>
          <w:lang w:val="fr-FR" w:eastAsia="en-GB"/>
        </w:rPr>
      </w:pPr>
      <w:r>
        <w:rPr>
          <w:b/>
          <w:sz w:val="32"/>
          <w:szCs w:val="32"/>
          <w:lang w:val="fr-FR" w:eastAsia="en-GB"/>
        </w:rPr>
        <w:t xml:space="preserve">AUSTRALIAN </w:t>
      </w:r>
      <w:r w:rsidR="00DB4863" w:rsidRPr="00151EA3">
        <w:rPr>
          <w:b/>
          <w:sz w:val="32"/>
          <w:szCs w:val="32"/>
          <w:lang w:val="fr-FR" w:eastAsia="en-GB"/>
        </w:rPr>
        <w:t>PRODUCT INFORMATION</w:t>
      </w:r>
      <w:r>
        <w:rPr>
          <w:b/>
          <w:sz w:val="32"/>
          <w:szCs w:val="32"/>
          <w:lang w:val="fr-FR" w:eastAsia="en-GB"/>
        </w:rPr>
        <w:t xml:space="preserve"> </w:t>
      </w:r>
      <w:r w:rsidR="00D52CC2">
        <w:rPr>
          <w:b/>
          <w:sz w:val="32"/>
          <w:szCs w:val="32"/>
          <w:lang w:val="fr-FR" w:eastAsia="en-GB"/>
        </w:rPr>
        <w:t xml:space="preserve">- </w:t>
      </w:r>
      <w:r w:rsidR="00F520CE" w:rsidRPr="0076694B">
        <w:rPr>
          <w:b/>
          <w:sz w:val="32"/>
          <w:szCs w:val="32"/>
          <w:lang w:val="fr-FR" w:eastAsia="en-GB"/>
        </w:rPr>
        <w:t>PIQRAY</w:t>
      </w:r>
      <w:r w:rsidR="00C556BA" w:rsidRPr="0076694B">
        <w:rPr>
          <w:b/>
          <w:sz w:val="32"/>
          <w:szCs w:val="32"/>
          <w:vertAlign w:val="superscript"/>
          <w:lang w:val="fr-FR" w:eastAsia="en-GB"/>
        </w:rPr>
        <w:sym w:font="Symbol" w:char="F0E2"/>
      </w:r>
      <w:r w:rsidR="00796D87" w:rsidRPr="0076694B">
        <w:rPr>
          <w:b/>
          <w:sz w:val="32"/>
          <w:szCs w:val="32"/>
          <w:lang w:val="fr-FR" w:eastAsia="en-GB"/>
        </w:rPr>
        <w:t xml:space="preserve"> </w:t>
      </w:r>
      <w:r w:rsidRPr="0076694B">
        <w:rPr>
          <w:b/>
          <w:sz w:val="32"/>
          <w:szCs w:val="32"/>
          <w:lang w:val="fr-FR" w:eastAsia="en-GB"/>
        </w:rPr>
        <w:t>(</w:t>
      </w:r>
      <w:proofErr w:type="spellStart"/>
      <w:r w:rsidR="00F520CE" w:rsidRPr="0076694B">
        <w:rPr>
          <w:b/>
          <w:sz w:val="32"/>
          <w:szCs w:val="32"/>
          <w:lang w:val="fr-FR" w:eastAsia="en-GB"/>
        </w:rPr>
        <w:t>alpelisib</w:t>
      </w:r>
      <w:proofErr w:type="spellEnd"/>
      <w:r w:rsidRPr="0076694B">
        <w:rPr>
          <w:b/>
          <w:sz w:val="32"/>
          <w:szCs w:val="32"/>
          <w:lang w:val="fr-FR" w:eastAsia="en-GB"/>
        </w:rPr>
        <w:t xml:space="preserve">) </w:t>
      </w:r>
      <w:r w:rsidR="00F520CE" w:rsidRPr="0076694B">
        <w:rPr>
          <w:b/>
          <w:sz w:val="32"/>
          <w:szCs w:val="32"/>
          <w:lang w:eastAsia="en-GB"/>
        </w:rPr>
        <w:t>tablets</w:t>
      </w:r>
    </w:p>
    <w:p w14:paraId="07FDE16B" w14:textId="77777777" w:rsidR="00E81E59" w:rsidRPr="00910946" w:rsidRDefault="0077380F" w:rsidP="00F974E8">
      <w:pPr>
        <w:pStyle w:val="Heading2"/>
        <w:keepNext w:val="0"/>
        <w:numPr>
          <w:ilvl w:val="0"/>
          <w:numId w:val="3"/>
        </w:numPr>
        <w:autoSpaceDE/>
        <w:autoSpaceDN/>
        <w:adjustRightInd/>
        <w:spacing w:before="120" w:line="240" w:lineRule="auto"/>
        <w:rPr>
          <w:bCs/>
          <w:sz w:val="28"/>
          <w:szCs w:val="28"/>
          <w:lang w:val="en-AU"/>
        </w:rPr>
      </w:pPr>
      <w:r w:rsidRPr="00910946">
        <w:rPr>
          <w:bCs/>
          <w:sz w:val="28"/>
          <w:szCs w:val="28"/>
          <w:lang w:val="en-AU"/>
        </w:rPr>
        <w:t>NAME OF THE MEDICINE</w:t>
      </w:r>
    </w:p>
    <w:p w14:paraId="07FDE176" w14:textId="44354743" w:rsidR="00982469" w:rsidRPr="00254BEF" w:rsidRDefault="00F520CE" w:rsidP="00086990">
      <w:pPr>
        <w:ind w:left="360"/>
      </w:pPr>
      <w:proofErr w:type="spellStart"/>
      <w:r>
        <w:t>Alpelisib</w:t>
      </w:r>
      <w:proofErr w:type="spellEnd"/>
    </w:p>
    <w:p w14:paraId="07FDE177" w14:textId="61CACC01" w:rsidR="00C556BA" w:rsidRPr="00C54309" w:rsidRDefault="00910946" w:rsidP="00F974E8">
      <w:pPr>
        <w:pStyle w:val="Heading1"/>
        <w:numPr>
          <w:ilvl w:val="0"/>
          <w:numId w:val="3"/>
        </w:numPr>
        <w:rPr>
          <w:sz w:val="28"/>
          <w:szCs w:val="28"/>
          <w:lang w:eastAsia="en-AU"/>
        </w:rPr>
      </w:pPr>
      <w:r w:rsidRPr="00C54309">
        <w:rPr>
          <w:sz w:val="28"/>
          <w:szCs w:val="28"/>
          <w:lang w:eastAsia="en-AU"/>
        </w:rPr>
        <w:t>QUALITATIVE AND QUANTITATIVE COMPOSI</w:t>
      </w:r>
      <w:r w:rsidR="00E81E59" w:rsidRPr="00C54309">
        <w:rPr>
          <w:sz w:val="28"/>
          <w:szCs w:val="28"/>
          <w:lang w:eastAsia="en-AU"/>
        </w:rPr>
        <w:t>TION</w:t>
      </w:r>
    </w:p>
    <w:p w14:paraId="7DAAD55F" w14:textId="77777777" w:rsidR="00910946" w:rsidRPr="00C54309" w:rsidRDefault="00910946" w:rsidP="00C54309">
      <w:pPr>
        <w:spacing w:after="60" w:line="240" w:lineRule="auto"/>
        <w:ind w:left="357"/>
        <w:rPr>
          <w:b/>
        </w:rPr>
      </w:pPr>
      <w:r w:rsidRPr="00C54309">
        <w:rPr>
          <w:b/>
        </w:rPr>
        <w:t>Active substance</w:t>
      </w:r>
    </w:p>
    <w:p w14:paraId="03123019" w14:textId="3A04357C" w:rsidR="00910946" w:rsidRPr="006C4FCD" w:rsidRDefault="007B33ED" w:rsidP="00C54309">
      <w:pPr>
        <w:ind w:left="360"/>
      </w:pPr>
      <w:r>
        <w:t xml:space="preserve">All </w:t>
      </w:r>
      <w:r w:rsidR="00F520CE" w:rsidRPr="006C4FCD">
        <w:t>PIQRAY</w:t>
      </w:r>
      <w:r w:rsidR="00481A56" w:rsidRPr="006C4FCD" w:rsidDel="003533B2">
        <w:t xml:space="preserve"> </w:t>
      </w:r>
      <w:r w:rsidR="00F520CE" w:rsidRPr="003831BD">
        <w:t>tablet</w:t>
      </w:r>
      <w:r w:rsidR="003831BD">
        <w:t xml:space="preserve">s </w:t>
      </w:r>
      <w:r w:rsidR="00481A56" w:rsidRPr="003533B2" w:rsidDel="003533B2">
        <w:t xml:space="preserve">contain </w:t>
      </w:r>
      <w:proofErr w:type="spellStart"/>
      <w:r w:rsidR="00F520CE">
        <w:t>alpelisib</w:t>
      </w:r>
      <w:proofErr w:type="spellEnd"/>
      <w:r w:rsidR="000D71C5">
        <w:t>.</w:t>
      </w:r>
    </w:p>
    <w:p w14:paraId="1BFAA729" w14:textId="27513094" w:rsidR="00D3004A" w:rsidRPr="00207EB0" w:rsidRDefault="00D3004A" w:rsidP="00207EB0">
      <w:pPr>
        <w:spacing w:after="0" w:line="240" w:lineRule="auto"/>
        <w:ind w:left="357"/>
        <w:rPr>
          <w:u w:val="single"/>
        </w:rPr>
      </w:pPr>
      <w:r w:rsidRPr="00207EB0">
        <w:rPr>
          <w:u w:val="single"/>
        </w:rPr>
        <w:t>PIQRAY 50 mg tablet</w:t>
      </w:r>
    </w:p>
    <w:p w14:paraId="39819B09" w14:textId="2139B1F1" w:rsidR="00D3004A" w:rsidRDefault="00207EB0" w:rsidP="00AA7497">
      <w:pPr>
        <w:widowControl w:val="0"/>
        <w:autoSpaceDE/>
        <w:autoSpaceDN/>
        <w:adjustRightInd/>
        <w:spacing w:line="240" w:lineRule="auto"/>
        <w:ind w:left="357"/>
      </w:pPr>
      <w:r w:rsidRPr="00207EB0">
        <w:t>Each tabl</w:t>
      </w:r>
      <w:r w:rsidR="00AA7497">
        <w:t xml:space="preserve">et contains 50 mg of </w:t>
      </w:r>
      <w:proofErr w:type="spellStart"/>
      <w:r w:rsidR="00AA7497">
        <w:t>alpelisib</w:t>
      </w:r>
      <w:proofErr w:type="spellEnd"/>
      <w:r w:rsidR="00AA7497">
        <w:t>.</w:t>
      </w:r>
    </w:p>
    <w:p w14:paraId="1805826A" w14:textId="6C16F518" w:rsidR="00207EB0" w:rsidRPr="00207EB0" w:rsidRDefault="00207EB0" w:rsidP="00207EB0">
      <w:pPr>
        <w:spacing w:after="0" w:line="240" w:lineRule="auto"/>
        <w:ind w:left="357"/>
        <w:rPr>
          <w:u w:val="single"/>
        </w:rPr>
      </w:pPr>
      <w:r w:rsidRPr="00207EB0">
        <w:rPr>
          <w:u w:val="single"/>
        </w:rPr>
        <w:t xml:space="preserve">PIQRAY </w:t>
      </w:r>
      <w:r>
        <w:rPr>
          <w:u w:val="single"/>
        </w:rPr>
        <w:t>1</w:t>
      </w:r>
      <w:r w:rsidRPr="00207EB0">
        <w:rPr>
          <w:u w:val="single"/>
        </w:rPr>
        <w:t>50 mg tablet</w:t>
      </w:r>
    </w:p>
    <w:p w14:paraId="2668DE5F" w14:textId="4F1D1E8D" w:rsidR="00207EB0" w:rsidRDefault="00207EB0" w:rsidP="00AA7497">
      <w:pPr>
        <w:widowControl w:val="0"/>
        <w:autoSpaceDE/>
        <w:autoSpaceDN/>
        <w:adjustRightInd/>
        <w:spacing w:line="240" w:lineRule="auto"/>
        <w:ind w:left="357"/>
      </w:pPr>
      <w:r w:rsidRPr="00207EB0">
        <w:t xml:space="preserve">Each tablet contains </w:t>
      </w:r>
      <w:r>
        <w:t>1</w:t>
      </w:r>
      <w:r w:rsidR="00AA7497">
        <w:t xml:space="preserve">50 mg of </w:t>
      </w:r>
      <w:proofErr w:type="spellStart"/>
      <w:r w:rsidR="00AA7497">
        <w:t>alpelisib</w:t>
      </w:r>
      <w:proofErr w:type="spellEnd"/>
      <w:r w:rsidR="00AA7497">
        <w:t>.</w:t>
      </w:r>
    </w:p>
    <w:p w14:paraId="47BDFDF7" w14:textId="5A33D3AE" w:rsidR="00207EB0" w:rsidRPr="00207EB0" w:rsidRDefault="00207EB0" w:rsidP="00207EB0">
      <w:pPr>
        <w:spacing w:after="0" w:line="240" w:lineRule="auto"/>
        <w:ind w:left="357"/>
        <w:rPr>
          <w:u w:val="single"/>
        </w:rPr>
      </w:pPr>
      <w:r w:rsidRPr="00207EB0">
        <w:rPr>
          <w:u w:val="single"/>
        </w:rPr>
        <w:t xml:space="preserve">PIQRAY </w:t>
      </w:r>
      <w:r>
        <w:rPr>
          <w:u w:val="single"/>
        </w:rPr>
        <w:t>20</w:t>
      </w:r>
      <w:r w:rsidRPr="00207EB0">
        <w:rPr>
          <w:u w:val="single"/>
        </w:rPr>
        <w:t>0 mg tablet</w:t>
      </w:r>
    </w:p>
    <w:p w14:paraId="5EC4BEA0" w14:textId="0371EE24" w:rsidR="00207EB0" w:rsidRDefault="00207EB0" w:rsidP="00AA7497">
      <w:pPr>
        <w:widowControl w:val="0"/>
        <w:autoSpaceDE/>
        <w:autoSpaceDN/>
        <w:adjustRightInd/>
        <w:spacing w:line="240" w:lineRule="auto"/>
        <w:ind w:left="357"/>
      </w:pPr>
      <w:r w:rsidRPr="00207EB0">
        <w:t xml:space="preserve">Each tablet contains </w:t>
      </w:r>
      <w:r>
        <w:t>20</w:t>
      </w:r>
      <w:r w:rsidR="00AA7497">
        <w:t xml:space="preserve">0 mg of </w:t>
      </w:r>
      <w:proofErr w:type="spellStart"/>
      <w:r w:rsidR="00AA7497">
        <w:t>alpelisib</w:t>
      </w:r>
      <w:proofErr w:type="spellEnd"/>
      <w:r w:rsidR="00AA7497">
        <w:t>.</w:t>
      </w:r>
    </w:p>
    <w:p w14:paraId="7D4F5404" w14:textId="072BE1C9" w:rsidR="00910946" w:rsidRPr="00910946" w:rsidRDefault="00910946" w:rsidP="00910946">
      <w:pPr>
        <w:widowControl w:val="0"/>
        <w:autoSpaceDE/>
        <w:autoSpaceDN/>
        <w:adjustRightInd/>
        <w:spacing w:after="0" w:line="240" w:lineRule="auto"/>
        <w:ind w:left="357"/>
        <w:rPr>
          <w:b/>
        </w:rPr>
      </w:pPr>
      <w:r w:rsidRPr="00910946">
        <w:rPr>
          <w:b/>
        </w:rPr>
        <w:t>Excipients</w:t>
      </w:r>
    </w:p>
    <w:p w14:paraId="6757084C" w14:textId="03A6603F" w:rsidR="00910946" w:rsidRPr="00910946" w:rsidRDefault="00910946" w:rsidP="00AA7497">
      <w:pPr>
        <w:widowControl w:val="0"/>
        <w:autoSpaceDE/>
        <w:autoSpaceDN/>
        <w:adjustRightInd/>
        <w:spacing w:line="240" w:lineRule="auto"/>
        <w:ind w:left="357"/>
      </w:pPr>
      <w:r w:rsidRPr="00910946">
        <w:t>For the list of excipients, see section 6.1</w:t>
      </w:r>
      <w:r w:rsidR="00775F26" w:rsidRPr="00775F26">
        <w:t xml:space="preserve"> List of Excipients</w:t>
      </w:r>
      <w:r w:rsidRPr="00775F26">
        <w:t>.</w:t>
      </w:r>
    </w:p>
    <w:p w14:paraId="6BAF0A1A" w14:textId="77777777" w:rsidR="00D87C03" w:rsidRPr="00D87C03" w:rsidRDefault="00D87C03" w:rsidP="00F974E8">
      <w:pPr>
        <w:pStyle w:val="Heading1"/>
        <w:numPr>
          <w:ilvl w:val="0"/>
          <w:numId w:val="3"/>
        </w:numPr>
        <w:rPr>
          <w:sz w:val="28"/>
          <w:szCs w:val="28"/>
          <w:lang w:eastAsia="en-AU"/>
        </w:rPr>
      </w:pPr>
      <w:r w:rsidRPr="00D87C03">
        <w:rPr>
          <w:sz w:val="28"/>
          <w:szCs w:val="28"/>
          <w:lang w:eastAsia="en-AU"/>
        </w:rPr>
        <w:t>PHARMACEUTICAL FORM</w:t>
      </w:r>
    </w:p>
    <w:p w14:paraId="353CB0DD" w14:textId="77777777" w:rsidR="00F520CE" w:rsidRPr="0076694B" w:rsidRDefault="00F520CE" w:rsidP="00F520CE">
      <w:pPr>
        <w:ind w:left="360"/>
        <w:rPr>
          <w:b/>
        </w:rPr>
      </w:pPr>
      <w:r w:rsidRPr="0076694B">
        <w:rPr>
          <w:b/>
        </w:rPr>
        <w:t>Film coated tablets</w:t>
      </w:r>
    </w:p>
    <w:p w14:paraId="1D67A1FC" w14:textId="1CDCA55E" w:rsidR="00F520CE" w:rsidRPr="00F520CE" w:rsidRDefault="00AA7497" w:rsidP="00F520CE">
      <w:pPr>
        <w:ind w:left="360"/>
        <w:rPr>
          <w:u w:val="single"/>
        </w:rPr>
      </w:pPr>
      <w:r>
        <w:rPr>
          <w:u w:val="single"/>
        </w:rPr>
        <w:t>PIQRAY 50 mg tablet</w:t>
      </w:r>
    </w:p>
    <w:p w14:paraId="6F96B280" w14:textId="24852085" w:rsidR="00F520CE" w:rsidRDefault="00F520CE" w:rsidP="00F520CE">
      <w:pPr>
        <w:ind w:left="360"/>
      </w:pPr>
      <w:r w:rsidRPr="00F520CE">
        <w:t xml:space="preserve">Light pink, unscored, round and curved with </w:t>
      </w:r>
      <w:r w:rsidR="00802DD1" w:rsidRPr="00F520CE">
        <w:t>bevelled</w:t>
      </w:r>
      <w:r w:rsidRPr="00F520CE">
        <w:t xml:space="preserve"> edges, imprinted with “L7” on one si</w:t>
      </w:r>
      <w:r w:rsidR="00AA7497">
        <w:t>de and “NVR” on the other side.</w:t>
      </w:r>
    </w:p>
    <w:p w14:paraId="35D3877A" w14:textId="1BFAD609" w:rsidR="00F520CE" w:rsidRPr="00F520CE" w:rsidRDefault="00AA7497" w:rsidP="00F520CE">
      <w:pPr>
        <w:ind w:left="360"/>
        <w:rPr>
          <w:u w:val="single"/>
        </w:rPr>
      </w:pPr>
      <w:r>
        <w:rPr>
          <w:u w:val="single"/>
        </w:rPr>
        <w:t>PIQRAY 150 mg tablet</w:t>
      </w:r>
    </w:p>
    <w:p w14:paraId="0320EC54" w14:textId="7A8D8870" w:rsidR="00F520CE" w:rsidRDefault="00F520CE" w:rsidP="00F520CE">
      <w:pPr>
        <w:ind w:left="360"/>
      </w:pPr>
      <w:r w:rsidRPr="00F520CE">
        <w:t xml:space="preserve">Pale red, unscored, </w:t>
      </w:r>
      <w:proofErr w:type="spellStart"/>
      <w:r w:rsidRPr="00F520CE">
        <w:t>ovaloid</w:t>
      </w:r>
      <w:proofErr w:type="spellEnd"/>
      <w:r w:rsidRPr="00F520CE">
        <w:t xml:space="preserve"> and curved with </w:t>
      </w:r>
      <w:r w:rsidR="00802DD1" w:rsidRPr="00F520CE">
        <w:t>bevelled</w:t>
      </w:r>
      <w:r w:rsidRPr="00F520CE">
        <w:t xml:space="preserve"> edges, imprinted with “UL7” on one side and “NVR” on the other side.</w:t>
      </w:r>
    </w:p>
    <w:p w14:paraId="383491D7" w14:textId="732F5EE6" w:rsidR="00F520CE" w:rsidRPr="00F520CE" w:rsidRDefault="00AA7497" w:rsidP="00F520CE">
      <w:pPr>
        <w:ind w:left="360"/>
        <w:rPr>
          <w:u w:val="single"/>
        </w:rPr>
      </w:pPr>
      <w:r>
        <w:rPr>
          <w:u w:val="single"/>
        </w:rPr>
        <w:t>PIQRAY 200 mg tablet</w:t>
      </w:r>
    </w:p>
    <w:p w14:paraId="36EDF12A" w14:textId="638AB4F8" w:rsidR="00F520CE" w:rsidRPr="00F520CE" w:rsidRDefault="00F520CE" w:rsidP="005E2D28">
      <w:pPr>
        <w:pStyle w:val="Heading1"/>
        <w:numPr>
          <w:ilvl w:val="0"/>
          <w:numId w:val="0"/>
        </w:numPr>
        <w:ind w:left="360"/>
        <w:rPr>
          <w:b w:val="0"/>
          <w:bCs w:val="0"/>
          <w:sz w:val="24"/>
          <w:u w:val="none"/>
          <w:lang w:eastAsia="en-AU"/>
        </w:rPr>
      </w:pPr>
      <w:r w:rsidRPr="00F520CE">
        <w:rPr>
          <w:b w:val="0"/>
          <w:bCs w:val="0"/>
          <w:sz w:val="24"/>
          <w:u w:val="none"/>
          <w:lang w:eastAsia="en-AU"/>
        </w:rPr>
        <w:t xml:space="preserve">Light red, unscored, </w:t>
      </w:r>
      <w:proofErr w:type="spellStart"/>
      <w:r w:rsidRPr="00F520CE">
        <w:rPr>
          <w:b w:val="0"/>
          <w:bCs w:val="0"/>
          <w:sz w:val="24"/>
          <w:u w:val="none"/>
          <w:lang w:eastAsia="en-AU"/>
        </w:rPr>
        <w:t>ovaloid</w:t>
      </w:r>
      <w:proofErr w:type="spellEnd"/>
      <w:r w:rsidRPr="00F520CE">
        <w:rPr>
          <w:b w:val="0"/>
          <w:bCs w:val="0"/>
          <w:sz w:val="24"/>
          <w:u w:val="none"/>
          <w:lang w:eastAsia="en-AU"/>
        </w:rPr>
        <w:t xml:space="preserve"> and curved with </w:t>
      </w:r>
      <w:r w:rsidR="00802DD1" w:rsidRPr="00F520CE">
        <w:rPr>
          <w:b w:val="0"/>
          <w:bCs w:val="0"/>
          <w:sz w:val="24"/>
          <w:u w:val="none"/>
          <w:lang w:eastAsia="en-AU"/>
        </w:rPr>
        <w:t>bevelled</w:t>
      </w:r>
      <w:r w:rsidRPr="00F520CE">
        <w:rPr>
          <w:b w:val="0"/>
          <w:bCs w:val="0"/>
          <w:sz w:val="24"/>
          <w:u w:val="none"/>
          <w:lang w:eastAsia="en-AU"/>
        </w:rPr>
        <w:t xml:space="preserve"> edges, imprinted with “YL7” on one si</w:t>
      </w:r>
      <w:r w:rsidR="00AA7497">
        <w:rPr>
          <w:b w:val="0"/>
          <w:bCs w:val="0"/>
          <w:sz w:val="24"/>
          <w:u w:val="none"/>
          <w:lang w:eastAsia="en-AU"/>
        </w:rPr>
        <w:t>de and “NVR” on the other side.</w:t>
      </w:r>
    </w:p>
    <w:p w14:paraId="70973A90" w14:textId="34B5A0FE" w:rsidR="00881855" w:rsidRPr="00881855" w:rsidRDefault="00881855" w:rsidP="00F974E8">
      <w:pPr>
        <w:pStyle w:val="Heading1"/>
        <w:numPr>
          <w:ilvl w:val="0"/>
          <w:numId w:val="3"/>
        </w:numPr>
        <w:rPr>
          <w:sz w:val="28"/>
          <w:szCs w:val="28"/>
          <w:lang w:eastAsia="en-AU"/>
        </w:rPr>
      </w:pPr>
      <w:r w:rsidRPr="00881855">
        <w:rPr>
          <w:sz w:val="28"/>
          <w:szCs w:val="28"/>
          <w:lang w:eastAsia="en-AU"/>
        </w:rPr>
        <w:t>CLINICAL PARTICULARS</w:t>
      </w:r>
    </w:p>
    <w:p w14:paraId="749EDD6D" w14:textId="0D34C408" w:rsidR="00885651" w:rsidRPr="00C54309" w:rsidRDefault="00885651" w:rsidP="00F974E8">
      <w:pPr>
        <w:pStyle w:val="ListParagraph"/>
        <w:numPr>
          <w:ilvl w:val="0"/>
          <w:numId w:val="4"/>
        </w:numPr>
        <w:autoSpaceDE/>
        <w:autoSpaceDN/>
        <w:adjustRightInd/>
        <w:contextualSpacing/>
        <w:rPr>
          <w:rFonts w:ascii="Times New Roman" w:hAnsi="Times New Roman" w:cs="Times New Roman"/>
          <w:b/>
          <w:sz w:val="24"/>
          <w:szCs w:val="24"/>
        </w:rPr>
      </w:pPr>
      <w:r>
        <w:rPr>
          <w:rFonts w:ascii="Times New Roman" w:hAnsi="Times New Roman" w:cs="Times New Roman"/>
          <w:b/>
          <w:sz w:val="24"/>
          <w:szCs w:val="24"/>
        </w:rPr>
        <w:t>Therapeutic i</w:t>
      </w:r>
      <w:r w:rsidRPr="00C54309">
        <w:rPr>
          <w:rFonts w:ascii="Times New Roman" w:hAnsi="Times New Roman" w:cs="Times New Roman"/>
          <w:b/>
          <w:sz w:val="24"/>
          <w:szCs w:val="24"/>
        </w:rPr>
        <w:t>ndications</w:t>
      </w:r>
    </w:p>
    <w:p w14:paraId="2063DA4C" w14:textId="7A7C67E9" w:rsidR="00885651" w:rsidRDefault="00851ABA" w:rsidP="00AA7497">
      <w:pPr>
        <w:widowControl w:val="0"/>
        <w:autoSpaceDE/>
        <w:autoSpaceDN/>
        <w:adjustRightInd/>
        <w:spacing w:line="240" w:lineRule="auto"/>
        <w:ind w:left="357"/>
      </w:pPr>
      <w:r w:rsidRPr="00851ABA">
        <w:t xml:space="preserve">PIQRAY </w:t>
      </w:r>
      <w:r w:rsidR="00E72761">
        <w:t xml:space="preserve">in combination with </w:t>
      </w:r>
      <w:proofErr w:type="spellStart"/>
      <w:r w:rsidR="00E72761">
        <w:t>fulvestrant</w:t>
      </w:r>
      <w:proofErr w:type="spellEnd"/>
      <w:r w:rsidR="00E72761">
        <w:t xml:space="preserve">, </w:t>
      </w:r>
      <w:r>
        <w:t xml:space="preserve">is indicated for the treatment of postmenopausal women, and men, with hormone receptor positive, HER2-negative, advanced </w:t>
      </w:r>
      <w:r w:rsidR="00E72761">
        <w:t xml:space="preserve">or metastatic </w:t>
      </w:r>
      <w:r>
        <w:t xml:space="preserve">breast cancer with a PIK3CA mutation </w:t>
      </w:r>
      <w:r w:rsidR="00E72761">
        <w:t xml:space="preserve">as detected by a validated test </w:t>
      </w:r>
      <w:r>
        <w:t xml:space="preserve">following </w:t>
      </w:r>
      <w:r w:rsidR="00E72761">
        <w:t xml:space="preserve">progression on or after </w:t>
      </w:r>
      <w:r>
        <w:t>an endocrine-based regimen.</w:t>
      </w:r>
    </w:p>
    <w:p w14:paraId="2F4FFDB0" w14:textId="046C2CA9" w:rsidR="009849D5" w:rsidRPr="00C54309" w:rsidRDefault="009849D5" w:rsidP="00AA7497">
      <w:pPr>
        <w:pStyle w:val="ListParagraph"/>
        <w:keepNext/>
        <w:numPr>
          <w:ilvl w:val="0"/>
          <w:numId w:val="4"/>
        </w:numPr>
        <w:autoSpaceDE/>
        <w:autoSpaceDN/>
        <w:adjustRightInd/>
        <w:ind w:left="357" w:hanging="357"/>
        <w:contextualSpacing/>
        <w:rPr>
          <w:rFonts w:ascii="Times New Roman" w:hAnsi="Times New Roman" w:cs="Times New Roman"/>
          <w:b/>
          <w:sz w:val="24"/>
          <w:szCs w:val="24"/>
        </w:rPr>
      </w:pPr>
      <w:r w:rsidRPr="00C54309">
        <w:rPr>
          <w:rFonts w:ascii="Times New Roman" w:hAnsi="Times New Roman" w:cs="Times New Roman"/>
          <w:b/>
          <w:sz w:val="24"/>
          <w:szCs w:val="24"/>
        </w:rPr>
        <w:lastRenderedPageBreak/>
        <w:t xml:space="preserve">Dose </w:t>
      </w:r>
      <w:r>
        <w:rPr>
          <w:rFonts w:ascii="Times New Roman" w:hAnsi="Times New Roman" w:cs="Times New Roman"/>
          <w:b/>
          <w:sz w:val="24"/>
          <w:szCs w:val="24"/>
        </w:rPr>
        <w:t>a</w:t>
      </w:r>
      <w:r w:rsidRPr="00C54309">
        <w:rPr>
          <w:rFonts w:ascii="Times New Roman" w:hAnsi="Times New Roman" w:cs="Times New Roman"/>
          <w:b/>
          <w:sz w:val="24"/>
          <w:szCs w:val="24"/>
        </w:rPr>
        <w:t xml:space="preserve">nd </w:t>
      </w:r>
      <w:r>
        <w:rPr>
          <w:rFonts w:ascii="Times New Roman" w:hAnsi="Times New Roman" w:cs="Times New Roman"/>
          <w:b/>
          <w:sz w:val="24"/>
          <w:szCs w:val="24"/>
        </w:rPr>
        <w:t>method of a</w:t>
      </w:r>
      <w:r w:rsidRPr="00C54309">
        <w:rPr>
          <w:rFonts w:ascii="Times New Roman" w:hAnsi="Times New Roman" w:cs="Times New Roman"/>
          <w:b/>
          <w:sz w:val="24"/>
          <w:szCs w:val="24"/>
        </w:rPr>
        <w:t>dministration</w:t>
      </w:r>
    </w:p>
    <w:p w14:paraId="04133C13" w14:textId="05A81C6B" w:rsidR="00851ABA" w:rsidRDefault="00851ABA" w:rsidP="00CE5EF6">
      <w:pPr>
        <w:widowControl w:val="0"/>
        <w:autoSpaceDE/>
        <w:autoSpaceDN/>
        <w:adjustRightInd/>
        <w:spacing w:line="240" w:lineRule="auto"/>
        <w:ind w:left="357"/>
      </w:pPr>
      <w:r w:rsidRPr="00851ABA">
        <w:t>Treatment with PIQRAY should be initiated by a physician experienced in the use of anticancer therapies.</w:t>
      </w:r>
    </w:p>
    <w:p w14:paraId="1DB35994" w14:textId="0DA8E483" w:rsidR="00851ABA" w:rsidRDefault="00851ABA" w:rsidP="00CE5EF6">
      <w:pPr>
        <w:widowControl w:val="0"/>
        <w:autoSpaceDE/>
        <w:autoSpaceDN/>
        <w:adjustRightInd/>
        <w:spacing w:line="240" w:lineRule="auto"/>
        <w:ind w:left="357"/>
      </w:pPr>
      <w:r>
        <w:t xml:space="preserve">Patients with HR positive, HER2 negative advanced breast cancer should be selected for treatment with </w:t>
      </w:r>
      <w:r w:rsidR="00E16761">
        <w:t>PIQRAY</w:t>
      </w:r>
      <w:r>
        <w:t xml:space="preserve">, based on the presence of a PIK3CA mutation in tumour or plasma specimens, using a validated test. If a mutation is not detected in a plasma specimen, test tumour tissue if available. </w:t>
      </w:r>
    </w:p>
    <w:p w14:paraId="11549497" w14:textId="310D6F45" w:rsidR="008362D4" w:rsidRDefault="008362D4" w:rsidP="00CE5EF6">
      <w:pPr>
        <w:widowControl w:val="0"/>
        <w:autoSpaceDE/>
        <w:autoSpaceDN/>
        <w:adjustRightInd/>
        <w:spacing w:line="240" w:lineRule="auto"/>
        <w:ind w:left="357"/>
      </w:pPr>
      <w:r>
        <w:t xml:space="preserve">The safety and efficacy of </w:t>
      </w:r>
      <w:proofErr w:type="spellStart"/>
      <w:r>
        <w:t>alpelisib</w:t>
      </w:r>
      <w:proofErr w:type="spellEnd"/>
      <w:r>
        <w:t xml:space="preserve"> in combination with a </w:t>
      </w:r>
      <w:proofErr w:type="spellStart"/>
      <w:r>
        <w:t>GnRH</w:t>
      </w:r>
      <w:proofErr w:type="spellEnd"/>
      <w:r>
        <w:t xml:space="preserve"> agonist in pre- or peri-menopausal women has not been established.</w:t>
      </w:r>
    </w:p>
    <w:p w14:paraId="1D56DA7D" w14:textId="23264B47" w:rsidR="00851ABA" w:rsidRPr="00851ABA" w:rsidRDefault="00851ABA" w:rsidP="00CE5EF6">
      <w:pPr>
        <w:widowControl w:val="0"/>
        <w:autoSpaceDE/>
        <w:autoSpaceDN/>
        <w:adjustRightInd/>
        <w:spacing w:line="240" w:lineRule="auto"/>
        <w:ind w:left="357"/>
      </w:pPr>
      <w:r>
        <w:t>There was no treatment benefit demonstrated in patients without PIK3CA mutations, in the phase III clinical study (see section 5</w:t>
      </w:r>
      <w:r w:rsidR="00E16761">
        <w:t>.1</w:t>
      </w:r>
      <w:r w:rsidR="0076694B" w:rsidRPr="0076694B">
        <w:t xml:space="preserve"> </w:t>
      </w:r>
      <w:proofErr w:type="spellStart"/>
      <w:r w:rsidR="0076694B" w:rsidRPr="0076694B">
        <w:t>Pharmacodynamic</w:t>
      </w:r>
      <w:proofErr w:type="spellEnd"/>
      <w:r w:rsidR="0076694B" w:rsidRPr="0076694B">
        <w:t xml:space="preserve"> properties</w:t>
      </w:r>
      <w:r>
        <w:t>).</w:t>
      </w:r>
    </w:p>
    <w:p w14:paraId="68D27A34" w14:textId="24940874" w:rsidR="009849D5" w:rsidRPr="00C54309" w:rsidRDefault="00CE5EF6" w:rsidP="00851ABA">
      <w:pPr>
        <w:keepNext/>
        <w:autoSpaceDE/>
        <w:autoSpaceDN/>
        <w:adjustRightInd/>
        <w:spacing w:before="120" w:line="240" w:lineRule="auto"/>
        <w:ind w:left="357"/>
        <w:rPr>
          <w:u w:val="single"/>
        </w:rPr>
      </w:pPr>
      <w:r>
        <w:rPr>
          <w:u w:val="single"/>
        </w:rPr>
        <w:t>Adult Dose</w:t>
      </w:r>
    </w:p>
    <w:p w14:paraId="11C6E045" w14:textId="5AF01B7D" w:rsidR="001E18A0" w:rsidRPr="004D4EBA" w:rsidRDefault="00CE5EF6" w:rsidP="00C54309">
      <w:pPr>
        <w:ind w:left="360"/>
        <w:rPr>
          <w:i/>
        </w:rPr>
      </w:pPr>
      <w:r>
        <w:rPr>
          <w:i/>
        </w:rPr>
        <w:t>Recommended Dosage</w:t>
      </w:r>
    </w:p>
    <w:p w14:paraId="7C274F4A" w14:textId="527B0F6A" w:rsidR="00851ABA" w:rsidRDefault="00851ABA" w:rsidP="00CE5EF6">
      <w:pPr>
        <w:widowControl w:val="0"/>
        <w:autoSpaceDE/>
        <w:autoSpaceDN/>
        <w:adjustRightInd/>
        <w:spacing w:line="240" w:lineRule="auto"/>
        <w:ind w:left="357"/>
      </w:pPr>
      <w:r w:rsidRPr="00851ABA">
        <w:t>The recommended dose of PIQRAY is 300 mg (</w:t>
      </w:r>
      <w:r w:rsidR="0076694B">
        <w:t>two</w:t>
      </w:r>
      <w:r w:rsidR="00415174">
        <w:t xml:space="preserve"> </w:t>
      </w:r>
      <w:r w:rsidRPr="00851ABA">
        <w:t>150 mg film-coated tablets) taken orally, once daily</w:t>
      </w:r>
      <w:r w:rsidR="008362D4">
        <w:t>.</w:t>
      </w:r>
      <w:r w:rsidRPr="00851ABA">
        <w:t xml:space="preserve"> PIQRAY should be taken immediately following food, at approximately the same time each day (see section </w:t>
      </w:r>
      <w:r w:rsidR="00E16761">
        <w:t>5.1</w:t>
      </w:r>
      <w:r w:rsidRPr="00851ABA">
        <w:t xml:space="preserve"> </w:t>
      </w:r>
      <w:proofErr w:type="spellStart"/>
      <w:r w:rsidR="0076694B" w:rsidRPr="0076694B">
        <w:t>Pharmacodynamic</w:t>
      </w:r>
      <w:proofErr w:type="spellEnd"/>
      <w:r w:rsidR="0076694B" w:rsidRPr="0076694B">
        <w:t xml:space="preserve"> properties</w:t>
      </w:r>
      <w:r w:rsidR="0076694B">
        <w:t xml:space="preserve"> </w:t>
      </w:r>
      <w:r w:rsidRPr="00851ABA">
        <w:t xml:space="preserve">and section </w:t>
      </w:r>
      <w:r w:rsidR="00415174">
        <w:t>4.5</w:t>
      </w:r>
      <w:r w:rsidRPr="00851ABA">
        <w:t xml:space="preserve"> Interactions). The maximum recommended daily dose of </w:t>
      </w:r>
      <w:r w:rsidR="00E16761" w:rsidRPr="00851ABA">
        <w:t>PIQRAY</w:t>
      </w:r>
      <w:r w:rsidRPr="00851ABA">
        <w:t xml:space="preserve"> is 300 mg. If patient vomits after taking the PIQRAY dose, the patient should not take an additional dose on that day, and should resume the usual dosing schedule the next day, at the usual time.</w:t>
      </w:r>
    </w:p>
    <w:p w14:paraId="0B19C7C4" w14:textId="4173EBA5" w:rsidR="00851ABA" w:rsidRDefault="00851ABA" w:rsidP="00CE5EF6">
      <w:pPr>
        <w:widowControl w:val="0"/>
        <w:autoSpaceDE/>
        <w:autoSpaceDN/>
        <w:adjustRightInd/>
        <w:spacing w:line="240" w:lineRule="auto"/>
        <w:ind w:left="357"/>
      </w:pPr>
      <w:r w:rsidRPr="00851ABA">
        <w:t xml:space="preserve">When co-administered with PIQRAY, the recommended dose of </w:t>
      </w:r>
      <w:proofErr w:type="spellStart"/>
      <w:r w:rsidRPr="00851ABA">
        <w:t>fulvestrant</w:t>
      </w:r>
      <w:proofErr w:type="spellEnd"/>
      <w:r w:rsidRPr="00851ABA">
        <w:t xml:space="preserve"> is 500 mg administered intramuscularly on days 1, 15 and, 29, and once monthly thereafter. Please refer to the full </w:t>
      </w:r>
      <w:r w:rsidR="0076694B">
        <w:t>product</w:t>
      </w:r>
      <w:r w:rsidRPr="00851ABA">
        <w:t xml:space="preserve"> information of </w:t>
      </w:r>
      <w:proofErr w:type="spellStart"/>
      <w:r w:rsidRPr="00851ABA">
        <w:t>f</w:t>
      </w:r>
      <w:r w:rsidR="00CE5EF6">
        <w:t>ulvestrant</w:t>
      </w:r>
      <w:proofErr w:type="spellEnd"/>
      <w:r w:rsidR="00CE5EF6">
        <w:t>.</w:t>
      </w:r>
    </w:p>
    <w:p w14:paraId="53856287" w14:textId="23A3AA52" w:rsidR="00851ABA" w:rsidRDefault="00851ABA" w:rsidP="00CE5EF6">
      <w:pPr>
        <w:widowControl w:val="0"/>
        <w:autoSpaceDE/>
        <w:autoSpaceDN/>
        <w:adjustRightInd/>
        <w:spacing w:line="240" w:lineRule="auto"/>
        <w:ind w:left="357"/>
      </w:pPr>
      <w:r w:rsidRPr="00851ABA">
        <w:t>Treatment should continue as long as clinical benefit is observed or until unacceptable toxicity occurs. Dosing modifications may be necessary to improve tolerability.</w:t>
      </w:r>
    </w:p>
    <w:p w14:paraId="68FB31ED" w14:textId="77777777" w:rsidR="00415174" w:rsidRPr="00415174" w:rsidRDefault="00415174" w:rsidP="00415174">
      <w:pPr>
        <w:spacing w:before="120" w:line="240" w:lineRule="auto"/>
        <w:ind w:left="357"/>
        <w:rPr>
          <w:i/>
          <w:spacing w:val="20"/>
        </w:rPr>
      </w:pPr>
      <w:r w:rsidRPr="00415174">
        <w:rPr>
          <w:i/>
          <w:spacing w:val="20"/>
        </w:rPr>
        <w:t>Missed dose</w:t>
      </w:r>
    </w:p>
    <w:p w14:paraId="07B74F0E" w14:textId="4816E9FE" w:rsidR="00415174" w:rsidRPr="00415174" w:rsidRDefault="00415174" w:rsidP="00415174">
      <w:pPr>
        <w:widowControl w:val="0"/>
        <w:ind w:left="360"/>
      </w:pPr>
      <w:r w:rsidRPr="00415174">
        <w:t xml:space="preserve">If a dose of PIQRAY is missed, it can be taken immediately following food and within 9 hours after the time it is usually administered. After more than 9 hours, the </w:t>
      </w:r>
      <w:r w:rsidR="0076694B">
        <w:t xml:space="preserve">missed </w:t>
      </w:r>
      <w:r w:rsidRPr="00415174">
        <w:t>dose should be skipped for that day. On the next day, PIQRAY should be taken at its usual time.</w:t>
      </w:r>
    </w:p>
    <w:p w14:paraId="46DBEBED" w14:textId="6A897F07" w:rsidR="009849D5" w:rsidRPr="00415174" w:rsidRDefault="009849D5" w:rsidP="00415174">
      <w:pPr>
        <w:spacing w:before="120" w:line="240" w:lineRule="auto"/>
        <w:ind w:left="357"/>
        <w:rPr>
          <w:i/>
          <w:spacing w:val="20"/>
        </w:rPr>
      </w:pPr>
      <w:r w:rsidRPr="00415174">
        <w:rPr>
          <w:i/>
          <w:spacing w:val="20"/>
        </w:rPr>
        <w:t>Dose modifications</w:t>
      </w:r>
    </w:p>
    <w:p w14:paraId="37DB24CE" w14:textId="7951FED2" w:rsidR="00851ABA" w:rsidRDefault="00851ABA" w:rsidP="00851ABA">
      <w:pPr>
        <w:ind w:left="360"/>
        <w:rPr>
          <w:lang w:val="en-US"/>
        </w:rPr>
      </w:pPr>
      <w:r w:rsidRPr="00851ABA">
        <w:rPr>
          <w:lang w:val="en-US"/>
        </w:rPr>
        <w:t xml:space="preserve">The recommended daily dose of PIQRAY is 300 mg. Management of severe or intolerable adverse drug reactions may require temporary dosing interruption, reduction, and/or discontinuation of PIQRAY. If dosing reduction is required, the dosing reduction guidelines for adverse drug reactions (ADRs) are listed in Table </w:t>
      </w:r>
      <w:r>
        <w:rPr>
          <w:lang w:val="en-US"/>
        </w:rPr>
        <w:t>1</w:t>
      </w:r>
      <w:r w:rsidRPr="00851ABA">
        <w:rPr>
          <w:lang w:val="en-US"/>
        </w:rPr>
        <w:t>. A maximum of 2 dosing reductions are recommended, after which the patient should be discontinued from treatment with PIQRAY. Dosing reduction should be based on worst preceding toxicity.</w:t>
      </w:r>
    </w:p>
    <w:p w14:paraId="60725E8F" w14:textId="0A0ACDE0" w:rsidR="00851ABA" w:rsidRPr="00851ABA" w:rsidRDefault="00851ABA" w:rsidP="00851ABA">
      <w:pPr>
        <w:keepNext/>
        <w:keepLines/>
        <w:autoSpaceDE/>
        <w:autoSpaceDN/>
        <w:adjustRightInd/>
        <w:spacing w:before="240" w:after="60" w:line="240" w:lineRule="auto"/>
        <w:ind w:left="2061" w:hanging="1701"/>
        <w:jc w:val="left"/>
        <w:outlineLvl w:val="5"/>
        <w:rPr>
          <w:rFonts w:ascii="Arial" w:eastAsia="MS Gothic" w:hAnsi="Arial" w:cs="Arial"/>
          <w:b/>
          <w:sz w:val="22"/>
          <w:szCs w:val="20"/>
          <w:lang w:val="en-US" w:eastAsia="zh-CN"/>
        </w:rPr>
      </w:pPr>
      <w:bookmarkStart w:id="0" w:name="_Toc410379468"/>
      <w:bookmarkStart w:id="1" w:name="_Toc415235305"/>
      <w:bookmarkStart w:id="2" w:name="_Toc416389229"/>
      <w:bookmarkStart w:id="3" w:name="_Toc441244561"/>
      <w:bookmarkStart w:id="4" w:name="_Toc469552121"/>
      <w:bookmarkStart w:id="5" w:name="_Toc533089093"/>
      <w:bookmarkStart w:id="6" w:name="_Toc528238084"/>
      <w:r w:rsidRPr="00851ABA">
        <w:rPr>
          <w:rFonts w:ascii="Arial" w:eastAsia="MS Gothic" w:hAnsi="Arial" w:cs="Arial"/>
          <w:b/>
          <w:sz w:val="22"/>
          <w:szCs w:val="20"/>
          <w:lang w:val="en-US" w:eastAsia="zh-CN"/>
        </w:rPr>
        <w:t xml:space="preserve">Table </w:t>
      </w:r>
      <w:r w:rsidRPr="00851ABA">
        <w:rPr>
          <w:rFonts w:ascii="Arial" w:eastAsia="MS Gothic" w:hAnsi="Arial" w:cs="Arial"/>
          <w:b/>
          <w:sz w:val="22"/>
          <w:szCs w:val="20"/>
          <w:lang w:val="en-US" w:eastAsia="zh-CN"/>
        </w:rPr>
        <w:fldChar w:fldCharType="begin"/>
      </w:r>
      <w:r w:rsidRPr="00851ABA">
        <w:rPr>
          <w:rFonts w:ascii="Arial" w:eastAsia="MS Gothic" w:hAnsi="Arial" w:cs="Arial"/>
          <w:b/>
          <w:noProof/>
          <w:sz w:val="22"/>
          <w:szCs w:val="20"/>
          <w:lang w:val="en-US" w:eastAsia="zh-CN"/>
        </w:rPr>
        <w:instrText xml:space="preserve">  SEQ Table \s 1 \* ARABIC  \* MERGEFORMAT </w:instrText>
      </w:r>
      <w:r w:rsidRPr="00851ABA">
        <w:rPr>
          <w:rFonts w:ascii="Arial" w:eastAsia="MS Gothic" w:hAnsi="Arial" w:cs="Arial"/>
          <w:b/>
          <w:noProof/>
          <w:sz w:val="22"/>
          <w:szCs w:val="20"/>
          <w:lang w:val="en-US" w:eastAsia="zh-CN"/>
        </w:rPr>
        <w:fldChar w:fldCharType="separate"/>
      </w:r>
      <w:r w:rsidR="00804FE5">
        <w:rPr>
          <w:rFonts w:ascii="Arial" w:eastAsia="MS Gothic" w:hAnsi="Arial" w:cs="Arial"/>
          <w:b/>
          <w:noProof/>
          <w:sz w:val="22"/>
          <w:szCs w:val="20"/>
          <w:lang w:val="en-US" w:eastAsia="zh-CN"/>
        </w:rPr>
        <w:t>1</w:t>
      </w:r>
      <w:r w:rsidRPr="00851ABA">
        <w:rPr>
          <w:rFonts w:ascii="Arial" w:eastAsia="MS Gothic" w:hAnsi="Arial" w:cs="Arial"/>
          <w:b/>
          <w:sz w:val="22"/>
          <w:szCs w:val="20"/>
          <w:lang w:val="en-US" w:eastAsia="zh-CN"/>
        </w:rPr>
        <w:fldChar w:fldCharType="end"/>
      </w:r>
      <w:r w:rsidRPr="00851ABA">
        <w:rPr>
          <w:rFonts w:ascii="Arial" w:eastAsia="MS Gothic" w:hAnsi="Arial" w:cs="Arial"/>
          <w:b/>
          <w:sz w:val="22"/>
          <w:szCs w:val="20"/>
          <w:lang w:val="en-US" w:eastAsia="zh-CN"/>
        </w:rPr>
        <w:tab/>
        <w:t xml:space="preserve">Recommended Dosing reduction guidelines for adverse drug reactions for </w:t>
      </w:r>
      <w:bookmarkStart w:id="7" w:name="_hd6_Table_6_2_Dose_reducti162421"/>
      <w:bookmarkEnd w:id="0"/>
      <w:bookmarkEnd w:id="1"/>
      <w:bookmarkEnd w:id="2"/>
      <w:bookmarkEnd w:id="3"/>
      <w:bookmarkEnd w:id="4"/>
      <w:bookmarkEnd w:id="7"/>
      <w:r w:rsidR="00E16761" w:rsidRPr="00851ABA">
        <w:rPr>
          <w:rFonts w:ascii="Arial" w:eastAsia="MS Gothic" w:hAnsi="Arial" w:cs="Arial"/>
          <w:b/>
          <w:sz w:val="22"/>
          <w:szCs w:val="20"/>
          <w:lang w:val="en-US" w:eastAsia="zh-CN"/>
        </w:rPr>
        <w:t>PIQRAY</w:t>
      </w:r>
      <w:bookmarkEnd w:id="5"/>
      <w:r w:rsidR="0076694B" w:rsidRPr="0076694B">
        <w:rPr>
          <w:rFonts w:ascii="Arial" w:eastAsia="MS Gothic" w:hAnsi="Arial" w:cs="Arial"/>
          <w:b/>
          <w:sz w:val="22"/>
          <w:szCs w:val="20"/>
          <w:vertAlign w:val="superscript"/>
          <w:lang w:val="en-US" w:eastAsia="zh-CN"/>
        </w:rPr>
        <w:t>1</w:t>
      </w:r>
      <w:r w:rsidRPr="00851ABA">
        <w:rPr>
          <w:rFonts w:ascii="Arial" w:eastAsia="MS Gothic" w:hAnsi="Arial" w:cs="Arial"/>
          <w:b/>
          <w:sz w:val="22"/>
          <w:szCs w:val="20"/>
          <w:lang w:val="en-US" w:eastAsia="zh-CN"/>
        </w:rPr>
        <w:t xml:space="preserve"> </w:t>
      </w:r>
      <w:bookmarkEnd w:id="6"/>
    </w:p>
    <w:tbl>
      <w:tblPr>
        <w:tblW w:w="4847" w:type="pct"/>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3"/>
        <w:gridCol w:w="2716"/>
        <w:gridCol w:w="3729"/>
      </w:tblGrid>
      <w:tr w:rsidR="00851ABA" w:rsidRPr="00851ABA" w14:paraId="659FEA13" w14:textId="77777777" w:rsidTr="00851ABA">
        <w:trPr>
          <w:cantSplit/>
        </w:trPr>
        <w:tc>
          <w:tcPr>
            <w:tcW w:w="1607" w:type="pct"/>
            <w:shd w:val="clear" w:color="auto" w:fill="auto"/>
          </w:tcPr>
          <w:p w14:paraId="1EA27150" w14:textId="38CED7E9" w:rsidR="00851ABA" w:rsidRPr="00851ABA" w:rsidRDefault="00E16761" w:rsidP="00851ABA">
            <w:pPr>
              <w:keepNext/>
              <w:keepLines/>
              <w:tabs>
                <w:tab w:val="left" w:pos="284"/>
              </w:tabs>
              <w:autoSpaceDE/>
              <w:autoSpaceDN/>
              <w:adjustRightInd/>
              <w:spacing w:before="40" w:after="20" w:line="240" w:lineRule="auto"/>
              <w:jc w:val="left"/>
              <w:rPr>
                <w:rFonts w:ascii="Arial" w:eastAsia="MS Mincho" w:hAnsi="Arial" w:cs="Arial"/>
                <w:sz w:val="20"/>
                <w:szCs w:val="20"/>
                <w:lang w:val="en-US" w:eastAsia="zh-CN"/>
              </w:rPr>
            </w:pPr>
            <w:r w:rsidRPr="00851ABA">
              <w:rPr>
                <w:rFonts w:ascii="Arial" w:eastAsia="MS Mincho" w:hAnsi="Arial" w:cs="Arial"/>
                <w:b/>
                <w:bCs/>
                <w:sz w:val="20"/>
                <w:lang w:val="en-US" w:eastAsia="zh-CN"/>
              </w:rPr>
              <w:t xml:space="preserve">PIQRAY </w:t>
            </w:r>
            <w:r w:rsidR="00851ABA" w:rsidRPr="00851ABA">
              <w:rPr>
                <w:rFonts w:ascii="Arial" w:eastAsia="MS Mincho" w:hAnsi="Arial" w:cs="Arial"/>
                <w:b/>
                <w:bCs/>
                <w:sz w:val="20"/>
                <w:lang w:val="en-US" w:eastAsia="zh-CN"/>
              </w:rPr>
              <w:t>dose level</w:t>
            </w:r>
          </w:p>
        </w:tc>
        <w:tc>
          <w:tcPr>
            <w:tcW w:w="1430" w:type="pct"/>
            <w:shd w:val="clear" w:color="auto" w:fill="auto"/>
          </w:tcPr>
          <w:p w14:paraId="58E1C9FA" w14:textId="77777777" w:rsidR="00851ABA" w:rsidRPr="00851ABA" w:rsidRDefault="00851ABA" w:rsidP="00851ABA">
            <w:pPr>
              <w:keepNext/>
              <w:keepLines/>
              <w:tabs>
                <w:tab w:val="left" w:pos="284"/>
              </w:tabs>
              <w:autoSpaceDE/>
              <w:autoSpaceDN/>
              <w:adjustRightInd/>
              <w:spacing w:before="40" w:after="20" w:line="240" w:lineRule="auto"/>
              <w:jc w:val="left"/>
              <w:rPr>
                <w:rFonts w:ascii="Arial" w:eastAsia="MS Mincho" w:hAnsi="Arial" w:cs="Arial"/>
                <w:sz w:val="20"/>
                <w:szCs w:val="20"/>
                <w:lang w:val="en-US" w:eastAsia="zh-CN"/>
              </w:rPr>
            </w:pPr>
            <w:r w:rsidRPr="00851ABA">
              <w:rPr>
                <w:rFonts w:ascii="Arial" w:eastAsia="MS Mincho" w:hAnsi="Arial" w:cs="Arial"/>
                <w:b/>
                <w:bCs/>
                <w:sz w:val="20"/>
                <w:lang w:val="en-US" w:eastAsia="zh-CN"/>
              </w:rPr>
              <w:t>Dose and schedule</w:t>
            </w:r>
          </w:p>
        </w:tc>
        <w:tc>
          <w:tcPr>
            <w:tcW w:w="1963" w:type="pct"/>
          </w:tcPr>
          <w:p w14:paraId="690E5356" w14:textId="77777777" w:rsidR="00851ABA" w:rsidRPr="00851ABA" w:rsidRDefault="00851ABA" w:rsidP="00851ABA">
            <w:pPr>
              <w:keepNext/>
              <w:keepLines/>
              <w:tabs>
                <w:tab w:val="left" w:pos="284"/>
              </w:tabs>
              <w:autoSpaceDE/>
              <w:autoSpaceDN/>
              <w:adjustRightInd/>
              <w:spacing w:before="40" w:after="20" w:line="240" w:lineRule="auto"/>
              <w:jc w:val="left"/>
              <w:rPr>
                <w:rFonts w:ascii="Arial" w:eastAsia="MS Mincho" w:hAnsi="Arial" w:cs="Arial"/>
                <w:sz w:val="20"/>
                <w:szCs w:val="20"/>
                <w:lang w:val="en-US" w:eastAsia="zh-CN"/>
              </w:rPr>
            </w:pPr>
            <w:r w:rsidRPr="00851ABA">
              <w:rPr>
                <w:rFonts w:ascii="Arial" w:eastAsia="MS Mincho" w:hAnsi="Arial" w:cs="Arial"/>
                <w:b/>
                <w:bCs/>
                <w:sz w:val="20"/>
                <w:lang w:val="en-US" w:eastAsia="zh-CN"/>
              </w:rPr>
              <w:t xml:space="preserve">Number and strength of tablets  </w:t>
            </w:r>
          </w:p>
        </w:tc>
      </w:tr>
      <w:tr w:rsidR="00851ABA" w:rsidRPr="00851ABA" w14:paraId="0405445E" w14:textId="77777777" w:rsidTr="00851ABA">
        <w:trPr>
          <w:cantSplit/>
        </w:trPr>
        <w:tc>
          <w:tcPr>
            <w:tcW w:w="1607" w:type="pct"/>
            <w:shd w:val="clear" w:color="auto" w:fill="auto"/>
          </w:tcPr>
          <w:p w14:paraId="42E3C0F4" w14:textId="77777777" w:rsidR="00851ABA" w:rsidRPr="00851ABA" w:rsidRDefault="00851ABA" w:rsidP="00851ABA">
            <w:pPr>
              <w:keepNext/>
              <w:keepLines/>
              <w:tabs>
                <w:tab w:val="left" w:pos="284"/>
              </w:tabs>
              <w:autoSpaceDE/>
              <w:autoSpaceDN/>
              <w:adjustRightInd/>
              <w:spacing w:before="40" w:after="20" w:line="240" w:lineRule="auto"/>
              <w:jc w:val="left"/>
              <w:rPr>
                <w:rFonts w:ascii="Arial" w:eastAsia="MS Mincho" w:hAnsi="Arial" w:cs="Arial"/>
                <w:sz w:val="20"/>
                <w:szCs w:val="20"/>
                <w:lang w:val="en-US" w:eastAsia="zh-CN"/>
              </w:rPr>
            </w:pPr>
            <w:r w:rsidRPr="00851ABA">
              <w:rPr>
                <w:rFonts w:ascii="Arial" w:eastAsia="MS Mincho" w:hAnsi="Arial" w:cs="Arial"/>
                <w:sz w:val="20"/>
                <w:lang w:val="en-US" w:eastAsia="zh-CN"/>
              </w:rPr>
              <w:t>Starting dose</w:t>
            </w:r>
          </w:p>
        </w:tc>
        <w:tc>
          <w:tcPr>
            <w:tcW w:w="1430" w:type="pct"/>
            <w:shd w:val="clear" w:color="auto" w:fill="auto"/>
          </w:tcPr>
          <w:p w14:paraId="366E399E" w14:textId="77777777" w:rsidR="00851ABA" w:rsidRPr="00851ABA" w:rsidRDefault="00851ABA" w:rsidP="00851ABA">
            <w:pPr>
              <w:keepNext/>
              <w:keepLines/>
              <w:tabs>
                <w:tab w:val="left" w:pos="284"/>
              </w:tabs>
              <w:autoSpaceDE/>
              <w:autoSpaceDN/>
              <w:adjustRightInd/>
              <w:spacing w:before="40" w:after="20" w:line="240" w:lineRule="auto"/>
              <w:jc w:val="left"/>
              <w:rPr>
                <w:rFonts w:ascii="Arial" w:eastAsia="MS Mincho" w:hAnsi="Arial" w:cs="Arial"/>
                <w:sz w:val="20"/>
                <w:szCs w:val="20"/>
                <w:lang w:val="en-US" w:eastAsia="zh-CN"/>
              </w:rPr>
            </w:pPr>
            <w:r w:rsidRPr="00851ABA">
              <w:rPr>
                <w:rFonts w:ascii="Arial" w:eastAsia="MS Mincho" w:hAnsi="Arial" w:cs="Arial"/>
                <w:sz w:val="20"/>
                <w:lang w:val="en-US" w:eastAsia="zh-CN"/>
              </w:rPr>
              <w:t>300 mg/day continuously</w:t>
            </w:r>
          </w:p>
        </w:tc>
        <w:tc>
          <w:tcPr>
            <w:tcW w:w="1963" w:type="pct"/>
          </w:tcPr>
          <w:p w14:paraId="3DA5283B" w14:textId="77777777" w:rsidR="00851ABA" w:rsidRPr="00851ABA" w:rsidRDefault="00851ABA" w:rsidP="00851ABA">
            <w:pPr>
              <w:keepNext/>
              <w:keepLines/>
              <w:tabs>
                <w:tab w:val="left" w:pos="284"/>
              </w:tabs>
              <w:autoSpaceDE/>
              <w:autoSpaceDN/>
              <w:adjustRightInd/>
              <w:spacing w:before="40" w:after="20" w:line="240" w:lineRule="auto"/>
              <w:jc w:val="left"/>
              <w:rPr>
                <w:rFonts w:ascii="Arial" w:eastAsia="MS Mincho" w:hAnsi="Arial" w:cs="Arial"/>
                <w:sz w:val="20"/>
                <w:szCs w:val="20"/>
                <w:lang w:val="en-US" w:eastAsia="zh-CN"/>
              </w:rPr>
            </w:pPr>
            <w:r w:rsidRPr="00851ABA">
              <w:rPr>
                <w:rFonts w:ascii="Arial" w:eastAsia="MS Mincho" w:hAnsi="Arial" w:cs="Arial"/>
                <w:sz w:val="20"/>
                <w:lang w:val="en-US" w:eastAsia="zh-CN"/>
              </w:rPr>
              <w:t xml:space="preserve">2 x 150 mg tablets </w:t>
            </w:r>
          </w:p>
        </w:tc>
      </w:tr>
      <w:tr w:rsidR="00851ABA" w:rsidRPr="00851ABA" w14:paraId="335FBD75" w14:textId="77777777" w:rsidTr="00851ABA">
        <w:trPr>
          <w:cantSplit/>
        </w:trPr>
        <w:tc>
          <w:tcPr>
            <w:tcW w:w="1607" w:type="pct"/>
            <w:shd w:val="clear" w:color="auto" w:fill="auto"/>
          </w:tcPr>
          <w:p w14:paraId="591C70F6" w14:textId="77777777" w:rsidR="00851ABA" w:rsidRPr="00851ABA" w:rsidRDefault="00851ABA" w:rsidP="00851ABA">
            <w:pPr>
              <w:keepNext/>
              <w:keepLines/>
              <w:tabs>
                <w:tab w:val="left" w:pos="284"/>
              </w:tabs>
              <w:autoSpaceDE/>
              <w:autoSpaceDN/>
              <w:adjustRightInd/>
              <w:spacing w:before="40" w:after="20" w:line="240" w:lineRule="auto"/>
              <w:jc w:val="left"/>
              <w:rPr>
                <w:rFonts w:ascii="Arial" w:eastAsia="MS Mincho" w:hAnsi="Arial" w:cs="Arial"/>
                <w:sz w:val="20"/>
                <w:szCs w:val="20"/>
                <w:lang w:val="en-US" w:eastAsia="zh-CN"/>
              </w:rPr>
            </w:pPr>
            <w:r w:rsidRPr="00851ABA">
              <w:rPr>
                <w:rFonts w:ascii="Arial" w:eastAsia="MS Mincho" w:hAnsi="Arial" w:cs="Arial"/>
                <w:sz w:val="20"/>
                <w:lang w:val="en-US" w:eastAsia="zh-CN"/>
              </w:rPr>
              <w:t>First dose reduction</w:t>
            </w:r>
          </w:p>
        </w:tc>
        <w:tc>
          <w:tcPr>
            <w:tcW w:w="1430" w:type="pct"/>
            <w:shd w:val="clear" w:color="auto" w:fill="auto"/>
          </w:tcPr>
          <w:p w14:paraId="33266AA7" w14:textId="77777777" w:rsidR="00851ABA" w:rsidRPr="00851ABA" w:rsidRDefault="00851ABA" w:rsidP="00851ABA">
            <w:pPr>
              <w:keepNext/>
              <w:keepLines/>
              <w:tabs>
                <w:tab w:val="left" w:pos="284"/>
              </w:tabs>
              <w:autoSpaceDE/>
              <w:autoSpaceDN/>
              <w:adjustRightInd/>
              <w:spacing w:before="40" w:after="20" w:line="240" w:lineRule="auto"/>
              <w:jc w:val="left"/>
              <w:rPr>
                <w:rFonts w:ascii="Arial" w:eastAsia="MS Mincho" w:hAnsi="Arial" w:cs="Arial"/>
                <w:sz w:val="20"/>
                <w:szCs w:val="20"/>
                <w:lang w:val="en-US" w:eastAsia="zh-CN"/>
              </w:rPr>
            </w:pPr>
            <w:r w:rsidRPr="00851ABA">
              <w:rPr>
                <w:rFonts w:ascii="Arial" w:eastAsia="MS Mincho" w:hAnsi="Arial" w:cs="Arial"/>
                <w:sz w:val="20"/>
                <w:lang w:val="en-US" w:eastAsia="zh-CN"/>
              </w:rPr>
              <w:t>250 mg/day continuously</w:t>
            </w:r>
          </w:p>
        </w:tc>
        <w:tc>
          <w:tcPr>
            <w:tcW w:w="1963" w:type="pct"/>
          </w:tcPr>
          <w:p w14:paraId="63D667FA" w14:textId="77777777" w:rsidR="00851ABA" w:rsidRPr="00851ABA" w:rsidRDefault="00851ABA" w:rsidP="00851ABA">
            <w:pPr>
              <w:keepNext/>
              <w:keepLines/>
              <w:tabs>
                <w:tab w:val="left" w:pos="284"/>
              </w:tabs>
              <w:autoSpaceDE/>
              <w:autoSpaceDN/>
              <w:adjustRightInd/>
              <w:spacing w:before="40" w:after="20" w:line="240" w:lineRule="auto"/>
              <w:jc w:val="left"/>
              <w:rPr>
                <w:rFonts w:ascii="Arial" w:eastAsia="MS Mincho" w:hAnsi="Arial" w:cs="Arial"/>
                <w:sz w:val="20"/>
                <w:szCs w:val="20"/>
                <w:lang w:val="en-US" w:eastAsia="zh-CN"/>
              </w:rPr>
            </w:pPr>
            <w:r w:rsidRPr="00851ABA">
              <w:rPr>
                <w:rFonts w:ascii="Arial" w:eastAsia="MS Mincho" w:hAnsi="Arial" w:cs="Arial"/>
                <w:sz w:val="20"/>
                <w:lang w:val="en-US" w:eastAsia="zh-CN"/>
              </w:rPr>
              <w:t>1 x 200 mg tablet and 1 x 50 mg tablet</w:t>
            </w:r>
          </w:p>
        </w:tc>
      </w:tr>
      <w:tr w:rsidR="00851ABA" w:rsidRPr="00851ABA" w14:paraId="56B49366" w14:textId="77777777" w:rsidTr="00851ABA">
        <w:trPr>
          <w:cantSplit/>
        </w:trPr>
        <w:tc>
          <w:tcPr>
            <w:tcW w:w="1607" w:type="pct"/>
            <w:shd w:val="clear" w:color="auto" w:fill="auto"/>
          </w:tcPr>
          <w:p w14:paraId="7AF410F6" w14:textId="77777777" w:rsidR="00851ABA" w:rsidRPr="00851ABA" w:rsidRDefault="00851ABA" w:rsidP="00851ABA">
            <w:pPr>
              <w:keepLines/>
              <w:tabs>
                <w:tab w:val="left" w:pos="284"/>
              </w:tabs>
              <w:autoSpaceDE/>
              <w:autoSpaceDN/>
              <w:adjustRightInd/>
              <w:spacing w:before="40" w:after="20" w:line="240" w:lineRule="auto"/>
              <w:jc w:val="left"/>
              <w:rPr>
                <w:rFonts w:ascii="Arial" w:eastAsia="MS Mincho" w:hAnsi="Arial" w:cs="Arial"/>
                <w:sz w:val="20"/>
                <w:szCs w:val="20"/>
                <w:lang w:val="en-US" w:eastAsia="zh-CN"/>
              </w:rPr>
            </w:pPr>
            <w:r w:rsidRPr="00851ABA">
              <w:rPr>
                <w:rFonts w:ascii="Arial" w:eastAsia="MS Mincho" w:hAnsi="Arial" w:cs="Arial"/>
                <w:sz w:val="20"/>
                <w:lang w:val="en-US" w:eastAsia="zh-CN"/>
              </w:rPr>
              <w:t>Second dose reduction</w:t>
            </w:r>
          </w:p>
        </w:tc>
        <w:tc>
          <w:tcPr>
            <w:tcW w:w="1430" w:type="pct"/>
            <w:shd w:val="clear" w:color="auto" w:fill="auto"/>
          </w:tcPr>
          <w:p w14:paraId="003B96F2" w14:textId="77777777" w:rsidR="00851ABA" w:rsidRPr="00851ABA" w:rsidRDefault="00851ABA" w:rsidP="00851ABA">
            <w:pPr>
              <w:keepLines/>
              <w:tabs>
                <w:tab w:val="left" w:pos="284"/>
              </w:tabs>
              <w:autoSpaceDE/>
              <w:autoSpaceDN/>
              <w:adjustRightInd/>
              <w:spacing w:before="40" w:after="20" w:line="240" w:lineRule="auto"/>
              <w:jc w:val="left"/>
              <w:rPr>
                <w:rFonts w:ascii="Arial" w:eastAsia="MS Mincho" w:hAnsi="Arial" w:cs="Arial"/>
                <w:sz w:val="20"/>
                <w:szCs w:val="20"/>
                <w:lang w:val="en-US" w:eastAsia="zh-CN"/>
              </w:rPr>
            </w:pPr>
            <w:r w:rsidRPr="00851ABA">
              <w:rPr>
                <w:rFonts w:ascii="Arial" w:eastAsia="MS Mincho" w:hAnsi="Arial" w:cs="Arial"/>
                <w:sz w:val="20"/>
                <w:lang w:val="en-US" w:eastAsia="zh-CN"/>
              </w:rPr>
              <w:t>200 mg/day continuously</w:t>
            </w:r>
          </w:p>
        </w:tc>
        <w:tc>
          <w:tcPr>
            <w:tcW w:w="1963" w:type="pct"/>
          </w:tcPr>
          <w:p w14:paraId="091A72D9" w14:textId="77777777" w:rsidR="00851ABA" w:rsidRPr="00851ABA" w:rsidRDefault="00851ABA" w:rsidP="00851ABA">
            <w:pPr>
              <w:keepLines/>
              <w:tabs>
                <w:tab w:val="left" w:pos="284"/>
              </w:tabs>
              <w:autoSpaceDE/>
              <w:autoSpaceDN/>
              <w:adjustRightInd/>
              <w:spacing w:before="40" w:after="20" w:line="240" w:lineRule="auto"/>
              <w:jc w:val="left"/>
              <w:rPr>
                <w:rFonts w:ascii="Arial" w:eastAsia="MS Mincho" w:hAnsi="Arial" w:cs="Arial"/>
                <w:sz w:val="20"/>
                <w:szCs w:val="20"/>
                <w:lang w:val="en-US" w:eastAsia="zh-CN"/>
              </w:rPr>
            </w:pPr>
            <w:r w:rsidRPr="00851ABA">
              <w:rPr>
                <w:rFonts w:ascii="Arial" w:eastAsia="MS Mincho" w:hAnsi="Arial" w:cs="Arial"/>
                <w:sz w:val="20"/>
                <w:lang w:val="en-US" w:eastAsia="zh-CN"/>
              </w:rPr>
              <w:t>1 x 200 mg tablet</w:t>
            </w:r>
          </w:p>
        </w:tc>
      </w:tr>
      <w:tr w:rsidR="00851ABA" w:rsidRPr="00851ABA" w14:paraId="32D88AD1" w14:textId="77777777" w:rsidTr="00851ABA">
        <w:trPr>
          <w:cantSplit/>
        </w:trPr>
        <w:tc>
          <w:tcPr>
            <w:tcW w:w="5000" w:type="pct"/>
            <w:gridSpan w:val="3"/>
            <w:shd w:val="clear" w:color="auto" w:fill="auto"/>
          </w:tcPr>
          <w:p w14:paraId="68878A7B" w14:textId="77777777" w:rsidR="00851ABA" w:rsidRPr="00851ABA" w:rsidRDefault="00851ABA" w:rsidP="00851ABA">
            <w:pPr>
              <w:keepLines/>
              <w:tabs>
                <w:tab w:val="left" w:pos="284"/>
              </w:tabs>
              <w:autoSpaceDE/>
              <w:autoSpaceDN/>
              <w:adjustRightInd/>
              <w:spacing w:before="40" w:after="20" w:line="240" w:lineRule="auto"/>
              <w:jc w:val="left"/>
              <w:rPr>
                <w:rFonts w:ascii="Arial" w:eastAsia="MS Mincho" w:hAnsi="Arial" w:cs="Arial"/>
                <w:sz w:val="20"/>
                <w:lang w:val="en-US" w:eastAsia="zh-CN"/>
              </w:rPr>
            </w:pPr>
            <w:r w:rsidRPr="00851ABA">
              <w:rPr>
                <w:rFonts w:ascii="Arial" w:eastAsia="MS Mincho" w:hAnsi="Arial" w:cs="Arial"/>
                <w:iCs/>
                <w:sz w:val="20"/>
                <w:szCs w:val="20"/>
                <w:vertAlign w:val="superscript"/>
                <w:lang w:val="en-US" w:eastAsia="zh-CN"/>
              </w:rPr>
              <w:t>1</w:t>
            </w:r>
            <w:r w:rsidRPr="00851ABA">
              <w:rPr>
                <w:rFonts w:ascii="Arial" w:eastAsia="MS Mincho" w:hAnsi="Arial" w:cs="Arial"/>
                <w:iCs/>
                <w:sz w:val="20"/>
                <w:szCs w:val="20"/>
                <w:lang w:val="en-US" w:eastAsia="zh-CN"/>
              </w:rPr>
              <w:t xml:space="preserve">Only one dose reduction is permitted for pancreatitis. </w:t>
            </w:r>
            <w:r w:rsidRPr="00851ABA">
              <w:rPr>
                <w:rFonts w:ascii="Arial" w:eastAsia="MS Mincho" w:hAnsi="Arial" w:cs="Arial"/>
                <w:iCs/>
                <w:color w:val="0000FF"/>
                <w:sz w:val="20"/>
                <w:szCs w:val="20"/>
                <w:lang w:val="en-US" w:eastAsia="zh-CN"/>
              </w:rPr>
              <w:t xml:space="preserve"> </w:t>
            </w:r>
          </w:p>
        </w:tc>
      </w:tr>
    </w:tbl>
    <w:p w14:paraId="72D72106" w14:textId="7F5BBBB4" w:rsidR="00FE20CD" w:rsidRDefault="00851ABA" w:rsidP="00CE5EF6">
      <w:pPr>
        <w:autoSpaceDE/>
        <w:autoSpaceDN/>
        <w:adjustRightInd/>
        <w:spacing w:before="120" w:after="0" w:line="240" w:lineRule="auto"/>
        <w:ind w:left="357"/>
        <w:rPr>
          <w:rFonts w:eastAsia="MS Mincho"/>
          <w:szCs w:val="20"/>
          <w:lang w:val="en-US" w:eastAsia="zh-CN"/>
        </w:rPr>
      </w:pPr>
      <w:r w:rsidRPr="00851ABA">
        <w:rPr>
          <w:rFonts w:eastAsia="MS Mincho"/>
          <w:szCs w:val="20"/>
          <w:lang w:val="en-US" w:eastAsia="zh-CN"/>
        </w:rPr>
        <w:t>Tables 2, 3</w:t>
      </w:r>
      <w:r w:rsidR="00493275">
        <w:rPr>
          <w:rFonts w:eastAsia="MS Mincho"/>
          <w:szCs w:val="20"/>
          <w:lang w:val="en-US" w:eastAsia="zh-CN"/>
        </w:rPr>
        <w:t>,</w:t>
      </w:r>
      <w:r w:rsidRPr="00851ABA">
        <w:rPr>
          <w:rFonts w:eastAsia="MS Mincho"/>
          <w:szCs w:val="20"/>
          <w:lang w:val="en-US" w:eastAsia="zh-CN"/>
        </w:rPr>
        <w:t xml:space="preserve"> 4</w:t>
      </w:r>
      <w:r w:rsidR="00493275">
        <w:rPr>
          <w:rFonts w:eastAsia="MS Mincho"/>
          <w:szCs w:val="20"/>
          <w:lang w:val="en-US" w:eastAsia="zh-CN"/>
        </w:rPr>
        <w:t xml:space="preserve"> and 5</w:t>
      </w:r>
      <w:r w:rsidRPr="00851ABA">
        <w:rPr>
          <w:rFonts w:eastAsia="MS Mincho"/>
          <w:szCs w:val="20"/>
          <w:lang w:val="en-US" w:eastAsia="zh-CN"/>
        </w:rPr>
        <w:t xml:space="preserve"> summarize recommendations for dosing interruption, reduction or discontinuation of </w:t>
      </w:r>
      <w:r w:rsidR="00FE20CD" w:rsidRPr="00851ABA">
        <w:rPr>
          <w:rFonts w:eastAsia="MS Mincho"/>
          <w:szCs w:val="20"/>
          <w:lang w:val="en-US" w:eastAsia="zh-CN"/>
        </w:rPr>
        <w:t xml:space="preserve">PIQRAY </w:t>
      </w:r>
      <w:r w:rsidRPr="00851ABA">
        <w:rPr>
          <w:rFonts w:eastAsia="MS Mincho"/>
          <w:szCs w:val="20"/>
          <w:lang w:val="en-US" w:eastAsia="zh-CN"/>
        </w:rPr>
        <w:t xml:space="preserve">in the management of specific ADRs. Clinical judgment of the treating physician, including confirmation of laboratory values if deemed necessary, should guide the </w:t>
      </w:r>
      <w:r w:rsidRPr="00851ABA">
        <w:rPr>
          <w:rFonts w:eastAsia="MS Mincho"/>
          <w:szCs w:val="20"/>
          <w:lang w:val="en-US" w:eastAsia="zh-CN"/>
        </w:rPr>
        <w:lastRenderedPageBreak/>
        <w:t xml:space="preserve">management plan of each patient based on the individual benefit/risk assessment for treatment with </w:t>
      </w:r>
      <w:r w:rsidR="00FE20CD">
        <w:rPr>
          <w:rFonts w:eastAsia="MS Mincho"/>
          <w:szCs w:val="20"/>
          <w:lang w:val="en-US" w:eastAsia="zh-CN"/>
        </w:rPr>
        <w:t>PIQRAY</w:t>
      </w:r>
      <w:r w:rsidR="00CE5EF6">
        <w:rPr>
          <w:rFonts w:eastAsia="MS Mincho"/>
          <w:szCs w:val="20"/>
          <w:lang w:val="en-US" w:eastAsia="zh-CN"/>
        </w:rPr>
        <w:t>.</w:t>
      </w:r>
    </w:p>
    <w:p w14:paraId="2572F9E6" w14:textId="34D99ECE" w:rsidR="00FE20CD" w:rsidRDefault="00CE5EF6" w:rsidP="00E16761">
      <w:pPr>
        <w:pStyle w:val="Heading3"/>
        <w:numPr>
          <w:ilvl w:val="0"/>
          <w:numId w:val="0"/>
        </w:numPr>
        <w:spacing w:before="120" w:line="240" w:lineRule="auto"/>
        <w:ind w:left="357"/>
        <w:rPr>
          <w:b w:val="0"/>
          <w:u w:val="single"/>
        </w:rPr>
      </w:pPr>
      <w:proofErr w:type="spellStart"/>
      <w:r>
        <w:rPr>
          <w:b w:val="0"/>
          <w:u w:val="single"/>
        </w:rPr>
        <w:t>Hyperglycaemia</w:t>
      </w:r>
      <w:proofErr w:type="spellEnd"/>
    </w:p>
    <w:p w14:paraId="4DB35D31" w14:textId="32C5ACE1" w:rsidR="00FE20CD" w:rsidRPr="00FE20CD" w:rsidRDefault="00FE20CD" w:rsidP="00FE20CD">
      <w:pPr>
        <w:ind w:left="357"/>
        <w:rPr>
          <w:lang w:val="en-US"/>
        </w:rPr>
      </w:pPr>
      <w:r w:rsidRPr="00FE20CD">
        <w:rPr>
          <w:lang w:val="en-US"/>
        </w:rPr>
        <w:t xml:space="preserve">Dosing </w:t>
      </w:r>
      <w:r>
        <w:rPr>
          <w:lang w:val="en-US"/>
        </w:rPr>
        <w:t>m</w:t>
      </w:r>
      <w:r w:rsidRPr="00FE20CD">
        <w:rPr>
          <w:lang w:val="en-US"/>
        </w:rPr>
        <w:t>odification</w:t>
      </w:r>
      <w:r>
        <w:rPr>
          <w:lang w:val="en-US"/>
        </w:rPr>
        <w:t xml:space="preserve">s </w:t>
      </w:r>
      <w:r w:rsidRPr="00FE20CD">
        <w:rPr>
          <w:lang w:val="en-US"/>
        </w:rPr>
        <w:t xml:space="preserve">and </w:t>
      </w:r>
      <w:r>
        <w:rPr>
          <w:lang w:val="en-US"/>
        </w:rPr>
        <w:t>m</w:t>
      </w:r>
      <w:r w:rsidRPr="00FE20CD">
        <w:rPr>
          <w:lang w:val="en-US"/>
        </w:rPr>
        <w:t xml:space="preserve">anagement </w:t>
      </w:r>
      <w:r>
        <w:rPr>
          <w:lang w:val="en-US"/>
        </w:rPr>
        <w:t xml:space="preserve">guidelines </w:t>
      </w:r>
      <w:r w:rsidRPr="00FE20CD">
        <w:rPr>
          <w:lang w:val="en-US"/>
        </w:rPr>
        <w:t xml:space="preserve">for </w:t>
      </w:r>
      <w:proofErr w:type="spellStart"/>
      <w:r>
        <w:rPr>
          <w:lang w:val="en-US"/>
        </w:rPr>
        <w:t>h</w:t>
      </w:r>
      <w:r w:rsidRPr="00FE20CD">
        <w:rPr>
          <w:lang w:val="en-US"/>
        </w:rPr>
        <w:t>yperglycaemia</w:t>
      </w:r>
      <w:proofErr w:type="spellEnd"/>
      <w:r w:rsidR="00CE5EF6">
        <w:rPr>
          <w:lang w:val="en-US"/>
        </w:rPr>
        <w:t xml:space="preserve"> are described in Table 2.</w:t>
      </w:r>
    </w:p>
    <w:p w14:paraId="33A60300" w14:textId="112DCF36" w:rsidR="00FE20CD" w:rsidRPr="00FE20CD" w:rsidRDefault="00FE20CD" w:rsidP="00E16761">
      <w:pPr>
        <w:pStyle w:val="Heading3"/>
        <w:numPr>
          <w:ilvl w:val="0"/>
          <w:numId w:val="0"/>
        </w:numPr>
        <w:spacing w:before="120" w:line="240" w:lineRule="auto"/>
        <w:ind w:left="357"/>
        <w:rPr>
          <w:b w:val="0"/>
          <w:u w:val="single"/>
        </w:rPr>
      </w:pPr>
      <w:r w:rsidRPr="00FE20CD">
        <w:rPr>
          <w:b w:val="0"/>
          <w:u w:val="single"/>
        </w:rPr>
        <w:t>Rash</w:t>
      </w:r>
    </w:p>
    <w:p w14:paraId="0EA5CBC8" w14:textId="5F17046E" w:rsidR="00FE20CD" w:rsidRDefault="00FE20CD" w:rsidP="00FE20CD">
      <w:pPr>
        <w:autoSpaceDE/>
        <w:autoSpaceDN/>
        <w:adjustRightInd/>
        <w:spacing w:before="120" w:after="0" w:line="240" w:lineRule="auto"/>
        <w:ind w:left="360"/>
        <w:rPr>
          <w:rFonts w:eastAsia="MS Mincho"/>
          <w:szCs w:val="20"/>
          <w:lang w:val="en-US" w:eastAsia="zh-CN"/>
        </w:rPr>
      </w:pPr>
      <w:r w:rsidRPr="00FE20CD">
        <w:rPr>
          <w:rFonts w:eastAsia="MS Mincho"/>
          <w:szCs w:val="20"/>
          <w:lang w:val="en-US" w:eastAsia="zh-CN"/>
        </w:rPr>
        <w:t xml:space="preserve">Oral antihistamine administration may be considered prophylactically, at the time of initiation of treatment with PIQRAY. Based on the severity of rash, PIQRAY may require dose interruption, reduction, or discontinuation as described in Table 3 (see section </w:t>
      </w:r>
      <w:r>
        <w:rPr>
          <w:rFonts w:eastAsia="MS Mincho"/>
          <w:szCs w:val="20"/>
          <w:lang w:val="en-US" w:eastAsia="zh-CN"/>
        </w:rPr>
        <w:t>4.</w:t>
      </w:r>
      <w:r w:rsidR="005E2D28">
        <w:rPr>
          <w:rFonts w:eastAsia="MS Mincho"/>
          <w:szCs w:val="20"/>
          <w:lang w:val="en-US" w:eastAsia="zh-CN"/>
        </w:rPr>
        <w:t>8</w:t>
      </w:r>
      <w:r w:rsidRPr="00FE20CD">
        <w:rPr>
          <w:rFonts w:eastAsia="MS Mincho"/>
          <w:szCs w:val="20"/>
          <w:lang w:val="en-US" w:eastAsia="zh-CN"/>
        </w:rPr>
        <w:t xml:space="preserve"> Adverse </w:t>
      </w:r>
      <w:r w:rsidR="005E2D28">
        <w:rPr>
          <w:rFonts w:eastAsia="MS Mincho"/>
          <w:szCs w:val="20"/>
          <w:lang w:val="en-US" w:eastAsia="zh-CN"/>
        </w:rPr>
        <w:t>effects</w:t>
      </w:r>
      <w:r w:rsidRPr="00FE20CD">
        <w:rPr>
          <w:rFonts w:eastAsia="MS Mincho"/>
          <w:szCs w:val="20"/>
          <w:lang w:val="en-US" w:eastAsia="zh-CN"/>
        </w:rPr>
        <w:t>).</w:t>
      </w:r>
    </w:p>
    <w:p w14:paraId="1111E5AD" w14:textId="6632DE7D" w:rsidR="00493275" w:rsidRPr="00D808E8" w:rsidRDefault="00493275" w:rsidP="00FE20CD">
      <w:pPr>
        <w:autoSpaceDE/>
        <w:autoSpaceDN/>
        <w:adjustRightInd/>
        <w:spacing w:before="120" w:after="0" w:line="240" w:lineRule="auto"/>
        <w:ind w:left="360"/>
        <w:rPr>
          <w:rFonts w:eastAsia="MS Mincho"/>
          <w:szCs w:val="20"/>
          <w:u w:val="single"/>
          <w:lang w:val="en-US" w:eastAsia="zh-CN"/>
        </w:rPr>
      </w:pPr>
      <w:proofErr w:type="spellStart"/>
      <w:r w:rsidRPr="00D808E8">
        <w:rPr>
          <w:rFonts w:eastAsia="MS Mincho"/>
          <w:szCs w:val="20"/>
          <w:u w:val="single"/>
          <w:lang w:val="en-US" w:eastAsia="zh-CN"/>
        </w:rPr>
        <w:t>Diarrhoea</w:t>
      </w:r>
      <w:proofErr w:type="spellEnd"/>
    </w:p>
    <w:p w14:paraId="488E4C08" w14:textId="6821BBB9" w:rsidR="00493275" w:rsidRDefault="00493275" w:rsidP="00FE20CD">
      <w:pPr>
        <w:autoSpaceDE/>
        <w:autoSpaceDN/>
        <w:adjustRightInd/>
        <w:spacing w:before="120" w:after="0" w:line="240" w:lineRule="auto"/>
        <w:ind w:left="360"/>
        <w:rPr>
          <w:rFonts w:eastAsia="MS Mincho"/>
          <w:szCs w:val="20"/>
          <w:lang w:val="en-US" w:eastAsia="zh-CN"/>
        </w:rPr>
      </w:pPr>
      <w:r>
        <w:rPr>
          <w:rFonts w:eastAsia="MS Mincho"/>
          <w:szCs w:val="20"/>
          <w:lang w:val="en-US" w:eastAsia="zh-CN"/>
        </w:rPr>
        <w:t>Please refer to Table 4 for dosing modifications and management guidelines.</w:t>
      </w:r>
    </w:p>
    <w:p w14:paraId="7826C02F" w14:textId="0D805893" w:rsidR="00FE20CD" w:rsidRDefault="00FE20CD" w:rsidP="00E16761">
      <w:pPr>
        <w:pStyle w:val="Heading3"/>
        <w:numPr>
          <w:ilvl w:val="0"/>
          <w:numId w:val="0"/>
        </w:numPr>
        <w:spacing w:before="120" w:line="240" w:lineRule="auto"/>
        <w:ind w:left="360"/>
        <w:rPr>
          <w:b w:val="0"/>
          <w:u w:val="single"/>
        </w:rPr>
      </w:pPr>
      <w:r w:rsidRPr="00FE20CD">
        <w:rPr>
          <w:b w:val="0"/>
          <w:u w:val="single"/>
        </w:rPr>
        <w:t>Other toxicities</w:t>
      </w:r>
    </w:p>
    <w:p w14:paraId="0FD2A984" w14:textId="38F7E252" w:rsidR="00091F04" w:rsidRPr="00E16761" w:rsidRDefault="00091F04" w:rsidP="00E16761">
      <w:pPr>
        <w:ind w:left="360"/>
        <w:rPr>
          <w:rFonts w:eastAsia="MS Mincho"/>
          <w:lang w:val="en-US"/>
        </w:rPr>
      </w:pPr>
      <w:r w:rsidRPr="00E16761">
        <w:rPr>
          <w:rFonts w:eastAsia="MS Mincho"/>
          <w:lang w:val="en-US"/>
        </w:rPr>
        <w:t xml:space="preserve">Please refer to Table </w:t>
      </w:r>
      <w:r w:rsidR="00493275">
        <w:rPr>
          <w:rFonts w:eastAsia="MS Mincho"/>
          <w:lang w:val="en-US"/>
        </w:rPr>
        <w:t>5</w:t>
      </w:r>
      <w:r w:rsidRPr="00E16761">
        <w:rPr>
          <w:rFonts w:eastAsia="MS Mincho"/>
          <w:lang w:val="en-US"/>
        </w:rPr>
        <w:t xml:space="preserve"> for the dosing modification and management for other toxicities (excl</w:t>
      </w:r>
      <w:r w:rsidR="00CE5EF6">
        <w:rPr>
          <w:rFonts w:eastAsia="MS Mincho"/>
          <w:lang w:val="en-US"/>
        </w:rPr>
        <w:t xml:space="preserve">uding </w:t>
      </w:r>
      <w:proofErr w:type="spellStart"/>
      <w:r w:rsidR="00CE5EF6">
        <w:rPr>
          <w:rFonts w:eastAsia="MS Mincho"/>
          <w:lang w:val="en-US"/>
        </w:rPr>
        <w:t>hyperglycaemia</w:t>
      </w:r>
      <w:proofErr w:type="spellEnd"/>
      <w:r w:rsidR="00CE5EF6">
        <w:rPr>
          <w:rFonts w:eastAsia="MS Mincho"/>
          <w:lang w:val="en-US"/>
        </w:rPr>
        <w:t xml:space="preserve"> and rash).</w:t>
      </w:r>
    </w:p>
    <w:p w14:paraId="58BB276B" w14:textId="77777777" w:rsidR="00FE20CD" w:rsidRPr="00FE20CD" w:rsidRDefault="00FE20CD" w:rsidP="00E16761">
      <w:pPr>
        <w:pStyle w:val="Heading3"/>
        <w:numPr>
          <w:ilvl w:val="0"/>
          <w:numId w:val="0"/>
        </w:numPr>
        <w:spacing w:before="120" w:line="240" w:lineRule="auto"/>
        <w:ind w:left="360"/>
        <w:rPr>
          <w:b w:val="0"/>
          <w:u w:val="single"/>
        </w:rPr>
      </w:pPr>
      <w:proofErr w:type="spellStart"/>
      <w:r w:rsidRPr="00FE20CD">
        <w:rPr>
          <w:b w:val="0"/>
          <w:u w:val="single"/>
        </w:rPr>
        <w:t>Fulvestrant</w:t>
      </w:r>
      <w:proofErr w:type="spellEnd"/>
    </w:p>
    <w:p w14:paraId="71E1D5D5" w14:textId="33B812F7" w:rsidR="00FE20CD" w:rsidRDefault="00FE20CD" w:rsidP="00FE20CD">
      <w:pPr>
        <w:autoSpaceDE/>
        <w:autoSpaceDN/>
        <w:adjustRightInd/>
        <w:spacing w:before="120" w:after="0" w:line="240" w:lineRule="auto"/>
        <w:ind w:left="360"/>
        <w:rPr>
          <w:rFonts w:eastAsia="MS Mincho"/>
          <w:szCs w:val="20"/>
          <w:lang w:val="en-US" w:eastAsia="zh-CN"/>
        </w:rPr>
      </w:pPr>
      <w:r w:rsidRPr="00FE20CD">
        <w:rPr>
          <w:rFonts w:eastAsia="MS Mincho"/>
          <w:szCs w:val="20"/>
          <w:lang w:val="en-US" w:eastAsia="zh-CN"/>
        </w:rPr>
        <w:t xml:space="preserve">For dose modification guidelines in the event of toxicity or for any other relevant safety information, refer to the </w:t>
      </w:r>
      <w:proofErr w:type="spellStart"/>
      <w:r w:rsidRPr="00FE20CD">
        <w:rPr>
          <w:rFonts w:eastAsia="MS Mincho"/>
          <w:szCs w:val="20"/>
          <w:lang w:val="en-US" w:eastAsia="zh-CN"/>
        </w:rPr>
        <w:t>fulvestrant</w:t>
      </w:r>
      <w:proofErr w:type="spellEnd"/>
      <w:r w:rsidRPr="00FE20CD">
        <w:rPr>
          <w:rFonts w:eastAsia="MS Mincho"/>
          <w:szCs w:val="20"/>
          <w:lang w:val="en-US" w:eastAsia="zh-CN"/>
        </w:rPr>
        <w:t xml:space="preserve"> product information.</w:t>
      </w:r>
    </w:p>
    <w:p w14:paraId="23040D6D" w14:textId="0ED0648E" w:rsidR="00412AAA" w:rsidRDefault="00851ABA" w:rsidP="00F2405A">
      <w:pPr>
        <w:keepNext/>
        <w:keepLines/>
        <w:autoSpaceDE/>
        <w:autoSpaceDN/>
        <w:adjustRightInd/>
        <w:spacing w:before="240" w:after="60" w:line="240" w:lineRule="auto"/>
        <w:ind w:left="1276" w:hanging="916"/>
        <w:jc w:val="left"/>
        <w:outlineLvl w:val="5"/>
        <w:rPr>
          <w:rFonts w:ascii="Arial" w:eastAsia="MS Gothic" w:hAnsi="Arial" w:cs="Arial"/>
          <w:b/>
          <w:sz w:val="22"/>
          <w:szCs w:val="20"/>
          <w:lang w:val="en-US" w:eastAsia="zh-CN"/>
        </w:rPr>
      </w:pPr>
      <w:bookmarkStart w:id="8" w:name="_Toc533089094"/>
      <w:bookmarkStart w:id="9" w:name="_Toc528238085"/>
      <w:r w:rsidRPr="00851ABA">
        <w:rPr>
          <w:rFonts w:ascii="Arial" w:eastAsia="MS Gothic" w:hAnsi="Arial" w:cs="Arial"/>
          <w:b/>
          <w:sz w:val="22"/>
          <w:szCs w:val="20"/>
          <w:lang w:val="en-US" w:eastAsia="zh-CN"/>
        </w:rPr>
        <w:t>Table 2</w:t>
      </w:r>
      <w:r w:rsidRPr="00851ABA">
        <w:rPr>
          <w:rFonts w:ascii="Arial" w:eastAsia="MS Gothic" w:hAnsi="Arial" w:cs="Arial"/>
          <w:b/>
          <w:sz w:val="22"/>
          <w:szCs w:val="20"/>
          <w:lang w:val="en-US" w:eastAsia="zh-CN"/>
        </w:rPr>
        <w:tab/>
        <w:t>Dosing Modification and Management for Hyperglycaemia</w:t>
      </w:r>
      <w:bookmarkEnd w:id="8"/>
      <w:r w:rsidR="00412AAA" w:rsidRPr="00412AAA">
        <w:rPr>
          <w:rFonts w:ascii="Arial" w:eastAsia="MS Gothic" w:hAnsi="Arial" w:cs="Arial"/>
          <w:b/>
          <w:sz w:val="22"/>
          <w:szCs w:val="20"/>
          <w:vertAlign w:val="superscript"/>
          <w:lang w:val="en-US" w:eastAsia="zh-CN"/>
        </w:rPr>
        <w:t>1</w:t>
      </w:r>
    </w:p>
    <w:p w14:paraId="686A6FA8" w14:textId="5B854710" w:rsidR="00F2405A" w:rsidRPr="00F2405A" w:rsidRDefault="00F2405A" w:rsidP="00412AAA">
      <w:pPr>
        <w:keepNext/>
        <w:keepLines/>
        <w:autoSpaceDE/>
        <w:autoSpaceDN/>
        <w:adjustRightInd/>
        <w:spacing w:after="60" w:line="240" w:lineRule="auto"/>
        <w:ind w:left="1276"/>
        <w:jc w:val="left"/>
        <w:outlineLvl w:val="5"/>
        <w:rPr>
          <w:rFonts w:ascii="Arial" w:eastAsia="MS Gothic" w:hAnsi="Arial" w:cs="Arial"/>
          <w:b/>
          <w:sz w:val="22"/>
          <w:szCs w:val="20"/>
          <w:lang w:val="en-US" w:eastAsia="zh-CN"/>
        </w:rPr>
      </w:pPr>
      <w:r>
        <w:rPr>
          <w:rFonts w:ascii="Arial" w:eastAsia="MS Gothic" w:hAnsi="Arial" w:cs="Arial"/>
          <w:b/>
          <w:sz w:val="22"/>
          <w:szCs w:val="20"/>
          <w:lang w:val="en-US" w:eastAsia="zh-CN"/>
        </w:rPr>
        <w:t>(</w:t>
      </w:r>
      <w:r w:rsidRPr="00F2405A">
        <w:rPr>
          <w:rFonts w:ascii="Arial" w:eastAsia="MS Gothic" w:hAnsi="Arial" w:cs="Arial"/>
          <w:b/>
          <w:sz w:val="22"/>
          <w:szCs w:val="20"/>
          <w:lang w:val="en-US" w:eastAsia="zh-CN"/>
        </w:rPr>
        <w:t xml:space="preserve">FPG/blood glucose levels reflect </w:t>
      </w:r>
      <w:proofErr w:type="spellStart"/>
      <w:r w:rsidRPr="00F2405A">
        <w:rPr>
          <w:rFonts w:ascii="Arial" w:eastAsia="MS Gothic" w:hAnsi="Arial" w:cs="Arial"/>
          <w:b/>
          <w:sz w:val="22"/>
          <w:szCs w:val="20"/>
          <w:lang w:val="en-US" w:eastAsia="zh-CN"/>
        </w:rPr>
        <w:t>hyperglycaemia</w:t>
      </w:r>
      <w:proofErr w:type="spellEnd"/>
      <w:r w:rsidRPr="00F2405A">
        <w:rPr>
          <w:rFonts w:ascii="Arial" w:eastAsia="MS Gothic" w:hAnsi="Arial" w:cs="Arial"/>
          <w:b/>
          <w:sz w:val="22"/>
          <w:szCs w:val="20"/>
          <w:lang w:val="en-US" w:eastAsia="zh-CN"/>
        </w:rPr>
        <w:t xml:space="preserve"> grading according to CTCAE Version 4.03. </w:t>
      </w:r>
      <w:r>
        <w:rPr>
          <w:rFonts w:ascii="Arial" w:eastAsia="MS Gothic" w:hAnsi="Arial" w:cs="Arial"/>
          <w:b/>
          <w:sz w:val="22"/>
          <w:szCs w:val="20"/>
          <w:lang w:val="en-US" w:eastAsia="zh-CN"/>
        </w:rPr>
        <w:t>C</w:t>
      </w:r>
      <w:r w:rsidRPr="00F2405A">
        <w:rPr>
          <w:rFonts w:ascii="Arial" w:eastAsia="MS Gothic" w:hAnsi="Arial" w:cs="Arial"/>
          <w:b/>
          <w:sz w:val="22"/>
          <w:szCs w:val="20"/>
          <w:lang w:val="en-US" w:eastAsia="zh-CN"/>
        </w:rPr>
        <w:t>TCAE</w:t>
      </w:r>
      <w:r>
        <w:rPr>
          <w:rFonts w:ascii="Arial" w:eastAsia="MS Gothic" w:hAnsi="Arial" w:cs="Arial"/>
          <w:b/>
          <w:sz w:val="22"/>
          <w:szCs w:val="20"/>
          <w:lang w:val="en-US" w:eastAsia="zh-CN"/>
        </w:rPr>
        <w:t xml:space="preserve"> </w:t>
      </w:r>
      <w:r w:rsidRPr="00F2405A">
        <w:rPr>
          <w:rFonts w:ascii="Arial" w:eastAsia="MS Gothic" w:hAnsi="Arial" w:cs="Arial"/>
          <w:b/>
          <w:sz w:val="22"/>
          <w:szCs w:val="20"/>
          <w:lang w:val="en-US" w:eastAsia="zh-CN"/>
        </w:rPr>
        <w:t>=</w:t>
      </w:r>
      <w:r>
        <w:rPr>
          <w:rFonts w:ascii="Arial" w:eastAsia="MS Gothic" w:hAnsi="Arial" w:cs="Arial"/>
          <w:b/>
          <w:sz w:val="22"/>
          <w:szCs w:val="20"/>
          <w:lang w:val="en-US" w:eastAsia="zh-CN"/>
        </w:rPr>
        <w:t xml:space="preserve"> </w:t>
      </w:r>
      <w:r w:rsidRPr="00F2405A">
        <w:rPr>
          <w:rFonts w:ascii="Arial" w:eastAsia="MS Gothic" w:hAnsi="Arial" w:cs="Arial"/>
          <w:b/>
          <w:sz w:val="22"/>
          <w:szCs w:val="20"/>
          <w:lang w:val="en-US" w:eastAsia="zh-CN"/>
        </w:rPr>
        <w:t>Common Terminology Criteria for Adverse Events</w:t>
      </w:r>
      <w:r>
        <w:rPr>
          <w:rFonts w:ascii="Arial" w:eastAsia="MS Gothic" w:hAnsi="Arial" w:cs="Arial"/>
          <w:b/>
          <w:sz w:val="22"/>
          <w:szCs w:val="20"/>
          <w:lang w:val="en-US" w:eastAsia="zh-CN"/>
        </w:rPr>
        <w:t>)</w:t>
      </w:r>
    </w:p>
    <w:tbl>
      <w:tblPr>
        <w:tblW w:w="4874" w:type="pct"/>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4"/>
        <w:gridCol w:w="7127"/>
      </w:tblGrid>
      <w:tr w:rsidR="00851ABA" w:rsidRPr="00851ABA" w14:paraId="510FD1E7" w14:textId="77777777" w:rsidTr="00091F04">
        <w:trPr>
          <w:tblHeader/>
        </w:trPr>
        <w:tc>
          <w:tcPr>
            <w:tcW w:w="1269" w:type="pct"/>
            <w:shd w:val="clear" w:color="auto" w:fill="auto"/>
          </w:tcPr>
          <w:bookmarkEnd w:id="9"/>
          <w:p w14:paraId="0269C823" w14:textId="60AB92F7" w:rsidR="00851ABA" w:rsidRPr="00851ABA" w:rsidRDefault="00FC13DE" w:rsidP="00FC13DE">
            <w:pPr>
              <w:keepLines/>
              <w:tabs>
                <w:tab w:val="left" w:pos="284"/>
              </w:tabs>
              <w:autoSpaceDE/>
              <w:autoSpaceDN/>
              <w:adjustRightInd/>
              <w:spacing w:before="120" w:after="0" w:line="240" w:lineRule="auto"/>
              <w:jc w:val="left"/>
              <w:rPr>
                <w:rFonts w:ascii="Arial" w:eastAsia="MS Mincho" w:hAnsi="Arial" w:cs="Arial"/>
                <w:b/>
                <w:sz w:val="20"/>
                <w:szCs w:val="20"/>
                <w:lang w:val="en-US" w:eastAsia="zh-CN"/>
              </w:rPr>
            </w:pPr>
            <w:r>
              <w:rPr>
                <w:rFonts w:ascii="Arial" w:eastAsia="MS Mincho" w:hAnsi="Arial" w:cs="Arial"/>
                <w:b/>
                <w:sz w:val="20"/>
                <w:szCs w:val="20"/>
                <w:lang w:val="en-US" w:eastAsia="zh-CN"/>
              </w:rPr>
              <w:t>Fasting Plasma Glucose (FPG)/</w:t>
            </w:r>
            <w:r w:rsidR="00091F04">
              <w:rPr>
                <w:rFonts w:ascii="Arial" w:eastAsia="MS Mincho" w:hAnsi="Arial" w:cs="Arial"/>
                <w:b/>
                <w:sz w:val="20"/>
                <w:szCs w:val="20"/>
                <w:lang w:val="en-US" w:eastAsia="zh-CN"/>
              </w:rPr>
              <w:t>b</w:t>
            </w:r>
            <w:r w:rsidR="00851ABA" w:rsidRPr="00851ABA">
              <w:rPr>
                <w:rFonts w:ascii="Arial" w:eastAsia="MS Mincho" w:hAnsi="Arial" w:cs="Arial"/>
                <w:b/>
                <w:sz w:val="20"/>
                <w:szCs w:val="20"/>
                <w:lang w:val="en-US" w:eastAsia="zh-CN"/>
              </w:rPr>
              <w:t>lood glucose values</w:t>
            </w:r>
            <w:r w:rsidR="00412AAA">
              <w:rPr>
                <w:rFonts w:ascii="Arial" w:eastAsia="MS Mincho" w:hAnsi="Arial" w:cs="Arial"/>
                <w:b/>
                <w:sz w:val="20"/>
                <w:szCs w:val="20"/>
                <w:vertAlign w:val="superscript"/>
                <w:lang w:val="en-US" w:eastAsia="zh-CN"/>
              </w:rPr>
              <w:t>2</w:t>
            </w:r>
          </w:p>
        </w:tc>
        <w:tc>
          <w:tcPr>
            <w:tcW w:w="3731" w:type="pct"/>
          </w:tcPr>
          <w:p w14:paraId="2F2F9FBD" w14:textId="77777777" w:rsidR="00851ABA" w:rsidRPr="00851ABA" w:rsidRDefault="00851ABA" w:rsidP="00851ABA">
            <w:pPr>
              <w:keepLines/>
              <w:tabs>
                <w:tab w:val="left" w:pos="284"/>
              </w:tabs>
              <w:autoSpaceDE/>
              <w:autoSpaceDN/>
              <w:adjustRightInd/>
              <w:spacing w:before="120" w:after="0" w:line="240" w:lineRule="auto"/>
              <w:jc w:val="left"/>
              <w:rPr>
                <w:rFonts w:ascii="Arial" w:eastAsia="MS Mincho" w:hAnsi="Arial" w:cs="Arial"/>
                <w:b/>
                <w:sz w:val="20"/>
                <w:szCs w:val="20"/>
                <w:lang w:val="en-US" w:eastAsia="zh-CN"/>
              </w:rPr>
            </w:pPr>
            <w:r w:rsidRPr="00851ABA">
              <w:rPr>
                <w:rFonts w:ascii="Arial" w:eastAsia="MS Mincho" w:hAnsi="Arial" w:cs="Arial"/>
                <w:b/>
                <w:sz w:val="20"/>
                <w:szCs w:val="20"/>
                <w:lang w:val="en-US" w:eastAsia="zh-CN"/>
              </w:rPr>
              <w:t>Recommendation</w:t>
            </w:r>
          </w:p>
        </w:tc>
      </w:tr>
      <w:tr w:rsidR="00851ABA" w:rsidRPr="00851ABA" w14:paraId="220B35B2" w14:textId="77777777" w:rsidTr="00091F04">
        <w:tc>
          <w:tcPr>
            <w:tcW w:w="1269" w:type="pct"/>
            <w:shd w:val="clear" w:color="auto" w:fill="auto"/>
          </w:tcPr>
          <w:p w14:paraId="4C762DDC" w14:textId="277E705A" w:rsidR="00851ABA" w:rsidRPr="00851ABA" w:rsidRDefault="00851ABA" w:rsidP="00CE5EF6">
            <w:pPr>
              <w:keepLines/>
              <w:tabs>
                <w:tab w:val="left" w:pos="284"/>
              </w:tabs>
              <w:autoSpaceDE/>
              <w:autoSpaceDN/>
              <w:adjustRightInd/>
              <w:spacing w:before="120" w:after="0" w:line="240" w:lineRule="auto"/>
              <w:jc w:val="left"/>
              <w:rPr>
                <w:rFonts w:ascii="Arial" w:eastAsia="MS Mincho" w:hAnsi="Arial" w:cs="Arial"/>
                <w:b/>
                <w:sz w:val="20"/>
                <w:szCs w:val="20"/>
                <w:lang w:val="en-US" w:eastAsia="zh-CN"/>
              </w:rPr>
            </w:pPr>
            <w:r w:rsidRPr="00851ABA">
              <w:rPr>
                <w:rFonts w:ascii="Arial" w:eastAsia="MS Mincho" w:hAnsi="Arial" w:cs="Arial"/>
                <w:sz w:val="20"/>
                <w:szCs w:val="20"/>
                <w:lang w:val="en-US" w:eastAsia="zh-CN"/>
              </w:rPr>
              <w:t>FPG (&gt; ULN)</w:t>
            </w:r>
          </w:p>
        </w:tc>
        <w:tc>
          <w:tcPr>
            <w:tcW w:w="3731" w:type="pct"/>
          </w:tcPr>
          <w:p w14:paraId="6CCA2570" w14:textId="77777777" w:rsidR="00851ABA" w:rsidRPr="00851ABA" w:rsidRDefault="00851ABA" w:rsidP="00851ABA">
            <w:pPr>
              <w:keepLines/>
              <w:tabs>
                <w:tab w:val="left" w:pos="284"/>
              </w:tabs>
              <w:autoSpaceDE/>
              <w:autoSpaceDN/>
              <w:adjustRightInd/>
              <w:spacing w:before="120" w:after="0" w:line="240" w:lineRule="auto"/>
              <w:jc w:val="left"/>
              <w:rPr>
                <w:rFonts w:ascii="Arial" w:eastAsia="MS Mincho" w:hAnsi="Arial" w:cs="Arial"/>
                <w:b/>
                <w:sz w:val="20"/>
                <w:szCs w:val="20"/>
                <w:lang w:val="en-US" w:eastAsia="zh-CN"/>
              </w:rPr>
            </w:pPr>
            <w:r w:rsidRPr="00851ABA">
              <w:rPr>
                <w:rFonts w:ascii="Arial" w:eastAsia="MS Mincho" w:hAnsi="Arial" w:cs="Arial"/>
                <w:sz w:val="20"/>
                <w:szCs w:val="20"/>
                <w:lang w:val="en-US" w:eastAsia="zh-CN"/>
              </w:rPr>
              <w:t xml:space="preserve">Consultation with a physician experienced in the treatment of </w:t>
            </w:r>
            <w:proofErr w:type="spellStart"/>
            <w:r w:rsidRPr="00851ABA">
              <w:rPr>
                <w:rFonts w:ascii="Arial" w:eastAsia="MS Mincho" w:hAnsi="Arial" w:cs="Arial"/>
                <w:sz w:val="20"/>
                <w:szCs w:val="20"/>
                <w:lang w:val="en-US" w:eastAsia="zh-CN"/>
              </w:rPr>
              <w:t>hyperglycaemia</w:t>
            </w:r>
            <w:proofErr w:type="spellEnd"/>
            <w:r w:rsidRPr="00851ABA">
              <w:rPr>
                <w:rFonts w:ascii="Arial" w:eastAsia="MS Mincho" w:hAnsi="Arial" w:cs="Arial"/>
                <w:sz w:val="20"/>
                <w:szCs w:val="20"/>
                <w:lang w:val="en-US" w:eastAsia="zh-CN"/>
              </w:rPr>
              <w:t xml:space="preserve"> should always be considered </w:t>
            </w:r>
            <w:r w:rsidRPr="00851ABA">
              <w:rPr>
                <w:rFonts w:ascii="Arial" w:eastAsia="MS Mincho" w:hAnsi="Arial" w:cs="Arial"/>
                <w:sz w:val="20"/>
                <w:lang w:val="en-US" w:eastAsia="zh-CN"/>
              </w:rPr>
              <w:t>and is recommended for patients with FPG &gt;250 mg/</w:t>
            </w:r>
            <w:proofErr w:type="spellStart"/>
            <w:r w:rsidRPr="00851ABA">
              <w:rPr>
                <w:rFonts w:ascii="Arial" w:eastAsia="MS Mincho" w:hAnsi="Arial" w:cs="Arial"/>
                <w:sz w:val="20"/>
                <w:lang w:val="en-US" w:eastAsia="zh-CN"/>
              </w:rPr>
              <w:t>dL</w:t>
            </w:r>
            <w:proofErr w:type="spellEnd"/>
            <w:r w:rsidRPr="00851ABA">
              <w:rPr>
                <w:rFonts w:ascii="Arial" w:eastAsia="MS Mincho" w:hAnsi="Arial" w:cs="Arial"/>
                <w:sz w:val="20"/>
                <w:szCs w:val="20"/>
                <w:lang w:val="en-US" w:eastAsia="zh-CN"/>
              </w:rPr>
              <w:t xml:space="preserve">. Patients should be instructed on lifestyle changes that may reduce </w:t>
            </w:r>
            <w:proofErr w:type="spellStart"/>
            <w:r w:rsidRPr="00851ABA">
              <w:rPr>
                <w:rFonts w:ascii="Arial" w:eastAsia="MS Mincho" w:hAnsi="Arial" w:cs="Arial"/>
                <w:sz w:val="20"/>
                <w:szCs w:val="20"/>
                <w:lang w:val="en-US" w:eastAsia="zh-CN"/>
              </w:rPr>
              <w:t>hyperglycaemia</w:t>
            </w:r>
            <w:proofErr w:type="spellEnd"/>
            <w:r w:rsidRPr="00851ABA">
              <w:rPr>
                <w:rFonts w:ascii="Arial" w:eastAsia="MS Mincho" w:hAnsi="Arial" w:cs="Arial"/>
                <w:sz w:val="20"/>
                <w:szCs w:val="20"/>
                <w:lang w:val="en-US" w:eastAsia="zh-CN"/>
              </w:rPr>
              <w:t>.</w:t>
            </w:r>
          </w:p>
        </w:tc>
      </w:tr>
      <w:tr w:rsidR="00851ABA" w:rsidRPr="00851ABA" w14:paraId="0E668161" w14:textId="77777777" w:rsidTr="00091F04">
        <w:tc>
          <w:tcPr>
            <w:tcW w:w="1269" w:type="pct"/>
            <w:shd w:val="clear" w:color="auto" w:fill="auto"/>
          </w:tcPr>
          <w:p w14:paraId="2317B8D2" w14:textId="77777777" w:rsidR="00851ABA" w:rsidRPr="00851ABA" w:rsidRDefault="00851ABA" w:rsidP="00851ABA">
            <w:pPr>
              <w:keepLines/>
              <w:tabs>
                <w:tab w:val="left" w:pos="284"/>
              </w:tabs>
              <w:autoSpaceDE/>
              <w:autoSpaceDN/>
              <w:adjustRightInd/>
              <w:spacing w:before="120" w:after="0" w:line="240" w:lineRule="auto"/>
              <w:jc w:val="left"/>
              <w:rPr>
                <w:rFonts w:ascii="Arial" w:eastAsia="MS Mincho" w:hAnsi="Arial" w:cs="Arial"/>
                <w:sz w:val="20"/>
                <w:szCs w:val="20"/>
                <w:lang w:val="en-US" w:eastAsia="zh-CN"/>
              </w:rPr>
            </w:pPr>
            <w:r w:rsidRPr="00851ABA">
              <w:rPr>
                <w:rFonts w:ascii="Arial" w:eastAsia="MS Mincho" w:hAnsi="Arial" w:cs="Arial"/>
                <w:sz w:val="20"/>
                <w:szCs w:val="20"/>
                <w:lang w:val="en-US" w:eastAsia="zh-CN"/>
              </w:rPr>
              <w:t>FPG (&gt; ULN - 160 mg/</w:t>
            </w:r>
            <w:proofErr w:type="spellStart"/>
            <w:r w:rsidRPr="00851ABA">
              <w:rPr>
                <w:rFonts w:ascii="Arial" w:eastAsia="MS Mincho" w:hAnsi="Arial" w:cs="Arial"/>
                <w:sz w:val="20"/>
                <w:szCs w:val="20"/>
                <w:lang w:val="en-US" w:eastAsia="zh-CN"/>
              </w:rPr>
              <w:t>dL</w:t>
            </w:r>
            <w:proofErr w:type="spellEnd"/>
            <w:r w:rsidRPr="00851ABA">
              <w:rPr>
                <w:rFonts w:ascii="Arial" w:eastAsia="MS Mincho" w:hAnsi="Arial" w:cs="Arial"/>
                <w:sz w:val="20"/>
                <w:szCs w:val="20"/>
                <w:lang w:val="en-US" w:eastAsia="zh-CN"/>
              </w:rPr>
              <w:t xml:space="preserve">) or (&gt; ULN - 8.9 </w:t>
            </w:r>
            <w:proofErr w:type="spellStart"/>
            <w:r w:rsidRPr="00851ABA">
              <w:rPr>
                <w:rFonts w:ascii="Arial" w:eastAsia="MS Mincho" w:hAnsi="Arial" w:cs="Arial"/>
                <w:sz w:val="20"/>
                <w:szCs w:val="20"/>
                <w:lang w:val="en-US" w:eastAsia="zh-CN"/>
              </w:rPr>
              <w:t>mmol</w:t>
            </w:r>
            <w:proofErr w:type="spellEnd"/>
            <w:r w:rsidRPr="00851ABA">
              <w:rPr>
                <w:rFonts w:ascii="Arial" w:eastAsia="MS Mincho" w:hAnsi="Arial" w:cs="Arial"/>
                <w:sz w:val="20"/>
                <w:szCs w:val="20"/>
                <w:lang w:val="en-US" w:eastAsia="zh-CN"/>
              </w:rPr>
              <w:t>/L)</w:t>
            </w:r>
          </w:p>
        </w:tc>
        <w:tc>
          <w:tcPr>
            <w:tcW w:w="3731" w:type="pct"/>
          </w:tcPr>
          <w:p w14:paraId="601A0AE2" w14:textId="28EB96DF" w:rsidR="00851ABA" w:rsidRPr="00851ABA" w:rsidRDefault="00851ABA" w:rsidP="00851ABA">
            <w:pPr>
              <w:keepLines/>
              <w:tabs>
                <w:tab w:val="left" w:pos="284"/>
              </w:tabs>
              <w:autoSpaceDE/>
              <w:autoSpaceDN/>
              <w:adjustRightInd/>
              <w:spacing w:before="120" w:after="0" w:line="240" w:lineRule="auto"/>
              <w:jc w:val="left"/>
              <w:rPr>
                <w:rFonts w:ascii="Arial" w:eastAsia="MS Mincho" w:hAnsi="Arial" w:cs="Arial"/>
                <w:sz w:val="20"/>
                <w:szCs w:val="20"/>
                <w:lang w:val="en-US" w:eastAsia="zh-CN"/>
              </w:rPr>
            </w:pPr>
            <w:r w:rsidRPr="00851ABA">
              <w:rPr>
                <w:rFonts w:ascii="Arial" w:eastAsia="MS Mincho" w:hAnsi="Arial" w:cs="Arial"/>
                <w:sz w:val="20"/>
                <w:szCs w:val="20"/>
                <w:lang w:val="en-US" w:eastAsia="zh-CN"/>
              </w:rPr>
              <w:t xml:space="preserve">No </w:t>
            </w:r>
            <w:r w:rsidR="00E16761" w:rsidRPr="00851ABA">
              <w:rPr>
                <w:rFonts w:ascii="Arial" w:eastAsia="MS Mincho" w:hAnsi="Arial" w:cs="Arial"/>
                <w:sz w:val="20"/>
                <w:szCs w:val="20"/>
                <w:lang w:val="en-US" w:eastAsia="zh-CN"/>
              </w:rPr>
              <w:t>PIQRAY</w:t>
            </w:r>
            <w:r w:rsidR="00CE5EF6">
              <w:rPr>
                <w:rFonts w:ascii="Arial" w:eastAsia="MS Mincho" w:hAnsi="Arial" w:cs="Arial"/>
                <w:sz w:val="20"/>
                <w:szCs w:val="20"/>
                <w:lang w:val="en-US" w:eastAsia="zh-CN"/>
              </w:rPr>
              <w:t xml:space="preserve"> dose adjustment required.</w:t>
            </w:r>
          </w:p>
          <w:p w14:paraId="62205B96" w14:textId="068CBEBF" w:rsidR="00851ABA" w:rsidRPr="00851ABA" w:rsidRDefault="00851ABA" w:rsidP="00851ABA">
            <w:pPr>
              <w:keepLines/>
              <w:tabs>
                <w:tab w:val="left" w:pos="284"/>
              </w:tabs>
              <w:autoSpaceDE/>
              <w:autoSpaceDN/>
              <w:adjustRightInd/>
              <w:spacing w:before="120" w:after="0" w:line="240" w:lineRule="auto"/>
              <w:jc w:val="left"/>
              <w:rPr>
                <w:rFonts w:ascii="Arial" w:eastAsia="MS Mincho" w:hAnsi="Arial" w:cs="Arial"/>
                <w:sz w:val="20"/>
                <w:szCs w:val="20"/>
                <w:lang w:val="en-US" w:eastAsia="zh-CN"/>
              </w:rPr>
            </w:pPr>
            <w:r w:rsidRPr="00851ABA">
              <w:rPr>
                <w:rFonts w:ascii="Arial" w:eastAsia="MS Mincho" w:hAnsi="Arial" w:cs="Arial"/>
                <w:sz w:val="20"/>
                <w:szCs w:val="20"/>
                <w:lang w:val="en-US" w:eastAsia="zh-CN"/>
              </w:rPr>
              <w:t>Initiate or intensify oral anti-diabetic treatment</w:t>
            </w:r>
            <w:r w:rsidR="00412AAA">
              <w:rPr>
                <w:rFonts w:ascii="Arial" w:eastAsia="MS Mincho" w:hAnsi="Arial" w:cs="Arial"/>
                <w:sz w:val="20"/>
                <w:szCs w:val="20"/>
                <w:vertAlign w:val="superscript"/>
                <w:lang w:val="en-US" w:eastAsia="zh-CN"/>
              </w:rPr>
              <w:t>3</w:t>
            </w:r>
            <w:r w:rsidR="00CE5EF6">
              <w:rPr>
                <w:rFonts w:ascii="Arial" w:eastAsia="MS Mincho" w:hAnsi="Arial" w:cs="Arial"/>
                <w:sz w:val="20"/>
                <w:szCs w:val="20"/>
                <w:lang w:val="en-US" w:eastAsia="zh-CN"/>
              </w:rPr>
              <w:t>.</w:t>
            </w:r>
          </w:p>
        </w:tc>
      </w:tr>
      <w:tr w:rsidR="00851ABA" w:rsidRPr="00851ABA" w14:paraId="640D242D" w14:textId="77777777" w:rsidTr="00091F04">
        <w:tc>
          <w:tcPr>
            <w:tcW w:w="1269" w:type="pct"/>
            <w:shd w:val="clear" w:color="auto" w:fill="auto"/>
          </w:tcPr>
          <w:p w14:paraId="0D7E31B2" w14:textId="77777777" w:rsidR="00851ABA" w:rsidRPr="00851ABA" w:rsidRDefault="00851ABA" w:rsidP="00851ABA">
            <w:pPr>
              <w:keepLines/>
              <w:tabs>
                <w:tab w:val="left" w:pos="284"/>
              </w:tabs>
              <w:autoSpaceDE/>
              <w:autoSpaceDN/>
              <w:adjustRightInd/>
              <w:spacing w:before="40" w:after="20" w:line="240" w:lineRule="auto"/>
              <w:jc w:val="left"/>
              <w:rPr>
                <w:rFonts w:ascii="Arial" w:eastAsia="MS Mincho" w:hAnsi="Arial" w:cs="Arial"/>
                <w:sz w:val="20"/>
                <w:szCs w:val="20"/>
                <w:lang w:val="en-US" w:eastAsia="zh-CN"/>
              </w:rPr>
            </w:pPr>
            <w:r w:rsidRPr="00851ABA">
              <w:rPr>
                <w:rFonts w:ascii="Arial" w:eastAsia="MS Mincho" w:hAnsi="Arial" w:cs="Arial"/>
                <w:sz w:val="20"/>
                <w:szCs w:val="20"/>
                <w:lang w:val="en-US" w:eastAsia="zh-CN"/>
              </w:rPr>
              <w:t>FPG (&gt;160 - 250 mg/</w:t>
            </w:r>
            <w:proofErr w:type="spellStart"/>
            <w:r w:rsidRPr="00851ABA">
              <w:rPr>
                <w:rFonts w:ascii="Arial" w:eastAsia="MS Mincho" w:hAnsi="Arial" w:cs="Arial"/>
                <w:sz w:val="20"/>
                <w:szCs w:val="20"/>
                <w:lang w:val="en-US" w:eastAsia="zh-CN"/>
              </w:rPr>
              <w:t>dL</w:t>
            </w:r>
            <w:proofErr w:type="spellEnd"/>
            <w:r w:rsidRPr="00851ABA">
              <w:rPr>
                <w:rFonts w:ascii="Arial" w:eastAsia="MS Mincho" w:hAnsi="Arial" w:cs="Arial"/>
                <w:sz w:val="20"/>
                <w:szCs w:val="20"/>
                <w:lang w:val="en-US" w:eastAsia="zh-CN"/>
              </w:rPr>
              <w:t xml:space="preserve">) (&gt; 8.9 - 13.9 </w:t>
            </w:r>
            <w:proofErr w:type="spellStart"/>
            <w:r w:rsidRPr="00851ABA">
              <w:rPr>
                <w:rFonts w:ascii="Arial" w:eastAsia="MS Mincho" w:hAnsi="Arial" w:cs="Arial"/>
                <w:sz w:val="20"/>
                <w:szCs w:val="20"/>
                <w:lang w:val="en-US" w:eastAsia="zh-CN"/>
              </w:rPr>
              <w:t>mmol</w:t>
            </w:r>
            <w:proofErr w:type="spellEnd"/>
            <w:r w:rsidRPr="00851ABA">
              <w:rPr>
                <w:rFonts w:ascii="Arial" w:eastAsia="MS Mincho" w:hAnsi="Arial" w:cs="Arial"/>
                <w:sz w:val="20"/>
                <w:szCs w:val="20"/>
                <w:lang w:val="en-US" w:eastAsia="zh-CN"/>
              </w:rPr>
              <w:t>/L.)</w:t>
            </w:r>
          </w:p>
        </w:tc>
        <w:tc>
          <w:tcPr>
            <w:tcW w:w="3731" w:type="pct"/>
          </w:tcPr>
          <w:p w14:paraId="3D4529C5" w14:textId="2F2414FA" w:rsidR="00851ABA" w:rsidRPr="00851ABA" w:rsidRDefault="00851ABA" w:rsidP="00851ABA">
            <w:pPr>
              <w:keepLines/>
              <w:tabs>
                <w:tab w:val="left" w:pos="284"/>
              </w:tabs>
              <w:autoSpaceDE/>
              <w:autoSpaceDN/>
              <w:adjustRightInd/>
              <w:spacing w:before="120" w:after="0" w:line="240" w:lineRule="auto"/>
              <w:jc w:val="left"/>
              <w:rPr>
                <w:rFonts w:ascii="Arial" w:eastAsia="MS Mincho" w:hAnsi="Arial" w:cs="Arial"/>
                <w:sz w:val="20"/>
                <w:szCs w:val="20"/>
                <w:lang w:val="en-US" w:eastAsia="zh-CN"/>
              </w:rPr>
            </w:pPr>
            <w:r w:rsidRPr="00851ABA">
              <w:rPr>
                <w:rFonts w:ascii="Arial" w:eastAsia="MS Mincho" w:hAnsi="Arial" w:cs="Arial"/>
                <w:sz w:val="20"/>
                <w:szCs w:val="20"/>
                <w:lang w:val="en-US" w:eastAsia="zh-CN"/>
              </w:rPr>
              <w:t xml:space="preserve">No </w:t>
            </w:r>
            <w:r w:rsidR="00091F04" w:rsidRPr="00851ABA">
              <w:rPr>
                <w:rFonts w:ascii="Arial" w:eastAsia="MS Mincho" w:hAnsi="Arial" w:cs="Arial"/>
                <w:sz w:val="20"/>
                <w:szCs w:val="20"/>
                <w:lang w:val="en-US" w:eastAsia="zh-CN"/>
              </w:rPr>
              <w:t xml:space="preserve">PIQRAY </w:t>
            </w:r>
            <w:r w:rsidR="00CE5EF6">
              <w:rPr>
                <w:rFonts w:ascii="Arial" w:eastAsia="MS Mincho" w:hAnsi="Arial" w:cs="Arial"/>
                <w:sz w:val="20"/>
                <w:szCs w:val="20"/>
                <w:lang w:val="en-US" w:eastAsia="zh-CN"/>
              </w:rPr>
              <w:t>dose adjustment required.</w:t>
            </w:r>
          </w:p>
          <w:p w14:paraId="21603592" w14:textId="774F5C26" w:rsidR="00851ABA" w:rsidRPr="00851ABA" w:rsidRDefault="00851ABA" w:rsidP="00851ABA">
            <w:pPr>
              <w:keepLines/>
              <w:tabs>
                <w:tab w:val="left" w:pos="284"/>
              </w:tabs>
              <w:autoSpaceDE/>
              <w:autoSpaceDN/>
              <w:adjustRightInd/>
              <w:spacing w:before="120" w:after="0" w:line="240" w:lineRule="auto"/>
              <w:jc w:val="left"/>
              <w:rPr>
                <w:rFonts w:ascii="Arial" w:eastAsia="MS Mincho" w:hAnsi="Arial" w:cs="Arial"/>
                <w:sz w:val="20"/>
                <w:szCs w:val="20"/>
                <w:lang w:val="en-US" w:eastAsia="zh-CN"/>
              </w:rPr>
            </w:pPr>
            <w:r w:rsidRPr="00851ABA">
              <w:rPr>
                <w:rFonts w:ascii="Arial" w:eastAsia="MS Mincho" w:hAnsi="Arial" w:cs="Arial"/>
                <w:sz w:val="20"/>
                <w:szCs w:val="20"/>
                <w:lang w:val="en-US" w:eastAsia="zh-CN"/>
              </w:rPr>
              <w:t>Initiate or further intensify oral anti-diabetic treatment</w:t>
            </w:r>
            <w:r w:rsidRPr="00412AAA">
              <w:rPr>
                <w:rFonts w:ascii="Arial" w:eastAsia="MS Mincho" w:hAnsi="Arial" w:cs="Arial"/>
                <w:sz w:val="20"/>
                <w:szCs w:val="20"/>
                <w:vertAlign w:val="superscript"/>
                <w:lang w:val="en-US" w:eastAsia="zh-CN"/>
              </w:rPr>
              <w:t>3</w:t>
            </w:r>
            <w:r w:rsidR="00CE5EF6">
              <w:rPr>
                <w:rFonts w:ascii="Arial" w:eastAsia="MS Mincho" w:hAnsi="Arial" w:cs="Arial"/>
                <w:sz w:val="20"/>
                <w:szCs w:val="20"/>
                <w:lang w:val="en-US" w:eastAsia="zh-CN"/>
              </w:rPr>
              <w:t>.</w:t>
            </w:r>
          </w:p>
          <w:p w14:paraId="02F3F510" w14:textId="081F2FA6" w:rsidR="00851ABA" w:rsidRPr="00851ABA" w:rsidRDefault="00851ABA" w:rsidP="00851ABA">
            <w:pPr>
              <w:autoSpaceDE/>
              <w:autoSpaceDN/>
              <w:adjustRightInd/>
              <w:spacing w:before="120" w:after="0" w:line="240" w:lineRule="auto"/>
              <w:rPr>
                <w:rFonts w:ascii="Arial" w:eastAsia="Arial" w:hAnsi="Arial" w:cs="Arial"/>
                <w:i/>
                <w:iCs/>
                <w:sz w:val="20"/>
                <w:szCs w:val="20"/>
                <w:lang w:val="en-US" w:eastAsia="zh-CN"/>
              </w:rPr>
            </w:pPr>
            <w:r w:rsidRPr="00851ABA">
              <w:rPr>
                <w:rFonts w:ascii="Arial" w:eastAsia="MS Mincho" w:hAnsi="Arial" w:cs="Arial"/>
                <w:sz w:val="20"/>
                <w:szCs w:val="20"/>
                <w:lang w:val="en-US" w:eastAsia="zh-CN"/>
              </w:rPr>
              <w:t>If FPG does not decrease to ≤160 mg/</w:t>
            </w:r>
            <w:proofErr w:type="spellStart"/>
            <w:r w:rsidRPr="00851ABA">
              <w:rPr>
                <w:rFonts w:ascii="Arial" w:eastAsia="MS Mincho" w:hAnsi="Arial" w:cs="Arial"/>
                <w:sz w:val="20"/>
                <w:szCs w:val="20"/>
                <w:lang w:val="en-US" w:eastAsia="zh-CN"/>
              </w:rPr>
              <w:t>dL</w:t>
            </w:r>
            <w:proofErr w:type="spellEnd"/>
            <w:r w:rsidRPr="00851ABA">
              <w:rPr>
                <w:rFonts w:ascii="Arial" w:eastAsia="MS Mincho" w:hAnsi="Arial" w:cs="Arial"/>
                <w:sz w:val="20"/>
                <w:szCs w:val="20"/>
                <w:lang w:val="en-US" w:eastAsia="zh-CN"/>
              </w:rPr>
              <w:t xml:space="preserve"> or 8.9 </w:t>
            </w:r>
            <w:proofErr w:type="spellStart"/>
            <w:r w:rsidRPr="00851ABA">
              <w:rPr>
                <w:rFonts w:ascii="Arial" w:eastAsia="MS Mincho" w:hAnsi="Arial" w:cs="Arial"/>
                <w:sz w:val="20"/>
                <w:szCs w:val="20"/>
                <w:lang w:val="en-US" w:eastAsia="zh-CN"/>
              </w:rPr>
              <w:t>mmol</w:t>
            </w:r>
            <w:proofErr w:type="spellEnd"/>
            <w:r w:rsidRPr="00851ABA">
              <w:rPr>
                <w:rFonts w:ascii="Arial" w:eastAsia="MS Mincho" w:hAnsi="Arial" w:cs="Arial"/>
                <w:sz w:val="20"/>
                <w:szCs w:val="20"/>
                <w:lang w:val="en-US" w:eastAsia="zh-CN"/>
              </w:rPr>
              <w:t xml:space="preserve">/L within 21 days with appropriate oral anti-diabetic treatment, reduce </w:t>
            </w:r>
            <w:r w:rsidR="00E16761" w:rsidRPr="00851ABA">
              <w:rPr>
                <w:rFonts w:ascii="Arial" w:eastAsia="MS Mincho" w:hAnsi="Arial" w:cs="Arial"/>
                <w:sz w:val="20"/>
                <w:szCs w:val="20"/>
                <w:lang w:val="en-US" w:eastAsia="zh-CN"/>
              </w:rPr>
              <w:t>PIQRAY</w:t>
            </w:r>
            <w:r w:rsidRPr="00851ABA">
              <w:rPr>
                <w:rFonts w:ascii="Arial" w:eastAsia="MS Mincho" w:hAnsi="Arial" w:cs="Arial"/>
                <w:sz w:val="20"/>
                <w:szCs w:val="20"/>
                <w:lang w:val="en-US" w:eastAsia="zh-CN"/>
              </w:rPr>
              <w:t xml:space="preserve"> dose by 1 dose level, and follow FPG value specific recommendations.</w:t>
            </w:r>
          </w:p>
        </w:tc>
      </w:tr>
      <w:tr w:rsidR="00851ABA" w:rsidRPr="00851ABA" w14:paraId="6C562BDC" w14:textId="77777777" w:rsidTr="00091F04">
        <w:tc>
          <w:tcPr>
            <w:tcW w:w="1269" w:type="pct"/>
            <w:shd w:val="clear" w:color="auto" w:fill="auto"/>
          </w:tcPr>
          <w:p w14:paraId="7C0B838B" w14:textId="0D749B79" w:rsidR="00851ABA" w:rsidRPr="00851ABA" w:rsidRDefault="00851ABA" w:rsidP="001E00E2">
            <w:pPr>
              <w:keepLines/>
              <w:tabs>
                <w:tab w:val="left" w:pos="284"/>
              </w:tabs>
              <w:autoSpaceDE/>
              <w:autoSpaceDN/>
              <w:adjustRightInd/>
              <w:spacing w:before="120" w:after="0" w:line="240" w:lineRule="auto"/>
              <w:jc w:val="left"/>
              <w:rPr>
                <w:rFonts w:ascii="Arial" w:eastAsia="MS Mincho" w:hAnsi="Arial" w:cs="Arial"/>
                <w:sz w:val="20"/>
                <w:szCs w:val="20"/>
                <w:lang w:val="en-US" w:eastAsia="zh-CN"/>
              </w:rPr>
            </w:pPr>
            <w:r w:rsidRPr="00851ABA">
              <w:rPr>
                <w:rFonts w:ascii="Arial" w:eastAsia="MS Mincho" w:hAnsi="Arial" w:cs="Arial"/>
                <w:sz w:val="20"/>
                <w:szCs w:val="20"/>
                <w:lang w:val="en-US" w:eastAsia="zh-CN"/>
              </w:rPr>
              <w:t>FPG &gt; 250 - 500 mg/</w:t>
            </w:r>
            <w:proofErr w:type="spellStart"/>
            <w:r w:rsidRPr="00851ABA">
              <w:rPr>
                <w:rFonts w:ascii="Arial" w:eastAsia="MS Mincho" w:hAnsi="Arial" w:cs="Arial"/>
                <w:sz w:val="20"/>
                <w:szCs w:val="20"/>
                <w:lang w:val="en-US" w:eastAsia="zh-CN"/>
              </w:rPr>
              <w:t>dL</w:t>
            </w:r>
            <w:proofErr w:type="spellEnd"/>
            <w:r w:rsidRPr="00851ABA">
              <w:rPr>
                <w:rFonts w:ascii="Arial" w:eastAsia="MS Mincho" w:hAnsi="Arial" w:cs="Arial"/>
                <w:sz w:val="20"/>
                <w:szCs w:val="20"/>
                <w:lang w:val="en-US" w:eastAsia="zh-CN"/>
              </w:rPr>
              <w:t xml:space="preserve"> or &gt; 13.9 - 27.8 </w:t>
            </w:r>
            <w:proofErr w:type="spellStart"/>
            <w:r w:rsidRPr="00851ABA">
              <w:rPr>
                <w:rFonts w:ascii="Arial" w:eastAsia="MS Mincho" w:hAnsi="Arial" w:cs="Arial"/>
                <w:sz w:val="20"/>
                <w:szCs w:val="20"/>
                <w:lang w:val="en-US" w:eastAsia="zh-CN"/>
              </w:rPr>
              <w:t>mmol</w:t>
            </w:r>
            <w:proofErr w:type="spellEnd"/>
            <w:r w:rsidRPr="00851ABA">
              <w:rPr>
                <w:rFonts w:ascii="Arial" w:eastAsia="MS Mincho" w:hAnsi="Arial" w:cs="Arial"/>
                <w:sz w:val="20"/>
                <w:szCs w:val="20"/>
                <w:lang w:val="en-US" w:eastAsia="zh-CN"/>
              </w:rPr>
              <w:t>/L</w:t>
            </w:r>
          </w:p>
        </w:tc>
        <w:tc>
          <w:tcPr>
            <w:tcW w:w="3731" w:type="pct"/>
          </w:tcPr>
          <w:p w14:paraId="60C2621B" w14:textId="3401BAE3" w:rsidR="00851ABA" w:rsidRPr="00851ABA" w:rsidRDefault="00851ABA" w:rsidP="00851ABA">
            <w:pPr>
              <w:keepLines/>
              <w:tabs>
                <w:tab w:val="left" w:pos="284"/>
              </w:tabs>
              <w:autoSpaceDE/>
              <w:autoSpaceDN/>
              <w:adjustRightInd/>
              <w:spacing w:before="120" w:after="0" w:line="240" w:lineRule="auto"/>
              <w:jc w:val="left"/>
              <w:rPr>
                <w:rFonts w:ascii="Arial" w:eastAsia="MS Mincho" w:hAnsi="Arial" w:cs="Arial"/>
                <w:sz w:val="20"/>
                <w:szCs w:val="20"/>
                <w:lang w:val="en-US" w:eastAsia="zh-CN"/>
              </w:rPr>
            </w:pPr>
            <w:r w:rsidRPr="00851ABA">
              <w:rPr>
                <w:rFonts w:ascii="Arial" w:eastAsia="MS Mincho" w:hAnsi="Arial" w:cs="Arial"/>
                <w:sz w:val="20"/>
                <w:szCs w:val="20"/>
                <w:lang w:val="en-US" w:eastAsia="zh-CN"/>
              </w:rPr>
              <w:t xml:space="preserve">Interrupt </w:t>
            </w:r>
            <w:r w:rsidR="00091F04" w:rsidRPr="00851ABA">
              <w:rPr>
                <w:rFonts w:ascii="Arial" w:eastAsia="MS Mincho" w:hAnsi="Arial" w:cs="Arial"/>
                <w:sz w:val="20"/>
                <w:szCs w:val="20"/>
                <w:lang w:val="en-US" w:eastAsia="zh-CN"/>
              </w:rPr>
              <w:t>PIQRAY</w:t>
            </w:r>
            <w:r w:rsidR="00CE5EF6">
              <w:rPr>
                <w:rFonts w:ascii="Arial" w:eastAsia="MS Mincho" w:hAnsi="Arial" w:cs="Arial"/>
                <w:sz w:val="20"/>
                <w:szCs w:val="20"/>
                <w:lang w:val="en-US" w:eastAsia="zh-CN"/>
              </w:rPr>
              <w:t>.</w:t>
            </w:r>
          </w:p>
          <w:p w14:paraId="1C3A9455" w14:textId="225A883A" w:rsidR="00851ABA" w:rsidRPr="00851ABA" w:rsidRDefault="00851ABA" w:rsidP="00851ABA">
            <w:pPr>
              <w:keepLines/>
              <w:tabs>
                <w:tab w:val="left" w:pos="284"/>
              </w:tabs>
              <w:autoSpaceDE/>
              <w:autoSpaceDN/>
              <w:adjustRightInd/>
              <w:spacing w:before="120" w:after="0" w:line="240" w:lineRule="auto"/>
              <w:rPr>
                <w:rFonts w:ascii="Arial" w:eastAsia="MS Mincho" w:hAnsi="Arial" w:cs="Arial"/>
                <w:sz w:val="20"/>
                <w:szCs w:val="20"/>
                <w:lang w:val="en-US" w:eastAsia="zh-CN"/>
              </w:rPr>
            </w:pPr>
            <w:r w:rsidRPr="00851ABA">
              <w:rPr>
                <w:rFonts w:ascii="Arial" w:eastAsia="MS Mincho" w:hAnsi="Arial" w:cs="Arial"/>
                <w:sz w:val="20"/>
                <w:szCs w:val="20"/>
                <w:lang w:val="en-US" w:eastAsia="zh-CN"/>
              </w:rPr>
              <w:t>Initiate or intensify oral anti-diabetic treatment</w:t>
            </w:r>
            <w:r w:rsidRPr="00851ABA">
              <w:rPr>
                <w:rFonts w:ascii="Arial" w:eastAsia="MS Mincho" w:hAnsi="Arial" w:cs="Arial"/>
                <w:sz w:val="20"/>
                <w:szCs w:val="20"/>
                <w:vertAlign w:val="superscript"/>
                <w:lang w:val="en-US" w:eastAsia="zh-CN"/>
              </w:rPr>
              <w:t>3</w:t>
            </w:r>
            <w:r w:rsidRPr="00851ABA">
              <w:rPr>
                <w:rFonts w:ascii="Arial" w:eastAsia="MS Mincho" w:hAnsi="Arial" w:cs="Arial"/>
                <w:sz w:val="20"/>
                <w:szCs w:val="20"/>
                <w:lang w:val="en-US" w:eastAsia="zh-CN"/>
              </w:rPr>
              <w:t xml:space="preserve"> and consider additional anti-diabetic medications (such as insulin</w:t>
            </w:r>
            <w:r w:rsidRPr="00851ABA">
              <w:rPr>
                <w:rFonts w:ascii="Arial" w:eastAsia="MS Mincho" w:hAnsi="Arial" w:cs="Arial"/>
                <w:sz w:val="20"/>
                <w:szCs w:val="20"/>
                <w:vertAlign w:val="superscript"/>
                <w:lang w:val="en-US" w:eastAsia="zh-CN"/>
              </w:rPr>
              <w:t>3</w:t>
            </w:r>
            <w:r w:rsidRPr="00851ABA">
              <w:rPr>
                <w:rFonts w:ascii="Arial" w:eastAsia="MS Mincho" w:hAnsi="Arial" w:cs="Arial"/>
                <w:sz w:val="20"/>
                <w:szCs w:val="20"/>
                <w:lang w:val="en-US" w:eastAsia="zh-CN"/>
              </w:rPr>
              <w:t xml:space="preserve">) for 1-2 days until </w:t>
            </w:r>
            <w:proofErr w:type="spellStart"/>
            <w:r w:rsidRPr="00851ABA">
              <w:rPr>
                <w:rFonts w:ascii="Arial" w:eastAsia="MS Mincho" w:hAnsi="Arial" w:cs="Arial"/>
                <w:sz w:val="20"/>
                <w:szCs w:val="20"/>
                <w:lang w:val="en-US" w:eastAsia="zh-CN"/>
              </w:rPr>
              <w:t>hyperglycaemia</w:t>
            </w:r>
            <w:proofErr w:type="spellEnd"/>
            <w:r w:rsidRPr="00851ABA">
              <w:rPr>
                <w:rFonts w:ascii="Arial" w:eastAsia="MS Mincho" w:hAnsi="Arial" w:cs="Arial"/>
                <w:sz w:val="20"/>
                <w:szCs w:val="20"/>
                <w:lang w:val="en-US" w:eastAsia="zh-CN"/>
              </w:rPr>
              <w:t xml:space="preserve"> resolves</w:t>
            </w:r>
            <w:r w:rsidR="00CE5EF6">
              <w:rPr>
                <w:rFonts w:ascii="Arial" w:eastAsia="MS Mincho" w:hAnsi="Arial" w:cs="Arial"/>
                <w:sz w:val="20"/>
                <w:szCs w:val="20"/>
                <w:lang w:val="en-US" w:eastAsia="zh-CN"/>
              </w:rPr>
              <w:t>.</w:t>
            </w:r>
          </w:p>
          <w:p w14:paraId="0E593149" w14:textId="571B283C" w:rsidR="00851ABA" w:rsidRPr="00851ABA" w:rsidRDefault="00851ABA" w:rsidP="00851ABA">
            <w:pPr>
              <w:keepLines/>
              <w:tabs>
                <w:tab w:val="left" w:pos="284"/>
              </w:tabs>
              <w:autoSpaceDE/>
              <w:autoSpaceDN/>
              <w:adjustRightInd/>
              <w:spacing w:before="120" w:after="0" w:line="240" w:lineRule="auto"/>
              <w:jc w:val="left"/>
              <w:rPr>
                <w:rFonts w:ascii="Arial" w:eastAsia="MS Mincho" w:hAnsi="Arial" w:cs="Arial"/>
                <w:sz w:val="20"/>
                <w:szCs w:val="20"/>
                <w:lang w:val="en-US" w:eastAsia="zh-CN"/>
              </w:rPr>
            </w:pPr>
            <w:r w:rsidRPr="00851ABA">
              <w:rPr>
                <w:rFonts w:ascii="Arial" w:eastAsia="MS Mincho" w:hAnsi="Arial" w:cs="Arial"/>
                <w:sz w:val="20"/>
                <w:szCs w:val="20"/>
                <w:lang w:val="en-US" w:eastAsia="zh-CN"/>
              </w:rPr>
              <w:t>Administer intravenous hydration and consider appropriate treatment (e.g. intervention for electrolyte/ketoacido</w:t>
            </w:r>
            <w:r w:rsidR="00CE5EF6">
              <w:rPr>
                <w:rFonts w:ascii="Arial" w:eastAsia="MS Mincho" w:hAnsi="Arial" w:cs="Arial"/>
                <w:sz w:val="20"/>
                <w:szCs w:val="20"/>
                <w:lang w:val="en-US" w:eastAsia="zh-CN"/>
              </w:rPr>
              <w:t>sis/hyperosmolar disturbances).</w:t>
            </w:r>
          </w:p>
          <w:p w14:paraId="0EC47E09" w14:textId="77777777" w:rsidR="00851ABA" w:rsidRPr="00851ABA" w:rsidRDefault="00851ABA" w:rsidP="00851ABA">
            <w:pPr>
              <w:keepLines/>
              <w:tabs>
                <w:tab w:val="left" w:pos="284"/>
              </w:tabs>
              <w:autoSpaceDE/>
              <w:autoSpaceDN/>
              <w:adjustRightInd/>
              <w:spacing w:before="120" w:after="0" w:line="240" w:lineRule="auto"/>
              <w:rPr>
                <w:rFonts w:ascii="Arial" w:eastAsia="MS Mincho" w:hAnsi="Arial" w:cs="Arial"/>
                <w:sz w:val="20"/>
                <w:szCs w:val="20"/>
                <w:lang w:val="en-US" w:eastAsia="zh-CN"/>
              </w:rPr>
            </w:pPr>
            <w:r w:rsidRPr="00851ABA">
              <w:rPr>
                <w:rFonts w:ascii="Arial" w:eastAsia="MS Mincho" w:hAnsi="Arial" w:cs="Arial"/>
                <w:sz w:val="20"/>
                <w:szCs w:val="20"/>
                <w:lang w:val="en-US" w:eastAsia="zh-CN"/>
              </w:rPr>
              <w:t>If FPG decreases to ≤160 mg/</w:t>
            </w:r>
            <w:proofErr w:type="spellStart"/>
            <w:r w:rsidRPr="00851ABA">
              <w:rPr>
                <w:rFonts w:ascii="Arial" w:eastAsia="MS Mincho" w:hAnsi="Arial" w:cs="Arial"/>
                <w:sz w:val="20"/>
                <w:szCs w:val="20"/>
                <w:lang w:val="en-US" w:eastAsia="zh-CN"/>
              </w:rPr>
              <w:t>dL</w:t>
            </w:r>
            <w:proofErr w:type="spellEnd"/>
            <w:r w:rsidRPr="00851ABA">
              <w:rPr>
                <w:rFonts w:ascii="Arial" w:eastAsia="MS Mincho" w:hAnsi="Arial" w:cs="Arial"/>
                <w:sz w:val="20"/>
                <w:szCs w:val="20"/>
                <w:lang w:val="en-US" w:eastAsia="zh-CN"/>
              </w:rPr>
              <w:t xml:space="preserve"> or 8.9 </w:t>
            </w:r>
            <w:proofErr w:type="spellStart"/>
            <w:r w:rsidRPr="00851ABA">
              <w:rPr>
                <w:rFonts w:ascii="Arial" w:eastAsia="MS Mincho" w:hAnsi="Arial" w:cs="Arial"/>
                <w:sz w:val="20"/>
                <w:szCs w:val="20"/>
                <w:lang w:val="en-US" w:eastAsia="zh-CN"/>
              </w:rPr>
              <w:t>mmol</w:t>
            </w:r>
            <w:proofErr w:type="spellEnd"/>
            <w:r w:rsidRPr="00851ABA">
              <w:rPr>
                <w:rFonts w:ascii="Arial" w:eastAsia="MS Mincho" w:hAnsi="Arial" w:cs="Arial"/>
                <w:sz w:val="20"/>
                <w:szCs w:val="20"/>
                <w:lang w:val="en-US" w:eastAsia="zh-CN"/>
              </w:rPr>
              <w:t>/L within 3 to 5 days under appropriate anti-diabetic treatment, resume PIQRAY at next lower dose level.</w:t>
            </w:r>
          </w:p>
          <w:p w14:paraId="2323E1CF" w14:textId="77777777" w:rsidR="00851ABA" w:rsidRPr="00851ABA" w:rsidRDefault="00851ABA" w:rsidP="00851ABA">
            <w:pPr>
              <w:keepLines/>
              <w:tabs>
                <w:tab w:val="left" w:pos="284"/>
              </w:tabs>
              <w:autoSpaceDE/>
              <w:autoSpaceDN/>
              <w:adjustRightInd/>
              <w:spacing w:before="120" w:after="0" w:line="240" w:lineRule="auto"/>
              <w:rPr>
                <w:rFonts w:ascii="Arial" w:eastAsia="MS Mincho" w:hAnsi="Arial" w:cs="Arial"/>
                <w:sz w:val="20"/>
                <w:szCs w:val="20"/>
                <w:lang w:val="en-US" w:eastAsia="zh-CN"/>
              </w:rPr>
            </w:pPr>
            <w:r w:rsidRPr="00851ABA">
              <w:rPr>
                <w:rFonts w:ascii="Arial" w:eastAsia="MS Mincho" w:hAnsi="Arial" w:cs="Arial"/>
                <w:sz w:val="20"/>
                <w:szCs w:val="20"/>
                <w:lang w:val="en-US" w:eastAsia="zh-CN"/>
              </w:rPr>
              <w:t>If FPG does not decrease to ≤160 mg/</w:t>
            </w:r>
            <w:proofErr w:type="spellStart"/>
            <w:r w:rsidRPr="00851ABA">
              <w:rPr>
                <w:rFonts w:ascii="Arial" w:eastAsia="MS Mincho" w:hAnsi="Arial" w:cs="Arial"/>
                <w:sz w:val="20"/>
                <w:szCs w:val="20"/>
                <w:lang w:val="en-US" w:eastAsia="zh-CN"/>
              </w:rPr>
              <w:t>dL</w:t>
            </w:r>
            <w:proofErr w:type="spellEnd"/>
            <w:r w:rsidRPr="00851ABA">
              <w:rPr>
                <w:rFonts w:ascii="Arial" w:eastAsia="MS Mincho" w:hAnsi="Arial" w:cs="Arial"/>
                <w:sz w:val="20"/>
                <w:szCs w:val="20"/>
                <w:lang w:val="en-US" w:eastAsia="zh-CN"/>
              </w:rPr>
              <w:t xml:space="preserve"> or 8.9 </w:t>
            </w:r>
            <w:proofErr w:type="spellStart"/>
            <w:r w:rsidRPr="00851ABA">
              <w:rPr>
                <w:rFonts w:ascii="Arial" w:eastAsia="MS Mincho" w:hAnsi="Arial" w:cs="Arial"/>
                <w:sz w:val="20"/>
                <w:szCs w:val="20"/>
                <w:lang w:val="en-US" w:eastAsia="zh-CN"/>
              </w:rPr>
              <w:t>mmol</w:t>
            </w:r>
            <w:proofErr w:type="spellEnd"/>
            <w:r w:rsidRPr="00851ABA">
              <w:rPr>
                <w:rFonts w:ascii="Arial" w:eastAsia="MS Mincho" w:hAnsi="Arial" w:cs="Arial"/>
                <w:sz w:val="20"/>
                <w:szCs w:val="20"/>
                <w:lang w:val="en-US" w:eastAsia="zh-CN"/>
              </w:rPr>
              <w:t>/L within 3 to 5 days under appropriate anti-diabetic treatment, consultation with a physician with expertise in the treatment of hyperglycemia is recommended.</w:t>
            </w:r>
          </w:p>
          <w:p w14:paraId="329A8111" w14:textId="725AC89D" w:rsidR="00851ABA" w:rsidRPr="00851ABA" w:rsidRDefault="00851ABA" w:rsidP="00851ABA">
            <w:pPr>
              <w:tabs>
                <w:tab w:val="left" w:pos="284"/>
              </w:tabs>
              <w:autoSpaceDE/>
              <w:autoSpaceDN/>
              <w:adjustRightInd/>
              <w:spacing w:before="120" w:after="0" w:line="240" w:lineRule="auto"/>
              <w:jc w:val="left"/>
              <w:rPr>
                <w:rFonts w:ascii="Arial" w:eastAsia="MS Mincho" w:hAnsi="Arial" w:cs="Arial"/>
                <w:sz w:val="20"/>
                <w:szCs w:val="20"/>
                <w:lang w:val="en-US" w:eastAsia="zh-CN"/>
              </w:rPr>
            </w:pPr>
            <w:r w:rsidRPr="00851ABA">
              <w:rPr>
                <w:rFonts w:ascii="Arial" w:eastAsia="MS Mincho" w:hAnsi="Arial" w:cs="Arial"/>
                <w:sz w:val="20"/>
                <w:szCs w:val="20"/>
                <w:lang w:val="en-US" w:eastAsia="zh-CN"/>
              </w:rPr>
              <w:lastRenderedPageBreak/>
              <w:t>If FPG does not decrease to ≤160 mg/</w:t>
            </w:r>
            <w:proofErr w:type="spellStart"/>
            <w:r w:rsidRPr="00851ABA">
              <w:rPr>
                <w:rFonts w:ascii="Arial" w:eastAsia="MS Mincho" w:hAnsi="Arial" w:cs="Arial"/>
                <w:sz w:val="20"/>
                <w:szCs w:val="20"/>
                <w:lang w:val="en-US" w:eastAsia="zh-CN"/>
              </w:rPr>
              <w:t>dL</w:t>
            </w:r>
            <w:proofErr w:type="spellEnd"/>
            <w:r w:rsidRPr="00851ABA">
              <w:rPr>
                <w:rFonts w:ascii="Arial" w:eastAsia="MS Mincho" w:hAnsi="Arial" w:cs="Arial"/>
                <w:sz w:val="20"/>
                <w:szCs w:val="20"/>
                <w:lang w:val="en-US" w:eastAsia="zh-CN"/>
              </w:rPr>
              <w:t xml:space="preserve"> or 8.9 </w:t>
            </w:r>
            <w:proofErr w:type="spellStart"/>
            <w:r w:rsidRPr="00851ABA">
              <w:rPr>
                <w:rFonts w:ascii="Arial" w:eastAsia="MS Mincho" w:hAnsi="Arial" w:cs="Arial"/>
                <w:sz w:val="20"/>
                <w:szCs w:val="20"/>
                <w:lang w:val="en-US" w:eastAsia="zh-CN"/>
              </w:rPr>
              <w:t>mmol</w:t>
            </w:r>
            <w:proofErr w:type="spellEnd"/>
            <w:r w:rsidRPr="00851ABA">
              <w:rPr>
                <w:rFonts w:ascii="Arial" w:eastAsia="MS Mincho" w:hAnsi="Arial" w:cs="Arial"/>
                <w:sz w:val="20"/>
                <w:szCs w:val="20"/>
                <w:lang w:val="en-US" w:eastAsia="zh-CN"/>
              </w:rPr>
              <w:t>/L within 21 days following appropriate anti-diabetic treatment</w:t>
            </w:r>
            <w:r w:rsidRPr="00851ABA">
              <w:rPr>
                <w:rFonts w:ascii="Arial" w:eastAsia="MS Mincho" w:hAnsi="Arial" w:cs="Arial"/>
                <w:sz w:val="20"/>
                <w:szCs w:val="20"/>
                <w:vertAlign w:val="superscript"/>
                <w:lang w:val="en-US" w:eastAsia="zh-CN"/>
              </w:rPr>
              <w:t>3</w:t>
            </w:r>
            <w:r w:rsidRPr="00851ABA">
              <w:rPr>
                <w:rFonts w:ascii="Arial" w:eastAsia="MS Mincho" w:hAnsi="Arial" w:cs="Arial"/>
                <w:sz w:val="20"/>
                <w:szCs w:val="20"/>
                <w:lang w:val="en-US" w:eastAsia="zh-CN"/>
              </w:rPr>
              <w:t xml:space="preserve">, permanently discontinue </w:t>
            </w:r>
            <w:r w:rsidR="00091F04" w:rsidRPr="00851ABA">
              <w:rPr>
                <w:rFonts w:ascii="Arial" w:eastAsia="MS Mincho" w:hAnsi="Arial" w:cs="Arial"/>
                <w:sz w:val="20"/>
                <w:szCs w:val="20"/>
                <w:lang w:val="en-US" w:eastAsia="zh-CN"/>
              </w:rPr>
              <w:t xml:space="preserve">PIQRAY </w:t>
            </w:r>
            <w:r w:rsidRPr="00851ABA">
              <w:rPr>
                <w:rFonts w:ascii="Arial" w:eastAsia="MS Mincho" w:hAnsi="Arial" w:cs="Arial"/>
                <w:sz w:val="20"/>
                <w:szCs w:val="20"/>
                <w:lang w:val="en-US" w:eastAsia="zh-CN"/>
              </w:rPr>
              <w:t>treatment.</w:t>
            </w:r>
          </w:p>
        </w:tc>
      </w:tr>
      <w:tr w:rsidR="00851ABA" w:rsidRPr="00851ABA" w14:paraId="30323225" w14:textId="77777777" w:rsidTr="00502656">
        <w:tc>
          <w:tcPr>
            <w:tcW w:w="1269" w:type="pct"/>
            <w:tcBorders>
              <w:bottom w:val="single" w:sz="4" w:space="0" w:color="auto"/>
            </w:tcBorders>
            <w:shd w:val="clear" w:color="auto" w:fill="auto"/>
          </w:tcPr>
          <w:p w14:paraId="40DD8A16" w14:textId="0E5CA24E" w:rsidR="00851ABA" w:rsidRPr="00851ABA" w:rsidRDefault="00CE5EF6" w:rsidP="00851ABA">
            <w:pPr>
              <w:keepLines/>
              <w:tabs>
                <w:tab w:val="left" w:pos="284"/>
              </w:tabs>
              <w:autoSpaceDE/>
              <w:autoSpaceDN/>
              <w:adjustRightInd/>
              <w:spacing w:before="120" w:after="0" w:line="240" w:lineRule="auto"/>
              <w:jc w:val="left"/>
              <w:rPr>
                <w:rFonts w:ascii="Arial" w:eastAsia="MS Mincho" w:hAnsi="Arial" w:cs="Arial"/>
                <w:sz w:val="20"/>
                <w:szCs w:val="20"/>
                <w:lang w:val="en-US" w:eastAsia="zh-CN"/>
              </w:rPr>
            </w:pPr>
            <w:r>
              <w:rPr>
                <w:rFonts w:ascii="Arial" w:eastAsia="MS Mincho" w:hAnsi="Arial" w:cs="Arial"/>
                <w:sz w:val="20"/>
                <w:szCs w:val="20"/>
                <w:lang w:val="en-US" w:eastAsia="zh-CN"/>
              </w:rPr>
              <w:lastRenderedPageBreak/>
              <w:t>&gt; 500 mg/</w:t>
            </w:r>
            <w:proofErr w:type="spellStart"/>
            <w:r>
              <w:rPr>
                <w:rFonts w:ascii="Arial" w:eastAsia="MS Mincho" w:hAnsi="Arial" w:cs="Arial"/>
                <w:sz w:val="20"/>
                <w:szCs w:val="20"/>
                <w:lang w:val="en-US" w:eastAsia="zh-CN"/>
              </w:rPr>
              <w:t>dL</w:t>
            </w:r>
            <w:proofErr w:type="spellEnd"/>
            <w:r>
              <w:rPr>
                <w:rFonts w:ascii="Arial" w:eastAsia="MS Mincho" w:hAnsi="Arial" w:cs="Arial"/>
                <w:sz w:val="20"/>
                <w:szCs w:val="20"/>
                <w:lang w:val="en-US" w:eastAsia="zh-CN"/>
              </w:rPr>
              <w:t xml:space="preserve"> or</w:t>
            </w:r>
          </w:p>
          <w:p w14:paraId="0E074EE1" w14:textId="77777777" w:rsidR="00851ABA" w:rsidRPr="00851ABA" w:rsidRDefault="00851ABA" w:rsidP="00851ABA">
            <w:pPr>
              <w:keepLines/>
              <w:tabs>
                <w:tab w:val="left" w:pos="284"/>
              </w:tabs>
              <w:autoSpaceDE/>
              <w:autoSpaceDN/>
              <w:adjustRightInd/>
              <w:spacing w:before="120" w:after="0" w:line="240" w:lineRule="auto"/>
              <w:jc w:val="left"/>
              <w:rPr>
                <w:rFonts w:ascii="Arial" w:eastAsia="MS Mincho" w:hAnsi="Arial" w:cs="Arial"/>
                <w:sz w:val="20"/>
                <w:szCs w:val="20"/>
                <w:lang w:val="en-US" w:eastAsia="zh-CN"/>
              </w:rPr>
            </w:pPr>
            <w:r w:rsidRPr="00851ABA">
              <w:rPr>
                <w:rFonts w:ascii="Arial" w:eastAsia="MS Mincho" w:hAnsi="Arial" w:cs="Arial"/>
                <w:sz w:val="20"/>
                <w:szCs w:val="20"/>
                <w:lang w:val="en-US" w:eastAsia="zh-CN"/>
              </w:rPr>
              <w:t xml:space="preserve">≥ 27.8 </w:t>
            </w:r>
            <w:proofErr w:type="spellStart"/>
            <w:r w:rsidRPr="00851ABA">
              <w:rPr>
                <w:rFonts w:ascii="Arial" w:eastAsia="MS Mincho" w:hAnsi="Arial" w:cs="Arial"/>
                <w:sz w:val="20"/>
                <w:szCs w:val="20"/>
                <w:lang w:val="en-US" w:eastAsia="zh-CN"/>
              </w:rPr>
              <w:t>mmol</w:t>
            </w:r>
            <w:proofErr w:type="spellEnd"/>
            <w:r w:rsidRPr="00851ABA">
              <w:rPr>
                <w:rFonts w:ascii="Arial" w:eastAsia="MS Mincho" w:hAnsi="Arial" w:cs="Arial"/>
                <w:sz w:val="20"/>
                <w:szCs w:val="20"/>
                <w:lang w:val="en-US" w:eastAsia="zh-CN"/>
              </w:rPr>
              <w:t>/L</w:t>
            </w:r>
          </w:p>
        </w:tc>
        <w:tc>
          <w:tcPr>
            <w:tcW w:w="3731" w:type="pct"/>
            <w:tcBorders>
              <w:bottom w:val="single" w:sz="4" w:space="0" w:color="auto"/>
            </w:tcBorders>
          </w:tcPr>
          <w:p w14:paraId="4969BBE5" w14:textId="26E5D125" w:rsidR="00851ABA" w:rsidRPr="00851ABA" w:rsidRDefault="00851ABA" w:rsidP="00851ABA">
            <w:pPr>
              <w:keepLines/>
              <w:tabs>
                <w:tab w:val="left" w:pos="284"/>
              </w:tabs>
              <w:autoSpaceDE/>
              <w:autoSpaceDN/>
              <w:adjustRightInd/>
              <w:spacing w:before="120" w:after="0" w:line="240" w:lineRule="auto"/>
              <w:jc w:val="left"/>
              <w:rPr>
                <w:rFonts w:ascii="Arial" w:eastAsia="MS Mincho" w:hAnsi="Arial" w:cs="Arial"/>
                <w:sz w:val="20"/>
                <w:szCs w:val="20"/>
                <w:lang w:val="en-US" w:eastAsia="zh-CN"/>
              </w:rPr>
            </w:pPr>
            <w:r w:rsidRPr="00851ABA">
              <w:rPr>
                <w:rFonts w:ascii="Arial" w:eastAsia="MS Mincho" w:hAnsi="Arial" w:cs="Arial"/>
                <w:sz w:val="20"/>
                <w:szCs w:val="20"/>
                <w:lang w:val="en-US" w:eastAsia="zh-CN"/>
              </w:rPr>
              <w:t xml:space="preserve">Interrupt </w:t>
            </w:r>
            <w:r w:rsidR="00CE5EF6">
              <w:rPr>
                <w:rFonts w:ascii="Arial" w:eastAsia="MS Mincho" w:hAnsi="Arial" w:cs="Arial"/>
                <w:sz w:val="20"/>
                <w:szCs w:val="20"/>
                <w:lang w:val="en-US" w:eastAsia="zh-CN"/>
              </w:rPr>
              <w:t>PIQRAY</w:t>
            </w:r>
          </w:p>
          <w:p w14:paraId="785A15D5" w14:textId="77777777" w:rsidR="00851ABA" w:rsidRPr="00851ABA" w:rsidRDefault="00851ABA" w:rsidP="00851ABA">
            <w:pPr>
              <w:keepLines/>
              <w:tabs>
                <w:tab w:val="left" w:pos="284"/>
              </w:tabs>
              <w:autoSpaceDE/>
              <w:autoSpaceDN/>
              <w:adjustRightInd/>
              <w:spacing w:before="120" w:after="0" w:line="240" w:lineRule="auto"/>
              <w:jc w:val="left"/>
              <w:rPr>
                <w:rFonts w:ascii="Arial" w:eastAsia="MS Mincho" w:hAnsi="Arial" w:cs="Arial"/>
                <w:sz w:val="20"/>
                <w:szCs w:val="20"/>
                <w:lang w:val="en-US" w:eastAsia="zh-CN"/>
              </w:rPr>
            </w:pPr>
            <w:r w:rsidRPr="00851ABA">
              <w:rPr>
                <w:rFonts w:ascii="Arial" w:eastAsia="MS Mincho" w:hAnsi="Arial" w:cs="Arial"/>
                <w:sz w:val="20"/>
                <w:szCs w:val="20"/>
                <w:lang w:val="en-US" w:eastAsia="zh-CN"/>
              </w:rPr>
              <w:t>Initiate or intensify appropriate anti-diabetic treatment</w:t>
            </w:r>
            <w:r w:rsidRPr="00851ABA">
              <w:rPr>
                <w:rFonts w:ascii="Arial" w:eastAsia="MS Mincho" w:hAnsi="Arial" w:cs="Arial"/>
                <w:sz w:val="20"/>
                <w:szCs w:val="20"/>
                <w:vertAlign w:val="superscript"/>
                <w:lang w:val="en-US" w:eastAsia="zh-CN"/>
              </w:rPr>
              <w:t>3</w:t>
            </w:r>
            <w:r w:rsidRPr="00851ABA">
              <w:rPr>
                <w:rFonts w:ascii="Arial" w:eastAsia="MS Mincho" w:hAnsi="Arial" w:cs="Arial"/>
                <w:sz w:val="20"/>
                <w:szCs w:val="20"/>
                <w:lang w:val="en-US" w:eastAsia="zh-CN"/>
              </w:rPr>
              <w:t xml:space="preserve"> (administer intravenous hydration and consider appropriate treatment (e.g. intervention for electrolyte/ketoacidosis/hyperosmolar disturbances)), re-check within 24 hours and as clinically indicated.</w:t>
            </w:r>
          </w:p>
          <w:p w14:paraId="33047DD2" w14:textId="77777777" w:rsidR="00851ABA" w:rsidRPr="00851ABA" w:rsidRDefault="00851ABA" w:rsidP="00851ABA">
            <w:pPr>
              <w:keepLines/>
              <w:tabs>
                <w:tab w:val="left" w:pos="284"/>
              </w:tabs>
              <w:autoSpaceDE/>
              <w:autoSpaceDN/>
              <w:adjustRightInd/>
              <w:spacing w:before="120" w:after="0" w:line="240" w:lineRule="auto"/>
              <w:jc w:val="left"/>
              <w:rPr>
                <w:rFonts w:ascii="Arial" w:eastAsia="MS Mincho" w:hAnsi="Arial" w:cs="Arial"/>
                <w:sz w:val="20"/>
                <w:szCs w:val="20"/>
                <w:lang w:val="en-US" w:eastAsia="zh-CN"/>
              </w:rPr>
            </w:pPr>
            <w:r w:rsidRPr="00851ABA">
              <w:rPr>
                <w:rFonts w:ascii="Arial" w:eastAsia="MS Mincho" w:hAnsi="Arial" w:cs="Arial"/>
                <w:sz w:val="20"/>
                <w:szCs w:val="20"/>
                <w:lang w:val="en-US" w:eastAsia="zh-CN"/>
              </w:rPr>
              <w:t>If FPG decreases to (≤ 500 mg/</w:t>
            </w:r>
            <w:proofErr w:type="spellStart"/>
            <w:r w:rsidRPr="00851ABA">
              <w:rPr>
                <w:rFonts w:ascii="Arial" w:eastAsia="MS Mincho" w:hAnsi="Arial" w:cs="Arial"/>
                <w:sz w:val="20"/>
                <w:szCs w:val="20"/>
                <w:lang w:val="en-US" w:eastAsia="zh-CN"/>
              </w:rPr>
              <w:t>dL</w:t>
            </w:r>
            <w:proofErr w:type="spellEnd"/>
            <w:r w:rsidRPr="00851ABA">
              <w:rPr>
                <w:rFonts w:ascii="Arial" w:eastAsia="MS Mincho" w:hAnsi="Arial" w:cs="Arial"/>
                <w:sz w:val="20"/>
                <w:szCs w:val="20"/>
                <w:lang w:val="en-US" w:eastAsia="zh-CN"/>
              </w:rPr>
              <w:t xml:space="preserve">) or (≤ 27.8 </w:t>
            </w:r>
            <w:proofErr w:type="spellStart"/>
            <w:r w:rsidRPr="00851ABA">
              <w:rPr>
                <w:rFonts w:ascii="Arial" w:eastAsia="MS Mincho" w:hAnsi="Arial" w:cs="Arial"/>
                <w:sz w:val="20"/>
                <w:szCs w:val="20"/>
                <w:lang w:val="en-US" w:eastAsia="zh-CN"/>
              </w:rPr>
              <w:t>mmol</w:t>
            </w:r>
            <w:proofErr w:type="spellEnd"/>
            <w:r w:rsidRPr="00851ABA">
              <w:rPr>
                <w:rFonts w:ascii="Arial" w:eastAsia="MS Mincho" w:hAnsi="Arial" w:cs="Arial"/>
                <w:sz w:val="20"/>
                <w:szCs w:val="20"/>
                <w:lang w:val="en-US" w:eastAsia="zh-CN"/>
              </w:rPr>
              <w:t>/L), then follow FPG value specific recommendations for (&lt;500 mg/</w:t>
            </w:r>
            <w:proofErr w:type="spellStart"/>
            <w:r w:rsidRPr="00851ABA">
              <w:rPr>
                <w:rFonts w:ascii="Arial" w:eastAsia="MS Mincho" w:hAnsi="Arial" w:cs="Arial"/>
                <w:sz w:val="20"/>
                <w:szCs w:val="20"/>
                <w:lang w:val="en-US" w:eastAsia="zh-CN"/>
              </w:rPr>
              <w:t>dL</w:t>
            </w:r>
            <w:proofErr w:type="spellEnd"/>
            <w:r w:rsidRPr="00851ABA">
              <w:rPr>
                <w:rFonts w:ascii="Arial" w:eastAsia="MS Mincho" w:hAnsi="Arial" w:cs="Arial"/>
                <w:sz w:val="20"/>
                <w:szCs w:val="20"/>
                <w:lang w:val="en-US" w:eastAsia="zh-CN"/>
              </w:rPr>
              <w:t>).</w:t>
            </w:r>
          </w:p>
          <w:p w14:paraId="4E5BBB6D" w14:textId="3E5EB353" w:rsidR="00851ABA" w:rsidRPr="00851ABA" w:rsidRDefault="00851ABA" w:rsidP="00851ABA">
            <w:pPr>
              <w:keepLines/>
              <w:tabs>
                <w:tab w:val="left" w:pos="284"/>
              </w:tabs>
              <w:autoSpaceDE/>
              <w:autoSpaceDN/>
              <w:adjustRightInd/>
              <w:spacing w:before="120" w:after="0" w:line="240" w:lineRule="auto"/>
              <w:jc w:val="left"/>
              <w:rPr>
                <w:rFonts w:ascii="Arial" w:eastAsia="MS Mincho" w:hAnsi="Arial" w:cs="Arial"/>
                <w:sz w:val="20"/>
                <w:szCs w:val="20"/>
                <w:lang w:val="en-US" w:eastAsia="zh-CN"/>
              </w:rPr>
            </w:pPr>
            <w:r w:rsidRPr="00851ABA">
              <w:rPr>
                <w:rFonts w:ascii="Arial" w:eastAsia="MS Mincho" w:hAnsi="Arial" w:cs="Arial"/>
                <w:sz w:val="20"/>
                <w:szCs w:val="20"/>
                <w:lang w:val="en-US" w:eastAsia="zh-CN"/>
              </w:rPr>
              <w:t>If FPG is confirmed at &gt; 500 mg/</w:t>
            </w:r>
            <w:proofErr w:type="spellStart"/>
            <w:r w:rsidRPr="00851ABA">
              <w:rPr>
                <w:rFonts w:ascii="Arial" w:eastAsia="MS Mincho" w:hAnsi="Arial" w:cs="Arial"/>
                <w:sz w:val="20"/>
                <w:szCs w:val="20"/>
                <w:lang w:val="en-US" w:eastAsia="zh-CN"/>
              </w:rPr>
              <w:t>dL</w:t>
            </w:r>
            <w:proofErr w:type="spellEnd"/>
            <w:r w:rsidRPr="00851ABA">
              <w:rPr>
                <w:rFonts w:ascii="Arial" w:eastAsia="MS Mincho" w:hAnsi="Arial" w:cs="Arial"/>
                <w:sz w:val="20"/>
                <w:szCs w:val="20"/>
                <w:lang w:val="en-US" w:eastAsia="zh-CN"/>
              </w:rPr>
              <w:t xml:space="preserve"> or (≥ 27.8 </w:t>
            </w:r>
            <w:proofErr w:type="spellStart"/>
            <w:r w:rsidRPr="00851ABA">
              <w:rPr>
                <w:rFonts w:ascii="Arial" w:eastAsia="MS Mincho" w:hAnsi="Arial" w:cs="Arial"/>
                <w:sz w:val="20"/>
                <w:szCs w:val="20"/>
                <w:lang w:val="en-US" w:eastAsia="zh-CN"/>
              </w:rPr>
              <w:t>mmol</w:t>
            </w:r>
            <w:proofErr w:type="spellEnd"/>
            <w:r w:rsidRPr="00851ABA">
              <w:rPr>
                <w:rFonts w:ascii="Arial" w:eastAsia="MS Mincho" w:hAnsi="Arial" w:cs="Arial"/>
                <w:sz w:val="20"/>
                <w:szCs w:val="20"/>
                <w:lang w:val="en-US" w:eastAsia="zh-CN"/>
              </w:rPr>
              <w:t xml:space="preserve">/L), permanently discontinue </w:t>
            </w:r>
            <w:r w:rsidR="00091F04" w:rsidRPr="00851ABA">
              <w:rPr>
                <w:rFonts w:ascii="Arial" w:eastAsia="MS Mincho" w:hAnsi="Arial" w:cs="Arial"/>
                <w:sz w:val="20"/>
                <w:szCs w:val="20"/>
                <w:lang w:val="en-US" w:eastAsia="zh-CN"/>
              </w:rPr>
              <w:t xml:space="preserve">PIQRAY </w:t>
            </w:r>
            <w:r w:rsidRPr="00851ABA">
              <w:rPr>
                <w:rFonts w:ascii="Arial" w:eastAsia="MS Mincho" w:hAnsi="Arial" w:cs="Arial"/>
                <w:sz w:val="20"/>
                <w:szCs w:val="20"/>
                <w:lang w:val="en-US" w:eastAsia="zh-CN"/>
              </w:rPr>
              <w:t>treatment.</w:t>
            </w:r>
          </w:p>
        </w:tc>
      </w:tr>
      <w:tr w:rsidR="00851ABA" w:rsidRPr="00502656" w14:paraId="0A8EC33E" w14:textId="77777777" w:rsidTr="00502656">
        <w:tc>
          <w:tcPr>
            <w:tcW w:w="5000" w:type="pct"/>
            <w:gridSpan w:val="2"/>
            <w:tcBorders>
              <w:left w:val="nil"/>
              <w:bottom w:val="nil"/>
              <w:right w:val="nil"/>
            </w:tcBorders>
            <w:shd w:val="clear" w:color="auto" w:fill="auto"/>
          </w:tcPr>
          <w:p w14:paraId="10BA7E5A" w14:textId="076443C8" w:rsidR="00851ABA" w:rsidRPr="00502656" w:rsidRDefault="00851ABA" w:rsidP="00851ABA">
            <w:pPr>
              <w:keepLines/>
              <w:tabs>
                <w:tab w:val="left" w:pos="284"/>
              </w:tabs>
              <w:autoSpaceDE/>
              <w:autoSpaceDN/>
              <w:adjustRightInd/>
              <w:spacing w:before="120" w:after="0" w:line="240" w:lineRule="auto"/>
              <w:rPr>
                <w:rFonts w:ascii="Arial" w:eastAsia="MS Mincho" w:hAnsi="Arial" w:cs="Arial"/>
                <w:sz w:val="18"/>
                <w:szCs w:val="18"/>
                <w:lang w:val="en-US" w:eastAsia="zh-CN"/>
              </w:rPr>
            </w:pPr>
            <w:r w:rsidRPr="00502656">
              <w:rPr>
                <w:rFonts w:ascii="Arial" w:eastAsia="MS Mincho" w:hAnsi="Arial" w:cs="Arial"/>
                <w:sz w:val="18"/>
                <w:szCs w:val="18"/>
                <w:lang w:val="en-US" w:eastAsia="zh-CN"/>
              </w:rPr>
              <w:t xml:space="preserve">Perform FPG and/or HbA1c before initiating treatment with </w:t>
            </w:r>
            <w:r w:rsidR="00E16761" w:rsidRPr="00502656">
              <w:rPr>
                <w:rFonts w:ascii="Arial" w:eastAsia="MS Mincho" w:hAnsi="Arial" w:cs="Arial"/>
                <w:sz w:val="18"/>
                <w:szCs w:val="18"/>
                <w:lang w:val="en-US" w:eastAsia="zh-CN"/>
              </w:rPr>
              <w:t>PIQRAY</w:t>
            </w:r>
            <w:r w:rsidRPr="00502656">
              <w:rPr>
                <w:rFonts w:ascii="Arial" w:eastAsia="MS Mincho" w:hAnsi="Arial" w:cs="Arial"/>
                <w:sz w:val="18"/>
                <w:szCs w:val="18"/>
                <w:lang w:val="en-US" w:eastAsia="zh-CN"/>
              </w:rPr>
              <w:t xml:space="preserve">. </w:t>
            </w:r>
            <w:r w:rsidRPr="00502656">
              <w:rPr>
                <w:rFonts w:ascii="Arial" w:eastAsia="MS Mincho" w:hAnsi="Arial" w:cs="Arial"/>
                <w:sz w:val="18"/>
                <w:szCs w:val="18"/>
                <w:lang w:val="da-DK" w:eastAsia="zh-CN"/>
              </w:rPr>
              <w:t xml:space="preserve">Glucose levels should be corrected in patients with abnormal glucose levels which are in the range of pre-diabetic or diabetic before initiating </w:t>
            </w:r>
            <w:r w:rsidR="00E16761" w:rsidRPr="00502656">
              <w:rPr>
                <w:rFonts w:ascii="Arial" w:eastAsia="MS Mincho" w:hAnsi="Arial" w:cs="Arial"/>
                <w:sz w:val="18"/>
                <w:szCs w:val="18"/>
                <w:lang w:val="da-DK" w:eastAsia="zh-CN"/>
              </w:rPr>
              <w:t>PIQRAY</w:t>
            </w:r>
            <w:r w:rsidRPr="00502656">
              <w:rPr>
                <w:rFonts w:ascii="Arial" w:eastAsia="MS Mincho" w:hAnsi="Arial" w:cs="Arial"/>
                <w:sz w:val="18"/>
                <w:szCs w:val="18"/>
                <w:lang w:val="da-DK" w:eastAsia="zh-CN"/>
              </w:rPr>
              <w:t>, and should be closely monitored to enable early detection and early treatment of hyperglycaemia</w:t>
            </w:r>
            <w:r w:rsidRPr="00502656">
              <w:rPr>
                <w:rFonts w:ascii="Arial" w:eastAsia="MS Mincho" w:hAnsi="Arial" w:cs="Arial"/>
                <w:color w:val="0000FF"/>
                <w:sz w:val="18"/>
                <w:szCs w:val="18"/>
                <w:lang w:val="da-DK" w:eastAsia="zh-CN"/>
              </w:rPr>
              <w:t>.</w:t>
            </w:r>
          </w:p>
          <w:p w14:paraId="5D8DEC0E" w14:textId="1AEA01B4" w:rsidR="00851ABA" w:rsidRPr="00502656" w:rsidRDefault="00851ABA" w:rsidP="00851ABA">
            <w:pPr>
              <w:keepLines/>
              <w:tabs>
                <w:tab w:val="left" w:pos="284"/>
              </w:tabs>
              <w:autoSpaceDE/>
              <w:autoSpaceDN/>
              <w:adjustRightInd/>
              <w:spacing w:before="120" w:after="0" w:line="240" w:lineRule="auto"/>
              <w:rPr>
                <w:rFonts w:ascii="Arial" w:eastAsia="MS Mincho" w:hAnsi="Arial" w:cs="Arial"/>
                <w:sz w:val="18"/>
                <w:szCs w:val="18"/>
                <w:lang w:val="en-US" w:eastAsia="zh-CN"/>
              </w:rPr>
            </w:pPr>
            <w:r w:rsidRPr="00502656">
              <w:rPr>
                <w:rFonts w:ascii="Arial" w:eastAsia="MS Mincho" w:hAnsi="Arial" w:cs="Arial"/>
                <w:sz w:val="18"/>
                <w:szCs w:val="18"/>
                <w:lang w:val="en-US" w:eastAsia="zh-CN"/>
              </w:rPr>
              <w:t xml:space="preserve">After initiating treatment with </w:t>
            </w:r>
            <w:r w:rsidR="00E16761" w:rsidRPr="00502656">
              <w:rPr>
                <w:rFonts w:ascii="Arial" w:eastAsia="MS Mincho" w:hAnsi="Arial" w:cs="Arial"/>
                <w:sz w:val="18"/>
                <w:szCs w:val="18"/>
                <w:lang w:val="en-US" w:eastAsia="zh-CN"/>
              </w:rPr>
              <w:t>PIQRAY</w:t>
            </w:r>
            <w:r w:rsidRPr="00502656">
              <w:rPr>
                <w:rFonts w:ascii="Arial" w:eastAsia="MS Mincho" w:hAnsi="Arial" w:cs="Arial"/>
                <w:sz w:val="18"/>
                <w:szCs w:val="18"/>
                <w:lang w:val="en-US" w:eastAsia="zh-CN"/>
              </w:rPr>
              <w:t>, monitor blood glucose and/or FPG at least once per week in the first 2 weeks, followed by every 4 weeks and as clinically indicated.</w:t>
            </w:r>
            <w:r w:rsidRPr="00502656">
              <w:rPr>
                <w:rFonts w:ascii="Arial" w:eastAsia="MS Mincho" w:hAnsi="Arial" w:cs="Arial"/>
                <w:i/>
                <w:iCs/>
                <w:sz w:val="18"/>
                <w:szCs w:val="18"/>
                <w:lang w:val="en-US" w:eastAsia="zh-CN"/>
              </w:rPr>
              <w:t xml:space="preserve"> </w:t>
            </w:r>
            <w:r w:rsidRPr="00502656">
              <w:rPr>
                <w:rFonts w:ascii="Arial" w:eastAsia="MS Mincho" w:hAnsi="Arial" w:cs="Arial"/>
                <w:sz w:val="18"/>
                <w:szCs w:val="18"/>
                <w:lang w:val="en-US" w:eastAsia="zh-CN"/>
              </w:rPr>
              <w:t xml:space="preserve">HbA1c should be monitored every 3 </w:t>
            </w:r>
            <w:r w:rsidR="00CE5EF6">
              <w:rPr>
                <w:rFonts w:ascii="Arial" w:eastAsia="MS Mincho" w:hAnsi="Arial" w:cs="Arial"/>
                <w:sz w:val="18"/>
                <w:szCs w:val="18"/>
                <w:lang w:val="en-US" w:eastAsia="zh-CN"/>
              </w:rPr>
              <w:t>months as clinically indicated.</w:t>
            </w:r>
          </w:p>
          <w:p w14:paraId="28A5B91E" w14:textId="4E1151BE" w:rsidR="00851ABA" w:rsidRPr="00502656" w:rsidRDefault="00851ABA" w:rsidP="00851ABA">
            <w:pPr>
              <w:keepLines/>
              <w:tabs>
                <w:tab w:val="left" w:pos="284"/>
              </w:tabs>
              <w:autoSpaceDE/>
              <w:autoSpaceDN/>
              <w:adjustRightInd/>
              <w:spacing w:before="120" w:after="0" w:line="240" w:lineRule="auto"/>
              <w:rPr>
                <w:rFonts w:ascii="Arial" w:eastAsia="MS Mincho" w:hAnsi="Arial" w:cs="Arial"/>
                <w:iCs/>
                <w:sz w:val="18"/>
                <w:szCs w:val="18"/>
                <w:lang w:val="en-US" w:eastAsia="zh-CN"/>
              </w:rPr>
            </w:pPr>
            <w:r w:rsidRPr="00502656">
              <w:rPr>
                <w:rFonts w:ascii="Arial" w:eastAsia="MS Mincho" w:hAnsi="Arial" w:cs="Arial"/>
                <w:iCs/>
                <w:sz w:val="18"/>
                <w:szCs w:val="18"/>
                <w:lang w:val="en-US" w:eastAsia="zh-CN"/>
              </w:rPr>
              <w:t xml:space="preserve">If patient experiences </w:t>
            </w:r>
            <w:proofErr w:type="spellStart"/>
            <w:r w:rsidRPr="00502656">
              <w:rPr>
                <w:rFonts w:ascii="Arial" w:eastAsia="MS Mincho" w:hAnsi="Arial" w:cs="Arial"/>
                <w:iCs/>
                <w:sz w:val="18"/>
                <w:szCs w:val="18"/>
                <w:lang w:val="en-US" w:eastAsia="zh-CN"/>
              </w:rPr>
              <w:t>hyperglycaemia</w:t>
            </w:r>
            <w:proofErr w:type="spellEnd"/>
            <w:r w:rsidRPr="00502656">
              <w:rPr>
                <w:rFonts w:ascii="Arial" w:eastAsia="MS Mincho" w:hAnsi="Arial" w:cs="Arial"/>
                <w:iCs/>
                <w:sz w:val="18"/>
                <w:szCs w:val="18"/>
                <w:lang w:val="en-US" w:eastAsia="zh-CN"/>
              </w:rPr>
              <w:t xml:space="preserve"> after initiating treatment with </w:t>
            </w:r>
            <w:r w:rsidR="00091F04" w:rsidRPr="00502656">
              <w:rPr>
                <w:rFonts w:ascii="Arial" w:eastAsia="MS Mincho" w:hAnsi="Arial" w:cs="Arial"/>
                <w:iCs/>
                <w:sz w:val="18"/>
                <w:szCs w:val="18"/>
                <w:lang w:val="en-US" w:eastAsia="zh-CN"/>
              </w:rPr>
              <w:t>PIQRAY</w:t>
            </w:r>
            <w:r w:rsidRPr="00502656">
              <w:rPr>
                <w:rFonts w:ascii="Arial" w:eastAsia="MS Mincho" w:hAnsi="Arial" w:cs="Arial"/>
                <w:iCs/>
                <w:sz w:val="18"/>
                <w:szCs w:val="18"/>
                <w:lang w:val="en-US" w:eastAsia="zh-CN"/>
              </w:rPr>
              <w:t>, monitor blood glucose and/or FPG as clinically indicated, and at least twice weekly until blood glucose and/or FPG decreases to ≤ 160 mg/</w:t>
            </w:r>
            <w:proofErr w:type="spellStart"/>
            <w:r w:rsidRPr="00502656">
              <w:rPr>
                <w:rFonts w:ascii="Arial" w:eastAsia="MS Mincho" w:hAnsi="Arial" w:cs="Arial"/>
                <w:iCs/>
                <w:sz w:val="18"/>
                <w:szCs w:val="18"/>
                <w:lang w:val="en-US" w:eastAsia="zh-CN"/>
              </w:rPr>
              <w:t>dL</w:t>
            </w:r>
            <w:proofErr w:type="spellEnd"/>
            <w:r w:rsidRPr="00502656">
              <w:rPr>
                <w:rFonts w:ascii="Arial" w:eastAsia="MS Mincho" w:hAnsi="Arial" w:cs="Arial"/>
                <w:iCs/>
                <w:sz w:val="18"/>
                <w:szCs w:val="18"/>
                <w:lang w:val="en-US" w:eastAsia="zh-CN"/>
              </w:rPr>
              <w:t>. During treatment with anti-diabetic medication, continue monitoring blood glucose and/or FPG at least once a week for 8 weeks, followed by once every 2 weeks and as clinically indicated.</w:t>
            </w:r>
          </w:p>
          <w:p w14:paraId="0979CC28" w14:textId="16E996CF" w:rsidR="008C18AE" w:rsidRPr="00502656" w:rsidRDefault="008C18AE" w:rsidP="00851ABA">
            <w:pPr>
              <w:keepLines/>
              <w:tabs>
                <w:tab w:val="left" w:pos="284"/>
              </w:tabs>
              <w:autoSpaceDE/>
              <w:autoSpaceDN/>
              <w:adjustRightInd/>
              <w:spacing w:before="120" w:after="0" w:line="240" w:lineRule="auto"/>
              <w:rPr>
                <w:rFonts w:ascii="Arial" w:eastAsia="MS Mincho" w:hAnsi="Arial" w:cs="Arial"/>
                <w:iCs/>
                <w:sz w:val="18"/>
                <w:szCs w:val="18"/>
                <w:lang w:val="en-US" w:eastAsia="zh-CN"/>
              </w:rPr>
            </w:pPr>
            <w:r w:rsidRPr="00502656">
              <w:rPr>
                <w:rFonts w:ascii="Arial" w:eastAsia="MS Mincho" w:hAnsi="Arial" w:cs="Arial"/>
                <w:iCs/>
                <w:sz w:val="18"/>
                <w:szCs w:val="18"/>
                <w:vertAlign w:val="superscript"/>
                <w:lang w:val="en-US" w:eastAsia="zh-CN"/>
              </w:rPr>
              <w:t>1</w:t>
            </w:r>
            <w:r w:rsidRPr="00502656">
              <w:rPr>
                <w:rFonts w:ascii="Arial" w:eastAsia="MS Mincho" w:hAnsi="Arial" w:cs="Arial"/>
                <w:iCs/>
                <w:sz w:val="18"/>
                <w:szCs w:val="18"/>
                <w:lang w:val="en-US" w:eastAsia="zh-CN"/>
              </w:rPr>
              <w:t xml:space="preserve">FPG/blood glucose levels reflect </w:t>
            </w:r>
            <w:proofErr w:type="spellStart"/>
            <w:r w:rsidRPr="00502656">
              <w:rPr>
                <w:rFonts w:ascii="Arial" w:eastAsia="MS Mincho" w:hAnsi="Arial" w:cs="Arial"/>
                <w:iCs/>
                <w:sz w:val="18"/>
                <w:szCs w:val="18"/>
                <w:lang w:val="en-US" w:eastAsia="zh-CN"/>
              </w:rPr>
              <w:t>hyperglycaemia</w:t>
            </w:r>
            <w:proofErr w:type="spellEnd"/>
            <w:r w:rsidRPr="00502656">
              <w:rPr>
                <w:rFonts w:ascii="Arial" w:eastAsia="MS Mincho" w:hAnsi="Arial" w:cs="Arial"/>
                <w:iCs/>
                <w:sz w:val="18"/>
                <w:szCs w:val="18"/>
                <w:lang w:val="en-US" w:eastAsia="zh-CN"/>
              </w:rPr>
              <w:t xml:space="preserve"> grading according to CTCAE Version 4.03. CTCAE=Common Terminology Criteria for Adverse Events.</w:t>
            </w:r>
          </w:p>
          <w:p w14:paraId="4B4B1F16" w14:textId="4BDA7CBD" w:rsidR="00851ABA" w:rsidRPr="00502656" w:rsidRDefault="00A2604A" w:rsidP="00851ABA">
            <w:pPr>
              <w:keepLines/>
              <w:tabs>
                <w:tab w:val="left" w:pos="284"/>
              </w:tabs>
              <w:autoSpaceDE/>
              <w:autoSpaceDN/>
              <w:adjustRightInd/>
              <w:spacing w:before="120" w:after="0" w:line="240" w:lineRule="auto"/>
              <w:rPr>
                <w:rFonts w:ascii="Arial" w:eastAsia="MS Mincho" w:hAnsi="Arial" w:cs="Arial"/>
                <w:sz w:val="18"/>
                <w:szCs w:val="18"/>
                <w:lang w:val="en-US" w:eastAsia="zh-CN"/>
              </w:rPr>
            </w:pPr>
            <w:r w:rsidRPr="00502656">
              <w:rPr>
                <w:rFonts w:ascii="Arial" w:eastAsia="MS Mincho" w:hAnsi="Arial" w:cs="Arial"/>
                <w:sz w:val="18"/>
                <w:szCs w:val="18"/>
                <w:vertAlign w:val="superscript"/>
                <w:lang w:val="en-US" w:eastAsia="zh-CN"/>
              </w:rPr>
              <w:t>2</w:t>
            </w:r>
            <w:r w:rsidR="00851ABA" w:rsidRPr="00502656">
              <w:rPr>
                <w:rFonts w:ascii="Arial" w:eastAsia="MS Mincho" w:hAnsi="Arial" w:cs="Arial"/>
                <w:sz w:val="18"/>
                <w:szCs w:val="18"/>
                <w:lang w:val="en-US" w:eastAsia="zh-CN"/>
              </w:rPr>
              <w:t xml:space="preserve"> Applicable anti-diabetic medications, like metformin and insulin sensitizers (such as </w:t>
            </w:r>
            <w:proofErr w:type="spellStart"/>
            <w:r w:rsidR="00851ABA" w:rsidRPr="00502656">
              <w:rPr>
                <w:rFonts w:ascii="Arial" w:eastAsia="MS Mincho" w:hAnsi="Arial" w:cs="Arial"/>
                <w:sz w:val="18"/>
                <w:szCs w:val="18"/>
                <w:lang w:val="en-US" w:eastAsia="zh-CN"/>
              </w:rPr>
              <w:t>thiazolidinediones</w:t>
            </w:r>
            <w:proofErr w:type="spellEnd"/>
            <w:r w:rsidR="00851ABA" w:rsidRPr="00502656">
              <w:rPr>
                <w:rFonts w:ascii="Arial" w:eastAsia="MS Mincho" w:hAnsi="Arial" w:cs="Arial"/>
                <w:sz w:val="18"/>
                <w:szCs w:val="18"/>
                <w:lang w:val="en-US" w:eastAsia="zh-CN"/>
              </w:rPr>
              <w:t xml:space="preserve"> or dipeptidyl peptidase-4 inhibitors), should be initiated and respective prescribing information should be reviewed for dosing and dose titration recommendations, including local diabetic treatment guidelines. Metformin was recommended in the phase III clinical study with the following guidance: Metformin 500 mg once daily should be initiated. Based on tolerability, metformin dose may be increased to 500 mg bid, followed by 500 mg with breakfast, and 1000 mg with dinner, followed by further increase to 1000 mg bid if needed</w:t>
            </w:r>
            <w:r w:rsidR="00851ABA" w:rsidRPr="00502656">
              <w:rPr>
                <w:rFonts w:ascii="Arial" w:eastAsia="MS Mincho" w:hAnsi="Arial" w:cs="Arial"/>
                <w:i/>
                <w:sz w:val="18"/>
                <w:szCs w:val="18"/>
                <w:lang w:val="en-US" w:eastAsia="zh-CN"/>
              </w:rPr>
              <w:t xml:space="preserve"> </w:t>
            </w:r>
            <w:r w:rsidR="00851ABA" w:rsidRPr="00502656">
              <w:rPr>
                <w:rFonts w:ascii="Arial" w:eastAsia="MS Mincho" w:hAnsi="Arial" w:cs="Arial"/>
                <w:sz w:val="18"/>
                <w:szCs w:val="18"/>
                <w:lang w:val="da-DK" w:eastAsia="zh-CN"/>
              </w:rPr>
              <w:t>(see section 6 Warnings and precautions)</w:t>
            </w:r>
            <w:r w:rsidR="00851ABA" w:rsidRPr="00502656">
              <w:rPr>
                <w:rFonts w:ascii="Arial" w:eastAsia="MS Mincho" w:hAnsi="Arial" w:cs="Arial"/>
                <w:i/>
                <w:sz w:val="18"/>
                <w:szCs w:val="18"/>
                <w:lang w:val="en-US" w:eastAsia="zh-CN"/>
              </w:rPr>
              <w:t>.</w:t>
            </w:r>
          </w:p>
          <w:p w14:paraId="1BF469E2" w14:textId="44E4B076" w:rsidR="000907E4" w:rsidRPr="00502656" w:rsidRDefault="000907E4" w:rsidP="00851ABA">
            <w:pPr>
              <w:keepLines/>
              <w:tabs>
                <w:tab w:val="left" w:pos="284"/>
              </w:tabs>
              <w:autoSpaceDE/>
              <w:autoSpaceDN/>
              <w:adjustRightInd/>
              <w:spacing w:before="120" w:after="0" w:line="240" w:lineRule="auto"/>
              <w:rPr>
                <w:rFonts w:ascii="Arial" w:eastAsia="MS Mincho" w:hAnsi="Arial" w:cs="Arial"/>
                <w:iCs/>
                <w:sz w:val="18"/>
                <w:szCs w:val="18"/>
                <w:lang w:val="en-US" w:eastAsia="zh-CN"/>
              </w:rPr>
            </w:pPr>
            <w:r w:rsidRPr="00502656">
              <w:rPr>
                <w:rFonts w:ascii="Arial" w:eastAsia="MS Mincho" w:hAnsi="Arial" w:cs="Arial"/>
                <w:iCs/>
                <w:sz w:val="18"/>
                <w:szCs w:val="18"/>
                <w:vertAlign w:val="superscript"/>
                <w:lang w:val="en-US" w:eastAsia="zh-CN"/>
              </w:rPr>
              <w:t>3</w:t>
            </w:r>
            <w:r w:rsidRPr="00502656">
              <w:rPr>
                <w:rFonts w:ascii="Arial" w:eastAsia="MS Mincho" w:hAnsi="Arial" w:cs="Arial"/>
                <w:iCs/>
                <w:sz w:val="18"/>
                <w:szCs w:val="18"/>
                <w:lang w:val="en-US" w:eastAsia="zh-CN"/>
              </w:rPr>
              <w:t xml:space="preserve">As recommended in the phase III clinical study, insulin may be used for 1-2 days until hyperglycemia resolves. However, this may not be necessary in the majority of </w:t>
            </w:r>
            <w:proofErr w:type="spellStart"/>
            <w:r w:rsidRPr="00502656">
              <w:rPr>
                <w:rFonts w:ascii="Arial" w:eastAsia="MS Mincho" w:hAnsi="Arial" w:cs="Arial"/>
                <w:iCs/>
                <w:sz w:val="18"/>
                <w:szCs w:val="18"/>
                <w:lang w:val="en-US" w:eastAsia="zh-CN"/>
              </w:rPr>
              <w:t>alpelisib</w:t>
            </w:r>
            <w:proofErr w:type="spellEnd"/>
            <w:r w:rsidRPr="00502656">
              <w:rPr>
                <w:rFonts w:ascii="Arial" w:eastAsia="MS Mincho" w:hAnsi="Arial" w:cs="Arial"/>
                <w:iCs/>
                <w:sz w:val="18"/>
                <w:szCs w:val="18"/>
                <w:lang w:val="en-US" w:eastAsia="zh-CN"/>
              </w:rPr>
              <w:t xml:space="preserve">-induced hyperglycemia, given the short half-life of </w:t>
            </w:r>
            <w:proofErr w:type="spellStart"/>
            <w:r w:rsidRPr="00502656">
              <w:rPr>
                <w:rFonts w:ascii="Arial" w:eastAsia="MS Mincho" w:hAnsi="Arial" w:cs="Arial"/>
                <w:iCs/>
                <w:sz w:val="18"/>
                <w:szCs w:val="18"/>
                <w:lang w:val="en-US" w:eastAsia="zh-CN"/>
              </w:rPr>
              <w:t>alpelisib</w:t>
            </w:r>
            <w:proofErr w:type="spellEnd"/>
            <w:r w:rsidRPr="00502656">
              <w:rPr>
                <w:rFonts w:ascii="Arial" w:eastAsia="MS Mincho" w:hAnsi="Arial" w:cs="Arial"/>
                <w:iCs/>
                <w:sz w:val="18"/>
                <w:szCs w:val="18"/>
                <w:lang w:val="en-US" w:eastAsia="zh-CN"/>
              </w:rPr>
              <w:t xml:space="preserve"> and the expectation of glucose levels normalizing after interruption of </w:t>
            </w:r>
            <w:proofErr w:type="spellStart"/>
            <w:r w:rsidRPr="00502656">
              <w:rPr>
                <w:rFonts w:ascii="Arial" w:eastAsia="MS Mincho" w:hAnsi="Arial" w:cs="Arial"/>
                <w:iCs/>
                <w:sz w:val="18"/>
                <w:szCs w:val="18"/>
                <w:lang w:val="en-US" w:eastAsia="zh-CN"/>
              </w:rPr>
              <w:t>Piqray</w:t>
            </w:r>
            <w:proofErr w:type="spellEnd"/>
          </w:p>
        </w:tc>
      </w:tr>
    </w:tbl>
    <w:p w14:paraId="22F75EC3" w14:textId="7801BC9B" w:rsidR="00851ABA" w:rsidRPr="00851ABA" w:rsidRDefault="00851ABA" w:rsidP="00F2405A">
      <w:pPr>
        <w:keepNext/>
        <w:keepLines/>
        <w:autoSpaceDE/>
        <w:autoSpaceDN/>
        <w:adjustRightInd/>
        <w:spacing w:before="240" w:after="60" w:line="240" w:lineRule="auto"/>
        <w:ind w:left="1418" w:hanging="992"/>
        <w:jc w:val="left"/>
        <w:outlineLvl w:val="5"/>
      </w:pPr>
      <w:bookmarkStart w:id="10" w:name="_Toc528238086"/>
      <w:bookmarkStart w:id="11" w:name="_Toc533089095"/>
      <w:r w:rsidRPr="00851ABA">
        <w:rPr>
          <w:rFonts w:ascii="Arial" w:eastAsia="MS Gothic" w:hAnsi="Arial" w:cs="Arial"/>
          <w:b/>
          <w:sz w:val="22"/>
          <w:szCs w:val="20"/>
          <w:lang w:val="en-US" w:eastAsia="zh-CN"/>
        </w:rPr>
        <w:t>Table 3</w:t>
      </w:r>
      <w:r w:rsidRPr="00851ABA">
        <w:rPr>
          <w:rFonts w:ascii="Arial" w:eastAsia="MS Gothic" w:hAnsi="Arial" w:cs="Arial"/>
          <w:b/>
          <w:sz w:val="22"/>
          <w:szCs w:val="20"/>
          <w:lang w:val="en-US" w:eastAsia="zh-CN"/>
        </w:rPr>
        <w:tab/>
        <w:t>Dosing Modification and Management for Rash</w:t>
      </w:r>
      <w:r w:rsidR="009726A0" w:rsidRPr="009726A0">
        <w:rPr>
          <w:rFonts w:ascii="Arial" w:eastAsia="MS Gothic" w:hAnsi="Arial" w:cs="Arial"/>
          <w:b/>
          <w:sz w:val="22"/>
          <w:szCs w:val="20"/>
          <w:vertAlign w:val="superscript"/>
          <w:lang w:val="en-US" w:eastAsia="zh-CN"/>
        </w:rPr>
        <w:t>1</w:t>
      </w:r>
      <w:r w:rsidR="00F2405A" w:rsidRPr="00F2405A">
        <w:t xml:space="preserve"> </w:t>
      </w:r>
      <w:bookmarkEnd w:id="10"/>
      <w:r w:rsidRPr="00851ABA">
        <w:rPr>
          <w:rFonts w:ascii="Arial" w:eastAsia="MS Gothic" w:hAnsi="Arial" w:cs="Arial"/>
          <w:b/>
          <w:sz w:val="22"/>
          <w:szCs w:val="20"/>
          <w:lang w:val="en-US" w:eastAsia="zh-CN"/>
        </w:rPr>
        <w:t xml:space="preserve"> </w:t>
      </w:r>
      <w:bookmarkEnd w:id="11"/>
    </w:p>
    <w:tbl>
      <w:tblPr>
        <w:tblW w:w="5000"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0"/>
        <w:gridCol w:w="5839"/>
      </w:tblGrid>
      <w:tr w:rsidR="00091F04" w:rsidRPr="00851ABA" w14:paraId="33B1F6CE" w14:textId="77777777" w:rsidTr="00CE5EF6">
        <w:trPr>
          <w:tblHeader/>
        </w:trPr>
        <w:tc>
          <w:tcPr>
            <w:tcW w:w="2092" w:type="pct"/>
            <w:shd w:val="clear" w:color="auto" w:fill="auto"/>
          </w:tcPr>
          <w:p w14:paraId="06FB16E4" w14:textId="77777777" w:rsidR="00851ABA" w:rsidRPr="00851ABA" w:rsidRDefault="00851ABA" w:rsidP="00091F04">
            <w:pPr>
              <w:keepLines/>
              <w:tabs>
                <w:tab w:val="left" w:pos="284"/>
              </w:tabs>
              <w:autoSpaceDE/>
              <w:autoSpaceDN/>
              <w:adjustRightInd/>
              <w:spacing w:before="120" w:after="0" w:line="240" w:lineRule="auto"/>
              <w:jc w:val="left"/>
              <w:rPr>
                <w:rFonts w:ascii="Arial" w:eastAsia="MS Mincho" w:hAnsi="Arial" w:cs="Arial"/>
                <w:b/>
                <w:sz w:val="20"/>
                <w:szCs w:val="20"/>
                <w:lang w:val="en-US" w:eastAsia="zh-CN"/>
              </w:rPr>
            </w:pPr>
            <w:r w:rsidRPr="00851ABA">
              <w:rPr>
                <w:rFonts w:ascii="Arial" w:eastAsia="MS Mincho" w:hAnsi="Arial" w:cs="Arial"/>
                <w:b/>
                <w:sz w:val="20"/>
                <w:szCs w:val="20"/>
                <w:lang w:val="en-US" w:eastAsia="zh-CN"/>
              </w:rPr>
              <w:t>Grade</w:t>
            </w:r>
          </w:p>
        </w:tc>
        <w:tc>
          <w:tcPr>
            <w:tcW w:w="2908" w:type="pct"/>
          </w:tcPr>
          <w:p w14:paraId="69A9D735" w14:textId="77777777" w:rsidR="00851ABA" w:rsidRPr="00851ABA" w:rsidRDefault="00851ABA" w:rsidP="00091F04">
            <w:pPr>
              <w:keepLines/>
              <w:tabs>
                <w:tab w:val="left" w:pos="284"/>
              </w:tabs>
              <w:autoSpaceDE/>
              <w:autoSpaceDN/>
              <w:adjustRightInd/>
              <w:spacing w:before="120" w:after="0" w:line="240" w:lineRule="auto"/>
              <w:jc w:val="left"/>
              <w:rPr>
                <w:rFonts w:ascii="Arial" w:eastAsia="MS Mincho" w:hAnsi="Arial" w:cs="Arial"/>
                <w:b/>
                <w:sz w:val="20"/>
                <w:szCs w:val="20"/>
                <w:lang w:val="en-US" w:eastAsia="zh-CN"/>
              </w:rPr>
            </w:pPr>
            <w:r w:rsidRPr="00851ABA">
              <w:rPr>
                <w:rFonts w:ascii="Arial" w:eastAsia="MS Mincho" w:hAnsi="Arial" w:cs="Arial"/>
                <w:b/>
                <w:sz w:val="20"/>
                <w:szCs w:val="20"/>
                <w:lang w:val="en-US" w:eastAsia="zh-CN"/>
              </w:rPr>
              <w:t>Recommendation</w:t>
            </w:r>
          </w:p>
        </w:tc>
      </w:tr>
      <w:tr w:rsidR="00091F04" w:rsidRPr="00851ABA" w14:paraId="79AB5748" w14:textId="77777777" w:rsidTr="00CE5EF6">
        <w:tc>
          <w:tcPr>
            <w:tcW w:w="2092" w:type="pct"/>
            <w:shd w:val="clear" w:color="auto" w:fill="auto"/>
          </w:tcPr>
          <w:p w14:paraId="4D55FB8D" w14:textId="77777777" w:rsidR="00851ABA" w:rsidRPr="00851ABA" w:rsidRDefault="00851ABA" w:rsidP="00091F04">
            <w:pPr>
              <w:keepLines/>
              <w:tabs>
                <w:tab w:val="left" w:pos="284"/>
              </w:tabs>
              <w:autoSpaceDE/>
              <w:autoSpaceDN/>
              <w:adjustRightInd/>
              <w:spacing w:before="120" w:after="0" w:line="240" w:lineRule="auto"/>
              <w:jc w:val="left"/>
              <w:rPr>
                <w:rFonts w:ascii="Arial" w:eastAsia="MS Mincho" w:hAnsi="Arial" w:cs="Arial"/>
                <w:sz w:val="20"/>
                <w:szCs w:val="20"/>
                <w:lang w:val="en-US" w:eastAsia="zh-CN"/>
              </w:rPr>
            </w:pPr>
            <w:r w:rsidRPr="00851ABA">
              <w:rPr>
                <w:rFonts w:ascii="Arial" w:eastAsia="MS Mincho" w:hAnsi="Arial" w:cs="Arial"/>
                <w:sz w:val="20"/>
                <w:szCs w:val="20"/>
                <w:lang w:val="en-US" w:eastAsia="zh-CN"/>
              </w:rPr>
              <w:t>All Grades</w:t>
            </w:r>
          </w:p>
        </w:tc>
        <w:tc>
          <w:tcPr>
            <w:tcW w:w="2908" w:type="pct"/>
          </w:tcPr>
          <w:p w14:paraId="76A02B55" w14:textId="77777777" w:rsidR="00851ABA" w:rsidRPr="00851ABA" w:rsidRDefault="00851ABA" w:rsidP="00091F04">
            <w:pPr>
              <w:keepLines/>
              <w:tabs>
                <w:tab w:val="left" w:pos="284"/>
              </w:tabs>
              <w:autoSpaceDE/>
              <w:autoSpaceDN/>
              <w:adjustRightInd/>
              <w:spacing w:before="120" w:after="0" w:line="240" w:lineRule="auto"/>
              <w:jc w:val="left"/>
              <w:rPr>
                <w:rFonts w:ascii="Arial" w:eastAsia="MS Mincho" w:hAnsi="Arial" w:cs="Arial"/>
                <w:sz w:val="20"/>
                <w:szCs w:val="20"/>
                <w:lang w:val="en-US" w:eastAsia="zh-CN"/>
              </w:rPr>
            </w:pPr>
            <w:r w:rsidRPr="00851ABA">
              <w:rPr>
                <w:rFonts w:ascii="Arial" w:eastAsia="MS Mincho" w:hAnsi="Arial" w:cs="Arial"/>
                <w:sz w:val="20"/>
                <w:szCs w:val="20"/>
                <w:lang w:val="en-US" w:eastAsia="zh-CN"/>
              </w:rPr>
              <w:t>Consultation with dermatologist should always be considered</w:t>
            </w:r>
          </w:p>
        </w:tc>
      </w:tr>
      <w:tr w:rsidR="00091F04" w:rsidRPr="00851ABA" w14:paraId="41ACFA78" w14:textId="77777777" w:rsidTr="00CE5EF6">
        <w:tc>
          <w:tcPr>
            <w:tcW w:w="2092" w:type="pct"/>
            <w:shd w:val="clear" w:color="auto" w:fill="auto"/>
          </w:tcPr>
          <w:p w14:paraId="3D406BA7" w14:textId="77777777" w:rsidR="00851ABA" w:rsidRPr="00851ABA" w:rsidRDefault="00851ABA" w:rsidP="00091F04">
            <w:pPr>
              <w:keepLines/>
              <w:tabs>
                <w:tab w:val="left" w:pos="284"/>
              </w:tabs>
              <w:autoSpaceDE/>
              <w:autoSpaceDN/>
              <w:adjustRightInd/>
              <w:spacing w:before="120" w:after="0" w:line="240" w:lineRule="auto"/>
              <w:jc w:val="left"/>
              <w:rPr>
                <w:rFonts w:ascii="Arial" w:eastAsia="MS Mincho" w:hAnsi="Arial" w:cs="Arial"/>
                <w:sz w:val="20"/>
                <w:szCs w:val="20"/>
                <w:lang w:val="en-US" w:eastAsia="zh-CN"/>
              </w:rPr>
            </w:pPr>
            <w:r w:rsidRPr="00851ABA">
              <w:rPr>
                <w:rFonts w:ascii="Arial" w:eastAsia="MS Mincho" w:hAnsi="Arial" w:cs="Arial"/>
                <w:sz w:val="20"/>
                <w:szCs w:val="20"/>
                <w:lang w:val="en-US" w:eastAsia="zh-CN"/>
              </w:rPr>
              <w:t xml:space="preserve">Grade 1 </w:t>
            </w:r>
          </w:p>
          <w:p w14:paraId="6B6EC14E" w14:textId="593135AE" w:rsidR="00851ABA" w:rsidRPr="00851ABA" w:rsidRDefault="00091F04" w:rsidP="00091F04">
            <w:pPr>
              <w:keepLines/>
              <w:tabs>
                <w:tab w:val="left" w:pos="284"/>
              </w:tabs>
              <w:autoSpaceDE/>
              <w:autoSpaceDN/>
              <w:adjustRightInd/>
              <w:spacing w:before="120" w:after="0" w:line="240" w:lineRule="auto"/>
              <w:jc w:val="left"/>
              <w:rPr>
                <w:rFonts w:ascii="Arial" w:eastAsia="MS Mincho" w:hAnsi="Arial" w:cs="Arial"/>
                <w:sz w:val="20"/>
                <w:szCs w:val="20"/>
                <w:lang w:val="en-US" w:eastAsia="zh-CN"/>
              </w:rPr>
            </w:pPr>
            <w:r>
              <w:rPr>
                <w:rFonts w:ascii="Arial" w:eastAsia="MS Mincho" w:hAnsi="Arial" w:cs="Arial"/>
                <w:sz w:val="20"/>
                <w:szCs w:val="20"/>
                <w:lang w:val="en-US" w:eastAsia="zh-CN"/>
              </w:rPr>
              <w:t>(</w:t>
            </w:r>
            <w:r w:rsidR="00851ABA" w:rsidRPr="00851ABA">
              <w:rPr>
                <w:rFonts w:ascii="Arial" w:eastAsia="MS Mincho" w:hAnsi="Arial" w:cs="Arial"/>
                <w:sz w:val="20"/>
                <w:szCs w:val="20"/>
                <w:lang w:val="en-US" w:eastAsia="zh-CN"/>
              </w:rPr>
              <w:t>&lt;10% body surface area (BSA) with active skin toxicity)</w:t>
            </w:r>
          </w:p>
        </w:tc>
        <w:tc>
          <w:tcPr>
            <w:tcW w:w="2908" w:type="pct"/>
          </w:tcPr>
          <w:p w14:paraId="12FAACCC" w14:textId="4B402896" w:rsidR="00851ABA" w:rsidRPr="00851ABA" w:rsidRDefault="00851ABA" w:rsidP="00091F04">
            <w:pPr>
              <w:keepLines/>
              <w:tabs>
                <w:tab w:val="left" w:pos="284"/>
              </w:tabs>
              <w:autoSpaceDE/>
              <w:autoSpaceDN/>
              <w:adjustRightInd/>
              <w:spacing w:before="120" w:after="0" w:line="240" w:lineRule="auto"/>
              <w:jc w:val="left"/>
              <w:rPr>
                <w:rFonts w:ascii="Arial" w:eastAsia="MS Mincho" w:hAnsi="Arial" w:cs="Arial"/>
                <w:sz w:val="20"/>
                <w:szCs w:val="20"/>
                <w:lang w:val="en-US" w:eastAsia="zh-CN"/>
              </w:rPr>
            </w:pPr>
            <w:r w:rsidRPr="00851ABA">
              <w:rPr>
                <w:rFonts w:ascii="Arial" w:eastAsia="MS Mincho" w:hAnsi="Arial" w:cs="Arial"/>
                <w:sz w:val="20"/>
                <w:szCs w:val="20"/>
                <w:lang w:val="en-US" w:eastAsia="zh-CN"/>
              </w:rPr>
              <w:t xml:space="preserve">No </w:t>
            </w:r>
            <w:r w:rsidR="00091F04" w:rsidRPr="00851ABA">
              <w:rPr>
                <w:rFonts w:ascii="Arial" w:eastAsia="MS Mincho" w:hAnsi="Arial" w:cs="Arial"/>
                <w:sz w:val="20"/>
                <w:szCs w:val="20"/>
                <w:lang w:val="en-US" w:eastAsia="zh-CN"/>
              </w:rPr>
              <w:t xml:space="preserve">PIQRAY </w:t>
            </w:r>
            <w:r w:rsidRPr="00851ABA">
              <w:rPr>
                <w:rFonts w:ascii="Arial" w:eastAsia="MS Mincho" w:hAnsi="Arial" w:cs="Arial"/>
                <w:sz w:val="20"/>
                <w:szCs w:val="20"/>
                <w:lang w:val="en-US" w:eastAsia="zh-CN"/>
              </w:rPr>
              <w:t xml:space="preserve">dose adjustment required. </w:t>
            </w:r>
          </w:p>
          <w:p w14:paraId="35C3D179" w14:textId="77777777" w:rsidR="00851ABA" w:rsidRPr="00851ABA" w:rsidRDefault="00851ABA" w:rsidP="00091F04">
            <w:pPr>
              <w:keepLines/>
              <w:tabs>
                <w:tab w:val="left" w:pos="284"/>
              </w:tabs>
              <w:autoSpaceDE/>
              <w:autoSpaceDN/>
              <w:adjustRightInd/>
              <w:spacing w:before="120" w:after="0" w:line="240" w:lineRule="auto"/>
              <w:jc w:val="left"/>
              <w:rPr>
                <w:rFonts w:ascii="Arial" w:eastAsia="MS Mincho" w:hAnsi="Arial" w:cs="Arial"/>
                <w:sz w:val="20"/>
                <w:szCs w:val="20"/>
                <w:lang w:val="en-US" w:eastAsia="zh-CN"/>
              </w:rPr>
            </w:pPr>
            <w:r w:rsidRPr="00851ABA">
              <w:rPr>
                <w:rFonts w:ascii="Arial" w:eastAsia="MS Mincho" w:hAnsi="Arial" w:cs="Arial"/>
                <w:sz w:val="20"/>
                <w:szCs w:val="20"/>
                <w:lang w:val="en-US" w:eastAsia="zh-CN"/>
              </w:rPr>
              <w:t xml:space="preserve">Initiate topical corticosteroid treatment. </w:t>
            </w:r>
          </w:p>
          <w:p w14:paraId="3447CDBF" w14:textId="77777777" w:rsidR="00851ABA" w:rsidRPr="00851ABA" w:rsidRDefault="00851ABA" w:rsidP="00091F04">
            <w:pPr>
              <w:keepLines/>
              <w:tabs>
                <w:tab w:val="left" w:pos="284"/>
              </w:tabs>
              <w:autoSpaceDE/>
              <w:autoSpaceDN/>
              <w:adjustRightInd/>
              <w:spacing w:before="120" w:after="0" w:line="240" w:lineRule="auto"/>
              <w:jc w:val="left"/>
              <w:rPr>
                <w:rFonts w:ascii="Arial" w:eastAsia="MS Mincho" w:hAnsi="Arial" w:cs="Arial"/>
                <w:sz w:val="20"/>
                <w:szCs w:val="20"/>
                <w:lang w:val="en-US" w:eastAsia="zh-CN"/>
              </w:rPr>
            </w:pPr>
            <w:r w:rsidRPr="00851ABA">
              <w:rPr>
                <w:rFonts w:ascii="Arial" w:eastAsia="MS Mincho" w:hAnsi="Arial" w:cs="Arial"/>
                <w:sz w:val="20"/>
                <w:szCs w:val="20"/>
                <w:lang w:val="en-US" w:eastAsia="zh-CN"/>
              </w:rPr>
              <w:t xml:space="preserve">Consider adding oral antihistamine treatment to manage symptoms. </w:t>
            </w:r>
          </w:p>
        </w:tc>
      </w:tr>
      <w:tr w:rsidR="00091F04" w:rsidRPr="00851ABA" w14:paraId="0D9260E8" w14:textId="77777777" w:rsidTr="00CE5EF6">
        <w:tc>
          <w:tcPr>
            <w:tcW w:w="2092" w:type="pct"/>
            <w:shd w:val="clear" w:color="auto" w:fill="auto"/>
          </w:tcPr>
          <w:p w14:paraId="24119E85" w14:textId="77777777" w:rsidR="00851ABA" w:rsidRPr="00851ABA" w:rsidRDefault="00851ABA" w:rsidP="00091F04">
            <w:pPr>
              <w:keepLines/>
              <w:tabs>
                <w:tab w:val="left" w:pos="284"/>
              </w:tabs>
              <w:autoSpaceDE/>
              <w:autoSpaceDN/>
              <w:adjustRightInd/>
              <w:spacing w:before="120" w:after="0" w:line="240" w:lineRule="auto"/>
              <w:jc w:val="left"/>
              <w:rPr>
                <w:rFonts w:ascii="Arial" w:eastAsia="MS Mincho" w:hAnsi="Arial" w:cs="Arial"/>
                <w:sz w:val="20"/>
                <w:szCs w:val="20"/>
                <w:lang w:val="en-US" w:eastAsia="zh-CN"/>
              </w:rPr>
            </w:pPr>
            <w:r w:rsidRPr="00851ABA">
              <w:rPr>
                <w:rFonts w:ascii="Arial" w:eastAsia="MS Mincho" w:hAnsi="Arial" w:cs="Arial"/>
                <w:sz w:val="20"/>
                <w:szCs w:val="20"/>
                <w:lang w:val="en-US" w:eastAsia="zh-CN"/>
              </w:rPr>
              <w:t>Grade 2</w:t>
            </w:r>
          </w:p>
          <w:p w14:paraId="52FB0E63" w14:textId="77777777" w:rsidR="00851ABA" w:rsidRPr="00851ABA" w:rsidRDefault="00851ABA" w:rsidP="00091F04">
            <w:pPr>
              <w:keepLines/>
              <w:tabs>
                <w:tab w:val="left" w:pos="284"/>
              </w:tabs>
              <w:autoSpaceDE/>
              <w:autoSpaceDN/>
              <w:adjustRightInd/>
              <w:spacing w:before="120" w:after="0" w:line="240" w:lineRule="auto"/>
              <w:jc w:val="left"/>
              <w:rPr>
                <w:rFonts w:ascii="Arial" w:eastAsia="MS Mincho" w:hAnsi="Arial" w:cs="Arial"/>
                <w:sz w:val="20"/>
                <w:szCs w:val="20"/>
                <w:lang w:val="en-US" w:eastAsia="zh-CN"/>
              </w:rPr>
            </w:pPr>
            <w:r w:rsidRPr="00851ABA">
              <w:rPr>
                <w:rFonts w:ascii="Arial" w:eastAsia="MS Mincho" w:hAnsi="Arial" w:cs="Arial"/>
                <w:sz w:val="20"/>
                <w:szCs w:val="20"/>
                <w:lang w:val="en-US" w:eastAsia="zh-CN"/>
              </w:rPr>
              <w:t>(10-30% BSA with active skin toxicity)</w:t>
            </w:r>
          </w:p>
        </w:tc>
        <w:tc>
          <w:tcPr>
            <w:tcW w:w="2908" w:type="pct"/>
          </w:tcPr>
          <w:p w14:paraId="0463BD0B" w14:textId="4AD382C0" w:rsidR="00851ABA" w:rsidRPr="00851ABA" w:rsidRDefault="00851ABA" w:rsidP="00091F04">
            <w:pPr>
              <w:keepLines/>
              <w:tabs>
                <w:tab w:val="left" w:pos="284"/>
              </w:tabs>
              <w:autoSpaceDE/>
              <w:autoSpaceDN/>
              <w:adjustRightInd/>
              <w:spacing w:before="120" w:after="0" w:line="240" w:lineRule="auto"/>
              <w:jc w:val="left"/>
              <w:rPr>
                <w:rFonts w:ascii="Arial" w:eastAsia="MS Mincho" w:hAnsi="Arial" w:cs="Arial"/>
                <w:sz w:val="20"/>
                <w:szCs w:val="20"/>
                <w:lang w:val="en-US" w:eastAsia="zh-CN"/>
              </w:rPr>
            </w:pPr>
            <w:r w:rsidRPr="00851ABA">
              <w:rPr>
                <w:rFonts w:ascii="Arial" w:eastAsia="MS Mincho" w:hAnsi="Arial" w:cs="Arial"/>
                <w:sz w:val="20"/>
                <w:szCs w:val="20"/>
                <w:lang w:val="en-US" w:eastAsia="zh-CN"/>
              </w:rPr>
              <w:t xml:space="preserve">No </w:t>
            </w:r>
            <w:r w:rsidR="00091F04" w:rsidRPr="00851ABA">
              <w:rPr>
                <w:rFonts w:ascii="Arial" w:eastAsia="MS Mincho" w:hAnsi="Arial" w:cs="Arial"/>
                <w:sz w:val="20"/>
                <w:szCs w:val="20"/>
                <w:lang w:val="en-US" w:eastAsia="zh-CN"/>
              </w:rPr>
              <w:t xml:space="preserve">PIQRAY </w:t>
            </w:r>
            <w:r w:rsidRPr="00851ABA">
              <w:rPr>
                <w:rFonts w:ascii="Arial" w:eastAsia="MS Mincho" w:hAnsi="Arial" w:cs="Arial"/>
                <w:sz w:val="20"/>
                <w:szCs w:val="20"/>
                <w:lang w:val="en-US" w:eastAsia="zh-CN"/>
              </w:rPr>
              <w:t xml:space="preserve">dose adjustment required. </w:t>
            </w:r>
          </w:p>
          <w:p w14:paraId="0157F0A5" w14:textId="77777777" w:rsidR="00851ABA" w:rsidRPr="00851ABA" w:rsidRDefault="00851ABA" w:rsidP="00091F04">
            <w:pPr>
              <w:keepLines/>
              <w:tabs>
                <w:tab w:val="left" w:pos="284"/>
              </w:tabs>
              <w:autoSpaceDE/>
              <w:autoSpaceDN/>
              <w:adjustRightInd/>
              <w:spacing w:before="120" w:after="0" w:line="240" w:lineRule="auto"/>
              <w:jc w:val="left"/>
              <w:rPr>
                <w:rFonts w:ascii="Arial" w:eastAsia="MS Mincho" w:hAnsi="Arial" w:cs="Arial"/>
                <w:sz w:val="20"/>
                <w:szCs w:val="20"/>
                <w:lang w:val="en-US" w:eastAsia="zh-CN"/>
              </w:rPr>
            </w:pPr>
            <w:r w:rsidRPr="00851ABA">
              <w:rPr>
                <w:rFonts w:ascii="Arial" w:eastAsia="MS Mincho" w:hAnsi="Arial" w:cs="Arial"/>
                <w:sz w:val="20"/>
                <w:szCs w:val="20"/>
                <w:lang w:val="en-US" w:eastAsia="zh-CN"/>
              </w:rPr>
              <w:t xml:space="preserve">Initiate or intensify topical corticosteroid and oral antihistamine treatment. </w:t>
            </w:r>
          </w:p>
          <w:p w14:paraId="25B78C69" w14:textId="77777777" w:rsidR="00851ABA" w:rsidRPr="00851ABA" w:rsidRDefault="00851ABA" w:rsidP="00091F04">
            <w:pPr>
              <w:keepLines/>
              <w:tabs>
                <w:tab w:val="left" w:pos="284"/>
              </w:tabs>
              <w:autoSpaceDE/>
              <w:autoSpaceDN/>
              <w:adjustRightInd/>
              <w:spacing w:before="120" w:after="0" w:line="240" w:lineRule="auto"/>
              <w:jc w:val="left"/>
              <w:rPr>
                <w:rFonts w:ascii="Arial" w:eastAsia="MS Mincho" w:hAnsi="Arial" w:cs="Arial"/>
                <w:sz w:val="20"/>
                <w:szCs w:val="20"/>
                <w:lang w:val="en-US" w:eastAsia="zh-CN"/>
              </w:rPr>
            </w:pPr>
            <w:r w:rsidRPr="00851ABA">
              <w:rPr>
                <w:rFonts w:ascii="Arial" w:eastAsia="MS Mincho" w:hAnsi="Arial" w:cs="Arial"/>
                <w:sz w:val="20"/>
                <w:szCs w:val="20"/>
                <w:lang w:val="en-US" w:eastAsia="zh-CN"/>
              </w:rPr>
              <w:t>Consider low dose oral corticosteroid treatment.</w:t>
            </w:r>
          </w:p>
        </w:tc>
      </w:tr>
      <w:tr w:rsidR="00091F04" w:rsidRPr="00851ABA" w14:paraId="1027ECC1" w14:textId="77777777" w:rsidTr="00CE5EF6">
        <w:tc>
          <w:tcPr>
            <w:tcW w:w="2092" w:type="pct"/>
            <w:shd w:val="clear" w:color="auto" w:fill="auto"/>
          </w:tcPr>
          <w:p w14:paraId="439C4B35" w14:textId="22C1ACB1" w:rsidR="00851ABA" w:rsidRPr="00851ABA" w:rsidRDefault="00851ABA" w:rsidP="00091F04">
            <w:pPr>
              <w:keepLines/>
              <w:tabs>
                <w:tab w:val="left" w:pos="284"/>
              </w:tabs>
              <w:autoSpaceDE/>
              <w:autoSpaceDN/>
              <w:adjustRightInd/>
              <w:spacing w:before="120" w:after="0" w:line="240" w:lineRule="auto"/>
              <w:jc w:val="left"/>
              <w:rPr>
                <w:rFonts w:ascii="Arial" w:eastAsia="MS Mincho" w:hAnsi="Arial" w:cs="Arial"/>
                <w:sz w:val="20"/>
                <w:szCs w:val="20"/>
                <w:lang w:val="en-US" w:eastAsia="zh-CN"/>
              </w:rPr>
            </w:pPr>
            <w:r w:rsidRPr="00851ABA">
              <w:rPr>
                <w:rFonts w:ascii="Arial" w:eastAsia="MS Mincho" w:hAnsi="Arial" w:cs="Arial"/>
                <w:sz w:val="20"/>
                <w:szCs w:val="20"/>
                <w:lang w:val="en-US" w:eastAsia="zh-CN"/>
              </w:rPr>
              <w:t>Grade 3 (</w:t>
            </w:r>
            <w:r w:rsidR="001309BE" w:rsidRPr="00851ABA">
              <w:rPr>
                <w:rFonts w:ascii="Arial" w:eastAsia="MS Mincho" w:hAnsi="Arial" w:cs="Arial"/>
                <w:sz w:val="20"/>
                <w:szCs w:val="20"/>
                <w:lang w:val="en-US" w:eastAsia="zh-CN"/>
              </w:rPr>
              <w:t>e.g.</w:t>
            </w:r>
            <w:r w:rsidRPr="00851ABA">
              <w:rPr>
                <w:rFonts w:ascii="Arial" w:eastAsia="MS Mincho" w:hAnsi="Arial" w:cs="Arial"/>
                <w:sz w:val="20"/>
                <w:szCs w:val="20"/>
                <w:lang w:val="en-US" w:eastAsia="zh-CN"/>
              </w:rPr>
              <w:t>: severe rash not responsive to medical management).</w:t>
            </w:r>
          </w:p>
          <w:p w14:paraId="5DFE04CF" w14:textId="77777777" w:rsidR="00851ABA" w:rsidRPr="00851ABA" w:rsidRDefault="00851ABA" w:rsidP="00091F04">
            <w:pPr>
              <w:keepLines/>
              <w:tabs>
                <w:tab w:val="left" w:pos="284"/>
              </w:tabs>
              <w:autoSpaceDE/>
              <w:autoSpaceDN/>
              <w:adjustRightInd/>
              <w:spacing w:before="120" w:after="0" w:line="240" w:lineRule="auto"/>
              <w:jc w:val="left"/>
              <w:rPr>
                <w:rFonts w:ascii="Arial" w:eastAsia="MS Mincho" w:hAnsi="Arial" w:cs="Arial"/>
                <w:sz w:val="20"/>
                <w:szCs w:val="20"/>
                <w:lang w:val="en-US" w:eastAsia="zh-CN"/>
              </w:rPr>
            </w:pPr>
            <w:r w:rsidRPr="00851ABA">
              <w:rPr>
                <w:rFonts w:ascii="Arial" w:eastAsia="MS Mincho" w:hAnsi="Arial" w:cs="Arial"/>
                <w:sz w:val="20"/>
                <w:szCs w:val="20"/>
                <w:lang w:val="en-US" w:eastAsia="zh-CN"/>
              </w:rPr>
              <w:t>(&gt;30% BSA with active skin toxicity)</w:t>
            </w:r>
          </w:p>
        </w:tc>
        <w:tc>
          <w:tcPr>
            <w:tcW w:w="2908" w:type="pct"/>
          </w:tcPr>
          <w:p w14:paraId="750B658B" w14:textId="3A53F39B" w:rsidR="00851ABA" w:rsidRPr="00851ABA" w:rsidRDefault="00851ABA" w:rsidP="00091F04">
            <w:pPr>
              <w:keepLines/>
              <w:tabs>
                <w:tab w:val="left" w:pos="284"/>
              </w:tabs>
              <w:autoSpaceDE/>
              <w:autoSpaceDN/>
              <w:adjustRightInd/>
              <w:spacing w:before="120" w:after="0" w:line="240" w:lineRule="auto"/>
              <w:jc w:val="left"/>
              <w:rPr>
                <w:rFonts w:ascii="Arial" w:eastAsia="MS Mincho" w:hAnsi="Arial" w:cs="Arial"/>
                <w:sz w:val="20"/>
                <w:szCs w:val="20"/>
                <w:lang w:val="en-US" w:eastAsia="zh-CN"/>
              </w:rPr>
            </w:pPr>
            <w:r w:rsidRPr="00851ABA">
              <w:rPr>
                <w:rFonts w:ascii="Arial" w:eastAsia="MS Mincho" w:hAnsi="Arial" w:cs="Arial"/>
                <w:sz w:val="20"/>
                <w:szCs w:val="20"/>
                <w:lang w:val="en-US" w:eastAsia="zh-CN"/>
              </w:rPr>
              <w:t xml:space="preserve">Interrupt </w:t>
            </w:r>
            <w:r w:rsidR="00091F04" w:rsidRPr="00851ABA">
              <w:rPr>
                <w:rFonts w:ascii="Arial" w:eastAsia="MS Mincho" w:hAnsi="Arial" w:cs="Arial"/>
                <w:sz w:val="20"/>
                <w:szCs w:val="20"/>
                <w:lang w:val="en-US" w:eastAsia="zh-CN"/>
              </w:rPr>
              <w:t xml:space="preserve">PIQRAY </w:t>
            </w:r>
            <w:r w:rsidRPr="00851ABA" w:rsidDel="00E03578">
              <w:rPr>
                <w:rFonts w:ascii="Arial" w:eastAsia="MS Mincho" w:hAnsi="Arial" w:cs="Arial"/>
                <w:sz w:val="20"/>
                <w:szCs w:val="20"/>
                <w:lang w:val="en-US" w:eastAsia="zh-CN"/>
              </w:rPr>
              <w:t xml:space="preserve">until rash is ≤ </w:t>
            </w:r>
            <w:r w:rsidRPr="00851ABA">
              <w:rPr>
                <w:rFonts w:ascii="Arial" w:eastAsia="MS Mincho" w:hAnsi="Arial" w:cs="Arial"/>
                <w:sz w:val="20"/>
                <w:szCs w:val="20"/>
                <w:lang w:val="en-US" w:eastAsia="zh-CN"/>
              </w:rPr>
              <w:t>Grade</w:t>
            </w:r>
            <w:r w:rsidRPr="00851ABA" w:rsidDel="00E03578">
              <w:rPr>
                <w:rFonts w:ascii="Arial" w:eastAsia="MS Mincho" w:hAnsi="Arial" w:cs="Arial"/>
                <w:sz w:val="20"/>
                <w:szCs w:val="20"/>
                <w:lang w:val="en-US" w:eastAsia="zh-CN"/>
              </w:rPr>
              <w:t xml:space="preserve"> 1</w:t>
            </w:r>
            <w:r w:rsidRPr="00851ABA">
              <w:rPr>
                <w:rFonts w:ascii="Arial" w:eastAsia="MS Mincho" w:hAnsi="Arial" w:cs="Arial"/>
                <w:sz w:val="20"/>
                <w:szCs w:val="20"/>
                <w:lang w:val="en-US" w:eastAsia="zh-CN"/>
              </w:rPr>
              <w:t xml:space="preserve">. </w:t>
            </w:r>
          </w:p>
          <w:p w14:paraId="5143785C" w14:textId="77777777" w:rsidR="00851ABA" w:rsidRPr="00851ABA" w:rsidRDefault="00851ABA" w:rsidP="00091F04">
            <w:pPr>
              <w:keepLines/>
              <w:tabs>
                <w:tab w:val="left" w:pos="284"/>
              </w:tabs>
              <w:autoSpaceDE/>
              <w:autoSpaceDN/>
              <w:adjustRightInd/>
              <w:spacing w:before="120" w:after="0" w:line="240" w:lineRule="auto"/>
              <w:jc w:val="left"/>
              <w:rPr>
                <w:rFonts w:ascii="Arial" w:eastAsia="MS Mincho" w:hAnsi="Arial" w:cs="Arial"/>
                <w:sz w:val="20"/>
                <w:szCs w:val="20"/>
                <w:lang w:val="en-US" w:eastAsia="zh-CN"/>
              </w:rPr>
            </w:pPr>
            <w:r w:rsidRPr="00851ABA">
              <w:rPr>
                <w:rFonts w:ascii="Arial" w:eastAsia="MS Mincho" w:hAnsi="Arial" w:cs="Arial"/>
                <w:sz w:val="20"/>
                <w:szCs w:val="20"/>
                <w:lang w:val="en-US" w:eastAsia="zh-CN"/>
              </w:rPr>
              <w:t>Initiate or intensify topical/oral corticosteroid and anti-histamine treatment.</w:t>
            </w:r>
          </w:p>
          <w:p w14:paraId="246D4CCC" w14:textId="7C451DF7" w:rsidR="00851ABA" w:rsidRPr="00851ABA" w:rsidRDefault="00851ABA" w:rsidP="00091F04">
            <w:pPr>
              <w:keepLines/>
              <w:tabs>
                <w:tab w:val="left" w:pos="284"/>
              </w:tabs>
              <w:autoSpaceDE/>
              <w:autoSpaceDN/>
              <w:adjustRightInd/>
              <w:spacing w:before="120" w:after="0" w:line="240" w:lineRule="auto"/>
              <w:jc w:val="left"/>
              <w:rPr>
                <w:rFonts w:ascii="Arial" w:eastAsia="MS Mincho" w:hAnsi="Arial" w:cs="Arial"/>
                <w:sz w:val="20"/>
                <w:szCs w:val="20"/>
                <w:lang w:val="en-US" w:eastAsia="zh-CN"/>
              </w:rPr>
            </w:pPr>
            <w:r w:rsidRPr="00851ABA">
              <w:rPr>
                <w:rFonts w:ascii="Arial" w:eastAsia="MS Mincho" w:hAnsi="Arial" w:cs="Arial"/>
                <w:sz w:val="20"/>
                <w:szCs w:val="20"/>
                <w:lang w:val="en-US" w:eastAsia="zh-CN"/>
              </w:rPr>
              <w:lastRenderedPageBreak/>
              <w:t xml:space="preserve">Once improved to </w:t>
            </w:r>
            <w:r w:rsidRPr="00851ABA" w:rsidDel="00E03578">
              <w:rPr>
                <w:rFonts w:ascii="Arial" w:eastAsia="MS Mincho" w:hAnsi="Arial" w:cs="Arial"/>
                <w:sz w:val="20"/>
                <w:szCs w:val="20"/>
                <w:lang w:val="en-US" w:eastAsia="zh-CN"/>
              </w:rPr>
              <w:t xml:space="preserve">≤ </w:t>
            </w:r>
            <w:r w:rsidRPr="00851ABA">
              <w:rPr>
                <w:rFonts w:ascii="Arial" w:eastAsia="MS Mincho" w:hAnsi="Arial" w:cs="Arial"/>
                <w:sz w:val="20"/>
                <w:szCs w:val="20"/>
                <w:lang w:val="en-US" w:eastAsia="zh-CN"/>
              </w:rPr>
              <w:t>Grade</w:t>
            </w:r>
            <w:r w:rsidRPr="00851ABA" w:rsidDel="00E03578">
              <w:rPr>
                <w:rFonts w:ascii="Arial" w:eastAsia="MS Mincho" w:hAnsi="Arial" w:cs="Arial"/>
                <w:sz w:val="20"/>
                <w:szCs w:val="20"/>
                <w:lang w:val="en-US" w:eastAsia="zh-CN"/>
              </w:rPr>
              <w:t xml:space="preserve"> 1</w:t>
            </w:r>
            <w:r w:rsidRPr="00851ABA">
              <w:rPr>
                <w:rFonts w:ascii="Arial" w:eastAsia="MS Mincho" w:hAnsi="Arial" w:cs="Arial"/>
                <w:sz w:val="20"/>
                <w:szCs w:val="20"/>
                <w:lang w:val="en-US" w:eastAsia="zh-CN"/>
              </w:rPr>
              <w:t xml:space="preserve">, then resume </w:t>
            </w:r>
            <w:r w:rsidR="00091F04" w:rsidRPr="00851ABA">
              <w:rPr>
                <w:rFonts w:ascii="Arial" w:eastAsia="MS Mincho" w:hAnsi="Arial" w:cs="Arial"/>
                <w:sz w:val="20"/>
                <w:szCs w:val="20"/>
                <w:lang w:val="en-US" w:eastAsia="zh-CN"/>
              </w:rPr>
              <w:t xml:space="preserve">PIQRAY </w:t>
            </w:r>
            <w:r w:rsidRPr="00851ABA">
              <w:rPr>
                <w:rFonts w:ascii="Arial" w:eastAsia="MS Mincho" w:hAnsi="Arial" w:cs="Arial"/>
                <w:sz w:val="20"/>
                <w:szCs w:val="20"/>
                <w:lang w:val="en-US" w:eastAsia="zh-CN"/>
              </w:rPr>
              <w:t>at the same dose level for first occurrence of rash and at next lower dose level, in case of second occurrence.</w:t>
            </w:r>
          </w:p>
        </w:tc>
      </w:tr>
      <w:tr w:rsidR="00091F04" w:rsidRPr="00851ABA" w14:paraId="46042E24" w14:textId="77777777" w:rsidTr="00CE5EF6">
        <w:tc>
          <w:tcPr>
            <w:tcW w:w="2092" w:type="pct"/>
            <w:tcBorders>
              <w:bottom w:val="single" w:sz="4" w:space="0" w:color="auto"/>
            </w:tcBorders>
            <w:shd w:val="clear" w:color="auto" w:fill="auto"/>
          </w:tcPr>
          <w:p w14:paraId="77726DE3" w14:textId="4D9814D8" w:rsidR="00091F04" w:rsidRDefault="00851ABA" w:rsidP="00091F04">
            <w:pPr>
              <w:keepLines/>
              <w:tabs>
                <w:tab w:val="left" w:pos="284"/>
              </w:tabs>
              <w:autoSpaceDE/>
              <w:autoSpaceDN/>
              <w:adjustRightInd/>
              <w:spacing w:before="120" w:after="0" w:line="240" w:lineRule="auto"/>
              <w:jc w:val="left"/>
              <w:rPr>
                <w:rFonts w:ascii="Arial" w:eastAsia="MS Mincho" w:hAnsi="Arial" w:cs="Arial"/>
                <w:sz w:val="20"/>
                <w:szCs w:val="20"/>
                <w:lang w:val="en-US" w:eastAsia="zh-CN"/>
              </w:rPr>
            </w:pPr>
            <w:r w:rsidRPr="00851ABA">
              <w:rPr>
                <w:rFonts w:ascii="Arial" w:eastAsia="MS Mincho" w:hAnsi="Arial" w:cs="Arial"/>
                <w:sz w:val="20"/>
                <w:szCs w:val="20"/>
                <w:lang w:val="en-US" w:eastAsia="zh-CN"/>
              </w:rPr>
              <w:lastRenderedPageBreak/>
              <w:t>Grade 4 (</w:t>
            </w:r>
            <w:r w:rsidR="001309BE" w:rsidRPr="00851ABA">
              <w:rPr>
                <w:rFonts w:ascii="Arial" w:eastAsia="MS Mincho" w:hAnsi="Arial" w:cs="Arial"/>
                <w:sz w:val="20"/>
                <w:szCs w:val="20"/>
                <w:lang w:val="en-US" w:eastAsia="zh-CN"/>
              </w:rPr>
              <w:t>e.g.</w:t>
            </w:r>
            <w:r w:rsidRPr="00851ABA">
              <w:rPr>
                <w:rFonts w:ascii="Arial" w:eastAsia="MS Mincho" w:hAnsi="Arial" w:cs="Arial"/>
                <w:sz w:val="20"/>
                <w:szCs w:val="20"/>
                <w:lang w:val="en-US" w:eastAsia="zh-CN"/>
              </w:rPr>
              <w:t>: severe bullous, blistering or exfoliating skin conditions).</w:t>
            </w:r>
          </w:p>
          <w:p w14:paraId="62960B5B" w14:textId="64CF1556" w:rsidR="00851ABA" w:rsidRPr="00851ABA" w:rsidRDefault="00851ABA" w:rsidP="00091F04">
            <w:pPr>
              <w:keepLines/>
              <w:tabs>
                <w:tab w:val="left" w:pos="284"/>
              </w:tabs>
              <w:autoSpaceDE/>
              <w:autoSpaceDN/>
              <w:adjustRightInd/>
              <w:spacing w:before="120" w:after="0" w:line="240" w:lineRule="auto"/>
              <w:jc w:val="left"/>
              <w:rPr>
                <w:rFonts w:ascii="Arial" w:eastAsia="MS Mincho" w:hAnsi="Arial" w:cs="Arial"/>
                <w:sz w:val="20"/>
                <w:szCs w:val="20"/>
                <w:lang w:val="en-US" w:eastAsia="zh-CN"/>
              </w:rPr>
            </w:pPr>
            <w:r w:rsidRPr="00851ABA">
              <w:rPr>
                <w:rFonts w:ascii="Arial" w:eastAsia="MS Mincho" w:hAnsi="Arial" w:cs="Arial"/>
                <w:sz w:val="20"/>
                <w:szCs w:val="20"/>
                <w:lang w:val="en-US" w:eastAsia="zh-CN"/>
              </w:rPr>
              <w:t>(any % BSA associated with extensive superinfection, with IV antibiotics indicated; life-threatening consequences)</w:t>
            </w:r>
          </w:p>
        </w:tc>
        <w:tc>
          <w:tcPr>
            <w:tcW w:w="2908" w:type="pct"/>
            <w:tcBorders>
              <w:bottom w:val="single" w:sz="4" w:space="0" w:color="auto"/>
            </w:tcBorders>
          </w:tcPr>
          <w:p w14:paraId="313E81BE" w14:textId="0634141E" w:rsidR="00091F04" w:rsidRPr="00851ABA" w:rsidRDefault="00851ABA" w:rsidP="00F2405A">
            <w:pPr>
              <w:keepLines/>
              <w:tabs>
                <w:tab w:val="left" w:pos="284"/>
              </w:tabs>
              <w:autoSpaceDE/>
              <w:autoSpaceDN/>
              <w:adjustRightInd/>
              <w:spacing w:before="120" w:after="0" w:line="240" w:lineRule="auto"/>
              <w:jc w:val="left"/>
              <w:rPr>
                <w:rFonts w:ascii="Arial" w:eastAsia="MS Mincho" w:hAnsi="Arial" w:cs="Arial"/>
                <w:sz w:val="20"/>
                <w:szCs w:val="20"/>
                <w:lang w:val="en-US" w:eastAsia="zh-CN"/>
              </w:rPr>
            </w:pPr>
            <w:r w:rsidRPr="00851ABA">
              <w:rPr>
                <w:rFonts w:ascii="Arial" w:eastAsia="MS Mincho" w:hAnsi="Arial" w:cs="Arial"/>
                <w:sz w:val="20"/>
                <w:szCs w:val="20"/>
                <w:lang w:val="en-US" w:eastAsia="zh-CN"/>
              </w:rPr>
              <w:t xml:space="preserve">Permanently discontinue </w:t>
            </w:r>
            <w:r w:rsidR="00091F04" w:rsidRPr="00851ABA">
              <w:rPr>
                <w:rFonts w:ascii="Arial" w:eastAsia="MS Mincho" w:hAnsi="Arial" w:cs="Arial"/>
                <w:sz w:val="20"/>
                <w:szCs w:val="20"/>
                <w:lang w:val="en-US" w:eastAsia="zh-CN"/>
              </w:rPr>
              <w:t>PIQRAY</w:t>
            </w:r>
            <w:r w:rsidRPr="00851ABA">
              <w:rPr>
                <w:rFonts w:ascii="Arial" w:eastAsia="MS Mincho" w:hAnsi="Arial" w:cs="Arial"/>
                <w:sz w:val="20"/>
                <w:szCs w:val="20"/>
                <w:lang w:val="en-US" w:eastAsia="zh-CN"/>
              </w:rPr>
              <w:t>.</w:t>
            </w:r>
          </w:p>
        </w:tc>
      </w:tr>
      <w:tr w:rsidR="009726A0" w:rsidRPr="00502656" w14:paraId="28C80EC4" w14:textId="77777777" w:rsidTr="00CE5EF6">
        <w:tc>
          <w:tcPr>
            <w:tcW w:w="5000" w:type="pct"/>
            <w:gridSpan w:val="2"/>
            <w:tcBorders>
              <w:left w:val="nil"/>
              <w:right w:val="nil"/>
            </w:tcBorders>
            <w:shd w:val="clear" w:color="auto" w:fill="auto"/>
          </w:tcPr>
          <w:p w14:paraId="05556436" w14:textId="77777777" w:rsidR="009726A0" w:rsidRDefault="009726A0" w:rsidP="00F2405A">
            <w:pPr>
              <w:keepLines/>
              <w:tabs>
                <w:tab w:val="left" w:pos="284"/>
              </w:tabs>
              <w:autoSpaceDE/>
              <w:autoSpaceDN/>
              <w:adjustRightInd/>
              <w:spacing w:before="120" w:after="0" w:line="240" w:lineRule="auto"/>
              <w:jc w:val="left"/>
              <w:rPr>
                <w:rFonts w:ascii="Arial" w:eastAsia="MS Mincho" w:hAnsi="Arial" w:cs="Arial"/>
                <w:i/>
                <w:sz w:val="18"/>
                <w:szCs w:val="18"/>
                <w:lang w:val="en-US" w:eastAsia="zh-CN"/>
              </w:rPr>
            </w:pPr>
            <w:r w:rsidRPr="00502656">
              <w:rPr>
                <w:rFonts w:ascii="Arial" w:eastAsia="MS Mincho" w:hAnsi="Arial" w:cs="Arial"/>
                <w:sz w:val="18"/>
                <w:szCs w:val="18"/>
                <w:vertAlign w:val="superscript"/>
                <w:lang w:val="en-US" w:eastAsia="zh-CN"/>
              </w:rPr>
              <w:t>1</w:t>
            </w:r>
            <w:r w:rsidRPr="00502656">
              <w:rPr>
                <w:rFonts w:ascii="Arial" w:eastAsia="MS Mincho" w:hAnsi="Arial" w:cs="Arial"/>
                <w:i/>
                <w:sz w:val="18"/>
                <w:szCs w:val="18"/>
                <w:lang w:val="en-US" w:eastAsia="zh-CN"/>
              </w:rPr>
              <w:t>Grading according to CTCAE Version 5.0</w:t>
            </w:r>
          </w:p>
          <w:p w14:paraId="697BC813" w14:textId="3E4B6F87" w:rsidR="00493275" w:rsidRDefault="00493275" w:rsidP="00493275">
            <w:pPr>
              <w:spacing w:before="216"/>
              <w:rPr>
                <w:b/>
              </w:rPr>
            </w:pPr>
            <w:r>
              <w:rPr>
                <w:rFonts w:ascii="Arial" w:eastAsia="MS Gothic" w:hAnsi="Arial" w:cs="Arial"/>
                <w:b/>
                <w:sz w:val="22"/>
                <w:szCs w:val="20"/>
                <w:lang w:val="en-US" w:eastAsia="zh-CN"/>
              </w:rPr>
              <w:t xml:space="preserve">Table 4 </w:t>
            </w:r>
            <w:r w:rsidRPr="00851ABA">
              <w:rPr>
                <w:rFonts w:ascii="Arial" w:eastAsia="MS Gothic" w:hAnsi="Arial" w:cs="Arial"/>
                <w:b/>
                <w:sz w:val="22"/>
                <w:szCs w:val="20"/>
                <w:lang w:val="en-US" w:eastAsia="zh-CN"/>
              </w:rPr>
              <w:t xml:space="preserve">Dosing Modification and Management for </w:t>
            </w:r>
            <w:proofErr w:type="spellStart"/>
            <w:r>
              <w:rPr>
                <w:rFonts w:ascii="Arial" w:eastAsia="MS Gothic" w:hAnsi="Arial" w:cs="Arial"/>
                <w:b/>
                <w:sz w:val="22"/>
                <w:szCs w:val="20"/>
                <w:lang w:val="en-US" w:eastAsia="zh-CN"/>
              </w:rPr>
              <w:t>Diarrhoea</w:t>
            </w:r>
            <w:proofErr w:type="spellEnd"/>
            <w:r w:rsidRPr="00851ABA">
              <w:rPr>
                <w:rFonts w:ascii="Arial" w:eastAsia="MS Gothic" w:hAnsi="Arial" w:cs="Arial"/>
                <w:b/>
                <w:sz w:val="22"/>
                <w:szCs w:val="20"/>
                <w:lang w:val="en-US" w:eastAsia="zh-CN"/>
              </w:rPr>
              <w:t xml:space="preserve"> </w:t>
            </w:r>
          </w:p>
          <w:tbl>
            <w:tblPr>
              <w:tblW w:w="9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54"/>
              <w:gridCol w:w="8358"/>
            </w:tblGrid>
            <w:tr w:rsidR="00493275" w14:paraId="7904EBF6" w14:textId="77777777" w:rsidTr="00493275">
              <w:trPr>
                <w:trHeight w:hRule="exact" w:val="360"/>
              </w:trPr>
              <w:tc>
                <w:tcPr>
                  <w:tcW w:w="1454" w:type="dxa"/>
                </w:tcPr>
                <w:p w14:paraId="5C9488EC" w14:textId="77777777" w:rsidR="00493275" w:rsidRPr="00493275" w:rsidRDefault="00493275" w:rsidP="00493275">
                  <w:pPr>
                    <w:pStyle w:val="TableParagraph"/>
                    <w:spacing w:before="116"/>
                    <w:rPr>
                      <w:rFonts w:ascii="Arial" w:hAnsi="Arial" w:cs="Arial"/>
                      <w:b/>
                      <w:sz w:val="13"/>
                    </w:rPr>
                  </w:pPr>
                  <w:r w:rsidRPr="00493275">
                    <w:rPr>
                      <w:rFonts w:ascii="Arial" w:hAnsi="Arial" w:cs="Arial"/>
                      <w:b/>
                      <w:sz w:val="20"/>
                    </w:rPr>
                    <w:t>Grade</w:t>
                  </w:r>
                  <w:r w:rsidRPr="00493275">
                    <w:rPr>
                      <w:rFonts w:ascii="Arial" w:hAnsi="Arial" w:cs="Arial"/>
                      <w:b/>
                      <w:position w:val="7"/>
                      <w:sz w:val="13"/>
                    </w:rPr>
                    <w:t>1</w:t>
                  </w:r>
                </w:p>
              </w:tc>
              <w:tc>
                <w:tcPr>
                  <w:tcW w:w="8358" w:type="dxa"/>
                </w:tcPr>
                <w:p w14:paraId="4955BB72" w14:textId="77777777" w:rsidR="00493275" w:rsidRPr="00493275" w:rsidRDefault="00493275" w:rsidP="00493275">
                  <w:pPr>
                    <w:pStyle w:val="TableParagraph"/>
                    <w:ind w:left="100"/>
                    <w:rPr>
                      <w:rFonts w:ascii="Arial" w:hAnsi="Arial" w:cs="Arial"/>
                      <w:b/>
                      <w:sz w:val="20"/>
                    </w:rPr>
                  </w:pPr>
                  <w:r w:rsidRPr="00493275">
                    <w:rPr>
                      <w:rFonts w:ascii="Arial" w:hAnsi="Arial" w:cs="Arial"/>
                      <w:b/>
                      <w:sz w:val="20"/>
                    </w:rPr>
                    <w:t>Recommendation</w:t>
                  </w:r>
                </w:p>
              </w:tc>
            </w:tr>
            <w:tr w:rsidR="00493275" w14:paraId="180B8FD9" w14:textId="77777777" w:rsidTr="00493275">
              <w:trPr>
                <w:trHeight w:hRule="exact" w:val="590"/>
              </w:trPr>
              <w:tc>
                <w:tcPr>
                  <w:tcW w:w="1454" w:type="dxa"/>
                </w:tcPr>
                <w:p w14:paraId="4CDD3D9E" w14:textId="77777777" w:rsidR="00493275" w:rsidRPr="00493275" w:rsidRDefault="00493275" w:rsidP="00493275">
                  <w:pPr>
                    <w:pStyle w:val="TableParagraph"/>
                    <w:rPr>
                      <w:rFonts w:ascii="Arial" w:hAnsi="Arial" w:cs="Arial"/>
                      <w:sz w:val="20"/>
                    </w:rPr>
                  </w:pPr>
                  <w:r w:rsidRPr="00493275">
                    <w:rPr>
                      <w:rFonts w:ascii="Arial" w:hAnsi="Arial" w:cs="Arial"/>
                      <w:sz w:val="20"/>
                    </w:rPr>
                    <w:t>Grade 1</w:t>
                  </w:r>
                </w:p>
              </w:tc>
              <w:tc>
                <w:tcPr>
                  <w:tcW w:w="8358" w:type="dxa"/>
                </w:tcPr>
                <w:p w14:paraId="5E91BCF9" w14:textId="77777777" w:rsidR="00493275" w:rsidRPr="00493275" w:rsidRDefault="00493275" w:rsidP="00493275">
                  <w:pPr>
                    <w:pStyle w:val="TableParagraph"/>
                    <w:ind w:left="100" w:right="678"/>
                    <w:rPr>
                      <w:rFonts w:ascii="Arial" w:hAnsi="Arial" w:cs="Arial"/>
                      <w:sz w:val="20"/>
                    </w:rPr>
                  </w:pPr>
                  <w:r w:rsidRPr="00493275">
                    <w:rPr>
                      <w:rFonts w:ascii="Arial" w:hAnsi="Arial" w:cs="Arial"/>
                      <w:sz w:val="20"/>
                    </w:rPr>
                    <w:t>No PIQRAY dose adjustment is required. Initiate appropriate medical therapy and monitor as clinically indicated.</w:t>
                  </w:r>
                </w:p>
              </w:tc>
            </w:tr>
            <w:tr w:rsidR="00493275" w14:paraId="42075793" w14:textId="77777777" w:rsidTr="00493275">
              <w:trPr>
                <w:trHeight w:hRule="exact" w:val="590"/>
              </w:trPr>
              <w:tc>
                <w:tcPr>
                  <w:tcW w:w="1454" w:type="dxa"/>
                </w:tcPr>
                <w:p w14:paraId="0E9A472F" w14:textId="77777777" w:rsidR="00493275" w:rsidRPr="00493275" w:rsidRDefault="00493275" w:rsidP="00493275">
                  <w:pPr>
                    <w:pStyle w:val="TableParagraph"/>
                    <w:rPr>
                      <w:rFonts w:ascii="Arial" w:hAnsi="Arial" w:cs="Arial"/>
                      <w:sz w:val="20"/>
                    </w:rPr>
                  </w:pPr>
                  <w:r w:rsidRPr="00493275">
                    <w:rPr>
                      <w:rFonts w:ascii="Arial" w:hAnsi="Arial" w:cs="Arial"/>
                      <w:sz w:val="20"/>
                    </w:rPr>
                    <w:t>Grade 2</w:t>
                  </w:r>
                </w:p>
              </w:tc>
              <w:tc>
                <w:tcPr>
                  <w:tcW w:w="8358" w:type="dxa"/>
                </w:tcPr>
                <w:p w14:paraId="381CC03B" w14:textId="1F6AF264" w:rsidR="00493275" w:rsidRPr="00493275" w:rsidRDefault="00493275" w:rsidP="00291A26">
                  <w:pPr>
                    <w:pStyle w:val="TableParagraph"/>
                    <w:ind w:left="100"/>
                    <w:rPr>
                      <w:rFonts w:ascii="Arial" w:hAnsi="Arial" w:cs="Arial"/>
                      <w:sz w:val="20"/>
                    </w:rPr>
                  </w:pPr>
                  <w:r w:rsidRPr="00493275">
                    <w:rPr>
                      <w:rFonts w:ascii="Arial" w:hAnsi="Arial" w:cs="Arial"/>
                      <w:sz w:val="20"/>
                    </w:rPr>
                    <w:t>Initiate or intensify appropriate medical therapy and monitor as clinically indicated. Interrupt PIQRAY dose</w:t>
                  </w:r>
                  <w:r w:rsidR="00291A26">
                    <w:rPr>
                      <w:rFonts w:ascii="Arial" w:hAnsi="Arial" w:cs="Arial"/>
                      <w:sz w:val="20"/>
                    </w:rPr>
                    <w:t xml:space="preserve"> </w:t>
                  </w:r>
                  <w:r w:rsidRPr="00493275">
                    <w:rPr>
                      <w:rFonts w:ascii="Arial" w:hAnsi="Arial" w:cs="Arial"/>
                      <w:sz w:val="20"/>
                    </w:rPr>
                    <w:t>until recovery to Grade ≤ 1, then resume PIQRAY at same dose level.</w:t>
                  </w:r>
                </w:p>
              </w:tc>
            </w:tr>
            <w:tr w:rsidR="00493275" w14:paraId="013A6349" w14:textId="77777777" w:rsidTr="00493275">
              <w:trPr>
                <w:trHeight w:hRule="exact" w:val="590"/>
              </w:trPr>
              <w:tc>
                <w:tcPr>
                  <w:tcW w:w="1454" w:type="dxa"/>
                </w:tcPr>
                <w:p w14:paraId="2EB76876" w14:textId="77777777" w:rsidR="00493275" w:rsidRPr="00493275" w:rsidRDefault="00493275" w:rsidP="00493275">
                  <w:pPr>
                    <w:pStyle w:val="TableParagraph"/>
                    <w:rPr>
                      <w:rFonts w:ascii="Arial" w:hAnsi="Arial" w:cs="Arial"/>
                      <w:sz w:val="20"/>
                    </w:rPr>
                  </w:pPr>
                  <w:r w:rsidRPr="00493275">
                    <w:rPr>
                      <w:rFonts w:ascii="Arial" w:hAnsi="Arial" w:cs="Arial"/>
                      <w:sz w:val="20"/>
                    </w:rPr>
                    <w:t>Grade 3 and 4</w:t>
                  </w:r>
                </w:p>
              </w:tc>
              <w:tc>
                <w:tcPr>
                  <w:tcW w:w="8358" w:type="dxa"/>
                </w:tcPr>
                <w:p w14:paraId="2A43AC6C" w14:textId="045AA2B8" w:rsidR="00493275" w:rsidRPr="00493275" w:rsidRDefault="00493275" w:rsidP="00291A26">
                  <w:pPr>
                    <w:pStyle w:val="TableParagraph"/>
                    <w:ind w:left="100"/>
                    <w:rPr>
                      <w:rFonts w:ascii="Arial" w:hAnsi="Arial" w:cs="Arial"/>
                      <w:sz w:val="20"/>
                    </w:rPr>
                  </w:pPr>
                  <w:r w:rsidRPr="00493275">
                    <w:rPr>
                      <w:rFonts w:ascii="Arial" w:hAnsi="Arial" w:cs="Arial"/>
                      <w:sz w:val="20"/>
                    </w:rPr>
                    <w:t>Initiate or intensify appropriate medical therapy and monitor as clinically indicated. Interrupt PIQRAY dose</w:t>
                  </w:r>
                  <w:r w:rsidR="00291A26">
                    <w:rPr>
                      <w:rFonts w:ascii="Arial" w:hAnsi="Arial" w:cs="Arial"/>
                      <w:sz w:val="20"/>
                    </w:rPr>
                    <w:t xml:space="preserve"> </w:t>
                  </w:r>
                  <w:r w:rsidRPr="00493275">
                    <w:rPr>
                      <w:rFonts w:ascii="Arial" w:hAnsi="Arial" w:cs="Arial"/>
                      <w:sz w:val="20"/>
                    </w:rPr>
                    <w:t>until recovery to Grade ≤ 1, then resume PIQRAY at the next lower dose level.</w:t>
                  </w:r>
                </w:p>
              </w:tc>
            </w:tr>
            <w:tr w:rsidR="00493275" w14:paraId="6326831A" w14:textId="77777777" w:rsidTr="00493275">
              <w:trPr>
                <w:trHeight w:hRule="exact" w:val="360"/>
              </w:trPr>
              <w:tc>
                <w:tcPr>
                  <w:tcW w:w="9812" w:type="dxa"/>
                  <w:gridSpan w:val="2"/>
                </w:tcPr>
                <w:p w14:paraId="37FF95E7" w14:textId="77777777" w:rsidR="00493275" w:rsidRDefault="00493275" w:rsidP="00493275">
                  <w:pPr>
                    <w:pStyle w:val="TableParagraph"/>
                    <w:spacing w:before="116"/>
                    <w:rPr>
                      <w:sz w:val="18"/>
                    </w:rPr>
                  </w:pPr>
                  <w:r>
                    <w:rPr>
                      <w:position w:val="7"/>
                      <w:sz w:val="13"/>
                    </w:rPr>
                    <w:t>1</w:t>
                  </w:r>
                  <w:r>
                    <w:rPr>
                      <w:sz w:val="18"/>
                    </w:rPr>
                    <w:t>Grading according to CTCAE Version 5.0.</w:t>
                  </w:r>
                </w:p>
              </w:tc>
            </w:tr>
          </w:tbl>
          <w:p w14:paraId="0039142F" w14:textId="0B0CCE5C" w:rsidR="00493275" w:rsidRPr="00493275" w:rsidRDefault="00493275" w:rsidP="00F2405A">
            <w:pPr>
              <w:keepLines/>
              <w:tabs>
                <w:tab w:val="left" w:pos="284"/>
              </w:tabs>
              <w:autoSpaceDE/>
              <w:autoSpaceDN/>
              <w:adjustRightInd/>
              <w:spacing w:before="120" w:after="0" w:line="240" w:lineRule="auto"/>
              <w:jc w:val="left"/>
              <w:rPr>
                <w:rFonts w:eastAsia="MS Mincho"/>
                <w:b/>
                <w:lang w:val="en-US" w:eastAsia="zh-CN"/>
              </w:rPr>
            </w:pPr>
          </w:p>
        </w:tc>
      </w:tr>
    </w:tbl>
    <w:p w14:paraId="02ADF3A4" w14:textId="2E5BF631" w:rsidR="00851ABA" w:rsidRPr="00851ABA" w:rsidRDefault="00851ABA" w:rsidP="00F2405A">
      <w:pPr>
        <w:keepNext/>
        <w:keepLines/>
        <w:autoSpaceDE/>
        <w:autoSpaceDN/>
        <w:adjustRightInd/>
        <w:spacing w:before="360" w:after="60" w:line="240" w:lineRule="auto"/>
        <w:ind w:left="1701" w:hanging="1275"/>
        <w:jc w:val="left"/>
        <w:outlineLvl w:val="5"/>
        <w:rPr>
          <w:rFonts w:ascii="Arial" w:eastAsia="MS Gothic" w:hAnsi="Arial" w:cs="Arial"/>
          <w:b/>
          <w:sz w:val="22"/>
          <w:szCs w:val="20"/>
          <w:lang w:val="en-US" w:eastAsia="zh-CN"/>
        </w:rPr>
      </w:pPr>
      <w:bookmarkStart w:id="12" w:name="_Toc528238087"/>
      <w:bookmarkStart w:id="13" w:name="_Toc533089096"/>
      <w:r w:rsidRPr="00851ABA">
        <w:rPr>
          <w:rFonts w:ascii="Arial" w:eastAsia="MS Gothic" w:hAnsi="Arial" w:cs="Arial"/>
          <w:b/>
          <w:sz w:val="22"/>
          <w:szCs w:val="20"/>
          <w:lang w:val="en-US" w:eastAsia="zh-CN"/>
        </w:rPr>
        <w:t xml:space="preserve">Table </w:t>
      </w:r>
      <w:r w:rsidR="00493275">
        <w:rPr>
          <w:rFonts w:ascii="Arial" w:eastAsia="MS Gothic" w:hAnsi="Arial" w:cs="Arial"/>
          <w:b/>
          <w:sz w:val="22"/>
          <w:szCs w:val="20"/>
          <w:lang w:val="en-US" w:eastAsia="zh-CN"/>
        </w:rPr>
        <w:t>5</w:t>
      </w:r>
      <w:r w:rsidRPr="00851ABA">
        <w:rPr>
          <w:rFonts w:ascii="Arial" w:eastAsia="MS Gothic" w:hAnsi="Arial" w:cs="Arial"/>
          <w:b/>
          <w:sz w:val="22"/>
          <w:szCs w:val="20"/>
          <w:lang w:val="en-US" w:eastAsia="zh-CN"/>
        </w:rPr>
        <w:tab/>
        <w:t xml:space="preserve">Dosing Modification and Management for other toxicities (excluding </w:t>
      </w:r>
      <w:proofErr w:type="spellStart"/>
      <w:r w:rsidRPr="00851ABA">
        <w:rPr>
          <w:rFonts w:ascii="Arial" w:eastAsia="MS Gothic" w:hAnsi="Arial" w:cs="Arial"/>
          <w:b/>
          <w:sz w:val="22"/>
          <w:szCs w:val="20"/>
          <w:lang w:val="en-US" w:eastAsia="zh-CN"/>
        </w:rPr>
        <w:t>hyperglycaemia</w:t>
      </w:r>
      <w:proofErr w:type="spellEnd"/>
      <w:r w:rsidRPr="00851ABA">
        <w:rPr>
          <w:rFonts w:ascii="Arial" w:eastAsia="MS Gothic" w:hAnsi="Arial" w:cs="Arial"/>
          <w:b/>
          <w:sz w:val="22"/>
          <w:szCs w:val="20"/>
          <w:lang w:val="en-US" w:eastAsia="zh-CN"/>
        </w:rPr>
        <w:t xml:space="preserve"> and rash</w:t>
      </w:r>
      <w:proofErr w:type="gramStart"/>
      <w:r w:rsidRPr="00851ABA">
        <w:rPr>
          <w:rFonts w:ascii="Arial" w:eastAsia="MS Gothic" w:hAnsi="Arial" w:cs="Arial"/>
          <w:b/>
          <w:sz w:val="22"/>
          <w:szCs w:val="20"/>
          <w:lang w:val="en-US" w:eastAsia="zh-CN"/>
        </w:rPr>
        <w:t>)</w:t>
      </w:r>
      <w:r w:rsidRPr="00851ABA">
        <w:rPr>
          <w:rFonts w:ascii="Arial" w:eastAsia="MS Gothic" w:hAnsi="Arial" w:cs="Arial"/>
          <w:b/>
          <w:sz w:val="22"/>
          <w:szCs w:val="20"/>
          <w:vertAlign w:val="superscript"/>
          <w:lang w:val="en-US" w:eastAsia="zh-CN"/>
        </w:rPr>
        <w:t>1</w:t>
      </w:r>
      <w:bookmarkEnd w:id="12"/>
      <w:bookmarkEnd w:id="13"/>
      <w:proofErr w:type="gramEnd"/>
    </w:p>
    <w:tbl>
      <w:tblPr>
        <w:tblW w:w="5089"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7"/>
        <w:gridCol w:w="8855"/>
      </w:tblGrid>
      <w:tr w:rsidR="00851ABA" w:rsidRPr="00851ABA" w14:paraId="7824DB4E" w14:textId="77777777" w:rsidTr="00F2405A">
        <w:trPr>
          <w:tblHeader/>
        </w:trPr>
        <w:tc>
          <w:tcPr>
            <w:tcW w:w="560" w:type="pct"/>
            <w:shd w:val="clear" w:color="auto" w:fill="auto"/>
          </w:tcPr>
          <w:p w14:paraId="66688DC1" w14:textId="77777777" w:rsidR="00851ABA" w:rsidRPr="00851ABA" w:rsidRDefault="00851ABA" w:rsidP="00851ABA">
            <w:pPr>
              <w:keepLines/>
              <w:tabs>
                <w:tab w:val="left" w:pos="284"/>
              </w:tabs>
              <w:autoSpaceDE/>
              <w:autoSpaceDN/>
              <w:adjustRightInd/>
              <w:spacing w:before="120" w:after="0" w:line="240" w:lineRule="auto"/>
              <w:jc w:val="left"/>
              <w:rPr>
                <w:rFonts w:ascii="Arial" w:eastAsia="MS Mincho" w:hAnsi="Arial" w:cs="Arial"/>
                <w:sz w:val="20"/>
                <w:szCs w:val="20"/>
                <w:lang w:val="en-US" w:eastAsia="zh-CN"/>
              </w:rPr>
            </w:pPr>
            <w:r w:rsidRPr="00851ABA">
              <w:rPr>
                <w:rFonts w:ascii="Arial" w:eastAsia="MS Mincho" w:hAnsi="Arial" w:cs="Arial"/>
                <w:b/>
                <w:bCs/>
                <w:sz w:val="20"/>
                <w:szCs w:val="20"/>
                <w:lang w:val="en-US" w:eastAsia="zh-CN"/>
              </w:rPr>
              <w:t xml:space="preserve">Grade </w:t>
            </w:r>
          </w:p>
        </w:tc>
        <w:tc>
          <w:tcPr>
            <w:tcW w:w="4440" w:type="pct"/>
          </w:tcPr>
          <w:p w14:paraId="54130147" w14:textId="77777777" w:rsidR="00851ABA" w:rsidRPr="00851ABA" w:rsidRDefault="00851ABA" w:rsidP="00851ABA">
            <w:pPr>
              <w:keepLines/>
              <w:tabs>
                <w:tab w:val="left" w:pos="284"/>
              </w:tabs>
              <w:autoSpaceDE/>
              <w:autoSpaceDN/>
              <w:adjustRightInd/>
              <w:spacing w:before="120" w:after="0" w:line="240" w:lineRule="auto"/>
              <w:jc w:val="left"/>
              <w:rPr>
                <w:rFonts w:ascii="Arial" w:eastAsia="MS Mincho" w:hAnsi="Arial" w:cs="Arial"/>
                <w:sz w:val="20"/>
                <w:szCs w:val="20"/>
                <w:lang w:val="en-US" w:eastAsia="zh-CN"/>
              </w:rPr>
            </w:pPr>
            <w:r w:rsidRPr="00851ABA">
              <w:rPr>
                <w:rFonts w:ascii="Arial" w:eastAsia="MS Mincho" w:hAnsi="Arial" w:cs="Arial"/>
                <w:b/>
                <w:bCs/>
                <w:sz w:val="20"/>
                <w:szCs w:val="20"/>
                <w:lang w:val="en-US" w:eastAsia="zh-CN"/>
              </w:rPr>
              <w:t>Recommendation</w:t>
            </w:r>
          </w:p>
        </w:tc>
      </w:tr>
      <w:tr w:rsidR="008868FB" w:rsidRPr="00851ABA" w14:paraId="62EBC275" w14:textId="77777777" w:rsidTr="00F2405A">
        <w:tc>
          <w:tcPr>
            <w:tcW w:w="560" w:type="pct"/>
            <w:shd w:val="clear" w:color="auto" w:fill="auto"/>
          </w:tcPr>
          <w:p w14:paraId="38FE295C" w14:textId="269E90C8" w:rsidR="008868FB" w:rsidRPr="00851ABA" w:rsidRDefault="008868FB" w:rsidP="00851ABA">
            <w:pPr>
              <w:keepLines/>
              <w:tabs>
                <w:tab w:val="left" w:pos="284"/>
              </w:tabs>
              <w:autoSpaceDE/>
              <w:autoSpaceDN/>
              <w:adjustRightInd/>
              <w:spacing w:before="120" w:after="0" w:line="240" w:lineRule="auto"/>
              <w:jc w:val="left"/>
              <w:rPr>
                <w:rFonts w:ascii="Arial" w:eastAsia="MS Mincho" w:hAnsi="Arial" w:cs="Arial"/>
                <w:sz w:val="20"/>
                <w:szCs w:val="20"/>
                <w:lang w:val="en-US" w:eastAsia="zh-CN"/>
              </w:rPr>
            </w:pPr>
            <w:r w:rsidRPr="00851ABA">
              <w:rPr>
                <w:rFonts w:ascii="Arial" w:eastAsia="MS Mincho" w:hAnsi="Arial" w:cs="Arial"/>
                <w:sz w:val="20"/>
                <w:szCs w:val="20"/>
                <w:lang w:val="en-US" w:eastAsia="zh-CN"/>
              </w:rPr>
              <w:t xml:space="preserve">Grade 1 </w:t>
            </w:r>
          </w:p>
        </w:tc>
        <w:tc>
          <w:tcPr>
            <w:tcW w:w="4440" w:type="pct"/>
            <w:vMerge w:val="restart"/>
          </w:tcPr>
          <w:p w14:paraId="0985892A" w14:textId="7F054AF1" w:rsidR="008868FB" w:rsidRPr="00851ABA" w:rsidRDefault="008868FB" w:rsidP="008868FB">
            <w:pPr>
              <w:keepLines/>
              <w:tabs>
                <w:tab w:val="left" w:pos="284"/>
              </w:tabs>
              <w:autoSpaceDE/>
              <w:autoSpaceDN/>
              <w:adjustRightInd/>
              <w:spacing w:before="120" w:after="0" w:line="240" w:lineRule="auto"/>
              <w:jc w:val="left"/>
              <w:rPr>
                <w:rFonts w:ascii="Arial" w:eastAsia="MS Mincho" w:hAnsi="Arial" w:cs="Arial"/>
                <w:sz w:val="20"/>
                <w:szCs w:val="20"/>
                <w:lang w:val="en-US" w:eastAsia="zh-CN"/>
              </w:rPr>
            </w:pPr>
            <w:r w:rsidRPr="00851ABA">
              <w:rPr>
                <w:rFonts w:ascii="Arial" w:eastAsia="MS Mincho" w:hAnsi="Arial" w:cs="Arial"/>
                <w:sz w:val="20"/>
                <w:szCs w:val="20"/>
                <w:lang w:val="en-US" w:eastAsia="zh-CN"/>
              </w:rPr>
              <w:t>No PIQRAY dose adjustment required. Initiate appropriate medical therapy and monitor as clinically indicated</w:t>
            </w:r>
            <w:r w:rsidRPr="00851ABA">
              <w:rPr>
                <w:rFonts w:ascii="Arial" w:eastAsia="MS Mincho" w:hAnsi="Arial" w:cs="Arial"/>
                <w:sz w:val="20"/>
                <w:szCs w:val="20"/>
                <w:vertAlign w:val="superscript"/>
                <w:lang w:val="en-US" w:eastAsia="zh-CN"/>
              </w:rPr>
              <w:t>2,3</w:t>
            </w:r>
          </w:p>
        </w:tc>
      </w:tr>
      <w:tr w:rsidR="008868FB" w:rsidRPr="00851ABA" w14:paraId="0A0CF75B" w14:textId="77777777" w:rsidTr="00F2405A">
        <w:tc>
          <w:tcPr>
            <w:tcW w:w="560" w:type="pct"/>
            <w:shd w:val="clear" w:color="auto" w:fill="auto"/>
          </w:tcPr>
          <w:p w14:paraId="4C99C293" w14:textId="0D4B6433" w:rsidR="008868FB" w:rsidRPr="00851ABA" w:rsidRDefault="008868FB" w:rsidP="00851ABA">
            <w:pPr>
              <w:keepLines/>
              <w:tabs>
                <w:tab w:val="left" w:pos="284"/>
              </w:tabs>
              <w:autoSpaceDE/>
              <w:autoSpaceDN/>
              <w:adjustRightInd/>
              <w:spacing w:before="120" w:after="0" w:line="240" w:lineRule="auto"/>
              <w:jc w:val="left"/>
              <w:rPr>
                <w:rFonts w:ascii="Arial" w:eastAsia="MS Mincho" w:hAnsi="Arial" w:cs="Arial"/>
                <w:sz w:val="20"/>
                <w:szCs w:val="20"/>
                <w:lang w:val="en-US" w:eastAsia="zh-CN"/>
              </w:rPr>
            </w:pPr>
            <w:r>
              <w:rPr>
                <w:rFonts w:ascii="Arial" w:eastAsia="MS Mincho" w:hAnsi="Arial" w:cs="Arial"/>
                <w:sz w:val="20"/>
                <w:szCs w:val="20"/>
                <w:lang w:val="en-US" w:eastAsia="zh-CN"/>
              </w:rPr>
              <w:t>Grade 2</w:t>
            </w:r>
          </w:p>
        </w:tc>
        <w:tc>
          <w:tcPr>
            <w:tcW w:w="4440" w:type="pct"/>
            <w:vMerge/>
          </w:tcPr>
          <w:p w14:paraId="41CA5433" w14:textId="52C5B576" w:rsidR="008868FB" w:rsidRPr="00851ABA" w:rsidRDefault="008868FB" w:rsidP="00851ABA">
            <w:pPr>
              <w:keepLines/>
              <w:tabs>
                <w:tab w:val="left" w:pos="284"/>
              </w:tabs>
              <w:autoSpaceDE/>
              <w:autoSpaceDN/>
              <w:adjustRightInd/>
              <w:spacing w:before="120" w:after="0" w:line="240" w:lineRule="auto"/>
              <w:jc w:val="left"/>
              <w:rPr>
                <w:rFonts w:ascii="Arial" w:eastAsia="MS Mincho" w:hAnsi="Arial" w:cs="Arial"/>
                <w:sz w:val="20"/>
                <w:szCs w:val="20"/>
                <w:lang w:val="en-US" w:eastAsia="zh-CN"/>
              </w:rPr>
            </w:pPr>
          </w:p>
        </w:tc>
      </w:tr>
      <w:tr w:rsidR="00851ABA" w:rsidRPr="00851ABA" w14:paraId="61959AD3" w14:textId="77777777" w:rsidTr="00F2405A">
        <w:tc>
          <w:tcPr>
            <w:tcW w:w="560" w:type="pct"/>
            <w:shd w:val="clear" w:color="auto" w:fill="auto"/>
          </w:tcPr>
          <w:p w14:paraId="098FF72C" w14:textId="77777777" w:rsidR="00851ABA" w:rsidRPr="00851ABA" w:rsidRDefault="00851ABA" w:rsidP="00851ABA">
            <w:pPr>
              <w:keepLines/>
              <w:tabs>
                <w:tab w:val="left" w:pos="284"/>
              </w:tabs>
              <w:autoSpaceDE/>
              <w:autoSpaceDN/>
              <w:adjustRightInd/>
              <w:spacing w:before="120" w:after="0" w:line="240" w:lineRule="auto"/>
              <w:jc w:val="left"/>
              <w:rPr>
                <w:rFonts w:ascii="Arial" w:eastAsia="MS Mincho" w:hAnsi="Arial" w:cs="Arial"/>
                <w:sz w:val="20"/>
                <w:szCs w:val="20"/>
                <w:lang w:val="en-US" w:eastAsia="zh-CN"/>
              </w:rPr>
            </w:pPr>
            <w:r w:rsidRPr="00851ABA">
              <w:rPr>
                <w:rFonts w:ascii="Arial" w:eastAsia="MS Mincho" w:hAnsi="Arial" w:cs="Arial"/>
                <w:sz w:val="20"/>
                <w:szCs w:val="20"/>
                <w:lang w:val="en-US" w:eastAsia="zh-CN"/>
              </w:rPr>
              <w:t>Grade 3</w:t>
            </w:r>
          </w:p>
        </w:tc>
        <w:tc>
          <w:tcPr>
            <w:tcW w:w="4440" w:type="pct"/>
          </w:tcPr>
          <w:p w14:paraId="7309FF57" w14:textId="0B076E72" w:rsidR="00851ABA" w:rsidRPr="00851ABA" w:rsidRDefault="00851ABA" w:rsidP="00851ABA">
            <w:pPr>
              <w:keepLines/>
              <w:tabs>
                <w:tab w:val="left" w:pos="284"/>
              </w:tabs>
              <w:autoSpaceDE/>
              <w:autoSpaceDN/>
              <w:adjustRightInd/>
              <w:spacing w:before="120" w:after="0" w:line="240" w:lineRule="auto"/>
              <w:jc w:val="left"/>
              <w:rPr>
                <w:rFonts w:ascii="Arial" w:eastAsia="MS Mincho" w:hAnsi="Arial" w:cs="Arial"/>
                <w:sz w:val="20"/>
                <w:szCs w:val="20"/>
                <w:lang w:val="en-US" w:eastAsia="zh-CN"/>
              </w:rPr>
            </w:pPr>
            <w:r w:rsidRPr="00851ABA">
              <w:rPr>
                <w:rFonts w:ascii="Arial" w:eastAsia="MS Mincho" w:hAnsi="Arial" w:cs="Arial"/>
                <w:sz w:val="20"/>
                <w:szCs w:val="20"/>
                <w:lang w:val="en-US" w:eastAsia="zh-CN"/>
              </w:rPr>
              <w:t xml:space="preserve">Interrupt </w:t>
            </w:r>
            <w:r w:rsidR="00F2405A" w:rsidRPr="00851ABA">
              <w:rPr>
                <w:rFonts w:ascii="Arial" w:eastAsia="MS Mincho" w:hAnsi="Arial" w:cs="Arial"/>
                <w:sz w:val="20"/>
                <w:szCs w:val="20"/>
                <w:lang w:val="en-US" w:eastAsia="zh-CN"/>
              </w:rPr>
              <w:t xml:space="preserve">PIQRAY </w:t>
            </w:r>
            <w:r w:rsidRPr="00851ABA">
              <w:rPr>
                <w:rFonts w:ascii="Arial" w:eastAsia="MS Mincho" w:hAnsi="Arial" w:cs="Arial"/>
                <w:sz w:val="20"/>
                <w:szCs w:val="20"/>
                <w:lang w:val="en-US" w:eastAsia="zh-CN"/>
              </w:rPr>
              <w:t xml:space="preserve">dose until improvement to Grade ≤1, then resume </w:t>
            </w:r>
            <w:r w:rsidR="00F2405A" w:rsidRPr="00851ABA">
              <w:rPr>
                <w:rFonts w:ascii="Arial" w:eastAsia="MS Mincho" w:hAnsi="Arial" w:cs="Arial"/>
                <w:sz w:val="20"/>
                <w:szCs w:val="20"/>
                <w:lang w:val="en-US" w:eastAsia="zh-CN"/>
              </w:rPr>
              <w:t xml:space="preserve">PIQRAY </w:t>
            </w:r>
            <w:r w:rsidRPr="00851ABA">
              <w:rPr>
                <w:rFonts w:ascii="Arial" w:eastAsia="MS Mincho" w:hAnsi="Arial" w:cs="Arial"/>
                <w:sz w:val="20"/>
                <w:szCs w:val="20"/>
                <w:lang w:val="en-US" w:eastAsia="zh-CN"/>
              </w:rPr>
              <w:t>at the next lower dose level</w:t>
            </w:r>
            <w:r w:rsidRPr="00851ABA">
              <w:rPr>
                <w:rFonts w:ascii="Arial" w:eastAsia="MS Mincho" w:hAnsi="Arial" w:cs="Arial"/>
                <w:sz w:val="20"/>
                <w:szCs w:val="20"/>
                <w:vertAlign w:val="superscript"/>
                <w:lang w:val="en-US" w:eastAsia="zh-CN"/>
              </w:rPr>
              <w:t>2</w:t>
            </w:r>
            <w:r w:rsidRPr="00851ABA">
              <w:rPr>
                <w:rFonts w:ascii="Arial" w:eastAsia="MS Mincho" w:hAnsi="Arial" w:cs="Arial"/>
                <w:sz w:val="20"/>
                <w:szCs w:val="20"/>
                <w:lang w:val="en-US" w:eastAsia="zh-CN"/>
              </w:rPr>
              <w:t>.</w:t>
            </w:r>
          </w:p>
        </w:tc>
      </w:tr>
      <w:tr w:rsidR="00851ABA" w:rsidRPr="00851ABA" w14:paraId="26738CDF" w14:textId="77777777" w:rsidTr="00502656">
        <w:tc>
          <w:tcPr>
            <w:tcW w:w="560" w:type="pct"/>
            <w:tcBorders>
              <w:bottom w:val="single" w:sz="4" w:space="0" w:color="auto"/>
            </w:tcBorders>
            <w:shd w:val="clear" w:color="auto" w:fill="auto"/>
          </w:tcPr>
          <w:p w14:paraId="436171FC" w14:textId="77777777" w:rsidR="00851ABA" w:rsidRPr="00851ABA" w:rsidRDefault="00851ABA" w:rsidP="00851ABA">
            <w:pPr>
              <w:keepLines/>
              <w:tabs>
                <w:tab w:val="left" w:pos="284"/>
              </w:tabs>
              <w:autoSpaceDE/>
              <w:autoSpaceDN/>
              <w:adjustRightInd/>
              <w:spacing w:before="120" w:after="0" w:line="240" w:lineRule="auto"/>
              <w:jc w:val="left"/>
              <w:rPr>
                <w:rFonts w:ascii="Arial" w:eastAsia="MS Mincho" w:hAnsi="Arial" w:cs="Arial"/>
                <w:sz w:val="20"/>
                <w:szCs w:val="20"/>
                <w:lang w:val="en-US" w:eastAsia="zh-CN"/>
              </w:rPr>
            </w:pPr>
            <w:r w:rsidRPr="00851ABA">
              <w:rPr>
                <w:rFonts w:ascii="Arial" w:eastAsia="MS Mincho" w:hAnsi="Arial" w:cs="Arial"/>
                <w:sz w:val="20"/>
                <w:szCs w:val="20"/>
                <w:lang w:val="en-US" w:eastAsia="zh-CN"/>
              </w:rPr>
              <w:t xml:space="preserve">Grade 4 </w:t>
            </w:r>
          </w:p>
        </w:tc>
        <w:tc>
          <w:tcPr>
            <w:tcW w:w="4440" w:type="pct"/>
            <w:tcBorders>
              <w:bottom w:val="single" w:sz="4" w:space="0" w:color="auto"/>
            </w:tcBorders>
          </w:tcPr>
          <w:p w14:paraId="0C5EA884" w14:textId="1617FCD1" w:rsidR="00851ABA" w:rsidRPr="00851ABA" w:rsidRDefault="00851ABA" w:rsidP="00851ABA">
            <w:pPr>
              <w:keepLines/>
              <w:tabs>
                <w:tab w:val="left" w:pos="284"/>
              </w:tabs>
              <w:autoSpaceDE/>
              <w:autoSpaceDN/>
              <w:adjustRightInd/>
              <w:spacing w:before="120" w:after="0" w:line="240" w:lineRule="auto"/>
              <w:jc w:val="left"/>
              <w:rPr>
                <w:rFonts w:ascii="Arial" w:eastAsia="MS Mincho" w:hAnsi="Arial" w:cs="Arial"/>
                <w:sz w:val="20"/>
                <w:szCs w:val="20"/>
                <w:lang w:val="en-US" w:eastAsia="zh-CN"/>
              </w:rPr>
            </w:pPr>
            <w:r w:rsidRPr="00851ABA">
              <w:rPr>
                <w:rFonts w:ascii="Arial" w:eastAsia="MS Mincho" w:hAnsi="Arial" w:cs="Arial"/>
                <w:sz w:val="20"/>
                <w:szCs w:val="20"/>
                <w:lang w:val="it-IT" w:eastAsia="zh-CN"/>
              </w:rPr>
              <w:t xml:space="preserve">Permanently discontinue </w:t>
            </w:r>
            <w:r w:rsidR="00F2405A" w:rsidRPr="00851ABA">
              <w:rPr>
                <w:rFonts w:ascii="Arial" w:eastAsia="MS Mincho" w:hAnsi="Arial" w:cs="Arial"/>
                <w:sz w:val="20"/>
                <w:szCs w:val="20"/>
                <w:lang w:val="it-IT" w:eastAsia="zh-CN"/>
              </w:rPr>
              <w:t>PIQRAY</w:t>
            </w:r>
            <w:r w:rsidR="00011EA8">
              <w:rPr>
                <w:rFonts w:ascii="Arial" w:eastAsia="MS Mincho" w:hAnsi="Arial" w:cs="Arial"/>
                <w:sz w:val="20"/>
                <w:szCs w:val="20"/>
                <w:vertAlign w:val="superscript"/>
                <w:lang w:val="it-IT" w:eastAsia="zh-CN"/>
              </w:rPr>
              <w:t>4</w:t>
            </w:r>
            <w:r w:rsidRPr="00851ABA">
              <w:rPr>
                <w:rFonts w:ascii="Arial" w:eastAsia="MS Mincho" w:hAnsi="Arial" w:cs="Arial"/>
                <w:sz w:val="20"/>
                <w:szCs w:val="20"/>
                <w:lang w:val="it-IT" w:eastAsia="zh-CN"/>
              </w:rPr>
              <w:t>.</w:t>
            </w:r>
          </w:p>
        </w:tc>
      </w:tr>
      <w:tr w:rsidR="00851ABA" w:rsidRPr="00851ABA" w14:paraId="366DDDFF" w14:textId="77777777" w:rsidTr="00502656">
        <w:tc>
          <w:tcPr>
            <w:tcW w:w="5000" w:type="pct"/>
            <w:gridSpan w:val="2"/>
            <w:tcBorders>
              <w:left w:val="nil"/>
              <w:bottom w:val="nil"/>
              <w:right w:val="nil"/>
            </w:tcBorders>
            <w:shd w:val="clear" w:color="auto" w:fill="auto"/>
          </w:tcPr>
          <w:p w14:paraId="39F01457" w14:textId="0E23AFA6" w:rsidR="00851ABA" w:rsidRPr="00851ABA" w:rsidRDefault="00851ABA" w:rsidP="008868FB">
            <w:pPr>
              <w:keepLines/>
              <w:tabs>
                <w:tab w:val="left" w:pos="284"/>
              </w:tabs>
              <w:autoSpaceDE/>
              <w:autoSpaceDN/>
              <w:adjustRightInd/>
              <w:spacing w:after="0" w:line="240" w:lineRule="auto"/>
              <w:rPr>
                <w:rFonts w:ascii="Arial" w:eastAsia="MS Mincho" w:hAnsi="Arial" w:cs="Arial"/>
                <w:i/>
                <w:iCs/>
                <w:sz w:val="20"/>
                <w:szCs w:val="20"/>
                <w:lang w:val="en-US" w:eastAsia="zh-CN"/>
              </w:rPr>
            </w:pPr>
            <w:r w:rsidRPr="00851ABA">
              <w:rPr>
                <w:rFonts w:ascii="Arial" w:eastAsia="MS Mincho" w:hAnsi="Arial" w:cs="Arial"/>
                <w:sz w:val="20"/>
                <w:szCs w:val="20"/>
                <w:vertAlign w:val="superscript"/>
                <w:lang w:val="en-US" w:eastAsia="zh-CN"/>
              </w:rPr>
              <w:t>1</w:t>
            </w:r>
            <w:r w:rsidRPr="00851ABA">
              <w:rPr>
                <w:rFonts w:ascii="Arial" w:eastAsia="MS Mincho" w:hAnsi="Arial" w:cs="Arial"/>
                <w:sz w:val="20"/>
                <w:szCs w:val="20"/>
                <w:lang w:val="en-US" w:eastAsia="zh-CN"/>
              </w:rPr>
              <w:t xml:space="preserve"> </w:t>
            </w:r>
            <w:r w:rsidRPr="00851ABA">
              <w:rPr>
                <w:rFonts w:ascii="Arial" w:eastAsia="MS Mincho" w:hAnsi="Arial" w:cs="Arial"/>
                <w:i/>
                <w:iCs/>
                <w:sz w:val="20"/>
                <w:szCs w:val="20"/>
                <w:lang w:val="en-US" w:eastAsia="zh-CN"/>
              </w:rPr>
              <w:t xml:space="preserve">Grading according to CTCAE Version 5.0 </w:t>
            </w:r>
          </w:p>
          <w:p w14:paraId="4A491277" w14:textId="1F5009F4" w:rsidR="00851ABA" w:rsidRPr="00851ABA" w:rsidRDefault="00851ABA" w:rsidP="008868FB">
            <w:pPr>
              <w:keepLines/>
              <w:tabs>
                <w:tab w:val="left" w:pos="284"/>
              </w:tabs>
              <w:autoSpaceDE/>
              <w:autoSpaceDN/>
              <w:adjustRightInd/>
              <w:spacing w:after="0" w:line="240" w:lineRule="auto"/>
              <w:rPr>
                <w:rFonts w:ascii="Arial" w:eastAsia="MS Mincho" w:hAnsi="Arial" w:cs="Arial"/>
                <w:i/>
                <w:iCs/>
                <w:sz w:val="20"/>
                <w:szCs w:val="20"/>
                <w:lang w:val="en-US" w:eastAsia="zh-CN"/>
              </w:rPr>
            </w:pPr>
            <w:r w:rsidRPr="00851ABA">
              <w:rPr>
                <w:rFonts w:ascii="Arial" w:eastAsia="MS Mincho" w:hAnsi="Arial" w:cs="Arial"/>
                <w:i/>
                <w:iCs/>
                <w:sz w:val="20"/>
                <w:szCs w:val="20"/>
                <w:vertAlign w:val="superscript"/>
                <w:lang w:val="en-US" w:eastAsia="zh-CN"/>
              </w:rPr>
              <w:t>2</w:t>
            </w:r>
            <w:r w:rsidRPr="00851ABA">
              <w:rPr>
                <w:rFonts w:ascii="Arial" w:eastAsia="MS Mincho" w:hAnsi="Arial" w:cs="Arial"/>
                <w:i/>
                <w:iCs/>
                <w:sz w:val="20"/>
                <w:szCs w:val="20"/>
                <w:lang w:val="en-US" w:eastAsia="zh-CN"/>
              </w:rPr>
              <w:t xml:space="preserve"> For Grade 2 and 3 pancreatitis, interrupt </w:t>
            </w:r>
            <w:r w:rsidR="00F2405A" w:rsidRPr="00851ABA">
              <w:rPr>
                <w:rFonts w:ascii="Arial" w:eastAsia="MS Mincho" w:hAnsi="Arial" w:cs="Arial"/>
                <w:i/>
                <w:iCs/>
                <w:sz w:val="20"/>
                <w:szCs w:val="20"/>
                <w:lang w:val="en-US" w:eastAsia="zh-CN"/>
              </w:rPr>
              <w:t xml:space="preserve">PIQRAY </w:t>
            </w:r>
            <w:r w:rsidRPr="00851ABA">
              <w:rPr>
                <w:rFonts w:ascii="Arial" w:eastAsia="MS Mincho" w:hAnsi="Arial" w:cs="Arial"/>
                <w:i/>
                <w:iCs/>
                <w:sz w:val="20"/>
                <w:szCs w:val="20"/>
                <w:lang w:val="en-US" w:eastAsia="zh-CN"/>
              </w:rPr>
              <w:t xml:space="preserve">dose until recovery to Grade ≤1 and resume at next lower dose level. Only one dose reduction is permitted. If toxicity recurs, permanently discontinue </w:t>
            </w:r>
            <w:r w:rsidR="00F2405A" w:rsidRPr="00851ABA">
              <w:rPr>
                <w:rFonts w:ascii="Arial" w:eastAsia="MS Mincho" w:hAnsi="Arial" w:cs="Arial"/>
                <w:i/>
                <w:iCs/>
                <w:sz w:val="20"/>
                <w:szCs w:val="20"/>
                <w:lang w:val="en-US" w:eastAsia="zh-CN"/>
              </w:rPr>
              <w:t xml:space="preserve">PIQRAY </w:t>
            </w:r>
            <w:r w:rsidRPr="00851ABA">
              <w:rPr>
                <w:rFonts w:ascii="Arial" w:eastAsia="MS Mincho" w:hAnsi="Arial" w:cs="Arial"/>
                <w:i/>
                <w:iCs/>
                <w:sz w:val="20"/>
                <w:szCs w:val="20"/>
                <w:lang w:val="en-US" w:eastAsia="zh-CN"/>
              </w:rPr>
              <w:t>treatment.</w:t>
            </w:r>
          </w:p>
          <w:p w14:paraId="7056364B" w14:textId="2CA3F424" w:rsidR="00851ABA" w:rsidRPr="00851ABA" w:rsidRDefault="00851ABA" w:rsidP="001309BE">
            <w:pPr>
              <w:keepLines/>
              <w:tabs>
                <w:tab w:val="left" w:pos="284"/>
              </w:tabs>
              <w:autoSpaceDE/>
              <w:autoSpaceDN/>
              <w:adjustRightInd/>
              <w:spacing w:after="0" w:line="240" w:lineRule="auto"/>
              <w:rPr>
                <w:rFonts w:ascii="Arial" w:eastAsia="MS Mincho" w:hAnsi="Arial" w:cs="Arial"/>
                <w:sz w:val="20"/>
                <w:szCs w:val="20"/>
                <w:lang w:val="en-US" w:eastAsia="zh-CN"/>
              </w:rPr>
            </w:pPr>
            <w:r w:rsidRPr="00851ABA">
              <w:rPr>
                <w:rFonts w:ascii="Arial" w:eastAsia="MS Mincho" w:hAnsi="Arial" w:cs="Arial"/>
                <w:i/>
                <w:iCs/>
                <w:sz w:val="20"/>
                <w:szCs w:val="20"/>
                <w:vertAlign w:val="superscript"/>
                <w:lang w:val="en-US" w:eastAsia="zh-CN"/>
              </w:rPr>
              <w:t>3</w:t>
            </w:r>
            <w:r w:rsidRPr="00851ABA">
              <w:rPr>
                <w:rFonts w:ascii="Arial" w:eastAsia="MS Mincho" w:hAnsi="Arial" w:cs="Arial"/>
                <w:i/>
                <w:iCs/>
                <w:sz w:val="20"/>
                <w:szCs w:val="20"/>
                <w:lang w:val="en-US" w:eastAsia="zh-CN"/>
              </w:rPr>
              <w:t xml:space="preserve"> For Grade 2 </w:t>
            </w:r>
            <w:proofErr w:type="spellStart"/>
            <w:r w:rsidRPr="00851ABA">
              <w:rPr>
                <w:rFonts w:ascii="Arial" w:eastAsia="MS Mincho" w:hAnsi="Arial" w:cs="Arial"/>
                <w:i/>
                <w:iCs/>
                <w:sz w:val="20"/>
                <w:szCs w:val="20"/>
                <w:lang w:val="en-US" w:eastAsia="zh-CN"/>
              </w:rPr>
              <w:t>diarrh</w:t>
            </w:r>
            <w:r w:rsidR="00497397">
              <w:rPr>
                <w:rFonts w:ascii="Arial" w:eastAsia="MS Mincho" w:hAnsi="Arial" w:cs="Arial"/>
                <w:i/>
                <w:iCs/>
                <w:sz w:val="20"/>
                <w:szCs w:val="20"/>
                <w:lang w:val="en-US" w:eastAsia="zh-CN"/>
              </w:rPr>
              <w:t>o</w:t>
            </w:r>
            <w:r w:rsidRPr="00851ABA">
              <w:rPr>
                <w:rFonts w:ascii="Arial" w:eastAsia="MS Mincho" w:hAnsi="Arial" w:cs="Arial"/>
                <w:i/>
                <w:iCs/>
                <w:sz w:val="20"/>
                <w:szCs w:val="20"/>
                <w:lang w:val="en-US" w:eastAsia="zh-CN"/>
              </w:rPr>
              <w:t>ea</w:t>
            </w:r>
            <w:proofErr w:type="spellEnd"/>
            <w:r w:rsidRPr="00851ABA">
              <w:rPr>
                <w:rFonts w:ascii="Arial" w:eastAsia="MS Mincho" w:hAnsi="Arial" w:cs="Arial"/>
                <w:i/>
                <w:iCs/>
                <w:sz w:val="20"/>
                <w:szCs w:val="20"/>
                <w:lang w:val="en-US" w:eastAsia="zh-CN"/>
              </w:rPr>
              <w:t xml:space="preserve">, interrupt </w:t>
            </w:r>
            <w:r w:rsidR="00F2405A" w:rsidRPr="00851ABA">
              <w:rPr>
                <w:rFonts w:ascii="Arial" w:eastAsia="MS Mincho" w:hAnsi="Arial" w:cs="Arial"/>
                <w:i/>
                <w:iCs/>
                <w:sz w:val="20"/>
                <w:szCs w:val="20"/>
                <w:lang w:val="en-US" w:eastAsia="zh-CN"/>
              </w:rPr>
              <w:t xml:space="preserve">PIQRAY </w:t>
            </w:r>
            <w:r w:rsidRPr="00851ABA">
              <w:rPr>
                <w:rFonts w:ascii="Arial" w:eastAsia="MS Mincho" w:hAnsi="Arial" w:cs="Arial"/>
                <w:i/>
                <w:iCs/>
                <w:sz w:val="20"/>
                <w:szCs w:val="20"/>
                <w:lang w:val="en-US" w:eastAsia="zh-CN"/>
              </w:rPr>
              <w:t xml:space="preserve">dose until recovery to Grade ≤1 and resume at the same dose level. </w:t>
            </w:r>
            <w:r w:rsidRPr="00851ABA">
              <w:rPr>
                <w:rFonts w:ascii="Arial" w:eastAsia="MS Mincho" w:hAnsi="Arial" w:cs="Arial"/>
                <w:i/>
                <w:iCs/>
                <w:sz w:val="20"/>
                <w:szCs w:val="20"/>
                <w:vertAlign w:val="superscript"/>
                <w:lang w:val="en-US" w:eastAsia="zh-CN"/>
              </w:rPr>
              <w:t xml:space="preserve"> </w:t>
            </w:r>
            <w:r w:rsidR="001309BE">
              <w:rPr>
                <w:rFonts w:ascii="Arial" w:eastAsia="MS Mincho" w:hAnsi="Arial" w:cs="Arial"/>
                <w:i/>
                <w:iCs/>
                <w:sz w:val="20"/>
                <w:szCs w:val="20"/>
                <w:vertAlign w:val="superscript"/>
                <w:lang w:val="en-US" w:eastAsia="zh-CN"/>
              </w:rPr>
              <w:t>4</w:t>
            </w:r>
            <w:r w:rsidRPr="00851ABA">
              <w:rPr>
                <w:rFonts w:ascii="Arial" w:eastAsia="MS Mincho" w:hAnsi="Arial" w:cs="Arial"/>
                <w:i/>
                <w:iCs/>
                <w:sz w:val="20"/>
                <w:szCs w:val="20"/>
                <w:lang w:val="en-US" w:eastAsia="zh-CN"/>
              </w:rPr>
              <w:t xml:space="preserve">For Grade 4 </w:t>
            </w:r>
            <w:r w:rsidR="00802DD1" w:rsidRPr="00851ABA">
              <w:rPr>
                <w:rFonts w:ascii="Arial" w:eastAsia="MS Mincho" w:hAnsi="Arial" w:cs="Arial"/>
                <w:i/>
                <w:iCs/>
                <w:sz w:val="20"/>
                <w:szCs w:val="20"/>
                <w:lang w:eastAsia="zh-CN"/>
              </w:rPr>
              <w:t>diarrhoea</w:t>
            </w:r>
            <w:r w:rsidRPr="00851ABA">
              <w:rPr>
                <w:rFonts w:ascii="Arial" w:eastAsia="MS Mincho" w:hAnsi="Arial" w:cs="Arial"/>
                <w:i/>
                <w:iCs/>
                <w:sz w:val="20"/>
                <w:szCs w:val="20"/>
                <w:lang w:val="en-US" w:eastAsia="zh-CN"/>
              </w:rPr>
              <w:t xml:space="preserve">, interrupt </w:t>
            </w:r>
            <w:r w:rsidR="00F2405A" w:rsidRPr="00851ABA">
              <w:rPr>
                <w:rFonts w:ascii="Arial" w:eastAsia="MS Mincho" w:hAnsi="Arial" w:cs="Arial"/>
                <w:i/>
                <w:iCs/>
                <w:sz w:val="20"/>
                <w:szCs w:val="20"/>
                <w:lang w:val="en-US" w:eastAsia="zh-CN"/>
              </w:rPr>
              <w:t xml:space="preserve">PIQRAY </w:t>
            </w:r>
            <w:r w:rsidRPr="00851ABA">
              <w:rPr>
                <w:rFonts w:ascii="Arial" w:eastAsia="MS Mincho" w:hAnsi="Arial" w:cs="Arial"/>
                <w:i/>
                <w:iCs/>
                <w:sz w:val="20"/>
                <w:szCs w:val="20"/>
                <w:lang w:val="en-US" w:eastAsia="zh-CN"/>
              </w:rPr>
              <w:t xml:space="preserve">dose until recovery to Grade ≤1 and resume at next lower dose level. </w:t>
            </w:r>
          </w:p>
        </w:tc>
      </w:tr>
    </w:tbl>
    <w:p w14:paraId="3C532025" w14:textId="41EF2D91" w:rsidR="009849D5" w:rsidRPr="00C54309" w:rsidRDefault="00F2405A" w:rsidP="00CE5EF6">
      <w:pPr>
        <w:pStyle w:val="Heading2"/>
        <w:numPr>
          <w:ilvl w:val="0"/>
          <w:numId w:val="0"/>
        </w:numPr>
        <w:spacing w:before="120"/>
        <w:ind w:left="357"/>
        <w:rPr>
          <w:b w:val="0"/>
        </w:rPr>
      </w:pPr>
      <w:r w:rsidRPr="00F2405A">
        <w:rPr>
          <w:b w:val="0"/>
        </w:rPr>
        <w:t xml:space="preserve">Special </w:t>
      </w:r>
      <w:r>
        <w:rPr>
          <w:b w:val="0"/>
        </w:rPr>
        <w:t>p</w:t>
      </w:r>
      <w:r w:rsidR="009849D5" w:rsidRPr="00C54309">
        <w:rPr>
          <w:b w:val="0"/>
        </w:rPr>
        <w:t>opulations</w:t>
      </w:r>
    </w:p>
    <w:p w14:paraId="3E854D4A" w14:textId="50306AEB" w:rsidR="00F2405A" w:rsidRDefault="00F2405A" w:rsidP="007500D4">
      <w:pPr>
        <w:pStyle w:val="Heading3"/>
        <w:numPr>
          <w:ilvl w:val="0"/>
          <w:numId w:val="0"/>
        </w:numPr>
        <w:ind w:left="360"/>
        <w:rPr>
          <w:b w:val="0"/>
          <w:i/>
        </w:rPr>
      </w:pPr>
      <w:r w:rsidRPr="00C54309">
        <w:rPr>
          <w:b w:val="0"/>
          <w:i/>
        </w:rPr>
        <w:t>Renal impairment</w:t>
      </w:r>
    </w:p>
    <w:p w14:paraId="6C82A0B2" w14:textId="57E34B25" w:rsidR="00F2405A" w:rsidRPr="007500D4" w:rsidRDefault="00F2405A" w:rsidP="007500D4">
      <w:pPr>
        <w:ind w:left="360"/>
        <w:rPr>
          <w:lang w:val="en-US"/>
        </w:rPr>
      </w:pPr>
      <w:r w:rsidRPr="007500D4">
        <w:rPr>
          <w:lang w:val="en-US"/>
        </w:rPr>
        <w:t xml:space="preserve">Based on population pharmacokinetic analysis, no dose adjustment is necessary in patients with mild or moderate renal impairment (see section </w:t>
      </w:r>
      <w:r w:rsidR="005E2D28">
        <w:rPr>
          <w:lang w:val="en-US"/>
        </w:rPr>
        <w:t>5.1</w:t>
      </w:r>
      <w:r w:rsidRPr="007500D4">
        <w:rPr>
          <w:lang w:val="en-US"/>
        </w:rPr>
        <w:t xml:space="preserve">). Caution should be used in patients with severe renal impairment as there is no experience with PIQRAY in this population (see section </w:t>
      </w:r>
      <w:r w:rsidR="005E2D28">
        <w:rPr>
          <w:lang w:val="en-US"/>
        </w:rPr>
        <w:t>5.1</w:t>
      </w:r>
      <w:r w:rsidRPr="007500D4">
        <w:rPr>
          <w:lang w:val="en-US"/>
        </w:rPr>
        <w:t>).</w:t>
      </w:r>
    </w:p>
    <w:p w14:paraId="1AF2F68A" w14:textId="77777777" w:rsidR="00F2405A" w:rsidRPr="00C54309" w:rsidRDefault="00F2405A" w:rsidP="007500D4">
      <w:pPr>
        <w:pStyle w:val="Heading3"/>
        <w:numPr>
          <w:ilvl w:val="0"/>
          <w:numId w:val="0"/>
        </w:numPr>
        <w:ind w:left="360"/>
        <w:rPr>
          <w:b w:val="0"/>
          <w:i/>
        </w:rPr>
      </w:pPr>
      <w:r w:rsidRPr="00C54309">
        <w:rPr>
          <w:b w:val="0"/>
          <w:i/>
        </w:rPr>
        <w:t>Hepatic impairment</w:t>
      </w:r>
    </w:p>
    <w:p w14:paraId="3AF1A3BD" w14:textId="4944413B" w:rsidR="00F2405A" w:rsidRPr="007500D4" w:rsidRDefault="00F2405A" w:rsidP="007500D4">
      <w:pPr>
        <w:ind w:left="360"/>
        <w:rPr>
          <w:lang w:val="en-US"/>
        </w:rPr>
      </w:pPr>
      <w:r w:rsidRPr="007500D4">
        <w:rPr>
          <w:lang w:val="en-US"/>
        </w:rPr>
        <w:t xml:space="preserve">Based on a hepatic impairment study in non-cancer subjects with impaired hepatic function, no dose adjustment is necessary in patients with mild, moderate and severe hepatic impairment (Child-Pugh class A, B or C, respectively) (see section </w:t>
      </w:r>
      <w:r w:rsidR="005E2D28">
        <w:rPr>
          <w:lang w:val="en-US"/>
        </w:rPr>
        <w:t>5.1</w:t>
      </w:r>
      <w:r w:rsidR="00CE5EF6">
        <w:rPr>
          <w:lang w:val="en-US"/>
        </w:rPr>
        <w:t>).</w:t>
      </w:r>
    </w:p>
    <w:p w14:paraId="317E7B27" w14:textId="6C432488" w:rsidR="00F2405A" w:rsidRPr="00F2405A" w:rsidRDefault="00F2405A" w:rsidP="007500D4">
      <w:pPr>
        <w:pStyle w:val="Heading3"/>
        <w:numPr>
          <w:ilvl w:val="0"/>
          <w:numId w:val="0"/>
        </w:numPr>
        <w:ind w:left="360"/>
        <w:rPr>
          <w:b w:val="0"/>
        </w:rPr>
      </w:pPr>
      <w:r w:rsidRPr="00F2405A">
        <w:rPr>
          <w:b w:val="0"/>
        </w:rPr>
        <w:t xml:space="preserve">Refer to the </w:t>
      </w:r>
      <w:r>
        <w:rPr>
          <w:b w:val="0"/>
        </w:rPr>
        <w:t xml:space="preserve">product </w:t>
      </w:r>
      <w:r w:rsidRPr="00F2405A">
        <w:rPr>
          <w:b w:val="0"/>
        </w:rPr>
        <w:t xml:space="preserve">information of </w:t>
      </w:r>
      <w:proofErr w:type="spellStart"/>
      <w:r w:rsidRPr="00F2405A">
        <w:rPr>
          <w:b w:val="0"/>
        </w:rPr>
        <w:t>fulvestrant</w:t>
      </w:r>
      <w:proofErr w:type="spellEnd"/>
      <w:r w:rsidRPr="00F2405A">
        <w:rPr>
          <w:b w:val="0"/>
        </w:rPr>
        <w:t xml:space="preserve"> for dose modifications related to hepatic impairment.</w:t>
      </w:r>
    </w:p>
    <w:p w14:paraId="5C04F0F0" w14:textId="0DA44CC8" w:rsidR="009849D5" w:rsidRDefault="009849D5" w:rsidP="007500D4">
      <w:pPr>
        <w:pStyle w:val="Heading3"/>
        <w:numPr>
          <w:ilvl w:val="0"/>
          <w:numId w:val="0"/>
        </w:numPr>
        <w:ind w:left="360"/>
        <w:rPr>
          <w:b w:val="0"/>
          <w:i/>
        </w:rPr>
      </w:pPr>
      <w:proofErr w:type="spellStart"/>
      <w:r w:rsidRPr="00C54309">
        <w:rPr>
          <w:b w:val="0"/>
          <w:i/>
        </w:rPr>
        <w:t>Paediatric</w:t>
      </w:r>
      <w:proofErr w:type="spellEnd"/>
      <w:r w:rsidRPr="00C54309">
        <w:rPr>
          <w:b w:val="0"/>
          <w:i/>
        </w:rPr>
        <w:t xml:space="preserve"> </w:t>
      </w:r>
      <w:r w:rsidR="00D87CDE">
        <w:rPr>
          <w:b w:val="0"/>
          <w:i/>
        </w:rPr>
        <w:t>use</w:t>
      </w:r>
    </w:p>
    <w:p w14:paraId="73225E28" w14:textId="238B8626" w:rsidR="00F2405A" w:rsidRPr="007500D4" w:rsidRDefault="00F2405A" w:rsidP="007500D4">
      <w:pPr>
        <w:ind w:left="360"/>
        <w:rPr>
          <w:lang w:val="en-US"/>
        </w:rPr>
      </w:pPr>
      <w:r w:rsidRPr="007500D4">
        <w:rPr>
          <w:lang w:val="en-US"/>
        </w:rPr>
        <w:t xml:space="preserve">The safety and efficacy of PIQRAY in </w:t>
      </w:r>
      <w:proofErr w:type="spellStart"/>
      <w:r w:rsidRPr="007500D4">
        <w:rPr>
          <w:lang w:val="en-US"/>
        </w:rPr>
        <w:t>paediatric</w:t>
      </w:r>
      <w:proofErr w:type="spellEnd"/>
      <w:r w:rsidRPr="007500D4">
        <w:rPr>
          <w:lang w:val="en-US"/>
        </w:rPr>
        <w:t xml:space="preserve"> patients have not been established.</w:t>
      </w:r>
    </w:p>
    <w:p w14:paraId="2FB51D28" w14:textId="2C7A5A1F" w:rsidR="009849D5" w:rsidRPr="00C54309" w:rsidRDefault="00D87CDE" w:rsidP="007500D4">
      <w:pPr>
        <w:pStyle w:val="Heading3"/>
        <w:numPr>
          <w:ilvl w:val="0"/>
          <w:numId w:val="0"/>
        </w:numPr>
        <w:ind w:left="360"/>
        <w:rPr>
          <w:b w:val="0"/>
          <w:i/>
        </w:rPr>
      </w:pPr>
      <w:r>
        <w:rPr>
          <w:b w:val="0"/>
          <w:i/>
        </w:rPr>
        <w:lastRenderedPageBreak/>
        <w:t>Use in the elderly</w:t>
      </w:r>
    </w:p>
    <w:p w14:paraId="5109F83B" w14:textId="18A71C62" w:rsidR="00415174" w:rsidRPr="00F2405A" w:rsidRDefault="00415174" w:rsidP="00415174">
      <w:pPr>
        <w:ind w:left="360"/>
        <w:rPr>
          <w:lang w:val="en-US"/>
        </w:rPr>
      </w:pPr>
      <w:r w:rsidRPr="00F2405A">
        <w:rPr>
          <w:lang w:val="en-US"/>
        </w:rPr>
        <w:t xml:space="preserve">No dosage regimen adjustment is required in patients 65 years or above (see section </w:t>
      </w:r>
      <w:r w:rsidR="005E2D28">
        <w:rPr>
          <w:lang w:val="en-US"/>
        </w:rPr>
        <w:t>5.1</w:t>
      </w:r>
      <w:r w:rsidRPr="00F2405A">
        <w:rPr>
          <w:lang w:val="en-US"/>
        </w:rPr>
        <w:t>).</w:t>
      </w:r>
    </w:p>
    <w:p w14:paraId="5BA24A22" w14:textId="015370DD" w:rsidR="009849D5" w:rsidRDefault="009849D5" w:rsidP="00415174">
      <w:pPr>
        <w:widowControl w:val="0"/>
        <w:ind w:left="360"/>
        <w:rPr>
          <w:u w:val="single"/>
          <w:lang w:val="en-US"/>
        </w:rPr>
      </w:pPr>
      <w:r w:rsidRPr="00C54309">
        <w:rPr>
          <w:u w:val="single"/>
          <w:lang w:val="en-US"/>
        </w:rPr>
        <w:t>Administration</w:t>
      </w:r>
    </w:p>
    <w:p w14:paraId="791D7CD0" w14:textId="11AC4ED5" w:rsidR="00415174" w:rsidRPr="00415174" w:rsidRDefault="00415174" w:rsidP="00415174">
      <w:pPr>
        <w:widowControl w:val="0"/>
        <w:ind w:left="360"/>
        <w:rPr>
          <w:lang w:val="en-US"/>
        </w:rPr>
      </w:pPr>
      <w:r w:rsidRPr="00415174">
        <w:rPr>
          <w:lang w:val="en-US"/>
        </w:rPr>
        <w:t>PIQRAY tablets should be swallowed whole (tablets should not be chewed, crushed or split prior to swallowing). Tablets that are broken, cracked, or otherwise not intact should not be ingested.</w:t>
      </w:r>
    </w:p>
    <w:p w14:paraId="59D1929A" w14:textId="0CAD3605" w:rsidR="003B7F99" w:rsidRPr="00C54309" w:rsidRDefault="003B7F99" w:rsidP="00F974E8">
      <w:pPr>
        <w:pStyle w:val="ListParagraph"/>
        <w:numPr>
          <w:ilvl w:val="0"/>
          <w:numId w:val="4"/>
        </w:numPr>
        <w:autoSpaceDE/>
        <w:autoSpaceDN/>
        <w:adjustRightInd/>
        <w:contextualSpacing/>
        <w:rPr>
          <w:rFonts w:ascii="Times New Roman" w:hAnsi="Times New Roman" w:cs="Times New Roman"/>
          <w:b/>
          <w:sz w:val="24"/>
          <w:szCs w:val="24"/>
        </w:rPr>
      </w:pPr>
      <w:r w:rsidRPr="00C54309">
        <w:rPr>
          <w:rFonts w:ascii="Times New Roman" w:hAnsi="Times New Roman" w:cs="Times New Roman"/>
          <w:b/>
          <w:sz w:val="24"/>
          <w:szCs w:val="24"/>
        </w:rPr>
        <w:t>Contraindications</w:t>
      </w:r>
    </w:p>
    <w:p w14:paraId="57F206B2" w14:textId="32090AC0" w:rsidR="003B7F99" w:rsidRDefault="00A63599" w:rsidP="00C54309">
      <w:pPr>
        <w:ind w:left="360"/>
        <w:rPr>
          <w:lang w:val="en-GB"/>
        </w:rPr>
      </w:pPr>
      <w:r>
        <w:rPr>
          <w:lang w:val="en-GB"/>
        </w:rPr>
        <w:t>PIQRAY</w:t>
      </w:r>
      <w:r w:rsidR="003B7F99" w:rsidRPr="005E7888">
        <w:rPr>
          <w:lang w:val="en-GB"/>
        </w:rPr>
        <w:t xml:space="preserve"> is contraindicated in patients with hypersensitivity to the active substance or any of the excipients (</w:t>
      </w:r>
      <w:r w:rsidR="003B7F99">
        <w:rPr>
          <w:lang w:val="en-GB"/>
        </w:rPr>
        <w:t>s</w:t>
      </w:r>
      <w:r w:rsidR="003B7F99" w:rsidRPr="005E7888">
        <w:rPr>
          <w:lang w:val="en-GB"/>
        </w:rPr>
        <w:t xml:space="preserve">ee </w:t>
      </w:r>
      <w:r w:rsidR="0038265B">
        <w:rPr>
          <w:lang w:val="en-GB"/>
        </w:rPr>
        <w:t>Section 6.1</w:t>
      </w:r>
      <w:r w:rsidR="003278E1">
        <w:rPr>
          <w:lang w:val="en-GB"/>
        </w:rPr>
        <w:t xml:space="preserve"> List of excipients</w:t>
      </w:r>
      <w:r w:rsidR="003B7F99" w:rsidRPr="005E7888">
        <w:rPr>
          <w:lang w:val="en-GB"/>
        </w:rPr>
        <w:t>).</w:t>
      </w:r>
    </w:p>
    <w:p w14:paraId="0B72CEF0" w14:textId="5DFDE6F1" w:rsidR="003B7F99" w:rsidRPr="00C54309" w:rsidRDefault="003B7F99" w:rsidP="00F974E8">
      <w:pPr>
        <w:pStyle w:val="ListParagraph"/>
        <w:numPr>
          <w:ilvl w:val="0"/>
          <w:numId w:val="4"/>
        </w:numPr>
        <w:autoSpaceDE/>
        <w:autoSpaceDN/>
        <w:adjustRightInd/>
        <w:contextualSpacing/>
        <w:rPr>
          <w:rFonts w:ascii="Times New Roman" w:hAnsi="Times New Roman" w:cs="Times New Roman"/>
          <w:b/>
          <w:sz w:val="24"/>
          <w:szCs w:val="24"/>
        </w:rPr>
      </w:pPr>
      <w:r>
        <w:rPr>
          <w:rFonts w:ascii="Times New Roman" w:hAnsi="Times New Roman" w:cs="Times New Roman"/>
          <w:b/>
          <w:sz w:val="24"/>
          <w:szCs w:val="24"/>
        </w:rPr>
        <w:t>Special warnings and p</w:t>
      </w:r>
      <w:r w:rsidRPr="00C54309">
        <w:rPr>
          <w:rFonts w:ascii="Times New Roman" w:hAnsi="Times New Roman" w:cs="Times New Roman"/>
          <w:b/>
          <w:sz w:val="24"/>
          <w:szCs w:val="24"/>
        </w:rPr>
        <w:t>recautions</w:t>
      </w:r>
      <w:r>
        <w:rPr>
          <w:rFonts w:ascii="Times New Roman" w:hAnsi="Times New Roman" w:cs="Times New Roman"/>
          <w:b/>
          <w:sz w:val="24"/>
          <w:szCs w:val="24"/>
        </w:rPr>
        <w:t xml:space="preserve"> for use</w:t>
      </w:r>
    </w:p>
    <w:p w14:paraId="23B469EA" w14:textId="77777777" w:rsidR="00415174" w:rsidRPr="00415174" w:rsidRDefault="00415174" w:rsidP="00415174">
      <w:pPr>
        <w:ind w:left="357"/>
        <w:rPr>
          <w:u w:val="single"/>
        </w:rPr>
      </w:pPr>
      <w:r w:rsidRPr="00415174">
        <w:rPr>
          <w:u w:val="single"/>
        </w:rPr>
        <w:t>Hypersensitivity (including anaphylactic reaction)</w:t>
      </w:r>
    </w:p>
    <w:p w14:paraId="5B500714" w14:textId="18650D6F" w:rsidR="00415174" w:rsidRPr="00415174" w:rsidRDefault="00415174" w:rsidP="00415174">
      <w:pPr>
        <w:ind w:left="357"/>
      </w:pPr>
      <w:r w:rsidRPr="00415174">
        <w:t xml:space="preserve">Serious hypersensitivity reactions (including anaphylactic reaction and anaphylactic shock), manifested by symptoms including, but not limited to, </w:t>
      </w:r>
      <w:r w:rsidR="00C54A08" w:rsidRPr="00415174">
        <w:t>dyspnoea</w:t>
      </w:r>
      <w:r w:rsidRPr="00415174">
        <w:t xml:space="preserve">, flushing, rash, fever or tachycardia were reported in patients treated with PIQRAY in clinical studies (see section </w:t>
      </w:r>
      <w:r>
        <w:t>4.8</w:t>
      </w:r>
      <w:r w:rsidRPr="00415174">
        <w:t xml:space="preserve"> Adverse drug reactions). PIQRAY should be permanently discontinued and should not be re-introduced in patients with serious hypersensitivity reactions. Appropriate treatmen</w:t>
      </w:r>
      <w:r w:rsidR="00CE5EF6">
        <w:t>t should be promptly initiated.</w:t>
      </w:r>
    </w:p>
    <w:p w14:paraId="282C78A3" w14:textId="271B8EF6" w:rsidR="00415174" w:rsidRPr="00415174" w:rsidRDefault="00CE5EF6" w:rsidP="001309BE">
      <w:pPr>
        <w:keepNext/>
        <w:ind w:left="357"/>
        <w:rPr>
          <w:u w:val="single"/>
        </w:rPr>
      </w:pPr>
      <w:r>
        <w:rPr>
          <w:u w:val="single"/>
        </w:rPr>
        <w:t>Severe cutaneous reactions</w:t>
      </w:r>
    </w:p>
    <w:p w14:paraId="4D1CCE0B" w14:textId="57203EC4" w:rsidR="00415174" w:rsidRPr="00415174" w:rsidRDefault="000650BF" w:rsidP="001309BE">
      <w:pPr>
        <w:widowControl w:val="0"/>
        <w:ind w:left="357"/>
      </w:pPr>
      <w:r w:rsidRPr="000650BF">
        <w:rPr>
          <w:lang w:val="en-US"/>
        </w:rPr>
        <w:t>Severe cutaneous reactions have been reported with P</w:t>
      </w:r>
      <w:r>
        <w:rPr>
          <w:lang w:val="en-US"/>
        </w:rPr>
        <w:t>IQRAY</w:t>
      </w:r>
      <w:r w:rsidRPr="000650BF">
        <w:rPr>
          <w:lang w:val="en-US"/>
        </w:rPr>
        <w:t xml:space="preserve">. In the Phase III clinical study, Stevens-Johnson syndrome (SJS) and erythema </w:t>
      </w:r>
      <w:proofErr w:type="spellStart"/>
      <w:r w:rsidRPr="000650BF">
        <w:rPr>
          <w:lang w:val="en-US"/>
        </w:rPr>
        <w:t>multiforme</w:t>
      </w:r>
      <w:proofErr w:type="spellEnd"/>
      <w:r w:rsidRPr="000650BF">
        <w:rPr>
          <w:lang w:val="en-US"/>
        </w:rPr>
        <w:t xml:space="preserve"> (EM) were reported in 1 (0.4%) and 3 (1.1%) patients, respectively. Drug reaction with eosinophilia and systemic symptoms (DRESS) has been reported in the post marketing setting (see section </w:t>
      </w:r>
      <w:r>
        <w:rPr>
          <w:lang w:val="en-US"/>
        </w:rPr>
        <w:t xml:space="preserve">4.8 </w:t>
      </w:r>
      <w:proofErr w:type="gramStart"/>
      <w:r w:rsidRPr="000650BF">
        <w:rPr>
          <w:lang w:val="en-US"/>
        </w:rPr>
        <w:t>Adverse</w:t>
      </w:r>
      <w:proofErr w:type="gramEnd"/>
      <w:r w:rsidRPr="000650BF">
        <w:rPr>
          <w:lang w:val="en-US"/>
        </w:rPr>
        <w:t xml:space="preserve"> </w:t>
      </w:r>
      <w:r>
        <w:rPr>
          <w:lang w:val="en-US"/>
        </w:rPr>
        <w:t>effects</w:t>
      </w:r>
      <w:r w:rsidRPr="000650BF">
        <w:rPr>
          <w:lang w:val="en-US"/>
        </w:rPr>
        <w:t xml:space="preserve">). </w:t>
      </w:r>
      <w:r w:rsidR="00415174" w:rsidRPr="00415174">
        <w:t xml:space="preserve">PIQRAY treatment should not be initiated in patients with history of </w:t>
      </w:r>
      <w:r>
        <w:t>severe cu</w:t>
      </w:r>
      <w:r w:rsidR="008439C6">
        <w:t>taneous re</w:t>
      </w:r>
      <w:r>
        <w:t>a</w:t>
      </w:r>
      <w:r w:rsidR="008439C6">
        <w:t>c</w:t>
      </w:r>
      <w:r>
        <w:t>tions</w:t>
      </w:r>
      <w:r w:rsidR="00415174" w:rsidRPr="00415174">
        <w:t>.</w:t>
      </w:r>
    </w:p>
    <w:p w14:paraId="65196B1D" w14:textId="638B49A4" w:rsidR="00415174" w:rsidRPr="00415174" w:rsidRDefault="00415174" w:rsidP="00415174">
      <w:pPr>
        <w:ind w:left="357"/>
      </w:pPr>
      <w:r w:rsidRPr="00415174">
        <w:t>Patients should be advised of the signs and symptoms of severe cutaneous reactions (</w:t>
      </w:r>
      <w:r w:rsidR="001309BE" w:rsidRPr="00415174">
        <w:t>e.g.</w:t>
      </w:r>
      <w:r w:rsidRPr="00415174">
        <w:t xml:space="preserve"> a </w:t>
      </w:r>
      <w:proofErr w:type="spellStart"/>
      <w:r w:rsidRPr="00415174">
        <w:t>prodrome</w:t>
      </w:r>
      <w:proofErr w:type="spellEnd"/>
      <w:r w:rsidRPr="00415174">
        <w:t xml:space="preserve"> of fever, flu-like symptoms, mucosal lesions or progressive skin rash). If signs or symptoms of severe cutaneous reactions are present, PIQRAY should be interrupted until the </w:t>
      </w:r>
      <w:proofErr w:type="spellStart"/>
      <w:r w:rsidRPr="00415174">
        <w:t>etiology</w:t>
      </w:r>
      <w:proofErr w:type="spellEnd"/>
      <w:r w:rsidRPr="00415174">
        <w:t xml:space="preserve"> of the reaction has been determined. A consultation with dermatologist is recommended. If </w:t>
      </w:r>
      <w:r w:rsidR="008439C6">
        <w:t xml:space="preserve">a severe cutaneous reaction </w:t>
      </w:r>
      <w:r w:rsidRPr="00415174">
        <w:t xml:space="preserve">is confirmed, PIQRAY should be permanently discontinued. </w:t>
      </w:r>
      <w:r w:rsidR="00E16761" w:rsidRPr="00415174">
        <w:t>PIQRAY</w:t>
      </w:r>
      <w:r w:rsidRPr="00415174">
        <w:t xml:space="preserve"> should not be reintroduced in patients who have experienced previous severe cutaneous reactions. If </w:t>
      </w:r>
      <w:r w:rsidR="008439C6">
        <w:t>a severe cutaneous reaction is</w:t>
      </w:r>
      <w:r w:rsidRPr="00415174">
        <w:t xml:space="preserve"> not confirmed, PIQRAY may require treatment interruption, dose reduction, or treatment discontinuation as described in Table</w:t>
      </w:r>
      <w:r>
        <w:t xml:space="preserve"> </w:t>
      </w:r>
      <w:r w:rsidRPr="00415174">
        <w:t xml:space="preserve">3 Dose </w:t>
      </w:r>
      <w:r w:rsidR="008439C6">
        <w:t>m</w:t>
      </w:r>
      <w:r w:rsidRPr="00415174">
        <w:t xml:space="preserve">odification and </w:t>
      </w:r>
      <w:r w:rsidR="008439C6">
        <w:t>m</w:t>
      </w:r>
      <w:r w:rsidRPr="00415174">
        <w:t>anagement for rash (see section 4</w:t>
      </w:r>
      <w:r>
        <w:t>.2</w:t>
      </w:r>
      <w:r w:rsidRPr="00415174">
        <w:t xml:space="preserve"> Dosage and</w:t>
      </w:r>
      <w:r>
        <w:t xml:space="preserve"> method of</w:t>
      </w:r>
      <w:r w:rsidR="00CE5EF6">
        <w:t xml:space="preserve"> administration).</w:t>
      </w:r>
    </w:p>
    <w:p w14:paraId="1B2F1FB0" w14:textId="512F385C" w:rsidR="00415174" w:rsidRPr="00415174" w:rsidRDefault="00CE5EF6" w:rsidP="00415174">
      <w:pPr>
        <w:ind w:left="357"/>
        <w:rPr>
          <w:u w:val="single"/>
        </w:rPr>
      </w:pPr>
      <w:r>
        <w:rPr>
          <w:u w:val="single"/>
        </w:rPr>
        <w:t>Hyperglycaemia</w:t>
      </w:r>
    </w:p>
    <w:p w14:paraId="79DF68D8" w14:textId="325A6647" w:rsidR="00415174" w:rsidRPr="00415174" w:rsidRDefault="00415174" w:rsidP="00502656">
      <w:pPr>
        <w:widowControl w:val="0"/>
        <w:ind w:left="357"/>
      </w:pPr>
      <w:r w:rsidRPr="00415174">
        <w:t>Hyperglycaemia was reported in 64.8% of patients treated with PIQRAY in the phase III clinical study. Grade 2 (FPG 160 – 250 mg/</w:t>
      </w:r>
      <w:proofErr w:type="spellStart"/>
      <w:r w:rsidRPr="00415174">
        <w:t>dL</w:t>
      </w:r>
      <w:proofErr w:type="spellEnd"/>
      <w:r w:rsidRPr="00415174">
        <w:t>), 3 (FPG &gt;250 – 500 mg/</w:t>
      </w:r>
      <w:proofErr w:type="spellStart"/>
      <w:r w:rsidRPr="00415174">
        <w:t>dL</w:t>
      </w:r>
      <w:proofErr w:type="spellEnd"/>
      <w:r w:rsidRPr="00415174">
        <w:t>) or 4 (FPG &gt; 500 mg/</w:t>
      </w:r>
      <w:proofErr w:type="spellStart"/>
      <w:r w:rsidRPr="00415174">
        <w:t>dL</w:t>
      </w:r>
      <w:proofErr w:type="spellEnd"/>
      <w:r w:rsidRPr="00415174">
        <w:t xml:space="preserve">) hyperglycaemia were reported in 15.8%, 33.1% and 3.9% of patients, respectively, in phase III clinical study. Patients should be advised of the signs and symptoms of hyperglycaemia (e.g. excessive thirst, urinating more often than usual or higher amount of urine than usual, </w:t>
      </w:r>
      <w:r w:rsidR="001309BE" w:rsidRPr="00415174">
        <w:t>and increased</w:t>
      </w:r>
      <w:r>
        <w:t xml:space="preserve"> appetite with weight loss)</w:t>
      </w:r>
      <w:r w:rsidR="00CE5EF6">
        <w:t>.</w:t>
      </w:r>
    </w:p>
    <w:p w14:paraId="0AC6125E" w14:textId="3ACCC709" w:rsidR="00415174" w:rsidRPr="00415174" w:rsidRDefault="00415174" w:rsidP="00415174">
      <w:pPr>
        <w:ind w:left="357"/>
      </w:pPr>
      <w:r w:rsidRPr="00415174">
        <w:t>In the phase III clinical study, based on baseline FPG and HbA1c values, 56% of patients were considered pre-diabetic (FPG &gt; 100-126 mg/</w:t>
      </w:r>
      <w:proofErr w:type="spellStart"/>
      <w:r w:rsidRPr="00415174">
        <w:t>dL</w:t>
      </w:r>
      <w:proofErr w:type="spellEnd"/>
      <w:r w:rsidRPr="00415174">
        <w:t xml:space="preserve"> (5.6 to 6.9 </w:t>
      </w:r>
      <w:proofErr w:type="spellStart"/>
      <w:r w:rsidRPr="00415174">
        <w:t>mmol</w:t>
      </w:r>
      <w:proofErr w:type="spellEnd"/>
      <w:r w:rsidRPr="00415174">
        <w:t>/L) and/or HbA1c 5.7-6.4%) and 4.2% of patients were considered diabetic (FPG ≥ 126 mg/</w:t>
      </w:r>
      <w:proofErr w:type="spellStart"/>
      <w:r w:rsidRPr="00415174">
        <w:t>dL</w:t>
      </w:r>
      <w:proofErr w:type="spellEnd"/>
      <w:r w:rsidRPr="00415174">
        <w:t xml:space="preserve"> (≥7.0 </w:t>
      </w:r>
      <w:proofErr w:type="spellStart"/>
      <w:r w:rsidRPr="00415174">
        <w:t>mmol</w:t>
      </w:r>
      <w:proofErr w:type="spellEnd"/>
      <w:r w:rsidRPr="00415174">
        <w:t>/L) and/or HbA1c ≥ 6.5 %). There were no patients with type 1 diabetes mellitus based on reported medical history in the phase III clinical study. Among those pre-diabetic patients at baseline, 74.2% experienced hyperglycaemia (any Grade) when treated with PIQRAY. Among the patients who had Grade ≥</w:t>
      </w:r>
      <w:r w:rsidR="001309BE">
        <w:t xml:space="preserve"> </w:t>
      </w:r>
      <w:r w:rsidRPr="00415174">
        <w:t>2 (FPG 160 – 250 mg/</w:t>
      </w:r>
      <w:proofErr w:type="spellStart"/>
      <w:r w:rsidRPr="00415174">
        <w:t>dL</w:t>
      </w:r>
      <w:proofErr w:type="spellEnd"/>
      <w:r w:rsidRPr="00415174">
        <w:t>) hyperglycaemia , the median time to first occurrence of Grade ≥</w:t>
      </w:r>
      <w:r w:rsidR="001309BE">
        <w:t xml:space="preserve"> </w:t>
      </w:r>
      <w:r w:rsidRPr="00415174">
        <w:t>2 (FPG &gt; 160 – 250 mg/</w:t>
      </w:r>
      <w:proofErr w:type="spellStart"/>
      <w:r w:rsidRPr="00415174">
        <w:t>dL</w:t>
      </w:r>
      <w:proofErr w:type="spellEnd"/>
      <w:r w:rsidRPr="00415174">
        <w:t>) hyperglycaemia was 15 days (range: 5 days to 517 days) (based on laboratory findings). The median duration of Grade 2 (FPG &gt; 160 – 250 mg/</w:t>
      </w:r>
      <w:proofErr w:type="spellStart"/>
      <w:r w:rsidRPr="00415174">
        <w:t>dL</w:t>
      </w:r>
      <w:proofErr w:type="spellEnd"/>
      <w:r w:rsidRPr="00415174">
        <w:t>) or higher hyperglycaemia (based on laboratory findings) was 10 days (95% CI: 8 to 13 days).</w:t>
      </w:r>
    </w:p>
    <w:p w14:paraId="6BBB6934" w14:textId="7BE12D83" w:rsidR="00415174" w:rsidRPr="00415174" w:rsidRDefault="00415174" w:rsidP="00415174">
      <w:pPr>
        <w:ind w:left="357"/>
      </w:pPr>
      <w:r w:rsidRPr="00415174">
        <w:lastRenderedPageBreak/>
        <w:t>In the phase III clinical study, in patients with hyperglycaemia, 163/187 (87.2%) were managed with anti-diabetic medication and 142/187 (75.9%) reported use of metformin as single agent or in combination with other anti-diabetic medication. The maximum dose of metformin recommended in phase III clin</w:t>
      </w:r>
      <w:r w:rsidR="00CE5EF6">
        <w:t>ical study was 2000 mg per day.</w:t>
      </w:r>
    </w:p>
    <w:p w14:paraId="0FBFCD8E" w14:textId="45AEFF88" w:rsidR="00415174" w:rsidRPr="00415174" w:rsidRDefault="00415174" w:rsidP="00415174">
      <w:pPr>
        <w:ind w:left="357"/>
      </w:pPr>
      <w:r w:rsidRPr="00415174">
        <w:t>In patients with hyperglycaemia of at least Grade 2 (FPG 160 – 250 mg/</w:t>
      </w:r>
      <w:proofErr w:type="spellStart"/>
      <w:r w:rsidRPr="00415174">
        <w:t>dL</w:t>
      </w:r>
      <w:proofErr w:type="spellEnd"/>
      <w:r w:rsidRPr="00415174">
        <w:t xml:space="preserve">), median time to improvement by at least 1 Grade of the first event was 8 days (95% CI of 8 to 10 days). In all patients with elevated FPG, who continued </w:t>
      </w:r>
      <w:proofErr w:type="spellStart"/>
      <w:r w:rsidRPr="00415174">
        <w:t>fulvestrant</w:t>
      </w:r>
      <w:proofErr w:type="spellEnd"/>
      <w:r w:rsidRPr="00415174">
        <w:t xml:space="preserve"> treatment after discontinuing PIQRAY, all FPG levels</w:t>
      </w:r>
      <w:r w:rsidR="00CE5EF6">
        <w:t xml:space="preserve"> returned to baseline (normal).</w:t>
      </w:r>
    </w:p>
    <w:p w14:paraId="4C3D7629" w14:textId="74506206" w:rsidR="00415174" w:rsidRPr="00415174" w:rsidRDefault="00415174" w:rsidP="00415174">
      <w:pPr>
        <w:ind w:left="357"/>
      </w:pPr>
      <w:r w:rsidRPr="00415174">
        <w:t xml:space="preserve">In the phase III clinical study, patients with a history of diabetes mellitus intensified anti-diabetic medication(s) while on treatment with PIQRAY; therefore these patients require monitoring and possibly intensified anti-diabetic treatment. Patients with poor </w:t>
      </w:r>
      <w:r w:rsidR="00802DD1" w:rsidRPr="00415174">
        <w:t>glycaemic</w:t>
      </w:r>
      <w:r w:rsidRPr="00415174">
        <w:t xml:space="preserve"> control may be at a higher risk of developing severe hyperglycaemia and associated complications.</w:t>
      </w:r>
    </w:p>
    <w:p w14:paraId="6CEAD7DC" w14:textId="3B873F32" w:rsidR="00415174" w:rsidRPr="00415174" w:rsidRDefault="0011043D" w:rsidP="00415174">
      <w:pPr>
        <w:ind w:left="357"/>
      </w:pPr>
      <w:r>
        <w:t xml:space="preserve">The safety of PIQRAY in patients with Type 1 and uncontrolled Type 2 diabetes has not been established as these patients were excluded from the Phase III clinical study. </w:t>
      </w:r>
      <w:r w:rsidR="00415174" w:rsidRPr="00415174">
        <w:t xml:space="preserve">Based on the severity of the hyperglycaemia, </w:t>
      </w:r>
      <w:r w:rsidR="00E16761" w:rsidRPr="00415174">
        <w:t>PIQRAY</w:t>
      </w:r>
      <w:r w:rsidR="00415174" w:rsidRPr="00415174">
        <w:t xml:space="preserve"> may require dose interruption, reduction, or discontinuation as described in Table 2 Dose Modification and Management for hyperglycaemia</w:t>
      </w:r>
      <w:r w:rsidR="00802DD1">
        <w:t xml:space="preserve"> </w:t>
      </w:r>
      <w:r w:rsidR="00415174" w:rsidRPr="00415174">
        <w:t>(see section 4</w:t>
      </w:r>
      <w:r w:rsidR="00415174">
        <w:t>.2</w:t>
      </w:r>
      <w:r w:rsidR="00415174" w:rsidRPr="00415174">
        <w:t xml:space="preserve"> Dosa</w:t>
      </w:r>
      <w:r w:rsidR="00CE5EF6">
        <w:t>ge regimen and administration).</w:t>
      </w:r>
    </w:p>
    <w:p w14:paraId="08681261" w14:textId="147D1431" w:rsidR="00415174" w:rsidRPr="00415174" w:rsidRDefault="00CE5EF6" w:rsidP="00415174">
      <w:pPr>
        <w:ind w:left="357"/>
        <w:rPr>
          <w:u w:val="single"/>
        </w:rPr>
      </w:pPr>
      <w:r>
        <w:rPr>
          <w:u w:val="single"/>
        </w:rPr>
        <w:t>Pneumonitis</w:t>
      </w:r>
    </w:p>
    <w:p w14:paraId="1D657512" w14:textId="345B1BB0" w:rsidR="003B7F99" w:rsidRDefault="00415174" w:rsidP="00415174">
      <w:pPr>
        <w:ind w:left="357"/>
      </w:pPr>
      <w:r w:rsidRPr="00415174">
        <w:t xml:space="preserve">Pneumonitis including serious cases of pneumonitis/acute interstitial lung disease have been reported in PIQRAY treated patients in clinical studies. Patients should be advised to promptly report any new or worsening respiratory symptoms. In patients who have new or worsening respiratory symptoms or are suspected to have developed pneumonitis, PIQRAY treatment should be interrupted immediately and the patient should be evaluated for pneumonitis. A diagnosis of non-infectious pneumonitis should be considered in patients presenting with non-specific respiratory signs and symptoms such as hypoxia, cough, </w:t>
      </w:r>
      <w:r w:rsidR="00C54A08" w:rsidRPr="00415174">
        <w:t>dyspnoea</w:t>
      </w:r>
      <w:r w:rsidRPr="00415174">
        <w:t>, or interstitial infiltrates on radiologic exams and in whom infectious, neoplastic, and other causes have been excluded by means of appropriate investigations. PIQRAY should be permanently discontinued in all patients with confirmed pneumonitis.</w:t>
      </w:r>
    </w:p>
    <w:p w14:paraId="22FB35DA" w14:textId="4EEF26F5" w:rsidR="0011043D" w:rsidRPr="00DA6548" w:rsidRDefault="0011043D" w:rsidP="00DA6548">
      <w:pPr>
        <w:ind w:left="284"/>
        <w:rPr>
          <w:u w:val="single"/>
        </w:rPr>
      </w:pPr>
      <w:r w:rsidRPr="00DA6548">
        <w:rPr>
          <w:u w:val="single"/>
        </w:rPr>
        <w:t>Diarrhoea</w:t>
      </w:r>
    </w:p>
    <w:p w14:paraId="23C4CE9D" w14:textId="5A6C5E27" w:rsidR="0011043D" w:rsidRDefault="0011043D" w:rsidP="00CE5EF6">
      <w:pPr>
        <w:spacing w:line="240" w:lineRule="auto"/>
        <w:ind w:left="284"/>
        <w:rPr>
          <w:lang w:val="en-US" w:eastAsia="en-US"/>
        </w:rPr>
      </w:pPr>
      <w:r>
        <w:rPr>
          <w:lang w:val="en-US" w:eastAsia="en-US"/>
        </w:rPr>
        <w:t xml:space="preserve">Severe </w:t>
      </w:r>
      <w:proofErr w:type="spellStart"/>
      <w:r>
        <w:rPr>
          <w:lang w:val="en-US" w:eastAsia="en-US"/>
        </w:rPr>
        <w:t>diarrh</w:t>
      </w:r>
      <w:r w:rsidR="00DA6548">
        <w:rPr>
          <w:lang w:val="en-US" w:eastAsia="en-US"/>
        </w:rPr>
        <w:t>o</w:t>
      </w:r>
      <w:r>
        <w:rPr>
          <w:lang w:val="en-US" w:eastAsia="en-US"/>
        </w:rPr>
        <w:t>ea</w:t>
      </w:r>
      <w:proofErr w:type="spellEnd"/>
      <w:r>
        <w:rPr>
          <w:lang w:val="en-US" w:eastAsia="en-US"/>
        </w:rPr>
        <w:t>, including dehydration and acute kidney injury, occurred in patients treated with PIQRAY.</w:t>
      </w:r>
      <w:r w:rsidR="00DA6548">
        <w:rPr>
          <w:lang w:val="en-US" w:eastAsia="en-US"/>
        </w:rPr>
        <w:t xml:space="preserve"> </w:t>
      </w:r>
      <w:r>
        <w:rPr>
          <w:lang w:val="en-US" w:eastAsia="en-US"/>
        </w:rPr>
        <w:t xml:space="preserve">Most patients (58%) experienced </w:t>
      </w:r>
      <w:proofErr w:type="spellStart"/>
      <w:r w:rsidR="00F059E2">
        <w:rPr>
          <w:lang w:val="en-US" w:eastAsia="en-US"/>
        </w:rPr>
        <w:t>diarrhoea</w:t>
      </w:r>
      <w:proofErr w:type="spellEnd"/>
      <w:r>
        <w:rPr>
          <w:lang w:val="en-US" w:eastAsia="en-US"/>
        </w:rPr>
        <w:t xml:space="preserve"> during treatment with PIQRAY. Grade 3 </w:t>
      </w:r>
      <w:proofErr w:type="spellStart"/>
      <w:r w:rsidR="00F059E2">
        <w:rPr>
          <w:lang w:val="en-US" w:eastAsia="en-US"/>
        </w:rPr>
        <w:t>diarrhoea</w:t>
      </w:r>
      <w:proofErr w:type="spellEnd"/>
      <w:r>
        <w:rPr>
          <w:lang w:val="en-US" w:eastAsia="en-US"/>
        </w:rPr>
        <w:t xml:space="preserve"> occurred in 7%</w:t>
      </w:r>
      <w:r w:rsidR="00DA6548">
        <w:rPr>
          <w:lang w:val="en-US" w:eastAsia="en-US"/>
        </w:rPr>
        <w:t xml:space="preserve"> </w:t>
      </w:r>
      <w:r>
        <w:rPr>
          <w:lang w:val="en-US" w:eastAsia="en-US"/>
        </w:rPr>
        <w:t xml:space="preserve">(n = 19) of patients. Among patients with Grade 2 or 3 </w:t>
      </w:r>
      <w:proofErr w:type="spellStart"/>
      <w:r w:rsidR="00F059E2">
        <w:rPr>
          <w:lang w:val="en-US" w:eastAsia="en-US"/>
        </w:rPr>
        <w:t>diarrhoea</w:t>
      </w:r>
      <w:proofErr w:type="spellEnd"/>
      <w:r>
        <w:rPr>
          <w:lang w:val="en-US" w:eastAsia="en-US"/>
        </w:rPr>
        <w:t xml:space="preserve"> (n = 71), the median time to onset was 46 days</w:t>
      </w:r>
      <w:r w:rsidR="00DA6548">
        <w:rPr>
          <w:lang w:val="en-US" w:eastAsia="en-US"/>
        </w:rPr>
        <w:t xml:space="preserve"> </w:t>
      </w:r>
      <w:r>
        <w:rPr>
          <w:lang w:val="en-US" w:eastAsia="en-US"/>
        </w:rPr>
        <w:t>(range: 1 to 442 days).</w:t>
      </w:r>
    </w:p>
    <w:p w14:paraId="6E2841A5" w14:textId="43F4A9FF" w:rsidR="0011043D" w:rsidRDefault="0011043D" w:rsidP="00CE5EF6">
      <w:pPr>
        <w:spacing w:line="240" w:lineRule="auto"/>
        <w:ind w:left="284"/>
        <w:rPr>
          <w:lang w:val="en-US" w:eastAsia="en-US"/>
        </w:rPr>
      </w:pPr>
      <w:r>
        <w:rPr>
          <w:lang w:val="en-US" w:eastAsia="en-US"/>
        </w:rPr>
        <w:t>Dose reductions of PIQRAY were required in 6% of patients and 2.8% of patients permanently discontinued</w:t>
      </w:r>
      <w:r w:rsidR="00DA6548">
        <w:rPr>
          <w:lang w:val="en-US" w:eastAsia="en-US"/>
        </w:rPr>
        <w:t xml:space="preserve"> </w:t>
      </w:r>
      <w:r>
        <w:rPr>
          <w:lang w:val="en-US" w:eastAsia="en-US"/>
        </w:rPr>
        <w:t xml:space="preserve">PIQRAY due to </w:t>
      </w:r>
      <w:proofErr w:type="spellStart"/>
      <w:r w:rsidR="00F059E2">
        <w:rPr>
          <w:lang w:val="en-US" w:eastAsia="en-US"/>
        </w:rPr>
        <w:t>diarrhoea</w:t>
      </w:r>
      <w:proofErr w:type="spellEnd"/>
      <w:r>
        <w:rPr>
          <w:lang w:val="en-US" w:eastAsia="en-US"/>
        </w:rPr>
        <w:t xml:space="preserve">. In the 164 patients that experienced </w:t>
      </w:r>
      <w:proofErr w:type="spellStart"/>
      <w:r w:rsidR="00F059E2">
        <w:rPr>
          <w:lang w:val="en-US" w:eastAsia="en-US"/>
        </w:rPr>
        <w:t>diarrhoea</w:t>
      </w:r>
      <w:proofErr w:type="spellEnd"/>
      <w:r>
        <w:rPr>
          <w:lang w:val="en-US" w:eastAsia="en-US"/>
        </w:rPr>
        <w:t>, anti-</w:t>
      </w:r>
      <w:proofErr w:type="spellStart"/>
      <w:r w:rsidR="00F059E2">
        <w:rPr>
          <w:lang w:val="en-US" w:eastAsia="en-US"/>
        </w:rPr>
        <w:t>diarrhoea</w:t>
      </w:r>
      <w:r>
        <w:rPr>
          <w:lang w:val="en-US" w:eastAsia="en-US"/>
        </w:rPr>
        <w:t>l</w:t>
      </w:r>
      <w:proofErr w:type="spellEnd"/>
      <w:r>
        <w:rPr>
          <w:lang w:val="en-US" w:eastAsia="en-US"/>
        </w:rPr>
        <w:t xml:space="preserve"> medications</w:t>
      </w:r>
      <w:r w:rsidR="00DA6548">
        <w:rPr>
          <w:lang w:val="en-US" w:eastAsia="en-US"/>
        </w:rPr>
        <w:t xml:space="preserve"> </w:t>
      </w:r>
      <w:r>
        <w:rPr>
          <w:lang w:val="en-US" w:eastAsia="en-US"/>
        </w:rPr>
        <w:t xml:space="preserve">(e.g., </w:t>
      </w:r>
      <w:proofErr w:type="spellStart"/>
      <w:r>
        <w:rPr>
          <w:lang w:val="en-US" w:eastAsia="en-US"/>
        </w:rPr>
        <w:t>loperamide</w:t>
      </w:r>
      <w:proofErr w:type="spellEnd"/>
      <w:r>
        <w:rPr>
          <w:lang w:val="en-US" w:eastAsia="en-US"/>
        </w:rPr>
        <w:t>) were required to manage symptoms in 63% (104/164) of these patients.</w:t>
      </w:r>
    </w:p>
    <w:p w14:paraId="47B66822" w14:textId="1CADAF0A" w:rsidR="0011043D" w:rsidRDefault="0011043D" w:rsidP="00CE5EF6">
      <w:pPr>
        <w:spacing w:line="240" w:lineRule="auto"/>
        <w:ind w:left="284"/>
        <w:rPr>
          <w:lang w:val="en-US" w:eastAsia="en-US"/>
        </w:rPr>
      </w:pPr>
      <w:r>
        <w:rPr>
          <w:lang w:val="en-US" w:eastAsia="en-US"/>
        </w:rPr>
        <w:t xml:space="preserve">Based on the severity of the </w:t>
      </w:r>
      <w:proofErr w:type="spellStart"/>
      <w:r w:rsidR="00F059E2">
        <w:rPr>
          <w:lang w:val="en-US" w:eastAsia="en-US"/>
        </w:rPr>
        <w:t>diarrhoea</w:t>
      </w:r>
      <w:proofErr w:type="spellEnd"/>
      <w:r>
        <w:rPr>
          <w:lang w:val="en-US" w:eastAsia="en-US"/>
        </w:rPr>
        <w:t>, PIQRAY may require dose interruption, reduction, or discontinuation as</w:t>
      </w:r>
      <w:r w:rsidR="00DA6548">
        <w:rPr>
          <w:lang w:val="en-US" w:eastAsia="en-US"/>
        </w:rPr>
        <w:t xml:space="preserve"> </w:t>
      </w:r>
      <w:r>
        <w:rPr>
          <w:lang w:val="en-US" w:eastAsia="en-US"/>
        </w:rPr>
        <w:t xml:space="preserve">described in Table 4 </w:t>
      </w:r>
      <w:r w:rsidR="00DA6548">
        <w:rPr>
          <w:lang w:val="en-US" w:eastAsia="en-US"/>
        </w:rPr>
        <w:t xml:space="preserve">(see section 4.2 Dose and method of administration). </w:t>
      </w:r>
      <w:proofErr w:type="gramStart"/>
      <w:r>
        <w:rPr>
          <w:lang w:val="en-US" w:eastAsia="en-US"/>
        </w:rPr>
        <w:t>Advise</w:t>
      </w:r>
      <w:proofErr w:type="gramEnd"/>
      <w:r>
        <w:rPr>
          <w:lang w:val="en-US" w:eastAsia="en-US"/>
        </w:rPr>
        <w:t xml:space="preserve"> patients to start </w:t>
      </w:r>
      <w:proofErr w:type="spellStart"/>
      <w:r>
        <w:rPr>
          <w:lang w:val="en-US" w:eastAsia="en-US"/>
        </w:rPr>
        <w:t>anti</w:t>
      </w:r>
      <w:r w:rsidR="00F059E2">
        <w:rPr>
          <w:lang w:val="en-US" w:eastAsia="en-US"/>
        </w:rPr>
        <w:t>diarrhoea</w:t>
      </w:r>
      <w:r>
        <w:rPr>
          <w:lang w:val="en-US" w:eastAsia="en-US"/>
        </w:rPr>
        <w:t>l</w:t>
      </w:r>
      <w:proofErr w:type="spellEnd"/>
      <w:r>
        <w:rPr>
          <w:lang w:val="en-US" w:eastAsia="en-US"/>
        </w:rPr>
        <w:t xml:space="preserve"> treatment, increase oral fluids, and notify their healthcare provider if</w:t>
      </w:r>
      <w:r w:rsidR="00DA6548">
        <w:rPr>
          <w:lang w:val="en-US" w:eastAsia="en-US"/>
        </w:rPr>
        <w:t xml:space="preserve"> </w:t>
      </w:r>
      <w:proofErr w:type="spellStart"/>
      <w:r w:rsidR="00F059E2">
        <w:rPr>
          <w:lang w:val="en-US" w:eastAsia="en-US"/>
        </w:rPr>
        <w:t>diarrhoea</w:t>
      </w:r>
      <w:proofErr w:type="spellEnd"/>
      <w:r>
        <w:rPr>
          <w:lang w:val="en-US" w:eastAsia="en-US"/>
        </w:rPr>
        <w:t xml:space="preserve"> occurs while taking PIQRAY.</w:t>
      </w:r>
    </w:p>
    <w:p w14:paraId="30A66D0C" w14:textId="50108889" w:rsidR="00803F0D" w:rsidRDefault="00803F0D" w:rsidP="007500D4">
      <w:pPr>
        <w:pStyle w:val="Heading2"/>
        <w:keepNext w:val="0"/>
        <w:widowControl w:val="0"/>
        <w:numPr>
          <w:ilvl w:val="0"/>
          <w:numId w:val="0"/>
        </w:numPr>
        <w:spacing w:after="60" w:line="240" w:lineRule="auto"/>
        <w:ind w:left="357"/>
        <w:rPr>
          <w:b w:val="0"/>
        </w:rPr>
      </w:pPr>
      <w:r w:rsidRPr="008724D6">
        <w:rPr>
          <w:b w:val="0"/>
        </w:rPr>
        <w:t>Effects on laboratory tests</w:t>
      </w:r>
    </w:p>
    <w:p w14:paraId="2552CC02" w14:textId="5A06604D" w:rsidR="00415174" w:rsidRDefault="005E2D28" w:rsidP="00CE5EF6">
      <w:pPr>
        <w:pStyle w:val="Heading2"/>
        <w:keepNext w:val="0"/>
        <w:widowControl w:val="0"/>
        <w:numPr>
          <w:ilvl w:val="0"/>
          <w:numId w:val="0"/>
        </w:numPr>
        <w:spacing w:line="240" w:lineRule="auto"/>
        <w:ind w:left="357"/>
        <w:rPr>
          <w:b w:val="0"/>
          <w:u w:val="none"/>
        </w:rPr>
      </w:pPr>
      <w:r>
        <w:rPr>
          <w:b w:val="0"/>
          <w:u w:val="none"/>
        </w:rPr>
        <w:t xml:space="preserve">Refer to Table </w:t>
      </w:r>
      <w:r w:rsidR="00425194">
        <w:rPr>
          <w:b w:val="0"/>
          <w:u w:val="none"/>
        </w:rPr>
        <w:t>7</w:t>
      </w:r>
      <w:r w:rsidR="00CE5EF6">
        <w:rPr>
          <w:b w:val="0"/>
          <w:u w:val="none"/>
        </w:rPr>
        <w:t>.</w:t>
      </w:r>
    </w:p>
    <w:p w14:paraId="11374E95" w14:textId="45F0BD88" w:rsidR="00F71E31" w:rsidRDefault="00F71E31" w:rsidP="00F974E8">
      <w:pPr>
        <w:pStyle w:val="ListParagraph"/>
        <w:numPr>
          <w:ilvl w:val="0"/>
          <w:numId w:val="4"/>
        </w:numPr>
        <w:autoSpaceDE/>
        <w:autoSpaceDN/>
        <w:adjustRightInd/>
        <w:contextualSpacing/>
        <w:rPr>
          <w:rFonts w:ascii="Times New Roman" w:hAnsi="Times New Roman" w:cs="Times New Roman"/>
          <w:b/>
          <w:sz w:val="24"/>
          <w:szCs w:val="24"/>
        </w:rPr>
      </w:pPr>
      <w:r w:rsidRPr="00F71E31">
        <w:rPr>
          <w:rFonts w:ascii="Times New Roman" w:hAnsi="Times New Roman" w:cs="Times New Roman"/>
          <w:b/>
          <w:sz w:val="24"/>
          <w:szCs w:val="24"/>
        </w:rPr>
        <w:t>Interactions with other medicines</w:t>
      </w:r>
      <w:r w:rsidRPr="00F71E31">
        <w:t xml:space="preserve"> </w:t>
      </w:r>
      <w:r w:rsidRPr="00F71E31">
        <w:rPr>
          <w:rFonts w:ascii="Times New Roman" w:hAnsi="Times New Roman" w:cs="Times New Roman"/>
          <w:b/>
          <w:sz w:val="24"/>
          <w:szCs w:val="24"/>
        </w:rPr>
        <w:t>and other forms of interactions</w:t>
      </w:r>
    </w:p>
    <w:p w14:paraId="3FA3EDFC" w14:textId="38ADF3B9" w:rsidR="00415174" w:rsidRDefault="007500D4" w:rsidP="007500D4">
      <w:pPr>
        <w:autoSpaceDE/>
        <w:autoSpaceDN/>
        <w:adjustRightInd/>
        <w:ind w:left="357"/>
        <w:contextualSpacing/>
      </w:pPr>
      <w:r w:rsidRPr="007500D4">
        <w:t xml:space="preserve">The elimination of </w:t>
      </w:r>
      <w:proofErr w:type="spellStart"/>
      <w:r w:rsidRPr="007500D4">
        <w:t>alpelisib</w:t>
      </w:r>
      <w:proofErr w:type="spellEnd"/>
      <w:r w:rsidRPr="007500D4">
        <w:t xml:space="preserve"> is majorly driven by non-hepatic hydrolysis (45%), mediated by multiple enzymes (</w:t>
      </w:r>
      <w:proofErr w:type="spellStart"/>
      <w:r w:rsidRPr="007500D4">
        <w:t>esterases</w:t>
      </w:r>
      <w:proofErr w:type="spellEnd"/>
      <w:r w:rsidRPr="007500D4">
        <w:t xml:space="preserve">, amidases, choline esterase) and excretion by hepatobiliary export and intestinal secretion (40%). The overall contribution of CYP3A4 to the overall metabolism and </w:t>
      </w:r>
      <w:r w:rsidRPr="007500D4">
        <w:lastRenderedPageBreak/>
        <w:t xml:space="preserve">clearance of </w:t>
      </w:r>
      <w:proofErr w:type="spellStart"/>
      <w:r w:rsidRPr="007500D4">
        <w:t>alpelisib</w:t>
      </w:r>
      <w:proofErr w:type="spellEnd"/>
      <w:r w:rsidRPr="007500D4">
        <w:t xml:space="preserve"> was shown to be low in humans (≤</w:t>
      </w:r>
      <w:r w:rsidR="001309BE">
        <w:t xml:space="preserve"> </w:t>
      </w:r>
      <w:r w:rsidRPr="007500D4">
        <w:t>15%) and therefore PIQRAY can be administered without any dose adjustments with drugs that are CYP3A4 inhibitors or inducers.</w:t>
      </w:r>
    </w:p>
    <w:p w14:paraId="07E3C715" w14:textId="77777777" w:rsidR="007500D4" w:rsidRPr="007500D4" w:rsidRDefault="007500D4" w:rsidP="007500D4">
      <w:pPr>
        <w:keepNext/>
        <w:keepLines/>
        <w:autoSpaceDE/>
        <w:autoSpaceDN/>
        <w:adjustRightInd/>
        <w:spacing w:before="240" w:after="60" w:line="240" w:lineRule="auto"/>
        <w:ind w:left="357"/>
        <w:jc w:val="left"/>
        <w:rPr>
          <w:u w:val="single"/>
        </w:rPr>
      </w:pPr>
      <w:r w:rsidRPr="007500D4">
        <w:rPr>
          <w:u w:val="single"/>
        </w:rPr>
        <w:t xml:space="preserve">Medicinal products that may increase </w:t>
      </w:r>
      <w:proofErr w:type="spellStart"/>
      <w:r w:rsidRPr="007500D4">
        <w:rPr>
          <w:u w:val="single"/>
        </w:rPr>
        <w:t>alpelisib</w:t>
      </w:r>
      <w:proofErr w:type="spellEnd"/>
      <w:r w:rsidRPr="007500D4">
        <w:rPr>
          <w:u w:val="single"/>
        </w:rPr>
        <w:t xml:space="preserve"> plasma concentrations</w:t>
      </w:r>
    </w:p>
    <w:p w14:paraId="48591B56" w14:textId="77777777" w:rsidR="007500D4" w:rsidRPr="00EB7764" w:rsidRDefault="007500D4" w:rsidP="00EB7764">
      <w:pPr>
        <w:keepNext/>
        <w:autoSpaceDE/>
        <w:autoSpaceDN/>
        <w:adjustRightInd/>
        <w:spacing w:before="120" w:after="60" w:line="240" w:lineRule="auto"/>
        <w:ind w:left="357"/>
        <w:rPr>
          <w:i/>
          <w:lang w:val="en-US"/>
        </w:rPr>
      </w:pPr>
      <w:r w:rsidRPr="00EB7764">
        <w:rPr>
          <w:i/>
          <w:lang w:val="en-US"/>
        </w:rPr>
        <w:t>BCRP inhibitors</w:t>
      </w:r>
    </w:p>
    <w:p w14:paraId="1D7AA09D" w14:textId="4C384468" w:rsidR="007500D4" w:rsidRPr="007500D4" w:rsidRDefault="007500D4" w:rsidP="009325D5">
      <w:pPr>
        <w:autoSpaceDE/>
        <w:autoSpaceDN/>
        <w:adjustRightInd/>
        <w:spacing w:after="0" w:line="240" w:lineRule="auto"/>
        <w:ind w:left="357"/>
        <w:rPr>
          <w:rFonts w:eastAsia="MS Mincho"/>
          <w:szCs w:val="20"/>
          <w:lang w:val="en-US" w:eastAsia="zh-CN"/>
        </w:rPr>
      </w:pPr>
      <w:proofErr w:type="spellStart"/>
      <w:r w:rsidRPr="007500D4">
        <w:rPr>
          <w:rFonts w:eastAsia="MS Mincho"/>
          <w:szCs w:val="20"/>
          <w:lang w:val="en-US" w:eastAsia="zh-CN"/>
        </w:rPr>
        <w:t>Alpelisib</w:t>
      </w:r>
      <w:proofErr w:type="spellEnd"/>
      <w:r w:rsidRPr="007500D4">
        <w:rPr>
          <w:rFonts w:eastAsia="MS Mincho"/>
          <w:szCs w:val="20"/>
          <w:lang w:val="en-US" w:eastAsia="zh-CN"/>
        </w:rPr>
        <w:t xml:space="preserve"> is a sensitive substrate for BCRP </w:t>
      </w:r>
      <w:r w:rsidRPr="007500D4">
        <w:rPr>
          <w:rFonts w:eastAsia="MS Mincho"/>
          <w:i/>
          <w:iCs/>
          <w:szCs w:val="20"/>
          <w:lang w:val="en-US" w:eastAsia="zh-CN"/>
        </w:rPr>
        <w:t>in vitro</w:t>
      </w:r>
      <w:r w:rsidRPr="007500D4">
        <w:rPr>
          <w:rFonts w:eastAsia="MS Mincho"/>
          <w:szCs w:val="20"/>
          <w:lang w:val="en-US" w:eastAsia="zh-CN"/>
        </w:rPr>
        <w:t xml:space="preserve">, </w:t>
      </w:r>
      <w:r w:rsidRPr="007500D4">
        <w:rPr>
          <w:rFonts w:eastAsia="MS Mincho"/>
          <w:bCs/>
          <w:lang w:val="en-US" w:eastAsia="zh-CN"/>
        </w:rPr>
        <w:t>predominantly expressed in the liver, intestine, and at blood-brain barrier</w:t>
      </w:r>
      <w:r w:rsidRPr="007500D4">
        <w:rPr>
          <w:rFonts w:eastAsia="MS Mincho"/>
          <w:szCs w:val="20"/>
          <w:lang w:val="en-US" w:eastAsia="zh-CN"/>
        </w:rPr>
        <w:t xml:space="preserve">. Absorption of </w:t>
      </w:r>
      <w:proofErr w:type="spellStart"/>
      <w:r w:rsidRPr="007500D4">
        <w:rPr>
          <w:rFonts w:eastAsia="MS Mincho"/>
          <w:szCs w:val="20"/>
          <w:lang w:val="en-US" w:eastAsia="zh-CN"/>
        </w:rPr>
        <w:t>alpelisib</w:t>
      </w:r>
      <w:proofErr w:type="spellEnd"/>
      <w:r w:rsidRPr="007500D4">
        <w:rPr>
          <w:rFonts w:eastAsia="MS Mincho"/>
          <w:szCs w:val="20"/>
          <w:lang w:val="en-US" w:eastAsia="zh-CN"/>
        </w:rPr>
        <w:t xml:space="preserve"> will not be affected by BCRP inhibition due to saturation of the transporter in the intestine. However, due to the involvement of BCRP in the hepatobiliary export and intestinal secretion of </w:t>
      </w:r>
      <w:proofErr w:type="spellStart"/>
      <w:r w:rsidRPr="007500D4">
        <w:rPr>
          <w:rFonts w:eastAsia="MS Mincho"/>
          <w:szCs w:val="20"/>
          <w:lang w:val="en-US" w:eastAsia="zh-CN"/>
        </w:rPr>
        <w:t>alpelisib</w:t>
      </w:r>
      <w:proofErr w:type="spellEnd"/>
      <w:r w:rsidRPr="007500D4">
        <w:rPr>
          <w:rFonts w:eastAsia="MS Mincho"/>
          <w:szCs w:val="20"/>
          <w:lang w:val="en-US" w:eastAsia="zh-CN"/>
        </w:rPr>
        <w:t xml:space="preserve">, caution is advised when co-administering </w:t>
      </w:r>
      <w:r w:rsidR="009325D5" w:rsidRPr="007500D4">
        <w:rPr>
          <w:rFonts w:eastAsia="MS Mincho"/>
          <w:szCs w:val="20"/>
          <w:lang w:val="en-US" w:eastAsia="zh-CN"/>
        </w:rPr>
        <w:t xml:space="preserve">PIQRAY </w:t>
      </w:r>
      <w:r w:rsidRPr="007500D4">
        <w:rPr>
          <w:rFonts w:eastAsia="MS Mincho"/>
          <w:szCs w:val="20"/>
          <w:lang w:val="en-US" w:eastAsia="zh-CN"/>
        </w:rPr>
        <w:t xml:space="preserve">with a BCRP inhibitor (e.g. </w:t>
      </w:r>
      <w:proofErr w:type="spellStart"/>
      <w:r w:rsidRPr="007500D4">
        <w:rPr>
          <w:rFonts w:eastAsia="MS Mincho"/>
          <w:szCs w:val="20"/>
          <w:lang w:val="en-US" w:eastAsia="zh-CN"/>
        </w:rPr>
        <w:t>eltrombopag</w:t>
      </w:r>
      <w:proofErr w:type="spellEnd"/>
      <w:r w:rsidRPr="007500D4">
        <w:rPr>
          <w:rFonts w:eastAsia="MS Mincho"/>
          <w:szCs w:val="20"/>
          <w:lang w:val="en-US" w:eastAsia="zh-CN"/>
        </w:rPr>
        <w:t xml:space="preserve">, </w:t>
      </w:r>
      <w:proofErr w:type="spellStart"/>
      <w:r w:rsidRPr="007500D4">
        <w:rPr>
          <w:rFonts w:eastAsia="MS Mincho"/>
          <w:szCs w:val="20"/>
          <w:lang w:val="en-US" w:eastAsia="zh-CN"/>
        </w:rPr>
        <w:t>lapatinib</w:t>
      </w:r>
      <w:proofErr w:type="spellEnd"/>
      <w:r w:rsidRPr="007500D4">
        <w:rPr>
          <w:rFonts w:eastAsia="MS Mincho"/>
          <w:szCs w:val="20"/>
          <w:lang w:val="en-US" w:eastAsia="zh-CN"/>
        </w:rPr>
        <w:t xml:space="preserve">, pantoprazole), as inhibition of BCRP in the liver and in the intestine after absorption may lead to an increase in systemic exposure of </w:t>
      </w:r>
      <w:r w:rsidR="009325D5" w:rsidRPr="007500D4">
        <w:rPr>
          <w:rFonts w:eastAsia="MS Mincho"/>
          <w:szCs w:val="20"/>
          <w:lang w:val="en-US" w:eastAsia="zh-CN"/>
        </w:rPr>
        <w:t>PIQRAY</w:t>
      </w:r>
      <w:r w:rsidRPr="007500D4">
        <w:rPr>
          <w:rFonts w:eastAsia="MS Mincho"/>
          <w:szCs w:val="20"/>
          <w:lang w:val="en-US" w:eastAsia="zh-CN"/>
        </w:rPr>
        <w:t>.</w:t>
      </w:r>
    </w:p>
    <w:p w14:paraId="04706FDF" w14:textId="77777777" w:rsidR="007500D4" w:rsidRPr="007500D4" w:rsidRDefault="007500D4" w:rsidP="007500D4">
      <w:pPr>
        <w:keepNext/>
        <w:keepLines/>
        <w:autoSpaceDE/>
        <w:autoSpaceDN/>
        <w:adjustRightInd/>
        <w:spacing w:before="240" w:after="60" w:line="240" w:lineRule="auto"/>
        <w:ind w:left="357"/>
        <w:jc w:val="left"/>
        <w:rPr>
          <w:u w:val="single"/>
        </w:rPr>
      </w:pPr>
      <w:r w:rsidRPr="007500D4">
        <w:rPr>
          <w:u w:val="single"/>
        </w:rPr>
        <w:t xml:space="preserve">Medicinal products whose plasma concentrations may be altered by </w:t>
      </w:r>
      <w:proofErr w:type="spellStart"/>
      <w:r w:rsidRPr="007500D4" w:rsidDel="0030696B">
        <w:rPr>
          <w:u w:val="single"/>
        </w:rPr>
        <w:t>alpelisib</w:t>
      </w:r>
      <w:proofErr w:type="spellEnd"/>
    </w:p>
    <w:p w14:paraId="68806067" w14:textId="61AF4F64" w:rsidR="007500D4" w:rsidRPr="007500D4" w:rsidRDefault="00CE5EF6" w:rsidP="00EB7764">
      <w:pPr>
        <w:keepNext/>
        <w:autoSpaceDE/>
        <w:autoSpaceDN/>
        <w:adjustRightInd/>
        <w:spacing w:before="120" w:after="60" w:line="240" w:lineRule="auto"/>
        <w:ind w:left="357"/>
        <w:rPr>
          <w:i/>
          <w:lang w:val="en-US"/>
        </w:rPr>
      </w:pPr>
      <w:r>
        <w:rPr>
          <w:i/>
          <w:lang w:val="en-US"/>
        </w:rPr>
        <w:t>CYP3A4 substrates</w:t>
      </w:r>
    </w:p>
    <w:p w14:paraId="1FFF3792" w14:textId="00048DA8" w:rsidR="007500D4" w:rsidRPr="007500D4" w:rsidRDefault="006B0C68" w:rsidP="00CE5EF6">
      <w:pPr>
        <w:autoSpaceDE/>
        <w:autoSpaceDN/>
        <w:adjustRightInd/>
        <w:spacing w:line="240" w:lineRule="auto"/>
        <w:ind w:left="357"/>
        <w:rPr>
          <w:rFonts w:eastAsia="MS Mincho"/>
          <w:szCs w:val="20"/>
          <w:lang w:val="en-US" w:eastAsia="zh-CN"/>
        </w:rPr>
      </w:pPr>
      <w:r w:rsidRPr="0098615A">
        <w:rPr>
          <w:i/>
          <w:iCs/>
        </w:rPr>
        <w:t>In vitro</w:t>
      </w:r>
      <w:r w:rsidRPr="0098615A">
        <w:t xml:space="preserve">, </w:t>
      </w:r>
      <w:proofErr w:type="spellStart"/>
      <w:r w:rsidRPr="0098615A">
        <w:t>alpelisib</w:t>
      </w:r>
      <w:proofErr w:type="spellEnd"/>
      <w:r w:rsidRPr="0098615A">
        <w:t xml:space="preserve"> is a time-dependent inhibitor and an inducer of CYP3A4</w:t>
      </w:r>
      <w:r>
        <w:t xml:space="preserve">. </w:t>
      </w:r>
      <w:r w:rsidR="007500D4" w:rsidRPr="007500D4">
        <w:rPr>
          <w:rFonts w:eastAsia="MS Mincho"/>
          <w:szCs w:val="20"/>
          <w:lang w:val="en-US" w:eastAsia="zh-CN"/>
        </w:rPr>
        <w:t xml:space="preserve">No dose adjustment is required when co-administering </w:t>
      </w:r>
      <w:r w:rsidR="009325D5" w:rsidRPr="007500D4">
        <w:rPr>
          <w:rFonts w:eastAsia="MS Mincho"/>
          <w:szCs w:val="20"/>
          <w:lang w:val="en-US" w:eastAsia="zh-CN"/>
        </w:rPr>
        <w:t xml:space="preserve">PIQRAY </w:t>
      </w:r>
      <w:r w:rsidR="007500D4" w:rsidRPr="007500D4">
        <w:rPr>
          <w:rFonts w:eastAsia="MS Mincho"/>
          <w:szCs w:val="20"/>
          <w:lang w:val="en-US" w:eastAsia="zh-CN"/>
        </w:rPr>
        <w:t xml:space="preserve">with CYP3A4 substrates (e.g. </w:t>
      </w:r>
      <w:proofErr w:type="spellStart"/>
      <w:r w:rsidR="007500D4" w:rsidRPr="007500D4">
        <w:rPr>
          <w:rFonts w:eastAsia="MS Mincho"/>
          <w:szCs w:val="20"/>
          <w:lang w:val="en-US" w:eastAsia="zh-CN"/>
        </w:rPr>
        <w:t>everolimus</w:t>
      </w:r>
      <w:proofErr w:type="spellEnd"/>
      <w:r w:rsidR="007500D4" w:rsidRPr="007500D4">
        <w:rPr>
          <w:rFonts w:eastAsia="MS Mincho"/>
          <w:szCs w:val="20"/>
          <w:lang w:val="en-US" w:eastAsia="zh-CN"/>
        </w:rPr>
        <w:t>, midazolam).</w:t>
      </w:r>
    </w:p>
    <w:p w14:paraId="1D03A1F3" w14:textId="3B9D82C8" w:rsidR="007500D4" w:rsidRPr="007500D4" w:rsidRDefault="007500D4" w:rsidP="009325D5">
      <w:pPr>
        <w:autoSpaceDE/>
        <w:autoSpaceDN/>
        <w:adjustRightInd/>
        <w:spacing w:after="0" w:line="240" w:lineRule="auto"/>
        <w:ind w:left="357"/>
        <w:rPr>
          <w:rFonts w:eastAsia="MS Mincho"/>
          <w:szCs w:val="20"/>
          <w:lang w:val="en-US" w:eastAsia="zh-CN"/>
        </w:rPr>
      </w:pPr>
      <w:r w:rsidRPr="007500D4">
        <w:rPr>
          <w:rFonts w:eastAsia="MS Mincho"/>
          <w:szCs w:val="20"/>
          <w:lang w:val="en-US" w:eastAsia="zh-CN"/>
        </w:rPr>
        <w:t xml:space="preserve">Caution is recommended when </w:t>
      </w:r>
      <w:r w:rsidR="009325D5" w:rsidRPr="007500D4">
        <w:rPr>
          <w:rFonts w:eastAsia="MS Mincho"/>
          <w:szCs w:val="20"/>
          <w:lang w:val="en-US" w:eastAsia="zh-CN"/>
        </w:rPr>
        <w:t xml:space="preserve">PIQRAY </w:t>
      </w:r>
      <w:r w:rsidRPr="007500D4">
        <w:rPr>
          <w:rFonts w:eastAsia="MS Mincho"/>
          <w:szCs w:val="20"/>
          <w:lang w:val="en-US" w:eastAsia="zh-CN"/>
        </w:rPr>
        <w:t xml:space="preserve">is used in combination with CYP3A4 substrates that also possess an additional time-dependent inhibition and induction potential on CYP3A4 that affects their own metabolism (e.g. rifampicin, </w:t>
      </w:r>
      <w:proofErr w:type="spellStart"/>
      <w:r w:rsidRPr="007500D4">
        <w:rPr>
          <w:rFonts w:eastAsia="MS Mincho"/>
          <w:szCs w:val="20"/>
          <w:lang w:val="en-US" w:eastAsia="zh-CN"/>
        </w:rPr>
        <w:t>ribociclib</w:t>
      </w:r>
      <w:proofErr w:type="spellEnd"/>
      <w:r w:rsidRPr="007500D4">
        <w:rPr>
          <w:rFonts w:eastAsia="MS Mincho"/>
          <w:szCs w:val="20"/>
          <w:lang w:val="en-US" w:eastAsia="zh-CN"/>
        </w:rPr>
        <w:t xml:space="preserve">, </w:t>
      </w:r>
      <w:proofErr w:type="spellStart"/>
      <w:r w:rsidRPr="007500D4">
        <w:rPr>
          <w:rFonts w:eastAsia="MS Mincho"/>
          <w:szCs w:val="20"/>
          <w:lang w:val="en-US" w:eastAsia="zh-CN"/>
        </w:rPr>
        <w:t>encorafenib</w:t>
      </w:r>
      <w:proofErr w:type="spellEnd"/>
      <w:r w:rsidRPr="007500D4">
        <w:rPr>
          <w:rFonts w:eastAsia="MS Mincho"/>
          <w:szCs w:val="20"/>
          <w:lang w:val="en-US" w:eastAsia="zh-CN"/>
        </w:rPr>
        <w:t xml:space="preserve">). Systemic exposures of such CYP3A4 auto-inhibitors and auto-inducers may be decreased and increased, respectively, when </w:t>
      </w:r>
      <w:r w:rsidR="009325D5" w:rsidRPr="007500D4">
        <w:rPr>
          <w:rFonts w:eastAsia="MS Mincho"/>
          <w:szCs w:val="20"/>
          <w:lang w:val="en-US" w:eastAsia="zh-CN"/>
        </w:rPr>
        <w:t xml:space="preserve">PIQRAY </w:t>
      </w:r>
      <w:r w:rsidRPr="007500D4">
        <w:rPr>
          <w:rFonts w:eastAsia="MS Mincho"/>
          <w:szCs w:val="20"/>
          <w:lang w:val="en-US" w:eastAsia="zh-CN"/>
        </w:rPr>
        <w:t>is co-administered, based on PBPK simulations.</w:t>
      </w:r>
    </w:p>
    <w:p w14:paraId="2F68ACD0" w14:textId="77777777" w:rsidR="007500D4" w:rsidRPr="007500D4" w:rsidRDefault="007500D4" w:rsidP="00EB7764">
      <w:pPr>
        <w:keepNext/>
        <w:autoSpaceDE/>
        <w:autoSpaceDN/>
        <w:adjustRightInd/>
        <w:spacing w:before="120" w:after="60" w:line="240" w:lineRule="auto"/>
        <w:ind w:left="357"/>
        <w:rPr>
          <w:i/>
          <w:lang w:val="en-US"/>
        </w:rPr>
      </w:pPr>
      <w:r w:rsidRPr="007500D4">
        <w:rPr>
          <w:i/>
          <w:lang w:val="en-US"/>
        </w:rPr>
        <w:t xml:space="preserve">CYP2C9 substrates with narrow therapeutic index </w:t>
      </w:r>
    </w:p>
    <w:p w14:paraId="5DBA709E" w14:textId="57B21995" w:rsidR="007500D4" w:rsidRPr="007500D4" w:rsidRDefault="006B0C68" w:rsidP="009325D5">
      <w:pPr>
        <w:widowControl w:val="0"/>
        <w:autoSpaceDE/>
        <w:autoSpaceDN/>
        <w:adjustRightInd/>
        <w:spacing w:after="0" w:line="240" w:lineRule="auto"/>
        <w:ind w:left="357"/>
        <w:rPr>
          <w:szCs w:val="20"/>
          <w:lang w:val="en-US" w:eastAsia="zh-CN"/>
        </w:rPr>
      </w:pPr>
      <w:r w:rsidRPr="0098615A">
        <w:rPr>
          <w:i/>
          <w:iCs/>
        </w:rPr>
        <w:t xml:space="preserve">In vitro, </w:t>
      </w:r>
      <w:proofErr w:type="spellStart"/>
      <w:r w:rsidRPr="0098615A">
        <w:t>alpelisib</w:t>
      </w:r>
      <w:proofErr w:type="spellEnd"/>
      <w:r w:rsidRPr="0098615A">
        <w:t xml:space="preserve"> is an inducer of CYP2C9</w:t>
      </w:r>
      <w:r>
        <w:t>. T</w:t>
      </w:r>
      <w:r w:rsidR="007500D4" w:rsidRPr="007500D4">
        <w:rPr>
          <w:szCs w:val="20"/>
          <w:lang w:val="en-US" w:eastAsia="zh-CN"/>
        </w:rPr>
        <w:t xml:space="preserve">he pharmacological activity may be reduced by the CYP2C9 induction effects of </w:t>
      </w:r>
      <w:proofErr w:type="spellStart"/>
      <w:r w:rsidR="007500D4" w:rsidRPr="007500D4">
        <w:rPr>
          <w:szCs w:val="20"/>
          <w:lang w:val="en-US" w:eastAsia="zh-CN"/>
        </w:rPr>
        <w:t>alpelisib</w:t>
      </w:r>
      <w:proofErr w:type="spellEnd"/>
      <w:r w:rsidR="007500D4" w:rsidRPr="007500D4">
        <w:rPr>
          <w:szCs w:val="20"/>
          <w:lang w:val="en-US" w:eastAsia="zh-CN"/>
        </w:rPr>
        <w:t xml:space="preserve">. Based on PBPK modeling data with sensitive CYP2C9 substrate warfarin, after co-administration of </w:t>
      </w:r>
      <w:proofErr w:type="spellStart"/>
      <w:r w:rsidR="007500D4" w:rsidRPr="007500D4">
        <w:rPr>
          <w:szCs w:val="20"/>
          <w:lang w:val="en-US" w:eastAsia="zh-CN"/>
        </w:rPr>
        <w:t>alpelisib</w:t>
      </w:r>
      <w:proofErr w:type="spellEnd"/>
      <w:r w:rsidR="007500D4" w:rsidRPr="007500D4">
        <w:rPr>
          <w:szCs w:val="20"/>
          <w:lang w:val="en-US" w:eastAsia="zh-CN"/>
        </w:rPr>
        <w:t xml:space="preserve"> (300 mg once daily for 20 days), AUC and </w:t>
      </w:r>
      <w:proofErr w:type="spellStart"/>
      <w:r w:rsidR="007500D4" w:rsidRPr="007500D4">
        <w:rPr>
          <w:szCs w:val="20"/>
          <w:lang w:val="en-US" w:eastAsia="zh-CN"/>
        </w:rPr>
        <w:t>Cmax</w:t>
      </w:r>
      <w:proofErr w:type="spellEnd"/>
      <w:r w:rsidR="007500D4" w:rsidRPr="007500D4">
        <w:rPr>
          <w:szCs w:val="20"/>
          <w:lang w:val="en-US" w:eastAsia="zh-CN"/>
        </w:rPr>
        <w:t xml:space="preserve"> ratios of warfarin were estimated to be 0.91 and 0.99, respectively, indicating no or weak induction potential of </w:t>
      </w:r>
      <w:proofErr w:type="spellStart"/>
      <w:r w:rsidR="007500D4" w:rsidRPr="007500D4">
        <w:rPr>
          <w:szCs w:val="20"/>
          <w:lang w:val="en-US" w:eastAsia="zh-CN"/>
        </w:rPr>
        <w:t>alpelisib</w:t>
      </w:r>
      <w:proofErr w:type="spellEnd"/>
      <w:r w:rsidR="007500D4" w:rsidRPr="007500D4">
        <w:rPr>
          <w:szCs w:val="20"/>
          <w:lang w:val="en-US" w:eastAsia="zh-CN"/>
        </w:rPr>
        <w:t xml:space="preserve"> on CYP2C9. No dose adjustment is required when </w:t>
      </w:r>
      <w:r w:rsidR="00E16761" w:rsidRPr="007500D4">
        <w:rPr>
          <w:szCs w:val="20"/>
          <w:lang w:val="en-US" w:eastAsia="zh-CN"/>
        </w:rPr>
        <w:t>PIQRAY</w:t>
      </w:r>
      <w:r w:rsidR="007500D4" w:rsidRPr="007500D4">
        <w:rPr>
          <w:szCs w:val="20"/>
          <w:lang w:val="en-US" w:eastAsia="zh-CN"/>
        </w:rPr>
        <w:t xml:space="preserve"> is co-administered with CYP2C9 substrates with narrow therapeutic index (e.g. warfarin). However, in the absence of clinica</w:t>
      </w:r>
      <w:r w:rsidR="00CE5EF6">
        <w:rPr>
          <w:szCs w:val="20"/>
          <w:lang w:val="en-US" w:eastAsia="zh-CN"/>
        </w:rPr>
        <w:t>l data, caution is recommended.</w:t>
      </w:r>
    </w:p>
    <w:p w14:paraId="547F3B0F" w14:textId="10107CBC" w:rsidR="007500D4" w:rsidRPr="007500D4" w:rsidRDefault="007500D4" w:rsidP="00EB7764">
      <w:pPr>
        <w:keepNext/>
        <w:autoSpaceDE/>
        <w:autoSpaceDN/>
        <w:adjustRightInd/>
        <w:spacing w:before="120" w:after="60" w:line="240" w:lineRule="auto"/>
        <w:ind w:left="357"/>
        <w:rPr>
          <w:i/>
          <w:lang w:val="en-US"/>
        </w:rPr>
      </w:pPr>
      <w:r w:rsidRPr="007500D4">
        <w:rPr>
          <w:i/>
          <w:lang w:val="en-US"/>
        </w:rPr>
        <w:t>CYP2B6 sensitive substrate</w:t>
      </w:r>
      <w:r w:rsidR="00CE5EF6">
        <w:rPr>
          <w:i/>
          <w:lang w:val="en-US"/>
        </w:rPr>
        <w:t>s with narrow therapeutic index</w:t>
      </w:r>
    </w:p>
    <w:p w14:paraId="30098A3D" w14:textId="413B9A02" w:rsidR="007500D4" w:rsidRPr="007500D4" w:rsidRDefault="006B0C68" w:rsidP="00EB7764">
      <w:pPr>
        <w:autoSpaceDE/>
        <w:autoSpaceDN/>
        <w:adjustRightInd/>
        <w:spacing w:after="0" w:line="240" w:lineRule="auto"/>
        <w:ind w:left="357"/>
        <w:rPr>
          <w:rFonts w:eastAsia="MS Mincho"/>
          <w:szCs w:val="20"/>
          <w:lang w:val="en-US" w:eastAsia="zh-CN"/>
        </w:rPr>
      </w:pPr>
      <w:proofErr w:type="spellStart"/>
      <w:r w:rsidRPr="00A654DB">
        <w:t>Alpelisib</w:t>
      </w:r>
      <w:proofErr w:type="spellEnd"/>
      <w:r w:rsidRPr="00A654DB">
        <w:t xml:space="preserve"> is an inducer of CYP2B6 </w:t>
      </w:r>
      <w:r w:rsidRPr="00A654DB">
        <w:rPr>
          <w:i/>
          <w:iCs/>
        </w:rPr>
        <w:t>in vitro</w:t>
      </w:r>
      <w:r>
        <w:rPr>
          <w:i/>
          <w:iCs/>
        </w:rPr>
        <w:t>.</w:t>
      </w:r>
      <w:r w:rsidRPr="007500D4">
        <w:rPr>
          <w:rFonts w:eastAsia="MS Mincho"/>
          <w:bCs/>
          <w:lang w:val="en-US" w:eastAsia="zh-CN"/>
        </w:rPr>
        <w:t xml:space="preserve"> </w:t>
      </w:r>
      <w:r w:rsidR="007500D4" w:rsidRPr="007500D4">
        <w:rPr>
          <w:rFonts w:eastAsia="MS Mincho"/>
          <w:bCs/>
          <w:lang w:val="en-US" w:eastAsia="zh-CN"/>
        </w:rPr>
        <w:t xml:space="preserve">Static mechanistic assessment with sensitive CYP2B6 substrates such as bupropion, </w:t>
      </w:r>
      <w:r w:rsidR="007500D4" w:rsidRPr="007500D4">
        <w:rPr>
          <w:rFonts w:eastAsia="MS Mincho"/>
          <w:szCs w:val="20"/>
          <w:lang w:val="en-US" w:eastAsia="zh-CN"/>
        </w:rPr>
        <w:t xml:space="preserve">a reduction of exposure by up to 3-fold can be expected when co-administered with </w:t>
      </w:r>
      <w:proofErr w:type="spellStart"/>
      <w:r w:rsidR="007500D4" w:rsidRPr="007500D4">
        <w:rPr>
          <w:rFonts w:eastAsia="MS Mincho"/>
          <w:szCs w:val="20"/>
          <w:lang w:val="en-US" w:eastAsia="zh-CN"/>
        </w:rPr>
        <w:t>alpelisib</w:t>
      </w:r>
      <w:proofErr w:type="spellEnd"/>
      <w:r w:rsidR="007500D4" w:rsidRPr="007500D4">
        <w:rPr>
          <w:rFonts w:eastAsia="MS Mincho"/>
          <w:szCs w:val="20"/>
          <w:lang w:val="en-US" w:eastAsia="zh-CN"/>
        </w:rPr>
        <w:t xml:space="preserve"> based on </w:t>
      </w:r>
      <w:r w:rsidR="007500D4" w:rsidRPr="007500D4">
        <w:rPr>
          <w:rFonts w:eastAsia="MS Mincho"/>
          <w:i/>
          <w:szCs w:val="20"/>
          <w:lang w:val="en-US" w:eastAsia="zh-CN"/>
        </w:rPr>
        <w:t>in vitro</w:t>
      </w:r>
      <w:r w:rsidR="007500D4" w:rsidRPr="007500D4">
        <w:rPr>
          <w:rFonts w:eastAsia="MS Mincho"/>
          <w:szCs w:val="20"/>
          <w:lang w:val="en-US" w:eastAsia="zh-CN"/>
        </w:rPr>
        <w:t xml:space="preserve"> assessment, </w:t>
      </w:r>
      <w:r w:rsidR="007500D4" w:rsidRPr="007500D4">
        <w:rPr>
          <w:rFonts w:eastAsia="MS Mincho"/>
          <w:bCs/>
          <w:lang w:val="en-US" w:eastAsia="zh-CN"/>
        </w:rPr>
        <w:t>no clinical study was performed</w:t>
      </w:r>
      <w:r w:rsidR="007500D4" w:rsidRPr="007500D4">
        <w:rPr>
          <w:rFonts w:eastAsia="MS Mincho"/>
          <w:szCs w:val="20"/>
          <w:lang w:val="en-US" w:eastAsia="zh-CN"/>
        </w:rPr>
        <w:t>.</w:t>
      </w:r>
      <w:r w:rsidR="007500D4" w:rsidRPr="007500D4">
        <w:rPr>
          <w:rFonts w:eastAsia="MS Mincho"/>
          <w:bCs/>
          <w:lang w:val="en-US" w:eastAsia="zh-CN"/>
        </w:rPr>
        <w:t xml:space="preserve"> Sensitive CYP2B6 substrates (</w:t>
      </w:r>
      <w:r w:rsidR="00802DD1" w:rsidRPr="007500D4">
        <w:rPr>
          <w:rFonts w:eastAsia="MS Mincho"/>
          <w:bCs/>
          <w:lang w:val="en-US" w:eastAsia="zh-CN"/>
        </w:rPr>
        <w:t>e.g.</w:t>
      </w:r>
      <w:r w:rsidR="007500D4" w:rsidRPr="007500D4">
        <w:rPr>
          <w:rFonts w:eastAsia="MS Mincho"/>
          <w:bCs/>
          <w:lang w:val="en-US" w:eastAsia="zh-CN"/>
        </w:rPr>
        <w:t xml:space="preserve"> bupropion) or CYP2B6 substrates with a narrow therapeutic window should be used with caution in combination with </w:t>
      </w:r>
      <w:r w:rsidR="00E16761" w:rsidRPr="007500D4">
        <w:rPr>
          <w:rFonts w:eastAsia="MS Mincho"/>
          <w:bCs/>
          <w:lang w:val="en-US" w:eastAsia="zh-CN"/>
        </w:rPr>
        <w:t>PIQRAY</w:t>
      </w:r>
      <w:r w:rsidR="007500D4" w:rsidRPr="007500D4">
        <w:rPr>
          <w:rFonts w:eastAsia="MS Mincho"/>
          <w:bCs/>
          <w:lang w:val="en-US" w:eastAsia="zh-CN"/>
        </w:rPr>
        <w:t xml:space="preserve">, as </w:t>
      </w:r>
      <w:r w:rsidR="00E16761" w:rsidRPr="007500D4">
        <w:rPr>
          <w:rFonts w:eastAsia="MS Mincho"/>
          <w:bCs/>
          <w:lang w:val="en-US" w:eastAsia="zh-CN"/>
        </w:rPr>
        <w:t xml:space="preserve">PIQRAY </w:t>
      </w:r>
      <w:r w:rsidR="007500D4" w:rsidRPr="007500D4">
        <w:rPr>
          <w:rFonts w:eastAsia="MS Mincho"/>
          <w:bCs/>
          <w:lang w:val="en-US" w:eastAsia="zh-CN"/>
        </w:rPr>
        <w:t>may reduce the clinical activity of such drugs.</w:t>
      </w:r>
    </w:p>
    <w:p w14:paraId="79090D30" w14:textId="77777777" w:rsidR="007500D4" w:rsidRPr="007500D4" w:rsidRDefault="007500D4" w:rsidP="009325D5">
      <w:pPr>
        <w:keepNext/>
        <w:keepLines/>
        <w:autoSpaceDE/>
        <w:autoSpaceDN/>
        <w:adjustRightInd/>
        <w:spacing w:before="120" w:after="60" w:line="240" w:lineRule="auto"/>
        <w:ind w:left="357"/>
        <w:jc w:val="left"/>
        <w:rPr>
          <w:u w:val="single"/>
        </w:rPr>
      </w:pPr>
      <w:r w:rsidRPr="007500D4">
        <w:rPr>
          <w:u w:val="single"/>
        </w:rPr>
        <w:t>Drug-food interactions</w:t>
      </w:r>
    </w:p>
    <w:p w14:paraId="6B4BF221" w14:textId="5C14F3CB" w:rsidR="007500D4" w:rsidRPr="007500D4" w:rsidRDefault="007500D4" w:rsidP="009325D5">
      <w:pPr>
        <w:autoSpaceDE/>
        <w:autoSpaceDN/>
        <w:adjustRightInd/>
        <w:spacing w:after="0" w:line="240" w:lineRule="auto"/>
        <w:ind w:left="357"/>
        <w:rPr>
          <w:rFonts w:eastAsia="MS Mincho"/>
          <w:szCs w:val="20"/>
          <w:lang w:val="en-US" w:eastAsia="zh-CN"/>
        </w:rPr>
      </w:pPr>
      <w:r w:rsidRPr="007500D4">
        <w:rPr>
          <w:rFonts w:eastAsia="MS Mincho"/>
          <w:szCs w:val="20"/>
          <w:lang w:val="en-US" w:eastAsia="zh-CN"/>
        </w:rPr>
        <w:t xml:space="preserve">In healthy subjects, co-administration of </w:t>
      </w:r>
      <w:proofErr w:type="spellStart"/>
      <w:r w:rsidRPr="007500D4" w:rsidDel="002146BF">
        <w:rPr>
          <w:rFonts w:eastAsia="MS Mincho"/>
          <w:szCs w:val="20"/>
          <w:lang w:val="en-US" w:eastAsia="zh-CN"/>
        </w:rPr>
        <w:t>alpelisib</w:t>
      </w:r>
      <w:proofErr w:type="spellEnd"/>
      <w:r w:rsidRPr="007500D4">
        <w:rPr>
          <w:rFonts w:eastAsia="MS Mincho"/>
          <w:szCs w:val="20"/>
          <w:lang w:val="en-US" w:eastAsia="zh-CN"/>
        </w:rPr>
        <w:t xml:space="preserve"> with food resulted in an increased AUC of </w:t>
      </w:r>
      <w:proofErr w:type="spellStart"/>
      <w:r w:rsidRPr="007500D4">
        <w:rPr>
          <w:rFonts w:eastAsia="MS Mincho"/>
          <w:szCs w:val="20"/>
          <w:lang w:val="en-US" w:eastAsia="zh-CN"/>
        </w:rPr>
        <w:t>alpelisib</w:t>
      </w:r>
      <w:proofErr w:type="spellEnd"/>
      <w:r w:rsidRPr="007500D4">
        <w:rPr>
          <w:rFonts w:eastAsia="MS Mincho"/>
          <w:szCs w:val="20"/>
          <w:lang w:val="en-US" w:eastAsia="zh-CN"/>
        </w:rPr>
        <w:t xml:space="preserve"> by 77</w:t>
      </w:r>
      <w:r w:rsidR="001309BE">
        <w:rPr>
          <w:rFonts w:eastAsia="MS Mincho"/>
          <w:szCs w:val="20"/>
          <w:lang w:val="en-US" w:eastAsia="zh-CN"/>
        </w:rPr>
        <w:t xml:space="preserve"> </w:t>
      </w:r>
      <w:r w:rsidRPr="007500D4">
        <w:rPr>
          <w:rFonts w:eastAsia="MS Mincho"/>
          <w:szCs w:val="20"/>
          <w:lang w:val="en-US" w:eastAsia="zh-CN"/>
        </w:rPr>
        <w:t xml:space="preserve">% </w:t>
      </w:r>
      <w:r w:rsidRPr="007500D4" w:rsidDel="00CB31D1">
        <w:rPr>
          <w:rFonts w:eastAsia="MS Mincho"/>
          <w:szCs w:val="20"/>
          <w:lang w:val="en-US" w:eastAsia="zh-CN"/>
        </w:rPr>
        <w:t>(</w:t>
      </w:r>
      <w:r w:rsidRPr="007500D4">
        <w:rPr>
          <w:rFonts w:eastAsia="MS Mincho"/>
          <w:szCs w:val="20"/>
          <w:lang w:val="en-US" w:eastAsia="zh-CN"/>
        </w:rPr>
        <w:t>see section 4</w:t>
      </w:r>
      <w:r>
        <w:rPr>
          <w:rFonts w:eastAsia="MS Mincho"/>
          <w:szCs w:val="20"/>
          <w:lang w:val="en-US" w:eastAsia="zh-CN"/>
        </w:rPr>
        <w:t>.2</w:t>
      </w:r>
      <w:r w:rsidRPr="007500D4">
        <w:rPr>
          <w:rFonts w:eastAsia="MS Mincho"/>
          <w:szCs w:val="20"/>
          <w:lang w:val="en-US" w:eastAsia="zh-CN"/>
        </w:rPr>
        <w:t xml:space="preserve"> Dosage and administration and section </w:t>
      </w:r>
      <w:r w:rsidR="005E2D28">
        <w:rPr>
          <w:rFonts w:eastAsia="MS Mincho"/>
          <w:szCs w:val="20"/>
          <w:lang w:val="en-US" w:eastAsia="zh-CN"/>
        </w:rPr>
        <w:t>5.1</w:t>
      </w:r>
      <w:r w:rsidRPr="007500D4">
        <w:rPr>
          <w:rFonts w:eastAsia="MS Mincho"/>
          <w:szCs w:val="20"/>
          <w:lang w:val="en-US" w:eastAsia="zh-CN"/>
        </w:rPr>
        <w:t xml:space="preserve">). Therefore, PIQRAY should be taken </w:t>
      </w:r>
      <w:r w:rsidRPr="007500D4" w:rsidDel="001D1984">
        <w:rPr>
          <w:rFonts w:eastAsia="MS Mincho"/>
          <w:szCs w:val="20"/>
          <w:lang w:val="en-US" w:eastAsia="zh-CN"/>
        </w:rPr>
        <w:t>immediately after</w:t>
      </w:r>
      <w:r w:rsidRPr="007500D4">
        <w:rPr>
          <w:rFonts w:eastAsia="MS Mincho"/>
          <w:szCs w:val="20"/>
          <w:lang w:val="en-US" w:eastAsia="zh-CN"/>
        </w:rPr>
        <w:t xml:space="preserve"> food, at approximately same time each day (see section 4</w:t>
      </w:r>
      <w:r>
        <w:rPr>
          <w:rFonts w:eastAsia="MS Mincho"/>
          <w:szCs w:val="20"/>
          <w:lang w:val="en-US" w:eastAsia="zh-CN"/>
        </w:rPr>
        <w:t>.2</w:t>
      </w:r>
      <w:r w:rsidRPr="007500D4">
        <w:rPr>
          <w:rFonts w:eastAsia="MS Mincho"/>
          <w:szCs w:val="20"/>
          <w:lang w:val="en-US" w:eastAsia="zh-CN"/>
        </w:rPr>
        <w:t xml:space="preserve"> Dosage and administration)</w:t>
      </w:r>
      <w:r>
        <w:rPr>
          <w:rFonts w:eastAsia="MS Mincho"/>
          <w:szCs w:val="20"/>
          <w:lang w:val="en-US" w:eastAsia="zh-CN"/>
        </w:rPr>
        <w:t>.</w:t>
      </w:r>
    </w:p>
    <w:p w14:paraId="5B94DA64" w14:textId="77777777" w:rsidR="007500D4" w:rsidRPr="009325D5" w:rsidRDefault="007500D4" w:rsidP="009325D5">
      <w:pPr>
        <w:keepNext/>
        <w:keepLines/>
        <w:autoSpaceDE/>
        <w:autoSpaceDN/>
        <w:adjustRightInd/>
        <w:spacing w:before="120" w:after="60" w:line="240" w:lineRule="auto"/>
        <w:ind w:left="357"/>
        <w:jc w:val="left"/>
        <w:rPr>
          <w:u w:val="single"/>
        </w:rPr>
      </w:pPr>
      <w:r w:rsidRPr="009325D5">
        <w:rPr>
          <w:u w:val="single"/>
        </w:rPr>
        <w:t>Hormonal contraceptives</w:t>
      </w:r>
    </w:p>
    <w:p w14:paraId="788B18A6" w14:textId="085F51FA" w:rsidR="007500D4" w:rsidRDefault="007500D4" w:rsidP="009325D5">
      <w:pPr>
        <w:autoSpaceDE/>
        <w:autoSpaceDN/>
        <w:adjustRightInd/>
        <w:spacing w:after="0" w:line="240" w:lineRule="auto"/>
        <w:ind w:left="357"/>
        <w:rPr>
          <w:rFonts w:eastAsia="MS Mincho"/>
          <w:szCs w:val="20"/>
          <w:lang w:val="en-US" w:eastAsia="zh-CN"/>
        </w:rPr>
      </w:pPr>
      <w:r w:rsidRPr="007500D4">
        <w:rPr>
          <w:rFonts w:eastAsia="MS Mincho"/>
          <w:szCs w:val="20"/>
          <w:lang w:val="en-US" w:eastAsia="zh-CN"/>
        </w:rPr>
        <w:t xml:space="preserve">It is currently unknown whether </w:t>
      </w:r>
      <w:proofErr w:type="spellStart"/>
      <w:r w:rsidRPr="007500D4" w:rsidDel="002146BF">
        <w:rPr>
          <w:rFonts w:eastAsia="MS Mincho"/>
          <w:szCs w:val="20"/>
          <w:lang w:val="en-US" w:eastAsia="zh-CN"/>
        </w:rPr>
        <w:t>alpelisib</w:t>
      </w:r>
      <w:proofErr w:type="spellEnd"/>
      <w:r w:rsidRPr="007500D4">
        <w:rPr>
          <w:rFonts w:eastAsia="MS Mincho"/>
          <w:szCs w:val="20"/>
          <w:lang w:val="en-US" w:eastAsia="zh-CN"/>
        </w:rPr>
        <w:t xml:space="preserve"> may reduce the effectiveness of systemically acting hormonal contraceptives.</w:t>
      </w:r>
    </w:p>
    <w:p w14:paraId="0C040BCA" w14:textId="3ECD8F3F" w:rsidR="00EB7764" w:rsidRPr="00EB7764" w:rsidRDefault="00CE5EF6" w:rsidP="00EB7764">
      <w:pPr>
        <w:keepNext/>
        <w:keepLines/>
        <w:autoSpaceDE/>
        <w:autoSpaceDN/>
        <w:adjustRightInd/>
        <w:spacing w:before="120" w:after="60" w:line="240" w:lineRule="auto"/>
        <w:ind w:left="357"/>
        <w:jc w:val="left"/>
        <w:rPr>
          <w:u w:val="single"/>
        </w:rPr>
      </w:pPr>
      <w:r>
        <w:rPr>
          <w:u w:val="single"/>
        </w:rPr>
        <w:t>Metabolic interaction</w:t>
      </w:r>
    </w:p>
    <w:p w14:paraId="1244FBFC" w14:textId="356DD0FF" w:rsidR="00EB7764" w:rsidRPr="00EB7764" w:rsidRDefault="00EB7764" w:rsidP="00502656">
      <w:pPr>
        <w:widowControl w:val="0"/>
        <w:autoSpaceDE/>
        <w:autoSpaceDN/>
        <w:adjustRightInd/>
        <w:spacing w:before="120" w:after="0" w:line="240" w:lineRule="auto"/>
        <w:ind w:left="357"/>
        <w:rPr>
          <w:rFonts w:eastAsia="MS Mincho"/>
          <w:szCs w:val="20"/>
          <w:lang w:val="en-US" w:eastAsia="zh-CN"/>
        </w:rPr>
      </w:pPr>
      <w:r w:rsidRPr="00EB7764">
        <w:rPr>
          <w:rFonts w:eastAsia="MS Mincho"/>
          <w:szCs w:val="20"/>
          <w:lang w:val="en-US" w:eastAsia="zh-CN"/>
        </w:rPr>
        <w:t xml:space="preserve">Based on the results of metabolic </w:t>
      </w:r>
      <w:r w:rsidRPr="00EB7764">
        <w:rPr>
          <w:rFonts w:eastAsia="MS Mincho"/>
          <w:i/>
          <w:szCs w:val="20"/>
          <w:lang w:val="en-US" w:eastAsia="zh-CN"/>
        </w:rPr>
        <w:t>in vitro</w:t>
      </w:r>
      <w:r w:rsidRPr="00EB7764">
        <w:rPr>
          <w:rFonts w:eastAsia="MS Mincho"/>
          <w:szCs w:val="20"/>
          <w:lang w:val="en-US" w:eastAsia="zh-CN"/>
        </w:rPr>
        <w:t xml:space="preserve"> induction and inhibition studies, </w:t>
      </w:r>
      <w:proofErr w:type="spellStart"/>
      <w:r w:rsidRPr="00EB7764">
        <w:rPr>
          <w:rFonts w:eastAsia="MS Mincho"/>
          <w:szCs w:val="20"/>
          <w:lang w:val="en-US" w:eastAsia="zh-CN"/>
        </w:rPr>
        <w:t>alpelisib</w:t>
      </w:r>
      <w:proofErr w:type="spellEnd"/>
      <w:r w:rsidRPr="00EB7764">
        <w:rPr>
          <w:rFonts w:eastAsia="MS Mincho"/>
          <w:szCs w:val="20"/>
          <w:lang w:val="en-US" w:eastAsia="zh-CN"/>
        </w:rPr>
        <w:t xml:space="preserve"> may induce the metabolic clearance of co-medications metabolized by CYP2B6, CYP2C9 and CYP3A4 and may </w:t>
      </w:r>
      <w:r w:rsidRPr="00EB7764">
        <w:rPr>
          <w:rFonts w:eastAsia="MS Mincho"/>
          <w:szCs w:val="20"/>
          <w:lang w:val="en-US" w:eastAsia="zh-CN"/>
        </w:rPr>
        <w:lastRenderedPageBreak/>
        <w:t xml:space="preserve">inhibit the metabolic clearance of co-medications metabolized CYP3A4 (time-dependent inhibition) if sufficiently high concentrations are achieved </w:t>
      </w:r>
      <w:r w:rsidRPr="00EB7764">
        <w:rPr>
          <w:rFonts w:eastAsia="MS Mincho"/>
          <w:i/>
          <w:szCs w:val="20"/>
          <w:lang w:val="en-US" w:eastAsia="zh-CN"/>
        </w:rPr>
        <w:t>in vivo</w:t>
      </w:r>
      <w:r w:rsidRPr="00EB7764">
        <w:rPr>
          <w:rFonts w:eastAsia="MS Mincho"/>
          <w:szCs w:val="20"/>
          <w:lang w:val="en-US" w:eastAsia="zh-CN"/>
        </w:rPr>
        <w:t>.</w:t>
      </w:r>
    </w:p>
    <w:p w14:paraId="7B839D7A" w14:textId="172CD7A6" w:rsidR="00EB7764" w:rsidRPr="00EB7764" w:rsidRDefault="00EB7764" w:rsidP="00EB7764">
      <w:pPr>
        <w:autoSpaceDE/>
        <w:autoSpaceDN/>
        <w:adjustRightInd/>
        <w:spacing w:before="120" w:after="0" w:line="240" w:lineRule="auto"/>
        <w:ind w:left="357"/>
        <w:rPr>
          <w:rFonts w:eastAsia="MS Mincho"/>
          <w:szCs w:val="20"/>
          <w:lang w:val="en-US" w:eastAsia="zh-CN"/>
        </w:rPr>
      </w:pPr>
      <w:r w:rsidRPr="00EB7764">
        <w:rPr>
          <w:rFonts w:eastAsia="MS Mincho"/>
          <w:szCs w:val="20"/>
          <w:lang w:val="en-US" w:eastAsia="zh-CN"/>
        </w:rPr>
        <w:t xml:space="preserve">In a drug-drug interaction study, co-administration of </w:t>
      </w:r>
      <w:proofErr w:type="spellStart"/>
      <w:r w:rsidRPr="00EB7764">
        <w:rPr>
          <w:rFonts w:eastAsia="MS Mincho"/>
          <w:szCs w:val="20"/>
          <w:lang w:val="en-US" w:eastAsia="zh-CN"/>
        </w:rPr>
        <w:t>alpelisib</w:t>
      </w:r>
      <w:proofErr w:type="spellEnd"/>
      <w:r w:rsidRPr="00EB7764">
        <w:rPr>
          <w:rFonts w:eastAsia="MS Mincho"/>
          <w:szCs w:val="20"/>
          <w:lang w:val="en-US" w:eastAsia="zh-CN"/>
        </w:rPr>
        <w:t xml:space="preserve"> with </w:t>
      </w:r>
      <w:proofErr w:type="spellStart"/>
      <w:r w:rsidRPr="00EB7764">
        <w:rPr>
          <w:rFonts w:eastAsia="MS Mincho"/>
          <w:szCs w:val="20"/>
          <w:lang w:val="en-US" w:eastAsia="zh-CN"/>
        </w:rPr>
        <w:t>everolimus</w:t>
      </w:r>
      <w:proofErr w:type="spellEnd"/>
      <w:r w:rsidRPr="00EB7764">
        <w:rPr>
          <w:rFonts w:eastAsia="MS Mincho"/>
          <w:szCs w:val="20"/>
          <w:lang w:val="en-US" w:eastAsia="zh-CN"/>
        </w:rPr>
        <w:t>, a sensitive CYP3A4 substrate, confirmed that there are no clinically significant pharmacokinetic interactions (increase in AUC by 11.2</w:t>
      </w:r>
      <w:r w:rsidR="00502656">
        <w:rPr>
          <w:rFonts w:eastAsia="MS Mincho"/>
          <w:szCs w:val="20"/>
          <w:lang w:val="en-US" w:eastAsia="zh-CN"/>
        </w:rPr>
        <w:t xml:space="preserve"> </w:t>
      </w:r>
      <w:r w:rsidRPr="00EB7764">
        <w:rPr>
          <w:rFonts w:eastAsia="MS Mincho"/>
          <w:szCs w:val="20"/>
          <w:lang w:val="en-US" w:eastAsia="zh-CN"/>
        </w:rPr>
        <w:t xml:space="preserve">%) between </w:t>
      </w:r>
      <w:proofErr w:type="spellStart"/>
      <w:r w:rsidRPr="00EB7764">
        <w:rPr>
          <w:rFonts w:eastAsia="MS Mincho"/>
          <w:szCs w:val="20"/>
          <w:lang w:val="en-US" w:eastAsia="zh-CN"/>
        </w:rPr>
        <w:t>alpelisib</w:t>
      </w:r>
      <w:proofErr w:type="spellEnd"/>
      <w:r w:rsidRPr="00EB7764">
        <w:rPr>
          <w:rFonts w:eastAsia="MS Mincho"/>
          <w:szCs w:val="20"/>
          <w:lang w:val="en-US" w:eastAsia="zh-CN"/>
        </w:rPr>
        <w:t xml:space="preserve"> and CYP3A4 substrates. No change in </w:t>
      </w:r>
      <w:proofErr w:type="spellStart"/>
      <w:r w:rsidRPr="00EB7764">
        <w:rPr>
          <w:rFonts w:eastAsia="MS Mincho"/>
          <w:szCs w:val="20"/>
          <w:lang w:val="en-US" w:eastAsia="zh-CN"/>
        </w:rPr>
        <w:t>everolimus</w:t>
      </w:r>
      <w:proofErr w:type="spellEnd"/>
      <w:r w:rsidRPr="00EB7764">
        <w:rPr>
          <w:rFonts w:eastAsia="MS Mincho"/>
          <w:szCs w:val="20"/>
          <w:lang w:val="en-US" w:eastAsia="zh-CN"/>
        </w:rPr>
        <w:t xml:space="preserve"> exposure was observed at </w:t>
      </w:r>
      <w:proofErr w:type="spellStart"/>
      <w:r w:rsidRPr="00EB7764">
        <w:rPr>
          <w:rFonts w:eastAsia="MS Mincho"/>
          <w:szCs w:val="20"/>
          <w:lang w:val="en-US" w:eastAsia="zh-CN"/>
        </w:rPr>
        <w:t>alpelisib</w:t>
      </w:r>
      <w:proofErr w:type="spellEnd"/>
      <w:r w:rsidRPr="00EB7764">
        <w:rPr>
          <w:rFonts w:eastAsia="MS Mincho"/>
          <w:szCs w:val="20"/>
          <w:lang w:val="en-US" w:eastAsia="zh-CN"/>
        </w:rPr>
        <w:t xml:space="preserve"> doses ranging from 250 to 300 mg, also confirmed by PBPK modeling with </w:t>
      </w:r>
      <w:proofErr w:type="spellStart"/>
      <w:r w:rsidRPr="00EB7764">
        <w:rPr>
          <w:rFonts w:eastAsia="MS Mincho"/>
          <w:szCs w:val="20"/>
          <w:lang w:val="en-US" w:eastAsia="zh-CN"/>
        </w:rPr>
        <w:t>everolimus</w:t>
      </w:r>
      <w:proofErr w:type="spellEnd"/>
      <w:r w:rsidRPr="00EB7764">
        <w:rPr>
          <w:rFonts w:eastAsia="MS Mincho"/>
          <w:szCs w:val="20"/>
          <w:lang w:val="en-US" w:eastAsia="zh-CN"/>
        </w:rPr>
        <w:t xml:space="preserve"> and midazolam (≤ 15% increase in AUC). Due to the concurrent induction and time-dependent inhibition by </w:t>
      </w:r>
      <w:proofErr w:type="spellStart"/>
      <w:r w:rsidRPr="00EB7764">
        <w:rPr>
          <w:rFonts w:eastAsia="MS Mincho"/>
          <w:szCs w:val="20"/>
          <w:lang w:val="en-US" w:eastAsia="zh-CN"/>
        </w:rPr>
        <w:t>alpelisib</w:t>
      </w:r>
      <w:proofErr w:type="spellEnd"/>
      <w:r w:rsidRPr="00EB7764">
        <w:rPr>
          <w:rFonts w:eastAsia="MS Mincho"/>
          <w:szCs w:val="20"/>
          <w:lang w:val="en-US" w:eastAsia="zh-CN"/>
        </w:rPr>
        <w:t>, PBPK simulations with substrates of CYP3A4 that also possess an additional time-dependent inhibition and induction potential on CYP3A4 that affects their own metabolism predict changes in exposure (decrease or increase) less than 2-fold, depending on the substrate.</w:t>
      </w:r>
    </w:p>
    <w:p w14:paraId="033D5499" w14:textId="77777777" w:rsidR="00EB7764" w:rsidRPr="00EB7764" w:rsidRDefault="00EB7764" w:rsidP="00EB7764">
      <w:pPr>
        <w:keepNext/>
        <w:keepLines/>
        <w:autoSpaceDE/>
        <w:autoSpaceDN/>
        <w:adjustRightInd/>
        <w:spacing w:before="120" w:after="60" w:line="240" w:lineRule="auto"/>
        <w:ind w:left="357"/>
        <w:jc w:val="left"/>
        <w:rPr>
          <w:i/>
        </w:rPr>
      </w:pPr>
      <w:r w:rsidRPr="00EB7764">
        <w:rPr>
          <w:i/>
        </w:rPr>
        <w:t>CYP2C9 substrates</w:t>
      </w:r>
    </w:p>
    <w:p w14:paraId="62E32E0C" w14:textId="25A52EC9" w:rsidR="00EB7764" w:rsidRPr="00EB7764" w:rsidRDefault="00EB7764" w:rsidP="00EB7764">
      <w:pPr>
        <w:autoSpaceDE/>
        <w:autoSpaceDN/>
        <w:adjustRightInd/>
        <w:spacing w:after="0" w:line="240" w:lineRule="auto"/>
        <w:ind w:left="357"/>
        <w:rPr>
          <w:rFonts w:eastAsia="MS Mincho"/>
          <w:szCs w:val="20"/>
          <w:lang w:val="en-US" w:eastAsia="zh-CN"/>
        </w:rPr>
      </w:pPr>
      <w:r w:rsidRPr="00EB7764">
        <w:rPr>
          <w:rFonts w:eastAsia="MS Mincho"/>
          <w:szCs w:val="20"/>
          <w:lang w:val="en-US" w:eastAsia="zh-CN"/>
        </w:rPr>
        <w:t xml:space="preserve">In lieu of a clinical study, PBPK modeling showed that AUC and </w:t>
      </w:r>
      <w:proofErr w:type="spellStart"/>
      <w:r w:rsidRPr="00EB7764">
        <w:rPr>
          <w:rFonts w:eastAsia="MS Mincho"/>
          <w:szCs w:val="20"/>
          <w:lang w:val="en-US" w:eastAsia="zh-CN"/>
        </w:rPr>
        <w:t>Cmax</w:t>
      </w:r>
      <w:proofErr w:type="spellEnd"/>
      <w:r w:rsidRPr="00EB7764">
        <w:rPr>
          <w:rFonts w:eastAsia="MS Mincho"/>
          <w:szCs w:val="20"/>
          <w:lang w:val="en-US" w:eastAsia="zh-CN"/>
        </w:rPr>
        <w:t xml:space="preserve"> ratios of warfarin (10 mg single dose) were </w:t>
      </w:r>
      <w:r w:rsidR="00502656">
        <w:rPr>
          <w:rFonts w:eastAsia="MS Mincho"/>
          <w:szCs w:val="20"/>
          <w:lang w:val="en-US" w:eastAsia="zh-CN"/>
        </w:rPr>
        <w:t>estimate</w:t>
      </w:r>
      <w:r w:rsidRPr="00EB7764">
        <w:rPr>
          <w:rFonts w:eastAsia="MS Mincho"/>
          <w:szCs w:val="20"/>
          <w:lang w:val="en-US" w:eastAsia="zh-CN"/>
        </w:rPr>
        <w:t xml:space="preserve">d to be 0.91 and 0.99, respectively, after repeated co-administration of </w:t>
      </w:r>
      <w:proofErr w:type="spellStart"/>
      <w:r w:rsidRPr="00EB7764">
        <w:rPr>
          <w:rFonts w:eastAsia="MS Mincho"/>
          <w:szCs w:val="20"/>
          <w:lang w:val="en-US" w:eastAsia="zh-CN"/>
        </w:rPr>
        <w:t>alpelisib</w:t>
      </w:r>
      <w:proofErr w:type="spellEnd"/>
      <w:r w:rsidRPr="00EB7764">
        <w:rPr>
          <w:rFonts w:eastAsia="MS Mincho"/>
          <w:szCs w:val="20"/>
          <w:lang w:val="en-US" w:eastAsia="zh-CN"/>
        </w:rPr>
        <w:t xml:space="preserve"> (300 mg), indicating no or weak induction potential of </w:t>
      </w:r>
      <w:proofErr w:type="spellStart"/>
      <w:r w:rsidRPr="00EB7764">
        <w:rPr>
          <w:rFonts w:eastAsia="MS Mincho"/>
          <w:szCs w:val="20"/>
          <w:lang w:val="en-US" w:eastAsia="zh-CN"/>
        </w:rPr>
        <w:t>alpelisib</w:t>
      </w:r>
      <w:proofErr w:type="spellEnd"/>
      <w:r w:rsidRPr="00EB7764">
        <w:rPr>
          <w:rFonts w:eastAsia="MS Mincho"/>
          <w:szCs w:val="20"/>
          <w:lang w:val="en-US" w:eastAsia="zh-CN"/>
        </w:rPr>
        <w:t xml:space="preserve"> on CYP2C9.</w:t>
      </w:r>
    </w:p>
    <w:p w14:paraId="406A729B" w14:textId="77777777" w:rsidR="00EB7764" w:rsidRPr="00EB7764" w:rsidRDefault="00EB7764" w:rsidP="00EB7764">
      <w:pPr>
        <w:keepNext/>
        <w:keepLines/>
        <w:autoSpaceDE/>
        <w:autoSpaceDN/>
        <w:adjustRightInd/>
        <w:spacing w:before="120" w:after="60" w:line="240" w:lineRule="auto"/>
        <w:ind w:left="357"/>
        <w:jc w:val="left"/>
        <w:rPr>
          <w:i/>
        </w:rPr>
      </w:pPr>
      <w:r w:rsidRPr="00EB7764">
        <w:rPr>
          <w:i/>
        </w:rPr>
        <w:t>Transporter-based interaction</w:t>
      </w:r>
    </w:p>
    <w:p w14:paraId="4FC28D41" w14:textId="77777777" w:rsidR="006273E3" w:rsidRPr="00190D3E" w:rsidRDefault="006273E3" w:rsidP="006273E3">
      <w:pPr>
        <w:widowControl w:val="0"/>
        <w:autoSpaceDE/>
        <w:autoSpaceDN/>
        <w:adjustRightInd/>
        <w:spacing w:after="0" w:line="240" w:lineRule="auto"/>
        <w:ind w:left="357"/>
        <w:rPr>
          <w:rFonts w:eastAsia="MS Mincho"/>
          <w:lang w:val="en-US" w:eastAsia="zh-CN"/>
        </w:rPr>
      </w:pPr>
      <w:proofErr w:type="spellStart"/>
      <w:r w:rsidRPr="00EB7764">
        <w:rPr>
          <w:rFonts w:eastAsia="MS Mincho"/>
          <w:szCs w:val="20"/>
          <w:lang w:val="en-US" w:eastAsia="zh-CN"/>
        </w:rPr>
        <w:t>Alpelisib</w:t>
      </w:r>
      <w:proofErr w:type="spellEnd"/>
      <w:r w:rsidRPr="00EB7764">
        <w:rPr>
          <w:rFonts w:eastAsia="MS Mincho"/>
          <w:szCs w:val="20"/>
          <w:lang w:val="en-US" w:eastAsia="zh-CN"/>
        </w:rPr>
        <w:t xml:space="preserve"> showed weak </w:t>
      </w:r>
      <w:r w:rsidRPr="00EB7764">
        <w:rPr>
          <w:rFonts w:eastAsia="MS Mincho"/>
          <w:i/>
          <w:iCs/>
          <w:szCs w:val="20"/>
          <w:lang w:val="en-US" w:eastAsia="zh-CN"/>
        </w:rPr>
        <w:t>in vitro</w:t>
      </w:r>
      <w:r w:rsidRPr="00EB7764">
        <w:rPr>
          <w:rFonts w:eastAsia="MS Mincho"/>
          <w:szCs w:val="20"/>
          <w:lang w:val="en-US" w:eastAsia="zh-CN"/>
        </w:rPr>
        <w:t xml:space="preserve"> inhibition towards the efflux transporters P-</w:t>
      </w:r>
      <w:proofErr w:type="spellStart"/>
      <w:r w:rsidRPr="00EB7764">
        <w:rPr>
          <w:rFonts w:eastAsia="MS Mincho"/>
          <w:szCs w:val="20"/>
          <w:lang w:val="en-US" w:eastAsia="zh-CN"/>
        </w:rPr>
        <w:t>gp</w:t>
      </w:r>
      <w:proofErr w:type="spellEnd"/>
      <w:r w:rsidRPr="00EB7764">
        <w:rPr>
          <w:rFonts w:eastAsia="MS Mincho"/>
          <w:szCs w:val="20"/>
          <w:lang w:val="en-US" w:eastAsia="zh-CN"/>
        </w:rPr>
        <w:t xml:space="preserve">, </w:t>
      </w:r>
      <w:r w:rsidRPr="00190D3E">
        <w:rPr>
          <w:rFonts w:eastAsia="MS Mincho"/>
          <w:szCs w:val="20"/>
          <w:lang w:val="en-US" w:eastAsia="zh-CN"/>
        </w:rPr>
        <w:t>BCRP,</w:t>
      </w:r>
      <w:r w:rsidRPr="00EB7764">
        <w:rPr>
          <w:rFonts w:eastAsia="MS Mincho"/>
          <w:szCs w:val="20"/>
          <w:lang w:val="en-US" w:eastAsia="zh-CN"/>
        </w:rPr>
        <w:t xml:space="preserve"> and BSEP, solute carrier transporters at the liver inlet (OATP1B1, OATP1B3, </w:t>
      </w:r>
      <w:r>
        <w:rPr>
          <w:rFonts w:eastAsia="MS Mincho"/>
          <w:szCs w:val="20"/>
          <w:lang w:val="en-US" w:eastAsia="zh-CN"/>
        </w:rPr>
        <w:t xml:space="preserve">and </w:t>
      </w:r>
      <w:r w:rsidRPr="00EB7764">
        <w:rPr>
          <w:rFonts w:eastAsia="MS Mincho"/>
          <w:szCs w:val="20"/>
          <w:lang w:val="en-US" w:eastAsia="zh-CN"/>
        </w:rPr>
        <w:t xml:space="preserve">OCT1) and solute carrier transporters in the kidney ( OCT2, MATE1, </w:t>
      </w:r>
      <w:r>
        <w:rPr>
          <w:rFonts w:eastAsia="MS Mincho"/>
          <w:szCs w:val="20"/>
          <w:lang w:val="en-US" w:eastAsia="zh-CN"/>
        </w:rPr>
        <w:t xml:space="preserve">and </w:t>
      </w:r>
      <w:r w:rsidRPr="00EB7764">
        <w:rPr>
          <w:rFonts w:eastAsia="MS Mincho"/>
          <w:szCs w:val="20"/>
          <w:lang w:val="en-US" w:eastAsia="zh-CN"/>
        </w:rPr>
        <w:t>MATE2K</w:t>
      </w:r>
      <w:r>
        <w:rPr>
          <w:rFonts w:eastAsia="MS Mincho"/>
          <w:szCs w:val="20"/>
          <w:lang w:val="en-US" w:eastAsia="zh-CN"/>
        </w:rPr>
        <w:t>)</w:t>
      </w:r>
      <w:r w:rsidRPr="00EB7764">
        <w:rPr>
          <w:rFonts w:eastAsia="MS Mincho"/>
          <w:szCs w:val="20"/>
          <w:lang w:val="en-US" w:eastAsia="zh-CN"/>
        </w:rPr>
        <w:t>. As unbound systemic steady state concentrations at the therapeutic dose are significantly lower than the experimentally determined unbound inhibition constants or IC</w:t>
      </w:r>
      <w:r w:rsidRPr="00502656">
        <w:rPr>
          <w:rFonts w:eastAsia="MS Mincho"/>
          <w:szCs w:val="20"/>
          <w:vertAlign w:val="subscript"/>
          <w:lang w:val="en-US" w:eastAsia="zh-CN"/>
        </w:rPr>
        <w:t>50</w:t>
      </w:r>
      <w:r w:rsidRPr="00EB7764">
        <w:rPr>
          <w:rFonts w:eastAsia="MS Mincho"/>
          <w:szCs w:val="20"/>
          <w:lang w:val="en-US" w:eastAsia="zh-CN"/>
        </w:rPr>
        <w:t xml:space="preserve">, the inhibition will not translate into clinical significance. </w:t>
      </w:r>
      <w:r w:rsidRPr="001019DB">
        <w:rPr>
          <w:rFonts w:eastAsia="MS Mincho"/>
          <w:lang w:val="en-US" w:eastAsia="zh-CN"/>
        </w:rPr>
        <w:t xml:space="preserve"> </w:t>
      </w:r>
      <w:r w:rsidRPr="00190D3E">
        <w:t xml:space="preserve">However, given the relatively high intestinal and hepatic inlet concentrations of </w:t>
      </w:r>
      <w:proofErr w:type="spellStart"/>
      <w:r w:rsidRPr="00190D3E">
        <w:t>alpelisib</w:t>
      </w:r>
      <w:proofErr w:type="spellEnd"/>
      <w:r w:rsidRPr="00190D3E">
        <w:t>, clinically relevant inhibition of oral absorption of P-</w:t>
      </w:r>
      <w:proofErr w:type="spellStart"/>
      <w:r w:rsidRPr="00190D3E">
        <w:t>gp</w:t>
      </w:r>
      <w:proofErr w:type="spellEnd"/>
      <w:r w:rsidRPr="00190D3E">
        <w:t xml:space="preserve"> substrates and hepatic uptake of OCT1, OATP1B1 and OAT1B3 substrates may occur. Both </w:t>
      </w:r>
      <w:proofErr w:type="spellStart"/>
      <w:r w:rsidRPr="00190D3E">
        <w:t>alpelisib</w:t>
      </w:r>
      <w:proofErr w:type="spellEnd"/>
      <w:r w:rsidRPr="00190D3E">
        <w:t xml:space="preserve"> and the major metabolite, BZG791 inhibited the renal uptake transporter OAT3 (Ki 29.4 and 1.38 </w:t>
      </w:r>
      <w:proofErr w:type="spellStart"/>
      <w:r w:rsidRPr="00190D3E">
        <w:t>μM</w:t>
      </w:r>
      <w:proofErr w:type="spellEnd"/>
      <w:r w:rsidRPr="00190D3E">
        <w:t xml:space="preserve">, respectively) </w:t>
      </w:r>
      <w:r w:rsidRPr="00190D3E">
        <w:rPr>
          <w:i/>
          <w:iCs/>
        </w:rPr>
        <w:t>in vitro</w:t>
      </w:r>
      <w:r w:rsidRPr="00190D3E">
        <w:t xml:space="preserve">, and thus </w:t>
      </w:r>
      <w:proofErr w:type="spellStart"/>
      <w:r w:rsidRPr="00190D3E">
        <w:t>alpelisib</w:t>
      </w:r>
      <w:proofErr w:type="spellEnd"/>
      <w:r w:rsidRPr="00190D3E">
        <w:t xml:space="preserve"> might increase plasma concentrations of drugs that are predominantly excreted by this transporter</w:t>
      </w:r>
      <w:r>
        <w:t xml:space="preserve">. </w:t>
      </w:r>
      <w:r w:rsidRPr="00190D3E">
        <w:t xml:space="preserve">As an </w:t>
      </w:r>
      <w:r w:rsidRPr="00190D3E">
        <w:rPr>
          <w:i/>
        </w:rPr>
        <w:t>in vitro</w:t>
      </w:r>
      <w:r w:rsidRPr="00190D3E">
        <w:t xml:space="preserve"> inhibitor of </w:t>
      </w:r>
      <w:r w:rsidRPr="00190D3E">
        <w:rPr>
          <w:bCs/>
        </w:rPr>
        <w:t xml:space="preserve">OATP1B1 </w:t>
      </w:r>
      <w:r w:rsidRPr="00190D3E">
        <w:t xml:space="preserve">(IC50 20.9 </w:t>
      </w:r>
      <w:proofErr w:type="spellStart"/>
      <w:r w:rsidRPr="00190D3E">
        <w:t>μM</w:t>
      </w:r>
      <w:proofErr w:type="spellEnd"/>
      <w:r w:rsidRPr="00190D3E">
        <w:t xml:space="preserve">) </w:t>
      </w:r>
      <w:proofErr w:type="spellStart"/>
      <w:r w:rsidRPr="00190D3E">
        <w:t>alpelisib</w:t>
      </w:r>
      <w:proofErr w:type="spellEnd"/>
      <w:r w:rsidRPr="00190D3E">
        <w:t xml:space="preserve"> might also increase plasma concentrations of drugs that are </w:t>
      </w:r>
      <w:r w:rsidRPr="00190D3E">
        <w:rPr>
          <w:bCs/>
        </w:rPr>
        <w:t xml:space="preserve">OATP1B1 </w:t>
      </w:r>
      <w:r w:rsidRPr="00190D3E">
        <w:t>substrates and predominantly cleared by hepatic metabolism.</w:t>
      </w:r>
    </w:p>
    <w:p w14:paraId="7C52EC82" w14:textId="77777777" w:rsidR="00EB7764" w:rsidRDefault="00EB7764" w:rsidP="00EB7764">
      <w:pPr>
        <w:keepNext/>
        <w:keepLines/>
        <w:autoSpaceDE/>
        <w:autoSpaceDN/>
        <w:adjustRightInd/>
        <w:spacing w:before="120" w:after="60" w:line="240" w:lineRule="auto"/>
        <w:ind w:left="357"/>
        <w:jc w:val="left"/>
        <w:rPr>
          <w:i/>
        </w:rPr>
      </w:pPr>
      <w:proofErr w:type="spellStart"/>
      <w:r w:rsidRPr="00EB7764">
        <w:rPr>
          <w:i/>
        </w:rPr>
        <w:t>Fulvestrant</w:t>
      </w:r>
      <w:proofErr w:type="spellEnd"/>
    </w:p>
    <w:p w14:paraId="0825BD87" w14:textId="6DB2AB90" w:rsidR="00EB7764" w:rsidRPr="00EB7764" w:rsidRDefault="00EB7764" w:rsidP="005E2D28">
      <w:pPr>
        <w:widowControl w:val="0"/>
        <w:autoSpaceDE/>
        <w:autoSpaceDN/>
        <w:adjustRightInd/>
        <w:spacing w:after="0" w:line="240" w:lineRule="auto"/>
        <w:ind w:left="357"/>
        <w:rPr>
          <w:rFonts w:eastAsia="MS Mincho"/>
          <w:szCs w:val="20"/>
          <w:lang w:val="en-US" w:eastAsia="zh-CN"/>
        </w:rPr>
      </w:pPr>
      <w:r w:rsidRPr="00EB7764">
        <w:rPr>
          <w:rFonts w:eastAsia="MS Mincho"/>
          <w:szCs w:val="20"/>
          <w:lang w:val="en-US" w:eastAsia="zh-CN"/>
        </w:rPr>
        <w:t xml:space="preserve">Data from a clinical study in patients with breast cancer indicated no effect of </w:t>
      </w:r>
      <w:proofErr w:type="spellStart"/>
      <w:r w:rsidRPr="00EB7764">
        <w:rPr>
          <w:rFonts w:eastAsia="MS Mincho"/>
          <w:szCs w:val="20"/>
          <w:lang w:val="en-US" w:eastAsia="zh-CN"/>
        </w:rPr>
        <w:t>fulvestrant</w:t>
      </w:r>
      <w:proofErr w:type="spellEnd"/>
      <w:r w:rsidRPr="00EB7764">
        <w:rPr>
          <w:rFonts w:eastAsia="MS Mincho"/>
          <w:szCs w:val="20"/>
          <w:lang w:val="en-US" w:eastAsia="zh-CN"/>
        </w:rPr>
        <w:t xml:space="preserve"> on </w:t>
      </w:r>
      <w:proofErr w:type="spellStart"/>
      <w:r w:rsidRPr="00EB7764">
        <w:rPr>
          <w:rFonts w:eastAsia="MS Mincho"/>
          <w:szCs w:val="20"/>
          <w:lang w:val="en-US" w:eastAsia="zh-CN"/>
        </w:rPr>
        <w:t>alpelisib</w:t>
      </w:r>
      <w:proofErr w:type="spellEnd"/>
      <w:r w:rsidRPr="00EB7764">
        <w:rPr>
          <w:rFonts w:eastAsia="MS Mincho"/>
          <w:szCs w:val="20"/>
          <w:lang w:val="en-US" w:eastAsia="zh-CN"/>
        </w:rPr>
        <w:t xml:space="preserve"> exposure (and </w:t>
      </w:r>
      <w:r w:rsidRPr="00EB7764">
        <w:rPr>
          <w:rFonts w:eastAsia="MS Mincho"/>
          <w:i/>
          <w:szCs w:val="20"/>
          <w:lang w:val="en-US" w:eastAsia="zh-CN"/>
        </w:rPr>
        <w:t>vice versa</w:t>
      </w:r>
      <w:r w:rsidRPr="00EB7764">
        <w:rPr>
          <w:rFonts w:eastAsia="MS Mincho"/>
          <w:szCs w:val="20"/>
          <w:lang w:val="en-US" w:eastAsia="zh-CN"/>
        </w:rPr>
        <w:t>) following co-administration of the drugs.</w:t>
      </w:r>
    </w:p>
    <w:p w14:paraId="4BD89D24" w14:textId="77777777" w:rsidR="00EB7764" w:rsidRPr="007500D4" w:rsidRDefault="00EB7764" w:rsidP="009325D5">
      <w:pPr>
        <w:autoSpaceDE/>
        <w:autoSpaceDN/>
        <w:adjustRightInd/>
        <w:spacing w:after="0" w:line="240" w:lineRule="auto"/>
        <w:ind w:left="357"/>
        <w:rPr>
          <w:rFonts w:eastAsia="MS Mincho"/>
          <w:szCs w:val="20"/>
          <w:lang w:val="en-US" w:eastAsia="zh-CN"/>
        </w:rPr>
      </w:pPr>
    </w:p>
    <w:p w14:paraId="2F024646" w14:textId="3ACC7472" w:rsidR="007C2AA2" w:rsidRPr="00C54309" w:rsidRDefault="007C2AA2" w:rsidP="00277621">
      <w:pPr>
        <w:pStyle w:val="ListParagraph"/>
        <w:numPr>
          <w:ilvl w:val="0"/>
          <w:numId w:val="4"/>
        </w:numPr>
        <w:spacing w:after="60" w:line="240" w:lineRule="auto"/>
        <w:ind w:left="357" w:hanging="357"/>
        <w:rPr>
          <w:rFonts w:ascii="Times New Roman" w:hAnsi="Times New Roman" w:cs="Times New Roman"/>
          <w:b/>
          <w:sz w:val="24"/>
          <w:szCs w:val="24"/>
        </w:rPr>
      </w:pPr>
      <w:r w:rsidRPr="00C54309">
        <w:rPr>
          <w:rFonts w:ascii="Times New Roman" w:hAnsi="Times New Roman" w:cs="Times New Roman"/>
          <w:b/>
          <w:sz w:val="24"/>
          <w:szCs w:val="24"/>
        </w:rPr>
        <w:t xml:space="preserve">Fertility, </w:t>
      </w:r>
      <w:r w:rsidR="006320DA">
        <w:rPr>
          <w:rFonts w:ascii="Times New Roman" w:hAnsi="Times New Roman" w:cs="Times New Roman"/>
          <w:b/>
          <w:sz w:val="24"/>
          <w:szCs w:val="24"/>
        </w:rPr>
        <w:t>p</w:t>
      </w:r>
      <w:r w:rsidRPr="00C54309">
        <w:rPr>
          <w:rFonts w:ascii="Times New Roman" w:hAnsi="Times New Roman" w:cs="Times New Roman"/>
          <w:b/>
          <w:sz w:val="24"/>
          <w:szCs w:val="24"/>
        </w:rPr>
        <w:t>regnancy</w:t>
      </w:r>
      <w:r w:rsidR="006320DA">
        <w:rPr>
          <w:rFonts w:ascii="Times New Roman" w:hAnsi="Times New Roman" w:cs="Times New Roman"/>
          <w:b/>
          <w:sz w:val="24"/>
          <w:szCs w:val="24"/>
        </w:rPr>
        <w:t>,</w:t>
      </w:r>
      <w:r w:rsidRPr="00C54309">
        <w:rPr>
          <w:rFonts w:ascii="Times New Roman" w:hAnsi="Times New Roman" w:cs="Times New Roman"/>
          <w:b/>
          <w:sz w:val="24"/>
          <w:szCs w:val="24"/>
        </w:rPr>
        <w:t xml:space="preserve"> </w:t>
      </w:r>
      <w:r w:rsidR="006320DA">
        <w:rPr>
          <w:rFonts w:ascii="Times New Roman" w:hAnsi="Times New Roman" w:cs="Times New Roman"/>
          <w:b/>
          <w:sz w:val="24"/>
          <w:szCs w:val="24"/>
        </w:rPr>
        <w:t>a</w:t>
      </w:r>
      <w:r w:rsidRPr="00C54309">
        <w:rPr>
          <w:rFonts w:ascii="Times New Roman" w:hAnsi="Times New Roman" w:cs="Times New Roman"/>
          <w:b/>
          <w:sz w:val="24"/>
          <w:szCs w:val="24"/>
        </w:rPr>
        <w:t xml:space="preserve">nd </w:t>
      </w:r>
      <w:r w:rsidR="006320DA">
        <w:rPr>
          <w:rFonts w:ascii="Times New Roman" w:hAnsi="Times New Roman" w:cs="Times New Roman"/>
          <w:b/>
          <w:sz w:val="24"/>
          <w:szCs w:val="24"/>
        </w:rPr>
        <w:t>l</w:t>
      </w:r>
      <w:r w:rsidRPr="00C54309">
        <w:rPr>
          <w:rFonts w:ascii="Times New Roman" w:hAnsi="Times New Roman" w:cs="Times New Roman"/>
          <w:b/>
          <w:sz w:val="24"/>
          <w:szCs w:val="24"/>
        </w:rPr>
        <w:t>actation</w:t>
      </w:r>
    </w:p>
    <w:p w14:paraId="22D32CD3" w14:textId="18A6EDA6" w:rsidR="009325D5" w:rsidRPr="009325D5" w:rsidRDefault="00CE5EF6" w:rsidP="009325D5">
      <w:pPr>
        <w:pStyle w:val="Heading2"/>
        <w:numPr>
          <w:ilvl w:val="0"/>
          <w:numId w:val="0"/>
        </w:numPr>
        <w:ind w:left="357"/>
        <w:rPr>
          <w:b w:val="0"/>
        </w:rPr>
      </w:pPr>
      <w:r>
        <w:rPr>
          <w:b w:val="0"/>
        </w:rPr>
        <w:t>Fertility</w:t>
      </w:r>
    </w:p>
    <w:p w14:paraId="4849157D" w14:textId="3B2C0AEF" w:rsidR="009325D5" w:rsidRDefault="009325D5" w:rsidP="009325D5">
      <w:pPr>
        <w:pStyle w:val="Heading2"/>
        <w:numPr>
          <w:ilvl w:val="0"/>
          <w:numId w:val="0"/>
        </w:numPr>
        <w:ind w:left="357"/>
        <w:rPr>
          <w:b w:val="0"/>
          <w:u w:val="none"/>
        </w:rPr>
      </w:pPr>
      <w:r w:rsidRPr="009325D5">
        <w:rPr>
          <w:b w:val="0"/>
          <w:u w:val="none"/>
        </w:rPr>
        <w:t xml:space="preserve">There is no data on the effect of </w:t>
      </w:r>
      <w:proofErr w:type="spellStart"/>
      <w:r w:rsidRPr="009325D5">
        <w:rPr>
          <w:b w:val="0"/>
          <w:u w:val="none"/>
        </w:rPr>
        <w:t>alpelisib</w:t>
      </w:r>
      <w:proofErr w:type="spellEnd"/>
      <w:r w:rsidRPr="009325D5">
        <w:rPr>
          <w:b w:val="0"/>
          <w:u w:val="none"/>
        </w:rPr>
        <w:t xml:space="preserve"> on fertility. Based on repeat dose toxicity studies </w:t>
      </w:r>
      <w:r w:rsidR="00F26069">
        <w:rPr>
          <w:b w:val="0"/>
          <w:u w:val="none"/>
        </w:rPr>
        <w:t>i</w:t>
      </w:r>
      <w:r w:rsidRPr="009325D5">
        <w:rPr>
          <w:b w:val="0"/>
          <w:u w:val="none"/>
        </w:rPr>
        <w:t>n animals, PIQRAY may impair fertility in males and females of reproductive potential</w:t>
      </w:r>
      <w:r w:rsidR="00CE5EF6">
        <w:rPr>
          <w:b w:val="0"/>
          <w:u w:val="none"/>
        </w:rPr>
        <w:t>.</w:t>
      </w:r>
    </w:p>
    <w:p w14:paraId="6B5DFC11" w14:textId="2F05752E" w:rsidR="00EC07B1" w:rsidRPr="00EC07B1" w:rsidRDefault="00EC07B1" w:rsidP="009325D5">
      <w:pPr>
        <w:pStyle w:val="Heading2"/>
        <w:numPr>
          <w:ilvl w:val="0"/>
          <w:numId w:val="0"/>
        </w:numPr>
        <w:ind w:left="357"/>
        <w:rPr>
          <w:b w:val="0"/>
          <w:u w:val="none"/>
        </w:rPr>
      </w:pPr>
      <w:r w:rsidRPr="00EC07B1">
        <w:rPr>
          <w:b w:val="0"/>
          <w:u w:val="none"/>
        </w:rPr>
        <w:t xml:space="preserve">Dedicated fertility studies were not conducted with </w:t>
      </w:r>
      <w:proofErr w:type="spellStart"/>
      <w:r w:rsidRPr="00EC07B1">
        <w:rPr>
          <w:b w:val="0"/>
          <w:u w:val="none"/>
        </w:rPr>
        <w:t>alpelisib</w:t>
      </w:r>
      <w:proofErr w:type="spellEnd"/>
      <w:r w:rsidRPr="00EC07B1">
        <w:rPr>
          <w:b w:val="0"/>
          <w:u w:val="none"/>
        </w:rPr>
        <w:t xml:space="preserve">. In repeated-dose toxicity studies up to 13-weeks duration, adverse effects were observed in reproductive organs including vaginal epithelial atrophy, vaginal atrophy and </w:t>
      </w:r>
      <w:proofErr w:type="spellStart"/>
      <w:r w:rsidRPr="00EC07B1">
        <w:rPr>
          <w:b w:val="0"/>
          <w:u w:val="none"/>
        </w:rPr>
        <w:t>oestrous</w:t>
      </w:r>
      <w:proofErr w:type="spellEnd"/>
      <w:r w:rsidRPr="00EC07B1">
        <w:rPr>
          <w:b w:val="0"/>
          <w:u w:val="none"/>
        </w:rPr>
        <w:t xml:space="preserve"> cycle variations in rats at doses ≥ 2 mg/kg/day (0.1 times the exposure in humans at the recommended dose of 300 mg/day based on AUC), and decreased secretion in prostate and seminal vesicle in rats at ≥ 10 mg/kg/day (0.8 times the exposure in humans) and prostate glandular atrophy in dogs at 15 mg/kg/day (2.3 times the exposure in </w:t>
      </w:r>
      <w:r w:rsidRPr="00EC07B1">
        <w:rPr>
          <w:b w:val="0"/>
          <w:u w:val="none"/>
        </w:rPr>
        <w:lastRenderedPageBreak/>
        <w:t>humans) and tubular degeneration/atrophy in the pilot study in dogs at ≥ 10 mg/kg/day (~1 times the exposure in humans)</w:t>
      </w:r>
      <w:r>
        <w:rPr>
          <w:b w:val="0"/>
          <w:u w:val="none"/>
        </w:rPr>
        <w:t>.</w:t>
      </w:r>
    </w:p>
    <w:p w14:paraId="20886149" w14:textId="15C882A8" w:rsidR="007B5986" w:rsidRPr="009325D5" w:rsidRDefault="007B5986" w:rsidP="009325D5">
      <w:pPr>
        <w:pStyle w:val="Heading2"/>
        <w:numPr>
          <w:ilvl w:val="0"/>
          <w:numId w:val="0"/>
        </w:numPr>
        <w:ind w:left="357"/>
        <w:rPr>
          <w:b w:val="0"/>
        </w:rPr>
      </w:pPr>
      <w:r w:rsidRPr="009325D5">
        <w:rPr>
          <w:b w:val="0"/>
        </w:rPr>
        <w:t xml:space="preserve">Use in Pregnancy (Category </w:t>
      </w:r>
      <w:r w:rsidR="009325D5" w:rsidRPr="009325D5">
        <w:rPr>
          <w:b w:val="0"/>
        </w:rPr>
        <w:t>D</w:t>
      </w:r>
      <w:r w:rsidRPr="009325D5">
        <w:rPr>
          <w:b w:val="0"/>
        </w:rPr>
        <w:t>)</w:t>
      </w:r>
    </w:p>
    <w:p w14:paraId="538CB4F2" w14:textId="6860A9E6" w:rsidR="009325D5" w:rsidRPr="009325D5" w:rsidRDefault="009325D5" w:rsidP="009325D5">
      <w:pPr>
        <w:pStyle w:val="Heading2"/>
        <w:numPr>
          <w:ilvl w:val="0"/>
          <w:numId w:val="0"/>
        </w:numPr>
        <w:ind w:left="357"/>
        <w:rPr>
          <w:b w:val="0"/>
          <w:u w:val="none"/>
        </w:rPr>
      </w:pPr>
      <w:r w:rsidRPr="009325D5">
        <w:rPr>
          <w:b w:val="0"/>
          <w:u w:val="none"/>
        </w:rPr>
        <w:t>Based on animal data and its mechanism of action, PIQRAY can cause fetal harm when adm</w:t>
      </w:r>
      <w:r w:rsidR="00CE5EF6">
        <w:rPr>
          <w:b w:val="0"/>
          <w:u w:val="none"/>
        </w:rPr>
        <w:t>inistered to a pregnant woman.</w:t>
      </w:r>
    </w:p>
    <w:p w14:paraId="580696BB" w14:textId="31F78396" w:rsidR="009325D5" w:rsidRPr="009325D5" w:rsidRDefault="009325D5" w:rsidP="009325D5">
      <w:pPr>
        <w:pStyle w:val="Heading2"/>
        <w:numPr>
          <w:ilvl w:val="0"/>
          <w:numId w:val="0"/>
        </w:numPr>
        <w:ind w:left="357"/>
        <w:rPr>
          <w:b w:val="0"/>
          <w:u w:val="none"/>
        </w:rPr>
      </w:pPr>
      <w:r w:rsidRPr="009325D5">
        <w:rPr>
          <w:b w:val="0"/>
          <w:u w:val="none"/>
        </w:rPr>
        <w:t xml:space="preserve">There are no adequate and well-controlled studies in pregnant women. Embryo-fetal development studies in rats and rabbits have demonstrated that oral administration of </w:t>
      </w:r>
      <w:proofErr w:type="spellStart"/>
      <w:r w:rsidRPr="009325D5">
        <w:rPr>
          <w:b w:val="0"/>
          <w:u w:val="none"/>
        </w:rPr>
        <w:t>alpelisib</w:t>
      </w:r>
      <w:proofErr w:type="spellEnd"/>
      <w:r w:rsidRPr="009325D5">
        <w:rPr>
          <w:b w:val="0"/>
          <w:u w:val="none"/>
        </w:rPr>
        <w:t xml:space="preserve"> during organogenesis induced embryo-</w:t>
      </w:r>
      <w:r w:rsidR="00EC07B1">
        <w:rPr>
          <w:b w:val="0"/>
          <w:u w:val="none"/>
        </w:rPr>
        <w:t>lethality</w:t>
      </w:r>
      <w:r w:rsidRPr="009325D5">
        <w:rPr>
          <w:b w:val="0"/>
          <w:u w:val="none"/>
        </w:rPr>
        <w:t xml:space="preserve">, </w:t>
      </w:r>
      <w:proofErr w:type="spellStart"/>
      <w:r w:rsidRPr="009325D5">
        <w:rPr>
          <w:b w:val="0"/>
          <w:u w:val="none"/>
        </w:rPr>
        <w:t>feto</w:t>
      </w:r>
      <w:proofErr w:type="spellEnd"/>
      <w:r w:rsidRPr="009325D5">
        <w:rPr>
          <w:b w:val="0"/>
          <w:u w:val="none"/>
        </w:rPr>
        <w:t xml:space="preserve">-toxicity, and teratogenicity. </w:t>
      </w:r>
      <w:r w:rsidR="00EC07B1">
        <w:rPr>
          <w:b w:val="0"/>
          <w:u w:val="none"/>
        </w:rPr>
        <w:t>I</w:t>
      </w:r>
      <w:r w:rsidRPr="009325D5">
        <w:rPr>
          <w:b w:val="0"/>
          <w:u w:val="none"/>
        </w:rPr>
        <w:t xml:space="preserve">ncreased incidences of post-implantation loss, reduced fetal weights, and increased incidences of fetal abnormalities were observed at </w:t>
      </w:r>
      <w:r w:rsidR="00EC07B1" w:rsidRPr="008D63AC">
        <w:rPr>
          <w:b w:val="0"/>
          <w:u w:val="none"/>
        </w:rPr>
        <w:t xml:space="preserve">10 mg/kg/day in rats and 15 mg/kg/day in rabbits with systemic exposures 0.8 (rat) and 5 </w:t>
      </w:r>
      <w:r w:rsidR="00EC07B1">
        <w:rPr>
          <w:b w:val="0"/>
          <w:u w:val="none"/>
        </w:rPr>
        <w:t xml:space="preserve">times (rabbit) </w:t>
      </w:r>
      <w:r w:rsidRPr="009325D5">
        <w:rPr>
          <w:b w:val="0"/>
          <w:u w:val="none"/>
        </w:rPr>
        <w:t>the exposure in humans at the hig</w:t>
      </w:r>
      <w:r>
        <w:rPr>
          <w:b w:val="0"/>
          <w:u w:val="none"/>
        </w:rPr>
        <w:t>hest recommended dose of 300 mg</w:t>
      </w:r>
      <w:r w:rsidR="00EC07B1">
        <w:rPr>
          <w:b w:val="0"/>
          <w:u w:val="none"/>
        </w:rPr>
        <w:t>/day based on AUC</w:t>
      </w:r>
      <w:r w:rsidRPr="009325D5">
        <w:rPr>
          <w:b w:val="0"/>
          <w:u w:val="none"/>
        </w:rPr>
        <w:t>.</w:t>
      </w:r>
    </w:p>
    <w:p w14:paraId="3222FD4C" w14:textId="4B301C75" w:rsidR="009325D5" w:rsidRPr="009325D5" w:rsidRDefault="009325D5" w:rsidP="009325D5">
      <w:pPr>
        <w:pStyle w:val="Heading2"/>
        <w:numPr>
          <w:ilvl w:val="0"/>
          <w:numId w:val="0"/>
        </w:numPr>
        <w:ind w:left="357"/>
        <w:rPr>
          <w:b w:val="0"/>
          <w:u w:val="none"/>
        </w:rPr>
      </w:pPr>
      <w:r w:rsidRPr="009325D5">
        <w:rPr>
          <w:b w:val="0"/>
          <w:u w:val="none"/>
        </w:rPr>
        <w:t>PIQRAY should not be used during pregnancy unless the benefits to the mother outweighs the risk to the fetus. If PIQRAY is used during pregnancy, the patient should be advised of the potential risk to the fetus.</w:t>
      </w:r>
    </w:p>
    <w:p w14:paraId="0894E7BB" w14:textId="4F38E346" w:rsidR="007B5986" w:rsidRPr="009325D5" w:rsidRDefault="007B5986" w:rsidP="00A10CD7">
      <w:pPr>
        <w:ind w:left="357"/>
        <w:rPr>
          <w:i/>
        </w:rPr>
      </w:pPr>
      <w:r w:rsidRPr="009325D5">
        <w:rPr>
          <w:i/>
        </w:rPr>
        <w:t>Contraception</w:t>
      </w:r>
    </w:p>
    <w:p w14:paraId="6C3FA1B9" w14:textId="1676C4F4" w:rsidR="009325D5" w:rsidRDefault="009325D5" w:rsidP="00502656">
      <w:pPr>
        <w:widowControl w:val="0"/>
        <w:ind w:left="357"/>
      </w:pPr>
      <w:r>
        <w:t>A negative pregnancy status for females of reproductive potential should be verified prior to starting treatment with PIQRAY.</w:t>
      </w:r>
    </w:p>
    <w:p w14:paraId="5473DB4E" w14:textId="70D641D1" w:rsidR="009325D5" w:rsidRDefault="009325D5" w:rsidP="009325D5">
      <w:pPr>
        <w:ind w:left="357"/>
      </w:pPr>
      <w:r>
        <w:t xml:space="preserve">Females of reproductive potential should be advised that animal studies and the mechanism of action have shown that </w:t>
      </w:r>
      <w:proofErr w:type="spellStart"/>
      <w:r>
        <w:t>alpelisib</w:t>
      </w:r>
      <w:proofErr w:type="spellEnd"/>
      <w:r>
        <w:t xml:space="preserve"> can be harmful to the developing </w:t>
      </w:r>
      <w:proofErr w:type="spellStart"/>
      <w:r>
        <w:t>fetus</w:t>
      </w:r>
      <w:proofErr w:type="spellEnd"/>
      <w:r>
        <w:t xml:space="preserve">. Sexually-active females of reproductive potential should use effective contraception (methods that result in less than 1% pregnancy rates) when using PIQRAY during treatment and for at least 4 days after stopping treatment with </w:t>
      </w:r>
      <w:proofErr w:type="spellStart"/>
      <w:r>
        <w:t>alpelisib</w:t>
      </w:r>
      <w:proofErr w:type="spellEnd"/>
      <w:r>
        <w:t xml:space="preserve">. It is currently unknown whether </w:t>
      </w:r>
      <w:proofErr w:type="spellStart"/>
      <w:r>
        <w:t>alpelisib</w:t>
      </w:r>
      <w:proofErr w:type="spellEnd"/>
      <w:r>
        <w:t xml:space="preserve"> may reduce the effectiveness of systemically acting hormonal contraceptives.</w:t>
      </w:r>
    </w:p>
    <w:p w14:paraId="56FEDB23" w14:textId="3E1517EC" w:rsidR="009325D5" w:rsidRPr="009325D5" w:rsidRDefault="009325D5" w:rsidP="009325D5">
      <w:pPr>
        <w:widowControl w:val="0"/>
        <w:spacing w:line="240" w:lineRule="auto"/>
        <w:ind w:left="357"/>
      </w:pPr>
      <w:r w:rsidRPr="009325D5">
        <w:t>Male patients with sexual partners who are pregnant, possibly pregnant, or who could become pregnant should use condoms during sexual intercourse while taking PIQRAY and for at least 4 days after stopping treatment with PIQRAY.</w:t>
      </w:r>
    </w:p>
    <w:p w14:paraId="1C5EE163" w14:textId="068F6580" w:rsidR="007B5986" w:rsidRDefault="007B5986" w:rsidP="009325D5">
      <w:pPr>
        <w:pStyle w:val="Heading2"/>
        <w:numPr>
          <w:ilvl w:val="0"/>
          <w:numId w:val="0"/>
        </w:numPr>
        <w:ind w:left="357"/>
        <w:rPr>
          <w:b w:val="0"/>
          <w:i/>
        </w:rPr>
      </w:pPr>
      <w:r w:rsidRPr="00A10CD7">
        <w:rPr>
          <w:b w:val="0"/>
          <w:i/>
        </w:rPr>
        <w:t>Use in Lactation</w:t>
      </w:r>
    </w:p>
    <w:p w14:paraId="704CDC9B" w14:textId="5394FC5B" w:rsidR="009325D5" w:rsidRPr="009325D5" w:rsidRDefault="009325D5" w:rsidP="009325D5">
      <w:pPr>
        <w:ind w:left="357"/>
      </w:pPr>
      <w:r w:rsidRPr="009325D5">
        <w:t xml:space="preserve">It is not known if </w:t>
      </w:r>
      <w:proofErr w:type="spellStart"/>
      <w:r w:rsidRPr="009325D5">
        <w:t>alpelisib</w:t>
      </w:r>
      <w:proofErr w:type="spellEnd"/>
      <w:r w:rsidRPr="009325D5">
        <w:t xml:space="preserve"> is transferred into human or animal milk after administration of PIQRAY. There are no data on the effects of </w:t>
      </w:r>
      <w:proofErr w:type="spellStart"/>
      <w:r w:rsidRPr="009325D5">
        <w:t>alpelisib</w:t>
      </w:r>
      <w:proofErr w:type="spellEnd"/>
      <w:r w:rsidRPr="009325D5">
        <w:t xml:space="preserve"> on the breastfed child or the effects o</w:t>
      </w:r>
      <w:r w:rsidR="00CE5EF6">
        <w:t xml:space="preserve">f </w:t>
      </w:r>
      <w:proofErr w:type="spellStart"/>
      <w:r w:rsidR="00CE5EF6">
        <w:t>alpelisib</w:t>
      </w:r>
      <w:proofErr w:type="spellEnd"/>
      <w:r w:rsidR="00CE5EF6">
        <w:t xml:space="preserve"> on milk production.</w:t>
      </w:r>
    </w:p>
    <w:p w14:paraId="46359CF1" w14:textId="18A6C1DF" w:rsidR="009325D5" w:rsidRPr="009325D5" w:rsidRDefault="009325D5" w:rsidP="009325D5">
      <w:pPr>
        <w:ind w:left="357"/>
      </w:pPr>
      <w:r w:rsidRPr="009325D5">
        <w:t>Because of the potential for serious adverse drug reactions in the breastfed child from PIQRAY, it is recommended that women should not breastfeed during treatment and for at least 4 days after the last dose of PIQRAY.</w:t>
      </w:r>
    </w:p>
    <w:p w14:paraId="2B326D8F" w14:textId="487CB167" w:rsidR="00B52FD4" w:rsidRDefault="00B17A43" w:rsidP="00277621">
      <w:pPr>
        <w:pStyle w:val="ListParagraph"/>
        <w:numPr>
          <w:ilvl w:val="0"/>
          <w:numId w:val="4"/>
        </w:numPr>
        <w:spacing w:after="60" w:line="240" w:lineRule="auto"/>
        <w:ind w:left="357" w:hanging="357"/>
        <w:rPr>
          <w:rFonts w:ascii="Times New Roman" w:hAnsi="Times New Roman" w:cs="Times New Roman"/>
          <w:b/>
          <w:sz w:val="24"/>
          <w:szCs w:val="24"/>
        </w:rPr>
      </w:pPr>
      <w:r w:rsidRPr="004B121B">
        <w:rPr>
          <w:rFonts w:ascii="Times New Roman" w:hAnsi="Times New Roman" w:cs="Times New Roman"/>
          <w:b/>
          <w:sz w:val="24"/>
          <w:szCs w:val="24"/>
        </w:rPr>
        <w:t xml:space="preserve">Effects on </w:t>
      </w:r>
      <w:r w:rsidR="004B121B">
        <w:rPr>
          <w:rFonts w:ascii="Times New Roman" w:hAnsi="Times New Roman" w:cs="Times New Roman"/>
          <w:b/>
          <w:sz w:val="24"/>
          <w:szCs w:val="24"/>
        </w:rPr>
        <w:t>a</w:t>
      </w:r>
      <w:r w:rsidR="00B52FD4" w:rsidRPr="004B121B">
        <w:rPr>
          <w:rFonts w:ascii="Times New Roman" w:hAnsi="Times New Roman" w:cs="Times New Roman"/>
          <w:b/>
          <w:sz w:val="24"/>
          <w:szCs w:val="24"/>
        </w:rPr>
        <w:t xml:space="preserve">bility to </w:t>
      </w:r>
      <w:r w:rsidR="004B121B">
        <w:rPr>
          <w:rFonts w:ascii="Times New Roman" w:hAnsi="Times New Roman" w:cs="Times New Roman"/>
          <w:b/>
          <w:sz w:val="24"/>
          <w:szCs w:val="24"/>
        </w:rPr>
        <w:t xml:space="preserve">drive and </w:t>
      </w:r>
      <w:r w:rsidR="003B7745">
        <w:rPr>
          <w:rFonts w:ascii="Times New Roman" w:hAnsi="Times New Roman" w:cs="Times New Roman"/>
          <w:b/>
          <w:sz w:val="24"/>
          <w:szCs w:val="24"/>
        </w:rPr>
        <w:t>use machines</w:t>
      </w:r>
    </w:p>
    <w:p w14:paraId="1553A922" w14:textId="1B797105" w:rsidR="00E96048" w:rsidRDefault="00E96048" w:rsidP="00E96048">
      <w:pPr>
        <w:widowControl w:val="0"/>
        <w:ind w:left="357"/>
      </w:pPr>
      <w:r>
        <w:t>PIQRAY has minor influence on the ability to drive and use machines. Patients should be advised to be cautious when driving or using machines in case they experience fatigue during treatment with PIQRAY (see section 4.8).</w:t>
      </w:r>
    </w:p>
    <w:p w14:paraId="07264EC1" w14:textId="761B6DE4" w:rsidR="007C6B71" w:rsidRPr="001550EB" w:rsidRDefault="007C6B71" w:rsidP="00502656">
      <w:pPr>
        <w:pStyle w:val="ListParagraph"/>
        <w:keepNext/>
        <w:numPr>
          <w:ilvl w:val="0"/>
          <w:numId w:val="4"/>
        </w:numPr>
        <w:spacing w:after="60" w:line="240" w:lineRule="auto"/>
        <w:ind w:left="357" w:hanging="357"/>
        <w:rPr>
          <w:rFonts w:ascii="Times New Roman" w:hAnsi="Times New Roman" w:cs="Times New Roman"/>
          <w:b/>
          <w:sz w:val="24"/>
          <w:szCs w:val="24"/>
        </w:rPr>
      </w:pPr>
      <w:r w:rsidRPr="001550EB">
        <w:rPr>
          <w:rFonts w:ascii="Times New Roman" w:hAnsi="Times New Roman" w:cs="Times New Roman"/>
          <w:b/>
          <w:sz w:val="24"/>
          <w:szCs w:val="24"/>
        </w:rPr>
        <w:t>Adverse effects (undesirable effects)</w:t>
      </w:r>
    </w:p>
    <w:p w14:paraId="2FA95602" w14:textId="77777777" w:rsidR="000B4520" w:rsidRPr="000B4520" w:rsidRDefault="000B4520" w:rsidP="009325D5">
      <w:pPr>
        <w:pStyle w:val="Heading2"/>
        <w:keepNext w:val="0"/>
        <w:widowControl w:val="0"/>
        <w:numPr>
          <w:ilvl w:val="0"/>
          <w:numId w:val="0"/>
        </w:numPr>
        <w:ind w:left="360"/>
        <w:rPr>
          <w:b w:val="0"/>
          <w:i/>
        </w:rPr>
      </w:pPr>
      <w:r w:rsidRPr="000B4520">
        <w:rPr>
          <w:b w:val="0"/>
          <w:i/>
        </w:rPr>
        <w:t>Summary of the safety profile</w:t>
      </w:r>
    </w:p>
    <w:p w14:paraId="4F49DD1C" w14:textId="48FFB120" w:rsidR="007500D4" w:rsidRDefault="007500D4" w:rsidP="00BB485B">
      <w:pPr>
        <w:widowControl w:val="0"/>
        <w:ind w:left="357"/>
      </w:pPr>
      <w:r>
        <w:t xml:space="preserve">The overall safety evaluation of PIQRAY is based on data from the phase III clinical study of 572 patients (571 post-menopausal women and 1 male) who were randomized in a 1:1 ratio to receive PIQRAY plus </w:t>
      </w:r>
      <w:proofErr w:type="spellStart"/>
      <w:r>
        <w:t>fulvestrant</w:t>
      </w:r>
      <w:proofErr w:type="spellEnd"/>
      <w:r>
        <w:t xml:space="preserve"> or placebo plus </w:t>
      </w:r>
      <w:proofErr w:type="spellStart"/>
      <w:r>
        <w:t>fulvestrant</w:t>
      </w:r>
      <w:proofErr w:type="spellEnd"/>
      <w:r>
        <w:t xml:space="preserve">; 284 of whom received PIQRAY at the recommended starting dose of 300 mg dose in combination with </w:t>
      </w:r>
      <w:proofErr w:type="spellStart"/>
      <w:r>
        <w:t>fulvestrant</w:t>
      </w:r>
      <w:proofErr w:type="spellEnd"/>
      <w:r>
        <w:t>, using the proposed treatment regimen.</w:t>
      </w:r>
    </w:p>
    <w:p w14:paraId="5FB460D9" w14:textId="35321C26" w:rsidR="007500D4" w:rsidRDefault="007500D4" w:rsidP="00CE5EF6">
      <w:pPr>
        <w:ind w:left="357"/>
      </w:pPr>
      <w:r>
        <w:lastRenderedPageBreak/>
        <w:t xml:space="preserve">The median duration of exposure to PIQRAY plus </w:t>
      </w:r>
      <w:proofErr w:type="spellStart"/>
      <w:r>
        <w:t>fulvestrant</w:t>
      </w:r>
      <w:proofErr w:type="spellEnd"/>
      <w:r>
        <w:t xml:space="preserve"> was 8.2 months with 59.2</w:t>
      </w:r>
      <w:r w:rsidR="00BB485B">
        <w:t xml:space="preserve"> </w:t>
      </w:r>
      <w:r>
        <w:t>% patients exposed for &gt;</w:t>
      </w:r>
      <w:r w:rsidR="00BB485B">
        <w:t xml:space="preserve"> </w:t>
      </w:r>
      <w:r w:rsidR="00CE5EF6">
        <w:t>6 months.</w:t>
      </w:r>
    </w:p>
    <w:p w14:paraId="25F45155" w14:textId="477AFAF8" w:rsidR="007500D4" w:rsidRDefault="007500D4" w:rsidP="007500D4">
      <w:pPr>
        <w:widowControl w:val="0"/>
        <w:ind w:left="360"/>
      </w:pPr>
      <w:r>
        <w:t>PIQRAY dose reductions due to adverse events (AEs), regardless of causality occurred in 57.7</w:t>
      </w:r>
      <w:r w:rsidR="00BE0A2E">
        <w:t xml:space="preserve"> </w:t>
      </w:r>
      <w:r>
        <w:t xml:space="preserve">% of patients receiving PIQRAY plus </w:t>
      </w:r>
      <w:proofErr w:type="spellStart"/>
      <w:r>
        <w:t>fulvestrant</w:t>
      </w:r>
      <w:proofErr w:type="spellEnd"/>
      <w:r>
        <w:t xml:space="preserve"> and in 4.5</w:t>
      </w:r>
      <w:r w:rsidR="00BE0A2E">
        <w:t xml:space="preserve"> </w:t>
      </w:r>
      <w:r>
        <w:t xml:space="preserve">% of patients receiving placebo plus </w:t>
      </w:r>
      <w:proofErr w:type="spellStart"/>
      <w:r>
        <w:t>fulvestrant</w:t>
      </w:r>
      <w:proofErr w:type="spellEnd"/>
      <w:r>
        <w:t xml:space="preserve">. Permanent discontinuations of </w:t>
      </w:r>
      <w:r w:rsidR="00925EB1">
        <w:t xml:space="preserve">PIQRAY </w:t>
      </w:r>
      <w:r>
        <w:t xml:space="preserve">and/or </w:t>
      </w:r>
      <w:proofErr w:type="spellStart"/>
      <w:r>
        <w:t>fulvestrant</w:t>
      </w:r>
      <w:proofErr w:type="spellEnd"/>
      <w:r>
        <w:t xml:space="preserve"> due to adverse events were reported in 25</w:t>
      </w:r>
      <w:r w:rsidR="00BE0A2E">
        <w:t xml:space="preserve"> </w:t>
      </w:r>
      <w:r>
        <w:t>% of patients compared to and 4.5</w:t>
      </w:r>
      <w:r w:rsidR="00BE0A2E">
        <w:t xml:space="preserve"> </w:t>
      </w:r>
      <w:r>
        <w:t xml:space="preserve">% with placebo and/or </w:t>
      </w:r>
      <w:proofErr w:type="spellStart"/>
      <w:r>
        <w:t>fulvestrant</w:t>
      </w:r>
      <w:proofErr w:type="spellEnd"/>
      <w:r>
        <w:t xml:space="preserve">. The most common AEs leading to treatment discontinuation of both PIQRAY and/or </w:t>
      </w:r>
      <w:proofErr w:type="spellStart"/>
      <w:r>
        <w:t>fulvestrant</w:t>
      </w:r>
      <w:proofErr w:type="spellEnd"/>
      <w:r>
        <w:t xml:space="preserve"> were hyperglycaemia (6.3</w:t>
      </w:r>
      <w:r w:rsidR="00BE0A2E">
        <w:t xml:space="preserve"> </w:t>
      </w:r>
      <w:r>
        <w:t>%), rash (3.2</w:t>
      </w:r>
      <w:r w:rsidR="00BE0A2E">
        <w:t xml:space="preserve"> </w:t>
      </w:r>
      <w:r>
        <w:t xml:space="preserve">%), </w:t>
      </w:r>
      <w:r w:rsidR="00802DD1">
        <w:t>diarrhoea</w:t>
      </w:r>
      <w:r>
        <w:t xml:space="preserve"> (2.8</w:t>
      </w:r>
      <w:r w:rsidR="00BE0A2E">
        <w:t xml:space="preserve"> </w:t>
      </w:r>
      <w:r>
        <w:t>%), and fatigue (2.1</w:t>
      </w:r>
      <w:r w:rsidR="00BE0A2E">
        <w:t xml:space="preserve"> </w:t>
      </w:r>
      <w:r w:rsidR="00CE5EF6">
        <w:t>%).</w:t>
      </w:r>
    </w:p>
    <w:p w14:paraId="28E0DDF5" w14:textId="00BDBBB3" w:rsidR="007500D4" w:rsidRDefault="007500D4" w:rsidP="007500D4">
      <w:pPr>
        <w:widowControl w:val="0"/>
        <w:ind w:left="360"/>
      </w:pPr>
      <w:r>
        <w:t>On-treatment deaths, regardless of causality, were reported in 7 patients (2.5</w:t>
      </w:r>
      <w:r w:rsidR="00D526AB">
        <w:t xml:space="preserve"> </w:t>
      </w:r>
      <w:r>
        <w:t xml:space="preserve">%) treated with PIQRAY plus </w:t>
      </w:r>
      <w:proofErr w:type="spellStart"/>
      <w:r>
        <w:t>fulvestrant</w:t>
      </w:r>
      <w:proofErr w:type="spellEnd"/>
      <w:r>
        <w:t xml:space="preserve"> vs. 12 patients (4.2</w:t>
      </w:r>
      <w:r w:rsidR="00D526AB">
        <w:t xml:space="preserve"> </w:t>
      </w:r>
      <w:r>
        <w:t xml:space="preserve">%) treated with placebo plus </w:t>
      </w:r>
      <w:proofErr w:type="spellStart"/>
      <w:r>
        <w:t>fulvestrant</w:t>
      </w:r>
      <w:proofErr w:type="spellEnd"/>
      <w:r>
        <w:t xml:space="preserve">. In PIQRAY plus </w:t>
      </w:r>
      <w:proofErr w:type="spellStart"/>
      <w:r>
        <w:t>fulvestrant</w:t>
      </w:r>
      <w:proofErr w:type="spellEnd"/>
      <w:r>
        <w:t xml:space="preserve"> treated patients, disease progression (5 patients, 1.8</w:t>
      </w:r>
      <w:r w:rsidR="00D526AB">
        <w:t xml:space="preserve"> </w:t>
      </w:r>
      <w:r>
        <w:t>%) was the most frequent cause of death; the others were one each for cardio-respiratory arrest and second primary malignancy, neither of which were considered related to treatment wit</w:t>
      </w:r>
      <w:r w:rsidR="00CE5EF6">
        <w:t>h PIQRAY.</w:t>
      </w:r>
    </w:p>
    <w:p w14:paraId="55AFBCB2" w14:textId="1868F358" w:rsidR="007500D4" w:rsidRDefault="007500D4" w:rsidP="007500D4">
      <w:pPr>
        <w:widowControl w:val="0"/>
        <w:ind w:left="360"/>
      </w:pPr>
      <w:r>
        <w:t xml:space="preserve">The most common adverse drug reactions (ADRs) in PIQRAY plus </w:t>
      </w:r>
      <w:proofErr w:type="spellStart"/>
      <w:r>
        <w:t>fulvestrant</w:t>
      </w:r>
      <w:proofErr w:type="spellEnd"/>
      <w:r>
        <w:t xml:space="preserve"> treated patients (reported at a frequency &gt;</w:t>
      </w:r>
      <w:r w:rsidR="00D526AB">
        <w:t xml:space="preserve"> </w:t>
      </w:r>
      <w:r>
        <w:t>20</w:t>
      </w:r>
      <w:r w:rsidR="00D526AB">
        <w:t xml:space="preserve"> </w:t>
      </w:r>
      <w:r>
        <w:t xml:space="preserve">% and for which the frequency for PIQRAY plus </w:t>
      </w:r>
      <w:proofErr w:type="spellStart"/>
      <w:r>
        <w:t>fulvestrant</w:t>
      </w:r>
      <w:proofErr w:type="spellEnd"/>
      <w:r>
        <w:t xml:space="preserve"> exceeds the frequency for placebo plus </w:t>
      </w:r>
      <w:proofErr w:type="spellStart"/>
      <w:r>
        <w:t>fulvestrant</w:t>
      </w:r>
      <w:proofErr w:type="spellEnd"/>
      <w:r>
        <w:t>) were hyperglycaemia, diarrhoea, rash, nausea, fatigue and asthenia, decreased appetite, stomatitis, vomiting and weight decreased.</w:t>
      </w:r>
    </w:p>
    <w:p w14:paraId="51E6D773" w14:textId="03E692EA" w:rsidR="007500D4" w:rsidRDefault="007500D4" w:rsidP="007500D4">
      <w:pPr>
        <w:widowControl w:val="0"/>
        <w:ind w:left="360"/>
      </w:pPr>
      <w:r>
        <w:t>The most common Grade 3/4 ADRs (reported at a frequency &gt;</w:t>
      </w:r>
      <w:r w:rsidR="00D526AB">
        <w:t xml:space="preserve"> </w:t>
      </w:r>
      <w:r>
        <w:t>2</w:t>
      </w:r>
      <w:r w:rsidR="00D526AB">
        <w:t xml:space="preserve"> </w:t>
      </w:r>
      <w:r>
        <w:t xml:space="preserve">% in PIQRAY plus </w:t>
      </w:r>
      <w:proofErr w:type="spellStart"/>
      <w:r>
        <w:t>fulvestrant</w:t>
      </w:r>
      <w:proofErr w:type="spellEnd"/>
      <w:r>
        <w:t xml:space="preserve"> arm and for which the frequency for </w:t>
      </w:r>
      <w:r w:rsidR="00E16761">
        <w:t>PIQRAY</w:t>
      </w:r>
      <w:r>
        <w:t xml:space="preserve"> plus </w:t>
      </w:r>
      <w:proofErr w:type="spellStart"/>
      <w:r>
        <w:t>fulvestrant</w:t>
      </w:r>
      <w:proofErr w:type="spellEnd"/>
      <w:r>
        <w:t xml:space="preserve"> exceeds the frequency for placebo plus </w:t>
      </w:r>
      <w:proofErr w:type="spellStart"/>
      <w:r>
        <w:t>fulvestrant</w:t>
      </w:r>
      <w:proofErr w:type="spellEnd"/>
      <w:r>
        <w:t xml:space="preserve">) were hyperglycaemia, rash and rash </w:t>
      </w:r>
      <w:proofErr w:type="spellStart"/>
      <w:r>
        <w:t>maculo-papular</w:t>
      </w:r>
      <w:proofErr w:type="spellEnd"/>
      <w:r>
        <w:t>, fatigue, diarrhoea, lipase increased, hypertension, hypokalaemia, anaemia, weight decreased, gamma-</w:t>
      </w:r>
      <w:proofErr w:type="spellStart"/>
      <w:r>
        <w:t>glutamyltransferase</w:t>
      </w:r>
      <w:proofErr w:type="spellEnd"/>
      <w:r>
        <w:t xml:space="preserve"> increased, </w:t>
      </w:r>
      <w:proofErr w:type="spellStart"/>
      <w:r>
        <w:t>lymphopenia</w:t>
      </w:r>
      <w:proofErr w:type="spellEnd"/>
      <w:r>
        <w:t>, nausea, stomatitis, alanine aminotransferase incr</w:t>
      </w:r>
      <w:r w:rsidR="00CE5EF6">
        <w:t>eased and mucosal inflammation.</w:t>
      </w:r>
    </w:p>
    <w:p w14:paraId="1FE42800" w14:textId="77777777" w:rsidR="007500D4" w:rsidRPr="00576A8A" w:rsidRDefault="007500D4" w:rsidP="007500D4">
      <w:pPr>
        <w:widowControl w:val="0"/>
        <w:ind w:left="360"/>
        <w:rPr>
          <w:u w:val="single"/>
        </w:rPr>
      </w:pPr>
      <w:r w:rsidRPr="00576A8A">
        <w:rPr>
          <w:u w:val="single"/>
        </w:rPr>
        <w:t>Tabulated summary of adverse drug reactions from clinical studies</w:t>
      </w:r>
    </w:p>
    <w:p w14:paraId="45615305" w14:textId="392BA0B4" w:rsidR="00502656" w:rsidRDefault="007500D4" w:rsidP="007500D4">
      <w:pPr>
        <w:widowControl w:val="0"/>
        <w:ind w:left="360"/>
      </w:pPr>
      <w:r>
        <w:t xml:space="preserve">ADRs from the phase III clinical study (Table </w:t>
      </w:r>
      <w:r w:rsidR="00425194">
        <w:t>6</w:t>
      </w:r>
      <w:r>
        <w:t xml:space="preserve">) are listed by </w:t>
      </w:r>
      <w:proofErr w:type="spellStart"/>
      <w:r>
        <w:t>MedDRA</w:t>
      </w:r>
      <w:proofErr w:type="spellEnd"/>
      <w:r>
        <w:t xml:space="preserve"> system organ class. Within each system organ class, the ADRs are ranked by frequency, with the most frequent reactions first. Within each frequency grouping, ADRs are presented in order of decreasing seriousness. In addition, the corresponding frequency category for each ADR is based on the fol</w:t>
      </w:r>
      <w:r w:rsidR="00CE5EF6">
        <w:t>lowing convention (CIOMS III):</w:t>
      </w:r>
    </w:p>
    <w:p w14:paraId="06CA5823" w14:textId="3FE24B10" w:rsidR="00502656" w:rsidRDefault="00502656" w:rsidP="00502656">
      <w:pPr>
        <w:widowControl w:val="0"/>
        <w:spacing w:after="0" w:line="240" w:lineRule="auto"/>
        <w:ind w:left="2160"/>
      </w:pPr>
      <w:r>
        <w:t>V</w:t>
      </w:r>
      <w:r w:rsidR="007500D4">
        <w:t>ery common</w:t>
      </w:r>
      <w:r>
        <w:tab/>
      </w:r>
      <w:r w:rsidR="007500D4">
        <w:t>≥1/10</w:t>
      </w:r>
    </w:p>
    <w:p w14:paraId="6423C848" w14:textId="7C88978F" w:rsidR="00502656" w:rsidRDefault="00502656" w:rsidP="00502656">
      <w:pPr>
        <w:widowControl w:val="0"/>
        <w:spacing w:after="0" w:line="240" w:lineRule="auto"/>
        <w:ind w:left="2160"/>
      </w:pPr>
      <w:r>
        <w:t>C</w:t>
      </w:r>
      <w:r w:rsidR="007500D4">
        <w:t xml:space="preserve">ommon </w:t>
      </w:r>
      <w:r>
        <w:tab/>
      </w:r>
      <w:r w:rsidR="007500D4">
        <w:t>≥1/100 to &lt;1/10</w:t>
      </w:r>
    </w:p>
    <w:p w14:paraId="7818A47F" w14:textId="0ACFB26D" w:rsidR="00502656" w:rsidRDefault="00502656" w:rsidP="00502656">
      <w:pPr>
        <w:widowControl w:val="0"/>
        <w:spacing w:after="0" w:line="240" w:lineRule="auto"/>
        <w:ind w:left="2160"/>
      </w:pPr>
      <w:r>
        <w:t>U</w:t>
      </w:r>
      <w:r w:rsidR="007500D4">
        <w:t xml:space="preserve">ncommon </w:t>
      </w:r>
      <w:r>
        <w:tab/>
      </w:r>
      <w:r w:rsidR="007500D4">
        <w:t>≥1/1,000 to &lt;1/100</w:t>
      </w:r>
    </w:p>
    <w:p w14:paraId="61393B2F" w14:textId="0BE1B817" w:rsidR="00502656" w:rsidRDefault="00502656" w:rsidP="00502656">
      <w:pPr>
        <w:widowControl w:val="0"/>
        <w:spacing w:after="0" w:line="240" w:lineRule="auto"/>
        <w:ind w:left="2160"/>
      </w:pPr>
      <w:r>
        <w:t>R</w:t>
      </w:r>
      <w:r w:rsidR="007500D4">
        <w:t xml:space="preserve">are </w:t>
      </w:r>
      <w:r>
        <w:tab/>
      </w:r>
      <w:r>
        <w:tab/>
      </w:r>
      <w:r w:rsidR="007500D4">
        <w:t>≥1/10,000 to &lt;1/1,000</w:t>
      </w:r>
    </w:p>
    <w:p w14:paraId="2AEFA45A" w14:textId="64D46990" w:rsidR="00E11C29" w:rsidRDefault="00502656" w:rsidP="00502656">
      <w:pPr>
        <w:widowControl w:val="0"/>
        <w:spacing w:after="0" w:line="240" w:lineRule="auto"/>
        <w:ind w:left="2160"/>
      </w:pPr>
      <w:r>
        <w:t>V</w:t>
      </w:r>
      <w:r w:rsidR="007500D4">
        <w:t xml:space="preserve">ery rare </w:t>
      </w:r>
      <w:r>
        <w:tab/>
      </w:r>
      <w:r w:rsidR="007500D4">
        <w:t>&lt;1/10,000.</w:t>
      </w:r>
    </w:p>
    <w:p w14:paraId="69F40019" w14:textId="2D66896D" w:rsidR="007500D4" w:rsidRPr="007500D4" w:rsidRDefault="007500D4" w:rsidP="009325D5">
      <w:pPr>
        <w:keepNext/>
        <w:keepLines/>
        <w:tabs>
          <w:tab w:val="left" w:pos="8505"/>
        </w:tabs>
        <w:autoSpaceDE/>
        <w:autoSpaceDN/>
        <w:adjustRightInd/>
        <w:spacing w:before="240" w:line="240" w:lineRule="auto"/>
        <w:ind w:left="2061" w:hanging="1701"/>
        <w:jc w:val="left"/>
        <w:outlineLvl w:val="5"/>
        <w:rPr>
          <w:rFonts w:ascii="Arial" w:eastAsia="MS Gothic" w:hAnsi="Arial" w:cs="Arial"/>
          <w:b/>
          <w:sz w:val="22"/>
          <w:szCs w:val="20"/>
          <w:lang w:val="en-US" w:eastAsia="zh-CN"/>
        </w:rPr>
      </w:pPr>
      <w:bookmarkStart w:id="14" w:name="_Toc272145403"/>
      <w:bookmarkStart w:id="15" w:name="_Toc272145564"/>
      <w:bookmarkStart w:id="16" w:name="_Toc266768477"/>
      <w:bookmarkStart w:id="17" w:name="_Toc260903679"/>
      <w:bookmarkStart w:id="18" w:name="_Toc266264818"/>
      <w:bookmarkStart w:id="19" w:name="_Toc528238088"/>
      <w:bookmarkStart w:id="20" w:name="_Toc533089097"/>
      <w:r w:rsidRPr="007500D4">
        <w:rPr>
          <w:rFonts w:ascii="Arial" w:eastAsia="MS Gothic" w:hAnsi="Arial" w:cs="Arial"/>
          <w:b/>
          <w:sz w:val="22"/>
          <w:szCs w:val="20"/>
          <w:lang w:val="en-US" w:eastAsia="zh-CN"/>
        </w:rPr>
        <w:t xml:space="preserve">Table </w:t>
      </w:r>
      <w:r w:rsidR="00425194">
        <w:rPr>
          <w:rFonts w:ascii="Arial" w:eastAsia="MS Gothic" w:hAnsi="Arial" w:cs="Arial"/>
          <w:b/>
          <w:sz w:val="22"/>
          <w:szCs w:val="20"/>
          <w:lang w:val="en-US" w:eastAsia="zh-CN"/>
        </w:rPr>
        <w:t>6</w:t>
      </w:r>
      <w:r w:rsidRPr="007500D4">
        <w:rPr>
          <w:rFonts w:ascii="Arial" w:eastAsia="MS Gothic" w:hAnsi="Arial" w:cs="Arial"/>
          <w:b/>
          <w:sz w:val="22"/>
          <w:szCs w:val="20"/>
          <w:lang w:val="en-US" w:eastAsia="zh-CN"/>
        </w:rPr>
        <w:tab/>
      </w:r>
      <w:bookmarkEnd w:id="14"/>
      <w:bookmarkEnd w:id="15"/>
      <w:bookmarkEnd w:id="16"/>
      <w:bookmarkEnd w:id="17"/>
      <w:bookmarkEnd w:id="18"/>
      <w:r w:rsidRPr="007500D4">
        <w:rPr>
          <w:rFonts w:ascii="Arial" w:eastAsia="MS Gothic" w:hAnsi="Arial" w:cs="Arial"/>
          <w:b/>
          <w:sz w:val="22"/>
          <w:szCs w:val="20"/>
          <w:lang w:val="en-US" w:eastAsia="zh-CN"/>
        </w:rPr>
        <w:t>Adverse drug reactions observed in the phase III clinical study</w:t>
      </w:r>
      <w:bookmarkEnd w:id="19"/>
      <w:bookmarkEnd w:id="20"/>
    </w:p>
    <w:tbl>
      <w:tblPr>
        <w:tblW w:w="9551"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7"/>
        <w:gridCol w:w="1276"/>
        <w:gridCol w:w="1276"/>
        <w:gridCol w:w="1276"/>
        <w:gridCol w:w="1275"/>
        <w:gridCol w:w="1411"/>
      </w:tblGrid>
      <w:tr w:rsidR="007500D4" w:rsidRPr="007500D4" w14:paraId="0807A703" w14:textId="77777777" w:rsidTr="00CE5EF6">
        <w:trPr>
          <w:trHeight w:val="1577"/>
          <w:tblHeader/>
        </w:trPr>
        <w:tc>
          <w:tcPr>
            <w:tcW w:w="3037" w:type="dxa"/>
            <w:shd w:val="clear" w:color="auto" w:fill="auto"/>
            <w:vAlign w:val="center"/>
          </w:tcPr>
          <w:p w14:paraId="50B4AF66" w14:textId="77777777" w:rsidR="007500D4" w:rsidRPr="007500D4" w:rsidRDefault="007500D4" w:rsidP="007500D4">
            <w:pPr>
              <w:keepNext/>
              <w:keepLines/>
              <w:tabs>
                <w:tab w:val="left" w:pos="284"/>
              </w:tabs>
              <w:autoSpaceDE/>
              <w:autoSpaceDN/>
              <w:adjustRightInd/>
              <w:spacing w:before="120" w:after="0" w:line="240" w:lineRule="auto"/>
              <w:jc w:val="left"/>
              <w:rPr>
                <w:rFonts w:ascii="Arial" w:eastAsia="MS Mincho" w:hAnsi="Arial" w:cs="Arial"/>
                <w:b/>
                <w:bCs/>
                <w:sz w:val="18"/>
                <w:szCs w:val="18"/>
                <w:lang w:val="en-US" w:eastAsia="zh-CN"/>
              </w:rPr>
            </w:pPr>
            <w:r w:rsidRPr="007500D4">
              <w:rPr>
                <w:rFonts w:ascii="Arial" w:eastAsia="MS Mincho" w:hAnsi="Arial" w:cs="Arial"/>
                <w:b/>
                <w:bCs/>
                <w:sz w:val="18"/>
                <w:szCs w:val="18"/>
                <w:lang w:val="en-US" w:eastAsia="zh-CN"/>
              </w:rPr>
              <w:t>Adverse drug reactions</w:t>
            </w:r>
          </w:p>
        </w:tc>
        <w:tc>
          <w:tcPr>
            <w:tcW w:w="1276" w:type="dxa"/>
            <w:shd w:val="clear" w:color="auto" w:fill="auto"/>
            <w:vAlign w:val="center"/>
          </w:tcPr>
          <w:p w14:paraId="3EB9C09C" w14:textId="5178FF3D" w:rsidR="007500D4" w:rsidRPr="007500D4" w:rsidRDefault="00E16761" w:rsidP="007500D4">
            <w:pPr>
              <w:keepNext/>
              <w:keepLines/>
              <w:tabs>
                <w:tab w:val="left" w:pos="284"/>
              </w:tabs>
              <w:autoSpaceDE/>
              <w:autoSpaceDN/>
              <w:adjustRightInd/>
              <w:spacing w:before="120" w:after="0" w:line="240" w:lineRule="auto"/>
              <w:jc w:val="center"/>
              <w:rPr>
                <w:rFonts w:ascii="Arial" w:eastAsia="MS Mincho" w:hAnsi="Arial" w:cs="Arial"/>
                <w:b/>
                <w:bCs/>
                <w:sz w:val="18"/>
                <w:szCs w:val="18"/>
                <w:lang w:val="en-US" w:eastAsia="zh-CN"/>
              </w:rPr>
            </w:pPr>
            <w:r w:rsidRPr="007500D4">
              <w:rPr>
                <w:rFonts w:ascii="Arial" w:eastAsia="MS Mincho" w:hAnsi="Arial" w:cs="Arial"/>
                <w:b/>
                <w:bCs/>
                <w:sz w:val="18"/>
                <w:szCs w:val="18"/>
                <w:lang w:val="en-US" w:eastAsia="zh-CN"/>
              </w:rPr>
              <w:t>PIQRAY</w:t>
            </w:r>
            <w:r w:rsidR="007500D4" w:rsidRPr="007500D4">
              <w:rPr>
                <w:rFonts w:ascii="Arial" w:eastAsia="MS Mincho" w:hAnsi="Arial" w:cs="Arial"/>
                <w:b/>
                <w:bCs/>
                <w:sz w:val="18"/>
                <w:szCs w:val="18"/>
                <w:lang w:val="en-US" w:eastAsia="zh-CN"/>
              </w:rPr>
              <w:t xml:space="preserve"> + </w:t>
            </w:r>
            <w:proofErr w:type="spellStart"/>
            <w:r w:rsidR="007500D4" w:rsidRPr="007500D4">
              <w:rPr>
                <w:rFonts w:ascii="Arial" w:eastAsia="MS Mincho" w:hAnsi="Arial" w:cs="Arial"/>
                <w:b/>
                <w:bCs/>
                <w:sz w:val="18"/>
                <w:szCs w:val="18"/>
                <w:lang w:val="en-US" w:eastAsia="zh-CN"/>
              </w:rPr>
              <w:t>Fulvestrant</w:t>
            </w:r>
            <w:proofErr w:type="spellEnd"/>
          </w:p>
          <w:p w14:paraId="771EF15E" w14:textId="77777777" w:rsidR="007500D4" w:rsidRPr="007500D4" w:rsidRDefault="007500D4" w:rsidP="007500D4">
            <w:pPr>
              <w:keepNext/>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b/>
                <w:bCs/>
                <w:sz w:val="18"/>
                <w:szCs w:val="18"/>
                <w:lang w:val="en-US" w:eastAsia="zh-CN"/>
              </w:rPr>
              <w:t>N= 284</w:t>
            </w:r>
          </w:p>
          <w:p w14:paraId="791E9509" w14:textId="77777777" w:rsidR="007500D4" w:rsidRPr="007500D4" w:rsidRDefault="007500D4" w:rsidP="007500D4">
            <w:pPr>
              <w:keepNext/>
              <w:keepLines/>
              <w:tabs>
                <w:tab w:val="left" w:pos="284"/>
              </w:tabs>
              <w:autoSpaceDE/>
              <w:autoSpaceDN/>
              <w:adjustRightInd/>
              <w:spacing w:before="120" w:after="0" w:line="240" w:lineRule="auto"/>
              <w:jc w:val="center"/>
              <w:rPr>
                <w:rFonts w:ascii="Arial" w:eastAsia="MS Mincho" w:hAnsi="Arial" w:cs="Arial"/>
                <w:b/>
                <w:bCs/>
                <w:sz w:val="18"/>
                <w:szCs w:val="18"/>
                <w:lang w:val="en-US" w:eastAsia="zh-CN"/>
              </w:rPr>
            </w:pPr>
            <w:proofErr w:type="gramStart"/>
            <w:r w:rsidRPr="007500D4">
              <w:rPr>
                <w:rFonts w:ascii="Arial" w:eastAsia="MS Mincho" w:hAnsi="Arial" w:cs="Arial"/>
                <w:b/>
                <w:bCs/>
                <w:sz w:val="18"/>
                <w:szCs w:val="18"/>
                <w:lang w:val="en-US" w:eastAsia="zh-CN"/>
              </w:rPr>
              <w:t>n</w:t>
            </w:r>
            <w:proofErr w:type="gramEnd"/>
            <w:r w:rsidRPr="007500D4">
              <w:rPr>
                <w:rFonts w:ascii="Arial" w:eastAsia="MS Mincho" w:hAnsi="Arial" w:cs="Arial"/>
                <w:b/>
                <w:bCs/>
                <w:sz w:val="18"/>
                <w:szCs w:val="18"/>
                <w:lang w:val="en-US" w:eastAsia="zh-CN"/>
              </w:rPr>
              <w:t xml:space="preserve"> (%)</w:t>
            </w:r>
          </w:p>
          <w:p w14:paraId="25487E12" w14:textId="77777777" w:rsidR="007500D4" w:rsidRPr="007500D4" w:rsidRDefault="007500D4" w:rsidP="007500D4">
            <w:pPr>
              <w:keepNext/>
              <w:keepLines/>
              <w:tabs>
                <w:tab w:val="left" w:pos="284"/>
              </w:tabs>
              <w:autoSpaceDE/>
              <w:autoSpaceDN/>
              <w:adjustRightInd/>
              <w:spacing w:before="120" w:after="0" w:line="240" w:lineRule="auto"/>
              <w:jc w:val="center"/>
              <w:rPr>
                <w:rFonts w:ascii="Arial" w:eastAsia="MS Mincho" w:hAnsi="Arial" w:cs="Arial"/>
                <w:b/>
                <w:bCs/>
                <w:sz w:val="18"/>
                <w:szCs w:val="18"/>
                <w:lang w:val="en-US" w:eastAsia="zh-CN"/>
              </w:rPr>
            </w:pPr>
            <w:r w:rsidRPr="007500D4">
              <w:rPr>
                <w:rFonts w:ascii="Arial" w:eastAsia="MS Mincho" w:hAnsi="Arial" w:cs="Arial"/>
                <w:b/>
                <w:bCs/>
                <w:sz w:val="18"/>
                <w:szCs w:val="18"/>
                <w:lang w:val="en-US" w:eastAsia="zh-CN"/>
              </w:rPr>
              <w:t>All Grades</w:t>
            </w:r>
          </w:p>
        </w:tc>
        <w:tc>
          <w:tcPr>
            <w:tcW w:w="1276" w:type="dxa"/>
            <w:shd w:val="clear" w:color="auto" w:fill="auto"/>
            <w:vAlign w:val="center"/>
          </w:tcPr>
          <w:p w14:paraId="69193F7E"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b/>
                <w:bCs/>
                <w:sz w:val="18"/>
                <w:szCs w:val="18"/>
                <w:lang w:val="en-US" w:eastAsia="zh-CN"/>
              </w:rPr>
            </w:pPr>
            <w:r w:rsidRPr="007500D4">
              <w:rPr>
                <w:rFonts w:ascii="Arial" w:eastAsia="MS Mincho" w:hAnsi="Arial" w:cs="Arial"/>
                <w:b/>
                <w:bCs/>
                <w:sz w:val="18"/>
                <w:szCs w:val="18"/>
                <w:lang w:val="en-US" w:eastAsia="zh-CN"/>
              </w:rPr>
              <w:t xml:space="preserve">Placebo + </w:t>
            </w:r>
            <w:proofErr w:type="spellStart"/>
            <w:r w:rsidRPr="007500D4">
              <w:rPr>
                <w:rFonts w:ascii="Arial" w:eastAsia="MS Mincho" w:hAnsi="Arial" w:cs="Arial"/>
                <w:b/>
                <w:bCs/>
                <w:sz w:val="18"/>
                <w:szCs w:val="18"/>
                <w:lang w:val="en-US" w:eastAsia="zh-CN"/>
              </w:rPr>
              <w:t>Fulvestrant</w:t>
            </w:r>
            <w:proofErr w:type="spellEnd"/>
            <w:r w:rsidRPr="007500D4">
              <w:rPr>
                <w:rFonts w:ascii="Arial" w:eastAsia="MS Mincho" w:hAnsi="Arial" w:cs="Arial"/>
                <w:b/>
                <w:bCs/>
                <w:sz w:val="18"/>
                <w:szCs w:val="18"/>
                <w:lang w:val="en-US" w:eastAsia="zh-CN"/>
              </w:rPr>
              <w:t xml:space="preserve"> </w:t>
            </w:r>
          </w:p>
          <w:p w14:paraId="08A5C581"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b/>
                <w:bCs/>
                <w:sz w:val="18"/>
                <w:szCs w:val="18"/>
                <w:lang w:val="en-US" w:eastAsia="zh-CN"/>
              </w:rPr>
            </w:pPr>
            <w:r w:rsidRPr="007500D4">
              <w:rPr>
                <w:rFonts w:ascii="Arial" w:eastAsia="MS Mincho" w:hAnsi="Arial" w:cs="Arial"/>
                <w:b/>
                <w:bCs/>
                <w:sz w:val="18"/>
                <w:szCs w:val="18"/>
                <w:lang w:val="en-US" w:eastAsia="zh-CN"/>
              </w:rPr>
              <w:t>N= 287</w:t>
            </w:r>
          </w:p>
          <w:p w14:paraId="5A969B96"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b/>
                <w:bCs/>
                <w:sz w:val="18"/>
                <w:szCs w:val="18"/>
                <w:lang w:val="en-US" w:eastAsia="zh-CN"/>
              </w:rPr>
            </w:pPr>
            <w:proofErr w:type="gramStart"/>
            <w:r w:rsidRPr="007500D4">
              <w:rPr>
                <w:rFonts w:ascii="Arial" w:eastAsia="MS Mincho" w:hAnsi="Arial" w:cs="Arial"/>
                <w:b/>
                <w:bCs/>
                <w:sz w:val="18"/>
                <w:szCs w:val="18"/>
                <w:lang w:val="en-US" w:eastAsia="zh-CN"/>
              </w:rPr>
              <w:t>n</w:t>
            </w:r>
            <w:proofErr w:type="gramEnd"/>
            <w:r w:rsidRPr="007500D4">
              <w:rPr>
                <w:rFonts w:ascii="Arial" w:eastAsia="MS Mincho" w:hAnsi="Arial" w:cs="Arial"/>
                <w:b/>
                <w:bCs/>
                <w:sz w:val="18"/>
                <w:szCs w:val="18"/>
                <w:lang w:val="en-US" w:eastAsia="zh-CN"/>
              </w:rPr>
              <w:t xml:space="preserve"> (%)</w:t>
            </w:r>
          </w:p>
          <w:p w14:paraId="5EDBAC65" w14:textId="77777777" w:rsidR="007500D4" w:rsidRPr="007500D4" w:rsidRDefault="007500D4" w:rsidP="007500D4">
            <w:pPr>
              <w:keepNext/>
              <w:keepLines/>
              <w:tabs>
                <w:tab w:val="left" w:pos="284"/>
              </w:tabs>
              <w:autoSpaceDE/>
              <w:autoSpaceDN/>
              <w:adjustRightInd/>
              <w:spacing w:before="120" w:after="0" w:line="240" w:lineRule="auto"/>
              <w:jc w:val="center"/>
              <w:rPr>
                <w:rFonts w:ascii="Arial" w:eastAsia="MS Mincho" w:hAnsi="Arial" w:cs="Arial"/>
                <w:b/>
                <w:bCs/>
                <w:sz w:val="18"/>
                <w:szCs w:val="18"/>
                <w:lang w:val="en-US" w:eastAsia="zh-CN"/>
              </w:rPr>
            </w:pPr>
            <w:r w:rsidRPr="007500D4">
              <w:rPr>
                <w:rFonts w:ascii="Arial" w:eastAsia="MS Mincho" w:hAnsi="Arial" w:cs="Arial"/>
                <w:b/>
                <w:bCs/>
                <w:sz w:val="18"/>
                <w:szCs w:val="18"/>
                <w:lang w:val="en-US" w:eastAsia="zh-CN"/>
              </w:rPr>
              <w:t>All Grades</w:t>
            </w:r>
          </w:p>
        </w:tc>
        <w:tc>
          <w:tcPr>
            <w:tcW w:w="1276" w:type="dxa"/>
            <w:shd w:val="clear" w:color="auto" w:fill="auto"/>
            <w:vAlign w:val="center"/>
          </w:tcPr>
          <w:p w14:paraId="2C7195E7" w14:textId="59CE6E2C" w:rsidR="007500D4" w:rsidRPr="007500D4" w:rsidRDefault="00E16761" w:rsidP="007500D4">
            <w:pPr>
              <w:keepNext/>
              <w:keepLines/>
              <w:tabs>
                <w:tab w:val="left" w:pos="284"/>
              </w:tabs>
              <w:autoSpaceDE/>
              <w:autoSpaceDN/>
              <w:adjustRightInd/>
              <w:spacing w:before="120" w:after="0" w:line="240" w:lineRule="auto"/>
              <w:jc w:val="center"/>
              <w:rPr>
                <w:rFonts w:ascii="Arial" w:eastAsia="MS Mincho" w:hAnsi="Arial" w:cs="Arial"/>
                <w:b/>
                <w:bCs/>
                <w:sz w:val="18"/>
                <w:szCs w:val="18"/>
                <w:lang w:val="en-US" w:eastAsia="zh-CN"/>
              </w:rPr>
            </w:pPr>
            <w:r w:rsidRPr="007500D4">
              <w:rPr>
                <w:rFonts w:ascii="Arial" w:eastAsia="MS Mincho" w:hAnsi="Arial" w:cs="Arial"/>
                <w:b/>
                <w:bCs/>
                <w:sz w:val="18"/>
                <w:szCs w:val="18"/>
                <w:lang w:val="en-US" w:eastAsia="zh-CN"/>
              </w:rPr>
              <w:t xml:space="preserve">PIQRAY </w:t>
            </w:r>
            <w:r w:rsidR="007500D4" w:rsidRPr="007500D4">
              <w:rPr>
                <w:rFonts w:ascii="Arial" w:eastAsia="MS Mincho" w:hAnsi="Arial" w:cs="Arial"/>
                <w:b/>
                <w:bCs/>
                <w:sz w:val="18"/>
                <w:szCs w:val="18"/>
                <w:lang w:val="en-US" w:eastAsia="zh-CN"/>
              </w:rPr>
              <w:t xml:space="preserve">+ </w:t>
            </w:r>
            <w:proofErr w:type="spellStart"/>
            <w:r w:rsidR="007500D4" w:rsidRPr="007500D4">
              <w:rPr>
                <w:rFonts w:ascii="Arial" w:eastAsia="MS Mincho" w:hAnsi="Arial" w:cs="Arial"/>
                <w:b/>
                <w:bCs/>
                <w:sz w:val="18"/>
                <w:szCs w:val="18"/>
                <w:lang w:val="en-US" w:eastAsia="zh-CN"/>
              </w:rPr>
              <w:t>Fulvestrant</w:t>
            </w:r>
            <w:proofErr w:type="spellEnd"/>
          </w:p>
          <w:p w14:paraId="1C909863" w14:textId="77777777" w:rsidR="007500D4" w:rsidRPr="007500D4" w:rsidRDefault="007500D4" w:rsidP="007500D4">
            <w:pPr>
              <w:keepNext/>
              <w:keepLines/>
              <w:tabs>
                <w:tab w:val="left" w:pos="284"/>
              </w:tabs>
              <w:autoSpaceDE/>
              <w:autoSpaceDN/>
              <w:adjustRightInd/>
              <w:spacing w:before="120" w:after="0" w:line="240" w:lineRule="auto"/>
              <w:jc w:val="center"/>
              <w:rPr>
                <w:rFonts w:ascii="Arial" w:eastAsia="MS Mincho" w:hAnsi="Arial" w:cs="Arial"/>
                <w:b/>
                <w:bCs/>
                <w:sz w:val="18"/>
                <w:szCs w:val="18"/>
                <w:lang w:val="en-US" w:eastAsia="zh-CN"/>
              </w:rPr>
            </w:pPr>
            <w:r w:rsidRPr="007500D4">
              <w:rPr>
                <w:rFonts w:ascii="Arial" w:eastAsia="MS Mincho" w:hAnsi="Arial" w:cs="Arial"/>
                <w:b/>
                <w:bCs/>
                <w:sz w:val="18"/>
                <w:szCs w:val="18"/>
                <w:lang w:val="en-US" w:eastAsia="zh-CN"/>
              </w:rPr>
              <w:t>N= 284</w:t>
            </w:r>
          </w:p>
          <w:p w14:paraId="7232BCCB" w14:textId="77777777" w:rsidR="007500D4" w:rsidRPr="007500D4" w:rsidRDefault="007500D4" w:rsidP="007500D4">
            <w:pPr>
              <w:keepNext/>
              <w:keepLines/>
              <w:tabs>
                <w:tab w:val="left" w:pos="284"/>
              </w:tabs>
              <w:autoSpaceDE/>
              <w:autoSpaceDN/>
              <w:adjustRightInd/>
              <w:spacing w:before="120" w:after="0" w:line="240" w:lineRule="auto"/>
              <w:jc w:val="center"/>
              <w:rPr>
                <w:rFonts w:ascii="Arial" w:eastAsia="MS Mincho" w:hAnsi="Arial" w:cs="Arial"/>
                <w:b/>
                <w:bCs/>
                <w:sz w:val="18"/>
                <w:szCs w:val="18"/>
                <w:lang w:val="en-US" w:eastAsia="zh-CN"/>
              </w:rPr>
            </w:pPr>
            <w:proofErr w:type="gramStart"/>
            <w:r w:rsidRPr="007500D4">
              <w:rPr>
                <w:rFonts w:ascii="Arial" w:eastAsia="MS Mincho" w:hAnsi="Arial" w:cs="Arial"/>
                <w:b/>
                <w:bCs/>
                <w:sz w:val="18"/>
                <w:szCs w:val="18"/>
                <w:lang w:val="en-US" w:eastAsia="zh-CN"/>
              </w:rPr>
              <w:t>n</w:t>
            </w:r>
            <w:proofErr w:type="gramEnd"/>
            <w:r w:rsidRPr="007500D4">
              <w:rPr>
                <w:rFonts w:ascii="Arial" w:eastAsia="MS Mincho" w:hAnsi="Arial" w:cs="Arial"/>
                <w:b/>
                <w:bCs/>
                <w:sz w:val="18"/>
                <w:szCs w:val="18"/>
                <w:lang w:val="en-US" w:eastAsia="zh-CN"/>
              </w:rPr>
              <w:t xml:space="preserve"> (%)</w:t>
            </w:r>
          </w:p>
          <w:p w14:paraId="1F81A5BE" w14:textId="77777777" w:rsidR="007500D4" w:rsidRPr="007500D4" w:rsidRDefault="007500D4" w:rsidP="007500D4">
            <w:pPr>
              <w:keepNext/>
              <w:keepLines/>
              <w:tabs>
                <w:tab w:val="left" w:pos="284"/>
              </w:tabs>
              <w:autoSpaceDE/>
              <w:autoSpaceDN/>
              <w:adjustRightInd/>
              <w:spacing w:before="120" w:after="0" w:line="240" w:lineRule="auto"/>
              <w:jc w:val="center"/>
              <w:rPr>
                <w:rFonts w:ascii="Arial" w:eastAsia="MS Mincho" w:hAnsi="Arial" w:cs="Arial"/>
                <w:b/>
                <w:bCs/>
                <w:sz w:val="18"/>
                <w:szCs w:val="18"/>
                <w:lang w:val="en-US" w:eastAsia="zh-CN"/>
              </w:rPr>
            </w:pPr>
            <w:r w:rsidRPr="007500D4">
              <w:rPr>
                <w:rFonts w:ascii="Arial" w:eastAsia="MS Mincho" w:hAnsi="Arial" w:cs="Arial"/>
                <w:b/>
                <w:bCs/>
                <w:sz w:val="18"/>
                <w:szCs w:val="18"/>
                <w:lang w:val="en-US" w:eastAsia="zh-CN"/>
              </w:rPr>
              <w:t>Grades 3/4</w:t>
            </w:r>
          </w:p>
        </w:tc>
        <w:tc>
          <w:tcPr>
            <w:tcW w:w="1275" w:type="dxa"/>
            <w:shd w:val="clear" w:color="auto" w:fill="auto"/>
            <w:vAlign w:val="center"/>
          </w:tcPr>
          <w:p w14:paraId="4BC03660"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b/>
                <w:bCs/>
                <w:sz w:val="18"/>
                <w:szCs w:val="18"/>
                <w:lang w:val="en-US" w:eastAsia="zh-CN"/>
              </w:rPr>
            </w:pPr>
            <w:r w:rsidRPr="007500D4">
              <w:rPr>
                <w:rFonts w:ascii="Arial" w:eastAsia="MS Mincho" w:hAnsi="Arial" w:cs="Arial"/>
                <w:b/>
                <w:bCs/>
                <w:sz w:val="18"/>
                <w:szCs w:val="18"/>
                <w:lang w:val="en-US" w:eastAsia="zh-CN"/>
              </w:rPr>
              <w:t xml:space="preserve">Placebo + </w:t>
            </w:r>
            <w:proofErr w:type="spellStart"/>
            <w:r w:rsidRPr="007500D4">
              <w:rPr>
                <w:rFonts w:ascii="Arial" w:eastAsia="MS Mincho" w:hAnsi="Arial" w:cs="Arial"/>
                <w:b/>
                <w:bCs/>
                <w:sz w:val="18"/>
                <w:szCs w:val="18"/>
                <w:lang w:val="en-US" w:eastAsia="zh-CN"/>
              </w:rPr>
              <w:t>Fulvestrant</w:t>
            </w:r>
            <w:proofErr w:type="spellEnd"/>
            <w:r w:rsidRPr="007500D4">
              <w:rPr>
                <w:rFonts w:ascii="Arial" w:eastAsia="MS Mincho" w:hAnsi="Arial" w:cs="Arial"/>
                <w:b/>
                <w:bCs/>
                <w:sz w:val="18"/>
                <w:szCs w:val="18"/>
                <w:lang w:val="en-US" w:eastAsia="zh-CN"/>
              </w:rPr>
              <w:t xml:space="preserve"> </w:t>
            </w:r>
          </w:p>
          <w:p w14:paraId="27F2DE3D"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b/>
                <w:bCs/>
                <w:sz w:val="18"/>
                <w:szCs w:val="18"/>
                <w:lang w:val="en-US" w:eastAsia="zh-CN"/>
              </w:rPr>
            </w:pPr>
            <w:r w:rsidRPr="007500D4">
              <w:rPr>
                <w:rFonts w:ascii="Arial" w:eastAsia="MS Mincho" w:hAnsi="Arial" w:cs="Arial"/>
                <w:b/>
                <w:bCs/>
                <w:sz w:val="18"/>
                <w:szCs w:val="18"/>
                <w:lang w:val="en-US" w:eastAsia="zh-CN"/>
              </w:rPr>
              <w:t>N=287</w:t>
            </w:r>
          </w:p>
          <w:p w14:paraId="2B448A13"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b/>
                <w:bCs/>
                <w:sz w:val="18"/>
                <w:szCs w:val="18"/>
                <w:lang w:val="en-US" w:eastAsia="zh-CN"/>
              </w:rPr>
            </w:pPr>
            <w:proofErr w:type="gramStart"/>
            <w:r w:rsidRPr="007500D4">
              <w:rPr>
                <w:rFonts w:ascii="Arial" w:eastAsia="MS Mincho" w:hAnsi="Arial" w:cs="Arial"/>
                <w:b/>
                <w:bCs/>
                <w:sz w:val="18"/>
                <w:szCs w:val="18"/>
                <w:lang w:val="en-US" w:eastAsia="zh-CN"/>
              </w:rPr>
              <w:t>n</w:t>
            </w:r>
            <w:proofErr w:type="gramEnd"/>
            <w:r w:rsidRPr="007500D4">
              <w:rPr>
                <w:rFonts w:ascii="Arial" w:eastAsia="MS Mincho" w:hAnsi="Arial" w:cs="Arial"/>
                <w:b/>
                <w:bCs/>
                <w:sz w:val="18"/>
                <w:szCs w:val="18"/>
                <w:lang w:val="en-US" w:eastAsia="zh-CN"/>
              </w:rPr>
              <w:t xml:space="preserve"> (%)</w:t>
            </w:r>
          </w:p>
          <w:p w14:paraId="7F71D26A" w14:textId="77777777" w:rsidR="007500D4" w:rsidRPr="007500D4" w:rsidRDefault="007500D4" w:rsidP="007500D4">
            <w:pPr>
              <w:keepNext/>
              <w:keepLines/>
              <w:tabs>
                <w:tab w:val="left" w:pos="284"/>
              </w:tabs>
              <w:autoSpaceDE/>
              <w:autoSpaceDN/>
              <w:adjustRightInd/>
              <w:spacing w:before="120" w:after="0" w:line="240" w:lineRule="auto"/>
              <w:jc w:val="center"/>
              <w:rPr>
                <w:rFonts w:ascii="Arial" w:eastAsia="MS Mincho" w:hAnsi="Arial" w:cs="Arial"/>
                <w:b/>
                <w:bCs/>
                <w:sz w:val="18"/>
                <w:szCs w:val="18"/>
                <w:lang w:val="en-US" w:eastAsia="zh-CN"/>
              </w:rPr>
            </w:pPr>
            <w:r w:rsidRPr="007500D4">
              <w:rPr>
                <w:rFonts w:ascii="Arial" w:eastAsia="MS Mincho" w:hAnsi="Arial" w:cs="Arial"/>
                <w:b/>
                <w:bCs/>
                <w:sz w:val="18"/>
                <w:szCs w:val="18"/>
                <w:lang w:val="en-US" w:eastAsia="zh-CN"/>
              </w:rPr>
              <w:t>Grades 3/4</w:t>
            </w:r>
          </w:p>
        </w:tc>
        <w:tc>
          <w:tcPr>
            <w:tcW w:w="1411" w:type="dxa"/>
            <w:shd w:val="clear" w:color="auto" w:fill="auto"/>
            <w:vAlign w:val="center"/>
          </w:tcPr>
          <w:p w14:paraId="4CA232B4" w14:textId="630659E6" w:rsidR="007500D4" w:rsidRPr="007500D4" w:rsidRDefault="007500D4" w:rsidP="007500D4">
            <w:pPr>
              <w:keepNext/>
              <w:keepLines/>
              <w:tabs>
                <w:tab w:val="left" w:pos="284"/>
              </w:tabs>
              <w:autoSpaceDE/>
              <w:autoSpaceDN/>
              <w:adjustRightInd/>
              <w:spacing w:before="120" w:after="0" w:line="240" w:lineRule="auto"/>
              <w:jc w:val="center"/>
              <w:rPr>
                <w:rFonts w:ascii="Arial" w:eastAsia="MS Mincho" w:hAnsi="Arial" w:cs="Arial"/>
                <w:b/>
                <w:bCs/>
                <w:sz w:val="18"/>
                <w:szCs w:val="18"/>
                <w:lang w:val="en-US" w:eastAsia="zh-CN"/>
              </w:rPr>
            </w:pPr>
            <w:r w:rsidRPr="007500D4">
              <w:rPr>
                <w:rFonts w:ascii="Arial" w:eastAsia="MS Mincho" w:hAnsi="Arial" w:cs="Arial"/>
                <w:b/>
                <w:bCs/>
                <w:sz w:val="18"/>
                <w:szCs w:val="18"/>
                <w:lang w:val="en-US" w:eastAsia="zh-CN"/>
              </w:rPr>
              <w:t xml:space="preserve">Frequency category for </w:t>
            </w:r>
            <w:r w:rsidR="00E16761" w:rsidRPr="007500D4">
              <w:rPr>
                <w:rFonts w:ascii="Arial" w:eastAsia="MS Mincho" w:hAnsi="Arial" w:cs="Arial"/>
                <w:b/>
                <w:bCs/>
                <w:sz w:val="18"/>
                <w:szCs w:val="18"/>
                <w:lang w:val="en-US" w:eastAsia="zh-CN"/>
              </w:rPr>
              <w:t xml:space="preserve">PIQRAY </w:t>
            </w:r>
            <w:r w:rsidRPr="007500D4">
              <w:rPr>
                <w:rFonts w:ascii="Arial" w:eastAsia="MS Mincho" w:hAnsi="Arial" w:cs="Arial"/>
                <w:b/>
                <w:bCs/>
                <w:sz w:val="18"/>
                <w:szCs w:val="18"/>
                <w:lang w:val="en-US" w:eastAsia="zh-CN"/>
              </w:rPr>
              <w:t xml:space="preserve">+ </w:t>
            </w:r>
            <w:proofErr w:type="spellStart"/>
            <w:r w:rsidRPr="007500D4">
              <w:rPr>
                <w:rFonts w:ascii="Arial" w:eastAsia="MS Mincho" w:hAnsi="Arial" w:cs="Arial"/>
                <w:b/>
                <w:bCs/>
                <w:sz w:val="18"/>
                <w:szCs w:val="18"/>
                <w:lang w:val="en-US" w:eastAsia="zh-CN"/>
              </w:rPr>
              <w:t>Fulvestrant</w:t>
            </w:r>
            <w:proofErr w:type="spellEnd"/>
          </w:p>
          <w:p w14:paraId="1BF9FCE6" w14:textId="77777777" w:rsidR="007500D4" w:rsidRPr="007500D4" w:rsidRDefault="007500D4" w:rsidP="007500D4">
            <w:pPr>
              <w:keepNext/>
              <w:keepLines/>
              <w:tabs>
                <w:tab w:val="left" w:pos="284"/>
              </w:tabs>
              <w:autoSpaceDE/>
              <w:autoSpaceDN/>
              <w:adjustRightInd/>
              <w:spacing w:before="120" w:after="0" w:line="240" w:lineRule="auto"/>
              <w:jc w:val="center"/>
              <w:rPr>
                <w:rFonts w:ascii="Arial" w:eastAsia="MS Mincho" w:hAnsi="Arial" w:cs="Arial"/>
                <w:b/>
                <w:sz w:val="18"/>
                <w:szCs w:val="18"/>
                <w:lang w:val="en-US" w:eastAsia="zh-CN"/>
              </w:rPr>
            </w:pPr>
          </w:p>
          <w:p w14:paraId="6067C544" w14:textId="77777777" w:rsidR="007500D4" w:rsidRPr="007500D4" w:rsidRDefault="007500D4" w:rsidP="007500D4">
            <w:pPr>
              <w:keepNext/>
              <w:autoSpaceDE/>
              <w:autoSpaceDN/>
              <w:adjustRightInd/>
              <w:spacing w:before="120" w:after="0" w:line="240" w:lineRule="auto"/>
              <w:jc w:val="center"/>
              <w:rPr>
                <w:rFonts w:ascii="Arial" w:eastAsia="MS Mincho" w:hAnsi="Arial" w:cs="Arial"/>
                <w:b/>
                <w:bCs/>
                <w:i/>
                <w:color w:val="BF30B5"/>
                <w:sz w:val="18"/>
                <w:szCs w:val="18"/>
                <w:lang w:val="en-US" w:eastAsia="zh-CN"/>
              </w:rPr>
            </w:pPr>
            <w:r w:rsidRPr="007500D4">
              <w:rPr>
                <w:rFonts w:ascii="Arial" w:eastAsia="MS Mincho" w:hAnsi="Arial" w:cs="Arial"/>
                <w:b/>
                <w:bCs/>
                <w:sz w:val="18"/>
                <w:szCs w:val="18"/>
                <w:lang w:val="en-US" w:eastAsia="zh-CN"/>
              </w:rPr>
              <w:t>All Grades</w:t>
            </w:r>
          </w:p>
        </w:tc>
      </w:tr>
      <w:tr w:rsidR="007500D4" w:rsidRPr="007500D4" w14:paraId="6D6D9548" w14:textId="77777777" w:rsidTr="005E2D28">
        <w:tc>
          <w:tcPr>
            <w:tcW w:w="9551" w:type="dxa"/>
            <w:gridSpan w:val="6"/>
            <w:shd w:val="clear" w:color="auto" w:fill="auto"/>
          </w:tcPr>
          <w:p w14:paraId="289EC162"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b/>
                <w:bCs/>
                <w:sz w:val="18"/>
                <w:szCs w:val="18"/>
                <w:lang w:val="en-US" w:eastAsia="zh-CN"/>
              </w:rPr>
            </w:pPr>
            <w:r w:rsidRPr="007500D4">
              <w:rPr>
                <w:rFonts w:ascii="Arial" w:eastAsia="MS Mincho" w:hAnsi="Arial" w:cs="Arial"/>
                <w:b/>
                <w:bCs/>
                <w:sz w:val="18"/>
                <w:szCs w:val="18"/>
                <w:lang w:val="en-US" w:eastAsia="zh-CN"/>
              </w:rPr>
              <w:t>Blood and lymphatic system disorders</w:t>
            </w:r>
          </w:p>
        </w:tc>
      </w:tr>
      <w:tr w:rsidR="007500D4" w:rsidRPr="007500D4" w14:paraId="1F2C4732" w14:textId="77777777" w:rsidTr="00CE5EF6">
        <w:trPr>
          <w:trHeight w:val="677"/>
        </w:trPr>
        <w:tc>
          <w:tcPr>
            <w:tcW w:w="3037" w:type="dxa"/>
            <w:shd w:val="clear" w:color="auto" w:fill="auto"/>
            <w:vAlign w:val="center"/>
          </w:tcPr>
          <w:p w14:paraId="2004CC57"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proofErr w:type="spellStart"/>
            <w:r w:rsidRPr="007500D4">
              <w:rPr>
                <w:rFonts w:ascii="Arial" w:eastAsia="MS Mincho" w:hAnsi="Arial" w:cs="Arial"/>
                <w:sz w:val="18"/>
                <w:szCs w:val="18"/>
                <w:lang w:val="en-US" w:eastAsia="zh-CN"/>
              </w:rPr>
              <w:t>Anaemia</w:t>
            </w:r>
            <w:proofErr w:type="spellEnd"/>
            <w:r w:rsidRPr="007500D4">
              <w:rPr>
                <w:rFonts w:ascii="Arial" w:eastAsia="MS Mincho" w:hAnsi="Arial" w:cs="Arial"/>
                <w:sz w:val="18"/>
                <w:szCs w:val="18"/>
                <w:lang w:val="en-US" w:eastAsia="zh-CN"/>
              </w:rPr>
              <w:t xml:space="preserve"> </w:t>
            </w:r>
          </w:p>
        </w:tc>
        <w:tc>
          <w:tcPr>
            <w:tcW w:w="1276" w:type="dxa"/>
            <w:shd w:val="clear" w:color="auto" w:fill="auto"/>
          </w:tcPr>
          <w:p w14:paraId="731FEFB5" w14:textId="77777777" w:rsidR="007500D4" w:rsidRPr="007500D4" w:rsidRDefault="007500D4" w:rsidP="007500D4">
            <w:pPr>
              <w:keepLines/>
              <w:tabs>
                <w:tab w:val="left" w:pos="284"/>
              </w:tabs>
              <w:autoSpaceDE/>
              <w:autoSpaceDN/>
              <w:adjustRightInd/>
              <w:spacing w:before="120" w:after="0" w:line="240" w:lineRule="auto"/>
              <w:jc w:val="center"/>
              <w:rPr>
                <w:rFonts w:ascii="Arial" w:hAnsi="Arial" w:cs="Arial"/>
                <w:sz w:val="18"/>
                <w:szCs w:val="18"/>
                <w:lang w:val="en-US" w:eastAsia="en-US"/>
              </w:rPr>
            </w:pPr>
            <w:r w:rsidRPr="007500D4">
              <w:rPr>
                <w:rFonts w:ascii="Arial" w:hAnsi="Arial" w:cs="Arial"/>
                <w:sz w:val="18"/>
                <w:szCs w:val="18"/>
                <w:lang w:val="en-US" w:eastAsia="en-US"/>
              </w:rPr>
              <w:t xml:space="preserve">29 (10.2) </w:t>
            </w:r>
          </w:p>
        </w:tc>
        <w:tc>
          <w:tcPr>
            <w:tcW w:w="1276" w:type="dxa"/>
            <w:shd w:val="clear" w:color="auto" w:fill="auto"/>
          </w:tcPr>
          <w:p w14:paraId="2B3BE53F"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 xml:space="preserve">15 (5.2) </w:t>
            </w:r>
          </w:p>
        </w:tc>
        <w:tc>
          <w:tcPr>
            <w:tcW w:w="1276" w:type="dxa"/>
            <w:shd w:val="clear" w:color="auto" w:fill="auto"/>
          </w:tcPr>
          <w:p w14:paraId="33D66A58"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 xml:space="preserve">11 (3.9) </w:t>
            </w:r>
          </w:p>
        </w:tc>
        <w:tc>
          <w:tcPr>
            <w:tcW w:w="1275" w:type="dxa"/>
            <w:shd w:val="clear" w:color="auto" w:fill="auto"/>
          </w:tcPr>
          <w:p w14:paraId="43BA7E3F"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 xml:space="preserve">3 (1.0) </w:t>
            </w:r>
          </w:p>
        </w:tc>
        <w:tc>
          <w:tcPr>
            <w:tcW w:w="1411" w:type="dxa"/>
            <w:shd w:val="clear" w:color="auto" w:fill="auto"/>
          </w:tcPr>
          <w:p w14:paraId="648A0D47"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 xml:space="preserve">Very common </w:t>
            </w:r>
          </w:p>
        </w:tc>
      </w:tr>
      <w:tr w:rsidR="007500D4" w:rsidRPr="007500D4" w14:paraId="0E5D1AB8" w14:textId="77777777" w:rsidTr="00CE5EF6">
        <w:tc>
          <w:tcPr>
            <w:tcW w:w="3037" w:type="dxa"/>
            <w:shd w:val="clear" w:color="auto" w:fill="auto"/>
            <w:vAlign w:val="center"/>
          </w:tcPr>
          <w:p w14:paraId="00B3F9F2"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proofErr w:type="spellStart"/>
            <w:r w:rsidRPr="007500D4">
              <w:rPr>
                <w:rFonts w:ascii="Arial" w:eastAsia="MS Mincho" w:hAnsi="Arial" w:cs="Arial"/>
                <w:sz w:val="18"/>
                <w:szCs w:val="18"/>
                <w:lang w:val="en-US" w:eastAsia="zh-CN"/>
              </w:rPr>
              <w:t>Lymphopenia</w:t>
            </w:r>
            <w:proofErr w:type="spellEnd"/>
            <w:r w:rsidRPr="007500D4">
              <w:rPr>
                <w:rFonts w:ascii="Arial" w:eastAsia="MS Mincho" w:hAnsi="Arial" w:cs="Arial"/>
                <w:sz w:val="18"/>
                <w:szCs w:val="18"/>
                <w:lang w:val="en-US" w:eastAsia="zh-CN"/>
              </w:rPr>
              <w:t xml:space="preserve"> </w:t>
            </w:r>
          </w:p>
        </w:tc>
        <w:tc>
          <w:tcPr>
            <w:tcW w:w="1276" w:type="dxa"/>
            <w:shd w:val="clear" w:color="auto" w:fill="auto"/>
          </w:tcPr>
          <w:p w14:paraId="138875E9"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14 (4.9)</w:t>
            </w:r>
          </w:p>
        </w:tc>
        <w:tc>
          <w:tcPr>
            <w:tcW w:w="1276" w:type="dxa"/>
            <w:shd w:val="clear" w:color="auto" w:fill="auto"/>
          </w:tcPr>
          <w:p w14:paraId="75201993"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3 (1.0)</w:t>
            </w:r>
          </w:p>
        </w:tc>
        <w:tc>
          <w:tcPr>
            <w:tcW w:w="1276" w:type="dxa"/>
            <w:shd w:val="clear" w:color="auto" w:fill="auto"/>
          </w:tcPr>
          <w:p w14:paraId="6B820F01"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7 (2.5)</w:t>
            </w:r>
          </w:p>
        </w:tc>
        <w:tc>
          <w:tcPr>
            <w:tcW w:w="1275" w:type="dxa"/>
            <w:shd w:val="clear" w:color="auto" w:fill="auto"/>
          </w:tcPr>
          <w:p w14:paraId="77867F7D"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3 (1.0)</w:t>
            </w:r>
          </w:p>
        </w:tc>
        <w:tc>
          <w:tcPr>
            <w:tcW w:w="1411" w:type="dxa"/>
            <w:shd w:val="clear" w:color="auto" w:fill="auto"/>
          </w:tcPr>
          <w:p w14:paraId="7DD5CE6D"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Common</w:t>
            </w:r>
          </w:p>
        </w:tc>
      </w:tr>
      <w:tr w:rsidR="007500D4" w:rsidRPr="007500D4" w14:paraId="24B7C610" w14:textId="77777777" w:rsidTr="00CE5EF6">
        <w:trPr>
          <w:trHeight w:val="639"/>
        </w:trPr>
        <w:tc>
          <w:tcPr>
            <w:tcW w:w="3037" w:type="dxa"/>
            <w:shd w:val="clear" w:color="auto" w:fill="auto"/>
            <w:vAlign w:val="center"/>
          </w:tcPr>
          <w:p w14:paraId="24D6C6B5"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Thrombocytopenia</w:t>
            </w:r>
            <w:r w:rsidRPr="007500D4">
              <w:rPr>
                <w:rFonts w:ascii="Arial" w:eastAsia="MS Mincho" w:hAnsi="Arial" w:cs="Arial"/>
                <w:sz w:val="18"/>
                <w:szCs w:val="18"/>
                <w:vertAlign w:val="superscript"/>
                <w:lang w:val="en-US" w:eastAsia="zh-CN"/>
              </w:rPr>
              <w:t xml:space="preserve"> </w:t>
            </w:r>
          </w:p>
        </w:tc>
        <w:tc>
          <w:tcPr>
            <w:tcW w:w="1276" w:type="dxa"/>
            <w:shd w:val="clear" w:color="auto" w:fill="auto"/>
          </w:tcPr>
          <w:p w14:paraId="5E91DAA1"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6 (2.1)</w:t>
            </w:r>
          </w:p>
        </w:tc>
        <w:tc>
          <w:tcPr>
            <w:tcW w:w="1276" w:type="dxa"/>
            <w:shd w:val="clear" w:color="auto" w:fill="auto"/>
          </w:tcPr>
          <w:p w14:paraId="1C7D3A44"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0</w:t>
            </w:r>
          </w:p>
        </w:tc>
        <w:tc>
          <w:tcPr>
            <w:tcW w:w="1276" w:type="dxa"/>
            <w:shd w:val="clear" w:color="auto" w:fill="auto"/>
          </w:tcPr>
          <w:p w14:paraId="0B310C23"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2 (0.7)</w:t>
            </w:r>
          </w:p>
        </w:tc>
        <w:tc>
          <w:tcPr>
            <w:tcW w:w="1275" w:type="dxa"/>
            <w:shd w:val="clear" w:color="auto" w:fill="auto"/>
          </w:tcPr>
          <w:p w14:paraId="73AB4E7D"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0</w:t>
            </w:r>
          </w:p>
        </w:tc>
        <w:tc>
          <w:tcPr>
            <w:tcW w:w="1411" w:type="dxa"/>
            <w:shd w:val="clear" w:color="auto" w:fill="auto"/>
          </w:tcPr>
          <w:p w14:paraId="0DEEFEF5"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Common</w:t>
            </w:r>
          </w:p>
        </w:tc>
      </w:tr>
      <w:tr w:rsidR="007500D4" w:rsidRPr="007500D4" w14:paraId="69550CF5" w14:textId="77777777" w:rsidTr="005E2D28">
        <w:tc>
          <w:tcPr>
            <w:tcW w:w="9551" w:type="dxa"/>
            <w:gridSpan w:val="6"/>
            <w:shd w:val="clear" w:color="auto" w:fill="auto"/>
            <w:vAlign w:val="center"/>
          </w:tcPr>
          <w:p w14:paraId="39360B1C"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b/>
                <w:sz w:val="18"/>
                <w:szCs w:val="18"/>
                <w:lang w:val="en-US" w:eastAsia="zh-CN"/>
              </w:rPr>
            </w:pPr>
            <w:r w:rsidRPr="007500D4">
              <w:rPr>
                <w:rFonts w:ascii="Arial" w:eastAsia="MS Mincho" w:hAnsi="Arial" w:cs="Arial"/>
                <w:b/>
                <w:sz w:val="18"/>
                <w:szCs w:val="18"/>
                <w:lang w:val="en-US" w:eastAsia="zh-CN"/>
              </w:rPr>
              <w:lastRenderedPageBreak/>
              <w:t>Eye disorders</w:t>
            </w:r>
          </w:p>
        </w:tc>
      </w:tr>
      <w:tr w:rsidR="007500D4" w:rsidRPr="007500D4" w14:paraId="5F086905" w14:textId="77777777" w:rsidTr="00CE5EF6">
        <w:tc>
          <w:tcPr>
            <w:tcW w:w="3037" w:type="dxa"/>
            <w:shd w:val="clear" w:color="auto" w:fill="auto"/>
            <w:vAlign w:val="center"/>
          </w:tcPr>
          <w:p w14:paraId="7EDF0065"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Vision blurred</w:t>
            </w:r>
          </w:p>
        </w:tc>
        <w:tc>
          <w:tcPr>
            <w:tcW w:w="1276" w:type="dxa"/>
            <w:shd w:val="clear" w:color="auto" w:fill="auto"/>
          </w:tcPr>
          <w:p w14:paraId="4C1F2A63"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14 (4.9)</w:t>
            </w:r>
          </w:p>
        </w:tc>
        <w:tc>
          <w:tcPr>
            <w:tcW w:w="1276" w:type="dxa"/>
            <w:shd w:val="clear" w:color="auto" w:fill="auto"/>
          </w:tcPr>
          <w:p w14:paraId="62A9F001"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2 (0.7)</w:t>
            </w:r>
          </w:p>
        </w:tc>
        <w:tc>
          <w:tcPr>
            <w:tcW w:w="1276" w:type="dxa"/>
            <w:shd w:val="clear" w:color="auto" w:fill="auto"/>
          </w:tcPr>
          <w:p w14:paraId="2C69409D"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1 (0.4)</w:t>
            </w:r>
          </w:p>
        </w:tc>
        <w:tc>
          <w:tcPr>
            <w:tcW w:w="1275" w:type="dxa"/>
            <w:shd w:val="clear" w:color="auto" w:fill="auto"/>
          </w:tcPr>
          <w:p w14:paraId="5CE0903D"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0</w:t>
            </w:r>
          </w:p>
        </w:tc>
        <w:tc>
          <w:tcPr>
            <w:tcW w:w="1411" w:type="dxa"/>
            <w:shd w:val="clear" w:color="auto" w:fill="auto"/>
          </w:tcPr>
          <w:p w14:paraId="2E0A5FC2"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Common</w:t>
            </w:r>
          </w:p>
        </w:tc>
      </w:tr>
      <w:tr w:rsidR="007500D4" w:rsidRPr="007500D4" w14:paraId="40569083" w14:textId="77777777" w:rsidTr="00CE5EF6">
        <w:tc>
          <w:tcPr>
            <w:tcW w:w="3037" w:type="dxa"/>
            <w:shd w:val="clear" w:color="auto" w:fill="auto"/>
            <w:vAlign w:val="center"/>
          </w:tcPr>
          <w:p w14:paraId="60B1D2F6"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Dry eye</w:t>
            </w:r>
          </w:p>
        </w:tc>
        <w:tc>
          <w:tcPr>
            <w:tcW w:w="1276" w:type="dxa"/>
            <w:shd w:val="clear" w:color="auto" w:fill="auto"/>
          </w:tcPr>
          <w:p w14:paraId="20F701A8"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10 (3.5)</w:t>
            </w:r>
          </w:p>
        </w:tc>
        <w:tc>
          <w:tcPr>
            <w:tcW w:w="1276" w:type="dxa"/>
            <w:shd w:val="clear" w:color="auto" w:fill="auto"/>
          </w:tcPr>
          <w:p w14:paraId="3F075F26"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1 (0.3)</w:t>
            </w:r>
          </w:p>
        </w:tc>
        <w:tc>
          <w:tcPr>
            <w:tcW w:w="1276" w:type="dxa"/>
            <w:shd w:val="clear" w:color="auto" w:fill="auto"/>
          </w:tcPr>
          <w:p w14:paraId="18DA1BD5"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0</w:t>
            </w:r>
          </w:p>
        </w:tc>
        <w:tc>
          <w:tcPr>
            <w:tcW w:w="1275" w:type="dxa"/>
            <w:shd w:val="clear" w:color="auto" w:fill="auto"/>
          </w:tcPr>
          <w:p w14:paraId="026A8ADB"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0</w:t>
            </w:r>
          </w:p>
        </w:tc>
        <w:tc>
          <w:tcPr>
            <w:tcW w:w="1411" w:type="dxa"/>
            <w:shd w:val="clear" w:color="auto" w:fill="auto"/>
          </w:tcPr>
          <w:p w14:paraId="4C5DAA2E"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Common</w:t>
            </w:r>
          </w:p>
        </w:tc>
      </w:tr>
      <w:tr w:rsidR="007500D4" w:rsidRPr="007500D4" w14:paraId="24E32797" w14:textId="77777777" w:rsidTr="005E2D28">
        <w:tc>
          <w:tcPr>
            <w:tcW w:w="9551" w:type="dxa"/>
            <w:gridSpan w:val="6"/>
            <w:shd w:val="clear" w:color="auto" w:fill="auto"/>
            <w:vAlign w:val="center"/>
          </w:tcPr>
          <w:p w14:paraId="53F2CE5A"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b/>
                <w:bCs/>
                <w:sz w:val="18"/>
                <w:szCs w:val="18"/>
                <w:lang w:val="en-US" w:eastAsia="zh-CN"/>
              </w:rPr>
              <w:t>Gastrointestinal disorders</w:t>
            </w:r>
          </w:p>
        </w:tc>
      </w:tr>
      <w:tr w:rsidR="007500D4" w:rsidRPr="007500D4" w14:paraId="5D5F2720" w14:textId="77777777" w:rsidTr="00CE5EF6">
        <w:tc>
          <w:tcPr>
            <w:tcW w:w="3037" w:type="dxa"/>
            <w:shd w:val="clear" w:color="auto" w:fill="auto"/>
            <w:vAlign w:val="center"/>
          </w:tcPr>
          <w:p w14:paraId="39729DFA"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proofErr w:type="spellStart"/>
            <w:r w:rsidRPr="007500D4">
              <w:rPr>
                <w:rFonts w:ascii="Arial" w:eastAsia="MS Mincho" w:hAnsi="Arial" w:cs="Arial"/>
                <w:sz w:val="18"/>
                <w:szCs w:val="18"/>
                <w:lang w:val="en-US" w:eastAsia="zh-CN"/>
              </w:rPr>
              <w:t>Diarrhoea</w:t>
            </w:r>
            <w:proofErr w:type="spellEnd"/>
          </w:p>
        </w:tc>
        <w:tc>
          <w:tcPr>
            <w:tcW w:w="1276" w:type="dxa"/>
            <w:shd w:val="clear" w:color="auto" w:fill="auto"/>
          </w:tcPr>
          <w:p w14:paraId="7D235CA7"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164 (57.7)</w:t>
            </w:r>
          </w:p>
        </w:tc>
        <w:tc>
          <w:tcPr>
            <w:tcW w:w="1276" w:type="dxa"/>
            <w:shd w:val="clear" w:color="auto" w:fill="auto"/>
          </w:tcPr>
          <w:p w14:paraId="50A674E5"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45 (15.7)</w:t>
            </w:r>
          </w:p>
        </w:tc>
        <w:tc>
          <w:tcPr>
            <w:tcW w:w="1276" w:type="dxa"/>
            <w:shd w:val="clear" w:color="auto" w:fill="auto"/>
          </w:tcPr>
          <w:p w14:paraId="1CDF4358"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19 (6.7)</w:t>
            </w:r>
          </w:p>
        </w:tc>
        <w:tc>
          <w:tcPr>
            <w:tcW w:w="1275" w:type="dxa"/>
            <w:shd w:val="clear" w:color="auto" w:fill="auto"/>
          </w:tcPr>
          <w:p w14:paraId="3C274BC1"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1 (0.3)</w:t>
            </w:r>
          </w:p>
        </w:tc>
        <w:tc>
          <w:tcPr>
            <w:tcW w:w="1411" w:type="dxa"/>
            <w:shd w:val="clear" w:color="auto" w:fill="auto"/>
          </w:tcPr>
          <w:p w14:paraId="4A91FB36"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Very common</w:t>
            </w:r>
          </w:p>
        </w:tc>
      </w:tr>
      <w:tr w:rsidR="007500D4" w:rsidRPr="007500D4" w14:paraId="6DB51028" w14:textId="77777777" w:rsidTr="00CE5EF6">
        <w:tc>
          <w:tcPr>
            <w:tcW w:w="3037" w:type="dxa"/>
            <w:shd w:val="clear" w:color="auto" w:fill="auto"/>
            <w:vAlign w:val="center"/>
          </w:tcPr>
          <w:p w14:paraId="266CCEAB"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Nausea</w:t>
            </w:r>
          </w:p>
        </w:tc>
        <w:tc>
          <w:tcPr>
            <w:tcW w:w="1276" w:type="dxa"/>
            <w:shd w:val="clear" w:color="auto" w:fill="auto"/>
          </w:tcPr>
          <w:p w14:paraId="37413A02"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hAnsi="Arial" w:cs="Arial"/>
                <w:sz w:val="18"/>
                <w:szCs w:val="18"/>
                <w:lang w:val="en-US" w:eastAsia="en-US"/>
              </w:rPr>
              <w:t>127 (44.7)</w:t>
            </w:r>
          </w:p>
        </w:tc>
        <w:tc>
          <w:tcPr>
            <w:tcW w:w="1276" w:type="dxa"/>
            <w:shd w:val="clear" w:color="auto" w:fill="auto"/>
          </w:tcPr>
          <w:p w14:paraId="5C5B27EE"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hAnsi="Arial" w:cs="Arial"/>
                <w:sz w:val="18"/>
                <w:szCs w:val="18"/>
                <w:lang w:val="en-US" w:eastAsia="en-US"/>
              </w:rPr>
              <w:t>64 (22.3)</w:t>
            </w:r>
          </w:p>
        </w:tc>
        <w:tc>
          <w:tcPr>
            <w:tcW w:w="1276" w:type="dxa"/>
            <w:shd w:val="clear" w:color="auto" w:fill="auto"/>
          </w:tcPr>
          <w:p w14:paraId="3017C10F"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7 (2.5)</w:t>
            </w:r>
          </w:p>
        </w:tc>
        <w:tc>
          <w:tcPr>
            <w:tcW w:w="1275" w:type="dxa"/>
            <w:shd w:val="clear" w:color="auto" w:fill="auto"/>
          </w:tcPr>
          <w:p w14:paraId="1A562FFF"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1 (0.3)</w:t>
            </w:r>
          </w:p>
        </w:tc>
        <w:tc>
          <w:tcPr>
            <w:tcW w:w="1411" w:type="dxa"/>
            <w:shd w:val="clear" w:color="auto" w:fill="auto"/>
          </w:tcPr>
          <w:p w14:paraId="777C116A"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Very common</w:t>
            </w:r>
          </w:p>
        </w:tc>
      </w:tr>
      <w:tr w:rsidR="007500D4" w:rsidRPr="007500D4" w14:paraId="7EEDAE5D" w14:textId="77777777" w:rsidTr="00CE5EF6">
        <w:tc>
          <w:tcPr>
            <w:tcW w:w="3037" w:type="dxa"/>
            <w:shd w:val="clear" w:color="auto" w:fill="auto"/>
            <w:vAlign w:val="center"/>
          </w:tcPr>
          <w:p w14:paraId="5639CA16"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Stomatitis</w:t>
            </w:r>
            <w:r w:rsidRPr="007500D4">
              <w:rPr>
                <w:rFonts w:ascii="Arial" w:eastAsia="MS Mincho" w:hAnsi="Arial" w:cs="Arial"/>
                <w:sz w:val="18"/>
                <w:szCs w:val="18"/>
                <w:vertAlign w:val="superscript"/>
                <w:lang w:val="en-US" w:eastAsia="zh-CN"/>
              </w:rPr>
              <w:t>1</w:t>
            </w:r>
          </w:p>
        </w:tc>
        <w:tc>
          <w:tcPr>
            <w:tcW w:w="1276" w:type="dxa"/>
            <w:shd w:val="clear" w:color="auto" w:fill="auto"/>
          </w:tcPr>
          <w:p w14:paraId="020A9C11"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hAnsi="Arial" w:cs="Arial"/>
                <w:sz w:val="18"/>
                <w:szCs w:val="18"/>
                <w:lang w:val="en-US" w:eastAsia="en-US"/>
              </w:rPr>
              <w:t>85 (29.9)</w:t>
            </w:r>
          </w:p>
        </w:tc>
        <w:tc>
          <w:tcPr>
            <w:tcW w:w="1276" w:type="dxa"/>
            <w:shd w:val="clear" w:color="auto" w:fill="auto"/>
          </w:tcPr>
          <w:p w14:paraId="6C11E521"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hAnsi="Arial" w:cs="Arial"/>
                <w:sz w:val="18"/>
                <w:szCs w:val="18"/>
                <w:lang w:val="en-US" w:eastAsia="en-US"/>
              </w:rPr>
              <w:t>18 (6.3)</w:t>
            </w:r>
          </w:p>
        </w:tc>
        <w:tc>
          <w:tcPr>
            <w:tcW w:w="1276" w:type="dxa"/>
            <w:shd w:val="clear" w:color="auto" w:fill="auto"/>
          </w:tcPr>
          <w:p w14:paraId="05902299"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7 (2.5)</w:t>
            </w:r>
          </w:p>
        </w:tc>
        <w:tc>
          <w:tcPr>
            <w:tcW w:w="1275" w:type="dxa"/>
            <w:shd w:val="clear" w:color="auto" w:fill="auto"/>
          </w:tcPr>
          <w:p w14:paraId="058BF884"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0</w:t>
            </w:r>
          </w:p>
        </w:tc>
        <w:tc>
          <w:tcPr>
            <w:tcW w:w="1411" w:type="dxa"/>
            <w:shd w:val="clear" w:color="auto" w:fill="auto"/>
          </w:tcPr>
          <w:p w14:paraId="65C98484"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Very common</w:t>
            </w:r>
          </w:p>
        </w:tc>
      </w:tr>
      <w:tr w:rsidR="007500D4" w:rsidRPr="007500D4" w14:paraId="40AA0805" w14:textId="77777777" w:rsidTr="00CE5EF6">
        <w:tc>
          <w:tcPr>
            <w:tcW w:w="3037" w:type="dxa"/>
            <w:shd w:val="clear" w:color="auto" w:fill="auto"/>
            <w:vAlign w:val="center"/>
          </w:tcPr>
          <w:p w14:paraId="7F4733FF"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Vomiting</w:t>
            </w:r>
          </w:p>
        </w:tc>
        <w:tc>
          <w:tcPr>
            <w:tcW w:w="1276" w:type="dxa"/>
            <w:shd w:val="clear" w:color="auto" w:fill="auto"/>
          </w:tcPr>
          <w:p w14:paraId="69A2B48C" w14:textId="77777777" w:rsidR="007500D4" w:rsidRPr="007500D4" w:rsidRDefault="007500D4" w:rsidP="007500D4">
            <w:pPr>
              <w:keepLines/>
              <w:tabs>
                <w:tab w:val="left" w:pos="284"/>
              </w:tabs>
              <w:autoSpaceDE/>
              <w:autoSpaceDN/>
              <w:adjustRightInd/>
              <w:spacing w:before="120" w:after="0" w:line="240" w:lineRule="auto"/>
              <w:jc w:val="center"/>
              <w:rPr>
                <w:rFonts w:ascii="Arial" w:hAnsi="Arial" w:cs="Arial"/>
                <w:sz w:val="18"/>
                <w:szCs w:val="18"/>
                <w:lang w:val="en-US" w:eastAsia="en-US"/>
              </w:rPr>
            </w:pPr>
            <w:r w:rsidRPr="007500D4">
              <w:rPr>
                <w:rFonts w:ascii="Arial" w:hAnsi="Arial" w:cs="Arial"/>
                <w:sz w:val="18"/>
                <w:szCs w:val="18"/>
                <w:lang w:val="en-US" w:eastAsia="en-US"/>
              </w:rPr>
              <w:t>77 (27.1)</w:t>
            </w:r>
          </w:p>
        </w:tc>
        <w:tc>
          <w:tcPr>
            <w:tcW w:w="1276" w:type="dxa"/>
            <w:shd w:val="clear" w:color="auto" w:fill="auto"/>
          </w:tcPr>
          <w:p w14:paraId="21F542E4" w14:textId="77777777" w:rsidR="007500D4" w:rsidRPr="007500D4" w:rsidRDefault="007500D4" w:rsidP="007500D4">
            <w:pPr>
              <w:keepLines/>
              <w:tabs>
                <w:tab w:val="left" w:pos="284"/>
              </w:tabs>
              <w:autoSpaceDE/>
              <w:autoSpaceDN/>
              <w:adjustRightInd/>
              <w:spacing w:before="120" w:after="0" w:line="240" w:lineRule="auto"/>
              <w:jc w:val="center"/>
              <w:rPr>
                <w:rFonts w:ascii="Arial" w:hAnsi="Arial" w:cs="Arial"/>
                <w:sz w:val="18"/>
                <w:szCs w:val="18"/>
                <w:lang w:val="en-US" w:eastAsia="en-US"/>
              </w:rPr>
            </w:pPr>
            <w:r w:rsidRPr="007500D4">
              <w:rPr>
                <w:rFonts w:ascii="Arial" w:hAnsi="Arial" w:cs="Arial"/>
                <w:sz w:val="18"/>
                <w:szCs w:val="18"/>
                <w:lang w:val="en-US" w:eastAsia="en-US"/>
              </w:rPr>
              <w:t>28 (9.8)</w:t>
            </w:r>
          </w:p>
        </w:tc>
        <w:tc>
          <w:tcPr>
            <w:tcW w:w="1276" w:type="dxa"/>
            <w:shd w:val="clear" w:color="auto" w:fill="auto"/>
          </w:tcPr>
          <w:p w14:paraId="5913EB1C"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2 (0.7)</w:t>
            </w:r>
          </w:p>
        </w:tc>
        <w:tc>
          <w:tcPr>
            <w:tcW w:w="1275" w:type="dxa"/>
            <w:shd w:val="clear" w:color="auto" w:fill="auto"/>
          </w:tcPr>
          <w:p w14:paraId="6C2F798B"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1 (0.3)</w:t>
            </w:r>
          </w:p>
        </w:tc>
        <w:tc>
          <w:tcPr>
            <w:tcW w:w="1411" w:type="dxa"/>
            <w:shd w:val="clear" w:color="auto" w:fill="auto"/>
          </w:tcPr>
          <w:p w14:paraId="7456CAAB"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Very common</w:t>
            </w:r>
          </w:p>
        </w:tc>
      </w:tr>
      <w:tr w:rsidR="007500D4" w:rsidRPr="007500D4" w14:paraId="56D61186" w14:textId="77777777" w:rsidTr="00CE5EF6">
        <w:tc>
          <w:tcPr>
            <w:tcW w:w="3037" w:type="dxa"/>
            <w:shd w:val="clear" w:color="auto" w:fill="auto"/>
            <w:vAlign w:val="center"/>
          </w:tcPr>
          <w:p w14:paraId="56027212"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Abdominal pain</w:t>
            </w:r>
          </w:p>
        </w:tc>
        <w:tc>
          <w:tcPr>
            <w:tcW w:w="1276" w:type="dxa"/>
            <w:shd w:val="clear" w:color="auto" w:fill="auto"/>
          </w:tcPr>
          <w:p w14:paraId="36DEF69B"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hAnsi="Arial" w:cs="Arial"/>
                <w:sz w:val="18"/>
                <w:szCs w:val="18"/>
                <w:lang w:val="en-US" w:eastAsia="en-US"/>
              </w:rPr>
              <w:t>47 (16.5)</w:t>
            </w:r>
          </w:p>
        </w:tc>
        <w:tc>
          <w:tcPr>
            <w:tcW w:w="1276" w:type="dxa"/>
            <w:shd w:val="clear" w:color="auto" w:fill="auto"/>
          </w:tcPr>
          <w:p w14:paraId="22A75886"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hAnsi="Arial" w:cs="Arial"/>
                <w:sz w:val="18"/>
                <w:szCs w:val="18"/>
                <w:lang w:val="en-US" w:eastAsia="en-US"/>
              </w:rPr>
              <w:t>32 (11.1)</w:t>
            </w:r>
          </w:p>
        </w:tc>
        <w:tc>
          <w:tcPr>
            <w:tcW w:w="1276" w:type="dxa"/>
            <w:shd w:val="clear" w:color="auto" w:fill="auto"/>
          </w:tcPr>
          <w:p w14:paraId="08FBD9B6"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 xml:space="preserve">4 (1.4) </w:t>
            </w:r>
          </w:p>
        </w:tc>
        <w:tc>
          <w:tcPr>
            <w:tcW w:w="1275" w:type="dxa"/>
            <w:shd w:val="clear" w:color="auto" w:fill="auto"/>
          </w:tcPr>
          <w:p w14:paraId="40DBC41A"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3 (1.0)</w:t>
            </w:r>
          </w:p>
        </w:tc>
        <w:tc>
          <w:tcPr>
            <w:tcW w:w="1411" w:type="dxa"/>
            <w:shd w:val="clear" w:color="auto" w:fill="auto"/>
          </w:tcPr>
          <w:p w14:paraId="49FF00FF"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Very common</w:t>
            </w:r>
          </w:p>
        </w:tc>
      </w:tr>
      <w:tr w:rsidR="007500D4" w:rsidRPr="007500D4" w14:paraId="711179B4" w14:textId="77777777" w:rsidTr="00CE5EF6">
        <w:tc>
          <w:tcPr>
            <w:tcW w:w="3037" w:type="dxa"/>
            <w:shd w:val="clear" w:color="auto" w:fill="auto"/>
            <w:vAlign w:val="center"/>
          </w:tcPr>
          <w:p w14:paraId="6D6B282E"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Dyspepsia</w:t>
            </w:r>
          </w:p>
        </w:tc>
        <w:tc>
          <w:tcPr>
            <w:tcW w:w="1276" w:type="dxa"/>
            <w:shd w:val="clear" w:color="auto" w:fill="auto"/>
          </w:tcPr>
          <w:p w14:paraId="42F15922"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hAnsi="Arial" w:cs="Arial"/>
                <w:sz w:val="18"/>
                <w:szCs w:val="18"/>
                <w:lang w:val="en-US" w:eastAsia="en-US"/>
              </w:rPr>
              <w:t>32 (11.3)</w:t>
            </w:r>
          </w:p>
        </w:tc>
        <w:tc>
          <w:tcPr>
            <w:tcW w:w="1276" w:type="dxa"/>
            <w:shd w:val="clear" w:color="auto" w:fill="auto"/>
          </w:tcPr>
          <w:p w14:paraId="3FF540E6"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hAnsi="Arial" w:cs="Arial"/>
                <w:sz w:val="18"/>
                <w:szCs w:val="18"/>
                <w:lang w:val="en-US" w:eastAsia="en-US"/>
              </w:rPr>
              <w:t>16 (5.6)</w:t>
            </w:r>
          </w:p>
        </w:tc>
        <w:tc>
          <w:tcPr>
            <w:tcW w:w="1276" w:type="dxa"/>
            <w:shd w:val="clear" w:color="auto" w:fill="auto"/>
          </w:tcPr>
          <w:p w14:paraId="3EC77F56"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0</w:t>
            </w:r>
          </w:p>
        </w:tc>
        <w:tc>
          <w:tcPr>
            <w:tcW w:w="1275" w:type="dxa"/>
            <w:shd w:val="clear" w:color="auto" w:fill="auto"/>
          </w:tcPr>
          <w:p w14:paraId="066CE089"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0</w:t>
            </w:r>
          </w:p>
        </w:tc>
        <w:tc>
          <w:tcPr>
            <w:tcW w:w="1411" w:type="dxa"/>
            <w:shd w:val="clear" w:color="auto" w:fill="auto"/>
          </w:tcPr>
          <w:p w14:paraId="19EE9687"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Very common</w:t>
            </w:r>
          </w:p>
        </w:tc>
      </w:tr>
      <w:tr w:rsidR="007500D4" w:rsidRPr="007500D4" w14:paraId="3BEE8798" w14:textId="77777777" w:rsidTr="00CE5EF6">
        <w:tc>
          <w:tcPr>
            <w:tcW w:w="3037" w:type="dxa"/>
            <w:shd w:val="clear" w:color="auto" w:fill="auto"/>
            <w:vAlign w:val="center"/>
          </w:tcPr>
          <w:p w14:paraId="4676E53A"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Toothache</w:t>
            </w:r>
          </w:p>
        </w:tc>
        <w:tc>
          <w:tcPr>
            <w:tcW w:w="1276" w:type="dxa"/>
            <w:shd w:val="clear" w:color="auto" w:fill="auto"/>
          </w:tcPr>
          <w:p w14:paraId="5A44BF34"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hAnsi="Arial" w:cs="Arial"/>
                <w:sz w:val="18"/>
                <w:szCs w:val="18"/>
                <w:lang w:val="en-US" w:eastAsia="en-US"/>
              </w:rPr>
              <w:t>12 (4.2)</w:t>
            </w:r>
          </w:p>
        </w:tc>
        <w:tc>
          <w:tcPr>
            <w:tcW w:w="1276" w:type="dxa"/>
            <w:shd w:val="clear" w:color="auto" w:fill="auto"/>
          </w:tcPr>
          <w:p w14:paraId="1A6825A1"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hAnsi="Arial" w:cs="Arial"/>
                <w:sz w:val="18"/>
                <w:szCs w:val="18"/>
                <w:lang w:val="en-US" w:eastAsia="en-US"/>
              </w:rPr>
              <w:t>6 (2.1)</w:t>
            </w:r>
          </w:p>
        </w:tc>
        <w:tc>
          <w:tcPr>
            <w:tcW w:w="1276" w:type="dxa"/>
            <w:shd w:val="clear" w:color="auto" w:fill="auto"/>
          </w:tcPr>
          <w:p w14:paraId="28784F02"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1 (0.4)</w:t>
            </w:r>
          </w:p>
        </w:tc>
        <w:tc>
          <w:tcPr>
            <w:tcW w:w="1275" w:type="dxa"/>
            <w:shd w:val="clear" w:color="auto" w:fill="auto"/>
          </w:tcPr>
          <w:p w14:paraId="2A7BB813"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0</w:t>
            </w:r>
          </w:p>
        </w:tc>
        <w:tc>
          <w:tcPr>
            <w:tcW w:w="1411" w:type="dxa"/>
            <w:shd w:val="clear" w:color="auto" w:fill="auto"/>
          </w:tcPr>
          <w:p w14:paraId="67517B27"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Common</w:t>
            </w:r>
          </w:p>
        </w:tc>
      </w:tr>
      <w:tr w:rsidR="007500D4" w:rsidRPr="007500D4" w14:paraId="048373E7" w14:textId="77777777" w:rsidTr="00CE5EF6">
        <w:tc>
          <w:tcPr>
            <w:tcW w:w="3037" w:type="dxa"/>
            <w:shd w:val="clear" w:color="auto" w:fill="auto"/>
            <w:vAlign w:val="center"/>
          </w:tcPr>
          <w:p w14:paraId="48D4B8CC" w14:textId="59162FCD"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color w:val="000000"/>
                <w:sz w:val="18"/>
                <w:szCs w:val="18"/>
                <w:lang w:val="en-US" w:eastAsia="zh-CN"/>
              </w:rPr>
              <w:t>Gingivitis</w:t>
            </w:r>
          </w:p>
        </w:tc>
        <w:tc>
          <w:tcPr>
            <w:tcW w:w="1276" w:type="dxa"/>
            <w:shd w:val="clear" w:color="auto" w:fill="auto"/>
          </w:tcPr>
          <w:p w14:paraId="23C23723" w14:textId="77777777" w:rsidR="007500D4" w:rsidRPr="007500D4" w:rsidRDefault="007500D4" w:rsidP="007500D4">
            <w:pPr>
              <w:keepLines/>
              <w:tabs>
                <w:tab w:val="left" w:pos="284"/>
              </w:tabs>
              <w:autoSpaceDE/>
              <w:autoSpaceDN/>
              <w:adjustRightInd/>
              <w:spacing w:before="120" w:after="0" w:line="240" w:lineRule="auto"/>
              <w:jc w:val="center"/>
              <w:rPr>
                <w:rFonts w:ascii="Arial" w:hAnsi="Arial" w:cs="Arial"/>
                <w:sz w:val="18"/>
                <w:szCs w:val="18"/>
                <w:lang w:val="en-US" w:eastAsia="en-US"/>
              </w:rPr>
            </w:pPr>
            <w:r w:rsidRPr="007500D4">
              <w:rPr>
                <w:rFonts w:ascii="Arial" w:eastAsia="MS Mincho" w:hAnsi="Arial" w:cs="Arial"/>
                <w:color w:val="000000"/>
                <w:sz w:val="18"/>
                <w:szCs w:val="18"/>
                <w:lang w:val="en-US" w:eastAsia="zh-CN"/>
              </w:rPr>
              <w:t>10 (3.5)</w:t>
            </w:r>
          </w:p>
        </w:tc>
        <w:tc>
          <w:tcPr>
            <w:tcW w:w="1276" w:type="dxa"/>
            <w:shd w:val="clear" w:color="auto" w:fill="auto"/>
          </w:tcPr>
          <w:p w14:paraId="6CCA0910" w14:textId="77777777" w:rsidR="007500D4" w:rsidRPr="007500D4" w:rsidRDefault="007500D4" w:rsidP="007500D4">
            <w:pPr>
              <w:keepLines/>
              <w:tabs>
                <w:tab w:val="left" w:pos="284"/>
              </w:tabs>
              <w:autoSpaceDE/>
              <w:autoSpaceDN/>
              <w:adjustRightInd/>
              <w:spacing w:before="120" w:after="0" w:line="240" w:lineRule="auto"/>
              <w:jc w:val="center"/>
              <w:rPr>
                <w:rFonts w:ascii="Arial" w:hAnsi="Arial" w:cs="Arial"/>
                <w:sz w:val="18"/>
                <w:szCs w:val="18"/>
                <w:lang w:val="en-US" w:eastAsia="en-US"/>
              </w:rPr>
            </w:pPr>
            <w:r w:rsidRPr="007500D4">
              <w:rPr>
                <w:rFonts w:ascii="Arial" w:eastAsia="MS Mincho" w:hAnsi="Arial" w:cs="Arial"/>
                <w:color w:val="000000"/>
                <w:sz w:val="18"/>
                <w:szCs w:val="18"/>
                <w:lang w:val="en-US" w:eastAsia="zh-CN"/>
              </w:rPr>
              <w:t>2 (0.7)</w:t>
            </w:r>
          </w:p>
        </w:tc>
        <w:tc>
          <w:tcPr>
            <w:tcW w:w="1276" w:type="dxa"/>
            <w:shd w:val="clear" w:color="auto" w:fill="auto"/>
          </w:tcPr>
          <w:p w14:paraId="1DCA925E"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color w:val="000000"/>
                <w:sz w:val="18"/>
                <w:szCs w:val="18"/>
                <w:lang w:val="en-US" w:eastAsia="zh-CN"/>
              </w:rPr>
              <w:t>1 (0.4)</w:t>
            </w:r>
          </w:p>
        </w:tc>
        <w:tc>
          <w:tcPr>
            <w:tcW w:w="1275" w:type="dxa"/>
            <w:shd w:val="clear" w:color="auto" w:fill="auto"/>
          </w:tcPr>
          <w:p w14:paraId="7F5DD4D2"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color w:val="000000"/>
                <w:sz w:val="18"/>
                <w:szCs w:val="18"/>
                <w:lang w:val="en-US" w:eastAsia="zh-CN"/>
              </w:rPr>
              <w:t>0</w:t>
            </w:r>
          </w:p>
        </w:tc>
        <w:tc>
          <w:tcPr>
            <w:tcW w:w="1411" w:type="dxa"/>
            <w:shd w:val="clear" w:color="auto" w:fill="auto"/>
          </w:tcPr>
          <w:p w14:paraId="4DBA70BA"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color w:val="000000"/>
                <w:sz w:val="18"/>
                <w:szCs w:val="18"/>
                <w:lang w:val="en-US" w:eastAsia="zh-CN"/>
              </w:rPr>
              <w:t>Common</w:t>
            </w:r>
          </w:p>
        </w:tc>
      </w:tr>
      <w:tr w:rsidR="007500D4" w:rsidRPr="007500D4" w14:paraId="5851CB54" w14:textId="77777777" w:rsidTr="00CE5EF6">
        <w:tc>
          <w:tcPr>
            <w:tcW w:w="3037" w:type="dxa"/>
            <w:shd w:val="clear" w:color="auto" w:fill="auto"/>
            <w:vAlign w:val="center"/>
          </w:tcPr>
          <w:p w14:paraId="420220B6"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proofErr w:type="spellStart"/>
            <w:r w:rsidRPr="007500D4">
              <w:rPr>
                <w:rFonts w:ascii="Arial" w:eastAsia="MS Mincho" w:hAnsi="Arial" w:cs="Arial"/>
                <w:sz w:val="18"/>
                <w:szCs w:val="18"/>
                <w:lang w:val="en-US" w:eastAsia="zh-CN"/>
              </w:rPr>
              <w:t>Cheilitis</w:t>
            </w:r>
            <w:proofErr w:type="spellEnd"/>
          </w:p>
        </w:tc>
        <w:tc>
          <w:tcPr>
            <w:tcW w:w="1276" w:type="dxa"/>
            <w:shd w:val="clear" w:color="auto" w:fill="auto"/>
          </w:tcPr>
          <w:p w14:paraId="66ADBE02"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8 (2.8)</w:t>
            </w:r>
          </w:p>
        </w:tc>
        <w:tc>
          <w:tcPr>
            <w:tcW w:w="1276" w:type="dxa"/>
            <w:shd w:val="clear" w:color="auto" w:fill="auto"/>
          </w:tcPr>
          <w:p w14:paraId="325F2F0A"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0</w:t>
            </w:r>
          </w:p>
        </w:tc>
        <w:tc>
          <w:tcPr>
            <w:tcW w:w="1276" w:type="dxa"/>
            <w:shd w:val="clear" w:color="auto" w:fill="auto"/>
          </w:tcPr>
          <w:p w14:paraId="089C6415"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0</w:t>
            </w:r>
          </w:p>
        </w:tc>
        <w:tc>
          <w:tcPr>
            <w:tcW w:w="1275" w:type="dxa"/>
            <w:shd w:val="clear" w:color="auto" w:fill="auto"/>
          </w:tcPr>
          <w:p w14:paraId="72B83E1C"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0</w:t>
            </w:r>
          </w:p>
        </w:tc>
        <w:tc>
          <w:tcPr>
            <w:tcW w:w="1411" w:type="dxa"/>
            <w:shd w:val="clear" w:color="auto" w:fill="auto"/>
          </w:tcPr>
          <w:p w14:paraId="2133B920"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Common</w:t>
            </w:r>
          </w:p>
        </w:tc>
      </w:tr>
      <w:tr w:rsidR="007500D4" w:rsidRPr="007500D4" w14:paraId="6B335FB3" w14:textId="77777777" w:rsidTr="00CE5EF6">
        <w:tc>
          <w:tcPr>
            <w:tcW w:w="3037" w:type="dxa"/>
            <w:shd w:val="clear" w:color="auto" w:fill="auto"/>
            <w:vAlign w:val="center"/>
          </w:tcPr>
          <w:p w14:paraId="54F23306"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Gingival pain</w:t>
            </w:r>
          </w:p>
        </w:tc>
        <w:tc>
          <w:tcPr>
            <w:tcW w:w="1276" w:type="dxa"/>
            <w:shd w:val="clear" w:color="auto" w:fill="auto"/>
          </w:tcPr>
          <w:p w14:paraId="6A9C6164"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8 (2.8)</w:t>
            </w:r>
          </w:p>
        </w:tc>
        <w:tc>
          <w:tcPr>
            <w:tcW w:w="1276" w:type="dxa"/>
            <w:shd w:val="clear" w:color="auto" w:fill="auto"/>
          </w:tcPr>
          <w:p w14:paraId="0C512EF8"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0</w:t>
            </w:r>
          </w:p>
        </w:tc>
        <w:tc>
          <w:tcPr>
            <w:tcW w:w="1276" w:type="dxa"/>
            <w:shd w:val="clear" w:color="auto" w:fill="auto"/>
          </w:tcPr>
          <w:p w14:paraId="21839A51"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0</w:t>
            </w:r>
          </w:p>
        </w:tc>
        <w:tc>
          <w:tcPr>
            <w:tcW w:w="1275" w:type="dxa"/>
            <w:shd w:val="clear" w:color="auto" w:fill="auto"/>
          </w:tcPr>
          <w:p w14:paraId="50C3CE12"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0</w:t>
            </w:r>
          </w:p>
        </w:tc>
        <w:tc>
          <w:tcPr>
            <w:tcW w:w="1411" w:type="dxa"/>
            <w:shd w:val="clear" w:color="auto" w:fill="auto"/>
          </w:tcPr>
          <w:p w14:paraId="02C56EAC"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Common</w:t>
            </w:r>
          </w:p>
        </w:tc>
      </w:tr>
      <w:tr w:rsidR="007500D4" w:rsidRPr="007500D4" w14:paraId="180DFA0E" w14:textId="77777777" w:rsidTr="00CE5EF6">
        <w:tc>
          <w:tcPr>
            <w:tcW w:w="3037" w:type="dxa"/>
            <w:shd w:val="clear" w:color="auto" w:fill="auto"/>
            <w:vAlign w:val="center"/>
          </w:tcPr>
          <w:p w14:paraId="2CEB3E1B"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Pancreatitis</w:t>
            </w:r>
          </w:p>
        </w:tc>
        <w:tc>
          <w:tcPr>
            <w:tcW w:w="1276" w:type="dxa"/>
            <w:shd w:val="clear" w:color="auto" w:fill="auto"/>
          </w:tcPr>
          <w:p w14:paraId="57BA67C0"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hAnsi="Arial" w:cs="Arial"/>
                <w:sz w:val="18"/>
                <w:szCs w:val="18"/>
                <w:lang w:val="en-US" w:eastAsia="en-US"/>
              </w:rPr>
              <w:t>1 (0.4)</w:t>
            </w:r>
          </w:p>
        </w:tc>
        <w:tc>
          <w:tcPr>
            <w:tcW w:w="1276" w:type="dxa"/>
            <w:shd w:val="clear" w:color="auto" w:fill="auto"/>
          </w:tcPr>
          <w:p w14:paraId="252B17B4"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hAnsi="Arial" w:cs="Arial"/>
                <w:sz w:val="18"/>
                <w:szCs w:val="18"/>
                <w:lang w:val="en-US" w:eastAsia="en-US"/>
              </w:rPr>
              <w:t>0</w:t>
            </w:r>
          </w:p>
        </w:tc>
        <w:tc>
          <w:tcPr>
            <w:tcW w:w="1276" w:type="dxa"/>
            <w:shd w:val="clear" w:color="auto" w:fill="auto"/>
          </w:tcPr>
          <w:p w14:paraId="01391DE6"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1 (0.4)</w:t>
            </w:r>
          </w:p>
        </w:tc>
        <w:tc>
          <w:tcPr>
            <w:tcW w:w="1275" w:type="dxa"/>
            <w:shd w:val="clear" w:color="auto" w:fill="auto"/>
          </w:tcPr>
          <w:p w14:paraId="073CBB4D"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0</w:t>
            </w:r>
          </w:p>
        </w:tc>
        <w:tc>
          <w:tcPr>
            <w:tcW w:w="1411" w:type="dxa"/>
            <w:shd w:val="clear" w:color="auto" w:fill="auto"/>
          </w:tcPr>
          <w:p w14:paraId="3FEA3C09"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Uncommon</w:t>
            </w:r>
          </w:p>
        </w:tc>
      </w:tr>
      <w:tr w:rsidR="007500D4" w:rsidRPr="007500D4" w14:paraId="5C7B2A4D" w14:textId="77777777" w:rsidTr="005E2D28">
        <w:tc>
          <w:tcPr>
            <w:tcW w:w="9551" w:type="dxa"/>
            <w:gridSpan w:val="6"/>
            <w:shd w:val="clear" w:color="auto" w:fill="auto"/>
            <w:vAlign w:val="center"/>
          </w:tcPr>
          <w:p w14:paraId="6B3E9F89"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b/>
                <w:sz w:val="18"/>
                <w:szCs w:val="18"/>
                <w:lang w:val="en-US" w:eastAsia="zh-CN"/>
              </w:rPr>
            </w:pPr>
            <w:r w:rsidRPr="007500D4">
              <w:rPr>
                <w:rFonts w:ascii="Arial" w:eastAsia="MS Mincho" w:hAnsi="Arial" w:cs="Arial"/>
                <w:b/>
                <w:sz w:val="18"/>
                <w:szCs w:val="18"/>
                <w:lang w:val="en-US" w:eastAsia="zh-CN"/>
              </w:rPr>
              <w:t>General disorders and administrative site conditions</w:t>
            </w:r>
          </w:p>
        </w:tc>
      </w:tr>
      <w:tr w:rsidR="007500D4" w:rsidRPr="007500D4" w14:paraId="0EA06775" w14:textId="77777777" w:rsidTr="00CE5EF6">
        <w:tc>
          <w:tcPr>
            <w:tcW w:w="3037" w:type="dxa"/>
            <w:shd w:val="clear" w:color="auto" w:fill="auto"/>
            <w:vAlign w:val="center"/>
          </w:tcPr>
          <w:p w14:paraId="7C12BC96" w14:textId="63E8F0EC" w:rsidR="007500D4" w:rsidRPr="007500D4" w:rsidRDefault="007500D4" w:rsidP="00CE5EF6">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Fatigue</w:t>
            </w:r>
            <w:r w:rsidRPr="007500D4">
              <w:rPr>
                <w:rFonts w:ascii="Arial" w:eastAsia="MS Mincho" w:hAnsi="Arial" w:cs="Arial"/>
                <w:sz w:val="18"/>
                <w:szCs w:val="18"/>
                <w:vertAlign w:val="superscript"/>
                <w:lang w:val="en-US" w:eastAsia="zh-CN"/>
              </w:rPr>
              <w:t>2</w:t>
            </w:r>
          </w:p>
        </w:tc>
        <w:tc>
          <w:tcPr>
            <w:tcW w:w="1276" w:type="dxa"/>
            <w:shd w:val="clear" w:color="auto" w:fill="auto"/>
          </w:tcPr>
          <w:p w14:paraId="75D9C6EB" w14:textId="77777777" w:rsidR="007500D4" w:rsidRPr="007500D4" w:rsidRDefault="007500D4" w:rsidP="007500D4">
            <w:pPr>
              <w:keepLines/>
              <w:tabs>
                <w:tab w:val="left" w:pos="284"/>
              </w:tabs>
              <w:autoSpaceDE/>
              <w:autoSpaceDN/>
              <w:adjustRightInd/>
              <w:spacing w:before="120" w:after="0" w:line="240" w:lineRule="auto"/>
              <w:jc w:val="center"/>
              <w:rPr>
                <w:rFonts w:ascii="Arial" w:hAnsi="Arial" w:cs="Arial"/>
                <w:sz w:val="18"/>
                <w:szCs w:val="18"/>
                <w:lang w:val="en-US" w:eastAsia="en-US"/>
              </w:rPr>
            </w:pPr>
            <w:r w:rsidRPr="007500D4">
              <w:rPr>
                <w:rFonts w:ascii="Arial" w:eastAsia="MS Mincho" w:hAnsi="Arial" w:cs="Arial"/>
                <w:sz w:val="18"/>
                <w:szCs w:val="18"/>
                <w:lang w:val="en-US" w:eastAsia="zh-CN"/>
              </w:rPr>
              <w:t>120 (42.3)</w:t>
            </w:r>
          </w:p>
        </w:tc>
        <w:tc>
          <w:tcPr>
            <w:tcW w:w="1276" w:type="dxa"/>
            <w:shd w:val="clear" w:color="auto" w:fill="auto"/>
          </w:tcPr>
          <w:p w14:paraId="3EB10C19" w14:textId="77777777" w:rsidR="007500D4" w:rsidRPr="007500D4" w:rsidRDefault="007500D4" w:rsidP="007500D4">
            <w:pPr>
              <w:keepLines/>
              <w:tabs>
                <w:tab w:val="left" w:pos="284"/>
              </w:tabs>
              <w:autoSpaceDE/>
              <w:autoSpaceDN/>
              <w:adjustRightInd/>
              <w:spacing w:before="120" w:after="0" w:line="240" w:lineRule="auto"/>
              <w:jc w:val="center"/>
              <w:rPr>
                <w:rFonts w:ascii="Arial" w:hAnsi="Arial" w:cs="Arial"/>
                <w:sz w:val="18"/>
                <w:szCs w:val="18"/>
                <w:lang w:val="en-US" w:eastAsia="en-US"/>
              </w:rPr>
            </w:pPr>
            <w:r w:rsidRPr="007500D4">
              <w:rPr>
                <w:rFonts w:ascii="Arial" w:eastAsia="MS Mincho" w:hAnsi="Arial" w:cs="Arial"/>
                <w:sz w:val="18"/>
                <w:szCs w:val="18"/>
                <w:lang w:val="en-US" w:eastAsia="zh-CN"/>
              </w:rPr>
              <w:t>83 (28.9)</w:t>
            </w:r>
          </w:p>
        </w:tc>
        <w:tc>
          <w:tcPr>
            <w:tcW w:w="1276" w:type="dxa"/>
            <w:shd w:val="clear" w:color="auto" w:fill="auto"/>
          </w:tcPr>
          <w:p w14:paraId="2929F61F"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15 (5.3)</w:t>
            </w:r>
          </w:p>
        </w:tc>
        <w:tc>
          <w:tcPr>
            <w:tcW w:w="1275" w:type="dxa"/>
            <w:shd w:val="clear" w:color="auto" w:fill="auto"/>
          </w:tcPr>
          <w:p w14:paraId="49D3D156"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3 (1.0)</w:t>
            </w:r>
          </w:p>
        </w:tc>
        <w:tc>
          <w:tcPr>
            <w:tcW w:w="1411" w:type="dxa"/>
            <w:shd w:val="clear" w:color="auto" w:fill="auto"/>
          </w:tcPr>
          <w:p w14:paraId="5E12B46B"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Very common</w:t>
            </w:r>
          </w:p>
        </w:tc>
      </w:tr>
      <w:tr w:rsidR="007500D4" w:rsidRPr="007500D4" w14:paraId="25AA53E2" w14:textId="77777777" w:rsidTr="00CE5EF6">
        <w:tc>
          <w:tcPr>
            <w:tcW w:w="3037" w:type="dxa"/>
            <w:shd w:val="clear" w:color="auto" w:fill="auto"/>
            <w:vAlign w:val="center"/>
          </w:tcPr>
          <w:p w14:paraId="3AADAD46" w14:textId="334D443E" w:rsidR="007500D4" w:rsidRPr="007500D4" w:rsidRDefault="00CE5EF6"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Pr>
                <w:rFonts w:ascii="Arial" w:eastAsia="MS Mincho" w:hAnsi="Arial" w:cs="Arial"/>
                <w:sz w:val="18"/>
                <w:szCs w:val="18"/>
                <w:lang w:val="en-US" w:eastAsia="zh-CN"/>
              </w:rPr>
              <w:t>Mucosal inflammation</w:t>
            </w:r>
          </w:p>
        </w:tc>
        <w:tc>
          <w:tcPr>
            <w:tcW w:w="1276" w:type="dxa"/>
            <w:shd w:val="clear" w:color="auto" w:fill="auto"/>
          </w:tcPr>
          <w:p w14:paraId="33DD31FE" w14:textId="77777777" w:rsidR="007500D4" w:rsidRPr="007500D4" w:rsidRDefault="007500D4" w:rsidP="007500D4">
            <w:pPr>
              <w:keepLines/>
              <w:tabs>
                <w:tab w:val="left" w:pos="284"/>
              </w:tabs>
              <w:autoSpaceDE/>
              <w:autoSpaceDN/>
              <w:adjustRightInd/>
              <w:spacing w:before="120" w:after="0" w:line="240" w:lineRule="auto"/>
              <w:jc w:val="center"/>
              <w:rPr>
                <w:rFonts w:ascii="Arial" w:hAnsi="Arial" w:cs="Arial"/>
                <w:sz w:val="18"/>
                <w:szCs w:val="18"/>
                <w:lang w:val="en-US" w:eastAsia="en-US"/>
              </w:rPr>
            </w:pPr>
            <w:r w:rsidRPr="007500D4">
              <w:rPr>
                <w:rFonts w:ascii="Arial" w:eastAsia="MS Mincho" w:hAnsi="Arial" w:cs="Arial"/>
                <w:sz w:val="18"/>
                <w:szCs w:val="18"/>
                <w:lang w:val="en-US" w:eastAsia="zh-CN"/>
              </w:rPr>
              <w:t>54 (19.0)</w:t>
            </w:r>
          </w:p>
        </w:tc>
        <w:tc>
          <w:tcPr>
            <w:tcW w:w="1276" w:type="dxa"/>
            <w:shd w:val="clear" w:color="auto" w:fill="auto"/>
          </w:tcPr>
          <w:p w14:paraId="47D3B5C3" w14:textId="77777777" w:rsidR="007500D4" w:rsidRPr="007500D4" w:rsidRDefault="007500D4" w:rsidP="007500D4">
            <w:pPr>
              <w:keepLines/>
              <w:tabs>
                <w:tab w:val="left" w:pos="284"/>
              </w:tabs>
              <w:autoSpaceDE/>
              <w:autoSpaceDN/>
              <w:adjustRightInd/>
              <w:spacing w:before="120" w:after="0" w:line="240" w:lineRule="auto"/>
              <w:jc w:val="center"/>
              <w:rPr>
                <w:rFonts w:ascii="Arial" w:hAnsi="Arial" w:cs="Arial"/>
                <w:sz w:val="18"/>
                <w:szCs w:val="18"/>
                <w:lang w:val="en-US" w:eastAsia="en-US"/>
              </w:rPr>
            </w:pPr>
            <w:r w:rsidRPr="007500D4">
              <w:rPr>
                <w:rFonts w:ascii="Arial" w:eastAsia="MS Mincho" w:hAnsi="Arial" w:cs="Arial"/>
                <w:sz w:val="18"/>
                <w:szCs w:val="18"/>
                <w:lang w:val="en-US" w:eastAsia="zh-CN"/>
              </w:rPr>
              <w:t>3 (1.0)</w:t>
            </w:r>
          </w:p>
        </w:tc>
        <w:tc>
          <w:tcPr>
            <w:tcW w:w="1276" w:type="dxa"/>
            <w:shd w:val="clear" w:color="auto" w:fill="auto"/>
          </w:tcPr>
          <w:p w14:paraId="1FF0E78A"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6 (2.1)</w:t>
            </w:r>
          </w:p>
        </w:tc>
        <w:tc>
          <w:tcPr>
            <w:tcW w:w="1275" w:type="dxa"/>
            <w:shd w:val="clear" w:color="auto" w:fill="auto"/>
          </w:tcPr>
          <w:p w14:paraId="77EF499C"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0</w:t>
            </w:r>
          </w:p>
        </w:tc>
        <w:tc>
          <w:tcPr>
            <w:tcW w:w="1411" w:type="dxa"/>
            <w:shd w:val="clear" w:color="auto" w:fill="auto"/>
          </w:tcPr>
          <w:p w14:paraId="31E7D385"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Very common</w:t>
            </w:r>
          </w:p>
        </w:tc>
      </w:tr>
      <w:tr w:rsidR="007500D4" w:rsidRPr="007500D4" w14:paraId="4AEEC3AD" w14:textId="77777777" w:rsidTr="00CE5EF6">
        <w:tc>
          <w:tcPr>
            <w:tcW w:w="3037" w:type="dxa"/>
            <w:shd w:val="clear" w:color="auto" w:fill="auto"/>
            <w:vAlign w:val="center"/>
          </w:tcPr>
          <w:p w14:paraId="1260D248"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 xml:space="preserve">Peripheral </w:t>
            </w:r>
            <w:proofErr w:type="spellStart"/>
            <w:r w:rsidRPr="007500D4">
              <w:rPr>
                <w:rFonts w:ascii="Arial" w:eastAsia="MS Mincho" w:hAnsi="Arial" w:cs="Arial"/>
                <w:sz w:val="18"/>
                <w:szCs w:val="18"/>
                <w:lang w:val="en-US" w:eastAsia="zh-CN"/>
              </w:rPr>
              <w:t>oedema</w:t>
            </w:r>
            <w:proofErr w:type="spellEnd"/>
          </w:p>
        </w:tc>
        <w:tc>
          <w:tcPr>
            <w:tcW w:w="1276" w:type="dxa"/>
            <w:shd w:val="clear" w:color="auto" w:fill="auto"/>
          </w:tcPr>
          <w:p w14:paraId="276FCB15" w14:textId="77777777" w:rsidR="007500D4" w:rsidRPr="007500D4" w:rsidRDefault="007500D4" w:rsidP="007500D4">
            <w:pPr>
              <w:keepLines/>
              <w:tabs>
                <w:tab w:val="left" w:pos="284"/>
              </w:tabs>
              <w:autoSpaceDE/>
              <w:autoSpaceDN/>
              <w:adjustRightInd/>
              <w:spacing w:before="120" w:after="0" w:line="240" w:lineRule="auto"/>
              <w:jc w:val="center"/>
              <w:rPr>
                <w:rFonts w:ascii="Arial" w:hAnsi="Arial" w:cs="Arial"/>
                <w:sz w:val="18"/>
                <w:szCs w:val="18"/>
                <w:lang w:val="en-US" w:eastAsia="en-US"/>
              </w:rPr>
            </w:pPr>
            <w:r w:rsidRPr="007500D4">
              <w:rPr>
                <w:rFonts w:ascii="Arial" w:eastAsia="MS Mincho" w:hAnsi="Arial" w:cs="Arial"/>
                <w:sz w:val="18"/>
                <w:szCs w:val="18"/>
                <w:lang w:val="en-US" w:eastAsia="zh-CN"/>
              </w:rPr>
              <w:t>43 (15.1)</w:t>
            </w:r>
          </w:p>
        </w:tc>
        <w:tc>
          <w:tcPr>
            <w:tcW w:w="1276" w:type="dxa"/>
            <w:shd w:val="clear" w:color="auto" w:fill="auto"/>
          </w:tcPr>
          <w:p w14:paraId="06CE9D94" w14:textId="77777777" w:rsidR="007500D4" w:rsidRPr="007500D4" w:rsidRDefault="007500D4" w:rsidP="007500D4">
            <w:pPr>
              <w:keepLines/>
              <w:tabs>
                <w:tab w:val="left" w:pos="284"/>
              </w:tabs>
              <w:autoSpaceDE/>
              <w:autoSpaceDN/>
              <w:adjustRightInd/>
              <w:spacing w:before="120" w:after="0" w:line="240" w:lineRule="auto"/>
              <w:jc w:val="center"/>
              <w:rPr>
                <w:rFonts w:ascii="Arial" w:hAnsi="Arial" w:cs="Arial"/>
                <w:sz w:val="18"/>
                <w:szCs w:val="18"/>
                <w:lang w:val="en-US" w:eastAsia="en-US"/>
              </w:rPr>
            </w:pPr>
            <w:r w:rsidRPr="007500D4">
              <w:rPr>
                <w:rFonts w:ascii="Arial" w:eastAsia="MS Mincho" w:hAnsi="Arial" w:cs="Arial"/>
                <w:sz w:val="18"/>
                <w:szCs w:val="18"/>
                <w:lang w:val="en-US" w:eastAsia="zh-CN"/>
              </w:rPr>
              <w:t>15 (5.2)</w:t>
            </w:r>
          </w:p>
        </w:tc>
        <w:tc>
          <w:tcPr>
            <w:tcW w:w="1276" w:type="dxa"/>
            <w:shd w:val="clear" w:color="auto" w:fill="auto"/>
          </w:tcPr>
          <w:p w14:paraId="3F7FEC0A"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0</w:t>
            </w:r>
          </w:p>
        </w:tc>
        <w:tc>
          <w:tcPr>
            <w:tcW w:w="1275" w:type="dxa"/>
            <w:shd w:val="clear" w:color="auto" w:fill="auto"/>
          </w:tcPr>
          <w:p w14:paraId="298F1B18"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1 (0.3)</w:t>
            </w:r>
          </w:p>
        </w:tc>
        <w:tc>
          <w:tcPr>
            <w:tcW w:w="1411" w:type="dxa"/>
            <w:shd w:val="clear" w:color="auto" w:fill="auto"/>
          </w:tcPr>
          <w:p w14:paraId="720F2AED"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Very common</w:t>
            </w:r>
          </w:p>
        </w:tc>
      </w:tr>
      <w:tr w:rsidR="007500D4" w:rsidRPr="007500D4" w14:paraId="67139069" w14:textId="77777777" w:rsidTr="00CE5EF6">
        <w:tc>
          <w:tcPr>
            <w:tcW w:w="3037" w:type="dxa"/>
            <w:shd w:val="clear" w:color="auto" w:fill="auto"/>
            <w:vAlign w:val="center"/>
          </w:tcPr>
          <w:p w14:paraId="44D5AE2C"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Pyrexia</w:t>
            </w:r>
          </w:p>
        </w:tc>
        <w:tc>
          <w:tcPr>
            <w:tcW w:w="1276" w:type="dxa"/>
            <w:shd w:val="clear" w:color="auto" w:fill="auto"/>
          </w:tcPr>
          <w:p w14:paraId="54879E28" w14:textId="77777777" w:rsidR="007500D4" w:rsidRPr="007500D4" w:rsidRDefault="007500D4" w:rsidP="007500D4">
            <w:pPr>
              <w:keepLines/>
              <w:tabs>
                <w:tab w:val="left" w:pos="284"/>
              </w:tabs>
              <w:autoSpaceDE/>
              <w:autoSpaceDN/>
              <w:adjustRightInd/>
              <w:spacing w:before="120" w:after="0" w:line="240" w:lineRule="auto"/>
              <w:jc w:val="center"/>
              <w:rPr>
                <w:rFonts w:ascii="Arial" w:hAnsi="Arial" w:cs="Arial"/>
                <w:sz w:val="18"/>
                <w:szCs w:val="18"/>
                <w:lang w:val="en-US" w:eastAsia="en-US"/>
              </w:rPr>
            </w:pPr>
            <w:r w:rsidRPr="007500D4">
              <w:rPr>
                <w:rFonts w:ascii="Arial" w:hAnsi="Arial" w:cs="Arial"/>
                <w:sz w:val="18"/>
                <w:szCs w:val="18"/>
                <w:lang w:val="en-US" w:eastAsia="en-US"/>
              </w:rPr>
              <w:t>41 (14.4)</w:t>
            </w:r>
          </w:p>
        </w:tc>
        <w:tc>
          <w:tcPr>
            <w:tcW w:w="1276" w:type="dxa"/>
            <w:shd w:val="clear" w:color="auto" w:fill="auto"/>
          </w:tcPr>
          <w:p w14:paraId="71CB4C01" w14:textId="77777777" w:rsidR="007500D4" w:rsidRPr="007500D4" w:rsidRDefault="007500D4" w:rsidP="007500D4">
            <w:pPr>
              <w:keepLines/>
              <w:tabs>
                <w:tab w:val="left" w:pos="284"/>
              </w:tabs>
              <w:autoSpaceDE/>
              <w:autoSpaceDN/>
              <w:adjustRightInd/>
              <w:spacing w:before="120" w:after="0" w:line="240" w:lineRule="auto"/>
              <w:jc w:val="center"/>
              <w:rPr>
                <w:rFonts w:ascii="Arial" w:hAnsi="Arial" w:cs="Arial"/>
                <w:sz w:val="18"/>
                <w:szCs w:val="18"/>
                <w:lang w:val="en-US" w:eastAsia="en-US"/>
              </w:rPr>
            </w:pPr>
            <w:r w:rsidRPr="007500D4">
              <w:rPr>
                <w:rFonts w:ascii="Arial" w:hAnsi="Arial" w:cs="Arial"/>
                <w:sz w:val="18"/>
                <w:szCs w:val="18"/>
                <w:lang w:val="en-US" w:eastAsia="en-US"/>
              </w:rPr>
              <w:t>14 (4.9)</w:t>
            </w:r>
          </w:p>
        </w:tc>
        <w:tc>
          <w:tcPr>
            <w:tcW w:w="1276" w:type="dxa"/>
            <w:shd w:val="clear" w:color="auto" w:fill="auto"/>
          </w:tcPr>
          <w:p w14:paraId="1F2FBCA6"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2 (0.7)</w:t>
            </w:r>
          </w:p>
        </w:tc>
        <w:tc>
          <w:tcPr>
            <w:tcW w:w="1275" w:type="dxa"/>
            <w:shd w:val="clear" w:color="auto" w:fill="auto"/>
          </w:tcPr>
          <w:p w14:paraId="0564F091"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1 (0.3)</w:t>
            </w:r>
          </w:p>
        </w:tc>
        <w:tc>
          <w:tcPr>
            <w:tcW w:w="1411" w:type="dxa"/>
            <w:shd w:val="clear" w:color="auto" w:fill="auto"/>
          </w:tcPr>
          <w:p w14:paraId="0C6DB05D"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Very common</w:t>
            </w:r>
          </w:p>
        </w:tc>
      </w:tr>
      <w:tr w:rsidR="007500D4" w:rsidRPr="007500D4" w14:paraId="17CCFB24" w14:textId="77777777" w:rsidTr="00CE5EF6">
        <w:tc>
          <w:tcPr>
            <w:tcW w:w="3037" w:type="dxa"/>
            <w:shd w:val="clear" w:color="auto" w:fill="auto"/>
            <w:vAlign w:val="center"/>
          </w:tcPr>
          <w:p w14:paraId="749807EC" w14:textId="1C44AD56" w:rsidR="007500D4" w:rsidRPr="007500D4" w:rsidRDefault="007500D4" w:rsidP="00CE5EF6">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Mucosal dryness</w:t>
            </w:r>
            <w:r w:rsidRPr="007500D4">
              <w:rPr>
                <w:rFonts w:ascii="Arial" w:eastAsia="MS Mincho" w:hAnsi="Arial" w:cs="Arial"/>
                <w:sz w:val="18"/>
                <w:szCs w:val="18"/>
                <w:vertAlign w:val="superscript"/>
                <w:lang w:val="en-US" w:eastAsia="zh-CN"/>
              </w:rPr>
              <w:t>3</w:t>
            </w:r>
          </w:p>
        </w:tc>
        <w:tc>
          <w:tcPr>
            <w:tcW w:w="1276" w:type="dxa"/>
            <w:shd w:val="clear" w:color="auto" w:fill="auto"/>
          </w:tcPr>
          <w:p w14:paraId="0774EBA3" w14:textId="77777777" w:rsidR="007500D4" w:rsidRPr="007500D4" w:rsidRDefault="007500D4" w:rsidP="007500D4">
            <w:pPr>
              <w:keepLines/>
              <w:tabs>
                <w:tab w:val="left" w:pos="284"/>
              </w:tabs>
              <w:autoSpaceDE/>
              <w:autoSpaceDN/>
              <w:adjustRightInd/>
              <w:spacing w:before="120" w:after="0" w:line="240" w:lineRule="auto"/>
              <w:jc w:val="center"/>
              <w:rPr>
                <w:rFonts w:ascii="Arial" w:hAnsi="Arial" w:cs="Arial"/>
                <w:sz w:val="18"/>
                <w:szCs w:val="18"/>
                <w:lang w:val="en-US" w:eastAsia="en-US"/>
              </w:rPr>
            </w:pPr>
            <w:r w:rsidRPr="007500D4">
              <w:rPr>
                <w:rFonts w:ascii="Arial" w:eastAsia="MS Mincho" w:hAnsi="Arial" w:cs="Arial"/>
                <w:sz w:val="18"/>
                <w:szCs w:val="18"/>
                <w:lang w:val="en-US" w:eastAsia="zh-CN"/>
              </w:rPr>
              <w:t>33 (11.6)</w:t>
            </w:r>
          </w:p>
        </w:tc>
        <w:tc>
          <w:tcPr>
            <w:tcW w:w="1276" w:type="dxa"/>
            <w:shd w:val="clear" w:color="auto" w:fill="auto"/>
          </w:tcPr>
          <w:p w14:paraId="2B808C48" w14:textId="77777777" w:rsidR="007500D4" w:rsidRPr="007500D4" w:rsidRDefault="007500D4" w:rsidP="007500D4">
            <w:pPr>
              <w:keepLines/>
              <w:tabs>
                <w:tab w:val="left" w:pos="284"/>
              </w:tabs>
              <w:autoSpaceDE/>
              <w:autoSpaceDN/>
              <w:adjustRightInd/>
              <w:spacing w:before="120" w:after="0" w:line="240" w:lineRule="auto"/>
              <w:jc w:val="center"/>
              <w:rPr>
                <w:rFonts w:ascii="Arial" w:hAnsi="Arial" w:cs="Arial"/>
                <w:sz w:val="18"/>
                <w:szCs w:val="18"/>
                <w:lang w:val="en-US" w:eastAsia="en-US"/>
              </w:rPr>
            </w:pPr>
            <w:r w:rsidRPr="007500D4">
              <w:rPr>
                <w:rFonts w:ascii="Arial" w:eastAsia="MS Mincho" w:hAnsi="Arial" w:cs="Arial"/>
                <w:sz w:val="18"/>
                <w:szCs w:val="18"/>
                <w:lang w:val="en-US" w:eastAsia="zh-CN"/>
              </w:rPr>
              <w:t>12 (4.2)</w:t>
            </w:r>
          </w:p>
        </w:tc>
        <w:tc>
          <w:tcPr>
            <w:tcW w:w="1276" w:type="dxa"/>
            <w:shd w:val="clear" w:color="auto" w:fill="auto"/>
          </w:tcPr>
          <w:p w14:paraId="7D92653E"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1 (0.4)</w:t>
            </w:r>
          </w:p>
        </w:tc>
        <w:tc>
          <w:tcPr>
            <w:tcW w:w="1275" w:type="dxa"/>
            <w:shd w:val="clear" w:color="auto" w:fill="auto"/>
          </w:tcPr>
          <w:p w14:paraId="7442F97A"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0</w:t>
            </w:r>
          </w:p>
        </w:tc>
        <w:tc>
          <w:tcPr>
            <w:tcW w:w="1411" w:type="dxa"/>
            <w:shd w:val="clear" w:color="auto" w:fill="auto"/>
          </w:tcPr>
          <w:p w14:paraId="4869A432"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Very common</w:t>
            </w:r>
          </w:p>
        </w:tc>
      </w:tr>
      <w:tr w:rsidR="007500D4" w:rsidRPr="007500D4" w14:paraId="750AEB5B" w14:textId="77777777" w:rsidTr="00CE5EF6">
        <w:tc>
          <w:tcPr>
            <w:tcW w:w="3037" w:type="dxa"/>
            <w:shd w:val="clear" w:color="auto" w:fill="auto"/>
            <w:vAlign w:val="center"/>
          </w:tcPr>
          <w:p w14:paraId="2DCB59EA" w14:textId="2B28BDCB" w:rsidR="007500D4" w:rsidRPr="007500D4" w:rsidRDefault="007500D4" w:rsidP="00CE5EF6">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color w:val="000000"/>
                <w:sz w:val="18"/>
                <w:szCs w:val="18"/>
                <w:lang w:val="en-US" w:eastAsia="zh-CN"/>
              </w:rPr>
              <w:t>Oedema</w:t>
            </w:r>
            <w:r w:rsidRPr="007500D4">
              <w:rPr>
                <w:rFonts w:ascii="Arial" w:eastAsia="MS Mincho" w:hAnsi="Arial" w:cs="Arial"/>
                <w:color w:val="000000"/>
                <w:sz w:val="18"/>
                <w:szCs w:val="18"/>
                <w:vertAlign w:val="superscript"/>
                <w:lang w:val="en-US" w:eastAsia="zh-CN"/>
              </w:rPr>
              <w:t>4</w:t>
            </w:r>
          </w:p>
        </w:tc>
        <w:tc>
          <w:tcPr>
            <w:tcW w:w="1276" w:type="dxa"/>
            <w:shd w:val="clear" w:color="auto" w:fill="auto"/>
          </w:tcPr>
          <w:p w14:paraId="6D452492"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color w:val="000000"/>
                <w:sz w:val="18"/>
                <w:szCs w:val="18"/>
                <w:lang w:val="en-US" w:eastAsia="zh-CN"/>
              </w:rPr>
              <w:t>17 (6.0)</w:t>
            </w:r>
          </w:p>
        </w:tc>
        <w:tc>
          <w:tcPr>
            <w:tcW w:w="1276" w:type="dxa"/>
            <w:shd w:val="clear" w:color="auto" w:fill="auto"/>
          </w:tcPr>
          <w:p w14:paraId="1098E895"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color w:val="000000"/>
                <w:sz w:val="18"/>
                <w:szCs w:val="18"/>
                <w:lang w:val="en-US" w:eastAsia="zh-CN"/>
              </w:rPr>
              <w:t>1 (0.3)</w:t>
            </w:r>
          </w:p>
        </w:tc>
        <w:tc>
          <w:tcPr>
            <w:tcW w:w="1276" w:type="dxa"/>
            <w:shd w:val="clear" w:color="auto" w:fill="auto"/>
          </w:tcPr>
          <w:p w14:paraId="551F5333"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color w:val="000000"/>
                <w:sz w:val="18"/>
                <w:szCs w:val="18"/>
                <w:lang w:val="en-US" w:eastAsia="zh-CN"/>
              </w:rPr>
              <w:t>0</w:t>
            </w:r>
          </w:p>
        </w:tc>
        <w:tc>
          <w:tcPr>
            <w:tcW w:w="1275" w:type="dxa"/>
            <w:shd w:val="clear" w:color="auto" w:fill="auto"/>
          </w:tcPr>
          <w:p w14:paraId="2DC7B8C6"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color w:val="000000"/>
                <w:sz w:val="18"/>
                <w:szCs w:val="18"/>
                <w:lang w:val="en-US" w:eastAsia="zh-CN"/>
              </w:rPr>
              <w:t>0</w:t>
            </w:r>
          </w:p>
        </w:tc>
        <w:tc>
          <w:tcPr>
            <w:tcW w:w="1411" w:type="dxa"/>
            <w:shd w:val="clear" w:color="auto" w:fill="auto"/>
          </w:tcPr>
          <w:p w14:paraId="62085753"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color w:val="000000"/>
                <w:sz w:val="18"/>
                <w:szCs w:val="18"/>
                <w:lang w:val="en-US" w:eastAsia="zh-CN"/>
              </w:rPr>
              <w:t>Common</w:t>
            </w:r>
          </w:p>
        </w:tc>
      </w:tr>
      <w:tr w:rsidR="007500D4" w:rsidRPr="007500D4" w14:paraId="33550716" w14:textId="77777777" w:rsidTr="005E2D28">
        <w:tc>
          <w:tcPr>
            <w:tcW w:w="9551" w:type="dxa"/>
            <w:gridSpan w:val="6"/>
            <w:shd w:val="clear" w:color="auto" w:fill="auto"/>
            <w:vAlign w:val="center"/>
          </w:tcPr>
          <w:p w14:paraId="3EF40AF4"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b/>
                <w:sz w:val="18"/>
                <w:szCs w:val="18"/>
                <w:lang w:val="en-US" w:eastAsia="zh-CN"/>
              </w:rPr>
              <w:t>Immune system disorders</w:t>
            </w:r>
          </w:p>
        </w:tc>
      </w:tr>
      <w:tr w:rsidR="007500D4" w:rsidRPr="007500D4" w14:paraId="22DB8609" w14:textId="77777777" w:rsidTr="00CE5EF6">
        <w:tc>
          <w:tcPr>
            <w:tcW w:w="3037" w:type="dxa"/>
            <w:shd w:val="clear" w:color="auto" w:fill="auto"/>
            <w:vAlign w:val="center"/>
          </w:tcPr>
          <w:p w14:paraId="5FFDA5AA" w14:textId="7666F711" w:rsidR="007500D4" w:rsidRPr="007500D4" w:rsidRDefault="007500D4" w:rsidP="00CE5EF6">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Hypersensitivity</w:t>
            </w:r>
            <w:r w:rsidRPr="007500D4">
              <w:rPr>
                <w:rFonts w:ascii="Arial" w:eastAsia="MS Mincho" w:hAnsi="Arial" w:cs="Arial"/>
                <w:sz w:val="18"/>
                <w:szCs w:val="18"/>
                <w:vertAlign w:val="superscript"/>
                <w:lang w:val="en-US" w:eastAsia="zh-CN"/>
              </w:rPr>
              <w:t>5</w:t>
            </w:r>
          </w:p>
        </w:tc>
        <w:tc>
          <w:tcPr>
            <w:tcW w:w="1276" w:type="dxa"/>
            <w:shd w:val="clear" w:color="auto" w:fill="auto"/>
          </w:tcPr>
          <w:p w14:paraId="20C96053"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10 (3.5)</w:t>
            </w:r>
          </w:p>
        </w:tc>
        <w:tc>
          <w:tcPr>
            <w:tcW w:w="1276" w:type="dxa"/>
            <w:shd w:val="clear" w:color="auto" w:fill="auto"/>
          </w:tcPr>
          <w:p w14:paraId="68810367"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0</w:t>
            </w:r>
          </w:p>
        </w:tc>
        <w:tc>
          <w:tcPr>
            <w:tcW w:w="1276" w:type="dxa"/>
            <w:shd w:val="clear" w:color="auto" w:fill="auto"/>
          </w:tcPr>
          <w:p w14:paraId="386C698D"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2 (0.7)</w:t>
            </w:r>
          </w:p>
        </w:tc>
        <w:tc>
          <w:tcPr>
            <w:tcW w:w="1275" w:type="dxa"/>
            <w:shd w:val="clear" w:color="auto" w:fill="auto"/>
          </w:tcPr>
          <w:p w14:paraId="321A059D"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0</w:t>
            </w:r>
          </w:p>
        </w:tc>
        <w:tc>
          <w:tcPr>
            <w:tcW w:w="1411" w:type="dxa"/>
            <w:shd w:val="clear" w:color="auto" w:fill="auto"/>
          </w:tcPr>
          <w:p w14:paraId="2B562523"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Common</w:t>
            </w:r>
          </w:p>
        </w:tc>
      </w:tr>
      <w:tr w:rsidR="007500D4" w:rsidRPr="007500D4" w14:paraId="70C5F281" w14:textId="77777777" w:rsidTr="005E2D28">
        <w:tc>
          <w:tcPr>
            <w:tcW w:w="9551" w:type="dxa"/>
            <w:gridSpan w:val="6"/>
            <w:shd w:val="clear" w:color="auto" w:fill="auto"/>
            <w:vAlign w:val="center"/>
          </w:tcPr>
          <w:p w14:paraId="5AB1C456"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b/>
                <w:bCs/>
                <w:sz w:val="18"/>
                <w:szCs w:val="18"/>
                <w:lang w:val="en-US" w:eastAsia="zh-CN"/>
              </w:rPr>
              <w:t>Infections and infestations</w:t>
            </w:r>
          </w:p>
        </w:tc>
      </w:tr>
      <w:tr w:rsidR="007500D4" w:rsidRPr="007500D4" w14:paraId="7B8FAF24" w14:textId="77777777" w:rsidTr="00CE5EF6">
        <w:tc>
          <w:tcPr>
            <w:tcW w:w="3037" w:type="dxa"/>
            <w:shd w:val="clear" w:color="auto" w:fill="auto"/>
            <w:vAlign w:val="center"/>
          </w:tcPr>
          <w:p w14:paraId="74F521D7"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Urinary tract infection</w:t>
            </w:r>
            <w:r w:rsidRPr="007500D4">
              <w:rPr>
                <w:rFonts w:ascii="Arial" w:eastAsia="MS Mincho" w:hAnsi="Arial" w:cs="Arial"/>
                <w:sz w:val="18"/>
                <w:szCs w:val="18"/>
                <w:vertAlign w:val="superscript"/>
                <w:lang w:val="en-US" w:eastAsia="zh-CN"/>
              </w:rPr>
              <w:t>6</w:t>
            </w:r>
          </w:p>
        </w:tc>
        <w:tc>
          <w:tcPr>
            <w:tcW w:w="1276" w:type="dxa"/>
            <w:shd w:val="clear" w:color="auto" w:fill="auto"/>
          </w:tcPr>
          <w:p w14:paraId="7B20335B"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29 (10.2)</w:t>
            </w:r>
          </w:p>
        </w:tc>
        <w:tc>
          <w:tcPr>
            <w:tcW w:w="1276" w:type="dxa"/>
            <w:shd w:val="clear" w:color="auto" w:fill="auto"/>
          </w:tcPr>
          <w:p w14:paraId="1D5F2CD0"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15 (5.2)</w:t>
            </w:r>
          </w:p>
        </w:tc>
        <w:tc>
          <w:tcPr>
            <w:tcW w:w="1276" w:type="dxa"/>
            <w:shd w:val="clear" w:color="auto" w:fill="auto"/>
          </w:tcPr>
          <w:p w14:paraId="6746D9B0"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2 (0.7)</w:t>
            </w:r>
          </w:p>
        </w:tc>
        <w:tc>
          <w:tcPr>
            <w:tcW w:w="1275" w:type="dxa"/>
            <w:shd w:val="clear" w:color="auto" w:fill="auto"/>
          </w:tcPr>
          <w:p w14:paraId="241A22A2"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3 (1.0)</w:t>
            </w:r>
          </w:p>
        </w:tc>
        <w:tc>
          <w:tcPr>
            <w:tcW w:w="1411" w:type="dxa"/>
            <w:shd w:val="clear" w:color="auto" w:fill="auto"/>
          </w:tcPr>
          <w:p w14:paraId="19AF77B2"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Very common</w:t>
            </w:r>
          </w:p>
        </w:tc>
      </w:tr>
      <w:tr w:rsidR="007500D4" w:rsidRPr="007500D4" w14:paraId="566B6105" w14:textId="77777777" w:rsidTr="005E2D28">
        <w:tc>
          <w:tcPr>
            <w:tcW w:w="9551" w:type="dxa"/>
            <w:gridSpan w:val="6"/>
            <w:shd w:val="clear" w:color="auto" w:fill="auto"/>
            <w:vAlign w:val="center"/>
          </w:tcPr>
          <w:p w14:paraId="523F0338"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b/>
                <w:sz w:val="18"/>
                <w:szCs w:val="18"/>
                <w:lang w:val="en-US" w:eastAsia="zh-CN"/>
              </w:rPr>
            </w:pPr>
            <w:r w:rsidRPr="007500D4">
              <w:rPr>
                <w:rFonts w:ascii="Arial" w:eastAsia="MS Mincho" w:hAnsi="Arial" w:cs="Arial"/>
                <w:b/>
                <w:sz w:val="18"/>
                <w:szCs w:val="18"/>
                <w:lang w:val="en-US" w:eastAsia="zh-CN"/>
              </w:rPr>
              <w:t>Investigations</w:t>
            </w:r>
          </w:p>
        </w:tc>
      </w:tr>
      <w:tr w:rsidR="007500D4" w:rsidRPr="007500D4" w14:paraId="0C218CB0" w14:textId="77777777" w:rsidTr="00CE5EF6">
        <w:tc>
          <w:tcPr>
            <w:tcW w:w="3037" w:type="dxa"/>
            <w:shd w:val="clear" w:color="auto" w:fill="auto"/>
            <w:vAlign w:val="center"/>
          </w:tcPr>
          <w:p w14:paraId="7075E94F"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Weight decreased</w:t>
            </w:r>
          </w:p>
        </w:tc>
        <w:tc>
          <w:tcPr>
            <w:tcW w:w="1276" w:type="dxa"/>
            <w:shd w:val="clear" w:color="auto" w:fill="auto"/>
          </w:tcPr>
          <w:p w14:paraId="76847C7F"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76 (26.8)</w:t>
            </w:r>
          </w:p>
        </w:tc>
        <w:tc>
          <w:tcPr>
            <w:tcW w:w="1276" w:type="dxa"/>
            <w:shd w:val="clear" w:color="auto" w:fill="auto"/>
          </w:tcPr>
          <w:p w14:paraId="53A91DA1"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6 (2.1)</w:t>
            </w:r>
          </w:p>
        </w:tc>
        <w:tc>
          <w:tcPr>
            <w:tcW w:w="1276" w:type="dxa"/>
            <w:shd w:val="clear" w:color="auto" w:fill="auto"/>
          </w:tcPr>
          <w:p w14:paraId="19E28F52"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11 (3.9)</w:t>
            </w:r>
          </w:p>
        </w:tc>
        <w:tc>
          <w:tcPr>
            <w:tcW w:w="1275" w:type="dxa"/>
            <w:shd w:val="clear" w:color="auto" w:fill="auto"/>
          </w:tcPr>
          <w:p w14:paraId="23A0EA7F"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0</w:t>
            </w:r>
          </w:p>
        </w:tc>
        <w:tc>
          <w:tcPr>
            <w:tcW w:w="1411" w:type="dxa"/>
            <w:shd w:val="clear" w:color="auto" w:fill="auto"/>
          </w:tcPr>
          <w:p w14:paraId="6F50DC55"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Very common</w:t>
            </w:r>
          </w:p>
        </w:tc>
      </w:tr>
      <w:tr w:rsidR="007500D4" w:rsidRPr="007500D4" w14:paraId="106D3403" w14:textId="77777777" w:rsidTr="00CE5EF6">
        <w:tc>
          <w:tcPr>
            <w:tcW w:w="3037" w:type="dxa"/>
            <w:shd w:val="clear" w:color="auto" w:fill="auto"/>
            <w:vAlign w:val="center"/>
          </w:tcPr>
          <w:p w14:paraId="7E1EED50"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Blood creatinine increased</w:t>
            </w:r>
          </w:p>
        </w:tc>
        <w:tc>
          <w:tcPr>
            <w:tcW w:w="1276" w:type="dxa"/>
            <w:shd w:val="clear" w:color="auto" w:fill="auto"/>
          </w:tcPr>
          <w:p w14:paraId="03830ACE"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29 (10.2)</w:t>
            </w:r>
          </w:p>
        </w:tc>
        <w:tc>
          <w:tcPr>
            <w:tcW w:w="1276" w:type="dxa"/>
            <w:shd w:val="clear" w:color="auto" w:fill="auto"/>
          </w:tcPr>
          <w:p w14:paraId="55423450"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4 (1.4)</w:t>
            </w:r>
          </w:p>
        </w:tc>
        <w:tc>
          <w:tcPr>
            <w:tcW w:w="1276" w:type="dxa"/>
            <w:shd w:val="clear" w:color="auto" w:fill="auto"/>
          </w:tcPr>
          <w:p w14:paraId="67DDB2BB"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5 (1.8)</w:t>
            </w:r>
          </w:p>
        </w:tc>
        <w:tc>
          <w:tcPr>
            <w:tcW w:w="1275" w:type="dxa"/>
            <w:shd w:val="clear" w:color="auto" w:fill="auto"/>
          </w:tcPr>
          <w:p w14:paraId="3F1EAFB0"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0</w:t>
            </w:r>
          </w:p>
        </w:tc>
        <w:tc>
          <w:tcPr>
            <w:tcW w:w="1411" w:type="dxa"/>
            <w:shd w:val="clear" w:color="auto" w:fill="auto"/>
          </w:tcPr>
          <w:p w14:paraId="1746C12A"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Very common</w:t>
            </w:r>
          </w:p>
        </w:tc>
      </w:tr>
      <w:tr w:rsidR="007500D4" w:rsidRPr="007500D4" w14:paraId="584952E9" w14:textId="77777777" w:rsidTr="00CE5EF6">
        <w:tc>
          <w:tcPr>
            <w:tcW w:w="3037" w:type="dxa"/>
            <w:shd w:val="clear" w:color="auto" w:fill="auto"/>
            <w:vAlign w:val="center"/>
          </w:tcPr>
          <w:p w14:paraId="48712311"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hAnsi="Arial" w:cs="Arial"/>
                <w:sz w:val="18"/>
                <w:szCs w:val="18"/>
                <w:lang w:val="en-US" w:eastAsia="en-US"/>
              </w:rPr>
              <w:t>Gamma-</w:t>
            </w:r>
            <w:proofErr w:type="spellStart"/>
            <w:r w:rsidRPr="007500D4">
              <w:rPr>
                <w:rFonts w:ascii="Arial" w:hAnsi="Arial" w:cs="Arial"/>
                <w:sz w:val="18"/>
                <w:szCs w:val="18"/>
                <w:lang w:val="en-US" w:eastAsia="en-US"/>
              </w:rPr>
              <w:t>glutamyltransferase</w:t>
            </w:r>
            <w:proofErr w:type="spellEnd"/>
            <w:r w:rsidRPr="007500D4">
              <w:rPr>
                <w:rFonts w:ascii="Arial" w:hAnsi="Arial" w:cs="Arial"/>
                <w:sz w:val="18"/>
                <w:szCs w:val="18"/>
                <w:lang w:val="en-US" w:eastAsia="en-US"/>
              </w:rPr>
              <w:t xml:space="preserve"> increased</w:t>
            </w:r>
          </w:p>
        </w:tc>
        <w:tc>
          <w:tcPr>
            <w:tcW w:w="1276" w:type="dxa"/>
            <w:shd w:val="clear" w:color="auto" w:fill="auto"/>
          </w:tcPr>
          <w:p w14:paraId="375B240F"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hAnsi="Arial" w:cs="Arial"/>
                <w:sz w:val="18"/>
                <w:szCs w:val="18"/>
                <w:lang w:val="en-US" w:eastAsia="en-US"/>
              </w:rPr>
              <w:t>27 (9.5)</w:t>
            </w:r>
          </w:p>
        </w:tc>
        <w:tc>
          <w:tcPr>
            <w:tcW w:w="1276" w:type="dxa"/>
            <w:shd w:val="clear" w:color="auto" w:fill="auto"/>
          </w:tcPr>
          <w:p w14:paraId="3E8327F8"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hAnsi="Arial" w:cs="Arial"/>
                <w:sz w:val="18"/>
                <w:szCs w:val="18"/>
                <w:lang w:val="en-US" w:eastAsia="en-US"/>
              </w:rPr>
              <w:t>20 (7.0)</w:t>
            </w:r>
          </w:p>
        </w:tc>
        <w:tc>
          <w:tcPr>
            <w:tcW w:w="1276" w:type="dxa"/>
            <w:shd w:val="clear" w:color="auto" w:fill="auto"/>
          </w:tcPr>
          <w:p w14:paraId="48A12ABD"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11 (3.9)</w:t>
            </w:r>
          </w:p>
        </w:tc>
        <w:tc>
          <w:tcPr>
            <w:tcW w:w="1275" w:type="dxa"/>
            <w:shd w:val="clear" w:color="auto" w:fill="auto"/>
          </w:tcPr>
          <w:p w14:paraId="69F15FBC"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14 (4.9)</w:t>
            </w:r>
          </w:p>
        </w:tc>
        <w:tc>
          <w:tcPr>
            <w:tcW w:w="1411" w:type="dxa"/>
            <w:shd w:val="clear" w:color="auto" w:fill="auto"/>
          </w:tcPr>
          <w:p w14:paraId="6BF2AFA6"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Common</w:t>
            </w:r>
          </w:p>
        </w:tc>
      </w:tr>
      <w:tr w:rsidR="007500D4" w:rsidRPr="007500D4" w14:paraId="49F8EF85" w14:textId="77777777" w:rsidTr="00CE5EF6">
        <w:tc>
          <w:tcPr>
            <w:tcW w:w="3037" w:type="dxa"/>
            <w:shd w:val="clear" w:color="auto" w:fill="auto"/>
            <w:vAlign w:val="center"/>
          </w:tcPr>
          <w:p w14:paraId="0FFEAC29"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hAnsi="Arial" w:cs="Arial"/>
                <w:sz w:val="18"/>
                <w:szCs w:val="18"/>
                <w:lang w:val="en-US" w:eastAsia="en-US"/>
              </w:rPr>
              <w:t>Alanine aminotransferase increased</w:t>
            </w:r>
          </w:p>
        </w:tc>
        <w:tc>
          <w:tcPr>
            <w:tcW w:w="1276" w:type="dxa"/>
            <w:shd w:val="clear" w:color="auto" w:fill="auto"/>
          </w:tcPr>
          <w:p w14:paraId="381F4982"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hAnsi="Arial" w:cs="Arial"/>
                <w:sz w:val="18"/>
                <w:szCs w:val="18"/>
                <w:lang w:val="en-US" w:eastAsia="en-US"/>
              </w:rPr>
              <w:t>23 (8.1)</w:t>
            </w:r>
          </w:p>
        </w:tc>
        <w:tc>
          <w:tcPr>
            <w:tcW w:w="1276" w:type="dxa"/>
            <w:shd w:val="clear" w:color="auto" w:fill="auto"/>
          </w:tcPr>
          <w:p w14:paraId="2353C4F0"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hAnsi="Arial" w:cs="Arial"/>
                <w:sz w:val="18"/>
                <w:szCs w:val="18"/>
                <w:lang w:val="en-US" w:eastAsia="en-US"/>
              </w:rPr>
              <w:t>16 (5.6)</w:t>
            </w:r>
          </w:p>
        </w:tc>
        <w:tc>
          <w:tcPr>
            <w:tcW w:w="1276" w:type="dxa"/>
            <w:shd w:val="clear" w:color="auto" w:fill="auto"/>
          </w:tcPr>
          <w:p w14:paraId="5FB6F451"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7 (2.5)</w:t>
            </w:r>
          </w:p>
        </w:tc>
        <w:tc>
          <w:tcPr>
            <w:tcW w:w="1275" w:type="dxa"/>
            <w:shd w:val="clear" w:color="auto" w:fill="auto"/>
          </w:tcPr>
          <w:p w14:paraId="08C7AC0F"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6 (2.1)</w:t>
            </w:r>
          </w:p>
        </w:tc>
        <w:tc>
          <w:tcPr>
            <w:tcW w:w="1411" w:type="dxa"/>
            <w:shd w:val="clear" w:color="auto" w:fill="auto"/>
          </w:tcPr>
          <w:p w14:paraId="6F206CC0"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Common</w:t>
            </w:r>
          </w:p>
        </w:tc>
      </w:tr>
      <w:tr w:rsidR="007500D4" w:rsidRPr="007500D4" w14:paraId="696D3400" w14:textId="77777777" w:rsidTr="00CE5EF6">
        <w:tc>
          <w:tcPr>
            <w:tcW w:w="3037" w:type="dxa"/>
            <w:shd w:val="clear" w:color="auto" w:fill="auto"/>
            <w:vAlign w:val="center"/>
          </w:tcPr>
          <w:p w14:paraId="6E099F33"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hAnsi="Arial" w:cs="Arial"/>
                <w:sz w:val="18"/>
                <w:szCs w:val="18"/>
                <w:lang w:val="en-US" w:eastAsia="en-US"/>
              </w:rPr>
              <w:t>Lipase increased</w:t>
            </w:r>
          </w:p>
        </w:tc>
        <w:tc>
          <w:tcPr>
            <w:tcW w:w="1276" w:type="dxa"/>
            <w:shd w:val="clear" w:color="auto" w:fill="auto"/>
          </w:tcPr>
          <w:p w14:paraId="022D5839"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hAnsi="Arial" w:cs="Arial"/>
                <w:sz w:val="18"/>
                <w:szCs w:val="18"/>
                <w:lang w:val="en-US" w:eastAsia="en-US"/>
              </w:rPr>
              <w:t>18 (6.3)</w:t>
            </w:r>
          </w:p>
        </w:tc>
        <w:tc>
          <w:tcPr>
            <w:tcW w:w="1276" w:type="dxa"/>
            <w:shd w:val="clear" w:color="auto" w:fill="auto"/>
          </w:tcPr>
          <w:p w14:paraId="209E3D61"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hAnsi="Arial" w:cs="Arial"/>
                <w:sz w:val="18"/>
                <w:szCs w:val="18"/>
                <w:lang w:val="en-US" w:eastAsia="en-US"/>
              </w:rPr>
              <w:t>11 (3.8)</w:t>
            </w:r>
          </w:p>
        </w:tc>
        <w:tc>
          <w:tcPr>
            <w:tcW w:w="1276" w:type="dxa"/>
            <w:shd w:val="clear" w:color="auto" w:fill="auto"/>
          </w:tcPr>
          <w:p w14:paraId="71A56E55"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14 (4.9)</w:t>
            </w:r>
          </w:p>
        </w:tc>
        <w:tc>
          <w:tcPr>
            <w:tcW w:w="1275" w:type="dxa"/>
            <w:shd w:val="clear" w:color="auto" w:fill="auto"/>
          </w:tcPr>
          <w:p w14:paraId="72869748"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10 (3.5)</w:t>
            </w:r>
          </w:p>
        </w:tc>
        <w:tc>
          <w:tcPr>
            <w:tcW w:w="1411" w:type="dxa"/>
            <w:shd w:val="clear" w:color="auto" w:fill="auto"/>
          </w:tcPr>
          <w:p w14:paraId="30668E48"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Common</w:t>
            </w:r>
          </w:p>
        </w:tc>
      </w:tr>
      <w:tr w:rsidR="007500D4" w:rsidRPr="007500D4" w14:paraId="04AC005F" w14:textId="77777777" w:rsidTr="00CE5EF6">
        <w:tc>
          <w:tcPr>
            <w:tcW w:w="3037" w:type="dxa"/>
            <w:shd w:val="clear" w:color="auto" w:fill="auto"/>
            <w:vAlign w:val="center"/>
          </w:tcPr>
          <w:p w14:paraId="1D70C7A8"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hAnsi="Arial" w:cs="Arial"/>
                <w:sz w:val="18"/>
                <w:szCs w:val="18"/>
                <w:lang w:val="en-US" w:eastAsia="en-US"/>
              </w:rPr>
              <w:t xml:space="preserve">Glycosylated </w:t>
            </w:r>
            <w:proofErr w:type="spellStart"/>
            <w:r w:rsidRPr="007500D4">
              <w:rPr>
                <w:rFonts w:ascii="Arial" w:hAnsi="Arial" w:cs="Arial"/>
                <w:sz w:val="18"/>
                <w:szCs w:val="18"/>
                <w:lang w:val="en-US" w:eastAsia="en-US"/>
              </w:rPr>
              <w:t>haemoglobin</w:t>
            </w:r>
            <w:proofErr w:type="spellEnd"/>
            <w:r w:rsidRPr="007500D4">
              <w:rPr>
                <w:rFonts w:ascii="Arial" w:hAnsi="Arial" w:cs="Arial"/>
                <w:sz w:val="18"/>
                <w:szCs w:val="18"/>
                <w:lang w:val="en-US" w:eastAsia="en-US"/>
              </w:rPr>
              <w:t xml:space="preserve"> increased</w:t>
            </w:r>
          </w:p>
        </w:tc>
        <w:tc>
          <w:tcPr>
            <w:tcW w:w="1276" w:type="dxa"/>
            <w:shd w:val="clear" w:color="auto" w:fill="auto"/>
          </w:tcPr>
          <w:p w14:paraId="0AA841D7"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9 (3.2)</w:t>
            </w:r>
          </w:p>
        </w:tc>
        <w:tc>
          <w:tcPr>
            <w:tcW w:w="1276" w:type="dxa"/>
            <w:shd w:val="clear" w:color="auto" w:fill="auto"/>
          </w:tcPr>
          <w:p w14:paraId="73F2855B"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0</w:t>
            </w:r>
          </w:p>
        </w:tc>
        <w:tc>
          <w:tcPr>
            <w:tcW w:w="1276" w:type="dxa"/>
            <w:shd w:val="clear" w:color="auto" w:fill="auto"/>
          </w:tcPr>
          <w:p w14:paraId="39F2F35D"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0</w:t>
            </w:r>
          </w:p>
        </w:tc>
        <w:tc>
          <w:tcPr>
            <w:tcW w:w="1275" w:type="dxa"/>
            <w:shd w:val="clear" w:color="auto" w:fill="auto"/>
          </w:tcPr>
          <w:p w14:paraId="386F01A4"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0</w:t>
            </w:r>
          </w:p>
        </w:tc>
        <w:tc>
          <w:tcPr>
            <w:tcW w:w="1411" w:type="dxa"/>
            <w:shd w:val="clear" w:color="auto" w:fill="auto"/>
          </w:tcPr>
          <w:p w14:paraId="159EB5AA"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Common</w:t>
            </w:r>
          </w:p>
        </w:tc>
      </w:tr>
      <w:tr w:rsidR="007500D4" w:rsidRPr="007500D4" w14:paraId="1908FF87" w14:textId="77777777" w:rsidTr="005E2D28">
        <w:tc>
          <w:tcPr>
            <w:tcW w:w="9551" w:type="dxa"/>
            <w:gridSpan w:val="6"/>
            <w:shd w:val="clear" w:color="auto" w:fill="auto"/>
          </w:tcPr>
          <w:p w14:paraId="5596E62C" w14:textId="77777777" w:rsidR="007500D4" w:rsidRPr="007500D4" w:rsidRDefault="007500D4" w:rsidP="007500D4">
            <w:pPr>
              <w:keepLines/>
              <w:tabs>
                <w:tab w:val="left" w:pos="284"/>
              </w:tabs>
              <w:autoSpaceDE/>
              <w:autoSpaceDN/>
              <w:adjustRightInd/>
              <w:spacing w:before="40" w:after="20" w:line="240" w:lineRule="auto"/>
              <w:jc w:val="left"/>
              <w:rPr>
                <w:rFonts w:ascii="Arial" w:eastAsia="MS Mincho" w:hAnsi="Arial" w:cs="Arial"/>
                <w:sz w:val="18"/>
                <w:szCs w:val="18"/>
                <w:lang w:val="en-US" w:eastAsia="zh-CN"/>
              </w:rPr>
            </w:pPr>
            <w:r w:rsidRPr="007500D4">
              <w:rPr>
                <w:rFonts w:ascii="Arial" w:eastAsia="MS Mincho" w:hAnsi="Arial" w:cs="Arial"/>
                <w:b/>
                <w:bCs/>
                <w:sz w:val="18"/>
                <w:szCs w:val="18"/>
                <w:lang w:val="en-US" w:eastAsia="zh-CN"/>
              </w:rPr>
              <w:t>Metabolism and nutrition disorders</w:t>
            </w:r>
          </w:p>
        </w:tc>
      </w:tr>
      <w:tr w:rsidR="007500D4" w:rsidRPr="007500D4" w14:paraId="36E09319" w14:textId="77777777" w:rsidTr="00CE5EF6">
        <w:tc>
          <w:tcPr>
            <w:tcW w:w="3037" w:type="dxa"/>
            <w:shd w:val="clear" w:color="auto" w:fill="auto"/>
            <w:vAlign w:val="center"/>
          </w:tcPr>
          <w:p w14:paraId="093F93D8"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proofErr w:type="spellStart"/>
            <w:r w:rsidRPr="007500D4">
              <w:rPr>
                <w:rFonts w:ascii="Arial" w:eastAsia="MS Mincho" w:hAnsi="Arial" w:cs="Arial"/>
                <w:sz w:val="18"/>
                <w:szCs w:val="18"/>
                <w:lang w:val="en-US" w:eastAsia="zh-CN"/>
              </w:rPr>
              <w:t>Hyperglycaemia</w:t>
            </w:r>
            <w:proofErr w:type="spellEnd"/>
          </w:p>
        </w:tc>
        <w:tc>
          <w:tcPr>
            <w:tcW w:w="1276" w:type="dxa"/>
            <w:shd w:val="clear" w:color="auto" w:fill="auto"/>
          </w:tcPr>
          <w:p w14:paraId="671788FA"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184 (64.8)</w:t>
            </w:r>
          </w:p>
        </w:tc>
        <w:tc>
          <w:tcPr>
            <w:tcW w:w="1276" w:type="dxa"/>
            <w:shd w:val="clear" w:color="auto" w:fill="auto"/>
          </w:tcPr>
          <w:p w14:paraId="0CEED1EA"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29 (10.1)</w:t>
            </w:r>
          </w:p>
        </w:tc>
        <w:tc>
          <w:tcPr>
            <w:tcW w:w="1276" w:type="dxa"/>
            <w:shd w:val="clear" w:color="auto" w:fill="auto"/>
          </w:tcPr>
          <w:p w14:paraId="40F7B17C"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105 (37.0)</w:t>
            </w:r>
          </w:p>
        </w:tc>
        <w:tc>
          <w:tcPr>
            <w:tcW w:w="1275" w:type="dxa"/>
            <w:shd w:val="clear" w:color="auto" w:fill="auto"/>
          </w:tcPr>
          <w:p w14:paraId="7960B3B7"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2 (0.7)</w:t>
            </w:r>
          </w:p>
        </w:tc>
        <w:tc>
          <w:tcPr>
            <w:tcW w:w="1411" w:type="dxa"/>
            <w:shd w:val="clear" w:color="auto" w:fill="auto"/>
          </w:tcPr>
          <w:p w14:paraId="0DDB733D" w14:textId="77777777" w:rsidR="007500D4" w:rsidRPr="007500D4" w:rsidRDefault="007500D4" w:rsidP="002B6B22">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Very common</w:t>
            </w:r>
          </w:p>
        </w:tc>
      </w:tr>
      <w:tr w:rsidR="007500D4" w:rsidRPr="007500D4" w14:paraId="76FC1806" w14:textId="77777777" w:rsidTr="00CE5EF6">
        <w:tc>
          <w:tcPr>
            <w:tcW w:w="3037" w:type="dxa"/>
            <w:shd w:val="clear" w:color="auto" w:fill="auto"/>
            <w:vAlign w:val="center"/>
          </w:tcPr>
          <w:p w14:paraId="6077F8CD"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Decreased appetite</w:t>
            </w:r>
          </w:p>
        </w:tc>
        <w:tc>
          <w:tcPr>
            <w:tcW w:w="1276" w:type="dxa"/>
            <w:shd w:val="clear" w:color="auto" w:fill="auto"/>
          </w:tcPr>
          <w:p w14:paraId="7590BEB0"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101 (35.6)</w:t>
            </w:r>
          </w:p>
        </w:tc>
        <w:tc>
          <w:tcPr>
            <w:tcW w:w="1276" w:type="dxa"/>
            <w:shd w:val="clear" w:color="auto" w:fill="auto"/>
          </w:tcPr>
          <w:p w14:paraId="4CF06D8F"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30 (10.5)</w:t>
            </w:r>
          </w:p>
        </w:tc>
        <w:tc>
          <w:tcPr>
            <w:tcW w:w="1276" w:type="dxa"/>
            <w:shd w:val="clear" w:color="auto" w:fill="auto"/>
          </w:tcPr>
          <w:p w14:paraId="3EA7D819"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2 (0.7)</w:t>
            </w:r>
          </w:p>
        </w:tc>
        <w:tc>
          <w:tcPr>
            <w:tcW w:w="1275" w:type="dxa"/>
            <w:shd w:val="clear" w:color="auto" w:fill="auto"/>
          </w:tcPr>
          <w:p w14:paraId="481A060E"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1 (0.3)</w:t>
            </w:r>
          </w:p>
        </w:tc>
        <w:tc>
          <w:tcPr>
            <w:tcW w:w="1411" w:type="dxa"/>
            <w:shd w:val="clear" w:color="auto" w:fill="auto"/>
          </w:tcPr>
          <w:p w14:paraId="29673229" w14:textId="77777777" w:rsidR="007500D4" w:rsidRPr="007500D4" w:rsidRDefault="007500D4" w:rsidP="002B6B22">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Very common</w:t>
            </w:r>
          </w:p>
        </w:tc>
      </w:tr>
      <w:tr w:rsidR="007500D4" w:rsidRPr="007500D4" w14:paraId="538E8A07" w14:textId="77777777" w:rsidTr="00CE5EF6">
        <w:tc>
          <w:tcPr>
            <w:tcW w:w="3037" w:type="dxa"/>
            <w:shd w:val="clear" w:color="auto" w:fill="auto"/>
            <w:vAlign w:val="center"/>
          </w:tcPr>
          <w:p w14:paraId="403282CF" w14:textId="07BA4B80"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Hypokalemia</w:t>
            </w:r>
          </w:p>
        </w:tc>
        <w:tc>
          <w:tcPr>
            <w:tcW w:w="1276" w:type="dxa"/>
            <w:shd w:val="clear" w:color="auto" w:fill="auto"/>
          </w:tcPr>
          <w:p w14:paraId="6CD116F0"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28 (9.9)</w:t>
            </w:r>
          </w:p>
        </w:tc>
        <w:tc>
          <w:tcPr>
            <w:tcW w:w="1276" w:type="dxa"/>
            <w:shd w:val="clear" w:color="auto" w:fill="auto"/>
          </w:tcPr>
          <w:p w14:paraId="2C69E9ED"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5 (1.7)</w:t>
            </w:r>
          </w:p>
        </w:tc>
        <w:tc>
          <w:tcPr>
            <w:tcW w:w="1276" w:type="dxa"/>
            <w:shd w:val="clear" w:color="auto" w:fill="auto"/>
          </w:tcPr>
          <w:p w14:paraId="764002EF"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12 (4.2)</w:t>
            </w:r>
          </w:p>
        </w:tc>
        <w:tc>
          <w:tcPr>
            <w:tcW w:w="1275" w:type="dxa"/>
            <w:shd w:val="clear" w:color="auto" w:fill="auto"/>
          </w:tcPr>
          <w:p w14:paraId="10BD82DD"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1 (0.3)</w:t>
            </w:r>
          </w:p>
        </w:tc>
        <w:tc>
          <w:tcPr>
            <w:tcW w:w="1411" w:type="dxa"/>
            <w:shd w:val="clear" w:color="auto" w:fill="auto"/>
          </w:tcPr>
          <w:p w14:paraId="51520B76" w14:textId="77777777" w:rsidR="007500D4" w:rsidRPr="007500D4" w:rsidRDefault="007500D4" w:rsidP="002B6B22">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Common</w:t>
            </w:r>
          </w:p>
        </w:tc>
      </w:tr>
      <w:tr w:rsidR="007500D4" w:rsidRPr="007500D4" w14:paraId="1EE81ADF" w14:textId="77777777" w:rsidTr="00CE5EF6">
        <w:tc>
          <w:tcPr>
            <w:tcW w:w="3037" w:type="dxa"/>
            <w:shd w:val="clear" w:color="auto" w:fill="auto"/>
            <w:vAlign w:val="center"/>
          </w:tcPr>
          <w:p w14:paraId="1E52186B"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lastRenderedPageBreak/>
              <w:t>Hypocalcaemia</w:t>
            </w:r>
          </w:p>
        </w:tc>
        <w:tc>
          <w:tcPr>
            <w:tcW w:w="1276" w:type="dxa"/>
            <w:shd w:val="clear" w:color="auto" w:fill="auto"/>
          </w:tcPr>
          <w:p w14:paraId="4E7F8D99"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12 (4.2)</w:t>
            </w:r>
          </w:p>
        </w:tc>
        <w:tc>
          <w:tcPr>
            <w:tcW w:w="1276" w:type="dxa"/>
            <w:shd w:val="clear" w:color="auto" w:fill="auto"/>
          </w:tcPr>
          <w:p w14:paraId="0E68006D"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4 (1.4)</w:t>
            </w:r>
          </w:p>
        </w:tc>
        <w:tc>
          <w:tcPr>
            <w:tcW w:w="1276" w:type="dxa"/>
            <w:shd w:val="clear" w:color="auto" w:fill="auto"/>
          </w:tcPr>
          <w:p w14:paraId="46E500E8"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3 (1.1)</w:t>
            </w:r>
          </w:p>
        </w:tc>
        <w:tc>
          <w:tcPr>
            <w:tcW w:w="1275" w:type="dxa"/>
            <w:shd w:val="clear" w:color="auto" w:fill="auto"/>
          </w:tcPr>
          <w:p w14:paraId="5A609DAB"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1 (0.3)</w:t>
            </w:r>
          </w:p>
        </w:tc>
        <w:tc>
          <w:tcPr>
            <w:tcW w:w="1411" w:type="dxa"/>
            <w:shd w:val="clear" w:color="auto" w:fill="auto"/>
          </w:tcPr>
          <w:p w14:paraId="478D9DB6" w14:textId="77777777" w:rsidR="007500D4" w:rsidRPr="007500D4" w:rsidRDefault="007500D4" w:rsidP="002B6B22">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Common</w:t>
            </w:r>
          </w:p>
        </w:tc>
      </w:tr>
      <w:tr w:rsidR="007500D4" w:rsidRPr="007500D4" w14:paraId="1FA1E6B4" w14:textId="77777777" w:rsidTr="00CE5EF6">
        <w:tc>
          <w:tcPr>
            <w:tcW w:w="3037" w:type="dxa"/>
            <w:shd w:val="clear" w:color="auto" w:fill="auto"/>
            <w:vAlign w:val="center"/>
          </w:tcPr>
          <w:p w14:paraId="495BA8FD"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Dehydration</w:t>
            </w:r>
          </w:p>
        </w:tc>
        <w:tc>
          <w:tcPr>
            <w:tcW w:w="1276" w:type="dxa"/>
            <w:shd w:val="clear" w:color="auto" w:fill="auto"/>
          </w:tcPr>
          <w:p w14:paraId="5C6ED2CB"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10 (3.5)</w:t>
            </w:r>
          </w:p>
        </w:tc>
        <w:tc>
          <w:tcPr>
            <w:tcW w:w="1276" w:type="dxa"/>
            <w:shd w:val="clear" w:color="auto" w:fill="auto"/>
          </w:tcPr>
          <w:p w14:paraId="22998A44"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4 (1.4)</w:t>
            </w:r>
          </w:p>
        </w:tc>
        <w:tc>
          <w:tcPr>
            <w:tcW w:w="1276" w:type="dxa"/>
            <w:shd w:val="clear" w:color="auto" w:fill="auto"/>
          </w:tcPr>
          <w:p w14:paraId="775A2858"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1 (0.4)</w:t>
            </w:r>
          </w:p>
        </w:tc>
        <w:tc>
          <w:tcPr>
            <w:tcW w:w="1275" w:type="dxa"/>
            <w:shd w:val="clear" w:color="auto" w:fill="auto"/>
          </w:tcPr>
          <w:p w14:paraId="58CAA969"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3 (1.0)</w:t>
            </w:r>
          </w:p>
        </w:tc>
        <w:tc>
          <w:tcPr>
            <w:tcW w:w="1411" w:type="dxa"/>
            <w:shd w:val="clear" w:color="auto" w:fill="auto"/>
          </w:tcPr>
          <w:p w14:paraId="71D1FB48" w14:textId="77777777" w:rsidR="007500D4" w:rsidRPr="007500D4" w:rsidRDefault="007500D4" w:rsidP="002B6B22">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Common</w:t>
            </w:r>
          </w:p>
        </w:tc>
      </w:tr>
      <w:tr w:rsidR="007500D4" w:rsidRPr="007500D4" w14:paraId="4C175469" w14:textId="77777777" w:rsidTr="00CE5EF6">
        <w:tc>
          <w:tcPr>
            <w:tcW w:w="3037" w:type="dxa"/>
            <w:shd w:val="clear" w:color="auto" w:fill="auto"/>
            <w:vAlign w:val="center"/>
          </w:tcPr>
          <w:p w14:paraId="211C5073" w14:textId="53B6731B" w:rsidR="007500D4" w:rsidRPr="007500D4" w:rsidRDefault="007500D4" w:rsidP="00CE5EF6">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Ketoacidosis</w:t>
            </w:r>
            <w:r w:rsidRPr="007500D4">
              <w:rPr>
                <w:rFonts w:ascii="Arial" w:eastAsia="MS Mincho" w:hAnsi="Arial" w:cs="Arial"/>
                <w:sz w:val="18"/>
                <w:szCs w:val="18"/>
                <w:vertAlign w:val="superscript"/>
                <w:lang w:val="en-US" w:eastAsia="zh-CN"/>
              </w:rPr>
              <w:t>7</w:t>
            </w:r>
          </w:p>
        </w:tc>
        <w:tc>
          <w:tcPr>
            <w:tcW w:w="1276" w:type="dxa"/>
            <w:shd w:val="clear" w:color="auto" w:fill="auto"/>
          </w:tcPr>
          <w:p w14:paraId="56470313"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2 (0.7)</w:t>
            </w:r>
          </w:p>
        </w:tc>
        <w:tc>
          <w:tcPr>
            <w:tcW w:w="1276" w:type="dxa"/>
            <w:shd w:val="clear" w:color="auto" w:fill="auto"/>
          </w:tcPr>
          <w:p w14:paraId="7D4DCBB0"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0</w:t>
            </w:r>
          </w:p>
        </w:tc>
        <w:tc>
          <w:tcPr>
            <w:tcW w:w="1276" w:type="dxa"/>
            <w:shd w:val="clear" w:color="auto" w:fill="auto"/>
          </w:tcPr>
          <w:p w14:paraId="2C8C0C56"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2 (0.7)</w:t>
            </w:r>
          </w:p>
        </w:tc>
        <w:tc>
          <w:tcPr>
            <w:tcW w:w="1275" w:type="dxa"/>
            <w:shd w:val="clear" w:color="auto" w:fill="auto"/>
          </w:tcPr>
          <w:p w14:paraId="13C1FA37"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0</w:t>
            </w:r>
          </w:p>
        </w:tc>
        <w:tc>
          <w:tcPr>
            <w:tcW w:w="1411" w:type="dxa"/>
            <w:shd w:val="clear" w:color="auto" w:fill="auto"/>
          </w:tcPr>
          <w:p w14:paraId="13A8C196" w14:textId="77777777" w:rsidR="007500D4" w:rsidRPr="007500D4" w:rsidRDefault="007500D4" w:rsidP="002B6B22">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Uncommon</w:t>
            </w:r>
          </w:p>
        </w:tc>
      </w:tr>
      <w:tr w:rsidR="007500D4" w:rsidRPr="007500D4" w14:paraId="54279FD1" w14:textId="77777777" w:rsidTr="005E2D28">
        <w:tc>
          <w:tcPr>
            <w:tcW w:w="9551" w:type="dxa"/>
            <w:gridSpan w:val="6"/>
            <w:shd w:val="clear" w:color="auto" w:fill="auto"/>
            <w:vAlign w:val="center"/>
          </w:tcPr>
          <w:p w14:paraId="360E0D79"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b/>
                <w:bCs/>
                <w:sz w:val="18"/>
                <w:szCs w:val="18"/>
                <w:lang w:val="en-US" w:eastAsia="zh-CN"/>
              </w:rPr>
              <w:t>Musculoskeletal and connective tissue disorders</w:t>
            </w:r>
          </w:p>
        </w:tc>
      </w:tr>
      <w:tr w:rsidR="007500D4" w:rsidRPr="007500D4" w14:paraId="691E3DB6" w14:textId="77777777" w:rsidTr="00CE5EF6">
        <w:tc>
          <w:tcPr>
            <w:tcW w:w="3037" w:type="dxa"/>
            <w:shd w:val="clear" w:color="auto" w:fill="auto"/>
            <w:vAlign w:val="center"/>
          </w:tcPr>
          <w:p w14:paraId="0F2AEBFF"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Muscle spasms</w:t>
            </w:r>
          </w:p>
        </w:tc>
        <w:tc>
          <w:tcPr>
            <w:tcW w:w="1276" w:type="dxa"/>
            <w:shd w:val="clear" w:color="auto" w:fill="auto"/>
          </w:tcPr>
          <w:p w14:paraId="7CAC4BA8"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hAnsi="Arial" w:cs="Arial"/>
                <w:sz w:val="18"/>
                <w:szCs w:val="18"/>
                <w:lang w:val="en-US" w:eastAsia="en-US"/>
              </w:rPr>
              <w:t>19 (6.7)</w:t>
            </w:r>
          </w:p>
        </w:tc>
        <w:tc>
          <w:tcPr>
            <w:tcW w:w="1276" w:type="dxa"/>
            <w:shd w:val="clear" w:color="auto" w:fill="auto"/>
          </w:tcPr>
          <w:p w14:paraId="78DF6ACF"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hAnsi="Arial" w:cs="Arial"/>
                <w:sz w:val="18"/>
                <w:szCs w:val="18"/>
                <w:lang w:val="en-US" w:eastAsia="en-US"/>
              </w:rPr>
              <w:t>11 (3.8)</w:t>
            </w:r>
          </w:p>
        </w:tc>
        <w:tc>
          <w:tcPr>
            <w:tcW w:w="1276" w:type="dxa"/>
            <w:shd w:val="clear" w:color="auto" w:fill="auto"/>
          </w:tcPr>
          <w:p w14:paraId="2E116DED"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0</w:t>
            </w:r>
          </w:p>
        </w:tc>
        <w:tc>
          <w:tcPr>
            <w:tcW w:w="1275" w:type="dxa"/>
            <w:shd w:val="clear" w:color="auto" w:fill="auto"/>
          </w:tcPr>
          <w:p w14:paraId="6DB2F822"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0</w:t>
            </w:r>
          </w:p>
        </w:tc>
        <w:tc>
          <w:tcPr>
            <w:tcW w:w="1411" w:type="dxa"/>
            <w:shd w:val="clear" w:color="auto" w:fill="auto"/>
          </w:tcPr>
          <w:p w14:paraId="05E624CB" w14:textId="77777777" w:rsidR="007500D4" w:rsidRPr="007500D4" w:rsidRDefault="007500D4" w:rsidP="002B6B22">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Common</w:t>
            </w:r>
          </w:p>
        </w:tc>
      </w:tr>
      <w:tr w:rsidR="007500D4" w:rsidRPr="007500D4" w14:paraId="154B8952" w14:textId="77777777" w:rsidTr="00CE5EF6">
        <w:tc>
          <w:tcPr>
            <w:tcW w:w="3037" w:type="dxa"/>
            <w:shd w:val="clear" w:color="auto" w:fill="auto"/>
            <w:vAlign w:val="center"/>
          </w:tcPr>
          <w:p w14:paraId="48325146"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Myalgia</w:t>
            </w:r>
          </w:p>
        </w:tc>
        <w:tc>
          <w:tcPr>
            <w:tcW w:w="1276" w:type="dxa"/>
            <w:shd w:val="clear" w:color="auto" w:fill="auto"/>
          </w:tcPr>
          <w:p w14:paraId="4D64C252"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hAnsi="Arial" w:cs="Arial"/>
                <w:sz w:val="18"/>
                <w:szCs w:val="18"/>
                <w:lang w:val="en-US" w:eastAsia="en-US"/>
              </w:rPr>
              <w:t>19 (6.7)</w:t>
            </w:r>
          </w:p>
        </w:tc>
        <w:tc>
          <w:tcPr>
            <w:tcW w:w="1276" w:type="dxa"/>
            <w:shd w:val="clear" w:color="auto" w:fill="auto"/>
          </w:tcPr>
          <w:p w14:paraId="2D7FA01A"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hAnsi="Arial" w:cs="Arial"/>
                <w:sz w:val="18"/>
                <w:szCs w:val="18"/>
                <w:lang w:val="en-US" w:eastAsia="en-US"/>
              </w:rPr>
              <w:t>8 (2.8)</w:t>
            </w:r>
          </w:p>
        </w:tc>
        <w:tc>
          <w:tcPr>
            <w:tcW w:w="1276" w:type="dxa"/>
            <w:shd w:val="clear" w:color="auto" w:fill="auto"/>
          </w:tcPr>
          <w:p w14:paraId="142DD6E5"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1 (0.4)</w:t>
            </w:r>
          </w:p>
        </w:tc>
        <w:tc>
          <w:tcPr>
            <w:tcW w:w="1275" w:type="dxa"/>
            <w:shd w:val="clear" w:color="auto" w:fill="auto"/>
          </w:tcPr>
          <w:p w14:paraId="3D99D3AD"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0</w:t>
            </w:r>
          </w:p>
        </w:tc>
        <w:tc>
          <w:tcPr>
            <w:tcW w:w="1411" w:type="dxa"/>
            <w:shd w:val="clear" w:color="auto" w:fill="auto"/>
          </w:tcPr>
          <w:p w14:paraId="515A6E6F" w14:textId="77777777" w:rsidR="007500D4" w:rsidRPr="007500D4" w:rsidRDefault="007500D4" w:rsidP="002B6B22">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Common</w:t>
            </w:r>
          </w:p>
        </w:tc>
      </w:tr>
      <w:tr w:rsidR="007500D4" w:rsidRPr="007500D4" w14:paraId="4A473A17" w14:textId="77777777" w:rsidTr="00CE5EF6">
        <w:tc>
          <w:tcPr>
            <w:tcW w:w="3037" w:type="dxa"/>
            <w:shd w:val="clear" w:color="auto" w:fill="auto"/>
            <w:vAlign w:val="center"/>
          </w:tcPr>
          <w:p w14:paraId="0DDFBEF9" w14:textId="7582F39C" w:rsidR="007500D4" w:rsidRPr="007500D4" w:rsidRDefault="00CE5EF6"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Pr>
                <w:rFonts w:ascii="Arial" w:eastAsia="MS Mincho" w:hAnsi="Arial" w:cs="Arial"/>
                <w:sz w:val="18"/>
                <w:szCs w:val="18"/>
                <w:lang w:val="en-US" w:eastAsia="zh-CN"/>
              </w:rPr>
              <w:t>Osteonecrosis of jaw</w:t>
            </w:r>
          </w:p>
        </w:tc>
        <w:tc>
          <w:tcPr>
            <w:tcW w:w="1276" w:type="dxa"/>
            <w:shd w:val="clear" w:color="auto" w:fill="auto"/>
          </w:tcPr>
          <w:p w14:paraId="5BAE0210"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hAnsi="Arial" w:cs="Arial"/>
                <w:sz w:val="18"/>
                <w:szCs w:val="18"/>
                <w:lang w:val="en-US" w:eastAsia="en-US"/>
              </w:rPr>
              <w:t>12 (4.2)</w:t>
            </w:r>
          </w:p>
        </w:tc>
        <w:tc>
          <w:tcPr>
            <w:tcW w:w="1276" w:type="dxa"/>
            <w:shd w:val="clear" w:color="auto" w:fill="auto"/>
          </w:tcPr>
          <w:p w14:paraId="3D921513"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hAnsi="Arial" w:cs="Arial"/>
                <w:sz w:val="18"/>
                <w:szCs w:val="18"/>
                <w:lang w:val="en-US" w:eastAsia="en-US"/>
              </w:rPr>
              <w:t>4 (1.4)</w:t>
            </w:r>
          </w:p>
        </w:tc>
        <w:tc>
          <w:tcPr>
            <w:tcW w:w="1276" w:type="dxa"/>
            <w:shd w:val="clear" w:color="auto" w:fill="auto"/>
          </w:tcPr>
          <w:p w14:paraId="283F5E02"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4 (1.4)</w:t>
            </w:r>
          </w:p>
        </w:tc>
        <w:tc>
          <w:tcPr>
            <w:tcW w:w="1275" w:type="dxa"/>
            <w:shd w:val="clear" w:color="auto" w:fill="auto"/>
          </w:tcPr>
          <w:p w14:paraId="22063FFB"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2 (0.7)</w:t>
            </w:r>
          </w:p>
        </w:tc>
        <w:tc>
          <w:tcPr>
            <w:tcW w:w="1411" w:type="dxa"/>
            <w:shd w:val="clear" w:color="auto" w:fill="auto"/>
          </w:tcPr>
          <w:p w14:paraId="64D13E13" w14:textId="77777777" w:rsidR="007500D4" w:rsidRPr="007500D4" w:rsidRDefault="007500D4" w:rsidP="002B6B22">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Common</w:t>
            </w:r>
          </w:p>
        </w:tc>
      </w:tr>
      <w:tr w:rsidR="007500D4" w:rsidRPr="007500D4" w14:paraId="0959D217" w14:textId="77777777" w:rsidTr="005E2D28">
        <w:tc>
          <w:tcPr>
            <w:tcW w:w="9551" w:type="dxa"/>
            <w:gridSpan w:val="6"/>
            <w:shd w:val="clear" w:color="auto" w:fill="auto"/>
          </w:tcPr>
          <w:p w14:paraId="298C605E"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b/>
                <w:bCs/>
                <w:sz w:val="18"/>
                <w:szCs w:val="18"/>
                <w:lang w:val="en-US" w:eastAsia="zh-CN"/>
              </w:rPr>
            </w:pPr>
            <w:r w:rsidRPr="007500D4">
              <w:rPr>
                <w:rFonts w:ascii="Arial" w:eastAsia="MS Mincho" w:hAnsi="Arial" w:cs="Arial"/>
                <w:b/>
                <w:bCs/>
                <w:sz w:val="18"/>
                <w:szCs w:val="18"/>
                <w:lang w:val="en-US" w:eastAsia="zh-CN"/>
              </w:rPr>
              <w:t>Nervous system disorders</w:t>
            </w:r>
          </w:p>
        </w:tc>
      </w:tr>
      <w:tr w:rsidR="007500D4" w:rsidRPr="007500D4" w14:paraId="0EB43A03" w14:textId="77777777" w:rsidTr="00CE5EF6">
        <w:tc>
          <w:tcPr>
            <w:tcW w:w="3037" w:type="dxa"/>
            <w:shd w:val="clear" w:color="auto" w:fill="auto"/>
            <w:vAlign w:val="center"/>
          </w:tcPr>
          <w:p w14:paraId="55DD6AF6" w14:textId="5854B33E" w:rsidR="007500D4" w:rsidRPr="007500D4" w:rsidRDefault="00CE5EF6"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Pr>
                <w:rFonts w:ascii="Arial" w:eastAsia="MS Mincho" w:hAnsi="Arial" w:cs="Arial"/>
                <w:sz w:val="18"/>
                <w:szCs w:val="18"/>
                <w:lang w:val="en-US" w:eastAsia="zh-CN"/>
              </w:rPr>
              <w:t>Headache</w:t>
            </w:r>
          </w:p>
        </w:tc>
        <w:tc>
          <w:tcPr>
            <w:tcW w:w="1276" w:type="dxa"/>
            <w:shd w:val="clear" w:color="auto" w:fill="auto"/>
          </w:tcPr>
          <w:p w14:paraId="2A5D3875"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51 (18.0)</w:t>
            </w:r>
          </w:p>
        </w:tc>
        <w:tc>
          <w:tcPr>
            <w:tcW w:w="1276" w:type="dxa"/>
            <w:shd w:val="clear" w:color="auto" w:fill="auto"/>
          </w:tcPr>
          <w:p w14:paraId="554BB938"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38 (13.2)</w:t>
            </w:r>
          </w:p>
        </w:tc>
        <w:tc>
          <w:tcPr>
            <w:tcW w:w="1276" w:type="dxa"/>
            <w:shd w:val="clear" w:color="auto" w:fill="auto"/>
          </w:tcPr>
          <w:p w14:paraId="550D7594"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2 (0.7)</w:t>
            </w:r>
          </w:p>
        </w:tc>
        <w:tc>
          <w:tcPr>
            <w:tcW w:w="1275" w:type="dxa"/>
            <w:shd w:val="clear" w:color="auto" w:fill="auto"/>
          </w:tcPr>
          <w:p w14:paraId="00649F9D"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0</w:t>
            </w:r>
          </w:p>
        </w:tc>
        <w:tc>
          <w:tcPr>
            <w:tcW w:w="1411" w:type="dxa"/>
            <w:shd w:val="clear" w:color="auto" w:fill="auto"/>
          </w:tcPr>
          <w:p w14:paraId="2F4BEC47"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Very common</w:t>
            </w:r>
          </w:p>
        </w:tc>
      </w:tr>
      <w:tr w:rsidR="007500D4" w:rsidRPr="007500D4" w14:paraId="366343D6" w14:textId="77777777" w:rsidTr="00CE5EF6">
        <w:tc>
          <w:tcPr>
            <w:tcW w:w="3037" w:type="dxa"/>
            <w:shd w:val="clear" w:color="auto" w:fill="auto"/>
            <w:vAlign w:val="center"/>
          </w:tcPr>
          <w:p w14:paraId="33223B44" w14:textId="698B39EB" w:rsidR="007500D4" w:rsidRPr="007500D4" w:rsidRDefault="007500D4" w:rsidP="00CE5EF6">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Dysgeusia</w:t>
            </w:r>
            <w:r w:rsidRPr="007500D4">
              <w:rPr>
                <w:rFonts w:ascii="Arial" w:eastAsia="MS Mincho" w:hAnsi="Arial" w:cs="Arial"/>
                <w:sz w:val="18"/>
                <w:szCs w:val="18"/>
                <w:vertAlign w:val="superscript"/>
                <w:lang w:val="en-US" w:eastAsia="zh-CN"/>
              </w:rPr>
              <w:t>8</w:t>
            </w:r>
          </w:p>
        </w:tc>
        <w:tc>
          <w:tcPr>
            <w:tcW w:w="1276" w:type="dxa"/>
            <w:shd w:val="clear" w:color="auto" w:fill="auto"/>
          </w:tcPr>
          <w:p w14:paraId="43485FB1"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51 (18.0)</w:t>
            </w:r>
          </w:p>
        </w:tc>
        <w:tc>
          <w:tcPr>
            <w:tcW w:w="1276" w:type="dxa"/>
            <w:shd w:val="clear" w:color="auto" w:fill="auto"/>
          </w:tcPr>
          <w:p w14:paraId="4A8BE7C9"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10 (3.5)</w:t>
            </w:r>
          </w:p>
        </w:tc>
        <w:tc>
          <w:tcPr>
            <w:tcW w:w="1276" w:type="dxa"/>
            <w:shd w:val="clear" w:color="auto" w:fill="auto"/>
          </w:tcPr>
          <w:p w14:paraId="7447E5BB"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1 (0.4)</w:t>
            </w:r>
          </w:p>
        </w:tc>
        <w:tc>
          <w:tcPr>
            <w:tcW w:w="1275" w:type="dxa"/>
            <w:shd w:val="clear" w:color="auto" w:fill="auto"/>
          </w:tcPr>
          <w:p w14:paraId="05451D5D"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0</w:t>
            </w:r>
          </w:p>
        </w:tc>
        <w:tc>
          <w:tcPr>
            <w:tcW w:w="1411" w:type="dxa"/>
            <w:shd w:val="clear" w:color="auto" w:fill="auto"/>
          </w:tcPr>
          <w:p w14:paraId="478437F3"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Very common</w:t>
            </w:r>
          </w:p>
        </w:tc>
      </w:tr>
      <w:tr w:rsidR="007500D4" w:rsidRPr="007500D4" w14:paraId="2010508B" w14:textId="77777777" w:rsidTr="005E2D28">
        <w:tc>
          <w:tcPr>
            <w:tcW w:w="9551" w:type="dxa"/>
            <w:gridSpan w:val="6"/>
            <w:shd w:val="clear" w:color="auto" w:fill="auto"/>
            <w:vAlign w:val="center"/>
          </w:tcPr>
          <w:p w14:paraId="192E4B6D"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b/>
                <w:sz w:val="18"/>
                <w:szCs w:val="18"/>
                <w:lang w:val="en-US" w:eastAsia="zh-CN"/>
              </w:rPr>
              <w:t>Psychiatric disorders</w:t>
            </w:r>
          </w:p>
        </w:tc>
      </w:tr>
      <w:tr w:rsidR="007500D4" w:rsidRPr="007500D4" w14:paraId="37EF4847" w14:textId="77777777" w:rsidTr="00CE5EF6">
        <w:tc>
          <w:tcPr>
            <w:tcW w:w="3037" w:type="dxa"/>
            <w:shd w:val="clear" w:color="auto" w:fill="auto"/>
            <w:vAlign w:val="center"/>
          </w:tcPr>
          <w:p w14:paraId="2CEEA3F6"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Insomnia</w:t>
            </w:r>
          </w:p>
        </w:tc>
        <w:tc>
          <w:tcPr>
            <w:tcW w:w="1276" w:type="dxa"/>
            <w:shd w:val="clear" w:color="auto" w:fill="auto"/>
          </w:tcPr>
          <w:p w14:paraId="5A14E86F"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21 (7.4)</w:t>
            </w:r>
          </w:p>
        </w:tc>
        <w:tc>
          <w:tcPr>
            <w:tcW w:w="1276" w:type="dxa"/>
            <w:shd w:val="clear" w:color="auto" w:fill="auto"/>
          </w:tcPr>
          <w:p w14:paraId="6F25E2E2"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12 (4.2)</w:t>
            </w:r>
          </w:p>
        </w:tc>
        <w:tc>
          <w:tcPr>
            <w:tcW w:w="1276" w:type="dxa"/>
            <w:shd w:val="clear" w:color="auto" w:fill="auto"/>
          </w:tcPr>
          <w:p w14:paraId="1B7DDBE9"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0</w:t>
            </w:r>
          </w:p>
        </w:tc>
        <w:tc>
          <w:tcPr>
            <w:tcW w:w="1275" w:type="dxa"/>
            <w:shd w:val="clear" w:color="auto" w:fill="auto"/>
          </w:tcPr>
          <w:p w14:paraId="466A2B06"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0</w:t>
            </w:r>
          </w:p>
        </w:tc>
        <w:tc>
          <w:tcPr>
            <w:tcW w:w="1411" w:type="dxa"/>
            <w:shd w:val="clear" w:color="auto" w:fill="auto"/>
          </w:tcPr>
          <w:p w14:paraId="7201538D" w14:textId="77777777" w:rsidR="007500D4" w:rsidRPr="007500D4" w:rsidRDefault="007500D4" w:rsidP="002B6B22">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Common</w:t>
            </w:r>
          </w:p>
        </w:tc>
      </w:tr>
      <w:tr w:rsidR="007500D4" w:rsidRPr="007500D4" w14:paraId="36F5EF8C" w14:textId="77777777" w:rsidTr="005E2D28">
        <w:tc>
          <w:tcPr>
            <w:tcW w:w="9551" w:type="dxa"/>
            <w:gridSpan w:val="6"/>
            <w:shd w:val="clear" w:color="auto" w:fill="auto"/>
          </w:tcPr>
          <w:p w14:paraId="71B48F9A"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b/>
                <w:bCs/>
                <w:sz w:val="18"/>
                <w:szCs w:val="18"/>
                <w:lang w:val="en-US" w:eastAsia="zh-CN"/>
              </w:rPr>
            </w:pPr>
            <w:r w:rsidRPr="007500D4">
              <w:rPr>
                <w:rFonts w:ascii="Arial" w:eastAsia="MS Mincho" w:hAnsi="Arial" w:cs="Arial"/>
                <w:b/>
                <w:bCs/>
                <w:sz w:val="18"/>
                <w:szCs w:val="18"/>
                <w:lang w:val="en-US" w:eastAsia="zh-CN"/>
              </w:rPr>
              <w:t>Renal and Urinary disorders</w:t>
            </w:r>
          </w:p>
        </w:tc>
      </w:tr>
      <w:tr w:rsidR="007500D4" w:rsidRPr="007500D4" w14:paraId="537AB32E" w14:textId="77777777" w:rsidTr="00CE5EF6">
        <w:tc>
          <w:tcPr>
            <w:tcW w:w="3037" w:type="dxa"/>
            <w:shd w:val="clear" w:color="auto" w:fill="auto"/>
            <w:vAlign w:val="center"/>
          </w:tcPr>
          <w:p w14:paraId="13F39738"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Acute kidney injury</w:t>
            </w:r>
          </w:p>
        </w:tc>
        <w:tc>
          <w:tcPr>
            <w:tcW w:w="1276" w:type="dxa"/>
            <w:shd w:val="clear" w:color="auto" w:fill="auto"/>
          </w:tcPr>
          <w:p w14:paraId="02FCEC28" w14:textId="77777777" w:rsidR="007500D4" w:rsidRPr="007500D4" w:rsidRDefault="007500D4" w:rsidP="007500D4">
            <w:pPr>
              <w:keepLines/>
              <w:tabs>
                <w:tab w:val="left" w:pos="284"/>
              </w:tabs>
              <w:autoSpaceDE/>
              <w:autoSpaceDN/>
              <w:adjustRightInd/>
              <w:spacing w:before="120" w:after="0" w:line="240" w:lineRule="auto"/>
              <w:jc w:val="center"/>
              <w:rPr>
                <w:rFonts w:ascii="Arial" w:hAnsi="Arial" w:cs="Arial"/>
                <w:sz w:val="18"/>
                <w:szCs w:val="18"/>
                <w:lang w:val="en-US" w:eastAsia="en-US"/>
              </w:rPr>
            </w:pPr>
            <w:r w:rsidRPr="007500D4">
              <w:rPr>
                <w:rFonts w:ascii="Arial" w:hAnsi="Arial" w:cs="Arial"/>
                <w:sz w:val="18"/>
                <w:szCs w:val="18"/>
                <w:lang w:val="en-US" w:eastAsia="en-US"/>
              </w:rPr>
              <w:t>15 (5.3)</w:t>
            </w:r>
          </w:p>
        </w:tc>
        <w:tc>
          <w:tcPr>
            <w:tcW w:w="1276" w:type="dxa"/>
            <w:shd w:val="clear" w:color="auto" w:fill="auto"/>
          </w:tcPr>
          <w:p w14:paraId="3BFC5F79" w14:textId="77777777" w:rsidR="007500D4" w:rsidRPr="007500D4" w:rsidRDefault="007500D4" w:rsidP="007500D4">
            <w:pPr>
              <w:keepLines/>
              <w:tabs>
                <w:tab w:val="left" w:pos="284"/>
              </w:tabs>
              <w:autoSpaceDE/>
              <w:autoSpaceDN/>
              <w:adjustRightInd/>
              <w:spacing w:before="120" w:after="0" w:line="240" w:lineRule="auto"/>
              <w:jc w:val="center"/>
              <w:rPr>
                <w:rFonts w:ascii="Arial" w:hAnsi="Arial" w:cs="Arial"/>
                <w:sz w:val="18"/>
                <w:szCs w:val="18"/>
                <w:lang w:val="en-US" w:eastAsia="en-US"/>
              </w:rPr>
            </w:pPr>
            <w:r w:rsidRPr="007500D4">
              <w:rPr>
                <w:rFonts w:ascii="Arial" w:hAnsi="Arial" w:cs="Arial"/>
                <w:sz w:val="18"/>
                <w:szCs w:val="18"/>
                <w:lang w:val="en-US" w:eastAsia="en-US"/>
              </w:rPr>
              <w:t>2 (0.7)</w:t>
            </w:r>
          </w:p>
        </w:tc>
        <w:tc>
          <w:tcPr>
            <w:tcW w:w="1276" w:type="dxa"/>
            <w:shd w:val="clear" w:color="auto" w:fill="auto"/>
          </w:tcPr>
          <w:p w14:paraId="5BE76D7D"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5 (1.8)</w:t>
            </w:r>
          </w:p>
        </w:tc>
        <w:tc>
          <w:tcPr>
            <w:tcW w:w="1275" w:type="dxa"/>
            <w:shd w:val="clear" w:color="auto" w:fill="auto"/>
          </w:tcPr>
          <w:p w14:paraId="58603EA8"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1 (0.3)</w:t>
            </w:r>
          </w:p>
        </w:tc>
        <w:tc>
          <w:tcPr>
            <w:tcW w:w="1411" w:type="dxa"/>
            <w:shd w:val="clear" w:color="auto" w:fill="auto"/>
          </w:tcPr>
          <w:p w14:paraId="7F50A299" w14:textId="77777777" w:rsidR="007500D4" w:rsidRPr="007500D4" w:rsidRDefault="007500D4" w:rsidP="002B6B22">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Common</w:t>
            </w:r>
          </w:p>
        </w:tc>
      </w:tr>
      <w:tr w:rsidR="007500D4" w:rsidRPr="007500D4" w14:paraId="0D0E0EC3" w14:textId="77777777" w:rsidTr="005E2D28">
        <w:tc>
          <w:tcPr>
            <w:tcW w:w="9551" w:type="dxa"/>
            <w:gridSpan w:val="6"/>
            <w:shd w:val="clear" w:color="auto" w:fill="auto"/>
            <w:vAlign w:val="center"/>
          </w:tcPr>
          <w:p w14:paraId="2538BF42"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b/>
                <w:sz w:val="18"/>
                <w:szCs w:val="18"/>
                <w:lang w:val="en-US" w:eastAsia="zh-CN"/>
              </w:rPr>
              <w:t>Respiratory, thoracic and mediastinal disorders</w:t>
            </w:r>
          </w:p>
        </w:tc>
      </w:tr>
      <w:tr w:rsidR="007500D4" w:rsidRPr="007500D4" w14:paraId="7FF79314" w14:textId="77777777" w:rsidTr="00CE5EF6">
        <w:tc>
          <w:tcPr>
            <w:tcW w:w="3037" w:type="dxa"/>
            <w:shd w:val="clear" w:color="auto" w:fill="auto"/>
            <w:vAlign w:val="center"/>
          </w:tcPr>
          <w:p w14:paraId="6F5902C3" w14:textId="3EBF96FF" w:rsidR="007500D4" w:rsidRPr="007500D4" w:rsidRDefault="007500D4" w:rsidP="00CE5EF6">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Pneumonitis</w:t>
            </w:r>
            <w:r w:rsidRPr="007500D4">
              <w:rPr>
                <w:rFonts w:ascii="Arial" w:eastAsia="MS Mincho" w:hAnsi="Arial" w:cs="Arial"/>
                <w:sz w:val="18"/>
                <w:szCs w:val="18"/>
                <w:vertAlign w:val="superscript"/>
                <w:lang w:val="en-US" w:eastAsia="zh-CN"/>
              </w:rPr>
              <w:t>9</w:t>
            </w:r>
          </w:p>
        </w:tc>
        <w:tc>
          <w:tcPr>
            <w:tcW w:w="1276" w:type="dxa"/>
            <w:shd w:val="clear" w:color="auto" w:fill="auto"/>
            <w:vAlign w:val="center"/>
          </w:tcPr>
          <w:p w14:paraId="44CBEE52" w14:textId="77777777" w:rsidR="007500D4" w:rsidRPr="007500D4" w:rsidRDefault="007500D4" w:rsidP="007500D4">
            <w:pPr>
              <w:keepLines/>
              <w:tabs>
                <w:tab w:val="left" w:pos="284"/>
              </w:tabs>
              <w:autoSpaceDE/>
              <w:autoSpaceDN/>
              <w:adjustRightInd/>
              <w:spacing w:before="120" w:after="0" w:line="240" w:lineRule="auto"/>
              <w:jc w:val="center"/>
              <w:rPr>
                <w:rFonts w:ascii="Arial" w:hAnsi="Arial" w:cs="Arial"/>
                <w:sz w:val="18"/>
                <w:szCs w:val="18"/>
                <w:lang w:val="en-US" w:eastAsia="en-US"/>
              </w:rPr>
            </w:pPr>
            <w:r w:rsidRPr="007500D4">
              <w:rPr>
                <w:rFonts w:ascii="Arial" w:hAnsi="Arial" w:cs="Arial"/>
                <w:sz w:val="18"/>
                <w:szCs w:val="18"/>
                <w:lang w:val="en-US" w:eastAsia="en-US"/>
              </w:rPr>
              <w:t>5 (1.8)</w:t>
            </w:r>
          </w:p>
        </w:tc>
        <w:tc>
          <w:tcPr>
            <w:tcW w:w="1276" w:type="dxa"/>
            <w:shd w:val="clear" w:color="auto" w:fill="auto"/>
            <w:vAlign w:val="center"/>
          </w:tcPr>
          <w:p w14:paraId="5E82A6D0" w14:textId="77777777" w:rsidR="007500D4" w:rsidRPr="007500D4" w:rsidRDefault="007500D4" w:rsidP="007500D4">
            <w:pPr>
              <w:keepLines/>
              <w:tabs>
                <w:tab w:val="left" w:pos="284"/>
              </w:tabs>
              <w:autoSpaceDE/>
              <w:autoSpaceDN/>
              <w:adjustRightInd/>
              <w:spacing w:before="120" w:after="0" w:line="240" w:lineRule="auto"/>
              <w:jc w:val="center"/>
              <w:rPr>
                <w:rFonts w:ascii="Arial" w:hAnsi="Arial" w:cs="Arial"/>
                <w:sz w:val="18"/>
                <w:szCs w:val="18"/>
                <w:lang w:val="en-US" w:eastAsia="en-US"/>
              </w:rPr>
            </w:pPr>
            <w:r w:rsidRPr="007500D4">
              <w:rPr>
                <w:rFonts w:ascii="Arial" w:hAnsi="Arial" w:cs="Arial"/>
                <w:sz w:val="18"/>
                <w:szCs w:val="18"/>
                <w:lang w:val="en-US" w:eastAsia="en-US"/>
              </w:rPr>
              <w:t>1 (0.3)</w:t>
            </w:r>
          </w:p>
        </w:tc>
        <w:tc>
          <w:tcPr>
            <w:tcW w:w="1276" w:type="dxa"/>
            <w:shd w:val="clear" w:color="auto" w:fill="auto"/>
          </w:tcPr>
          <w:p w14:paraId="55467066"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1 (0.4)</w:t>
            </w:r>
          </w:p>
        </w:tc>
        <w:tc>
          <w:tcPr>
            <w:tcW w:w="1275" w:type="dxa"/>
            <w:shd w:val="clear" w:color="auto" w:fill="auto"/>
          </w:tcPr>
          <w:p w14:paraId="0A52D60B"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1 (0.3)</w:t>
            </w:r>
          </w:p>
        </w:tc>
        <w:tc>
          <w:tcPr>
            <w:tcW w:w="1411" w:type="dxa"/>
            <w:shd w:val="clear" w:color="auto" w:fill="auto"/>
            <w:vAlign w:val="center"/>
          </w:tcPr>
          <w:p w14:paraId="26EA276F" w14:textId="77777777" w:rsidR="007500D4" w:rsidRPr="007500D4" w:rsidRDefault="007500D4" w:rsidP="002B6B22">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Common</w:t>
            </w:r>
          </w:p>
        </w:tc>
      </w:tr>
      <w:tr w:rsidR="007500D4" w:rsidRPr="007500D4" w14:paraId="3E4FF44E" w14:textId="77777777" w:rsidTr="005E2D28">
        <w:tc>
          <w:tcPr>
            <w:tcW w:w="9551" w:type="dxa"/>
            <w:gridSpan w:val="6"/>
            <w:shd w:val="clear" w:color="auto" w:fill="auto"/>
          </w:tcPr>
          <w:p w14:paraId="57D26A96"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b/>
                <w:bCs/>
                <w:sz w:val="18"/>
                <w:szCs w:val="18"/>
                <w:lang w:val="en-US" w:eastAsia="zh-CN"/>
              </w:rPr>
            </w:pPr>
            <w:r w:rsidRPr="007500D4">
              <w:rPr>
                <w:rFonts w:ascii="Arial" w:eastAsia="MS Mincho" w:hAnsi="Arial" w:cs="Arial"/>
                <w:b/>
                <w:bCs/>
                <w:sz w:val="18"/>
                <w:szCs w:val="18"/>
                <w:lang w:val="en-US" w:eastAsia="zh-CN"/>
              </w:rPr>
              <w:t>Skin and subcutaneous tissue disorders</w:t>
            </w:r>
          </w:p>
        </w:tc>
      </w:tr>
      <w:tr w:rsidR="007500D4" w:rsidRPr="007500D4" w14:paraId="299F2E9F" w14:textId="77777777" w:rsidTr="00CE5EF6">
        <w:tc>
          <w:tcPr>
            <w:tcW w:w="3037" w:type="dxa"/>
            <w:shd w:val="clear" w:color="auto" w:fill="auto"/>
            <w:vAlign w:val="center"/>
          </w:tcPr>
          <w:p w14:paraId="1C5C18D3" w14:textId="2C9FBD6C"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Rash</w:t>
            </w:r>
            <w:r w:rsidRPr="007500D4">
              <w:rPr>
                <w:rFonts w:ascii="Arial" w:eastAsia="MS Mincho" w:hAnsi="Arial" w:cs="Arial"/>
                <w:sz w:val="18"/>
                <w:szCs w:val="18"/>
                <w:vertAlign w:val="superscript"/>
                <w:lang w:val="en-US" w:eastAsia="zh-CN"/>
              </w:rPr>
              <w:t>10</w:t>
            </w:r>
          </w:p>
        </w:tc>
        <w:tc>
          <w:tcPr>
            <w:tcW w:w="1276" w:type="dxa"/>
            <w:shd w:val="clear" w:color="auto" w:fill="auto"/>
          </w:tcPr>
          <w:p w14:paraId="14310AE1"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147 (51.8)</w:t>
            </w:r>
          </w:p>
        </w:tc>
        <w:tc>
          <w:tcPr>
            <w:tcW w:w="1276" w:type="dxa"/>
            <w:shd w:val="clear" w:color="auto" w:fill="auto"/>
          </w:tcPr>
          <w:p w14:paraId="387B245E"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21 (7.3)</w:t>
            </w:r>
          </w:p>
        </w:tc>
        <w:tc>
          <w:tcPr>
            <w:tcW w:w="1276" w:type="dxa"/>
            <w:shd w:val="clear" w:color="auto" w:fill="auto"/>
          </w:tcPr>
          <w:p w14:paraId="672F00B0"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56 (19.7)</w:t>
            </w:r>
          </w:p>
        </w:tc>
        <w:tc>
          <w:tcPr>
            <w:tcW w:w="1275" w:type="dxa"/>
            <w:shd w:val="clear" w:color="auto" w:fill="auto"/>
          </w:tcPr>
          <w:p w14:paraId="113A5847"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1 (0.3)</w:t>
            </w:r>
          </w:p>
        </w:tc>
        <w:tc>
          <w:tcPr>
            <w:tcW w:w="1411" w:type="dxa"/>
            <w:shd w:val="clear" w:color="auto" w:fill="auto"/>
          </w:tcPr>
          <w:p w14:paraId="06594455" w14:textId="77777777" w:rsidR="007500D4" w:rsidRPr="007500D4" w:rsidRDefault="007500D4" w:rsidP="00CE5EF6">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Very common</w:t>
            </w:r>
          </w:p>
        </w:tc>
      </w:tr>
      <w:tr w:rsidR="007500D4" w:rsidRPr="007500D4" w14:paraId="3DAF624D" w14:textId="77777777" w:rsidTr="00CE5EF6">
        <w:tc>
          <w:tcPr>
            <w:tcW w:w="3037" w:type="dxa"/>
            <w:shd w:val="clear" w:color="auto" w:fill="auto"/>
            <w:vAlign w:val="center"/>
          </w:tcPr>
          <w:p w14:paraId="5ACC5703"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Alopecia</w:t>
            </w:r>
          </w:p>
        </w:tc>
        <w:tc>
          <w:tcPr>
            <w:tcW w:w="1276" w:type="dxa"/>
            <w:shd w:val="clear" w:color="auto" w:fill="auto"/>
          </w:tcPr>
          <w:p w14:paraId="6C32F257"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56 (19.7)</w:t>
            </w:r>
          </w:p>
        </w:tc>
        <w:tc>
          <w:tcPr>
            <w:tcW w:w="1276" w:type="dxa"/>
            <w:shd w:val="clear" w:color="auto" w:fill="auto"/>
          </w:tcPr>
          <w:p w14:paraId="7987F527"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7 (2.4)</w:t>
            </w:r>
          </w:p>
        </w:tc>
        <w:tc>
          <w:tcPr>
            <w:tcW w:w="1276" w:type="dxa"/>
            <w:shd w:val="clear" w:color="auto" w:fill="auto"/>
          </w:tcPr>
          <w:p w14:paraId="6FD4DB9E"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0</w:t>
            </w:r>
          </w:p>
        </w:tc>
        <w:tc>
          <w:tcPr>
            <w:tcW w:w="1275" w:type="dxa"/>
            <w:shd w:val="clear" w:color="auto" w:fill="auto"/>
          </w:tcPr>
          <w:p w14:paraId="53FA1F61"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0</w:t>
            </w:r>
          </w:p>
        </w:tc>
        <w:tc>
          <w:tcPr>
            <w:tcW w:w="1411" w:type="dxa"/>
            <w:shd w:val="clear" w:color="auto" w:fill="auto"/>
          </w:tcPr>
          <w:p w14:paraId="3D92A421" w14:textId="77777777" w:rsidR="007500D4" w:rsidRPr="007500D4" w:rsidRDefault="007500D4" w:rsidP="002B6B22">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Very common</w:t>
            </w:r>
          </w:p>
        </w:tc>
      </w:tr>
      <w:tr w:rsidR="007500D4" w:rsidRPr="007500D4" w14:paraId="12EAC043" w14:textId="77777777" w:rsidTr="00CE5EF6">
        <w:tc>
          <w:tcPr>
            <w:tcW w:w="3037" w:type="dxa"/>
            <w:shd w:val="clear" w:color="auto" w:fill="auto"/>
            <w:vAlign w:val="center"/>
          </w:tcPr>
          <w:p w14:paraId="0C5AF56C"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Pruritus</w:t>
            </w:r>
          </w:p>
        </w:tc>
        <w:tc>
          <w:tcPr>
            <w:tcW w:w="1276" w:type="dxa"/>
            <w:shd w:val="clear" w:color="auto" w:fill="auto"/>
          </w:tcPr>
          <w:p w14:paraId="1885F4B9" w14:textId="77777777" w:rsidR="007500D4" w:rsidRPr="007500D4" w:rsidRDefault="007500D4" w:rsidP="007500D4">
            <w:pPr>
              <w:keepLines/>
              <w:tabs>
                <w:tab w:val="left" w:pos="284"/>
              </w:tabs>
              <w:autoSpaceDE/>
              <w:autoSpaceDN/>
              <w:adjustRightInd/>
              <w:spacing w:before="120" w:after="0" w:line="240" w:lineRule="auto"/>
              <w:jc w:val="center"/>
              <w:rPr>
                <w:rFonts w:ascii="Arial" w:hAnsi="Arial" w:cs="Arial"/>
                <w:sz w:val="18"/>
                <w:szCs w:val="18"/>
                <w:lang w:val="en-US" w:eastAsia="en-US"/>
              </w:rPr>
            </w:pPr>
            <w:r w:rsidRPr="007500D4">
              <w:rPr>
                <w:rFonts w:ascii="Arial" w:hAnsi="Arial" w:cs="Arial"/>
                <w:sz w:val="18"/>
                <w:szCs w:val="18"/>
                <w:lang w:val="en-US" w:eastAsia="en-US"/>
              </w:rPr>
              <w:t>52 (18.3)</w:t>
            </w:r>
          </w:p>
        </w:tc>
        <w:tc>
          <w:tcPr>
            <w:tcW w:w="1276" w:type="dxa"/>
            <w:shd w:val="clear" w:color="auto" w:fill="auto"/>
          </w:tcPr>
          <w:p w14:paraId="660A116E" w14:textId="77777777" w:rsidR="007500D4" w:rsidRPr="007500D4" w:rsidRDefault="007500D4" w:rsidP="007500D4">
            <w:pPr>
              <w:keepLines/>
              <w:tabs>
                <w:tab w:val="left" w:pos="284"/>
              </w:tabs>
              <w:autoSpaceDE/>
              <w:autoSpaceDN/>
              <w:adjustRightInd/>
              <w:spacing w:before="120" w:after="0" w:line="240" w:lineRule="auto"/>
              <w:jc w:val="center"/>
              <w:rPr>
                <w:rFonts w:ascii="Arial" w:hAnsi="Arial" w:cs="Arial"/>
                <w:sz w:val="18"/>
                <w:szCs w:val="18"/>
                <w:lang w:val="en-US" w:eastAsia="en-US"/>
              </w:rPr>
            </w:pPr>
            <w:r w:rsidRPr="007500D4">
              <w:rPr>
                <w:rFonts w:ascii="Arial" w:hAnsi="Arial" w:cs="Arial"/>
                <w:sz w:val="18"/>
                <w:szCs w:val="18"/>
                <w:lang w:val="en-US" w:eastAsia="en-US"/>
              </w:rPr>
              <w:t>17 (5.9)</w:t>
            </w:r>
          </w:p>
        </w:tc>
        <w:tc>
          <w:tcPr>
            <w:tcW w:w="1276" w:type="dxa"/>
            <w:shd w:val="clear" w:color="auto" w:fill="auto"/>
          </w:tcPr>
          <w:p w14:paraId="2B4B99F4"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2 (0.7)</w:t>
            </w:r>
          </w:p>
        </w:tc>
        <w:tc>
          <w:tcPr>
            <w:tcW w:w="1275" w:type="dxa"/>
            <w:shd w:val="clear" w:color="auto" w:fill="auto"/>
          </w:tcPr>
          <w:p w14:paraId="0E5DFC30"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0</w:t>
            </w:r>
          </w:p>
        </w:tc>
        <w:tc>
          <w:tcPr>
            <w:tcW w:w="1411" w:type="dxa"/>
            <w:shd w:val="clear" w:color="auto" w:fill="auto"/>
          </w:tcPr>
          <w:p w14:paraId="46A0690C" w14:textId="77777777" w:rsidR="007500D4" w:rsidRPr="007500D4" w:rsidRDefault="007500D4" w:rsidP="002B6B22">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Very common</w:t>
            </w:r>
          </w:p>
        </w:tc>
      </w:tr>
      <w:tr w:rsidR="007500D4" w:rsidRPr="007500D4" w14:paraId="5176F6D1" w14:textId="77777777" w:rsidTr="00CE5EF6">
        <w:tc>
          <w:tcPr>
            <w:tcW w:w="3037" w:type="dxa"/>
            <w:shd w:val="clear" w:color="auto" w:fill="auto"/>
            <w:vAlign w:val="center"/>
          </w:tcPr>
          <w:p w14:paraId="52DE8814" w14:textId="0FD3D440" w:rsidR="007500D4" w:rsidRPr="007500D4" w:rsidRDefault="007500D4" w:rsidP="00CE5EF6">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Dry skin</w:t>
            </w:r>
            <w:r w:rsidRPr="007500D4">
              <w:rPr>
                <w:rFonts w:ascii="Arial" w:eastAsia="MS Mincho" w:hAnsi="Arial" w:cs="Arial"/>
                <w:sz w:val="18"/>
                <w:szCs w:val="18"/>
                <w:vertAlign w:val="superscript"/>
                <w:lang w:val="en-US" w:eastAsia="zh-CN"/>
              </w:rPr>
              <w:t>11</w:t>
            </w:r>
          </w:p>
        </w:tc>
        <w:tc>
          <w:tcPr>
            <w:tcW w:w="1276" w:type="dxa"/>
            <w:shd w:val="clear" w:color="auto" w:fill="auto"/>
          </w:tcPr>
          <w:p w14:paraId="3E175AE1" w14:textId="77777777" w:rsidR="007500D4" w:rsidRPr="007500D4" w:rsidRDefault="007500D4" w:rsidP="007500D4">
            <w:pPr>
              <w:keepLines/>
              <w:tabs>
                <w:tab w:val="left" w:pos="284"/>
              </w:tabs>
              <w:autoSpaceDE/>
              <w:autoSpaceDN/>
              <w:adjustRightInd/>
              <w:spacing w:before="120" w:after="0" w:line="240" w:lineRule="auto"/>
              <w:jc w:val="center"/>
              <w:rPr>
                <w:rFonts w:ascii="Arial" w:hAnsi="Arial" w:cs="Arial"/>
                <w:sz w:val="18"/>
                <w:szCs w:val="18"/>
                <w:lang w:val="en-US" w:eastAsia="en-US"/>
              </w:rPr>
            </w:pPr>
            <w:r w:rsidRPr="007500D4">
              <w:rPr>
                <w:rFonts w:ascii="Arial" w:hAnsi="Arial" w:cs="Arial"/>
                <w:sz w:val="18"/>
                <w:szCs w:val="18"/>
                <w:lang w:val="en-US" w:eastAsia="en-US"/>
              </w:rPr>
              <w:t>51 (18.0)</w:t>
            </w:r>
          </w:p>
        </w:tc>
        <w:tc>
          <w:tcPr>
            <w:tcW w:w="1276" w:type="dxa"/>
            <w:shd w:val="clear" w:color="auto" w:fill="auto"/>
          </w:tcPr>
          <w:p w14:paraId="21064DFF" w14:textId="77777777" w:rsidR="007500D4" w:rsidRPr="007500D4" w:rsidRDefault="007500D4" w:rsidP="007500D4">
            <w:pPr>
              <w:keepLines/>
              <w:tabs>
                <w:tab w:val="left" w:pos="284"/>
              </w:tabs>
              <w:autoSpaceDE/>
              <w:autoSpaceDN/>
              <w:adjustRightInd/>
              <w:spacing w:before="120" w:after="0" w:line="240" w:lineRule="auto"/>
              <w:jc w:val="center"/>
              <w:rPr>
                <w:rFonts w:ascii="Arial" w:hAnsi="Arial" w:cs="Arial"/>
                <w:sz w:val="18"/>
                <w:szCs w:val="18"/>
                <w:lang w:val="en-US" w:eastAsia="en-US"/>
              </w:rPr>
            </w:pPr>
            <w:r w:rsidRPr="007500D4">
              <w:rPr>
                <w:rFonts w:ascii="Arial" w:hAnsi="Arial" w:cs="Arial"/>
                <w:sz w:val="18"/>
                <w:szCs w:val="18"/>
                <w:lang w:val="en-US" w:eastAsia="en-US"/>
              </w:rPr>
              <w:t>11 (3.8)</w:t>
            </w:r>
          </w:p>
        </w:tc>
        <w:tc>
          <w:tcPr>
            <w:tcW w:w="1276" w:type="dxa"/>
            <w:shd w:val="clear" w:color="auto" w:fill="auto"/>
          </w:tcPr>
          <w:p w14:paraId="09EAE477"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1 (0.4)</w:t>
            </w:r>
          </w:p>
        </w:tc>
        <w:tc>
          <w:tcPr>
            <w:tcW w:w="1275" w:type="dxa"/>
            <w:shd w:val="clear" w:color="auto" w:fill="auto"/>
          </w:tcPr>
          <w:p w14:paraId="134B5EE2"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0</w:t>
            </w:r>
          </w:p>
        </w:tc>
        <w:tc>
          <w:tcPr>
            <w:tcW w:w="1411" w:type="dxa"/>
            <w:shd w:val="clear" w:color="auto" w:fill="auto"/>
          </w:tcPr>
          <w:p w14:paraId="4D83B9AD" w14:textId="77777777" w:rsidR="007500D4" w:rsidRPr="007500D4" w:rsidRDefault="007500D4" w:rsidP="002B6B22">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Very common</w:t>
            </w:r>
          </w:p>
        </w:tc>
      </w:tr>
      <w:tr w:rsidR="007500D4" w:rsidRPr="007500D4" w14:paraId="39633AD8" w14:textId="77777777" w:rsidTr="00CE5EF6">
        <w:tc>
          <w:tcPr>
            <w:tcW w:w="3037" w:type="dxa"/>
            <w:shd w:val="clear" w:color="auto" w:fill="auto"/>
            <w:vAlign w:val="center"/>
          </w:tcPr>
          <w:p w14:paraId="5BE78904" w14:textId="79E8791E" w:rsidR="007500D4" w:rsidRPr="007500D4" w:rsidRDefault="007500D4" w:rsidP="00CE5EF6">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Erythema</w:t>
            </w:r>
            <w:r w:rsidRPr="007500D4">
              <w:rPr>
                <w:rFonts w:ascii="Arial" w:eastAsia="MS Mincho" w:hAnsi="Arial" w:cs="Arial"/>
                <w:sz w:val="18"/>
                <w:szCs w:val="18"/>
                <w:vertAlign w:val="superscript"/>
                <w:lang w:val="en-US" w:eastAsia="zh-CN"/>
              </w:rPr>
              <w:t>12</w:t>
            </w:r>
          </w:p>
        </w:tc>
        <w:tc>
          <w:tcPr>
            <w:tcW w:w="1276" w:type="dxa"/>
            <w:shd w:val="clear" w:color="auto" w:fill="auto"/>
          </w:tcPr>
          <w:p w14:paraId="5C80372B" w14:textId="77777777" w:rsidR="007500D4" w:rsidRPr="007500D4" w:rsidRDefault="007500D4" w:rsidP="007500D4">
            <w:pPr>
              <w:keepLines/>
              <w:tabs>
                <w:tab w:val="left" w:pos="284"/>
              </w:tabs>
              <w:autoSpaceDE/>
              <w:autoSpaceDN/>
              <w:adjustRightInd/>
              <w:spacing w:before="120" w:after="0" w:line="240" w:lineRule="auto"/>
              <w:jc w:val="center"/>
              <w:rPr>
                <w:rFonts w:ascii="Arial" w:hAnsi="Arial" w:cs="Arial"/>
                <w:sz w:val="18"/>
                <w:szCs w:val="18"/>
                <w:lang w:val="en-US" w:eastAsia="en-US"/>
              </w:rPr>
            </w:pPr>
            <w:r w:rsidRPr="007500D4">
              <w:rPr>
                <w:rFonts w:ascii="Arial" w:hAnsi="Arial" w:cs="Arial"/>
                <w:sz w:val="18"/>
                <w:szCs w:val="18"/>
                <w:lang w:val="en-US" w:eastAsia="en-US"/>
              </w:rPr>
              <w:t>17 (6.0)</w:t>
            </w:r>
          </w:p>
        </w:tc>
        <w:tc>
          <w:tcPr>
            <w:tcW w:w="1276" w:type="dxa"/>
            <w:shd w:val="clear" w:color="auto" w:fill="auto"/>
          </w:tcPr>
          <w:p w14:paraId="3DD148DC" w14:textId="77777777" w:rsidR="007500D4" w:rsidRPr="007500D4" w:rsidRDefault="007500D4" w:rsidP="007500D4">
            <w:pPr>
              <w:keepLines/>
              <w:tabs>
                <w:tab w:val="left" w:pos="284"/>
              </w:tabs>
              <w:autoSpaceDE/>
              <w:autoSpaceDN/>
              <w:adjustRightInd/>
              <w:spacing w:before="120" w:after="0" w:line="240" w:lineRule="auto"/>
              <w:jc w:val="center"/>
              <w:rPr>
                <w:rFonts w:ascii="Arial" w:hAnsi="Arial" w:cs="Arial"/>
                <w:sz w:val="18"/>
                <w:szCs w:val="18"/>
                <w:lang w:val="en-US" w:eastAsia="en-US"/>
              </w:rPr>
            </w:pPr>
            <w:r w:rsidRPr="007500D4">
              <w:rPr>
                <w:rFonts w:ascii="Arial" w:hAnsi="Arial" w:cs="Arial"/>
                <w:sz w:val="18"/>
                <w:szCs w:val="18"/>
                <w:lang w:val="en-US" w:eastAsia="en-US"/>
              </w:rPr>
              <w:t>2 (0.7)</w:t>
            </w:r>
          </w:p>
        </w:tc>
        <w:tc>
          <w:tcPr>
            <w:tcW w:w="1276" w:type="dxa"/>
            <w:shd w:val="clear" w:color="auto" w:fill="auto"/>
          </w:tcPr>
          <w:p w14:paraId="20E4EA67"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2 (0.7)</w:t>
            </w:r>
          </w:p>
        </w:tc>
        <w:tc>
          <w:tcPr>
            <w:tcW w:w="1275" w:type="dxa"/>
            <w:shd w:val="clear" w:color="auto" w:fill="auto"/>
          </w:tcPr>
          <w:p w14:paraId="09013A07"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0</w:t>
            </w:r>
          </w:p>
        </w:tc>
        <w:tc>
          <w:tcPr>
            <w:tcW w:w="1411" w:type="dxa"/>
            <w:shd w:val="clear" w:color="auto" w:fill="auto"/>
          </w:tcPr>
          <w:p w14:paraId="0F1BD266" w14:textId="77777777" w:rsidR="007500D4" w:rsidRPr="007500D4" w:rsidRDefault="007500D4" w:rsidP="002B6B22">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Common</w:t>
            </w:r>
          </w:p>
        </w:tc>
      </w:tr>
      <w:tr w:rsidR="007500D4" w:rsidRPr="007500D4" w14:paraId="004B8E90" w14:textId="77777777" w:rsidTr="00CE5EF6">
        <w:tc>
          <w:tcPr>
            <w:tcW w:w="3037" w:type="dxa"/>
            <w:shd w:val="clear" w:color="auto" w:fill="auto"/>
            <w:vAlign w:val="center"/>
          </w:tcPr>
          <w:p w14:paraId="2ED53541" w14:textId="5C41D3A8" w:rsidR="007500D4" w:rsidRPr="007500D4" w:rsidRDefault="007500D4" w:rsidP="00CE5EF6">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Dermatitis</w:t>
            </w:r>
            <w:r w:rsidRPr="007500D4">
              <w:rPr>
                <w:rFonts w:ascii="Arial" w:eastAsia="MS Mincho" w:hAnsi="Arial" w:cs="Arial"/>
                <w:sz w:val="18"/>
                <w:szCs w:val="18"/>
                <w:vertAlign w:val="superscript"/>
                <w:lang w:val="en-US" w:eastAsia="zh-CN"/>
              </w:rPr>
              <w:t>13</w:t>
            </w:r>
          </w:p>
        </w:tc>
        <w:tc>
          <w:tcPr>
            <w:tcW w:w="1276" w:type="dxa"/>
            <w:shd w:val="clear" w:color="auto" w:fill="auto"/>
          </w:tcPr>
          <w:p w14:paraId="4468CEB6" w14:textId="77777777" w:rsidR="007500D4" w:rsidRPr="007500D4" w:rsidRDefault="007500D4" w:rsidP="007500D4">
            <w:pPr>
              <w:keepLines/>
              <w:tabs>
                <w:tab w:val="left" w:pos="284"/>
              </w:tabs>
              <w:autoSpaceDE/>
              <w:autoSpaceDN/>
              <w:adjustRightInd/>
              <w:spacing w:before="120" w:after="0" w:line="240" w:lineRule="auto"/>
              <w:jc w:val="center"/>
              <w:rPr>
                <w:rFonts w:ascii="Arial" w:hAnsi="Arial" w:cs="Arial"/>
                <w:sz w:val="18"/>
                <w:szCs w:val="18"/>
                <w:lang w:val="en-US" w:eastAsia="en-US"/>
              </w:rPr>
            </w:pPr>
            <w:r w:rsidRPr="007500D4">
              <w:rPr>
                <w:rFonts w:ascii="Arial" w:hAnsi="Arial" w:cs="Arial"/>
                <w:sz w:val="18"/>
                <w:szCs w:val="18"/>
                <w:lang w:val="en-US" w:eastAsia="en-US"/>
              </w:rPr>
              <w:t>10 (3.5)</w:t>
            </w:r>
          </w:p>
        </w:tc>
        <w:tc>
          <w:tcPr>
            <w:tcW w:w="1276" w:type="dxa"/>
            <w:shd w:val="clear" w:color="auto" w:fill="auto"/>
          </w:tcPr>
          <w:p w14:paraId="03CEFCA1" w14:textId="77777777" w:rsidR="007500D4" w:rsidRPr="007500D4" w:rsidRDefault="007500D4" w:rsidP="007500D4">
            <w:pPr>
              <w:keepLines/>
              <w:tabs>
                <w:tab w:val="left" w:pos="284"/>
              </w:tabs>
              <w:autoSpaceDE/>
              <w:autoSpaceDN/>
              <w:adjustRightInd/>
              <w:spacing w:before="120" w:after="0" w:line="240" w:lineRule="auto"/>
              <w:jc w:val="center"/>
              <w:rPr>
                <w:rFonts w:ascii="Arial" w:hAnsi="Arial" w:cs="Arial"/>
                <w:sz w:val="18"/>
                <w:szCs w:val="18"/>
                <w:lang w:val="en-US" w:eastAsia="en-US"/>
              </w:rPr>
            </w:pPr>
            <w:r w:rsidRPr="007500D4">
              <w:rPr>
                <w:rFonts w:ascii="Arial" w:hAnsi="Arial" w:cs="Arial"/>
                <w:sz w:val="18"/>
                <w:szCs w:val="18"/>
                <w:lang w:val="en-US" w:eastAsia="en-US"/>
              </w:rPr>
              <w:t>3 (1.0)</w:t>
            </w:r>
          </w:p>
        </w:tc>
        <w:tc>
          <w:tcPr>
            <w:tcW w:w="1276" w:type="dxa"/>
            <w:shd w:val="clear" w:color="auto" w:fill="auto"/>
          </w:tcPr>
          <w:p w14:paraId="36BE5E2B"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2 (0.7)</w:t>
            </w:r>
          </w:p>
        </w:tc>
        <w:tc>
          <w:tcPr>
            <w:tcW w:w="1275" w:type="dxa"/>
            <w:shd w:val="clear" w:color="auto" w:fill="auto"/>
          </w:tcPr>
          <w:p w14:paraId="402F5B82"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0</w:t>
            </w:r>
          </w:p>
        </w:tc>
        <w:tc>
          <w:tcPr>
            <w:tcW w:w="1411" w:type="dxa"/>
            <w:shd w:val="clear" w:color="auto" w:fill="auto"/>
          </w:tcPr>
          <w:p w14:paraId="73D6536E" w14:textId="77777777" w:rsidR="007500D4" w:rsidRPr="007500D4" w:rsidRDefault="007500D4" w:rsidP="002B6B22">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Common</w:t>
            </w:r>
          </w:p>
        </w:tc>
      </w:tr>
      <w:tr w:rsidR="007500D4" w:rsidRPr="007500D4" w14:paraId="455E941E" w14:textId="77777777" w:rsidTr="00CE5EF6">
        <w:tc>
          <w:tcPr>
            <w:tcW w:w="3037" w:type="dxa"/>
            <w:shd w:val="clear" w:color="auto" w:fill="auto"/>
            <w:vAlign w:val="center"/>
          </w:tcPr>
          <w:p w14:paraId="6DA8D77E"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 xml:space="preserve">Palmar-plantar </w:t>
            </w:r>
            <w:proofErr w:type="spellStart"/>
            <w:r w:rsidRPr="007500D4">
              <w:rPr>
                <w:rFonts w:ascii="Arial" w:eastAsia="MS Mincho" w:hAnsi="Arial" w:cs="Arial"/>
                <w:sz w:val="18"/>
                <w:szCs w:val="18"/>
                <w:lang w:val="en-US" w:eastAsia="zh-CN"/>
              </w:rPr>
              <w:t>erythrodysaesthesia</w:t>
            </w:r>
            <w:proofErr w:type="spellEnd"/>
            <w:r w:rsidRPr="007500D4">
              <w:rPr>
                <w:rFonts w:ascii="Arial" w:eastAsia="MS Mincho" w:hAnsi="Arial" w:cs="Arial"/>
                <w:sz w:val="18"/>
                <w:szCs w:val="18"/>
                <w:lang w:val="en-US" w:eastAsia="zh-CN"/>
              </w:rPr>
              <w:t xml:space="preserve"> syndrome</w:t>
            </w:r>
          </w:p>
        </w:tc>
        <w:tc>
          <w:tcPr>
            <w:tcW w:w="1276" w:type="dxa"/>
            <w:shd w:val="clear" w:color="auto" w:fill="auto"/>
          </w:tcPr>
          <w:p w14:paraId="015FEAEC"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5 (1.8)</w:t>
            </w:r>
          </w:p>
        </w:tc>
        <w:tc>
          <w:tcPr>
            <w:tcW w:w="1276" w:type="dxa"/>
            <w:shd w:val="clear" w:color="auto" w:fill="auto"/>
          </w:tcPr>
          <w:p w14:paraId="57C4220B"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1 (0.3)</w:t>
            </w:r>
          </w:p>
        </w:tc>
        <w:tc>
          <w:tcPr>
            <w:tcW w:w="1276" w:type="dxa"/>
            <w:shd w:val="clear" w:color="auto" w:fill="auto"/>
          </w:tcPr>
          <w:p w14:paraId="1A5AF6B0"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0</w:t>
            </w:r>
          </w:p>
        </w:tc>
        <w:tc>
          <w:tcPr>
            <w:tcW w:w="1275" w:type="dxa"/>
            <w:shd w:val="clear" w:color="auto" w:fill="auto"/>
          </w:tcPr>
          <w:p w14:paraId="2EB67217"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0</w:t>
            </w:r>
          </w:p>
        </w:tc>
        <w:tc>
          <w:tcPr>
            <w:tcW w:w="1411" w:type="dxa"/>
            <w:shd w:val="clear" w:color="auto" w:fill="auto"/>
          </w:tcPr>
          <w:p w14:paraId="2843A004" w14:textId="77777777" w:rsidR="007500D4" w:rsidRPr="007500D4" w:rsidRDefault="007500D4" w:rsidP="002B6B22">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Common</w:t>
            </w:r>
          </w:p>
        </w:tc>
      </w:tr>
      <w:tr w:rsidR="007500D4" w:rsidRPr="007500D4" w14:paraId="1C52D5B7" w14:textId="77777777" w:rsidTr="00CE5EF6">
        <w:tc>
          <w:tcPr>
            <w:tcW w:w="3037" w:type="dxa"/>
            <w:shd w:val="clear" w:color="auto" w:fill="auto"/>
            <w:vAlign w:val="center"/>
          </w:tcPr>
          <w:p w14:paraId="5865147F"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 xml:space="preserve">Erythema </w:t>
            </w:r>
            <w:proofErr w:type="spellStart"/>
            <w:r w:rsidRPr="007500D4">
              <w:rPr>
                <w:rFonts w:ascii="Arial" w:eastAsia="MS Mincho" w:hAnsi="Arial" w:cs="Arial"/>
                <w:sz w:val="18"/>
                <w:szCs w:val="18"/>
                <w:lang w:val="en-US" w:eastAsia="zh-CN"/>
              </w:rPr>
              <w:t>multiforme</w:t>
            </w:r>
            <w:proofErr w:type="spellEnd"/>
          </w:p>
        </w:tc>
        <w:tc>
          <w:tcPr>
            <w:tcW w:w="1276" w:type="dxa"/>
            <w:shd w:val="clear" w:color="auto" w:fill="auto"/>
          </w:tcPr>
          <w:p w14:paraId="38D01E8F"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3 (1.1)</w:t>
            </w:r>
          </w:p>
        </w:tc>
        <w:tc>
          <w:tcPr>
            <w:tcW w:w="1276" w:type="dxa"/>
            <w:shd w:val="clear" w:color="auto" w:fill="auto"/>
          </w:tcPr>
          <w:p w14:paraId="2331264C"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0</w:t>
            </w:r>
          </w:p>
        </w:tc>
        <w:tc>
          <w:tcPr>
            <w:tcW w:w="1276" w:type="dxa"/>
            <w:shd w:val="clear" w:color="auto" w:fill="auto"/>
          </w:tcPr>
          <w:p w14:paraId="2F96FCFD"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2 (0.7)</w:t>
            </w:r>
          </w:p>
        </w:tc>
        <w:tc>
          <w:tcPr>
            <w:tcW w:w="1275" w:type="dxa"/>
            <w:shd w:val="clear" w:color="auto" w:fill="auto"/>
          </w:tcPr>
          <w:p w14:paraId="4E744569"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0</w:t>
            </w:r>
          </w:p>
        </w:tc>
        <w:tc>
          <w:tcPr>
            <w:tcW w:w="1411" w:type="dxa"/>
            <w:shd w:val="clear" w:color="auto" w:fill="auto"/>
          </w:tcPr>
          <w:p w14:paraId="5D979C44" w14:textId="77777777" w:rsidR="007500D4" w:rsidRPr="007500D4" w:rsidRDefault="007500D4" w:rsidP="002B6B22">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Common</w:t>
            </w:r>
          </w:p>
        </w:tc>
      </w:tr>
      <w:tr w:rsidR="007500D4" w:rsidRPr="007500D4" w14:paraId="350CCB90" w14:textId="77777777" w:rsidTr="00CE5EF6">
        <w:tc>
          <w:tcPr>
            <w:tcW w:w="3037" w:type="dxa"/>
            <w:shd w:val="clear" w:color="auto" w:fill="auto"/>
            <w:vAlign w:val="center"/>
          </w:tcPr>
          <w:p w14:paraId="30DD8E5F"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Stevens-Johnson syndrome</w:t>
            </w:r>
          </w:p>
        </w:tc>
        <w:tc>
          <w:tcPr>
            <w:tcW w:w="1276" w:type="dxa"/>
            <w:shd w:val="clear" w:color="auto" w:fill="auto"/>
          </w:tcPr>
          <w:p w14:paraId="3EAB9187"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1 (0.4)</w:t>
            </w:r>
          </w:p>
        </w:tc>
        <w:tc>
          <w:tcPr>
            <w:tcW w:w="1276" w:type="dxa"/>
            <w:shd w:val="clear" w:color="auto" w:fill="auto"/>
          </w:tcPr>
          <w:p w14:paraId="56FAB8AA"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0</w:t>
            </w:r>
          </w:p>
        </w:tc>
        <w:tc>
          <w:tcPr>
            <w:tcW w:w="1276" w:type="dxa"/>
            <w:shd w:val="clear" w:color="auto" w:fill="auto"/>
          </w:tcPr>
          <w:p w14:paraId="6B8B3CAE"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1 (0.4)</w:t>
            </w:r>
          </w:p>
        </w:tc>
        <w:tc>
          <w:tcPr>
            <w:tcW w:w="1275" w:type="dxa"/>
            <w:shd w:val="clear" w:color="auto" w:fill="auto"/>
          </w:tcPr>
          <w:p w14:paraId="57A3C0C4"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0</w:t>
            </w:r>
          </w:p>
        </w:tc>
        <w:tc>
          <w:tcPr>
            <w:tcW w:w="1411" w:type="dxa"/>
            <w:shd w:val="clear" w:color="auto" w:fill="auto"/>
          </w:tcPr>
          <w:p w14:paraId="40270C39" w14:textId="77777777" w:rsidR="007500D4" w:rsidRPr="007500D4" w:rsidRDefault="007500D4" w:rsidP="002B6B22">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Uncommon</w:t>
            </w:r>
          </w:p>
        </w:tc>
      </w:tr>
      <w:tr w:rsidR="007500D4" w:rsidRPr="007500D4" w14:paraId="1DE1E4BA" w14:textId="77777777" w:rsidTr="005E2D28">
        <w:tc>
          <w:tcPr>
            <w:tcW w:w="9551" w:type="dxa"/>
            <w:gridSpan w:val="6"/>
            <w:shd w:val="clear" w:color="auto" w:fill="auto"/>
            <w:vAlign w:val="center"/>
          </w:tcPr>
          <w:p w14:paraId="46EA1985"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b/>
                <w:bCs/>
                <w:sz w:val="18"/>
                <w:szCs w:val="18"/>
                <w:lang w:val="en-US" w:eastAsia="zh-CN"/>
              </w:rPr>
              <w:t>Vascular disorders</w:t>
            </w:r>
          </w:p>
        </w:tc>
      </w:tr>
      <w:tr w:rsidR="007500D4" w:rsidRPr="007500D4" w14:paraId="272A7188" w14:textId="77777777" w:rsidTr="00CE5EF6">
        <w:tc>
          <w:tcPr>
            <w:tcW w:w="3037" w:type="dxa"/>
            <w:shd w:val="clear" w:color="auto" w:fill="auto"/>
            <w:vAlign w:val="center"/>
          </w:tcPr>
          <w:p w14:paraId="7E106C23"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Hypertension</w:t>
            </w:r>
          </w:p>
        </w:tc>
        <w:tc>
          <w:tcPr>
            <w:tcW w:w="1276" w:type="dxa"/>
            <w:shd w:val="clear" w:color="auto" w:fill="auto"/>
          </w:tcPr>
          <w:p w14:paraId="5711803C"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24 (8.5)</w:t>
            </w:r>
          </w:p>
        </w:tc>
        <w:tc>
          <w:tcPr>
            <w:tcW w:w="1276" w:type="dxa"/>
            <w:shd w:val="clear" w:color="auto" w:fill="auto"/>
          </w:tcPr>
          <w:p w14:paraId="55717202"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15 (5.2)</w:t>
            </w:r>
          </w:p>
        </w:tc>
        <w:tc>
          <w:tcPr>
            <w:tcW w:w="1276" w:type="dxa"/>
            <w:shd w:val="clear" w:color="auto" w:fill="auto"/>
          </w:tcPr>
          <w:p w14:paraId="7C2FAC5C"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13 (4.6)</w:t>
            </w:r>
          </w:p>
        </w:tc>
        <w:tc>
          <w:tcPr>
            <w:tcW w:w="1275" w:type="dxa"/>
            <w:shd w:val="clear" w:color="auto" w:fill="auto"/>
          </w:tcPr>
          <w:p w14:paraId="4BF44C5E"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 xml:space="preserve">9 (3.1) </w:t>
            </w:r>
          </w:p>
        </w:tc>
        <w:tc>
          <w:tcPr>
            <w:tcW w:w="1411" w:type="dxa"/>
            <w:shd w:val="clear" w:color="auto" w:fill="auto"/>
          </w:tcPr>
          <w:p w14:paraId="7622913B" w14:textId="77777777" w:rsidR="007500D4" w:rsidRPr="007500D4" w:rsidRDefault="007500D4" w:rsidP="002B6B22">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Common</w:t>
            </w:r>
          </w:p>
        </w:tc>
      </w:tr>
      <w:tr w:rsidR="007500D4" w:rsidRPr="007500D4" w14:paraId="573E1C62" w14:textId="77777777" w:rsidTr="00CE5EF6">
        <w:tc>
          <w:tcPr>
            <w:tcW w:w="3037" w:type="dxa"/>
            <w:tcBorders>
              <w:bottom w:val="single" w:sz="4" w:space="0" w:color="auto"/>
            </w:tcBorders>
            <w:shd w:val="clear" w:color="auto" w:fill="auto"/>
            <w:vAlign w:val="center"/>
          </w:tcPr>
          <w:p w14:paraId="225233DE"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proofErr w:type="spellStart"/>
            <w:r w:rsidRPr="007500D4">
              <w:rPr>
                <w:rFonts w:ascii="Arial" w:eastAsia="MS Mincho" w:hAnsi="Arial" w:cs="Arial"/>
                <w:sz w:val="18"/>
                <w:szCs w:val="18"/>
                <w:lang w:val="en-US" w:eastAsia="zh-CN"/>
              </w:rPr>
              <w:t>Lymphoedema</w:t>
            </w:r>
            <w:proofErr w:type="spellEnd"/>
          </w:p>
        </w:tc>
        <w:tc>
          <w:tcPr>
            <w:tcW w:w="1276" w:type="dxa"/>
            <w:tcBorders>
              <w:bottom w:val="single" w:sz="4" w:space="0" w:color="auto"/>
            </w:tcBorders>
            <w:shd w:val="clear" w:color="auto" w:fill="auto"/>
          </w:tcPr>
          <w:p w14:paraId="469C8DBC"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15 (5.3)</w:t>
            </w:r>
          </w:p>
        </w:tc>
        <w:tc>
          <w:tcPr>
            <w:tcW w:w="1276" w:type="dxa"/>
            <w:tcBorders>
              <w:bottom w:val="single" w:sz="4" w:space="0" w:color="auto"/>
            </w:tcBorders>
            <w:shd w:val="clear" w:color="auto" w:fill="auto"/>
          </w:tcPr>
          <w:p w14:paraId="7EF64713"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6 (2.1)</w:t>
            </w:r>
          </w:p>
        </w:tc>
        <w:tc>
          <w:tcPr>
            <w:tcW w:w="1276" w:type="dxa"/>
            <w:tcBorders>
              <w:bottom w:val="single" w:sz="4" w:space="0" w:color="auto"/>
            </w:tcBorders>
            <w:shd w:val="clear" w:color="auto" w:fill="auto"/>
          </w:tcPr>
          <w:p w14:paraId="4911A5AE"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0</w:t>
            </w:r>
          </w:p>
        </w:tc>
        <w:tc>
          <w:tcPr>
            <w:tcW w:w="1275" w:type="dxa"/>
            <w:tcBorders>
              <w:bottom w:val="single" w:sz="4" w:space="0" w:color="auto"/>
            </w:tcBorders>
            <w:shd w:val="clear" w:color="auto" w:fill="auto"/>
          </w:tcPr>
          <w:p w14:paraId="450DCEC4"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0</w:t>
            </w:r>
          </w:p>
        </w:tc>
        <w:tc>
          <w:tcPr>
            <w:tcW w:w="1411" w:type="dxa"/>
            <w:tcBorders>
              <w:bottom w:val="single" w:sz="4" w:space="0" w:color="auto"/>
            </w:tcBorders>
            <w:shd w:val="clear" w:color="auto" w:fill="auto"/>
          </w:tcPr>
          <w:p w14:paraId="3DC204C7" w14:textId="77777777" w:rsidR="007500D4" w:rsidRPr="007500D4" w:rsidRDefault="007500D4" w:rsidP="002B6B22">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Common</w:t>
            </w:r>
          </w:p>
        </w:tc>
      </w:tr>
      <w:tr w:rsidR="007500D4" w:rsidRPr="007500D4" w14:paraId="546C35A6" w14:textId="77777777" w:rsidTr="002B6B22">
        <w:tc>
          <w:tcPr>
            <w:tcW w:w="9551" w:type="dxa"/>
            <w:gridSpan w:val="6"/>
            <w:tcBorders>
              <w:top w:val="single" w:sz="4" w:space="0" w:color="auto"/>
              <w:left w:val="nil"/>
              <w:bottom w:val="nil"/>
              <w:right w:val="nil"/>
            </w:tcBorders>
            <w:shd w:val="clear" w:color="auto" w:fill="auto"/>
            <w:vAlign w:val="center"/>
          </w:tcPr>
          <w:p w14:paraId="04D3D07E"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i/>
                <w:iCs/>
                <w:sz w:val="18"/>
                <w:szCs w:val="18"/>
                <w:lang w:val="en-US" w:eastAsia="zh-CN"/>
              </w:rPr>
            </w:pPr>
            <w:r w:rsidRPr="007500D4">
              <w:rPr>
                <w:rFonts w:ascii="Arial" w:eastAsia="MS Mincho" w:hAnsi="Arial" w:cs="Arial"/>
                <w:i/>
                <w:iCs/>
                <w:sz w:val="18"/>
                <w:szCs w:val="18"/>
                <w:vertAlign w:val="superscript"/>
                <w:lang w:val="en-US" w:eastAsia="zh-CN"/>
              </w:rPr>
              <w:t>1</w:t>
            </w:r>
            <w:r w:rsidRPr="007500D4">
              <w:rPr>
                <w:rFonts w:ascii="Arial" w:eastAsia="MS Mincho" w:hAnsi="Arial" w:cs="Arial"/>
                <w:i/>
                <w:iCs/>
                <w:sz w:val="18"/>
                <w:szCs w:val="18"/>
                <w:lang w:val="en-US" w:eastAsia="zh-CN"/>
              </w:rPr>
              <w:t xml:space="preserve"> Stomatitis: also includes </w:t>
            </w:r>
            <w:proofErr w:type="spellStart"/>
            <w:r w:rsidRPr="007500D4">
              <w:rPr>
                <w:rFonts w:ascii="Arial" w:eastAsia="MS Mincho" w:hAnsi="Arial" w:cs="Arial"/>
                <w:i/>
                <w:iCs/>
                <w:sz w:val="18"/>
                <w:szCs w:val="18"/>
                <w:lang w:val="en-US" w:eastAsia="zh-CN"/>
              </w:rPr>
              <w:t>aphthous</w:t>
            </w:r>
            <w:proofErr w:type="spellEnd"/>
            <w:r w:rsidRPr="007500D4">
              <w:rPr>
                <w:rFonts w:ascii="Arial" w:eastAsia="MS Mincho" w:hAnsi="Arial" w:cs="Arial"/>
                <w:i/>
                <w:iCs/>
                <w:sz w:val="18"/>
                <w:szCs w:val="18"/>
                <w:lang w:val="en-US" w:eastAsia="zh-CN"/>
              </w:rPr>
              <w:t xml:space="preserve"> ulcer and mouth ulceration</w:t>
            </w:r>
          </w:p>
          <w:p w14:paraId="4CF23309" w14:textId="6176BE7F" w:rsidR="007500D4" w:rsidRPr="007500D4" w:rsidRDefault="007500D4" w:rsidP="00CE5EF6">
            <w:pPr>
              <w:keepLines/>
              <w:tabs>
                <w:tab w:val="left" w:pos="284"/>
              </w:tabs>
              <w:autoSpaceDE/>
              <w:autoSpaceDN/>
              <w:adjustRightInd/>
              <w:spacing w:after="0" w:line="240" w:lineRule="auto"/>
              <w:jc w:val="left"/>
              <w:rPr>
                <w:rFonts w:ascii="Arial" w:eastAsia="MS Mincho" w:hAnsi="Arial" w:cs="Arial"/>
                <w:i/>
                <w:iCs/>
                <w:sz w:val="18"/>
                <w:szCs w:val="18"/>
                <w:lang w:val="en-US" w:eastAsia="zh-CN"/>
              </w:rPr>
            </w:pPr>
            <w:r w:rsidRPr="007500D4">
              <w:rPr>
                <w:rFonts w:ascii="Arial" w:eastAsia="MS Mincho" w:hAnsi="Arial" w:cs="Arial"/>
                <w:i/>
                <w:iCs/>
                <w:sz w:val="18"/>
                <w:szCs w:val="18"/>
                <w:vertAlign w:val="superscript"/>
                <w:lang w:val="en-US" w:eastAsia="zh-CN"/>
              </w:rPr>
              <w:t>2</w:t>
            </w:r>
            <w:r w:rsidRPr="007500D4">
              <w:rPr>
                <w:rFonts w:ascii="Arial" w:eastAsia="MS Mincho" w:hAnsi="Arial" w:cs="Arial"/>
                <w:i/>
                <w:iCs/>
                <w:sz w:val="18"/>
                <w:szCs w:val="18"/>
                <w:lang w:val="en-US" w:eastAsia="zh-CN"/>
              </w:rPr>
              <w:t xml:space="preserve"> </w:t>
            </w:r>
            <w:r w:rsidR="00CE5EF6">
              <w:rPr>
                <w:rFonts w:ascii="Arial" w:eastAsia="MS Mincho" w:hAnsi="Arial" w:cs="Arial"/>
                <w:i/>
                <w:iCs/>
                <w:sz w:val="18"/>
                <w:szCs w:val="18"/>
                <w:lang w:val="en-US" w:eastAsia="zh-CN"/>
              </w:rPr>
              <w:t>Fatigue: also includes asthenia</w:t>
            </w:r>
          </w:p>
          <w:p w14:paraId="029CC221" w14:textId="05A9B4CB" w:rsidR="007500D4" w:rsidRPr="007500D4" w:rsidRDefault="007500D4" w:rsidP="00CE5EF6">
            <w:pPr>
              <w:keepLines/>
              <w:tabs>
                <w:tab w:val="left" w:pos="284"/>
              </w:tabs>
              <w:autoSpaceDE/>
              <w:autoSpaceDN/>
              <w:adjustRightInd/>
              <w:spacing w:after="0" w:line="240" w:lineRule="auto"/>
              <w:jc w:val="left"/>
              <w:rPr>
                <w:rFonts w:ascii="Arial" w:eastAsia="MS Mincho" w:hAnsi="Arial" w:cs="Arial"/>
                <w:i/>
                <w:iCs/>
                <w:sz w:val="18"/>
                <w:szCs w:val="18"/>
                <w:lang w:val="en-US" w:eastAsia="zh-CN"/>
              </w:rPr>
            </w:pPr>
            <w:r w:rsidRPr="007500D4">
              <w:rPr>
                <w:rFonts w:ascii="Arial" w:eastAsia="MS Mincho" w:hAnsi="Arial" w:cs="Arial"/>
                <w:i/>
                <w:iCs/>
                <w:sz w:val="18"/>
                <w:szCs w:val="18"/>
                <w:vertAlign w:val="superscript"/>
                <w:lang w:val="en-US" w:eastAsia="zh-CN"/>
              </w:rPr>
              <w:t>3</w:t>
            </w:r>
            <w:r w:rsidRPr="007500D4">
              <w:rPr>
                <w:rFonts w:ascii="Arial" w:eastAsia="MS Mincho" w:hAnsi="Arial" w:cs="Arial"/>
                <w:i/>
                <w:iCs/>
                <w:sz w:val="18"/>
                <w:szCs w:val="18"/>
                <w:lang w:val="en-US" w:eastAsia="zh-CN"/>
              </w:rPr>
              <w:t xml:space="preserve"> Mucosal dryness: also includes </w:t>
            </w:r>
            <w:r w:rsidR="00CE5EF6">
              <w:rPr>
                <w:rFonts w:ascii="Arial" w:eastAsia="MS Mincho" w:hAnsi="Arial" w:cs="Arial"/>
                <w:i/>
                <w:iCs/>
                <w:sz w:val="18"/>
                <w:szCs w:val="18"/>
                <w:lang w:val="en-US" w:eastAsia="zh-CN"/>
              </w:rPr>
              <w:t>dry mouth, vulvovaginal dryness</w:t>
            </w:r>
          </w:p>
          <w:p w14:paraId="52D02801" w14:textId="64B66ABC" w:rsidR="007500D4" w:rsidRPr="007500D4" w:rsidRDefault="007500D4" w:rsidP="00CE5EF6">
            <w:pPr>
              <w:keepLines/>
              <w:tabs>
                <w:tab w:val="left" w:pos="284"/>
              </w:tabs>
              <w:autoSpaceDE/>
              <w:autoSpaceDN/>
              <w:adjustRightInd/>
              <w:spacing w:after="0" w:line="240" w:lineRule="auto"/>
              <w:jc w:val="left"/>
              <w:rPr>
                <w:rFonts w:ascii="Arial" w:eastAsia="MS Mincho" w:hAnsi="Arial" w:cs="Arial"/>
                <w:i/>
                <w:iCs/>
                <w:sz w:val="18"/>
                <w:szCs w:val="18"/>
                <w:lang w:val="en-US" w:eastAsia="zh-CN"/>
              </w:rPr>
            </w:pPr>
            <w:r w:rsidRPr="007500D4">
              <w:rPr>
                <w:rFonts w:ascii="Arial" w:eastAsia="MS Mincho" w:hAnsi="Arial" w:cs="Arial"/>
                <w:i/>
                <w:iCs/>
                <w:sz w:val="18"/>
                <w:szCs w:val="18"/>
                <w:vertAlign w:val="superscript"/>
                <w:lang w:val="en-US" w:eastAsia="zh-CN"/>
              </w:rPr>
              <w:t>4</w:t>
            </w:r>
            <w:r w:rsidRPr="007500D4">
              <w:rPr>
                <w:rFonts w:ascii="Arial" w:eastAsia="MS Mincho" w:hAnsi="Arial" w:cs="Arial"/>
                <w:i/>
                <w:iCs/>
                <w:sz w:val="18"/>
                <w:szCs w:val="18"/>
                <w:lang w:val="en-US" w:eastAsia="zh-CN"/>
              </w:rPr>
              <w:t xml:space="preserve"> </w:t>
            </w:r>
            <w:proofErr w:type="spellStart"/>
            <w:r w:rsidRPr="007500D4">
              <w:rPr>
                <w:rFonts w:ascii="Arial" w:eastAsia="MS Mincho" w:hAnsi="Arial" w:cs="Arial"/>
                <w:i/>
                <w:iCs/>
                <w:sz w:val="18"/>
                <w:szCs w:val="18"/>
                <w:lang w:val="en-US" w:eastAsia="zh-CN"/>
              </w:rPr>
              <w:t>Oedema</w:t>
            </w:r>
            <w:proofErr w:type="spellEnd"/>
            <w:r w:rsidRPr="007500D4">
              <w:rPr>
                <w:rFonts w:ascii="Arial" w:eastAsia="MS Mincho" w:hAnsi="Arial" w:cs="Arial"/>
                <w:i/>
                <w:iCs/>
                <w:sz w:val="18"/>
                <w:szCs w:val="18"/>
                <w:lang w:val="en-US" w:eastAsia="zh-CN"/>
              </w:rPr>
              <w:t>: also includes face swell</w:t>
            </w:r>
            <w:r w:rsidR="00CE5EF6">
              <w:rPr>
                <w:rFonts w:ascii="Arial" w:eastAsia="MS Mincho" w:hAnsi="Arial" w:cs="Arial"/>
                <w:i/>
                <w:iCs/>
                <w:sz w:val="18"/>
                <w:szCs w:val="18"/>
                <w:lang w:val="en-US" w:eastAsia="zh-CN"/>
              </w:rPr>
              <w:t xml:space="preserve">ing, face </w:t>
            </w:r>
            <w:proofErr w:type="spellStart"/>
            <w:r w:rsidR="00CE5EF6">
              <w:rPr>
                <w:rFonts w:ascii="Arial" w:eastAsia="MS Mincho" w:hAnsi="Arial" w:cs="Arial"/>
                <w:i/>
                <w:iCs/>
                <w:sz w:val="18"/>
                <w:szCs w:val="18"/>
                <w:lang w:val="en-US" w:eastAsia="zh-CN"/>
              </w:rPr>
              <w:t>oedema</w:t>
            </w:r>
            <w:proofErr w:type="spellEnd"/>
            <w:r w:rsidR="00CE5EF6">
              <w:rPr>
                <w:rFonts w:ascii="Arial" w:eastAsia="MS Mincho" w:hAnsi="Arial" w:cs="Arial"/>
                <w:i/>
                <w:iCs/>
                <w:sz w:val="18"/>
                <w:szCs w:val="18"/>
                <w:lang w:val="en-US" w:eastAsia="zh-CN"/>
              </w:rPr>
              <w:t xml:space="preserve">, eyelid </w:t>
            </w:r>
            <w:proofErr w:type="spellStart"/>
            <w:r w:rsidR="00CE5EF6">
              <w:rPr>
                <w:rFonts w:ascii="Arial" w:eastAsia="MS Mincho" w:hAnsi="Arial" w:cs="Arial"/>
                <w:i/>
                <w:iCs/>
                <w:sz w:val="18"/>
                <w:szCs w:val="18"/>
                <w:lang w:val="en-US" w:eastAsia="zh-CN"/>
              </w:rPr>
              <w:t>oedema</w:t>
            </w:r>
            <w:proofErr w:type="spellEnd"/>
          </w:p>
          <w:p w14:paraId="169B9B2A" w14:textId="77777777" w:rsidR="007500D4" w:rsidRPr="007500D4" w:rsidRDefault="007500D4" w:rsidP="00CE5EF6">
            <w:pPr>
              <w:keepLines/>
              <w:tabs>
                <w:tab w:val="left" w:pos="284"/>
              </w:tabs>
              <w:autoSpaceDE/>
              <w:autoSpaceDN/>
              <w:adjustRightInd/>
              <w:spacing w:after="0" w:line="240" w:lineRule="auto"/>
              <w:jc w:val="left"/>
              <w:rPr>
                <w:rFonts w:ascii="Arial" w:eastAsia="MS Mincho" w:hAnsi="Arial" w:cs="Arial"/>
                <w:i/>
                <w:iCs/>
                <w:sz w:val="18"/>
                <w:szCs w:val="18"/>
                <w:lang w:val="en-US" w:eastAsia="zh-CN"/>
              </w:rPr>
            </w:pPr>
            <w:r w:rsidRPr="007500D4">
              <w:rPr>
                <w:rFonts w:ascii="Arial" w:eastAsia="MS Mincho" w:hAnsi="Arial" w:cs="Arial"/>
                <w:i/>
                <w:iCs/>
                <w:sz w:val="18"/>
                <w:szCs w:val="18"/>
                <w:vertAlign w:val="superscript"/>
                <w:lang w:val="en-US" w:eastAsia="zh-CN"/>
              </w:rPr>
              <w:t>5</w:t>
            </w:r>
            <w:r w:rsidRPr="007500D4">
              <w:rPr>
                <w:rFonts w:ascii="Arial" w:eastAsia="MS Mincho" w:hAnsi="Arial" w:cs="Arial"/>
                <w:i/>
                <w:iCs/>
                <w:sz w:val="18"/>
                <w:szCs w:val="18"/>
                <w:lang w:val="en-US" w:eastAsia="zh-CN"/>
              </w:rPr>
              <w:t xml:space="preserve"> Hypersensitivity: also includes allergic dermatitis</w:t>
            </w:r>
          </w:p>
          <w:p w14:paraId="6A9C5AD8" w14:textId="14C2FD3B" w:rsidR="007500D4" w:rsidRPr="007500D4" w:rsidRDefault="007500D4" w:rsidP="00CE5EF6">
            <w:pPr>
              <w:keepLines/>
              <w:tabs>
                <w:tab w:val="left" w:pos="284"/>
              </w:tabs>
              <w:autoSpaceDE/>
              <w:autoSpaceDN/>
              <w:adjustRightInd/>
              <w:spacing w:after="0" w:line="240" w:lineRule="auto"/>
              <w:jc w:val="left"/>
              <w:rPr>
                <w:rFonts w:ascii="Arial" w:eastAsia="MS Mincho" w:hAnsi="Arial" w:cs="Arial"/>
                <w:i/>
                <w:iCs/>
                <w:sz w:val="18"/>
                <w:szCs w:val="18"/>
                <w:lang w:val="en-US" w:eastAsia="zh-CN"/>
              </w:rPr>
            </w:pPr>
            <w:r w:rsidRPr="007500D4">
              <w:rPr>
                <w:rFonts w:ascii="Arial" w:eastAsia="MS Mincho" w:hAnsi="Arial" w:cs="Arial"/>
                <w:i/>
                <w:iCs/>
                <w:sz w:val="18"/>
                <w:szCs w:val="18"/>
                <w:vertAlign w:val="superscript"/>
                <w:lang w:val="en-US" w:eastAsia="zh-CN"/>
              </w:rPr>
              <w:t>6</w:t>
            </w:r>
            <w:r w:rsidRPr="007500D4">
              <w:rPr>
                <w:rFonts w:ascii="Arial" w:eastAsia="MS Mincho" w:hAnsi="Arial" w:cs="Arial"/>
                <w:i/>
                <w:iCs/>
                <w:sz w:val="18"/>
                <w:szCs w:val="18"/>
                <w:lang w:val="en-US" w:eastAsia="zh-CN"/>
              </w:rPr>
              <w:t xml:space="preserve"> Urinary tract infection: also inc</w:t>
            </w:r>
            <w:r w:rsidR="00CE5EF6">
              <w:rPr>
                <w:rFonts w:ascii="Arial" w:eastAsia="MS Mincho" w:hAnsi="Arial" w:cs="Arial"/>
                <w:i/>
                <w:iCs/>
                <w:sz w:val="18"/>
                <w:szCs w:val="18"/>
                <w:lang w:val="en-US" w:eastAsia="zh-CN"/>
              </w:rPr>
              <w:t xml:space="preserve">ludes single case of </w:t>
            </w:r>
            <w:proofErr w:type="spellStart"/>
            <w:r w:rsidR="00CE5EF6">
              <w:rPr>
                <w:rFonts w:ascii="Arial" w:eastAsia="MS Mincho" w:hAnsi="Arial" w:cs="Arial"/>
                <w:i/>
                <w:iCs/>
                <w:sz w:val="18"/>
                <w:szCs w:val="18"/>
                <w:lang w:val="en-US" w:eastAsia="zh-CN"/>
              </w:rPr>
              <w:t>urosepsis</w:t>
            </w:r>
            <w:proofErr w:type="spellEnd"/>
          </w:p>
          <w:p w14:paraId="0B560057" w14:textId="77777777" w:rsidR="007500D4" w:rsidRPr="007500D4" w:rsidRDefault="007500D4" w:rsidP="00CE5EF6">
            <w:pPr>
              <w:keepLines/>
              <w:tabs>
                <w:tab w:val="left" w:pos="284"/>
              </w:tabs>
              <w:autoSpaceDE/>
              <w:autoSpaceDN/>
              <w:adjustRightInd/>
              <w:spacing w:after="0" w:line="240" w:lineRule="auto"/>
              <w:jc w:val="left"/>
              <w:rPr>
                <w:rFonts w:ascii="Arial" w:eastAsia="MS Mincho" w:hAnsi="Arial" w:cs="Arial"/>
                <w:i/>
                <w:iCs/>
                <w:sz w:val="18"/>
                <w:szCs w:val="18"/>
                <w:lang w:val="en-US" w:eastAsia="zh-CN"/>
              </w:rPr>
            </w:pPr>
            <w:r w:rsidRPr="007500D4">
              <w:rPr>
                <w:rFonts w:ascii="Arial" w:eastAsia="MS Mincho" w:hAnsi="Arial" w:cs="Arial"/>
                <w:i/>
                <w:iCs/>
                <w:sz w:val="18"/>
                <w:szCs w:val="18"/>
                <w:vertAlign w:val="superscript"/>
                <w:lang w:val="en-US" w:eastAsia="zh-CN"/>
              </w:rPr>
              <w:t>7</w:t>
            </w:r>
            <w:r w:rsidRPr="007500D4">
              <w:rPr>
                <w:rFonts w:ascii="Arial" w:eastAsia="MS Mincho" w:hAnsi="Arial" w:cs="Arial"/>
                <w:i/>
                <w:iCs/>
                <w:sz w:val="18"/>
                <w:szCs w:val="18"/>
                <w:lang w:val="en-US" w:eastAsia="zh-CN"/>
              </w:rPr>
              <w:t xml:space="preserve"> Ketoacidosis: also includes diabetic ketoacidosis</w:t>
            </w:r>
          </w:p>
          <w:p w14:paraId="7D57C459" w14:textId="77777777" w:rsidR="007500D4" w:rsidRPr="007500D4" w:rsidRDefault="007500D4" w:rsidP="00CE5EF6">
            <w:pPr>
              <w:keepLines/>
              <w:tabs>
                <w:tab w:val="left" w:pos="284"/>
              </w:tabs>
              <w:autoSpaceDE/>
              <w:autoSpaceDN/>
              <w:adjustRightInd/>
              <w:spacing w:after="0" w:line="240" w:lineRule="auto"/>
              <w:jc w:val="left"/>
              <w:rPr>
                <w:rFonts w:ascii="Arial" w:eastAsia="MS Mincho" w:hAnsi="Arial" w:cs="Arial"/>
                <w:i/>
                <w:iCs/>
                <w:sz w:val="18"/>
                <w:szCs w:val="18"/>
                <w:lang w:val="en-US" w:eastAsia="zh-CN"/>
              </w:rPr>
            </w:pPr>
            <w:r w:rsidRPr="007500D4">
              <w:rPr>
                <w:rFonts w:ascii="Arial" w:eastAsia="MS Mincho" w:hAnsi="Arial" w:cs="Arial"/>
                <w:i/>
                <w:iCs/>
                <w:sz w:val="18"/>
                <w:szCs w:val="18"/>
                <w:vertAlign w:val="superscript"/>
                <w:lang w:val="en-US" w:eastAsia="zh-CN"/>
              </w:rPr>
              <w:t>8</w:t>
            </w:r>
            <w:r w:rsidRPr="007500D4">
              <w:rPr>
                <w:rFonts w:ascii="Arial" w:eastAsia="MS Mincho" w:hAnsi="Arial" w:cs="Arial"/>
                <w:i/>
                <w:iCs/>
                <w:sz w:val="18"/>
                <w:szCs w:val="18"/>
                <w:lang w:val="en-US" w:eastAsia="zh-CN"/>
              </w:rPr>
              <w:t xml:space="preserve"> </w:t>
            </w:r>
            <w:proofErr w:type="spellStart"/>
            <w:r w:rsidRPr="007500D4">
              <w:rPr>
                <w:rFonts w:ascii="Arial" w:eastAsia="MS Mincho" w:hAnsi="Arial" w:cs="Arial"/>
                <w:i/>
                <w:iCs/>
                <w:sz w:val="18"/>
                <w:szCs w:val="18"/>
                <w:lang w:val="en-US" w:eastAsia="zh-CN"/>
              </w:rPr>
              <w:t>Dysgeusia</w:t>
            </w:r>
            <w:proofErr w:type="spellEnd"/>
            <w:r w:rsidRPr="007500D4">
              <w:rPr>
                <w:rFonts w:ascii="Arial" w:eastAsia="MS Mincho" w:hAnsi="Arial" w:cs="Arial"/>
                <w:i/>
                <w:iCs/>
                <w:sz w:val="18"/>
                <w:szCs w:val="18"/>
                <w:lang w:val="en-US" w:eastAsia="zh-CN"/>
              </w:rPr>
              <w:t xml:space="preserve"> : also includes </w:t>
            </w:r>
            <w:proofErr w:type="spellStart"/>
            <w:r w:rsidRPr="007500D4">
              <w:rPr>
                <w:rFonts w:ascii="Arial" w:eastAsia="MS Mincho" w:hAnsi="Arial" w:cs="Arial"/>
                <w:i/>
                <w:iCs/>
                <w:sz w:val="18"/>
                <w:szCs w:val="18"/>
                <w:lang w:val="en-US" w:eastAsia="zh-CN"/>
              </w:rPr>
              <w:t>ageusia</w:t>
            </w:r>
            <w:proofErr w:type="spellEnd"/>
            <w:r w:rsidRPr="007500D4">
              <w:rPr>
                <w:rFonts w:ascii="Arial" w:eastAsia="MS Mincho" w:hAnsi="Arial" w:cs="Arial"/>
                <w:i/>
                <w:iCs/>
                <w:sz w:val="18"/>
                <w:szCs w:val="18"/>
                <w:lang w:val="en-US" w:eastAsia="zh-CN"/>
              </w:rPr>
              <w:t xml:space="preserve">, </w:t>
            </w:r>
            <w:proofErr w:type="spellStart"/>
            <w:r w:rsidRPr="007500D4">
              <w:rPr>
                <w:rFonts w:ascii="Arial" w:eastAsia="MS Mincho" w:hAnsi="Arial" w:cs="Arial"/>
                <w:i/>
                <w:iCs/>
                <w:sz w:val="18"/>
                <w:szCs w:val="18"/>
                <w:lang w:val="en-US" w:eastAsia="zh-CN"/>
              </w:rPr>
              <w:t>hypogeusia</w:t>
            </w:r>
            <w:proofErr w:type="spellEnd"/>
          </w:p>
          <w:p w14:paraId="2B1473C2" w14:textId="77777777" w:rsidR="007500D4" w:rsidRPr="007500D4" w:rsidRDefault="007500D4" w:rsidP="00CE5EF6">
            <w:pPr>
              <w:keepLines/>
              <w:tabs>
                <w:tab w:val="left" w:pos="284"/>
              </w:tabs>
              <w:autoSpaceDE/>
              <w:autoSpaceDN/>
              <w:adjustRightInd/>
              <w:spacing w:after="0" w:line="240" w:lineRule="auto"/>
              <w:jc w:val="left"/>
              <w:rPr>
                <w:rFonts w:ascii="Arial" w:eastAsia="MS Mincho" w:hAnsi="Arial" w:cs="Arial"/>
                <w:i/>
                <w:iCs/>
                <w:sz w:val="18"/>
                <w:szCs w:val="18"/>
                <w:lang w:val="en-US" w:eastAsia="zh-CN"/>
              </w:rPr>
            </w:pPr>
            <w:r w:rsidRPr="007500D4">
              <w:rPr>
                <w:rFonts w:ascii="Arial" w:eastAsia="MS Mincho" w:hAnsi="Arial" w:cs="Arial"/>
                <w:i/>
                <w:iCs/>
                <w:sz w:val="18"/>
                <w:szCs w:val="18"/>
                <w:vertAlign w:val="superscript"/>
                <w:lang w:val="en-US" w:eastAsia="zh-CN"/>
              </w:rPr>
              <w:t>9</w:t>
            </w:r>
            <w:r w:rsidRPr="007500D4">
              <w:rPr>
                <w:rFonts w:ascii="Arial" w:eastAsia="MS Mincho" w:hAnsi="Arial" w:cs="Arial"/>
                <w:i/>
                <w:iCs/>
                <w:sz w:val="18"/>
                <w:szCs w:val="18"/>
                <w:lang w:val="en-US" w:eastAsia="zh-CN"/>
              </w:rPr>
              <w:t xml:space="preserve"> Pneumonitis: also includes interstitial lung disease</w:t>
            </w:r>
          </w:p>
          <w:p w14:paraId="4AA9A2D5" w14:textId="0A177EB2" w:rsidR="007500D4" w:rsidRPr="007500D4" w:rsidRDefault="007500D4" w:rsidP="00CE5EF6">
            <w:pPr>
              <w:keepLines/>
              <w:tabs>
                <w:tab w:val="left" w:pos="284"/>
              </w:tabs>
              <w:autoSpaceDE/>
              <w:autoSpaceDN/>
              <w:adjustRightInd/>
              <w:spacing w:after="0" w:line="240" w:lineRule="auto"/>
              <w:jc w:val="left"/>
              <w:rPr>
                <w:rFonts w:ascii="Arial" w:eastAsia="MS Mincho" w:hAnsi="Arial" w:cs="Arial"/>
                <w:i/>
                <w:iCs/>
                <w:sz w:val="18"/>
                <w:szCs w:val="18"/>
                <w:lang w:val="en-US" w:eastAsia="zh-CN"/>
              </w:rPr>
            </w:pPr>
            <w:r w:rsidRPr="007500D4">
              <w:rPr>
                <w:rFonts w:ascii="Arial" w:eastAsia="MS Mincho" w:hAnsi="Arial" w:cs="Arial"/>
                <w:i/>
                <w:iCs/>
                <w:sz w:val="18"/>
                <w:szCs w:val="18"/>
                <w:vertAlign w:val="superscript"/>
                <w:lang w:val="en-US" w:eastAsia="zh-CN"/>
              </w:rPr>
              <w:t>10</w:t>
            </w:r>
            <w:r w:rsidRPr="007500D4">
              <w:rPr>
                <w:rFonts w:ascii="Arial" w:eastAsia="MS Mincho" w:hAnsi="Arial" w:cs="Arial"/>
                <w:i/>
                <w:iCs/>
                <w:sz w:val="18"/>
                <w:szCs w:val="18"/>
                <w:lang w:val="en-US" w:eastAsia="zh-CN"/>
              </w:rPr>
              <w:t xml:space="preserve"> Rash: also includes rash </w:t>
            </w:r>
            <w:proofErr w:type="spellStart"/>
            <w:r w:rsidRPr="007500D4">
              <w:rPr>
                <w:rFonts w:ascii="Arial" w:eastAsia="MS Mincho" w:hAnsi="Arial" w:cs="Arial"/>
                <w:i/>
                <w:iCs/>
                <w:sz w:val="18"/>
                <w:szCs w:val="18"/>
                <w:lang w:val="en-US" w:eastAsia="zh-CN"/>
              </w:rPr>
              <w:t>maculo-papular</w:t>
            </w:r>
            <w:proofErr w:type="spellEnd"/>
            <w:r w:rsidRPr="007500D4">
              <w:rPr>
                <w:rFonts w:ascii="Arial" w:eastAsia="MS Mincho" w:hAnsi="Arial" w:cs="Arial"/>
                <w:i/>
                <w:iCs/>
                <w:sz w:val="18"/>
                <w:szCs w:val="18"/>
                <w:lang w:val="en-US" w:eastAsia="zh-CN"/>
              </w:rPr>
              <w:t>, rash macular, rash generaliz</w:t>
            </w:r>
            <w:r w:rsidR="00CE5EF6">
              <w:rPr>
                <w:rFonts w:ascii="Arial" w:eastAsia="MS Mincho" w:hAnsi="Arial" w:cs="Arial"/>
                <w:i/>
                <w:iCs/>
                <w:sz w:val="18"/>
                <w:szCs w:val="18"/>
                <w:lang w:val="en-US" w:eastAsia="zh-CN"/>
              </w:rPr>
              <w:t>ed, rash-</w:t>
            </w:r>
            <w:proofErr w:type="spellStart"/>
            <w:r w:rsidR="00CE5EF6">
              <w:rPr>
                <w:rFonts w:ascii="Arial" w:eastAsia="MS Mincho" w:hAnsi="Arial" w:cs="Arial"/>
                <w:i/>
                <w:iCs/>
                <w:sz w:val="18"/>
                <w:szCs w:val="18"/>
                <w:lang w:val="en-US" w:eastAsia="zh-CN"/>
              </w:rPr>
              <w:t>papular</w:t>
            </w:r>
            <w:proofErr w:type="spellEnd"/>
            <w:r w:rsidR="00CE5EF6">
              <w:rPr>
                <w:rFonts w:ascii="Arial" w:eastAsia="MS Mincho" w:hAnsi="Arial" w:cs="Arial"/>
                <w:i/>
                <w:iCs/>
                <w:sz w:val="18"/>
                <w:szCs w:val="18"/>
                <w:lang w:val="en-US" w:eastAsia="zh-CN"/>
              </w:rPr>
              <w:t>, rash pruritic</w:t>
            </w:r>
          </w:p>
          <w:p w14:paraId="68D8988C" w14:textId="77777777" w:rsidR="007500D4" w:rsidRPr="007500D4" w:rsidRDefault="007500D4" w:rsidP="00CE5EF6">
            <w:pPr>
              <w:keepLines/>
              <w:tabs>
                <w:tab w:val="left" w:pos="284"/>
              </w:tabs>
              <w:autoSpaceDE/>
              <w:autoSpaceDN/>
              <w:adjustRightInd/>
              <w:spacing w:after="0" w:line="240" w:lineRule="auto"/>
              <w:jc w:val="left"/>
              <w:rPr>
                <w:rFonts w:ascii="Arial" w:eastAsia="MS Mincho" w:hAnsi="Arial" w:cs="Arial"/>
                <w:i/>
                <w:iCs/>
                <w:sz w:val="18"/>
                <w:szCs w:val="18"/>
                <w:lang w:val="en-US" w:eastAsia="zh-CN"/>
              </w:rPr>
            </w:pPr>
            <w:r w:rsidRPr="007500D4">
              <w:rPr>
                <w:rFonts w:ascii="Arial" w:eastAsia="MS Mincho" w:hAnsi="Arial" w:cs="Arial"/>
                <w:i/>
                <w:iCs/>
                <w:sz w:val="18"/>
                <w:szCs w:val="18"/>
                <w:vertAlign w:val="superscript"/>
                <w:lang w:val="en-US" w:eastAsia="zh-CN"/>
              </w:rPr>
              <w:t>11</w:t>
            </w:r>
            <w:r w:rsidRPr="007500D4">
              <w:rPr>
                <w:rFonts w:ascii="Arial" w:eastAsia="MS Mincho" w:hAnsi="Arial" w:cs="Arial"/>
                <w:i/>
                <w:iCs/>
                <w:sz w:val="18"/>
                <w:szCs w:val="18"/>
                <w:lang w:val="en-US" w:eastAsia="zh-CN"/>
              </w:rPr>
              <w:t xml:space="preserve"> Dry skin: also includes skin fissures, </w:t>
            </w:r>
            <w:proofErr w:type="spellStart"/>
            <w:r w:rsidRPr="007500D4">
              <w:rPr>
                <w:rFonts w:ascii="Arial" w:eastAsia="MS Mincho" w:hAnsi="Arial" w:cs="Arial"/>
                <w:i/>
                <w:iCs/>
                <w:sz w:val="18"/>
                <w:szCs w:val="18"/>
                <w:lang w:val="en-US" w:eastAsia="zh-CN"/>
              </w:rPr>
              <w:t>xerosis</w:t>
            </w:r>
            <w:proofErr w:type="spellEnd"/>
            <w:r w:rsidRPr="007500D4">
              <w:rPr>
                <w:rFonts w:ascii="Arial" w:eastAsia="MS Mincho" w:hAnsi="Arial" w:cs="Arial"/>
                <w:i/>
                <w:iCs/>
                <w:sz w:val="18"/>
                <w:szCs w:val="18"/>
                <w:lang w:val="en-US" w:eastAsia="zh-CN"/>
              </w:rPr>
              <w:t xml:space="preserve">, </w:t>
            </w:r>
            <w:proofErr w:type="spellStart"/>
            <w:r w:rsidRPr="007500D4">
              <w:rPr>
                <w:rFonts w:ascii="Arial" w:eastAsia="MS Mincho" w:hAnsi="Arial" w:cs="Arial"/>
                <w:i/>
                <w:iCs/>
                <w:sz w:val="18"/>
                <w:szCs w:val="18"/>
                <w:lang w:val="en-US" w:eastAsia="zh-CN"/>
              </w:rPr>
              <w:t>xeroderma</w:t>
            </w:r>
            <w:proofErr w:type="spellEnd"/>
          </w:p>
          <w:p w14:paraId="58612486" w14:textId="77777777" w:rsidR="007500D4" w:rsidRPr="007500D4" w:rsidRDefault="007500D4" w:rsidP="00CE5EF6">
            <w:pPr>
              <w:keepLines/>
              <w:tabs>
                <w:tab w:val="left" w:pos="284"/>
              </w:tabs>
              <w:autoSpaceDE/>
              <w:autoSpaceDN/>
              <w:adjustRightInd/>
              <w:spacing w:after="0" w:line="240" w:lineRule="auto"/>
              <w:jc w:val="left"/>
              <w:rPr>
                <w:rFonts w:ascii="Arial" w:eastAsia="MS Mincho" w:hAnsi="Arial" w:cs="Arial"/>
                <w:i/>
                <w:iCs/>
                <w:sz w:val="18"/>
                <w:szCs w:val="18"/>
                <w:lang w:val="en-US" w:eastAsia="zh-CN"/>
              </w:rPr>
            </w:pPr>
            <w:r w:rsidRPr="007500D4">
              <w:rPr>
                <w:rFonts w:ascii="Arial" w:eastAsia="MS Mincho" w:hAnsi="Arial" w:cs="Arial"/>
                <w:i/>
                <w:iCs/>
                <w:sz w:val="18"/>
                <w:szCs w:val="18"/>
                <w:vertAlign w:val="superscript"/>
                <w:lang w:val="en-US" w:eastAsia="zh-CN"/>
              </w:rPr>
              <w:t>12</w:t>
            </w:r>
            <w:r w:rsidRPr="007500D4">
              <w:rPr>
                <w:rFonts w:ascii="Arial" w:eastAsia="MS Mincho" w:hAnsi="Arial" w:cs="Arial"/>
                <w:i/>
                <w:iCs/>
                <w:sz w:val="18"/>
                <w:szCs w:val="18"/>
                <w:lang w:val="en-US" w:eastAsia="zh-CN"/>
              </w:rPr>
              <w:t xml:space="preserve"> Erythema: also includes erythema </w:t>
            </w:r>
            <w:proofErr w:type="spellStart"/>
            <w:r w:rsidRPr="007500D4">
              <w:rPr>
                <w:rFonts w:ascii="Arial" w:eastAsia="MS Mincho" w:hAnsi="Arial" w:cs="Arial"/>
                <w:i/>
                <w:iCs/>
                <w:sz w:val="18"/>
                <w:szCs w:val="18"/>
                <w:lang w:val="en-US" w:eastAsia="zh-CN"/>
              </w:rPr>
              <w:t>generalised</w:t>
            </w:r>
            <w:proofErr w:type="spellEnd"/>
          </w:p>
          <w:p w14:paraId="21C31793" w14:textId="77777777" w:rsidR="007500D4" w:rsidRPr="007500D4" w:rsidRDefault="007500D4" w:rsidP="00CE5EF6">
            <w:pPr>
              <w:keepLines/>
              <w:tabs>
                <w:tab w:val="left" w:pos="284"/>
              </w:tabs>
              <w:autoSpaceDE/>
              <w:autoSpaceDN/>
              <w:adjustRightInd/>
              <w:spacing w:after="0" w:line="240" w:lineRule="auto"/>
              <w:jc w:val="left"/>
              <w:rPr>
                <w:rFonts w:ascii="Arial" w:eastAsia="MS Mincho" w:hAnsi="Arial" w:cs="Arial"/>
                <w:i/>
                <w:iCs/>
                <w:sz w:val="18"/>
                <w:szCs w:val="18"/>
                <w:lang w:val="en-US" w:eastAsia="zh-CN"/>
              </w:rPr>
            </w:pPr>
            <w:r w:rsidRPr="007500D4">
              <w:rPr>
                <w:rFonts w:ascii="Arial" w:eastAsia="MS Mincho" w:hAnsi="Arial" w:cs="Arial"/>
                <w:i/>
                <w:iCs/>
                <w:sz w:val="18"/>
                <w:szCs w:val="18"/>
                <w:vertAlign w:val="superscript"/>
                <w:lang w:val="en-US" w:eastAsia="zh-CN"/>
              </w:rPr>
              <w:t>13</w:t>
            </w:r>
            <w:r w:rsidRPr="007500D4">
              <w:rPr>
                <w:rFonts w:ascii="Arial" w:eastAsia="MS Mincho" w:hAnsi="Arial" w:cs="Arial"/>
                <w:i/>
                <w:iCs/>
                <w:sz w:val="18"/>
                <w:szCs w:val="18"/>
                <w:lang w:val="en-US" w:eastAsia="zh-CN"/>
              </w:rPr>
              <w:t xml:space="preserve"> Dermatitis: also includes dermatitis acneiform</w:t>
            </w:r>
          </w:p>
        </w:tc>
      </w:tr>
    </w:tbl>
    <w:p w14:paraId="5652F393" w14:textId="21EA2427" w:rsidR="007500D4" w:rsidRPr="007500D4" w:rsidRDefault="007500D4" w:rsidP="005E2D28">
      <w:pPr>
        <w:keepNext/>
        <w:keepLines/>
        <w:tabs>
          <w:tab w:val="left" w:pos="8505"/>
        </w:tabs>
        <w:autoSpaceDE/>
        <w:autoSpaceDN/>
        <w:adjustRightInd/>
        <w:spacing w:before="240" w:line="240" w:lineRule="auto"/>
        <w:ind w:left="1418" w:hanging="992"/>
        <w:jc w:val="left"/>
        <w:outlineLvl w:val="5"/>
        <w:rPr>
          <w:rFonts w:ascii="Arial" w:eastAsia="MS Gothic" w:hAnsi="Arial" w:cs="Arial"/>
          <w:b/>
          <w:sz w:val="22"/>
          <w:szCs w:val="20"/>
          <w:lang w:val="en-US" w:eastAsia="zh-CN"/>
        </w:rPr>
      </w:pPr>
      <w:bookmarkStart w:id="21" w:name="_Toc528238089"/>
      <w:bookmarkStart w:id="22" w:name="_Toc533089098"/>
      <w:r w:rsidRPr="007500D4">
        <w:rPr>
          <w:rFonts w:ascii="Arial" w:eastAsia="MS Gothic" w:hAnsi="Arial" w:cs="Arial"/>
          <w:b/>
          <w:sz w:val="22"/>
          <w:szCs w:val="20"/>
          <w:lang w:val="en-US" w:eastAsia="zh-CN"/>
        </w:rPr>
        <w:lastRenderedPageBreak/>
        <w:t xml:space="preserve">Table </w:t>
      </w:r>
      <w:r w:rsidR="00425194">
        <w:rPr>
          <w:rFonts w:ascii="Arial" w:eastAsia="MS Gothic" w:hAnsi="Arial" w:cs="Arial"/>
          <w:b/>
          <w:sz w:val="22"/>
          <w:szCs w:val="20"/>
          <w:lang w:val="en-US" w:eastAsia="zh-CN"/>
        </w:rPr>
        <w:t>7</w:t>
      </w:r>
      <w:r w:rsidRPr="007500D4">
        <w:rPr>
          <w:rFonts w:ascii="Arial" w:eastAsia="MS Gothic" w:hAnsi="Arial" w:cs="Arial"/>
          <w:b/>
          <w:sz w:val="22"/>
          <w:szCs w:val="20"/>
          <w:lang w:val="en-US" w:eastAsia="zh-CN"/>
        </w:rPr>
        <w:tab/>
        <w:t>Laboratory abnormalities observed in the phase III study</w:t>
      </w:r>
      <w:bookmarkEnd w:id="21"/>
      <w:bookmarkEnd w:id="22"/>
    </w:p>
    <w:tbl>
      <w:tblPr>
        <w:tblW w:w="5153"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4"/>
        <w:gridCol w:w="1456"/>
        <w:gridCol w:w="1357"/>
        <w:gridCol w:w="1460"/>
        <w:gridCol w:w="1282"/>
        <w:gridCol w:w="1529"/>
      </w:tblGrid>
      <w:tr w:rsidR="007500D4" w:rsidRPr="007500D4" w14:paraId="0F0A9980" w14:textId="77777777" w:rsidTr="002B6B22">
        <w:trPr>
          <w:tblHeader/>
        </w:trPr>
        <w:tc>
          <w:tcPr>
            <w:tcW w:w="1492" w:type="pct"/>
            <w:shd w:val="clear" w:color="auto" w:fill="auto"/>
            <w:vAlign w:val="center"/>
          </w:tcPr>
          <w:p w14:paraId="4757392D"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b/>
                <w:sz w:val="18"/>
                <w:szCs w:val="18"/>
                <w:lang w:val="en-US" w:eastAsia="zh-CN"/>
              </w:rPr>
              <w:t>Laboratory abnormalities</w:t>
            </w:r>
          </w:p>
        </w:tc>
        <w:tc>
          <w:tcPr>
            <w:tcW w:w="721" w:type="pct"/>
            <w:shd w:val="clear" w:color="auto" w:fill="auto"/>
            <w:vAlign w:val="center"/>
          </w:tcPr>
          <w:p w14:paraId="783946F7" w14:textId="799863BE" w:rsidR="007500D4" w:rsidRPr="007500D4" w:rsidRDefault="00E16761" w:rsidP="002B6B22">
            <w:pPr>
              <w:keepNext/>
              <w:keepLines/>
              <w:tabs>
                <w:tab w:val="left" w:pos="284"/>
              </w:tabs>
              <w:autoSpaceDE/>
              <w:autoSpaceDN/>
              <w:adjustRightInd/>
              <w:spacing w:after="0" w:line="240" w:lineRule="auto"/>
              <w:jc w:val="center"/>
              <w:rPr>
                <w:rFonts w:ascii="Arial" w:eastAsia="MS Mincho" w:hAnsi="Arial" w:cs="Arial"/>
                <w:b/>
                <w:bCs/>
                <w:sz w:val="18"/>
                <w:szCs w:val="18"/>
                <w:lang w:val="en-US" w:eastAsia="zh-CN"/>
              </w:rPr>
            </w:pPr>
            <w:r w:rsidRPr="007500D4">
              <w:rPr>
                <w:rFonts w:ascii="Arial" w:eastAsia="MS Mincho" w:hAnsi="Arial" w:cs="Arial"/>
                <w:b/>
                <w:bCs/>
                <w:sz w:val="18"/>
                <w:szCs w:val="18"/>
                <w:lang w:val="en-US" w:eastAsia="zh-CN"/>
              </w:rPr>
              <w:t>PIQRAY</w:t>
            </w:r>
            <w:r w:rsidR="007500D4" w:rsidRPr="007500D4">
              <w:rPr>
                <w:rFonts w:ascii="Arial" w:eastAsia="MS Mincho" w:hAnsi="Arial" w:cs="Arial"/>
                <w:b/>
                <w:bCs/>
                <w:sz w:val="18"/>
                <w:szCs w:val="18"/>
                <w:lang w:val="en-US" w:eastAsia="zh-CN"/>
              </w:rPr>
              <w:t xml:space="preserve"> + </w:t>
            </w:r>
            <w:proofErr w:type="spellStart"/>
            <w:r w:rsidR="007500D4" w:rsidRPr="007500D4">
              <w:rPr>
                <w:rFonts w:ascii="Arial" w:eastAsia="MS Mincho" w:hAnsi="Arial" w:cs="Arial"/>
                <w:b/>
                <w:bCs/>
                <w:sz w:val="18"/>
                <w:szCs w:val="18"/>
                <w:lang w:val="en-US" w:eastAsia="zh-CN"/>
              </w:rPr>
              <w:t>Fulvestrant</w:t>
            </w:r>
            <w:proofErr w:type="spellEnd"/>
          </w:p>
          <w:p w14:paraId="486466D8" w14:textId="77777777" w:rsidR="007500D4" w:rsidRPr="007500D4" w:rsidRDefault="007500D4" w:rsidP="002B6B22">
            <w:pPr>
              <w:keepNext/>
              <w:keepLines/>
              <w:tabs>
                <w:tab w:val="left" w:pos="284"/>
              </w:tabs>
              <w:autoSpaceDE/>
              <w:autoSpaceDN/>
              <w:adjustRightInd/>
              <w:spacing w:after="0" w:line="240" w:lineRule="auto"/>
              <w:jc w:val="center"/>
              <w:rPr>
                <w:rFonts w:ascii="Arial" w:eastAsia="MS Mincho" w:hAnsi="Arial" w:cs="Arial"/>
                <w:sz w:val="20"/>
                <w:lang w:val="en-US" w:eastAsia="zh-CN"/>
              </w:rPr>
            </w:pPr>
            <w:r w:rsidRPr="007500D4">
              <w:rPr>
                <w:rFonts w:ascii="Arial" w:eastAsia="MS Mincho" w:hAnsi="Arial" w:cs="Arial"/>
                <w:b/>
                <w:bCs/>
                <w:sz w:val="18"/>
                <w:szCs w:val="18"/>
                <w:lang w:val="en-US" w:eastAsia="zh-CN"/>
              </w:rPr>
              <w:t>N= 284</w:t>
            </w:r>
          </w:p>
          <w:p w14:paraId="4ECA42B6" w14:textId="77777777" w:rsidR="007500D4" w:rsidRPr="007500D4" w:rsidRDefault="007500D4" w:rsidP="002B6B22">
            <w:pPr>
              <w:keepNext/>
              <w:keepLines/>
              <w:tabs>
                <w:tab w:val="left" w:pos="284"/>
              </w:tabs>
              <w:autoSpaceDE/>
              <w:autoSpaceDN/>
              <w:adjustRightInd/>
              <w:spacing w:after="0" w:line="240" w:lineRule="auto"/>
              <w:jc w:val="center"/>
              <w:rPr>
                <w:rFonts w:ascii="Arial" w:eastAsia="MS Mincho" w:hAnsi="Arial" w:cs="Arial"/>
                <w:b/>
                <w:bCs/>
                <w:sz w:val="18"/>
                <w:szCs w:val="18"/>
                <w:lang w:val="en-US" w:eastAsia="zh-CN"/>
              </w:rPr>
            </w:pPr>
            <w:proofErr w:type="gramStart"/>
            <w:r w:rsidRPr="007500D4">
              <w:rPr>
                <w:rFonts w:ascii="Arial" w:eastAsia="MS Mincho" w:hAnsi="Arial" w:cs="Arial"/>
                <w:b/>
                <w:bCs/>
                <w:sz w:val="18"/>
                <w:szCs w:val="18"/>
                <w:lang w:val="en-US" w:eastAsia="zh-CN"/>
              </w:rPr>
              <w:t>n</w:t>
            </w:r>
            <w:proofErr w:type="gramEnd"/>
            <w:r w:rsidRPr="007500D4">
              <w:rPr>
                <w:rFonts w:ascii="Arial" w:eastAsia="MS Mincho" w:hAnsi="Arial" w:cs="Arial"/>
                <w:b/>
                <w:bCs/>
                <w:sz w:val="18"/>
                <w:szCs w:val="18"/>
                <w:lang w:val="en-US" w:eastAsia="zh-CN"/>
              </w:rPr>
              <w:t xml:space="preserve"> (%)</w:t>
            </w:r>
          </w:p>
          <w:p w14:paraId="406E1C94" w14:textId="77777777" w:rsidR="007500D4" w:rsidRPr="007500D4" w:rsidRDefault="007500D4" w:rsidP="002B6B22">
            <w:pPr>
              <w:keepNext/>
              <w:keepLines/>
              <w:tabs>
                <w:tab w:val="left" w:pos="284"/>
              </w:tabs>
              <w:autoSpaceDE/>
              <w:autoSpaceDN/>
              <w:adjustRightInd/>
              <w:spacing w:after="0" w:line="240" w:lineRule="auto"/>
              <w:jc w:val="center"/>
              <w:rPr>
                <w:rFonts w:ascii="Arial" w:eastAsia="MS Mincho" w:hAnsi="Arial" w:cs="Arial"/>
                <w:b/>
                <w:bCs/>
                <w:sz w:val="18"/>
                <w:szCs w:val="18"/>
                <w:lang w:val="en-US" w:eastAsia="zh-CN"/>
              </w:rPr>
            </w:pPr>
            <w:r w:rsidRPr="007500D4">
              <w:rPr>
                <w:rFonts w:ascii="Arial" w:eastAsia="MS Mincho" w:hAnsi="Arial" w:cs="Arial"/>
                <w:b/>
                <w:bCs/>
                <w:sz w:val="18"/>
                <w:szCs w:val="18"/>
                <w:lang w:val="en-US" w:eastAsia="zh-CN"/>
              </w:rPr>
              <w:t>All Grades</w:t>
            </w:r>
          </w:p>
        </w:tc>
        <w:tc>
          <w:tcPr>
            <w:tcW w:w="672" w:type="pct"/>
            <w:shd w:val="clear" w:color="auto" w:fill="auto"/>
            <w:vAlign w:val="center"/>
          </w:tcPr>
          <w:p w14:paraId="5B4B3926" w14:textId="77777777" w:rsidR="007500D4" w:rsidRPr="007500D4" w:rsidRDefault="007500D4" w:rsidP="002B6B22">
            <w:pPr>
              <w:keepLines/>
              <w:tabs>
                <w:tab w:val="left" w:pos="284"/>
              </w:tabs>
              <w:autoSpaceDE/>
              <w:autoSpaceDN/>
              <w:adjustRightInd/>
              <w:spacing w:after="0" w:line="240" w:lineRule="auto"/>
              <w:jc w:val="center"/>
              <w:rPr>
                <w:rFonts w:ascii="Arial" w:eastAsia="MS Mincho" w:hAnsi="Arial" w:cs="Arial"/>
                <w:b/>
                <w:bCs/>
                <w:sz w:val="18"/>
                <w:szCs w:val="18"/>
                <w:lang w:val="en-US" w:eastAsia="zh-CN"/>
              </w:rPr>
            </w:pPr>
            <w:r w:rsidRPr="007500D4">
              <w:rPr>
                <w:rFonts w:ascii="Arial" w:eastAsia="MS Mincho" w:hAnsi="Arial" w:cs="Arial"/>
                <w:b/>
                <w:bCs/>
                <w:sz w:val="18"/>
                <w:szCs w:val="18"/>
                <w:lang w:val="en-US" w:eastAsia="zh-CN"/>
              </w:rPr>
              <w:t xml:space="preserve">Placebo + </w:t>
            </w:r>
            <w:proofErr w:type="spellStart"/>
            <w:r w:rsidRPr="007500D4">
              <w:rPr>
                <w:rFonts w:ascii="Arial" w:eastAsia="MS Mincho" w:hAnsi="Arial" w:cs="Arial"/>
                <w:b/>
                <w:bCs/>
                <w:sz w:val="18"/>
                <w:szCs w:val="18"/>
                <w:lang w:val="en-US" w:eastAsia="zh-CN"/>
              </w:rPr>
              <w:t>Fulvestrant</w:t>
            </w:r>
            <w:proofErr w:type="spellEnd"/>
            <w:r w:rsidRPr="007500D4">
              <w:rPr>
                <w:rFonts w:ascii="Arial" w:eastAsia="MS Mincho" w:hAnsi="Arial" w:cs="Arial"/>
                <w:b/>
                <w:bCs/>
                <w:sz w:val="18"/>
                <w:szCs w:val="18"/>
                <w:lang w:val="en-US" w:eastAsia="zh-CN"/>
              </w:rPr>
              <w:t xml:space="preserve"> </w:t>
            </w:r>
          </w:p>
          <w:p w14:paraId="6FDC4968" w14:textId="77777777" w:rsidR="007500D4" w:rsidRPr="007500D4" w:rsidRDefault="007500D4" w:rsidP="002B6B22">
            <w:pPr>
              <w:keepLines/>
              <w:tabs>
                <w:tab w:val="left" w:pos="284"/>
              </w:tabs>
              <w:autoSpaceDE/>
              <w:autoSpaceDN/>
              <w:adjustRightInd/>
              <w:spacing w:after="0" w:line="240" w:lineRule="auto"/>
              <w:jc w:val="center"/>
              <w:rPr>
                <w:rFonts w:ascii="Arial" w:eastAsia="MS Mincho" w:hAnsi="Arial" w:cs="Arial"/>
                <w:b/>
                <w:bCs/>
                <w:sz w:val="18"/>
                <w:szCs w:val="18"/>
                <w:lang w:val="en-US" w:eastAsia="zh-CN"/>
              </w:rPr>
            </w:pPr>
            <w:r w:rsidRPr="007500D4">
              <w:rPr>
                <w:rFonts w:ascii="Arial" w:eastAsia="MS Mincho" w:hAnsi="Arial" w:cs="Arial"/>
                <w:b/>
                <w:bCs/>
                <w:sz w:val="18"/>
                <w:szCs w:val="18"/>
                <w:lang w:val="en-US" w:eastAsia="zh-CN"/>
              </w:rPr>
              <w:t>N= 287</w:t>
            </w:r>
          </w:p>
          <w:p w14:paraId="70F91C7B" w14:textId="77777777" w:rsidR="007500D4" w:rsidRPr="007500D4" w:rsidRDefault="007500D4" w:rsidP="002B6B22">
            <w:pPr>
              <w:keepLines/>
              <w:tabs>
                <w:tab w:val="left" w:pos="284"/>
              </w:tabs>
              <w:autoSpaceDE/>
              <w:autoSpaceDN/>
              <w:adjustRightInd/>
              <w:spacing w:after="0" w:line="240" w:lineRule="auto"/>
              <w:jc w:val="center"/>
              <w:rPr>
                <w:rFonts w:ascii="Arial" w:eastAsia="MS Mincho" w:hAnsi="Arial" w:cs="Arial"/>
                <w:b/>
                <w:bCs/>
                <w:sz w:val="18"/>
                <w:szCs w:val="18"/>
                <w:lang w:val="en-US" w:eastAsia="zh-CN"/>
              </w:rPr>
            </w:pPr>
            <w:proofErr w:type="gramStart"/>
            <w:r w:rsidRPr="007500D4">
              <w:rPr>
                <w:rFonts w:ascii="Arial" w:eastAsia="MS Mincho" w:hAnsi="Arial" w:cs="Arial"/>
                <w:b/>
                <w:bCs/>
                <w:sz w:val="18"/>
                <w:szCs w:val="18"/>
                <w:lang w:val="en-US" w:eastAsia="zh-CN"/>
              </w:rPr>
              <w:t>n</w:t>
            </w:r>
            <w:proofErr w:type="gramEnd"/>
            <w:r w:rsidRPr="007500D4">
              <w:rPr>
                <w:rFonts w:ascii="Arial" w:eastAsia="MS Mincho" w:hAnsi="Arial" w:cs="Arial"/>
                <w:b/>
                <w:bCs/>
                <w:sz w:val="18"/>
                <w:szCs w:val="18"/>
                <w:lang w:val="en-US" w:eastAsia="zh-CN"/>
              </w:rPr>
              <w:t xml:space="preserve"> (%)</w:t>
            </w:r>
          </w:p>
          <w:p w14:paraId="1FC684B6" w14:textId="77777777" w:rsidR="007500D4" w:rsidRPr="007500D4" w:rsidRDefault="007500D4" w:rsidP="002B6B22">
            <w:pPr>
              <w:keepNext/>
              <w:keepLines/>
              <w:tabs>
                <w:tab w:val="left" w:pos="284"/>
              </w:tabs>
              <w:autoSpaceDE/>
              <w:autoSpaceDN/>
              <w:adjustRightInd/>
              <w:spacing w:after="0" w:line="240" w:lineRule="auto"/>
              <w:jc w:val="center"/>
              <w:rPr>
                <w:rFonts w:ascii="Arial" w:eastAsia="MS Mincho" w:hAnsi="Arial" w:cs="Arial"/>
                <w:b/>
                <w:bCs/>
                <w:sz w:val="18"/>
                <w:szCs w:val="18"/>
                <w:lang w:val="en-US" w:eastAsia="zh-CN"/>
              </w:rPr>
            </w:pPr>
            <w:r w:rsidRPr="007500D4">
              <w:rPr>
                <w:rFonts w:ascii="Arial" w:eastAsia="MS Mincho" w:hAnsi="Arial" w:cs="Arial"/>
                <w:b/>
                <w:bCs/>
                <w:sz w:val="18"/>
                <w:szCs w:val="18"/>
                <w:lang w:val="en-US" w:eastAsia="zh-CN"/>
              </w:rPr>
              <w:t>All Grades</w:t>
            </w:r>
          </w:p>
        </w:tc>
        <w:tc>
          <w:tcPr>
            <w:tcW w:w="723" w:type="pct"/>
            <w:shd w:val="clear" w:color="auto" w:fill="auto"/>
            <w:vAlign w:val="center"/>
          </w:tcPr>
          <w:p w14:paraId="1DDDEE7F" w14:textId="61CA3F54" w:rsidR="007500D4" w:rsidRPr="007500D4" w:rsidRDefault="00E16761" w:rsidP="002B6B22">
            <w:pPr>
              <w:keepNext/>
              <w:keepLines/>
              <w:tabs>
                <w:tab w:val="left" w:pos="284"/>
              </w:tabs>
              <w:autoSpaceDE/>
              <w:autoSpaceDN/>
              <w:adjustRightInd/>
              <w:spacing w:after="0" w:line="240" w:lineRule="auto"/>
              <w:jc w:val="center"/>
              <w:rPr>
                <w:rFonts w:ascii="Arial" w:eastAsia="MS Mincho" w:hAnsi="Arial" w:cs="Arial"/>
                <w:b/>
                <w:bCs/>
                <w:sz w:val="18"/>
                <w:szCs w:val="18"/>
                <w:lang w:val="en-US" w:eastAsia="zh-CN"/>
              </w:rPr>
            </w:pPr>
            <w:r w:rsidRPr="007500D4">
              <w:rPr>
                <w:rFonts w:ascii="Arial" w:eastAsia="MS Mincho" w:hAnsi="Arial" w:cs="Arial"/>
                <w:b/>
                <w:bCs/>
                <w:sz w:val="18"/>
                <w:szCs w:val="18"/>
                <w:lang w:val="en-US" w:eastAsia="zh-CN"/>
              </w:rPr>
              <w:t xml:space="preserve">PIQRAY </w:t>
            </w:r>
            <w:r w:rsidR="007500D4" w:rsidRPr="007500D4">
              <w:rPr>
                <w:rFonts w:ascii="Arial" w:eastAsia="MS Mincho" w:hAnsi="Arial" w:cs="Arial"/>
                <w:b/>
                <w:bCs/>
                <w:sz w:val="18"/>
                <w:szCs w:val="18"/>
                <w:lang w:val="en-US" w:eastAsia="zh-CN"/>
              </w:rPr>
              <w:t xml:space="preserve">+ </w:t>
            </w:r>
            <w:proofErr w:type="spellStart"/>
            <w:r w:rsidR="007500D4" w:rsidRPr="007500D4">
              <w:rPr>
                <w:rFonts w:ascii="Arial" w:eastAsia="MS Mincho" w:hAnsi="Arial" w:cs="Arial"/>
                <w:b/>
                <w:bCs/>
                <w:sz w:val="18"/>
                <w:szCs w:val="18"/>
                <w:lang w:val="en-US" w:eastAsia="zh-CN"/>
              </w:rPr>
              <w:t>Fulvestrant</w:t>
            </w:r>
            <w:proofErr w:type="spellEnd"/>
          </w:p>
          <w:p w14:paraId="66133056" w14:textId="77777777" w:rsidR="007500D4" w:rsidRPr="007500D4" w:rsidRDefault="007500D4" w:rsidP="002B6B22">
            <w:pPr>
              <w:keepNext/>
              <w:keepLines/>
              <w:tabs>
                <w:tab w:val="left" w:pos="284"/>
              </w:tabs>
              <w:autoSpaceDE/>
              <w:autoSpaceDN/>
              <w:adjustRightInd/>
              <w:spacing w:after="0" w:line="240" w:lineRule="auto"/>
              <w:jc w:val="center"/>
              <w:rPr>
                <w:rFonts w:ascii="Arial" w:eastAsia="MS Mincho" w:hAnsi="Arial" w:cs="Arial"/>
                <w:b/>
                <w:bCs/>
                <w:sz w:val="18"/>
                <w:szCs w:val="18"/>
                <w:lang w:val="en-US" w:eastAsia="zh-CN"/>
              </w:rPr>
            </w:pPr>
            <w:r w:rsidRPr="007500D4">
              <w:rPr>
                <w:rFonts w:ascii="Arial" w:eastAsia="MS Mincho" w:hAnsi="Arial" w:cs="Arial"/>
                <w:b/>
                <w:bCs/>
                <w:sz w:val="18"/>
                <w:szCs w:val="18"/>
                <w:lang w:val="en-US" w:eastAsia="zh-CN"/>
              </w:rPr>
              <w:t>N= 284</w:t>
            </w:r>
          </w:p>
          <w:p w14:paraId="093247E9" w14:textId="77777777" w:rsidR="007500D4" w:rsidRPr="007500D4" w:rsidRDefault="007500D4" w:rsidP="002B6B22">
            <w:pPr>
              <w:keepNext/>
              <w:keepLines/>
              <w:tabs>
                <w:tab w:val="left" w:pos="284"/>
              </w:tabs>
              <w:autoSpaceDE/>
              <w:autoSpaceDN/>
              <w:adjustRightInd/>
              <w:spacing w:after="0" w:line="240" w:lineRule="auto"/>
              <w:jc w:val="center"/>
              <w:rPr>
                <w:rFonts w:ascii="Arial" w:eastAsia="MS Mincho" w:hAnsi="Arial" w:cs="Arial"/>
                <w:b/>
                <w:bCs/>
                <w:sz w:val="18"/>
                <w:szCs w:val="18"/>
                <w:lang w:val="en-US" w:eastAsia="zh-CN"/>
              </w:rPr>
            </w:pPr>
            <w:proofErr w:type="gramStart"/>
            <w:r w:rsidRPr="007500D4">
              <w:rPr>
                <w:rFonts w:ascii="Arial" w:eastAsia="MS Mincho" w:hAnsi="Arial" w:cs="Arial"/>
                <w:b/>
                <w:bCs/>
                <w:sz w:val="18"/>
                <w:szCs w:val="18"/>
                <w:lang w:val="en-US" w:eastAsia="zh-CN"/>
              </w:rPr>
              <w:t>n</w:t>
            </w:r>
            <w:proofErr w:type="gramEnd"/>
            <w:r w:rsidRPr="007500D4">
              <w:rPr>
                <w:rFonts w:ascii="Arial" w:eastAsia="MS Mincho" w:hAnsi="Arial" w:cs="Arial"/>
                <w:b/>
                <w:bCs/>
                <w:sz w:val="18"/>
                <w:szCs w:val="18"/>
                <w:lang w:val="en-US" w:eastAsia="zh-CN"/>
              </w:rPr>
              <w:t xml:space="preserve"> (%)</w:t>
            </w:r>
          </w:p>
          <w:p w14:paraId="68FD6200" w14:textId="77777777" w:rsidR="007500D4" w:rsidRPr="007500D4" w:rsidRDefault="007500D4" w:rsidP="002B6B22">
            <w:pPr>
              <w:keepNext/>
              <w:keepLines/>
              <w:tabs>
                <w:tab w:val="left" w:pos="284"/>
              </w:tabs>
              <w:autoSpaceDE/>
              <w:autoSpaceDN/>
              <w:adjustRightInd/>
              <w:spacing w:after="0" w:line="240" w:lineRule="auto"/>
              <w:jc w:val="center"/>
              <w:rPr>
                <w:rFonts w:ascii="Arial" w:eastAsia="MS Mincho" w:hAnsi="Arial" w:cs="Arial"/>
                <w:b/>
                <w:bCs/>
                <w:sz w:val="18"/>
                <w:szCs w:val="18"/>
                <w:lang w:val="en-US" w:eastAsia="zh-CN"/>
              </w:rPr>
            </w:pPr>
            <w:r w:rsidRPr="007500D4">
              <w:rPr>
                <w:rFonts w:ascii="Arial" w:eastAsia="MS Mincho" w:hAnsi="Arial" w:cs="Arial"/>
                <w:b/>
                <w:bCs/>
                <w:sz w:val="18"/>
                <w:szCs w:val="18"/>
                <w:lang w:val="en-US" w:eastAsia="zh-CN"/>
              </w:rPr>
              <w:t>Grades 3/4</w:t>
            </w:r>
          </w:p>
        </w:tc>
        <w:tc>
          <w:tcPr>
            <w:tcW w:w="635" w:type="pct"/>
            <w:shd w:val="clear" w:color="auto" w:fill="auto"/>
            <w:vAlign w:val="center"/>
          </w:tcPr>
          <w:p w14:paraId="5BA58838" w14:textId="77777777" w:rsidR="007500D4" w:rsidRPr="007500D4" w:rsidRDefault="007500D4" w:rsidP="002B6B22">
            <w:pPr>
              <w:keepLines/>
              <w:tabs>
                <w:tab w:val="left" w:pos="284"/>
              </w:tabs>
              <w:autoSpaceDE/>
              <w:autoSpaceDN/>
              <w:adjustRightInd/>
              <w:spacing w:after="0" w:line="240" w:lineRule="auto"/>
              <w:jc w:val="center"/>
              <w:rPr>
                <w:rFonts w:ascii="Arial" w:eastAsia="MS Mincho" w:hAnsi="Arial" w:cs="Arial"/>
                <w:b/>
                <w:bCs/>
                <w:sz w:val="18"/>
                <w:szCs w:val="18"/>
                <w:lang w:val="en-US" w:eastAsia="zh-CN"/>
              </w:rPr>
            </w:pPr>
            <w:r w:rsidRPr="007500D4">
              <w:rPr>
                <w:rFonts w:ascii="Arial" w:eastAsia="MS Mincho" w:hAnsi="Arial" w:cs="Arial"/>
                <w:b/>
                <w:bCs/>
                <w:sz w:val="18"/>
                <w:szCs w:val="18"/>
                <w:lang w:val="en-US" w:eastAsia="zh-CN"/>
              </w:rPr>
              <w:t xml:space="preserve">Placebo + </w:t>
            </w:r>
            <w:proofErr w:type="spellStart"/>
            <w:r w:rsidRPr="007500D4">
              <w:rPr>
                <w:rFonts w:ascii="Arial" w:eastAsia="MS Mincho" w:hAnsi="Arial" w:cs="Arial"/>
                <w:b/>
                <w:bCs/>
                <w:sz w:val="18"/>
                <w:szCs w:val="18"/>
                <w:lang w:val="en-US" w:eastAsia="zh-CN"/>
              </w:rPr>
              <w:t>Fulvestrant</w:t>
            </w:r>
            <w:proofErr w:type="spellEnd"/>
            <w:r w:rsidRPr="007500D4">
              <w:rPr>
                <w:rFonts w:ascii="Arial" w:eastAsia="MS Mincho" w:hAnsi="Arial" w:cs="Arial"/>
                <w:b/>
                <w:bCs/>
                <w:sz w:val="18"/>
                <w:szCs w:val="18"/>
                <w:lang w:val="en-US" w:eastAsia="zh-CN"/>
              </w:rPr>
              <w:t xml:space="preserve"> </w:t>
            </w:r>
          </w:p>
          <w:p w14:paraId="7867AD99" w14:textId="77777777" w:rsidR="007500D4" w:rsidRPr="007500D4" w:rsidRDefault="007500D4" w:rsidP="002B6B22">
            <w:pPr>
              <w:keepLines/>
              <w:tabs>
                <w:tab w:val="left" w:pos="284"/>
              </w:tabs>
              <w:autoSpaceDE/>
              <w:autoSpaceDN/>
              <w:adjustRightInd/>
              <w:spacing w:after="0" w:line="240" w:lineRule="auto"/>
              <w:jc w:val="center"/>
              <w:rPr>
                <w:rFonts w:ascii="Arial" w:eastAsia="MS Mincho" w:hAnsi="Arial" w:cs="Arial"/>
                <w:b/>
                <w:bCs/>
                <w:sz w:val="18"/>
                <w:szCs w:val="18"/>
                <w:lang w:val="en-US" w:eastAsia="zh-CN"/>
              </w:rPr>
            </w:pPr>
            <w:r w:rsidRPr="007500D4">
              <w:rPr>
                <w:rFonts w:ascii="Arial" w:eastAsia="MS Mincho" w:hAnsi="Arial" w:cs="Arial"/>
                <w:b/>
                <w:bCs/>
                <w:sz w:val="18"/>
                <w:szCs w:val="18"/>
                <w:lang w:val="en-US" w:eastAsia="zh-CN"/>
              </w:rPr>
              <w:t>N=287</w:t>
            </w:r>
          </w:p>
          <w:p w14:paraId="3C7BBDF1" w14:textId="77777777" w:rsidR="007500D4" w:rsidRPr="007500D4" w:rsidRDefault="007500D4" w:rsidP="002B6B22">
            <w:pPr>
              <w:keepLines/>
              <w:tabs>
                <w:tab w:val="left" w:pos="284"/>
              </w:tabs>
              <w:autoSpaceDE/>
              <w:autoSpaceDN/>
              <w:adjustRightInd/>
              <w:spacing w:after="0" w:line="240" w:lineRule="auto"/>
              <w:jc w:val="center"/>
              <w:rPr>
                <w:rFonts w:ascii="Arial" w:eastAsia="MS Mincho" w:hAnsi="Arial" w:cs="Arial"/>
                <w:b/>
                <w:bCs/>
                <w:sz w:val="18"/>
                <w:szCs w:val="18"/>
                <w:lang w:val="en-US" w:eastAsia="zh-CN"/>
              </w:rPr>
            </w:pPr>
            <w:proofErr w:type="gramStart"/>
            <w:r w:rsidRPr="007500D4">
              <w:rPr>
                <w:rFonts w:ascii="Arial" w:eastAsia="MS Mincho" w:hAnsi="Arial" w:cs="Arial"/>
                <w:b/>
                <w:bCs/>
                <w:sz w:val="18"/>
                <w:szCs w:val="18"/>
                <w:lang w:val="en-US" w:eastAsia="zh-CN"/>
              </w:rPr>
              <w:t>n</w:t>
            </w:r>
            <w:proofErr w:type="gramEnd"/>
            <w:r w:rsidRPr="007500D4">
              <w:rPr>
                <w:rFonts w:ascii="Arial" w:eastAsia="MS Mincho" w:hAnsi="Arial" w:cs="Arial"/>
                <w:b/>
                <w:bCs/>
                <w:sz w:val="18"/>
                <w:szCs w:val="18"/>
                <w:lang w:val="en-US" w:eastAsia="zh-CN"/>
              </w:rPr>
              <w:t xml:space="preserve"> (%)</w:t>
            </w:r>
          </w:p>
          <w:p w14:paraId="7232AE06" w14:textId="77777777" w:rsidR="007500D4" w:rsidRPr="007500D4" w:rsidRDefault="007500D4" w:rsidP="002B6B22">
            <w:pPr>
              <w:keepNext/>
              <w:keepLines/>
              <w:tabs>
                <w:tab w:val="left" w:pos="284"/>
              </w:tabs>
              <w:autoSpaceDE/>
              <w:autoSpaceDN/>
              <w:adjustRightInd/>
              <w:spacing w:after="0" w:line="240" w:lineRule="auto"/>
              <w:jc w:val="center"/>
              <w:rPr>
                <w:rFonts w:ascii="Arial" w:eastAsia="MS Mincho" w:hAnsi="Arial" w:cs="Arial"/>
                <w:b/>
                <w:bCs/>
                <w:sz w:val="18"/>
                <w:szCs w:val="18"/>
                <w:lang w:val="en-US" w:eastAsia="zh-CN"/>
              </w:rPr>
            </w:pPr>
            <w:r w:rsidRPr="007500D4">
              <w:rPr>
                <w:rFonts w:ascii="Arial" w:eastAsia="MS Mincho" w:hAnsi="Arial" w:cs="Arial"/>
                <w:b/>
                <w:bCs/>
                <w:sz w:val="18"/>
                <w:szCs w:val="18"/>
                <w:lang w:val="en-US" w:eastAsia="zh-CN"/>
              </w:rPr>
              <w:t>Grades 3/4</w:t>
            </w:r>
          </w:p>
        </w:tc>
        <w:tc>
          <w:tcPr>
            <w:tcW w:w="757" w:type="pct"/>
            <w:shd w:val="clear" w:color="auto" w:fill="auto"/>
            <w:vAlign w:val="center"/>
          </w:tcPr>
          <w:p w14:paraId="1D4B1677" w14:textId="63FD04F3" w:rsidR="007500D4" w:rsidRPr="007500D4" w:rsidRDefault="007500D4" w:rsidP="002B6B22">
            <w:pPr>
              <w:keepNext/>
              <w:keepLines/>
              <w:tabs>
                <w:tab w:val="left" w:pos="284"/>
              </w:tabs>
              <w:autoSpaceDE/>
              <w:autoSpaceDN/>
              <w:adjustRightInd/>
              <w:spacing w:after="0" w:line="240" w:lineRule="auto"/>
              <w:jc w:val="center"/>
              <w:rPr>
                <w:rFonts w:ascii="Arial" w:eastAsia="MS Mincho" w:hAnsi="Arial" w:cs="Arial"/>
                <w:b/>
                <w:bCs/>
                <w:sz w:val="18"/>
                <w:szCs w:val="18"/>
                <w:lang w:val="en-US" w:eastAsia="zh-CN"/>
              </w:rPr>
            </w:pPr>
            <w:r w:rsidRPr="007500D4">
              <w:rPr>
                <w:rFonts w:ascii="Arial" w:eastAsia="MS Mincho" w:hAnsi="Arial" w:cs="Arial"/>
                <w:b/>
                <w:bCs/>
                <w:sz w:val="18"/>
                <w:szCs w:val="18"/>
                <w:lang w:val="en-US" w:eastAsia="zh-CN"/>
              </w:rPr>
              <w:t xml:space="preserve">Frequency category for </w:t>
            </w:r>
            <w:r w:rsidR="00E16761" w:rsidRPr="007500D4">
              <w:rPr>
                <w:rFonts w:ascii="Arial" w:eastAsia="MS Mincho" w:hAnsi="Arial" w:cs="Arial"/>
                <w:b/>
                <w:bCs/>
                <w:sz w:val="18"/>
                <w:szCs w:val="18"/>
                <w:lang w:val="en-US" w:eastAsia="zh-CN"/>
              </w:rPr>
              <w:t xml:space="preserve">PIQRAY </w:t>
            </w:r>
            <w:r w:rsidRPr="007500D4">
              <w:rPr>
                <w:rFonts w:ascii="Arial" w:eastAsia="MS Mincho" w:hAnsi="Arial" w:cs="Arial"/>
                <w:b/>
                <w:bCs/>
                <w:sz w:val="18"/>
                <w:szCs w:val="18"/>
                <w:lang w:val="en-US" w:eastAsia="zh-CN"/>
              </w:rPr>
              <w:t xml:space="preserve">+ </w:t>
            </w:r>
            <w:proofErr w:type="spellStart"/>
            <w:r w:rsidRPr="007500D4">
              <w:rPr>
                <w:rFonts w:ascii="Arial" w:eastAsia="MS Mincho" w:hAnsi="Arial" w:cs="Arial"/>
                <w:b/>
                <w:bCs/>
                <w:sz w:val="18"/>
                <w:szCs w:val="18"/>
                <w:lang w:val="en-US" w:eastAsia="zh-CN"/>
              </w:rPr>
              <w:t>Fulvestrant</w:t>
            </w:r>
            <w:proofErr w:type="spellEnd"/>
          </w:p>
          <w:p w14:paraId="59258275" w14:textId="77777777" w:rsidR="007500D4" w:rsidRPr="007500D4" w:rsidRDefault="007500D4" w:rsidP="002B6B22">
            <w:pPr>
              <w:keepNext/>
              <w:autoSpaceDE/>
              <w:autoSpaceDN/>
              <w:adjustRightInd/>
              <w:spacing w:after="0" w:line="240" w:lineRule="auto"/>
              <w:jc w:val="center"/>
              <w:rPr>
                <w:rFonts w:eastAsia="MS Mincho"/>
                <w:b/>
                <w:bCs/>
                <w:i/>
                <w:color w:val="BF30B5"/>
                <w:sz w:val="18"/>
                <w:szCs w:val="18"/>
                <w:lang w:val="en-US" w:eastAsia="zh-CN"/>
              </w:rPr>
            </w:pPr>
            <w:r w:rsidRPr="007500D4">
              <w:rPr>
                <w:rFonts w:ascii="Arial" w:eastAsia="MS Mincho" w:hAnsi="Arial" w:cs="Arial"/>
                <w:b/>
                <w:bCs/>
                <w:sz w:val="18"/>
                <w:szCs w:val="18"/>
                <w:lang w:val="en-US" w:eastAsia="zh-CN"/>
              </w:rPr>
              <w:t>All Grades</w:t>
            </w:r>
          </w:p>
        </w:tc>
      </w:tr>
      <w:tr w:rsidR="007500D4" w:rsidRPr="007500D4" w14:paraId="79CA8E1F" w14:textId="77777777" w:rsidTr="005E2D28">
        <w:tc>
          <w:tcPr>
            <w:tcW w:w="5000" w:type="pct"/>
            <w:gridSpan w:val="6"/>
            <w:tcBorders>
              <w:bottom w:val="single" w:sz="4" w:space="0" w:color="auto"/>
            </w:tcBorders>
            <w:shd w:val="clear" w:color="auto" w:fill="auto"/>
          </w:tcPr>
          <w:p w14:paraId="24AF728F"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b/>
                <w:bCs/>
                <w:sz w:val="18"/>
                <w:szCs w:val="18"/>
                <w:lang w:val="en-US" w:eastAsia="zh-CN"/>
              </w:rPr>
            </w:pPr>
            <w:r w:rsidRPr="007500D4">
              <w:rPr>
                <w:rFonts w:ascii="Arial" w:eastAsia="MS Mincho" w:hAnsi="Arial" w:cs="Arial"/>
                <w:b/>
                <w:bCs/>
                <w:sz w:val="18"/>
                <w:szCs w:val="18"/>
                <w:lang w:val="en-US" w:eastAsia="zh-CN"/>
              </w:rPr>
              <w:t>Hematological parameters</w:t>
            </w:r>
          </w:p>
        </w:tc>
      </w:tr>
      <w:tr w:rsidR="007500D4" w:rsidRPr="007500D4" w14:paraId="115B814A" w14:textId="77777777" w:rsidTr="005E2D28">
        <w:tc>
          <w:tcPr>
            <w:tcW w:w="1492" w:type="pct"/>
            <w:tcBorders>
              <w:top w:val="single" w:sz="4" w:space="0" w:color="auto"/>
              <w:left w:val="single" w:sz="4" w:space="0" w:color="auto"/>
              <w:bottom w:val="single" w:sz="4" w:space="0" w:color="auto"/>
              <w:right w:val="single" w:sz="4" w:space="0" w:color="auto"/>
            </w:tcBorders>
            <w:shd w:val="clear" w:color="auto" w:fill="auto"/>
          </w:tcPr>
          <w:p w14:paraId="6ABB219D"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Lymphocyte count decreased</w:t>
            </w:r>
          </w:p>
        </w:tc>
        <w:tc>
          <w:tcPr>
            <w:tcW w:w="721" w:type="pct"/>
            <w:tcBorders>
              <w:top w:val="single" w:sz="4" w:space="0" w:color="auto"/>
              <w:left w:val="single" w:sz="4" w:space="0" w:color="auto"/>
              <w:bottom w:val="single" w:sz="4" w:space="0" w:color="auto"/>
              <w:right w:val="single" w:sz="4" w:space="0" w:color="auto"/>
            </w:tcBorders>
            <w:shd w:val="clear" w:color="auto" w:fill="auto"/>
          </w:tcPr>
          <w:p w14:paraId="280562AC"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147 (51.8)</w:t>
            </w:r>
          </w:p>
        </w:tc>
        <w:tc>
          <w:tcPr>
            <w:tcW w:w="672" w:type="pct"/>
            <w:tcBorders>
              <w:top w:val="single" w:sz="4" w:space="0" w:color="auto"/>
              <w:left w:val="single" w:sz="4" w:space="0" w:color="auto"/>
              <w:bottom w:val="single" w:sz="4" w:space="0" w:color="auto"/>
              <w:right w:val="single" w:sz="4" w:space="0" w:color="auto"/>
            </w:tcBorders>
            <w:shd w:val="clear" w:color="auto" w:fill="auto"/>
          </w:tcPr>
          <w:p w14:paraId="71A723C4"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116 (40.4)</w:t>
            </w:r>
          </w:p>
        </w:tc>
        <w:tc>
          <w:tcPr>
            <w:tcW w:w="723" w:type="pct"/>
            <w:tcBorders>
              <w:top w:val="single" w:sz="4" w:space="0" w:color="auto"/>
              <w:left w:val="single" w:sz="4" w:space="0" w:color="auto"/>
              <w:bottom w:val="single" w:sz="4" w:space="0" w:color="auto"/>
              <w:right w:val="single" w:sz="4" w:space="0" w:color="auto"/>
            </w:tcBorders>
            <w:shd w:val="clear" w:color="auto" w:fill="auto"/>
          </w:tcPr>
          <w:p w14:paraId="34141AC1"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23 (8.1)</w:t>
            </w:r>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02531E08"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13 (4.5)</w:t>
            </w:r>
          </w:p>
        </w:tc>
        <w:tc>
          <w:tcPr>
            <w:tcW w:w="757" w:type="pct"/>
            <w:tcBorders>
              <w:top w:val="single" w:sz="4" w:space="0" w:color="auto"/>
              <w:left w:val="single" w:sz="4" w:space="0" w:color="auto"/>
              <w:bottom w:val="single" w:sz="4" w:space="0" w:color="auto"/>
              <w:right w:val="single" w:sz="4" w:space="0" w:color="auto"/>
            </w:tcBorders>
            <w:shd w:val="clear" w:color="auto" w:fill="auto"/>
          </w:tcPr>
          <w:p w14:paraId="49B3CA0F"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Very common</w:t>
            </w:r>
          </w:p>
        </w:tc>
      </w:tr>
      <w:tr w:rsidR="007500D4" w:rsidRPr="007500D4" w14:paraId="10FED5DB" w14:textId="77777777" w:rsidTr="005E2D28">
        <w:tc>
          <w:tcPr>
            <w:tcW w:w="1492" w:type="pct"/>
            <w:tcBorders>
              <w:top w:val="single" w:sz="4" w:space="0" w:color="auto"/>
            </w:tcBorders>
            <w:shd w:val="clear" w:color="auto" w:fill="auto"/>
          </w:tcPr>
          <w:p w14:paraId="7E7BA435"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Hemoglobin decreased</w:t>
            </w:r>
          </w:p>
        </w:tc>
        <w:tc>
          <w:tcPr>
            <w:tcW w:w="721" w:type="pct"/>
            <w:tcBorders>
              <w:top w:val="single" w:sz="4" w:space="0" w:color="auto"/>
            </w:tcBorders>
            <w:shd w:val="clear" w:color="auto" w:fill="auto"/>
          </w:tcPr>
          <w:p w14:paraId="68578B86"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118 (41.5)</w:t>
            </w:r>
          </w:p>
        </w:tc>
        <w:tc>
          <w:tcPr>
            <w:tcW w:w="672" w:type="pct"/>
            <w:tcBorders>
              <w:top w:val="single" w:sz="4" w:space="0" w:color="auto"/>
            </w:tcBorders>
            <w:shd w:val="clear" w:color="auto" w:fill="auto"/>
          </w:tcPr>
          <w:p w14:paraId="019080B4"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83 (28.9)</w:t>
            </w:r>
          </w:p>
        </w:tc>
        <w:tc>
          <w:tcPr>
            <w:tcW w:w="723" w:type="pct"/>
            <w:tcBorders>
              <w:top w:val="single" w:sz="4" w:space="0" w:color="auto"/>
            </w:tcBorders>
            <w:shd w:val="clear" w:color="auto" w:fill="auto"/>
          </w:tcPr>
          <w:p w14:paraId="1FA637E2"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12 (4.2)</w:t>
            </w:r>
          </w:p>
        </w:tc>
        <w:tc>
          <w:tcPr>
            <w:tcW w:w="635" w:type="pct"/>
            <w:tcBorders>
              <w:top w:val="single" w:sz="4" w:space="0" w:color="auto"/>
            </w:tcBorders>
            <w:shd w:val="clear" w:color="auto" w:fill="auto"/>
          </w:tcPr>
          <w:p w14:paraId="46BA9F4F"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3 (1.0)</w:t>
            </w:r>
          </w:p>
        </w:tc>
        <w:tc>
          <w:tcPr>
            <w:tcW w:w="757" w:type="pct"/>
            <w:tcBorders>
              <w:top w:val="single" w:sz="4" w:space="0" w:color="auto"/>
            </w:tcBorders>
            <w:shd w:val="clear" w:color="auto" w:fill="auto"/>
          </w:tcPr>
          <w:p w14:paraId="007E869D"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Very common</w:t>
            </w:r>
          </w:p>
        </w:tc>
      </w:tr>
      <w:tr w:rsidR="007500D4" w:rsidRPr="007500D4" w14:paraId="5508647E" w14:textId="77777777" w:rsidTr="005E2D28">
        <w:tc>
          <w:tcPr>
            <w:tcW w:w="1492" w:type="pct"/>
            <w:shd w:val="clear" w:color="auto" w:fill="auto"/>
          </w:tcPr>
          <w:p w14:paraId="1B5EFB78"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Activated partial thromboplastin time increased</w:t>
            </w:r>
          </w:p>
        </w:tc>
        <w:tc>
          <w:tcPr>
            <w:tcW w:w="721" w:type="pct"/>
            <w:shd w:val="clear" w:color="auto" w:fill="auto"/>
          </w:tcPr>
          <w:p w14:paraId="25E1DF75"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60 (21.1)</w:t>
            </w:r>
          </w:p>
        </w:tc>
        <w:tc>
          <w:tcPr>
            <w:tcW w:w="672" w:type="pct"/>
            <w:shd w:val="clear" w:color="auto" w:fill="auto"/>
          </w:tcPr>
          <w:p w14:paraId="654657D1"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45 (15.7)</w:t>
            </w:r>
          </w:p>
        </w:tc>
        <w:tc>
          <w:tcPr>
            <w:tcW w:w="723" w:type="pct"/>
            <w:shd w:val="clear" w:color="auto" w:fill="auto"/>
          </w:tcPr>
          <w:p w14:paraId="56A3D9FC"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2 (0.7)</w:t>
            </w:r>
          </w:p>
        </w:tc>
        <w:tc>
          <w:tcPr>
            <w:tcW w:w="635" w:type="pct"/>
            <w:shd w:val="clear" w:color="auto" w:fill="auto"/>
          </w:tcPr>
          <w:p w14:paraId="66EE6DAA"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1 (0.3)</w:t>
            </w:r>
          </w:p>
        </w:tc>
        <w:tc>
          <w:tcPr>
            <w:tcW w:w="757" w:type="pct"/>
            <w:shd w:val="clear" w:color="auto" w:fill="auto"/>
          </w:tcPr>
          <w:p w14:paraId="63F1F9C8"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Very common</w:t>
            </w:r>
          </w:p>
        </w:tc>
      </w:tr>
      <w:tr w:rsidR="007500D4" w:rsidRPr="007500D4" w14:paraId="70E38502" w14:textId="77777777" w:rsidTr="005E2D28">
        <w:tc>
          <w:tcPr>
            <w:tcW w:w="1492" w:type="pct"/>
            <w:shd w:val="clear" w:color="auto" w:fill="auto"/>
          </w:tcPr>
          <w:p w14:paraId="3E0412C3"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Platelet count decreased</w:t>
            </w:r>
          </w:p>
        </w:tc>
        <w:tc>
          <w:tcPr>
            <w:tcW w:w="721" w:type="pct"/>
            <w:shd w:val="clear" w:color="auto" w:fill="auto"/>
          </w:tcPr>
          <w:p w14:paraId="3D508647"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39 (13.7)</w:t>
            </w:r>
          </w:p>
        </w:tc>
        <w:tc>
          <w:tcPr>
            <w:tcW w:w="672" w:type="pct"/>
            <w:shd w:val="clear" w:color="auto" w:fill="auto"/>
          </w:tcPr>
          <w:p w14:paraId="553C178D"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17 (5.9)</w:t>
            </w:r>
          </w:p>
        </w:tc>
        <w:tc>
          <w:tcPr>
            <w:tcW w:w="723" w:type="pct"/>
            <w:shd w:val="clear" w:color="auto" w:fill="auto"/>
          </w:tcPr>
          <w:p w14:paraId="7D605A2E"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3 (1.1)</w:t>
            </w:r>
          </w:p>
        </w:tc>
        <w:tc>
          <w:tcPr>
            <w:tcW w:w="635" w:type="pct"/>
            <w:shd w:val="clear" w:color="auto" w:fill="auto"/>
          </w:tcPr>
          <w:p w14:paraId="74708E5E"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0</w:t>
            </w:r>
          </w:p>
        </w:tc>
        <w:tc>
          <w:tcPr>
            <w:tcW w:w="757" w:type="pct"/>
            <w:shd w:val="clear" w:color="auto" w:fill="auto"/>
          </w:tcPr>
          <w:p w14:paraId="1D12AF80"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Very common</w:t>
            </w:r>
          </w:p>
        </w:tc>
      </w:tr>
      <w:tr w:rsidR="007500D4" w:rsidRPr="007500D4" w14:paraId="3D2A7BC4" w14:textId="77777777" w:rsidTr="005E2D28">
        <w:tc>
          <w:tcPr>
            <w:tcW w:w="5000" w:type="pct"/>
            <w:gridSpan w:val="6"/>
            <w:shd w:val="clear" w:color="auto" w:fill="auto"/>
          </w:tcPr>
          <w:p w14:paraId="637290D1"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b/>
                <w:bCs/>
                <w:sz w:val="18"/>
                <w:szCs w:val="18"/>
                <w:lang w:val="en-US" w:eastAsia="zh-CN"/>
              </w:rPr>
            </w:pPr>
            <w:r w:rsidRPr="007500D4">
              <w:rPr>
                <w:rFonts w:ascii="Arial" w:eastAsia="MS Mincho" w:hAnsi="Arial" w:cs="Arial"/>
                <w:b/>
                <w:bCs/>
                <w:sz w:val="18"/>
                <w:szCs w:val="18"/>
                <w:lang w:val="en-US" w:eastAsia="zh-CN"/>
              </w:rPr>
              <w:t>Biochemical parameters</w:t>
            </w:r>
          </w:p>
        </w:tc>
      </w:tr>
      <w:tr w:rsidR="007500D4" w:rsidRPr="007500D4" w14:paraId="2EE43A60" w14:textId="77777777" w:rsidTr="005E2D28">
        <w:tc>
          <w:tcPr>
            <w:tcW w:w="1492" w:type="pct"/>
            <w:shd w:val="clear" w:color="auto" w:fill="auto"/>
          </w:tcPr>
          <w:p w14:paraId="21DADFE1"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Glucose plasma increased</w:t>
            </w:r>
          </w:p>
        </w:tc>
        <w:tc>
          <w:tcPr>
            <w:tcW w:w="721" w:type="pct"/>
            <w:shd w:val="clear" w:color="auto" w:fill="auto"/>
          </w:tcPr>
          <w:p w14:paraId="64CB6DC3"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color w:val="000000"/>
                <w:sz w:val="18"/>
                <w:szCs w:val="18"/>
                <w:lang w:val="en-US" w:eastAsia="zh-CN"/>
              </w:rPr>
              <w:t>223 (78.5)</w:t>
            </w:r>
          </w:p>
        </w:tc>
        <w:tc>
          <w:tcPr>
            <w:tcW w:w="672" w:type="pct"/>
            <w:shd w:val="clear" w:color="auto" w:fill="auto"/>
          </w:tcPr>
          <w:p w14:paraId="6B3EC66D"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color w:val="000000"/>
                <w:sz w:val="18"/>
                <w:szCs w:val="18"/>
                <w:lang w:val="en-US" w:eastAsia="zh-CN"/>
              </w:rPr>
              <w:t>99 (34.5)</w:t>
            </w:r>
          </w:p>
        </w:tc>
        <w:tc>
          <w:tcPr>
            <w:tcW w:w="723" w:type="pct"/>
            <w:shd w:val="clear" w:color="auto" w:fill="auto"/>
          </w:tcPr>
          <w:p w14:paraId="624F35B6"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color w:val="000000"/>
                <w:sz w:val="18"/>
                <w:szCs w:val="18"/>
                <w:lang w:val="en-US" w:eastAsia="zh-CN"/>
              </w:rPr>
              <w:t>110 (38.7)</w:t>
            </w:r>
          </w:p>
        </w:tc>
        <w:tc>
          <w:tcPr>
            <w:tcW w:w="635" w:type="pct"/>
            <w:shd w:val="clear" w:color="auto" w:fill="auto"/>
          </w:tcPr>
          <w:p w14:paraId="13CC7989"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color w:val="000000"/>
                <w:sz w:val="18"/>
                <w:szCs w:val="18"/>
                <w:lang w:val="en-US" w:eastAsia="zh-CN"/>
              </w:rPr>
              <w:t>3 (1.0)</w:t>
            </w:r>
          </w:p>
        </w:tc>
        <w:tc>
          <w:tcPr>
            <w:tcW w:w="757" w:type="pct"/>
            <w:shd w:val="clear" w:color="auto" w:fill="auto"/>
          </w:tcPr>
          <w:p w14:paraId="265F3E42"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Very common</w:t>
            </w:r>
          </w:p>
        </w:tc>
      </w:tr>
      <w:tr w:rsidR="007500D4" w:rsidRPr="007500D4" w14:paraId="13602051" w14:textId="77777777" w:rsidTr="005E2D28">
        <w:tc>
          <w:tcPr>
            <w:tcW w:w="1492" w:type="pct"/>
            <w:shd w:val="clear" w:color="auto" w:fill="auto"/>
          </w:tcPr>
          <w:p w14:paraId="04A04AE6"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Creatinine increased</w:t>
            </w:r>
          </w:p>
        </w:tc>
        <w:tc>
          <w:tcPr>
            <w:tcW w:w="721" w:type="pct"/>
            <w:shd w:val="clear" w:color="auto" w:fill="auto"/>
          </w:tcPr>
          <w:p w14:paraId="1465FAC0"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color w:val="000000"/>
                <w:sz w:val="18"/>
                <w:szCs w:val="18"/>
                <w:lang w:val="en-US" w:eastAsia="zh-CN"/>
              </w:rPr>
            </w:pPr>
            <w:r w:rsidRPr="007500D4">
              <w:rPr>
                <w:rFonts w:ascii="Arial" w:eastAsia="MS Mincho" w:hAnsi="Arial" w:cs="Arial"/>
                <w:sz w:val="18"/>
                <w:szCs w:val="18"/>
                <w:lang w:val="en-US" w:eastAsia="zh-CN"/>
              </w:rPr>
              <w:t>190 (66.9)</w:t>
            </w:r>
          </w:p>
        </w:tc>
        <w:tc>
          <w:tcPr>
            <w:tcW w:w="672" w:type="pct"/>
            <w:shd w:val="clear" w:color="auto" w:fill="auto"/>
          </w:tcPr>
          <w:p w14:paraId="27515D23"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color w:val="000000"/>
                <w:sz w:val="18"/>
                <w:szCs w:val="18"/>
                <w:lang w:val="en-US" w:eastAsia="zh-CN"/>
              </w:rPr>
            </w:pPr>
            <w:r w:rsidRPr="007500D4">
              <w:rPr>
                <w:rFonts w:ascii="Arial" w:eastAsia="MS Mincho" w:hAnsi="Arial" w:cs="Arial"/>
                <w:sz w:val="18"/>
                <w:szCs w:val="18"/>
                <w:lang w:val="en-US" w:eastAsia="zh-CN"/>
              </w:rPr>
              <w:t>71 (24.7)</w:t>
            </w:r>
          </w:p>
        </w:tc>
        <w:tc>
          <w:tcPr>
            <w:tcW w:w="723" w:type="pct"/>
            <w:shd w:val="clear" w:color="auto" w:fill="auto"/>
          </w:tcPr>
          <w:p w14:paraId="776EC2D5"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color w:val="000000"/>
                <w:sz w:val="18"/>
                <w:szCs w:val="18"/>
                <w:lang w:val="en-US" w:eastAsia="zh-CN"/>
              </w:rPr>
            </w:pPr>
            <w:r w:rsidRPr="007500D4">
              <w:rPr>
                <w:rFonts w:ascii="Arial" w:eastAsia="MS Mincho" w:hAnsi="Arial" w:cs="Arial"/>
                <w:sz w:val="18"/>
                <w:szCs w:val="18"/>
                <w:lang w:val="en-US" w:eastAsia="zh-CN"/>
              </w:rPr>
              <w:t>8 (2.8)</w:t>
            </w:r>
          </w:p>
        </w:tc>
        <w:tc>
          <w:tcPr>
            <w:tcW w:w="635" w:type="pct"/>
            <w:shd w:val="clear" w:color="auto" w:fill="auto"/>
          </w:tcPr>
          <w:p w14:paraId="6F354B47"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color w:val="000000"/>
                <w:sz w:val="18"/>
                <w:szCs w:val="18"/>
                <w:lang w:val="en-US" w:eastAsia="zh-CN"/>
              </w:rPr>
            </w:pPr>
            <w:r w:rsidRPr="007500D4">
              <w:rPr>
                <w:rFonts w:ascii="Arial" w:eastAsia="MS Mincho" w:hAnsi="Arial" w:cs="Arial"/>
                <w:sz w:val="18"/>
                <w:szCs w:val="18"/>
                <w:lang w:val="en-US" w:eastAsia="zh-CN"/>
              </w:rPr>
              <w:t>2 (0.7)</w:t>
            </w:r>
          </w:p>
        </w:tc>
        <w:tc>
          <w:tcPr>
            <w:tcW w:w="757" w:type="pct"/>
            <w:shd w:val="clear" w:color="auto" w:fill="auto"/>
          </w:tcPr>
          <w:p w14:paraId="6A95E431"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Very common</w:t>
            </w:r>
          </w:p>
        </w:tc>
      </w:tr>
      <w:tr w:rsidR="007500D4" w:rsidRPr="007500D4" w14:paraId="0A5AB890" w14:textId="77777777" w:rsidTr="005E2D28">
        <w:tc>
          <w:tcPr>
            <w:tcW w:w="1492" w:type="pct"/>
            <w:shd w:val="clear" w:color="auto" w:fill="auto"/>
          </w:tcPr>
          <w:p w14:paraId="69C48835"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Gamma-</w:t>
            </w:r>
            <w:proofErr w:type="spellStart"/>
            <w:r w:rsidRPr="007500D4">
              <w:rPr>
                <w:rFonts w:ascii="Arial" w:eastAsia="MS Mincho" w:hAnsi="Arial" w:cs="Arial"/>
                <w:sz w:val="18"/>
                <w:szCs w:val="18"/>
                <w:lang w:val="en-US" w:eastAsia="zh-CN"/>
              </w:rPr>
              <w:t>glutamyl</w:t>
            </w:r>
            <w:proofErr w:type="spellEnd"/>
            <w:r w:rsidRPr="007500D4">
              <w:rPr>
                <w:rFonts w:ascii="Arial" w:eastAsia="MS Mincho" w:hAnsi="Arial" w:cs="Arial"/>
                <w:sz w:val="18"/>
                <w:szCs w:val="18"/>
                <w:lang w:val="en-US" w:eastAsia="zh-CN"/>
              </w:rPr>
              <w:t xml:space="preserve"> transferase increased</w:t>
            </w:r>
          </w:p>
        </w:tc>
        <w:tc>
          <w:tcPr>
            <w:tcW w:w="721" w:type="pct"/>
            <w:shd w:val="clear" w:color="auto" w:fill="auto"/>
          </w:tcPr>
          <w:p w14:paraId="33AA4FB7"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148 (52.1)</w:t>
            </w:r>
          </w:p>
        </w:tc>
        <w:tc>
          <w:tcPr>
            <w:tcW w:w="672" w:type="pct"/>
            <w:shd w:val="clear" w:color="auto" w:fill="auto"/>
          </w:tcPr>
          <w:p w14:paraId="27C0FFFD"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127 (44.3)</w:t>
            </w:r>
          </w:p>
        </w:tc>
        <w:tc>
          <w:tcPr>
            <w:tcW w:w="723" w:type="pct"/>
            <w:shd w:val="clear" w:color="auto" w:fill="auto"/>
          </w:tcPr>
          <w:p w14:paraId="322964F4"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30 (10.6)</w:t>
            </w:r>
          </w:p>
        </w:tc>
        <w:tc>
          <w:tcPr>
            <w:tcW w:w="635" w:type="pct"/>
            <w:shd w:val="clear" w:color="auto" w:fill="auto"/>
          </w:tcPr>
          <w:p w14:paraId="7912A886"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29 (10.1)</w:t>
            </w:r>
          </w:p>
        </w:tc>
        <w:tc>
          <w:tcPr>
            <w:tcW w:w="757" w:type="pct"/>
            <w:shd w:val="clear" w:color="auto" w:fill="auto"/>
          </w:tcPr>
          <w:p w14:paraId="5BD80C3F"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Very common</w:t>
            </w:r>
          </w:p>
        </w:tc>
      </w:tr>
      <w:tr w:rsidR="007500D4" w:rsidRPr="007500D4" w14:paraId="22FEA4C5" w14:textId="77777777" w:rsidTr="005E2D28">
        <w:tc>
          <w:tcPr>
            <w:tcW w:w="1492" w:type="pct"/>
            <w:shd w:val="clear" w:color="auto" w:fill="auto"/>
          </w:tcPr>
          <w:p w14:paraId="55672076"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Alanine aminotransferase increased</w:t>
            </w:r>
          </w:p>
        </w:tc>
        <w:tc>
          <w:tcPr>
            <w:tcW w:w="721" w:type="pct"/>
            <w:shd w:val="clear" w:color="auto" w:fill="auto"/>
          </w:tcPr>
          <w:p w14:paraId="705538E3"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124 (43.7)</w:t>
            </w:r>
          </w:p>
        </w:tc>
        <w:tc>
          <w:tcPr>
            <w:tcW w:w="672" w:type="pct"/>
            <w:shd w:val="clear" w:color="auto" w:fill="auto"/>
          </w:tcPr>
          <w:p w14:paraId="10745D7F"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99 (34.5)</w:t>
            </w:r>
          </w:p>
        </w:tc>
        <w:tc>
          <w:tcPr>
            <w:tcW w:w="723" w:type="pct"/>
            <w:shd w:val="clear" w:color="auto" w:fill="auto"/>
          </w:tcPr>
          <w:p w14:paraId="5B337C85"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10 (3.5)</w:t>
            </w:r>
          </w:p>
        </w:tc>
        <w:tc>
          <w:tcPr>
            <w:tcW w:w="635" w:type="pct"/>
            <w:shd w:val="clear" w:color="auto" w:fill="auto"/>
          </w:tcPr>
          <w:p w14:paraId="613CDAAC"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7 (2.4)</w:t>
            </w:r>
          </w:p>
        </w:tc>
        <w:tc>
          <w:tcPr>
            <w:tcW w:w="757" w:type="pct"/>
            <w:shd w:val="clear" w:color="auto" w:fill="auto"/>
          </w:tcPr>
          <w:p w14:paraId="769DE8F3"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Very common</w:t>
            </w:r>
          </w:p>
        </w:tc>
      </w:tr>
      <w:tr w:rsidR="007500D4" w:rsidRPr="007500D4" w14:paraId="1A342992" w14:textId="77777777" w:rsidTr="005E2D28">
        <w:tc>
          <w:tcPr>
            <w:tcW w:w="1492" w:type="pct"/>
            <w:shd w:val="clear" w:color="auto" w:fill="auto"/>
          </w:tcPr>
          <w:p w14:paraId="1E03E206"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Lipase increased</w:t>
            </w:r>
          </w:p>
        </w:tc>
        <w:tc>
          <w:tcPr>
            <w:tcW w:w="721" w:type="pct"/>
            <w:shd w:val="clear" w:color="auto" w:fill="auto"/>
          </w:tcPr>
          <w:p w14:paraId="1602CC76"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119 (41.9)</w:t>
            </w:r>
          </w:p>
        </w:tc>
        <w:tc>
          <w:tcPr>
            <w:tcW w:w="672" w:type="pct"/>
            <w:shd w:val="clear" w:color="auto" w:fill="auto"/>
          </w:tcPr>
          <w:p w14:paraId="046A7AE6"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73 (25.4)</w:t>
            </w:r>
          </w:p>
        </w:tc>
        <w:tc>
          <w:tcPr>
            <w:tcW w:w="723" w:type="pct"/>
            <w:shd w:val="clear" w:color="auto" w:fill="auto"/>
          </w:tcPr>
          <w:p w14:paraId="03F98D98"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color w:val="000000"/>
                <w:sz w:val="18"/>
                <w:szCs w:val="18"/>
                <w:lang w:val="en-US" w:eastAsia="zh-CN"/>
              </w:rPr>
              <w:t>19 (6.7)</w:t>
            </w:r>
          </w:p>
        </w:tc>
        <w:tc>
          <w:tcPr>
            <w:tcW w:w="635" w:type="pct"/>
            <w:shd w:val="clear" w:color="auto" w:fill="auto"/>
          </w:tcPr>
          <w:p w14:paraId="17B9B100"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color w:val="000000"/>
                <w:sz w:val="18"/>
                <w:szCs w:val="18"/>
                <w:lang w:val="en-US" w:eastAsia="zh-CN"/>
              </w:rPr>
              <w:t>17 (5.9)</w:t>
            </w:r>
          </w:p>
        </w:tc>
        <w:tc>
          <w:tcPr>
            <w:tcW w:w="757" w:type="pct"/>
            <w:shd w:val="clear" w:color="auto" w:fill="auto"/>
          </w:tcPr>
          <w:p w14:paraId="49C809FE"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Very common</w:t>
            </w:r>
          </w:p>
        </w:tc>
      </w:tr>
      <w:tr w:rsidR="007500D4" w:rsidRPr="007500D4" w14:paraId="1BBA017A" w14:textId="77777777" w:rsidTr="005E2D28">
        <w:tc>
          <w:tcPr>
            <w:tcW w:w="1492" w:type="pct"/>
            <w:shd w:val="clear" w:color="auto" w:fill="auto"/>
          </w:tcPr>
          <w:p w14:paraId="5E2B86C7"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Calcium corrected decreased</w:t>
            </w:r>
          </w:p>
        </w:tc>
        <w:tc>
          <w:tcPr>
            <w:tcW w:w="721" w:type="pct"/>
            <w:shd w:val="clear" w:color="auto" w:fill="auto"/>
          </w:tcPr>
          <w:p w14:paraId="46DE57BC"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76 (26.8)</w:t>
            </w:r>
          </w:p>
        </w:tc>
        <w:tc>
          <w:tcPr>
            <w:tcW w:w="672" w:type="pct"/>
            <w:shd w:val="clear" w:color="auto" w:fill="auto"/>
          </w:tcPr>
          <w:p w14:paraId="5AD8A029"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57 (19.9)</w:t>
            </w:r>
          </w:p>
        </w:tc>
        <w:tc>
          <w:tcPr>
            <w:tcW w:w="723" w:type="pct"/>
            <w:shd w:val="clear" w:color="auto" w:fill="auto"/>
          </w:tcPr>
          <w:p w14:paraId="43852F11"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6 (2.1)</w:t>
            </w:r>
          </w:p>
        </w:tc>
        <w:tc>
          <w:tcPr>
            <w:tcW w:w="635" w:type="pct"/>
            <w:shd w:val="clear" w:color="auto" w:fill="auto"/>
          </w:tcPr>
          <w:p w14:paraId="676B87C6"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4 (1.4)</w:t>
            </w:r>
          </w:p>
        </w:tc>
        <w:tc>
          <w:tcPr>
            <w:tcW w:w="757" w:type="pct"/>
            <w:shd w:val="clear" w:color="auto" w:fill="auto"/>
          </w:tcPr>
          <w:p w14:paraId="2344A6A6"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Very common</w:t>
            </w:r>
          </w:p>
        </w:tc>
      </w:tr>
      <w:tr w:rsidR="007500D4" w:rsidRPr="007500D4" w14:paraId="6FC32548" w14:textId="77777777" w:rsidTr="005E2D28">
        <w:tc>
          <w:tcPr>
            <w:tcW w:w="1492" w:type="pct"/>
            <w:shd w:val="clear" w:color="auto" w:fill="auto"/>
          </w:tcPr>
          <w:p w14:paraId="49D7709F"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Glucose plasma decreased</w:t>
            </w:r>
          </w:p>
        </w:tc>
        <w:tc>
          <w:tcPr>
            <w:tcW w:w="721" w:type="pct"/>
            <w:shd w:val="clear" w:color="auto" w:fill="auto"/>
          </w:tcPr>
          <w:p w14:paraId="690872A7"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color w:val="000000"/>
                <w:sz w:val="18"/>
                <w:szCs w:val="18"/>
                <w:lang w:val="en-US" w:eastAsia="zh-CN"/>
              </w:rPr>
              <w:t>73 (25.7)</w:t>
            </w:r>
          </w:p>
        </w:tc>
        <w:tc>
          <w:tcPr>
            <w:tcW w:w="672" w:type="pct"/>
            <w:shd w:val="clear" w:color="auto" w:fill="auto"/>
          </w:tcPr>
          <w:p w14:paraId="04236A48"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color w:val="000000"/>
                <w:sz w:val="18"/>
                <w:szCs w:val="18"/>
                <w:lang w:val="en-US" w:eastAsia="zh-CN"/>
              </w:rPr>
              <w:t>40 (13.9)</w:t>
            </w:r>
          </w:p>
        </w:tc>
        <w:tc>
          <w:tcPr>
            <w:tcW w:w="723" w:type="pct"/>
            <w:shd w:val="clear" w:color="auto" w:fill="auto"/>
          </w:tcPr>
          <w:p w14:paraId="5DB0F810"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color w:val="000000"/>
                <w:sz w:val="18"/>
                <w:szCs w:val="18"/>
                <w:lang w:val="en-US" w:eastAsia="zh-CN"/>
              </w:rPr>
              <w:t>1 (0.4)</w:t>
            </w:r>
          </w:p>
        </w:tc>
        <w:tc>
          <w:tcPr>
            <w:tcW w:w="635" w:type="pct"/>
            <w:shd w:val="clear" w:color="auto" w:fill="auto"/>
          </w:tcPr>
          <w:p w14:paraId="69296895"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color w:val="000000"/>
                <w:sz w:val="18"/>
                <w:szCs w:val="18"/>
                <w:lang w:val="en-US" w:eastAsia="zh-CN"/>
              </w:rPr>
              <w:t>0</w:t>
            </w:r>
          </w:p>
        </w:tc>
        <w:tc>
          <w:tcPr>
            <w:tcW w:w="757" w:type="pct"/>
            <w:shd w:val="clear" w:color="auto" w:fill="auto"/>
          </w:tcPr>
          <w:p w14:paraId="749E161C"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Very common</w:t>
            </w:r>
          </w:p>
        </w:tc>
      </w:tr>
      <w:tr w:rsidR="007500D4" w:rsidRPr="007500D4" w14:paraId="2F4BCFB9" w14:textId="77777777" w:rsidTr="005E2D28">
        <w:tc>
          <w:tcPr>
            <w:tcW w:w="1492" w:type="pct"/>
            <w:shd w:val="clear" w:color="auto" w:fill="auto"/>
          </w:tcPr>
          <w:p w14:paraId="2C7A37C3"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Albumin decreased</w:t>
            </w:r>
          </w:p>
        </w:tc>
        <w:tc>
          <w:tcPr>
            <w:tcW w:w="721" w:type="pct"/>
            <w:shd w:val="clear" w:color="auto" w:fill="auto"/>
          </w:tcPr>
          <w:p w14:paraId="67BA1060"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39 (13.7)</w:t>
            </w:r>
          </w:p>
        </w:tc>
        <w:tc>
          <w:tcPr>
            <w:tcW w:w="672" w:type="pct"/>
            <w:shd w:val="clear" w:color="auto" w:fill="auto"/>
          </w:tcPr>
          <w:p w14:paraId="6813193A"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22 (7.7)</w:t>
            </w:r>
          </w:p>
        </w:tc>
        <w:tc>
          <w:tcPr>
            <w:tcW w:w="723" w:type="pct"/>
            <w:shd w:val="clear" w:color="auto" w:fill="auto"/>
          </w:tcPr>
          <w:p w14:paraId="3FBBA48E"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0</w:t>
            </w:r>
          </w:p>
        </w:tc>
        <w:tc>
          <w:tcPr>
            <w:tcW w:w="635" w:type="pct"/>
            <w:shd w:val="clear" w:color="auto" w:fill="auto"/>
          </w:tcPr>
          <w:p w14:paraId="1CA4B74D"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0</w:t>
            </w:r>
          </w:p>
        </w:tc>
        <w:tc>
          <w:tcPr>
            <w:tcW w:w="757" w:type="pct"/>
            <w:shd w:val="clear" w:color="auto" w:fill="auto"/>
          </w:tcPr>
          <w:p w14:paraId="7618C509"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Very common</w:t>
            </w:r>
          </w:p>
        </w:tc>
      </w:tr>
      <w:tr w:rsidR="007500D4" w:rsidRPr="007500D4" w14:paraId="0F55FAF7" w14:textId="77777777" w:rsidTr="005E2D28">
        <w:tc>
          <w:tcPr>
            <w:tcW w:w="1492" w:type="pct"/>
            <w:shd w:val="clear" w:color="auto" w:fill="auto"/>
          </w:tcPr>
          <w:p w14:paraId="0A6CC3F4"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Potassium decreased</w:t>
            </w:r>
          </w:p>
        </w:tc>
        <w:tc>
          <w:tcPr>
            <w:tcW w:w="721" w:type="pct"/>
            <w:shd w:val="clear" w:color="auto" w:fill="auto"/>
          </w:tcPr>
          <w:p w14:paraId="09A60FA8"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39 (13.7)</w:t>
            </w:r>
          </w:p>
        </w:tc>
        <w:tc>
          <w:tcPr>
            <w:tcW w:w="672" w:type="pct"/>
            <w:shd w:val="clear" w:color="auto" w:fill="auto"/>
          </w:tcPr>
          <w:p w14:paraId="42B3535B"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8 (2.8)</w:t>
            </w:r>
          </w:p>
        </w:tc>
        <w:tc>
          <w:tcPr>
            <w:tcW w:w="723" w:type="pct"/>
            <w:shd w:val="clear" w:color="auto" w:fill="auto"/>
          </w:tcPr>
          <w:p w14:paraId="7491B427"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16 (5.6)</w:t>
            </w:r>
          </w:p>
        </w:tc>
        <w:tc>
          <w:tcPr>
            <w:tcW w:w="635" w:type="pct"/>
            <w:shd w:val="clear" w:color="auto" w:fill="auto"/>
          </w:tcPr>
          <w:p w14:paraId="14B9442A"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2 (0.7)</w:t>
            </w:r>
          </w:p>
        </w:tc>
        <w:tc>
          <w:tcPr>
            <w:tcW w:w="757" w:type="pct"/>
            <w:shd w:val="clear" w:color="auto" w:fill="auto"/>
          </w:tcPr>
          <w:p w14:paraId="2278CCD0"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Very common</w:t>
            </w:r>
          </w:p>
        </w:tc>
      </w:tr>
      <w:tr w:rsidR="007500D4" w:rsidRPr="007500D4" w14:paraId="7BB27E81" w14:textId="77777777" w:rsidTr="005E2D28">
        <w:tc>
          <w:tcPr>
            <w:tcW w:w="1492" w:type="pct"/>
            <w:shd w:val="clear" w:color="auto" w:fill="auto"/>
          </w:tcPr>
          <w:p w14:paraId="7089A06E"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Magnesium decreased</w:t>
            </w:r>
          </w:p>
        </w:tc>
        <w:tc>
          <w:tcPr>
            <w:tcW w:w="721" w:type="pct"/>
            <w:shd w:val="clear" w:color="auto" w:fill="auto"/>
          </w:tcPr>
          <w:p w14:paraId="6ADC9FD5"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31 (10.9)</w:t>
            </w:r>
          </w:p>
        </w:tc>
        <w:tc>
          <w:tcPr>
            <w:tcW w:w="672" w:type="pct"/>
            <w:shd w:val="clear" w:color="auto" w:fill="auto"/>
          </w:tcPr>
          <w:p w14:paraId="2CECA298"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12 (4.2)</w:t>
            </w:r>
          </w:p>
        </w:tc>
        <w:tc>
          <w:tcPr>
            <w:tcW w:w="723" w:type="pct"/>
            <w:shd w:val="clear" w:color="auto" w:fill="auto"/>
          </w:tcPr>
          <w:p w14:paraId="0D267092"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1 (0.4)</w:t>
            </w:r>
          </w:p>
        </w:tc>
        <w:tc>
          <w:tcPr>
            <w:tcW w:w="635" w:type="pct"/>
            <w:shd w:val="clear" w:color="auto" w:fill="auto"/>
          </w:tcPr>
          <w:p w14:paraId="16B9523B" w14:textId="77777777" w:rsidR="007500D4" w:rsidRPr="007500D4" w:rsidRDefault="007500D4" w:rsidP="007500D4">
            <w:pPr>
              <w:keepLines/>
              <w:tabs>
                <w:tab w:val="left" w:pos="284"/>
              </w:tabs>
              <w:autoSpaceDE/>
              <w:autoSpaceDN/>
              <w:adjustRightInd/>
              <w:spacing w:before="120" w:after="0" w:line="240" w:lineRule="auto"/>
              <w:jc w:val="center"/>
              <w:rPr>
                <w:rFonts w:ascii="Arial" w:eastAsia="MS Mincho" w:hAnsi="Arial" w:cs="Arial"/>
                <w:sz w:val="18"/>
                <w:szCs w:val="18"/>
                <w:lang w:val="en-US" w:eastAsia="zh-CN"/>
              </w:rPr>
            </w:pPr>
            <w:r w:rsidRPr="007500D4">
              <w:rPr>
                <w:rFonts w:ascii="Arial" w:eastAsia="MS Mincho" w:hAnsi="Arial" w:cs="Arial"/>
                <w:sz w:val="18"/>
                <w:szCs w:val="18"/>
                <w:lang w:val="en-US" w:eastAsia="zh-CN"/>
              </w:rPr>
              <w:t>0</w:t>
            </w:r>
          </w:p>
        </w:tc>
        <w:tc>
          <w:tcPr>
            <w:tcW w:w="757" w:type="pct"/>
            <w:shd w:val="clear" w:color="auto" w:fill="auto"/>
          </w:tcPr>
          <w:p w14:paraId="5E9455F5" w14:textId="77777777" w:rsidR="007500D4" w:rsidRPr="007500D4" w:rsidRDefault="007500D4" w:rsidP="007500D4">
            <w:pPr>
              <w:keepLines/>
              <w:tabs>
                <w:tab w:val="left" w:pos="284"/>
              </w:tabs>
              <w:autoSpaceDE/>
              <w:autoSpaceDN/>
              <w:adjustRightInd/>
              <w:spacing w:before="120" w:after="0" w:line="240" w:lineRule="auto"/>
              <w:jc w:val="left"/>
              <w:rPr>
                <w:rFonts w:ascii="Arial" w:eastAsia="MS Mincho" w:hAnsi="Arial" w:cs="Arial"/>
                <w:sz w:val="18"/>
                <w:szCs w:val="18"/>
                <w:lang w:val="en-US" w:eastAsia="zh-CN"/>
              </w:rPr>
            </w:pPr>
            <w:r w:rsidRPr="007500D4">
              <w:rPr>
                <w:rFonts w:ascii="Arial" w:eastAsia="MS Mincho" w:hAnsi="Arial" w:cs="Arial"/>
                <w:sz w:val="18"/>
                <w:szCs w:val="18"/>
                <w:lang w:val="en-US" w:eastAsia="zh-CN"/>
              </w:rPr>
              <w:t>Very common</w:t>
            </w:r>
          </w:p>
        </w:tc>
      </w:tr>
    </w:tbl>
    <w:p w14:paraId="5C00A375" w14:textId="7B0E24F0" w:rsidR="008439C6" w:rsidRPr="00D808E8" w:rsidRDefault="008439C6" w:rsidP="00CE5EF6">
      <w:pPr>
        <w:pStyle w:val="Heading2"/>
        <w:numPr>
          <w:ilvl w:val="0"/>
          <w:numId w:val="0"/>
        </w:numPr>
        <w:spacing w:before="120"/>
        <w:ind w:left="2410" w:hanging="2126"/>
        <w:rPr>
          <w:b w:val="0"/>
          <w:i/>
        </w:rPr>
      </w:pPr>
      <w:r w:rsidRPr="00D808E8">
        <w:rPr>
          <w:b w:val="0"/>
          <w:i/>
        </w:rPr>
        <w:t>Adverse drug reactions from spontaneous reports and literature cases (frequency not known)</w:t>
      </w:r>
    </w:p>
    <w:p w14:paraId="33272048" w14:textId="3F968785" w:rsidR="008439C6" w:rsidRDefault="008439C6" w:rsidP="008439C6">
      <w:pPr>
        <w:keepNext/>
        <w:tabs>
          <w:tab w:val="left" w:pos="8505"/>
        </w:tabs>
        <w:autoSpaceDE/>
        <w:autoSpaceDN/>
        <w:adjustRightInd/>
        <w:spacing w:before="120" w:after="0" w:line="240" w:lineRule="auto"/>
        <w:ind w:left="360"/>
        <w:rPr>
          <w:lang w:val="en-US"/>
        </w:rPr>
      </w:pPr>
      <w:r w:rsidRPr="00D808E8">
        <w:rPr>
          <w:lang w:val="en-US"/>
        </w:rPr>
        <w:t>The following adverse drug reactions have been derived from post-marketing experience with PIQRAY via spontaneous case reports and literature cases. Because these reactions are reported voluntarily from a population of uncertain size, it is not possible to reliably estimate their frequency which is therefore categorized as not known</w:t>
      </w:r>
      <w:r w:rsidRPr="008439C6">
        <w:rPr>
          <w:lang w:val="en-US"/>
        </w:rPr>
        <w:t>.</w:t>
      </w:r>
    </w:p>
    <w:p w14:paraId="74921FD0" w14:textId="1C997A0A" w:rsidR="009B4E3C" w:rsidRPr="009B4E3C" w:rsidRDefault="008439C6" w:rsidP="009B4E3C">
      <w:pPr>
        <w:keepNext/>
        <w:keepLines/>
        <w:tabs>
          <w:tab w:val="left" w:pos="8505"/>
        </w:tabs>
        <w:autoSpaceDE/>
        <w:autoSpaceDN/>
        <w:adjustRightInd/>
        <w:spacing w:before="240" w:line="240" w:lineRule="auto"/>
        <w:ind w:left="1418" w:hanging="992"/>
        <w:jc w:val="left"/>
        <w:outlineLvl w:val="5"/>
        <w:rPr>
          <w:lang w:val="en-US"/>
        </w:rPr>
      </w:pPr>
      <w:r w:rsidRPr="007500D4">
        <w:rPr>
          <w:rFonts w:ascii="Arial" w:eastAsia="MS Gothic" w:hAnsi="Arial" w:cs="Arial"/>
          <w:b/>
          <w:sz w:val="22"/>
          <w:szCs w:val="20"/>
          <w:lang w:val="en-US" w:eastAsia="zh-CN"/>
        </w:rPr>
        <w:t xml:space="preserve">Table </w:t>
      </w:r>
      <w:r>
        <w:rPr>
          <w:rFonts w:ascii="Arial" w:eastAsia="MS Gothic" w:hAnsi="Arial" w:cs="Arial"/>
          <w:b/>
          <w:sz w:val="22"/>
          <w:szCs w:val="20"/>
          <w:lang w:val="en-US" w:eastAsia="zh-CN"/>
        </w:rPr>
        <w:t>8</w:t>
      </w:r>
      <w:r w:rsidRPr="007500D4">
        <w:rPr>
          <w:rFonts w:ascii="Arial" w:eastAsia="MS Gothic" w:hAnsi="Arial" w:cs="Arial"/>
          <w:b/>
          <w:sz w:val="22"/>
          <w:szCs w:val="20"/>
          <w:lang w:val="en-US" w:eastAsia="zh-CN"/>
        </w:rPr>
        <w:tab/>
      </w:r>
      <w:r>
        <w:rPr>
          <w:rFonts w:ascii="Arial" w:eastAsia="MS Gothic" w:hAnsi="Arial" w:cs="Arial"/>
          <w:b/>
          <w:sz w:val="22"/>
          <w:szCs w:val="20"/>
          <w:lang w:val="en-US" w:eastAsia="zh-CN"/>
        </w:rPr>
        <w:t>Adverse drug reactions from spontaneous reports and literature cases (frequency not known)</w:t>
      </w:r>
    </w:p>
    <w:tbl>
      <w:tblPr>
        <w:tblW w:w="0" w:type="auto"/>
        <w:tblBorders>
          <w:top w:val="single" w:sz="4" w:space="0" w:color="auto"/>
          <w:bottom w:val="single" w:sz="4" w:space="0" w:color="auto"/>
        </w:tblBorders>
        <w:tblLook w:val="04A0" w:firstRow="1" w:lastRow="0" w:firstColumn="1" w:lastColumn="0" w:noHBand="0" w:noVBand="1"/>
      </w:tblPr>
      <w:tblGrid>
        <w:gridCol w:w="9039"/>
      </w:tblGrid>
      <w:tr w:rsidR="009B4E3C" w:rsidRPr="00183DFF" w14:paraId="1DD60AB2" w14:textId="77777777" w:rsidTr="00505FC9">
        <w:tc>
          <w:tcPr>
            <w:tcW w:w="9039" w:type="dxa"/>
            <w:hideMark/>
          </w:tcPr>
          <w:p w14:paraId="24DB67E0" w14:textId="77777777" w:rsidR="009B4E3C" w:rsidRPr="009B4E3C" w:rsidRDefault="009B4E3C" w:rsidP="00505FC9">
            <w:pPr>
              <w:pStyle w:val="Table"/>
              <w:tabs>
                <w:tab w:val="left" w:pos="8505"/>
              </w:tabs>
              <w:rPr>
                <w:sz w:val="18"/>
                <w:szCs w:val="18"/>
              </w:rPr>
            </w:pPr>
            <w:r w:rsidRPr="009B4E3C">
              <w:rPr>
                <w:b/>
                <w:bCs/>
                <w:sz w:val="18"/>
                <w:szCs w:val="18"/>
              </w:rPr>
              <w:t>Skin and subcutaneous tissue disorders</w:t>
            </w:r>
            <w:r w:rsidRPr="009B4E3C">
              <w:rPr>
                <w:sz w:val="18"/>
                <w:szCs w:val="18"/>
              </w:rPr>
              <w:t xml:space="preserve"> </w:t>
            </w:r>
          </w:p>
          <w:p w14:paraId="102CB2DA" w14:textId="76238DF1" w:rsidR="009B4E3C" w:rsidRPr="00E31484" w:rsidRDefault="009B4E3C" w:rsidP="009B4E3C">
            <w:pPr>
              <w:pStyle w:val="Table"/>
              <w:tabs>
                <w:tab w:val="left" w:pos="8505"/>
              </w:tabs>
              <w:rPr>
                <w:sz w:val="18"/>
                <w:szCs w:val="18"/>
              </w:rPr>
            </w:pPr>
            <w:r w:rsidRPr="009B4E3C">
              <w:rPr>
                <w:sz w:val="18"/>
                <w:szCs w:val="18"/>
              </w:rPr>
              <w:t>Drug reaction with eosinophilia and systemic symptoms (DRESS)</w:t>
            </w:r>
            <w:r w:rsidRPr="00E31484">
              <w:rPr>
                <w:sz w:val="18"/>
                <w:szCs w:val="18"/>
              </w:rPr>
              <w:t xml:space="preserve"> </w:t>
            </w:r>
          </w:p>
        </w:tc>
      </w:tr>
    </w:tbl>
    <w:p w14:paraId="09AC074A" w14:textId="1D703B94" w:rsidR="007500D4" w:rsidRPr="007500D4" w:rsidRDefault="007500D4" w:rsidP="009A6094">
      <w:pPr>
        <w:keepNext/>
        <w:tabs>
          <w:tab w:val="left" w:pos="8505"/>
        </w:tabs>
        <w:autoSpaceDE/>
        <w:autoSpaceDN/>
        <w:adjustRightInd/>
        <w:spacing w:before="120" w:after="0" w:line="240" w:lineRule="auto"/>
        <w:ind w:left="357"/>
        <w:rPr>
          <w:rFonts w:eastAsia="MS Mincho"/>
          <w:bCs/>
          <w:i/>
          <w:szCs w:val="20"/>
          <w:u w:val="single"/>
          <w:lang w:val="en-US" w:eastAsia="zh-CN"/>
        </w:rPr>
      </w:pPr>
      <w:r w:rsidRPr="007500D4">
        <w:rPr>
          <w:rFonts w:eastAsia="MS Mincho"/>
          <w:bCs/>
          <w:i/>
          <w:szCs w:val="20"/>
          <w:u w:val="single"/>
          <w:lang w:val="en-US" w:eastAsia="zh-CN"/>
        </w:rPr>
        <w:t>Description of selected ADRs and treatment recommendations, where applicable</w:t>
      </w:r>
    </w:p>
    <w:p w14:paraId="27A04F11" w14:textId="77777777" w:rsidR="007500D4" w:rsidRPr="007500D4" w:rsidRDefault="007500D4" w:rsidP="007500D4">
      <w:pPr>
        <w:keepNext/>
        <w:tabs>
          <w:tab w:val="left" w:pos="8505"/>
        </w:tabs>
        <w:autoSpaceDE/>
        <w:autoSpaceDN/>
        <w:adjustRightInd/>
        <w:spacing w:before="120" w:after="0" w:line="240" w:lineRule="auto"/>
        <w:ind w:left="360"/>
        <w:rPr>
          <w:rFonts w:eastAsia="MS Mincho"/>
          <w:bCs/>
          <w:i/>
          <w:szCs w:val="20"/>
          <w:lang w:val="en-US" w:eastAsia="zh-CN"/>
        </w:rPr>
      </w:pPr>
      <w:proofErr w:type="spellStart"/>
      <w:r w:rsidRPr="007500D4">
        <w:rPr>
          <w:rFonts w:eastAsia="MS Mincho"/>
          <w:bCs/>
          <w:i/>
          <w:szCs w:val="20"/>
          <w:lang w:val="en-US" w:eastAsia="zh-CN"/>
        </w:rPr>
        <w:t>Hyperglycaemia</w:t>
      </w:r>
      <w:proofErr w:type="spellEnd"/>
    </w:p>
    <w:p w14:paraId="4C0606F5" w14:textId="41529E56" w:rsidR="007500D4" w:rsidRPr="007500D4" w:rsidRDefault="007500D4" w:rsidP="005E2D28">
      <w:pPr>
        <w:widowControl w:val="0"/>
        <w:tabs>
          <w:tab w:val="left" w:pos="8505"/>
        </w:tabs>
        <w:autoSpaceDE/>
        <w:autoSpaceDN/>
        <w:adjustRightInd/>
        <w:spacing w:before="60" w:after="0" w:line="240" w:lineRule="auto"/>
        <w:ind w:left="357"/>
        <w:rPr>
          <w:rFonts w:eastAsia="MS Mincho"/>
          <w:szCs w:val="20"/>
          <w:lang w:val="en-US" w:eastAsia="zh-CN"/>
        </w:rPr>
      </w:pPr>
      <w:r w:rsidRPr="007500D4">
        <w:rPr>
          <w:rFonts w:eastAsia="MS Mincho"/>
          <w:szCs w:val="20"/>
          <w:lang w:val="en-US" w:eastAsia="zh-CN"/>
        </w:rPr>
        <w:t xml:space="preserve">In the phase III clinical study, </w:t>
      </w:r>
      <w:proofErr w:type="spellStart"/>
      <w:r w:rsidRPr="007500D4">
        <w:rPr>
          <w:rFonts w:eastAsia="MS Mincho"/>
          <w:szCs w:val="20"/>
          <w:lang w:val="en-US" w:eastAsia="zh-CN"/>
        </w:rPr>
        <w:t>hyperglycaemia</w:t>
      </w:r>
      <w:proofErr w:type="spellEnd"/>
      <w:r w:rsidRPr="007500D4">
        <w:rPr>
          <w:rFonts w:eastAsia="MS Mincho"/>
          <w:szCs w:val="20"/>
          <w:lang w:val="en-US" w:eastAsia="zh-CN"/>
        </w:rPr>
        <w:t xml:space="preserve"> (FPG &gt; 160 mg/</w:t>
      </w:r>
      <w:proofErr w:type="spellStart"/>
      <w:r w:rsidRPr="007500D4">
        <w:rPr>
          <w:rFonts w:eastAsia="MS Mincho"/>
          <w:szCs w:val="20"/>
          <w:lang w:val="en-US" w:eastAsia="zh-CN"/>
        </w:rPr>
        <w:t>dL</w:t>
      </w:r>
      <w:proofErr w:type="spellEnd"/>
      <w:r w:rsidRPr="007500D4">
        <w:rPr>
          <w:rFonts w:eastAsia="MS Mincho"/>
          <w:szCs w:val="20"/>
          <w:lang w:val="en-US" w:eastAsia="zh-CN"/>
        </w:rPr>
        <w:t>) was reported in 184 (64.8</w:t>
      </w:r>
      <w:r w:rsidR="005B4805">
        <w:rPr>
          <w:rFonts w:eastAsia="MS Mincho"/>
          <w:szCs w:val="20"/>
          <w:lang w:val="en-US" w:eastAsia="zh-CN"/>
        </w:rPr>
        <w:t xml:space="preserve"> </w:t>
      </w:r>
      <w:r w:rsidRPr="007500D4">
        <w:rPr>
          <w:rFonts w:eastAsia="MS Mincho"/>
          <w:szCs w:val="20"/>
          <w:lang w:val="en-US" w:eastAsia="zh-CN"/>
        </w:rPr>
        <w:t xml:space="preserve">%) of patients. An event of </w:t>
      </w:r>
      <w:proofErr w:type="spellStart"/>
      <w:r w:rsidRPr="007500D4">
        <w:rPr>
          <w:rFonts w:eastAsia="MS Mincho"/>
          <w:szCs w:val="20"/>
          <w:lang w:val="en-US" w:eastAsia="zh-CN"/>
        </w:rPr>
        <w:t>hyperglycaemia</w:t>
      </w:r>
      <w:proofErr w:type="spellEnd"/>
      <w:r w:rsidRPr="007500D4">
        <w:rPr>
          <w:rFonts w:eastAsia="MS Mincho"/>
          <w:szCs w:val="20"/>
          <w:lang w:val="en-US" w:eastAsia="zh-CN"/>
        </w:rPr>
        <w:t xml:space="preserve"> resolved to ≤</w:t>
      </w:r>
      <w:r w:rsidR="005B4805">
        <w:rPr>
          <w:rFonts w:eastAsia="MS Mincho"/>
          <w:szCs w:val="20"/>
          <w:lang w:val="en-US" w:eastAsia="zh-CN"/>
        </w:rPr>
        <w:t xml:space="preserve"> </w:t>
      </w:r>
      <w:r w:rsidRPr="007500D4">
        <w:rPr>
          <w:rFonts w:eastAsia="MS Mincho"/>
          <w:szCs w:val="20"/>
          <w:lang w:val="en-US" w:eastAsia="zh-CN"/>
        </w:rPr>
        <w:t>Grade 1 ((FPG &lt; 160 mg/</w:t>
      </w:r>
      <w:proofErr w:type="spellStart"/>
      <w:r w:rsidRPr="007500D4">
        <w:rPr>
          <w:rFonts w:eastAsia="MS Mincho"/>
          <w:szCs w:val="20"/>
          <w:lang w:val="en-US" w:eastAsia="zh-CN"/>
        </w:rPr>
        <w:t>dL</w:t>
      </w:r>
      <w:proofErr w:type="spellEnd"/>
      <w:r w:rsidRPr="007500D4">
        <w:rPr>
          <w:rFonts w:eastAsia="MS Mincho"/>
          <w:szCs w:val="20"/>
          <w:lang w:val="en-US" w:eastAsia="zh-CN"/>
        </w:rPr>
        <w:t>)) in 166 (88.8</w:t>
      </w:r>
      <w:r w:rsidR="005B4805">
        <w:rPr>
          <w:rFonts w:eastAsia="MS Mincho"/>
          <w:szCs w:val="20"/>
          <w:lang w:val="en-US" w:eastAsia="zh-CN"/>
        </w:rPr>
        <w:t xml:space="preserve"> </w:t>
      </w:r>
      <w:r w:rsidRPr="007500D4">
        <w:rPr>
          <w:rFonts w:eastAsia="MS Mincho"/>
          <w:szCs w:val="20"/>
          <w:lang w:val="en-US" w:eastAsia="zh-CN"/>
        </w:rPr>
        <w:t xml:space="preserve">%) of the 187 patients. Dose interruptions and adjustments due to </w:t>
      </w:r>
      <w:proofErr w:type="spellStart"/>
      <w:r w:rsidRPr="007500D4">
        <w:rPr>
          <w:rFonts w:eastAsia="MS Mincho"/>
          <w:szCs w:val="20"/>
          <w:lang w:val="en-US" w:eastAsia="zh-CN"/>
        </w:rPr>
        <w:t>hyperglycaemic</w:t>
      </w:r>
      <w:proofErr w:type="spellEnd"/>
      <w:r w:rsidRPr="007500D4">
        <w:rPr>
          <w:rFonts w:eastAsia="MS Mincho"/>
          <w:szCs w:val="20"/>
          <w:lang w:val="en-US" w:eastAsia="zh-CN"/>
        </w:rPr>
        <w:t xml:space="preserve"> events were reported in 26.8% and 28.9% of patients, respectively, in the PIQRAY plus </w:t>
      </w:r>
      <w:proofErr w:type="spellStart"/>
      <w:r w:rsidRPr="007500D4">
        <w:rPr>
          <w:rFonts w:eastAsia="MS Mincho"/>
          <w:szCs w:val="20"/>
          <w:lang w:val="en-US" w:eastAsia="zh-CN"/>
        </w:rPr>
        <w:t>fulvestrant</w:t>
      </w:r>
      <w:proofErr w:type="spellEnd"/>
      <w:r w:rsidRPr="007500D4">
        <w:rPr>
          <w:rFonts w:eastAsia="MS Mincho"/>
          <w:szCs w:val="20"/>
          <w:lang w:val="en-US" w:eastAsia="zh-CN"/>
        </w:rPr>
        <w:t xml:space="preserve"> arm. </w:t>
      </w:r>
      <w:proofErr w:type="spellStart"/>
      <w:r w:rsidRPr="007500D4">
        <w:rPr>
          <w:rFonts w:eastAsia="MS Mincho"/>
          <w:szCs w:val="20"/>
          <w:lang w:val="en-US" w:eastAsia="zh-CN"/>
        </w:rPr>
        <w:t>Hyperglycaemic</w:t>
      </w:r>
      <w:proofErr w:type="spellEnd"/>
      <w:r w:rsidRPr="007500D4">
        <w:rPr>
          <w:rFonts w:eastAsia="MS Mincho"/>
          <w:szCs w:val="20"/>
          <w:lang w:val="en-US" w:eastAsia="zh-CN"/>
        </w:rPr>
        <w:t xml:space="preserve"> events leading to discontinuation of PIQRAY and/or </w:t>
      </w:r>
      <w:proofErr w:type="spellStart"/>
      <w:r w:rsidRPr="007500D4">
        <w:rPr>
          <w:rFonts w:eastAsia="MS Mincho"/>
          <w:szCs w:val="20"/>
          <w:lang w:val="en-US" w:eastAsia="zh-CN"/>
        </w:rPr>
        <w:t>fulvestrant</w:t>
      </w:r>
      <w:proofErr w:type="spellEnd"/>
      <w:r w:rsidRPr="007500D4">
        <w:rPr>
          <w:rFonts w:eastAsia="MS Mincho"/>
          <w:szCs w:val="20"/>
          <w:lang w:val="en-US" w:eastAsia="zh-CN"/>
        </w:rPr>
        <w:t xml:space="preserve"> were r</w:t>
      </w:r>
      <w:r w:rsidR="009A6094">
        <w:rPr>
          <w:rFonts w:eastAsia="MS Mincho"/>
          <w:szCs w:val="20"/>
          <w:lang w:val="en-US" w:eastAsia="zh-CN"/>
        </w:rPr>
        <w:t>eported in 19 (6.7 %) patients.</w:t>
      </w:r>
    </w:p>
    <w:p w14:paraId="1E45BF4B" w14:textId="131F45A3" w:rsidR="007500D4" w:rsidRPr="007500D4" w:rsidRDefault="009A6094" w:rsidP="007500D4">
      <w:pPr>
        <w:keepNext/>
        <w:tabs>
          <w:tab w:val="left" w:pos="8505"/>
        </w:tabs>
        <w:autoSpaceDE/>
        <w:autoSpaceDN/>
        <w:adjustRightInd/>
        <w:spacing w:before="120" w:after="0" w:line="240" w:lineRule="auto"/>
        <w:ind w:left="360"/>
        <w:rPr>
          <w:rFonts w:eastAsia="MS Mincho"/>
          <w:bCs/>
          <w:i/>
          <w:szCs w:val="20"/>
          <w:lang w:val="en-US" w:eastAsia="zh-CN"/>
        </w:rPr>
      </w:pPr>
      <w:r>
        <w:rPr>
          <w:rFonts w:eastAsia="MS Mincho"/>
          <w:bCs/>
          <w:i/>
          <w:szCs w:val="20"/>
          <w:lang w:val="en-US" w:eastAsia="zh-CN"/>
        </w:rPr>
        <w:t>Rash</w:t>
      </w:r>
    </w:p>
    <w:p w14:paraId="3F733304" w14:textId="5B1F54BA" w:rsidR="005E2D28" w:rsidRPr="007500D4" w:rsidRDefault="007500D4" w:rsidP="009A6094">
      <w:pPr>
        <w:tabs>
          <w:tab w:val="left" w:pos="8505"/>
        </w:tabs>
        <w:autoSpaceDE/>
        <w:autoSpaceDN/>
        <w:adjustRightInd/>
        <w:spacing w:before="60" w:line="240" w:lineRule="auto"/>
        <w:ind w:left="357"/>
        <w:rPr>
          <w:rFonts w:eastAsia="MS Mincho"/>
          <w:szCs w:val="20"/>
          <w:lang w:val="en-US" w:eastAsia="zh-CN"/>
        </w:rPr>
      </w:pPr>
      <w:r w:rsidRPr="007500D4">
        <w:rPr>
          <w:rFonts w:eastAsia="MS Mincho"/>
          <w:szCs w:val="20"/>
          <w:lang w:val="en-US" w:eastAsia="zh-CN"/>
        </w:rPr>
        <w:t xml:space="preserve">In the phase III clinical study, rash events (including rash </w:t>
      </w:r>
      <w:proofErr w:type="spellStart"/>
      <w:r w:rsidRPr="007500D4">
        <w:rPr>
          <w:rFonts w:eastAsia="MS Mincho"/>
          <w:szCs w:val="20"/>
          <w:lang w:val="en-US" w:eastAsia="zh-CN"/>
        </w:rPr>
        <w:t>maculo-papular</w:t>
      </w:r>
      <w:proofErr w:type="spellEnd"/>
      <w:r w:rsidRPr="007500D4">
        <w:rPr>
          <w:rFonts w:eastAsia="MS Mincho"/>
          <w:szCs w:val="20"/>
          <w:lang w:val="en-US" w:eastAsia="zh-CN"/>
        </w:rPr>
        <w:t xml:space="preserve">, rash macular, rash generalized, rash </w:t>
      </w:r>
      <w:proofErr w:type="spellStart"/>
      <w:r w:rsidRPr="007500D4">
        <w:rPr>
          <w:rFonts w:eastAsia="MS Mincho"/>
          <w:szCs w:val="20"/>
          <w:lang w:val="en-US" w:eastAsia="zh-CN"/>
        </w:rPr>
        <w:t>papular</w:t>
      </w:r>
      <w:proofErr w:type="spellEnd"/>
      <w:r w:rsidRPr="007500D4">
        <w:rPr>
          <w:rFonts w:eastAsia="MS Mincho"/>
          <w:szCs w:val="20"/>
          <w:lang w:val="en-US" w:eastAsia="zh-CN"/>
        </w:rPr>
        <w:t>, rash pruritic, dermatitis and dermatitis acneiform) were reported in 153 (53.9</w:t>
      </w:r>
      <w:r w:rsidR="002B6B22">
        <w:rPr>
          <w:rFonts w:eastAsia="MS Mincho"/>
          <w:szCs w:val="20"/>
          <w:lang w:val="en-US" w:eastAsia="zh-CN"/>
        </w:rPr>
        <w:t xml:space="preserve"> </w:t>
      </w:r>
      <w:r w:rsidRPr="007500D4">
        <w:rPr>
          <w:rFonts w:eastAsia="MS Mincho"/>
          <w:szCs w:val="20"/>
          <w:lang w:val="en-US" w:eastAsia="zh-CN"/>
        </w:rPr>
        <w:t xml:space="preserve">%) patients. Rash may be accompanied by pruritus and dry skin in some cases. Rash was predominantly mild or moderate (Graded 1 or 2) and responsive to therapy. Maximum Grade 2 </w:t>
      </w:r>
      <w:r w:rsidRPr="007500D4">
        <w:rPr>
          <w:rFonts w:eastAsia="MS Mincho"/>
          <w:bCs/>
          <w:szCs w:val="20"/>
          <w:lang w:val="en-US" w:eastAsia="zh-CN"/>
        </w:rPr>
        <w:t>and</w:t>
      </w:r>
      <w:r w:rsidRPr="007500D4">
        <w:rPr>
          <w:rFonts w:eastAsia="MS Mincho"/>
          <w:szCs w:val="20"/>
          <w:lang w:val="en-US" w:eastAsia="zh-CN"/>
        </w:rPr>
        <w:t xml:space="preserve"> </w:t>
      </w:r>
      <w:r w:rsidRPr="007500D4">
        <w:rPr>
          <w:rFonts w:eastAsia="MS Mincho"/>
          <w:szCs w:val="20"/>
          <w:lang w:val="en-US" w:eastAsia="zh-CN"/>
        </w:rPr>
        <w:lastRenderedPageBreak/>
        <w:t>3 rash events were reported in 13.7</w:t>
      </w:r>
      <w:r w:rsidR="002B6B22">
        <w:rPr>
          <w:rFonts w:eastAsia="MS Mincho"/>
          <w:szCs w:val="20"/>
          <w:lang w:val="en-US" w:eastAsia="zh-CN"/>
        </w:rPr>
        <w:t xml:space="preserve"> </w:t>
      </w:r>
      <w:r w:rsidRPr="007500D4">
        <w:rPr>
          <w:rFonts w:eastAsia="MS Mincho"/>
          <w:szCs w:val="20"/>
          <w:lang w:val="en-US" w:eastAsia="zh-CN"/>
        </w:rPr>
        <w:t>% and 20.1</w:t>
      </w:r>
      <w:r w:rsidR="002B6B22">
        <w:rPr>
          <w:rFonts w:eastAsia="MS Mincho"/>
          <w:szCs w:val="20"/>
          <w:lang w:val="en-US" w:eastAsia="zh-CN"/>
        </w:rPr>
        <w:t xml:space="preserve"> </w:t>
      </w:r>
      <w:r w:rsidRPr="007500D4">
        <w:rPr>
          <w:rFonts w:eastAsia="MS Mincho"/>
          <w:szCs w:val="20"/>
          <w:lang w:val="en-US" w:eastAsia="zh-CN"/>
        </w:rPr>
        <w:t>% of patients, respectively. There were no Grade 4 cases of rash reported</w:t>
      </w:r>
      <w:r w:rsidRPr="007500D4">
        <w:rPr>
          <w:rFonts w:eastAsia="MS Mincho"/>
          <w:color w:val="0000FF"/>
          <w:szCs w:val="20"/>
          <w:lang w:val="en-US" w:eastAsia="zh-CN"/>
        </w:rPr>
        <w:t xml:space="preserve">. </w:t>
      </w:r>
      <w:r w:rsidRPr="007500D4">
        <w:rPr>
          <w:rFonts w:eastAsia="MS Mincho"/>
          <w:szCs w:val="20"/>
          <w:lang w:val="en-US" w:eastAsia="zh-CN"/>
        </w:rPr>
        <w:t>Among the patients with Grade 2 or 3 rash, the median time to first onset of Grade 2 or 3 rash was 12 days (range: 2 days to 220 days). Dose interruptions and dose adjustments due to rash were reported in 21.8</w:t>
      </w:r>
      <w:r w:rsidR="002B6B22">
        <w:rPr>
          <w:rFonts w:eastAsia="MS Mincho"/>
          <w:szCs w:val="20"/>
          <w:lang w:val="en-US" w:eastAsia="zh-CN"/>
        </w:rPr>
        <w:t xml:space="preserve"> </w:t>
      </w:r>
      <w:r w:rsidRPr="007500D4">
        <w:rPr>
          <w:rFonts w:eastAsia="MS Mincho"/>
          <w:szCs w:val="20"/>
          <w:lang w:val="en-US" w:eastAsia="zh-CN"/>
        </w:rPr>
        <w:t>% and 9.2</w:t>
      </w:r>
      <w:r w:rsidR="002B6B22">
        <w:rPr>
          <w:rFonts w:eastAsia="MS Mincho"/>
          <w:szCs w:val="20"/>
          <w:lang w:val="en-US" w:eastAsia="zh-CN"/>
        </w:rPr>
        <w:t xml:space="preserve"> </w:t>
      </w:r>
      <w:r w:rsidRPr="007500D4">
        <w:rPr>
          <w:rFonts w:eastAsia="MS Mincho"/>
          <w:szCs w:val="20"/>
          <w:lang w:val="en-US" w:eastAsia="zh-CN"/>
        </w:rPr>
        <w:t>% of patients, respectively, in t</w:t>
      </w:r>
      <w:r w:rsidR="009A6094">
        <w:rPr>
          <w:rFonts w:eastAsia="MS Mincho"/>
          <w:szCs w:val="20"/>
          <w:lang w:val="en-US" w:eastAsia="zh-CN"/>
        </w:rPr>
        <w:t xml:space="preserve">he PIQRAY plus </w:t>
      </w:r>
      <w:proofErr w:type="spellStart"/>
      <w:r w:rsidR="009A6094">
        <w:rPr>
          <w:rFonts w:eastAsia="MS Mincho"/>
          <w:szCs w:val="20"/>
          <w:lang w:val="en-US" w:eastAsia="zh-CN"/>
        </w:rPr>
        <w:t>fulvestrant</w:t>
      </w:r>
      <w:proofErr w:type="spellEnd"/>
      <w:r w:rsidR="009A6094">
        <w:rPr>
          <w:rFonts w:eastAsia="MS Mincho"/>
          <w:szCs w:val="20"/>
          <w:lang w:val="en-US" w:eastAsia="zh-CN"/>
        </w:rPr>
        <w:t xml:space="preserve"> arm.</w:t>
      </w:r>
    </w:p>
    <w:p w14:paraId="494B57D0" w14:textId="1E6E4C01" w:rsidR="007500D4" w:rsidRDefault="007500D4" w:rsidP="009A6094">
      <w:pPr>
        <w:tabs>
          <w:tab w:val="left" w:pos="8505"/>
        </w:tabs>
        <w:autoSpaceDE/>
        <w:autoSpaceDN/>
        <w:adjustRightInd/>
        <w:spacing w:line="240" w:lineRule="auto"/>
        <w:ind w:left="357"/>
        <w:rPr>
          <w:rFonts w:eastAsia="MS Mincho"/>
          <w:bCs/>
          <w:szCs w:val="20"/>
          <w:lang w:val="en-US" w:eastAsia="zh-CN"/>
        </w:rPr>
      </w:pPr>
      <w:r w:rsidRPr="007500D4">
        <w:rPr>
          <w:rFonts w:eastAsia="MS Mincho"/>
          <w:bCs/>
          <w:szCs w:val="20"/>
          <w:lang w:val="en-US" w:eastAsia="zh-CN"/>
        </w:rPr>
        <w:t>Topical corticosteroid treatment should be initiated at the first signs of rash and oral corticosteroids should be considered for moderate to severe rashes. Additionally, antihistamines are recommended to manage symptoms of rash. In the Phase III study, among the patients who developed a rash, 73.9</w:t>
      </w:r>
      <w:r w:rsidR="00502656">
        <w:rPr>
          <w:rFonts w:eastAsia="MS Mincho"/>
          <w:bCs/>
          <w:szCs w:val="20"/>
          <w:lang w:val="en-US" w:eastAsia="zh-CN"/>
        </w:rPr>
        <w:t xml:space="preserve"> </w:t>
      </w:r>
      <w:r w:rsidRPr="007500D4">
        <w:rPr>
          <w:rFonts w:eastAsia="MS Mincho"/>
          <w:bCs/>
          <w:szCs w:val="20"/>
          <w:lang w:val="en-US" w:eastAsia="zh-CN"/>
        </w:rPr>
        <w:t>% (113/153) reported use of at least one topical corticosteroid and 67.3</w:t>
      </w:r>
      <w:r w:rsidR="00502656">
        <w:rPr>
          <w:rFonts w:eastAsia="MS Mincho"/>
          <w:bCs/>
          <w:szCs w:val="20"/>
          <w:lang w:val="en-US" w:eastAsia="zh-CN"/>
        </w:rPr>
        <w:t xml:space="preserve"> </w:t>
      </w:r>
      <w:r w:rsidRPr="007500D4">
        <w:rPr>
          <w:rFonts w:eastAsia="MS Mincho"/>
          <w:bCs/>
          <w:szCs w:val="20"/>
          <w:lang w:val="en-US" w:eastAsia="zh-CN"/>
        </w:rPr>
        <w:t>% (103/153) of at least one oral antihistamine. Systemic corticosteroid were administered for rash events in 23</w:t>
      </w:r>
      <w:r w:rsidR="00502656">
        <w:rPr>
          <w:rFonts w:eastAsia="MS Mincho"/>
          <w:bCs/>
          <w:szCs w:val="20"/>
          <w:lang w:val="en-US" w:eastAsia="zh-CN"/>
        </w:rPr>
        <w:t xml:space="preserve"> </w:t>
      </w:r>
      <w:r w:rsidRPr="007500D4">
        <w:rPr>
          <w:rFonts w:eastAsia="MS Mincho"/>
          <w:bCs/>
          <w:szCs w:val="20"/>
          <w:lang w:val="en-US" w:eastAsia="zh-CN"/>
        </w:rPr>
        <w:t>% (66/284) of patients. Of the patients who received systemic corticosteroids, 55</w:t>
      </w:r>
      <w:r w:rsidR="00502656">
        <w:rPr>
          <w:rFonts w:eastAsia="MS Mincho"/>
          <w:bCs/>
          <w:szCs w:val="20"/>
          <w:lang w:val="en-US" w:eastAsia="zh-CN"/>
        </w:rPr>
        <w:t xml:space="preserve"> </w:t>
      </w:r>
      <w:r w:rsidRPr="007500D4">
        <w:rPr>
          <w:rFonts w:eastAsia="MS Mincho"/>
          <w:bCs/>
          <w:szCs w:val="20"/>
          <w:lang w:val="en-US" w:eastAsia="zh-CN"/>
        </w:rPr>
        <w:t>% (36/66) received oral corticosteroids for rash. At least one event of rash resolved in the majority of the patients, 141 out of 153 patients (92</w:t>
      </w:r>
      <w:r w:rsidR="00502656">
        <w:rPr>
          <w:rFonts w:eastAsia="MS Mincho"/>
          <w:bCs/>
          <w:szCs w:val="20"/>
          <w:lang w:val="en-US" w:eastAsia="zh-CN"/>
        </w:rPr>
        <w:t xml:space="preserve"> </w:t>
      </w:r>
      <w:r w:rsidRPr="007500D4">
        <w:rPr>
          <w:rFonts w:eastAsia="MS Mincho"/>
          <w:bCs/>
          <w:szCs w:val="20"/>
          <w:lang w:val="en-US" w:eastAsia="zh-CN"/>
        </w:rPr>
        <w:t xml:space="preserve">%). Discontinuation of PIQRAY and/or </w:t>
      </w:r>
      <w:proofErr w:type="spellStart"/>
      <w:r w:rsidRPr="007500D4">
        <w:rPr>
          <w:rFonts w:eastAsia="MS Mincho"/>
          <w:bCs/>
          <w:szCs w:val="20"/>
          <w:lang w:val="en-US" w:eastAsia="zh-CN"/>
        </w:rPr>
        <w:t>fulvestrant</w:t>
      </w:r>
      <w:proofErr w:type="spellEnd"/>
      <w:r w:rsidRPr="007500D4">
        <w:rPr>
          <w:rFonts w:eastAsia="MS Mincho"/>
          <w:bCs/>
          <w:szCs w:val="20"/>
          <w:lang w:val="en-US" w:eastAsia="zh-CN"/>
        </w:rPr>
        <w:t xml:space="preserve"> treatment due to rash events occurred in 12 patients (4.2</w:t>
      </w:r>
      <w:r w:rsidR="00502656">
        <w:rPr>
          <w:rFonts w:eastAsia="MS Mincho"/>
          <w:bCs/>
          <w:szCs w:val="20"/>
          <w:lang w:val="en-US" w:eastAsia="zh-CN"/>
        </w:rPr>
        <w:t xml:space="preserve"> </w:t>
      </w:r>
      <w:r w:rsidR="009A6094">
        <w:rPr>
          <w:rFonts w:eastAsia="MS Mincho"/>
          <w:bCs/>
          <w:szCs w:val="20"/>
          <w:lang w:val="en-US" w:eastAsia="zh-CN"/>
        </w:rPr>
        <w:t>%).</w:t>
      </w:r>
    </w:p>
    <w:p w14:paraId="6A74971C" w14:textId="47CBD6C2" w:rsidR="007500D4" w:rsidRDefault="007500D4" w:rsidP="009A6094">
      <w:pPr>
        <w:autoSpaceDE/>
        <w:autoSpaceDN/>
        <w:adjustRightInd/>
        <w:spacing w:line="240" w:lineRule="auto"/>
        <w:ind w:left="357"/>
        <w:rPr>
          <w:rFonts w:eastAsia="MS Mincho"/>
          <w:szCs w:val="20"/>
          <w:lang w:val="en-US" w:eastAsia="zh-CN"/>
        </w:rPr>
      </w:pPr>
      <w:r w:rsidRPr="007500D4">
        <w:rPr>
          <w:rFonts w:eastAsia="MS Mincho"/>
          <w:szCs w:val="20"/>
          <w:lang w:val="en-US" w:eastAsia="zh-CN"/>
        </w:rPr>
        <w:t>A subgroup of 86 patients received anti rash treatment, including anti-histamines, prior to onset of rash. In these patients, rash was reported less frequently than in the overall population, for all Grades rash (26.7</w:t>
      </w:r>
      <w:r w:rsidR="00502656">
        <w:rPr>
          <w:rFonts w:eastAsia="MS Mincho"/>
          <w:szCs w:val="20"/>
          <w:lang w:val="en-US" w:eastAsia="zh-CN"/>
        </w:rPr>
        <w:t xml:space="preserve"> </w:t>
      </w:r>
      <w:r w:rsidRPr="007500D4">
        <w:rPr>
          <w:rFonts w:eastAsia="MS Mincho"/>
          <w:szCs w:val="20"/>
          <w:lang w:val="en-US" w:eastAsia="zh-CN"/>
        </w:rPr>
        <w:t>% vs 53.9</w:t>
      </w:r>
      <w:r w:rsidR="00502656">
        <w:rPr>
          <w:rFonts w:eastAsia="MS Mincho"/>
          <w:szCs w:val="20"/>
          <w:lang w:val="en-US" w:eastAsia="zh-CN"/>
        </w:rPr>
        <w:t xml:space="preserve"> </w:t>
      </w:r>
      <w:r w:rsidRPr="007500D4">
        <w:rPr>
          <w:rFonts w:eastAsia="MS Mincho"/>
          <w:szCs w:val="20"/>
          <w:lang w:val="en-US" w:eastAsia="zh-CN"/>
        </w:rPr>
        <w:t>%), Grade 3 rash (11.6</w:t>
      </w:r>
      <w:r w:rsidR="00502656">
        <w:rPr>
          <w:rFonts w:eastAsia="MS Mincho"/>
          <w:szCs w:val="20"/>
          <w:lang w:val="en-US" w:eastAsia="zh-CN"/>
        </w:rPr>
        <w:t xml:space="preserve"> </w:t>
      </w:r>
      <w:r w:rsidRPr="007500D4">
        <w:rPr>
          <w:rFonts w:eastAsia="MS Mincho"/>
          <w:szCs w:val="20"/>
          <w:lang w:val="en-US" w:eastAsia="zh-CN"/>
        </w:rPr>
        <w:t>% vs 20.1</w:t>
      </w:r>
      <w:r w:rsidR="00502656">
        <w:rPr>
          <w:rFonts w:eastAsia="MS Mincho"/>
          <w:szCs w:val="20"/>
          <w:lang w:val="en-US" w:eastAsia="zh-CN"/>
        </w:rPr>
        <w:t xml:space="preserve"> </w:t>
      </w:r>
      <w:r w:rsidRPr="007500D4">
        <w:rPr>
          <w:rFonts w:eastAsia="MS Mincho"/>
          <w:szCs w:val="20"/>
          <w:lang w:val="en-US" w:eastAsia="zh-CN"/>
        </w:rPr>
        <w:t>%) and rash leading to permanent discontinuation of PIQRAY (3.5</w:t>
      </w:r>
      <w:r w:rsidR="00502656">
        <w:rPr>
          <w:rFonts w:eastAsia="MS Mincho"/>
          <w:szCs w:val="20"/>
          <w:lang w:val="en-US" w:eastAsia="zh-CN"/>
        </w:rPr>
        <w:t xml:space="preserve"> </w:t>
      </w:r>
      <w:r w:rsidRPr="007500D4">
        <w:rPr>
          <w:rFonts w:eastAsia="MS Mincho"/>
          <w:szCs w:val="20"/>
          <w:lang w:val="en-US" w:eastAsia="zh-CN"/>
        </w:rPr>
        <w:t>% vs 4.2</w:t>
      </w:r>
      <w:r w:rsidR="00502656">
        <w:rPr>
          <w:rFonts w:eastAsia="MS Mincho"/>
          <w:szCs w:val="20"/>
          <w:lang w:val="en-US" w:eastAsia="zh-CN"/>
        </w:rPr>
        <w:t xml:space="preserve"> </w:t>
      </w:r>
      <w:r w:rsidRPr="007500D4">
        <w:rPr>
          <w:rFonts w:eastAsia="MS Mincho"/>
          <w:szCs w:val="20"/>
          <w:lang w:val="en-US" w:eastAsia="zh-CN"/>
        </w:rPr>
        <w:t xml:space="preserve">%). Accordingly, antihistamines may be initiated prophylactically, at the time of initiation of treatment with </w:t>
      </w:r>
      <w:r w:rsidR="00E16761" w:rsidRPr="007500D4">
        <w:rPr>
          <w:rFonts w:eastAsia="MS Mincho"/>
          <w:szCs w:val="20"/>
          <w:lang w:val="en-US" w:eastAsia="zh-CN"/>
        </w:rPr>
        <w:t>PIQRAY</w:t>
      </w:r>
      <w:r w:rsidRPr="007500D4">
        <w:rPr>
          <w:rFonts w:eastAsia="MS Mincho"/>
          <w:szCs w:val="20"/>
          <w:lang w:val="en-US" w:eastAsia="zh-CN"/>
        </w:rPr>
        <w:t xml:space="preserve">. Based on the severity of rash, </w:t>
      </w:r>
      <w:r w:rsidR="00277621" w:rsidRPr="007500D4">
        <w:rPr>
          <w:rFonts w:eastAsia="MS Mincho"/>
          <w:szCs w:val="20"/>
          <w:lang w:val="en-US" w:eastAsia="zh-CN"/>
        </w:rPr>
        <w:t xml:space="preserve">PIQRAY </w:t>
      </w:r>
      <w:r w:rsidRPr="007500D4">
        <w:rPr>
          <w:rFonts w:eastAsia="MS Mincho"/>
          <w:szCs w:val="20"/>
          <w:lang w:val="en-US" w:eastAsia="zh-CN"/>
        </w:rPr>
        <w:t>may require dose interruption, reduction, or discontinuation as described in Table 3 Dose Modification and Management for rash (see section 4</w:t>
      </w:r>
      <w:r>
        <w:rPr>
          <w:rFonts w:eastAsia="MS Mincho"/>
          <w:szCs w:val="20"/>
          <w:lang w:val="en-US" w:eastAsia="zh-CN"/>
        </w:rPr>
        <w:t>.2</w:t>
      </w:r>
      <w:r w:rsidRPr="007500D4">
        <w:rPr>
          <w:rFonts w:eastAsia="MS Mincho"/>
          <w:szCs w:val="20"/>
          <w:lang w:val="en-US" w:eastAsia="zh-CN"/>
        </w:rPr>
        <w:t xml:space="preserve"> Dosage and administration).</w:t>
      </w:r>
    </w:p>
    <w:p w14:paraId="15D5F121" w14:textId="231C955A" w:rsidR="007500D4" w:rsidRPr="007500D4" w:rsidRDefault="007500D4" w:rsidP="005E2D28">
      <w:pPr>
        <w:keepNext/>
        <w:tabs>
          <w:tab w:val="left" w:pos="8505"/>
        </w:tabs>
        <w:autoSpaceDE/>
        <w:autoSpaceDN/>
        <w:adjustRightInd/>
        <w:spacing w:after="0" w:line="240" w:lineRule="auto"/>
        <w:ind w:left="360"/>
        <w:rPr>
          <w:rFonts w:eastAsia="MS Mincho"/>
          <w:bCs/>
          <w:i/>
          <w:szCs w:val="20"/>
          <w:lang w:val="en-US" w:eastAsia="zh-CN"/>
        </w:rPr>
      </w:pPr>
      <w:r w:rsidRPr="007500D4">
        <w:rPr>
          <w:rFonts w:eastAsia="MS Mincho"/>
          <w:bCs/>
          <w:i/>
          <w:szCs w:val="20"/>
          <w:lang w:val="en-US" w:eastAsia="zh-CN"/>
        </w:rPr>
        <w:t xml:space="preserve">GI toxicity (nausea, </w:t>
      </w:r>
      <w:proofErr w:type="spellStart"/>
      <w:r w:rsidR="00F059E2">
        <w:rPr>
          <w:rFonts w:eastAsia="MS Mincho"/>
          <w:bCs/>
          <w:i/>
          <w:szCs w:val="20"/>
          <w:lang w:val="en-US" w:eastAsia="zh-CN"/>
        </w:rPr>
        <w:t>diarrhoea</w:t>
      </w:r>
      <w:proofErr w:type="spellEnd"/>
      <w:r w:rsidR="009A6094">
        <w:rPr>
          <w:rFonts w:eastAsia="MS Mincho"/>
          <w:bCs/>
          <w:i/>
          <w:szCs w:val="20"/>
          <w:lang w:val="en-US" w:eastAsia="zh-CN"/>
        </w:rPr>
        <w:t>, vomiting)</w:t>
      </w:r>
    </w:p>
    <w:p w14:paraId="4B903E4D" w14:textId="44222224" w:rsidR="007500D4" w:rsidRPr="007500D4" w:rsidRDefault="007500D4" w:rsidP="005E2D28">
      <w:pPr>
        <w:tabs>
          <w:tab w:val="left" w:pos="8505"/>
        </w:tabs>
        <w:autoSpaceDE/>
        <w:autoSpaceDN/>
        <w:adjustRightInd/>
        <w:spacing w:after="0" w:line="240" w:lineRule="auto"/>
        <w:ind w:left="357"/>
        <w:rPr>
          <w:rFonts w:eastAsia="MS Mincho"/>
          <w:szCs w:val="20"/>
          <w:lang w:val="en-US" w:eastAsia="zh-CN"/>
        </w:rPr>
      </w:pPr>
      <w:r w:rsidRPr="007500D4">
        <w:rPr>
          <w:rFonts w:eastAsia="MS Mincho"/>
          <w:bCs/>
          <w:szCs w:val="20"/>
          <w:lang w:val="en-US" w:eastAsia="zh-CN"/>
        </w:rPr>
        <w:t xml:space="preserve">In the phase III study, </w:t>
      </w:r>
      <w:proofErr w:type="spellStart"/>
      <w:r w:rsidR="00F059E2">
        <w:rPr>
          <w:rFonts w:eastAsia="MS Mincho"/>
          <w:bCs/>
          <w:szCs w:val="20"/>
          <w:lang w:val="en-US" w:eastAsia="zh-CN"/>
        </w:rPr>
        <w:t>diarrhoea</w:t>
      </w:r>
      <w:proofErr w:type="spellEnd"/>
      <w:r w:rsidRPr="007500D4">
        <w:rPr>
          <w:rFonts w:eastAsia="MS Mincho"/>
          <w:bCs/>
          <w:szCs w:val="20"/>
          <w:lang w:val="en-US" w:eastAsia="zh-CN"/>
        </w:rPr>
        <w:t xml:space="preserve">, nausea and vomiting were </w:t>
      </w:r>
      <w:r w:rsidRPr="007500D4">
        <w:rPr>
          <w:rFonts w:eastAsia="MS Mincho"/>
          <w:szCs w:val="20"/>
          <w:lang w:val="en-US" w:eastAsia="zh-CN"/>
        </w:rPr>
        <w:t xml:space="preserve"> reported in 57.7</w:t>
      </w:r>
      <w:r w:rsidR="00502656">
        <w:rPr>
          <w:rFonts w:eastAsia="MS Mincho"/>
          <w:szCs w:val="20"/>
          <w:lang w:val="en-US" w:eastAsia="zh-CN"/>
        </w:rPr>
        <w:t xml:space="preserve"> </w:t>
      </w:r>
      <w:r w:rsidRPr="007500D4">
        <w:rPr>
          <w:rFonts w:eastAsia="MS Mincho"/>
          <w:szCs w:val="20"/>
          <w:lang w:val="en-US" w:eastAsia="zh-CN"/>
        </w:rPr>
        <w:t>%, 44.7</w:t>
      </w:r>
      <w:r w:rsidR="00502656">
        <w:rPr>
          <w:rFonts w:eastAsia="MS Mincho"/>
          <w:szCs w:val="20"/>
          <w:lang w:val="en-US" w:eastAsia="zh-CN"/>
        </w:rPr>
        <w:t xml:space="preserve"> </w:t>
      </w:r>
      <w:r w:rsidRPr="007500D4">
        <w:rPr>
          <w:rFonts w:eastAsia="MS Mincho"/>
          <w:szCs w:val="20"/>
          <w:lang w:val="en-US" w:eastAsia="zh-CN"/>
        </w:rPr>
        <w:t>% and 27.1</w:t>
      </w:r>
      <w:r w:rsidR="00502656">
        <w:rPr>
          <w:rFonts w:eastAsia="MS Mincho"/>
          <w:szCs w:val="20"/>
          <w:lang w:val="en-US" w:eastAsia="zh-CN"/>
        </w:rPr>
        <w:t xml:space="preserve"> </w:t>
      </w:r>
      <w:r w:rsidRPr="007500D4">
        <w:rPr>
          <w:rFonts w:eastAsia="MS Mincho"/>
          <w:szCs w:val="20"/>
          <w:lang w:val="en-US" w:eastAsia="zh-CN"/>
        </w:rPr>
        <w:t xml:space="preserve">% of the patients, respectively, and led to discontinuation of </w:t>
      </w:r>
      <w:r w:rsidR="00E16761" w:rsidRPr="007500D4">
        <w:rPr>
          <w:rFonts w:eastAsia="MS Mincho"/>
          <w:szCs w:val="20"/>
          <w:lang w:val="en-US" w:eastAsia="zh-CN"/>
        </w:rPr>
        <w:t>PIQRAY</w:t>
      </w:r>
      <w:r w:rsidRPr="007500D4">
        <w:rPr>
          <w:rFonts w:eastAsia="MS Mincho"/>
          <w:szCs w:val="20"/>
          <w:lang w:val="en-US" w:eastAsia="zh-CN"/>
        </w:rPr>
        <w:t xml:space="preserve"> and/or </w:t>
      </w:r>
      <w:proofErr w:type="spellStart"/>
      <w:r w:rsidRPr="007500D4">
        <w:rPr>
          <w:rFonts w:eastAsia="MS Mincho"/>
          <w:szCs w:val="20"/>
          <w:lang w:val="en-US" w:eastAsia="zh-CN"/>
        </w:rPr>
        <w:t>fulvestrant</w:t>
      </w:r>
      <w:proofErr w:type="spellEnd"/>
      <w:r w:rsidRPr="007500D4">
        <w:rPr>
          <w:rFonts w:eastAsia="MS Mincho"/>
          <w:szCs w:val="20"/>
          <w:lang w:val="en-US" w:eastAsia="zh-CN"/>
        </w:rPr>
        <w:t xml:space="preserve"> in 8 (2.8</w:t>
      </w:r>
      <w:r w:rsidR="00502656">
        <w:rPr>
          <w:rFonts w:eastAsia="MS Mincho"/>
          <w:szCs w:val="20"/>
          <w:lang w:val="en-US" w:eastAsia="zh-CN"/>
        </w:rPr>
        <w:t xml:space="preserve"> </w:t>
      </w:r>
      <w:r w:rsidRPr="007500D4">
        <w:rPr>
          <w:rFonts w:eastAsia="MS Mincho"/>
          <w:szCs w:val="20"/>
          <w:lang w:val="en-US" w:eastAsia="zh-CN"/>
        </w:rPr>
        <w:t>%), 5 (1.8</w:t>
      </w:r>
      <w:r w:rsidR="00502656">
        <w:rPr>
          <w:rFonts w:eastAsia="MS Mincho"/>
          <w:szCs w:val="20"/>
          <w:lang w:val="en-US" w:eastAsia="zh-CN"/>
        </w:rPr>
        <w:t xml:space="preserve"> </w:t>
      </w:r>
      <w:r w:rsidRPr="007500D4">
        <w:rPr>
          <w:rFonts w:eastAsia="MS Mincho"/>
          <w:szCs w:val="20"/>
          <w:lang w:val="en-US" w:eastAsia="zh-CN"/>
        </w:rPr>
        <w:t>%) and 3 (1.1</w:t>
      </w:r>
      <w:r w:rsidR="00502656">
        <w:rPr>
          <w:rFonts w:eastAsia="MS Mincho"/>
          <w:szCs w:val="20"/>
          <w:lang w:val="en-US" w:eastAsia="zh-CN"/>
        </w:rPr>
        <w:t xml:space="preserve"> </w:t>
      </w:r>
      <w:r w:rsidRPr="007500D4">
        <w:rPr>
          <w:rFonts w:eastAsia="MS Mincho"/>
          <w:szCs w:val="20"/>
          <w:lang w:val="en-US" w:eastAsia="zh-CN"/>
        </w:rPr>
        <w:t xml:space="preserve">%) of the patients, respectively </w:t>
      </w:r>
      <w:r w:rsidR="005E2D28" w:rsidRPr="007500D4">
        <w:rPr>
          <w:rFonts w:eastAsia="MS Mincho"/>
          <w:bCs/>
          <w:szCs w:val="20"/>
          <w:lang w:val="en-US" w:eastAsia="zh-CN"/>
        </w:rPr>
        <w:t xml:space="preserve">(see Table </w:t>
      </w:r>
      <w:r w:rsidR="00425194">
        <w:rPr>
          <w:rFonts w:eastAsia="MS Mincho"/>
          <w:bCs/>
          <w:szCs w:val="20"/>
          <w:lang w:val="en-US" w:eastAsia="zh-CN"/>
        </w:rPr>
        <w:t>6</w:t>
      </w:r>
      <w:r w:rsidR="005E2D28" w:rsidRPr="007500D4">
        <w:rPr>
          <w:rFonts w:eastAsia="MS Mincho"/>
          <w:bCs/>
          <w:szCs w:val="20"/>
          <w:lang w:val="en-US" w:eastAsia="zh-CN"/>
        </w:rPr>
        <w:t>)</w:t>
      </w:r>
      <w:r w:rsidR="009A6094">
        <w:rPr>
          <w:rFonts w:eastAsia="MS Mincho"/>
          <w:szCs w:val="20"/>
          <w:lang w:val="en-US" w:eastAsia="zh-CN"/>
        </w:rPr>
        <w:t>.</w:t>
      </w:r>
    </w:p>
    <w:p w14:paraId="77B2FC77" w14:textId="24649279" w:rsidR="007500D4" w:rsidRDefault="007500D4" w:rsidP="009A6094">
      <w:pPr>
        <w:tabs>
          <w:tab w:val="left" w:pos="8505"/>
        </w:tabs>
        <w:autoSpaceDE/>
        <w:autoSpaceDN/>
        <w:adjustRightInd/>
        <w:spacing w:before="120" w:line="240" w:lineRule="auto"/>
        <w:ind w:left="360"/>
        <w:rPr>
          <w:rFonts w:eastAsia="MS Mincho"/>
          <w:szCs w:val="20"/>
          <w:lang w:val="en-US" w:eastAsia="zh-CN"/>
        </w:rPr>
      </w:pPr>
      <w:r w:rsidRPr="007500D4">
        <w:rPr>
          <w:rFonts w:eastAsia="MS Mincho"/>
          <w:szCs w:val="20"/>
          <w:lang w:val="en-US" w:eastAsia="zh-CN"/>
        </w:rPr>
        <w:t xml:space="preserve">Maximum Grade 2 and 3 </w:t>
      </w:r>
      <w:proofErr w:type="spellStart"/>
      <w:r w:rsidR="00F059E2">
        <w:rPr>
          <w:rFonts w:eastAsia="MS Mincho"/>
          <w:szCs w:val="20"/>
          <w:lang w:val="en-US" w:eastAsia="zh-CN"/>
        </w:rPr>
        <w:t>diarrhoea</w:t>
      </w:r>
      <w:proofErr w:type="spellEnd"/>
      <w:r w:rsidRPr="007500D4">
        <w:rPr>
          <w:rFonts w:eastAsia="MS Mincho"/>
          <w:szCs w:val="20"/>
          <w:lang w:val="en-US" w:eastAsia="zh-CN"/>
        </w:rPr>
        <w:t xml:space="preserve"> events were reported in 18.3</w:t>
      </w:r>
      <w:r w:rsidR="00502656">
        <w:rPr>
          <w:rFonts w:eastAsia="MS Mincho"/>
          <w:szCs w:val="20"/>
          <w:lang w:val="en-US" w:eastAsia="zh-CN"/>
        </w:rPr>
        <w:t xml:space="preserve"> </w:t>
      </w:r>
      <w:r w:rsidRPr="007500D4">
        <w:rPr>
          <w:rFonts w:eastAsia="MS Mincho"/>
          <w:szCs w:val="20"/>
          <w:lang w:val="en-US" w:eastAsia="zh-CN"/>
        </w:rPr>
        <w:t>% and 6.7</w:t>
      </w:r>
      <w:r w:rsidR="00502656">
        <w:rPr>
          <w:rFonts w:eastAsia="MS Mincho"/>
          <w:szCs w:val="20"/>
          <w:lang w:val="en-US" w:eastAsia="zh-CN"/>
        </w:rPr>
        <w:t xml:space="preserve"> </w:t>
      </w:r>
      <w:r w:rsidRPr="007500D4">
        <w:rPr>
          <w:rFonts w:eastAsia="MS Mincho"/>
          <w:szCs w:val="20"/>
          <w:lang w:val="en-US" w:eastAsia="zh-CN"/>
        </w:rPr>
        <w:t xml:space="preserve">% of patients, respectively. There were no reported cases of Grade 4 </w:t>
      </w:r>
      <w:proofErr w:type="spellStart"/>
      <w:r w:rsidR="00F059E2">
        <w:rPr>
          <w:rFonts w:eastAsia="MS Mincho"/>
          <w:szCs w:val="20"/>
          <w:lang w:val="en-US" w:eastAsia="zh-CN"/>
        </w:rPr>
        <w:t>diarrhoea</w:t>
      </w:r>
      <w:proofErr w:type="spellEnd"/>
      <w:r w:rsidRPr="007500D4">
        <w:rPr>
          <w:rFonts w:eastAsia="MS Mincho"/>
          <w:szCs w:val="20"/>
          <w:lang w:val="en-US" w:eastAsia="zh-CN"/>
        </w:rPr>
        <w:t xml:space="preserve"> in the Phase III clinical study. Among patients with Grade ≥</w:t>
      </w:r>
      <w:r w:rsidR="00502656">
        <w:rPr>
          <w:rFonts w:eastAsia="MS Mincho"/>
          <w:szCs w:val="20"/>
          <w:lang w:val="en-US" w:eastAsia="zh-CN"/>
        </w:rPr>
        <w:t xml:space="preserve"> </w:t>
      </w:r>
      <w:r w:rsidRPr="007500D4">
        <w:rPr>
          <w:rFonts w:eastAsia="MS Mincho"/>
          <w:szCs w:val="20"/>
          <w:lang w:val="en-US" w:eastAsia="zh-CN"/>
        </w:rPr>
        <w:t xml:space="preserve">2 </w:t>
      </w:r>
      <w:proofErr w:type="spellStart"/>
      <w:r w:rsidR="00F059E2">
        <w:rPr>
          <w:rFonts w:eastAsia="MS Mincho"/>
          <w:szCs w:val="20"/>
          <w:lang w:val="en-US" w:eastAsia="zh-CN"/>
        </w:rPr>
        <w:t>diarrhoea</w:t>
      </w:r>
      <w:proofErr w:type="spellEnd"/>
      <w:r w:rsidRPr="007500D4">
        <w:rPr>
          <w:rFonts w:eastAsia="MS Mincho"/>
          <w:szCs w:val="20"/>
          <w:lang w:val="en-US" w:eastAsia="zh-CN"/>
        </w:rPr>
        <w:t xml:space="preserve">, median time to onset of Grade ≥ 2 </w:t>
      </w:r>
      <w:proofErr w:type="spellStart"/>
      <w:r w:rsidR="00F059E2">
        <w:rPr>
          <w:rFonts w:eastAsia="MS Mincho"/>
          <w:szCs w:val="20"/>
          <w:lang w:val="en-US" w:eastAsia="zh-CN"/>
        </w:rPr>
        <w:t>diarrhoea</w:t>
      </w:r>
      <w:proofErr w:type="spellEnd"/>
      <w:r w:rsidRPr="007500D4">
        <w:rPr>
          <w:rFonts w:eastAsia="MS Mincho"/>
          <w:szCs w:val="20"/>
          <w:lang w:val="en-US" w:eastAsia="zh-CN"/>
        </w:rPr>
        <w:t xml:space="preserve"> was </w:t>
      </w:r>
      <w:r w:rsidR="009A6094">
        <w:rPr>
          <w:rFonts w:eastAsia="MS Mincho"/>
          <w:szCs w:val="20"/>
          <w:lang w:val="en-US" w:eastAsia="zh-CN"/>
        </w:rPr>
        <w:t>46 days (range: 1 to 442 days).</w:t>
      </w:r>
    </w:p>
    <w:p w14:paraId="34BAA7FC" w14:textId="4FD188DF" w:rsidR="005E2D28" w:rsidRPr="007500D4" w:rsidRDefault="007500D4" w:rsidP="009A6094">
      <w:pPr>
        <w:tabs>
          <w:tab w:val="left" w:pos="8505"/>
        </w:tabs>
        <w:autoSpaceDE/>
        <w:autoSpaceDN/>
        <w:adjustRightInd/>
        <w:spacing w:line="240" w:lineRule="auto"/>
        <w:ind w:left="357"/>
        <w:rPr>
          <w:rFonts w:eastAsia="MS Mincho"/>
          <w:szCs w:val="20"/>
          <w:lang w:val="en-US" w:eastAsia="zh-CN"/>
        </w:rPr>
      </w:pPr>
      <w:r w:rsidRPr="007500D4">
        <w:rPr>
          <w:rFonts w:eastAsia="MS Mincho"/>
          <w:szCs w:val="20"/>
          <w:lang w:val="en-US" w:eastAsia="zh-CN"/>
        </w:rPr>
        <w:t xml:space="preserve">Severe </w:t>
      </w:r>
      <w:proofErr w:type="spellStart"/>
      <w:r w:rsidR="00F059E2">
        <w:rPr>
          <w:rFonts w:eastAsia="MS Mincho"/>
          <w:szCs w:val="20"/>
          <w:lang w:val="en-US" w:eastAsia="zh-CN"/>
        </w:rPr>
        <w:t>diarrhoea</w:t>
      </w:r>
      <w:proofErr w:type="spellEnd"/>
      <w:r w:rsidRPr="007500D4">
        <w:rPr>
          <w:rFonts w:eastAsia="MS Mincho"/>
          <w:szCs w:val="20"/>
          <w:lang w:val="en-US" w:eastAsia="zh-CN"/>
        </w:rPr>
        <w:t xml:space="preserve"> and clinical consequences, such as dehydration and acute kidney injury have been reported during treatment with </w:t>
      </w:r>
      <w:r w:rsidR="00277621" w:rsidRPr="007500D4">
        <w:rPr>
          <w:rFonts w:eastAsia="MS Mincho"/>
          <w:szCs w:val="20"/>
          <w:lang w:val="en-US" w:eastAsia="zh-CN"/>
        </w:rPr>
        <w:t xml:space="preserve">PIQRAY </w:t>
      </w:r>
      <w:r w:rsidRPr="007500D4">
        <w:rPr>
          <w:rFonts w:eastAsia="MS Mincho"/>
          <w:szCs w:val="20"/>
          <w:lang w:val="en-US" w:eastAsia="zh-CN"/>
        </w:rPr>
        <w:t xml:space="preserve">and resolved with appropriate intervention (see Table </w:t>
      </w:r>
      <w:r w:rsidR="005E2D28">
        <w:rPr>
          <w:rFonts w:eastAsia="MS Mincho"/>
          <w:szCs w:val="20"/>
          <w:lang w:val="en-US" w:eastAsia="zh-CN"/>
        </w:rPr>
        <w:t>5</w:t>
      </w:r>
      <w:r w:rsidRPr="007500D4">
        <w:rPr>
          <w:rFonts w:eastAsia="MS Mincho"/>
          <w:szCs w:val="20"/>
          <w:lang w:val="en-US" w:eastAsia="zh-CN"/>
        </w:rPr>
        <w:t xml:space="preserve">). Patients should be managed according to local standard of care medical management, including electrolyte monitoring, administration of anti-emetics and </w:t>
      </w:r>
      <w:proofErr w:type="spellStart"/>
      <w:r w:rsidRPr="007500D4">
        <w:rPr>
          <w:rFonts w:eastAsia="MS Mincho"/>
          <w:szCs w:val="20"/>
          <w:lang w:val="en-US" w:eastAsia="zh-CN"/>
        </w:rPr>
        <w:t>anti</w:t>
      </w:r>
      <w:r w:rsidR="00F059E2">
        <w:rPr>
          <w:rFonts w:eastAsia="MS Mincho"/>
          <w:szCs w:val="20"/>
          <w:lang w:val="en-US" w:eastAsia="zh-CN"/>
        </w:rPr>
        <w:t>diarrhoea</w:t>
      </w:r>
      <w:r w:rsidRPr="007500D4">
        <w:rPr>
          <w:rFonts w:eastAsia="MS Mincho"/>
          <w:szCs w:val="20"/>
          <w:lang w:val="en-US" w:eastAsia="zh-CN"/>
        </w:rPr>
        <w:t>l</w:t>
      </w:r>
      <w:proofErr w:type="spellEnd"/>
      <w:r w:rsidRPr="007500D4">
        <w:rPr>
          <w:rFonts w:eastAsia="MS Mincho"/>
          <w:szCs w:val="20"/>
          <w:lang w:val="en-US" w:eastAsia="zh-CN"/>
        </w:rPr>
        <w:t xml:space="preserve"> medications and/or fluid replacement and electrolyte supplements, as clinically indicated. In the phase III clinical study, anti-emetics (e</w:t>
      </w:r>
      <w:r>
        <w:rPr>
          <w:rFonts w:eastAsia="MS Mincho"/>
          <w:szCs w:val="20"/>
          <w:lang w:val="en-US" w:eastAsia="zh-CN"/>
        </w:rPr>
        <w:t>.</w:t>
      </w:r>
      <w:r w:rsidRPr="007500D4">
        <w:rPr>
          <w:rFonts w:eastAsia="MS Mincho"/>
          <w:szCs w:val="20"/>
          <w:lang w:val="en-US" w:eastAsia="zh-CN"/>
        </w:rPr>
        <w:t>g. ondansetron) and anti-</w:t>
      </w:r>
      <w:proofErr w:type="spellStart"/>
      <w:r w:rsidR="00F059E2">
        <w:rPr>
          <w:rFonts w:eastAsia="MS Mincho"/>
          <w:szCs w:val="20"/>
          <w:lang w:val="en-US" w:eastAsia="zh-CN"/>
        </w:rPr>
        <w:t>diarrhoea</w:t>
      </w:r>
      <w:r w:rsidRPr="007500D4">
        <w:rPr>
          <w:rFonts w:eastAsia="MS Mincho"/>
          <w:szCs w:val="20"/>
          <w:lang w:val="en-US" w:eastAsia="zh-CN"/>
        </w:rPr>
        <w:t>l</w:t>
      </w:r>
      <w:proofErr w:type="spellEnd"/>
      <w:r w:rsidRPr="007500D4">
        <w:rPr>
          <w:rFonts w:eastAsia="MS Mincho"/>
          <w:szCs w:val="20"/>
          <w:lang w:val="en-US" w:eastAsia="zh-CN"/>
        </w:rPr>
        <w:t xml:space="preserve"> medications (e</w:t>
      </w:r>
      <w:r w:rsidR="005E2D28">
        <w:rPr>
          <w:rFonts w:eastAsia="MS Mincho"/>
          <w:szCs w:val="20"/>
          <w:lang w:val="en-US" w:eastAsia="zh-CN"/>
        </w:rPr>
        <w:t>.</w:t>
      </w:r>
      <w:r w:rsidRPr="007500D4">
        <w:rPr>
          <w:rFonts w:eastAsia="MS Mincho"/>
          <w:szCs w:val="20"/>
          <w:lang w:val="en-US" w:eastAsia="zh-CN"/>
        </w:rPr>
        <w:t>g</w:t>
      </w:r>
      <w:r w:rsidR="005E2D28">
        <w:rPr>
          <w:rFonts w:eastAsia="MS Mincho"/>
          <w:szCs w:val="20"/>
          <w:lang w:val="en-US" w:eastAsia="zh-CN"/>
        </w:rPr>
        <w:t xml:space="preserve">. </w:t>
      </w:r>
      <w:proofErr w:type="spellStart"/>
      <w:r w:rsidRPr="007500D4">
        <w:rPr>
          <w:rFonts w:eastAsia="MS Mincho"/>
          <w:szCs w:val="20"/>
          <w:lang w:val="en-US" w:eastAsia="zh-CN"/>
        </w:rPr>
        <w:t>loperamide</w:t>
      </w:r>
      <w:proofErr w:type="spellEnd"/>
      <w:r w:rsidRPr="007500D4">
        <w:rPr>
          <w:rFonts w:eastAsia="MS Mincho"/>
          <w:szCs w:val="20"/>
          <w:lang w:val="en-US" w:eastAsia="zh-CN"/>
        </w:rPr>
        <w:t>) were used in 27/149 (18.1</w:t>
      </w:r>
      <w:r w:rsidR="00502656">
        <w:rPr>
          <w:rFonts w:eastAsia="MS Mincho"/>
          <w:szCs w:val="20"/>
          <w:lang w:val="en-US" w:eastAsia="zh-CN"/>
        </w:rPr>
        <w:t xml:space="preserve"> </w:t>
      </w:r>
      <w:r w:rsidRPr="007500D4">
        <w:rPr>
          <w:rFonts w:eastAsia="MS Mincho"/>
          <w:szCs w:val="20"/>
          <w:lang w:val="en-US" w:eastAsia="zh-CN"/>
        </w:rPr>
        <w:t>%) and 104/164 (63.4</w:t>
      </w:r>
      <w:r w:rsidR="00502656">
        <w:rPr>
          <w:rFonts w:eastAsia="MS Mincho"/>
          <w:szCs w:val="20"/>
          <w:lang w:val="en-US" w:eastAsia="zh-CN"/>
        </w:rPr>
        <w:t xml:space="preserve"> </w:t>
      </w:r>
      <w:r w:rsidRPr="007500D4">
        <w:rPr>
          <w:rFonts w:eastAsia="MS Mincho"/>
          <w:szCs w:val="20"/>
          <w:lang w:val="en-US" w:eastAsia="zh-CN"/>
        </w:rPr>
        <w:t xml:space="preserve">%) </w:t>
      </w:r>
      <w:r w:rsidR="009A6094">
        <w:rPr>
          <w:rFonts w:eastAsia="MS Mincho"/>
          <w:szCs w:val="20"/>
          <w:lang w:val="en-US" w:eastAsia="zh-CN"/>
        </w:rPr>
        <w:t>of patients to manage symptoms.</w:t>
      </w:r>
    </w:p>
    <w:p w14:paraId="2C99B00A" w14:textId="77777777" w:rsidR="007500D4" w:rsidRPr="007500D4" w:rsidRDefault="007500D4" w:rsidP="005E2D28">
      <w:pPr>
        <w:keepNext/>
        <w:tabs>
          <w:tab w:val="left" w:pos="8505"/>
        </w:tabs>
        <w:autoSpaceDE/>
        <w:autoSpaceDN/>
        <w:adjustRightInd/>
        <w:spacing w:after="0" w:line="240" w:lineRule="auto"/>
        <w:ind w:left="360"/>
        <w:rPr>
          <w:rFonts w:eastAsia="MS Mincho"/>
          <w:bCs/>
          <w:i/>
          <w:szCs w:val="20"/>
          <w:lang w:val="en-US" w:eastAsia="zh-CN"/>
        </w:rPr>
      </w:pPr>
      <w:r w:rsidRPr="007500D4">
        <w:rPr>
          <w:rFonts w:eastAsia="MS Mincho"/>
          <w:bCs/>
          <w:i/>
          <w:szCs w:val="20"/>
          <w:lang w:val="en-US" w:eastAsia="zh-CN"/>
        </w:rPr>
        <w:t>Osteonecrosis of the jaw (ONJ)</w:t>
      </w:r>
    </w:p>
    <w:p w14:paraId="1F032F06" w14:textId="1DBF546D" w:rsidR="007500D4" w:rsidRPr="007500D4" w:rsidRDefault="007500D4" w:rsidP="009A6094">
      <w:pPr>
        <w:autoSpaceDE/>
        <w:autoSpaceDN/>
        <w:adjustRightInd/>
        <w:spacing w:line="240" w:lineRule="auto"/>
        <w:ind w:left="357"/>
        <w:rPr>
          <w:rFonts w:eastAsia="MS Mincho"/>
          <w:szCs w:val="20"/>
          <w:lang w:val="en-US" w:eastAsia="zh-CN"/>
        </w:rPr>
      </w:pPr>
      <w:r w:rsidRPr="007500D4">
        <w:rPr>
          <w:rFonts w:eastAsia="MS Mincho"/>
          <w:szCs w:val="20"/>
          <w:lang w:val="en-US" w:eastAsia="zh-CN"/>
        </w:rPr>
        <w:t>In the phase III clinical study, ONJ was reported in 4.2</w:t>
      </w:r>
      <w:r w:rsidR="00502656">
        <w:rPr>
          <w:rFonts w:eastAsia="MS Mincho"/>
          <w:szCs w:val="20"/>
          <w:lang w:val="en-US" w:eastAsia="zh-CN"/>
        </w:rPr>
        <w:t xml:space="preserve"> </w:t>
      </w:r>
      <w:r w:rsidRPr="007500D4">
        <w:rPr>
          <w:rFonts w:eastAsia="MS Mincho"/>
          <w:szCs w:val="20"/>
          <w:lang w:val="en-US" w:eastAsia="zh-CN"/>
        </w:rPr>
        <w:t xml:space="preserve">% patients (12/284) in the </w:t>
      </w:r>
      <w:r w:rsidR="00E16761" w:rsidRPr="007500D4">
        <w:rPr>
          <w:rFonts w:eastAsia="MS Mincho"/>
          <w:szCs w:val="20"/>
          <w:lang w:val="en-US" w:eastAsia="zh-CN"/>
        </w:rPr>
        <w:t>PIQRAY</w:t>
      </w:r>
      <w:r w:rsidRPr="007500D4">
        <w:rPr>
          <w:rFonts w:eastAsia="MS Mincho"/>
          <w:szCs w:val="20"/>
          <w:lang w:val="en-US" w:eastAsia="zh-CN"/>
        </w:rPr>
        <w:t xml:space="preserve"> plus </w:t>
      </w:r>
      <w:proofErr w:type="spellStart"/>
      <w:r w:rsidRPr="007500D4">
        <w:rPr>
          <w:rFonts w:eastAsia="MS Mincho"/>
          <w:szCs w:val="20"/>
          <w:lang w:val="en-US" w:eastAsia="zh-CN"/>
        </w:rPr>
        <w:t>fulvestrant</w:t>
      </w:r>
      <w:proofErr w:type="spellEnd"/>
      <w:r w:rsidRPr="007500D4">
        <w:rPr>
          <w:rFonts w:eastAsia="MS Mincho"/>
          <w:szCs w:val="20"/>
          <w:lang w:val="en-US" w:eastAsia="zh-CN"/>
        </w:rPr>
        <w:t xml:space="preserve"> arm compared to 1.4</w:t>
      </w:r>
      <w:r w:rsidR="00502656">
        <w:rPr>
          <w:rFonts w:eastAsia="MS Mincho"/>
          <w:szCs w:val="20"/>
          <w:lang w:val="en-US" w:eastAsia="zh-CN"/>
        </w:rPr>
        <w:t xml:space="preserve"> </w:t>
      </w:r>
      <w:r w:rsidRPr="007500D4">
        <w:rPr>
          <w:rFonts w:eastAsia="MS Mincho"/>
          <w:szCs w:val="20"/>
          <w:lang w:val="en-US" w:eastAsia="zh-CN"/>
        </w:rPr>
        <w:t xml:space="preserve">% patients (4/287) in the placebo plus </w:t>
      </w:r>
      <w:proofErr w:type="spellStart"/>
      <w:r w:rsidRPr="007500D4">
        <w:rPr>
          <w:rFonts w:eastAsia="MS Mincho"/>
          <w:szCs w:val="20"/>
          <w:lang w:val="en-US" w:eastAsia="zh-CN"/>
        </w:rPr>
        <w:t>fulvestrant</w:t>
      </w:r>
      <w:proofErr w:type="spellEnd"/>
      <w:r w:rsidRPr="007500D4">
        <w:rPr>
          <w:rFonts w:eastAsia="MS Mincho"/>
          <w:szCs w:val="20"/>
          <w:lang w:val="en-US" w:eastAsia="zh-CN"/>
        </w:rPr>
        <w:t xml:space="preserve"> arm. All patients experiencing ONJ were also exposed to prior or concomitant bisphosphonates (e.g. </w:t>
      </w:r>
      <w:proofErr w:type="spellStart"/>
      <w:r w:rsidRPr="007500D4">
        <w:rPr>
          <w:rFonts w:eastAsia="MS Mincho"/>
          <w:szCs w:val="20"/>
          <w:lang w:val="en-US" w:eastAsia="zh-CN"/>
        </w:rPr>
        <w:t>zoledronic</w:t>
      </w:r>
      <w:proofErr w:type="spellEnd"/>
      <w:r w:rsidRPr="007500D4">
        <w:rPr>
          <w:rFonts w:eastAsia="MS Mincho"/>
          <w:szCs w:val="20"/>
          <w:lang w:val="en-US" w:eastAsia="zh-CN"/>
        </w:rPr>
        <w:t xml:space="preserve"> acid). Therefore, in patients receiving PIQRAY and bisphosphonates, an increased risk of development of ONJ cannot be excluded.</w:t>
      </w:r>
    </w:p>
    <w:p w14:paraId="7DAEF7E9" w14:textId="77777777" w:rsidR="00F149F8" w:rsidRPr="00F149F8" w:rsidRDefault="00F149F8" w:rsidP="005E2D28">
      <w:pPr>
        <w:autoSpaceDE/>
        <w:autoSpaceDN/>
        <w:adjustRightInd/>
        <w:spacing w:after="0" w:line="240" w:lineRule="auto"/>
        <w:ind w:left="357"/>
        <w:rPr>
          <w:i/>
          <w:u w:val="single"/>
          <w:lang w:val="en-GB"/>
        </w:rPr>
      </w:pPr>
      <w:r w:rsidRPr="00F149F8">
        <w:rPr>
          <w:i/>
          <w:u w:val="single"/>
          <w:lang w:val="en-GB"/>
        </w:rPr>
        <w:t>Reporting suspected adverse effects</w:t>
      </w:r>
    </w:p>
    <w:p w14:paraId="3C6991FE" w14:textId="77777777" w:rsidR="00F149F8" w:rsidRPr="00E11C29" w:rsidRDefault="00F149F8" w:rsidP="00E11C29">
      <w:pPr>
        <w:widowControl w:val="0"/>
        <w:ind w:left="360"/>
      </w:pPr>
      <w:r w:rsidRPr="00E11C29">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6" w:history="1">
        <w:r w:rsidRPr="00E11C29">
          <w:t>www.tga.gov.au/reporting-problems</w:t>
        </w:r>
      </w:hyperlink>
      <w:r w:rsidRPr="00E11C29">
        <w:t>.</w:t>
      </w:r>
    </w:p>
    <w:p w14:paraId="46DB455C" w14:textId="660827FB" w:rsidR="0014737E" w:rsidRPr="0014737E" w:rsidRDefault="0014737E" w:rsidP="009A6094">
      <w:pPr>
        <w:pStyle w:val="ListParagraph"/>
        <w:keepNext/>
        <w:numPr>
          <w:ilvl w:val="0"/>
          <w:numId w:val="4"/>
        </w:numPr>
        <w:rPr>
          <w:rFonts w:ascii="Times New Roman" w:hAnsi="Times New Roman" w:cs="Times New Roman"/>
          <w:b/>
          <w:sz w:val="24"/>
          <w:szCs w:val="24"/>
        </w:rPr>
      </w:pPr>
      <w:r w:rsidRPr="0014737E">
        <w:rPr>
          <w:rFonts w:ascii="Times New Roman" w:hAnsi="Times New Roman" w:cs="Times New Roman"/>
          <w:b/>
          <w:sz w:val="24"/>
          <w:szCs w:val="24"/>
        </w:rPr>
        <w:lastRenderedPageBreak/>
        <w:t>Overdose</w:t>
      </w:r>
    </w:p>
    <w:p w14:paraId="6500AE90" w14:textId="45095086" w:rsidR="0014737E" w:rsidRPr="005E2D28" w:rsidRDefault="0014737E" w:rsidP="009A6094">
      <w:pPr>
        <w:keepNext/>
        <w:autoSpaceDE/>
        <w:autoSpaceDN/>
        <w:adjustRightInd/>
        <w:spacing w:after="0" w:line="240" w:lineRule="auto"/>
        <w:ind w:left="357"/>
        <w:rPr>
          <w:i/>
          <w:u w:val="single"/>
          <w:lang w:val="en-GB"/>
        </w:rPr>
      </w:pPr>
      <w:r w:rsidRPr="005E2D28">
        <w:rPr>
          <w:i/>
          <w:u w:val="single"/>
          <w:lang w:val="en-GB"/>
        </w:rPr>
        <w:t>Symptoms</w:t>
      </w:r>
    </w:p>
    <w:p w14:paraId="69139226" w14:textId="07C5C47C" w:rsidR="00F974E8" w:rsidRPr="00F974E8" w:rsidRDefault="00F974E8" w:rsidP="00F974E8">
      <w:pPr>
        <w:pStyle w:val="Heading2"/>
        <w:keepNext w:val="0"/>
        <w:widowControl w:val="0"/>
        <w:numPr>
          <w:ilvl w:val="0"/>
          <w:numId w:val="0"/>
        </w:numPr>
        <w:ind w:left="357"/>
        <w:rPr>
          <w:b w:val="0"/>
          <w:u w:val="none"/>
        </w:rPr>
      </w:pPr>
      <w:r w:rsidRPr="00F974E8">
        <w:rPr>
          <w:b w:val="0"/>
          <w:u w:val="none"/>
        </w:rPr>
        <w:t>There is limited experience of overdose with PIQRAY in clinical studies. In the clinical studies, PIQRAY was administered at dos</w:t>
      </w:r>
      <w:r w:rsidR="009A6094">
        <w:rPr>
          <w:b w:val="0"/>
          <w:u w:val="none"/>
        </w:rPr>
        <w:t>es up to 450 mg once daily.</w:t>
      </w:r>
    </w:p>
    <w:p w14:paraId="3EFF3759" w14:textId="777765B5" w:rsidR="00F974E8" w:rsidRPr="00F974E8" w:rsidRDefault="00F974E8" w:rsidP="00F974E8">
      <w:pPr>
        <w:pStyle w:val="Heading2"/>
        <w:keepNext w:val="0"/>
        <w:widowControl w:val="0"/>
        <w:numPr>
          <w:ilvl w:val="0"/>
          <w:numId w:val="0"/>
        </w:numPr>
        <w:ind w:left="357"/>
        <w:rPr>
          <w:b w:val="0"/>
          <w:u w:val="none"/>
        </w:rPr>
      </w:pPr>
      <w:r w:rsidRPr="00F974E8">
        <w:rPr>
          <w:b w:val="0"/>
          <w:u w:val="none"/>
        </w:rPr>
        <w:t xml:space="preserve">In cases where accidental over-dosage of PIQRAY was reported in the clinical studies, the adverse events associated with the overdose were consistent with the known safety profile of PIQRAY and included </w:t>
      </w:r>
      <w:proofErr w:type="spellStart"/>
      <w:r w:rsidRPr="00F974E8">
        <w:rPr>
          <w:b w:val="0"/>
          <w:u w:val="none"/>
        </w:rPr>
        <w:t>hyperglycaemia</w:t>
      </w:r>
      <w:proofErr w:type="spellEnd"/>
      <w:r w:rsidRPr="00F974E8">
        <w:rPr>
          <w:b w:val="0"/>
          <w:u w:val="none"/>
        </w:rPr>
        <w:t>, nausea, asthenia and rash</w:t>
      </w:r>
      <w:r w:rsidR="00C76D14">
        <w:rPr>
          <w:b w:val="0"/>
          <w:u w:val="none"/>
        </w:rPr>
        <w:t>.</w:t>
      </w:r>
    </w:p>
    <w:p w14:paraId="388D1CCA" w14:textId="34491A1E" w:rsidR="0014737E" w:rsidRPr="005E2D28" w:rsidRDefault="0014737E" w:rsidP="005E2D28">
      <w:pPr>
        <w:autoSpaceDE/>
        <w:autoSpaceDN/>
        <w:adjustRightInd/>
        <w:spacing w:after="0" w:line="240" w:lineRule="auto"/>
        <w:ind w:left="357"/>
        <w:rPr>
          <w:i/>
          <w:u w:val="single"/>
          <w:lang w:val="en-GB"/>
        </w:rPr>
      </w:pPr>
      <w:r w:rsidRPr="005E2D28">
        <w:rPr>
          <w:i/>
          <w:u w:val="single"/>
          <w:lang w:val="en-GB"/>
        </w:rPr>
        <w:t>Treatment</w:t>
      </w:r>
    </w:p>
    <w:p w14:paraId="737BAF29" w14:textId="0F1D47C1" w:rsidR="00F974E8" w:rsidRDefault="00F974E8" w:rsidP="00A7383D">
      <w:pPr>
        <w:pStyle w:val="Heading2"/>
        <w:numPr>
          <w:ilvl w:val="0"/>
          <w:numId w:val="0"/>
        </w:numPr>
        <w:spacing w:after="0" w:line="240" w:lineRule="auto"/>
        <w:ind w:left="357"/>
        <w:rPr>
          <w:b w:val="0"/>
          <w:u w:val="none"/>
        </w:rPr>
      </w:pPr>
      <w:r w:rsidRPr="00F974E8">
        <w:rPr>
          <w:b w:val="0"/>
          <w:u w:val="none"/>
        </w:rPr>
        <w:t>General symptomatic and supportive measures should be initiated in all cases of over dosage where necessary. There is no known antidote for PIQRAY.</w:t>
      </w:r>
    </w:p>
    <w:p w14:paraId="28CA8E2A" w14:textId="1CE6B4E8" w:rsidR="0097083A" w:rsidRPr="00C54309" w:rsidRDefault="0097083A" w:rsidP="00F974E8">
      <w:pPr>
        <w:pStyle w:val="Heading2"/>
        <w:keepNext w:val="0"/>
        <w:numPr>
          <w:ilvl w:val="0"/>
          <w:numId w:val="3"/>
        </w:numPr>
        <w:autoSpaceDE/>
        <w:autoSpaceDN/>
        <w:adjustRightInd/>
        <w:spacing w:before="120" w:line="240" w:lineRule="auto"/>
        <w:rPr>
          <w:bCs/>
          <w:sz w:val="28"/>
          <w:szCs w:val="28"/>
          <w:lang w:val="en-AU"/>
        </w:rPr>
      </w:pPr>
      <w:r w:rsidRPr="00C54309">
        <w:rPr>
          <w:bCs/>
          <w:sz w:val="28"/>
          <w:szCs w:val="28"/>
          <w:lang w:val="en-AU"/>
        </w:rPr>
        <w:t>PHARMACOLOG</w:t>
      </w:r>
      <w:r>
        <w:rPr>
          <w:bCs/>
          <w:sz w:val="28"/>
          <w:szCs w:val="28"/>
          <w:lang w:val="en-AU"/>
        </w:rPr>
        <w:t>ICAL PROPERTIES</w:t>
      </w:r>
    </w:p>
    <w:p w14:paraId="6E422359" w14:textId="4C81124F" w:rsidR="00992B8B" w:rsidRPr="00220835" w:rsidRDefault="00992B8B" w:rsidP="00F974E8">
      <w:pPr>
        <w:pStyle w:val="Heading2"/>
        <w:keepNext w:val="0"/>
        <w:widowControl w:val="0"/>
        <w:numPr>
          <w:ilvl w:val="0"/>
          <w:numId w:val="0"/>
        </w:numPr>
        <w:spacing w:after="0" w:line="240" w:lineRule="auto"/>
        <w:ind w:left="360"/>
        <w:rPr>
          <w:b w:val="0"/>
          <w:u w:val="none"/>
        </w:rPr>
      </w:pPr>
      <w:proofErr w:type="spellStart"/>
      <w:r w:rsidRPr="00220835">
        <w:rPr>
          <w:b w:val="0"/>
          <w:u w:val="none"/>
        </w:rPr>
        <w:t>Pharmacotherapeutic</w:t>
      </w:r>
      <w:proofErr w:type="spellEnd"/>
      <w:r w:rsidRPr="00220835">
        <w:rPr>
          <w:b w:val="0"/>
          <w:u w:val="none"/>
        </w:rPr>
        <w:t xml:space="preserve"> group: </w:t>
      </w:r>
      <w:r w:rsidR="00F974E8" w:rsidRPr="00F974E8">
        <w:rPr>
          <w:b w:val="0"/>
          <w:u w:val="none"/>
        </w:rPr>
        <w:t>Antineoplastic agents, other antineoplastic agents</w:t>
      </w:r>
    </w:p>
    <w:p w14:paraId="11700947" w14:textId="4982E210" w:rsidR="007C5F5A" w:rsidRDefault="00F5584A" w:rsidP="009A6094">
      <w:pPr>
        <w:pStyle w:val="Heading2"/>
        <w:keepNext w:val="0"/>
        <w:widowControl w:val="0"/>
        <w:numPr>
          <w:ilvl w:val="0"/>
          <w:numId w:val="0"/>
        </w:numPr>
        <w:spacing w:line="240" w:lineRule="auto"/>
        <w:ind w:left="360"/>
        <w:rPr>
          <w:b w:val="0"/>
          <w:u w:val="none"/>
        </w:rPr>
      </w:pPr>
      <w:r w:rsidRPr="00220835">
        <w:rPr>
          <w:b w:val="0"/>
          <w:u w:val="none"/>
        </w:rPr>
        <w:t>Anatomical Therapeutic Chemical (</w:t>
      </w:r>
      <w:r w:rsidR="007C5F5A" w:rsidRPr="00220835">
        <w:rPr>
          <w:b w:val="0"/>
          <w:u w:val="none"/>
        </w:rPr>
        <w:t>ATC Code</w:t>
      </w:r>
      <w:r w:rsidRPr="00220835">
        <w:rPr>
          <w:b w:val="0"/>
          <w:u w:val="none"/>
        </w:rPr>
        <w:t>)</w:t>
      </w:r>
      <w:r w:rsidR="007C5F5A" w:rsidRPr="00220835">
        <w:rPr>
          <w:b w:val="0"/>
          <w:u w:val="none"/>
        </w:rPr>
        <w:t xml:space="preserve">: </w:t>
      </w:r>
      <w:r w:rsidR="00F974E8" w:rsidRPr="00F974E8">
        <w:rPr>
          <w:b w:val="0"/>
          <w:u w:val="none"/>
        </w:rPr>
        <w:t>L01XX47</w:t>
      </w:r>
    </w:p>
    <w:p w14:paraId="0FA27B11" w14:textId="193A5A2B" w:rsidR="0096446D" w:rsidRPr="0096446D" w:rsidRDefault="0096446D" w:rsidP="009A6094">
      <w:pPr>
        <w:numPr>
          <w:ilvl w:val="0"/>
          <w:numId w:val="5"/>
        </w:numPr>
        <w:autoSpaceDE/>
        <w:autoSpaceDN/>
        <w:adjustRightInd/>
        <w:contextualSpacing/>
        <w:rPr>
          <w:b/>
        </w:rPr>
      </w:pPr>
      <w:proofErr w:type="spellStart"/>
      <w:r w:rsidRPr="0096446D">
        <w:rPr>
          <w:b/>
        </w:rPr>
        <w:t>Pharmacodynamic</w:t>
      </w:r>
      <w:proofErr w:type="spellEnd"/>
      <w:r w:rsidRPr="0096446D">
        <w:rPr>
          <w:b/>
        </w:rPr>
        <w:t xml:space="preserve"> properties</w:t>
      </w:r>
    </w:p>
    <w:p w14:paraId="07FDE17E" w14:textId="065D5869" w:rsidR="005228C5" w:rsidRPr="006C239A" w:rsidRDefault="005228C5" w:rsidP="009A6094">
      <w:pPr>
        <w:pStyle w:val="Heading2"/>
        <w:keepNext w:val="0"/>
        <w:widowControl w:val="0"/>
        <w:numPr>
          <w:ilvl w:val="0"/>
          <w:numId w:val="0"/>
        </w:numPr>
        <w:spacing w:line="240" w:lineRule="auto"/>
        <w:ind w:left="357"/>
        <w:rPr>
          <w:b w:val="0"/>
        </w:rPr>
      </w:pPr>
      <w:r w:rsidRPr="006C239A">
        <w:rPr>
          <w:b w:val="0"/>
        </w:rPr>
        <w:t>Mechanism of action</w:t>
      </w:r>
      <w:r w:rsidR="00B25C5B" w:rsidRPr="006C239A">
        <w:rPr>
          <w:b w:val="0"/>
        </w:rPr>
        <w:t xml:space="preserve"> </w:t>
      </w:r>
    </w:p>
    <w:p w14:paraId="61F0A560" w14:textId="355A885D" w:rsidR="00C76D14" w:rsidRDefault="006C239A" w:rsidP="009A6094">
      <w:pPr>
        <w:pStyle w:val="Heading2"/>
        <w:keepNext w:val="0"/>
        <w:widowControl w:val="0"/>
        <w:numPr>
          <w:ilvl w:val="0"/>
          <w:numId w:val="0"/>
        </w:numPr>
        <w:spacing w:line="240" w:lineRule="auto"/>
        <w:ind w:left="357"/>
        <w:rPr>
          <w:b w:val="0"/>
          <w:u w:val="none"/>
        </w:rPr>
      </w:pPr>
      <w:proofErr w:type="spellStart"/>
      <w:r w:rsidRPr="006C239A">
        <w:rPr>
          <w:b w:val="0"/>
          <w:u w:val="none"/>
        </w:rPr>
        <w:t>Alpelisib</w:t>
      </w:r>
      <w:proofErr w:type="spellEnd"/>
      <w:r w:rsidRPr="006C239A">
        <w:rPr>
          <w:b w:val="0"/>
          <w:u w:val="none"/>
        </w:rPr>
        <w:t xml:space="preserve"> is a class I phosphatidylinositol3kinase (PI3K) inhibitor</w:t>
      </w:r>
      <w:r w:rsidR="00C82424">
        <w:rPr>
          <w:b w:val="0"/>
          <w:u w:val="none"/>
        </w:rPr>
        <w:t xml:space="preserve"> </w:t>
      </w:r>
      <w:r w:rsidR="00C82424" w:rsidRPr="00671A57">
        <w:rPr>
          <w:b w:val="0"/>
          <w:u w:val="none"/>
        </w:rPr>
        <w:t>with higher activity against PI3Kα than other members of class I PI3K</w:t>
      </w:r>
      <w:r w:rsidRPr="006C239A">
        <w:rPr>
          <w:b w:val="0"/>
          <w:u w:val="none"/>
        </w:rPr>
        <w:t>. Class I PI3K lipid kinases are key components of the PI3K/AKT/</w:t>
      </w:r>
      <w:proofErr w:type="spellStart"/>
      <w:r w:rsidRPr="006C239A">
        <w:rPr>
          <w:b w:val="0"/>
          <w:u w:val="none"/>
        </w:rPr>
        <w:t>mTOR</w:t>
      </w:r>
      <w:proofErr w:type="spellEnd"/>
      <w:r w:rsidRPr="006C239A">
        <w:rPr>
          <w:b w:val="0"/>
          <w:u w:val="none"/>
        </w:rPr>
        <w:t xml:space="preserve"> </w:t>
      </w:r>
      <w:r w:rsidR="009B4E3C" w:rsidRPr="009B4E3C">
        <w:rPr>
          <w:b w:val="0"/>
          <w:u w:val="none"/>
        </w:rPr>
        <w:t>(</w:t>
      </w:r>
      <w:r w:rsidR="009B4E3C" w:rsidRPr="009B4E3C">
        <w:rPr>
          <w:b w:val="0"/>
        </w:rPr>
        <w:t>mammalian target of rapamycin)</w:t>
      </w:r>
      <w:r w:rsidR="009B4E3C">
        <w:t xml:space="preserve"> </w:t>
      </w:r>
      <w:r w:rsidR="009A6094">
        <w:rPr>
          <w:b w:val="0"/>
          <w:u w:val="none"/>
        </w:rPr>
        <w:t>signaling pathway.</w:t>
      </w:r>
    </w:p>
    <w:p w14:paraId="27E11A54" w14:textId="700A1F78" w:rsidR="006C239A" w:rsidRDefault="006C239A" w:rsidP="009A6094">
      <w:pPr>
        <w:pStyle w:val="Heading2"/>
        <w:widowControl w:val="0"/>
        <w:numPr>
          <w:ilvl w:val="0"/>
          <w:numId w:val="0"/>
        </w:numPr>
        <w:spacing w:line="240" w:lineRule="auto"/>
        <w:ind w:left="357"/>
        <w:rPr>
          <w:b w:val="0"/>
          <w:u w:val="none"/>
        </w:rPr>
      </w:pPr>
      <w:r w:rsidRPr="006C239A">
        <w:rPr>
          <w:b w:val="0"/>
          <w:u w:val="none"/>
        </w:rPr>
        <w:t xml:space="preserve">Gain-of-function mutations in the gene encoding the catalytic α-subunit of PI3K (PIK3CA) lead to activation of PI3Kα manifested by increased lipid kinase activity, growth-factor independent activation of </w:t>
      </w:r>
      <w:proofErr w:type="spellStart"/>
      <w:r w:rsidRPr="006C239A">
        <w:rPr>
          <w:b w:val="0"/>
          <w:u w:val="none"/>
        </w:rPr>
        <w:t>Akt</w:t>
      </w:r>
      <w:proofErr w:type="spellEnd"/>
      <w:r w:rsidRPr="006C239A">
        <w:rPr>
          <w:b w:val="0"/>
          <w:u w:val="none"/>
        </w:rPr>
        <w:t xml:space="preserve">-signaling, cellular transformation and the generation of </w:t>
      </w:r>
      <w:proofErr w:type="spellStart"/>
      <w:r w:rsidR="00C76D14">
        <w:rPr>
          <w:b w:val="0"/>
          <w:u w:val="none"/>
        </w:rPr>
        <w:t>tumour</w:t>
      </w:r>
      <w:r w:rsidRPr="006C239A">
        <w:rPr>
          <w:b w:val="0"/>
          <w:u w:val="none"/>
        </w:rPr>
        <w:t>s</w:t>
      </w:r>
      <w:proofErr w:type="spellEnd"/>
      <w:r w:rsidRPr="006C239A">
        <w:rPr>
          <w:b w:val="0"/>
          <w:u w:val="none"/>
        </w:rPr>
        <w:t xml:space="preserve"> in preclinical models.</w:t>
      </w:r>
    </w:p>
    <w:p w14:paraId="01BBD6D2" w14:textId="6A306879" w:rsidR="006C239A" w:rsidRPr="006C239A" w:rsidRDefault="006C239A" w:rsidP="006C239A">
      <w:pPr>
        <w:pStyle w:val="Heading2"/>
        <w:widowControl w:val="0"/>
        <w:numPr>
          <w:ilvl w:val="0"/>
          <w:numId w:val="0"/>
        </w:numPr>
        <w:ind w:left="360"/>
        <w:rPr>
          <w:b w:val="0"/>
          <w:u w:val="none"/>
        </w:rPr>
      </w:pPr>
      <w:r w:rsidRPr="006C239A">
        <w:rPr>
          <w:b w:val="0"/>
          <w:i/>
          <w:u w:val="none"/>
        </w:rPr>
        <w:t>In vitro</w:t>
      </w:r>
      <w:r w:rsidRPr="006C239A">
        <w:rPr>
          <w:b w:val="0"/>
          <w:u w:val="none"/>
        </w:rPr>
        <w:t xml:space="preserve">, </w:t>
      </w:r>
      <w:proofErr w:type="spellStart"/>
      <w:r w:rsidRPr="006C239A">
        <w:rPr>
          <w:b w:val="0"/>
          <w:u w:val="none"/>
        </w:rPr>
        <w:t>alpelisib</w:t>
      </w:r>
      <w:proofErr w:type="spellEnd"/>
      <w:r w:rsidRPr="006C239A">
        <w:rPr>
          <w:b w:val="0"/>
          <w:u w:val="none"/>
        </w:rPr>
        <w:t xml:space="preserve"> treatment inhibited the phosphorylation of PI3K downstream targets </w:t>
      </w:r>
      <w:proofErr w:type="spellStart"/>
      <w:r w:rsidRPr="006C239A">
        <w:rPr>
          <w:b w:val="0"/>
          <w:u w:val="none"/>
        </w:rPr>
        <w:t>Akt</w:t>
      </w:r>
      <w:proofErr w:type="spellEnd"/>
      <w:r w:rsidRPr="006C239A">
        <w:rPr>
          <w:b w:val="0"/>
          <w:u w:val="none"/>
        </w:rPr>
        <w:t xml:space="preserve"> as well as its various downstream effectors in breast cancer cells and showed </w:t>
      </w:r>
      <w:r w:rsidR="00C82424">
        <w:rPr>
          <w:b w:val="0"/>
          <w:u w:val="none"/>
        </w:rPr>
        <w:t>activity</w:t>
      </w:r>
      <w:r w:rsidRPr="006C239A">
        <w:rPr>
          <w:b w:val="0"/>
          <w:u w:val="none"/>
        </w:rPr>
        <w:t xml:space="preserve"> towards cell lines harboring a PIK3CA mutation.</w:t>
      </w:r>
    </w:p>
    <w:p w14:paraId="46156BE4" w14:textId="3D52709F" w:rsidR="006C239A" w:rsidRDefault="006C239A" w:rsidP="006C239A">
      <w:pPr>
        <w:pStyle w:val="Heading2"/>
        <w:keepNext w:val="0"/>
        <w:widowControl w:val="0"/>
        <w:numPr>
          <w:ilvl w:val="0"/>
          <w:numId w:val="0"/>
        </w:numPr>
        <w:ind w:left="360"/>
        <w:rPr>
          <w:b w:val="0"/>
          <w:u w:val="none"/>
        </w:rPr>
      </w:pPr>
      <w:r w:rsidRPr="006C239A">
        <w:rPr>
          <w:b w:val="0"/>
          <w:i/>
          <w:u w:val="none"/>
        </w:rPr>
        <w:t>In vivo</w:t>
      </w:r>
      <w:r w:rsidRPr="006C239A">
        <w:rPr>
          <w:b w:val="0"/>
          <w:u w:val="none"/>
        </w:rPr>
        <w:t xml:space="preserve">, </w:t>
      </w:r>
      <w:proofErr w:type="spellStart"/>
      <w:r w:rsidRPr="006C239A">
        <w:rPr>
          <w:b w:val="0"/>
          <w:u w:val="none"/>
        </w:rPr>
        <w:t>alpelisib</w:t>
      </w:r>
      <w:proofErr w:type="spellEnd"/>
      <w:r w:rsidRPr="006C239A">
        <w:rPr>
          <w:b w:val="0"/>
          <w:u w:val="none"/>
        </w:rPr>
        <w:t xml:space="preserve"> showed good tolerability as well as dose-and time-dependent inhibition of the PI3K/</w:t>
      </w:r>
      <w:proofErr w:type="spellStart"/>
      <w:r w:rsidRPr="006C239A">
        <w:rPr>
          <w:b w:val="0"/>
          <w:u w:val="none"/>
        </w:rPr>
        <w:t>Akt</w:t>
      </w:r>
      <w:proofErr w:type="spellEnd"/>
      <w:r w:rsidRPr="006C239A">
        <w:rPr>
          <w:b w:val="0"/>
          <w:u w:val="none"/>
        </w:rPr>
        <w:t xml:space="preserve"> pathway and dose-dependent </w:t>
      </w:r>
      <w:proofErr w:type="spellStart"/>
      <w:r w:rsidRPr="006C239A">
        <w:rPr>
          <w:b w:val="0"/>
          <w:u w:val="none"/>
        </w:rPr>
        <w:t>tumo</w:t>
      </w:r>
      <w:r w:rsidR="00C76D14">
        <w:rPr>
          <w:b w:val="0"/>
          <w:u w:val="none"/>
        </w:rPr>
        <w:t>u</w:t>
      </w:r>
      <w:r w:rsidRPr="006C239A">
        <w:rPr>
          <w:b w:val="0"/>
          <w:u w:val="none"/>
        </w:rPr>
        <w:t>r</w:t>
      </w:r>
      <w:proofErr w:type="spellEnd"/>
      <w:r w:rsidRPr="006C239A">
        <w:rPr>
          <w:b w:val="0"/>
          <w:u w:val="none"/>
        </w:rPr>
        <w:t xml:space="preserve"> growth inhibition in relevant </w:t>
      </w:r>
      <w:proofErr w:type="spellStart"/>
      <w:r w:rsidR="00C76D14">
        <w:rPr>
          <w:b w:val="0"/>
          <w:u w:val="none"/>
        </w:rPr>
        <w:t>tumour</w:t>
      </w:r>
      <w:proofErr w:type="spellEnd"/>
      <w:r w:rsidRPr="006C239A">
        <w:rPr>
          <w:b w:val="0"/>
          <w:u w:val="none"/>
        </w:rPr>
        <w:t xml:space="preserve"> xenograft models, including models of breast cancer.</w:t>
      </w:r>
    </w:p>
    <w:p w14:paraId="17213A48" w14:textId="4B53A614" w:rsidR="006C239A" w:rsidRPr="006C239A" w:rsidRDefault="006C239A" w:rsidP="006C239A">
      <w:pPr>
        <w:pStyle w:val="Heading2"/>
        <w:keepNext w:val="0"/>
        <w:widowControl w:val="0"/>
        <w:numPr>
          <w:ilvl w:val="0"/>
          <w:numId w:val="0"/>
        </w:numPr>
        <w:ind w:left="360"/>
        <w:rPr>
          <w:b w:val="0"/>
          <w:u w:val="none"/>
        </w:rPr>
      </w:pPr>
      <w:r w:rsidRPr="006C239A">
        <w:rPr>
          <w:b w:val="0"/>
          <w:u w:val="none"/>
        </w:rPr>
        <w:t xml:space="preserve">PI3K inhibition by </w:t>
      </w:r>
      <w:proofErr w:type="spellStart"/>
      <w:r w:rsidRPr="006C239A">
        <w:rPr>
          <w:b w:val="0"/>
          <w:u w:val="none"/>
        </w:rPr>
        <w:t>alpelisib</w:t>
      </w:r>
      <w:proofErr w:type="spellEnd"/>
      <w:r w:rsidRPr="006C239A">
        <w:rPr>
          <w:b w:val="0"/>
          <w:u w:val="none"/>
        </w:rPr>
        <w:t xml:space="preserve"> treatment has been shown to induce an increase in ER transcription in breast cancer cells, therefore, sensitizing these cells to estrogen receptor (ER) inhibition by </w:t>
      </w:r>
      <w:proofErr w:type="spellStart"/>
      <w:r w:rsidRPr="006C239A">
        <w:rPr>
          <w:b w:val="0"/>
          <w:u w:val="none"/>
        </w:rPr>
        <w:t>fulvestrant</w:t>
      </w:r>
      <w:proofErr w:type="spellEnd"/>
      <w:r w:rsidRPr="006C239A">
        <w:rPr>
          <w:b w:val="0"/>
          <w:u w:val="none"/>
        </w:rPr>
        <w:t xml:space="preserve"> treatment. Combination of </w:t>
      </w:r>
      <w:proofErr w:type="spellStart"/>
      <w:r w:rsidRPr="006C239A">
        <w:rPr>
          <w:b w:val="0"/>
          <w:u w:val="none"/>
        </w:rPr>
        <w:t>alpelisib</w:t>
      </w:r>
      <w:proofErr w:type="spellEnd"/>
      <w:r w:rsidRPr="006C239A">
        <w:rPr>
          <w:b w:val="0"/>
          <w:u w:val="none"/>
        </w:rPr>
        <w:t xml:space="preserve"> and </w:t>
      </w:r>
      <w:proofErr w:type="spellStart"/>
      <w:r w:rsidRPr="006C239A">
        <w:rPr>
          <w:b w:val="0"/>
          <w:u w:val="none"/>
        </w:rPr>
        <w:t>fulvestrant</w:t>
      </w:r>
      <w:proofErr w:type="spellEnd"/>
      <w:r w:rsidRPr="006C239A">
        <w:rPr>
          <w:b w:val="0"/>
          <w:u w:val="none"/>
        </w:rPr>
        <w:t xml:space="preserve"> demonstrated increased anti-</w:t>
      </w:r>
      <w:proofErr w:type="spellStart"/>
      <w:r w:rsidR="00C76D14">
        <w:rPr>
          <w:b w:val="0"/>
          <w:u w:val="none"/>
        </w:rPr>
        <w:t>tumour</w:t>
      </w:r>
      <w:proofErr w:type="spellEnd"/>
      <w:r w:rsidRPr="006C239A">
        <w:rPr>
          <w:b w:val="0"/>
          <w:u w:val="none"/>
        </w:rPr>
        <w:t xml:space="preserve"> activity than either treatment alone in xenograft models derived from ER+, PIK3CA mutated breast cancer cell lines (MCF-7 and KPL1).</w:t>
      </w:r>
    </w:p>
    <w:p w14:paraId="07FDE184" w14:textId="1431C144" w:rsidR="00236E6E" w:rsidRDefault="00236E6E" w:rsidP="00A7383D">
      <w:pPr>
        <w:pStyle w:val="Heading2"/>
        <w:keepNext w:val="0"/>
        <w:widowControl w:val="0"/>
        <w:numPr>
          <w:ilvl w:val="0"/>
          <w:numId w:val="0"/>
        </w:numPr>
        <w:spacing w:after="60" w:line="240" w:lineRule="auto"/>
        <w:ind w:left="357"/>
        <w:rPr>
          <w:b w:val="0"/>
        </w:rPr>
      </w:pPr>
      <w:proofErr w:type="spellStart"/>
      <w:r w:rsidRPr="006C239A">
        <w:rPr>
          <w:b w:val="0"/>
        </w:rPr>
        <w:t>Pharmacodynamic</w:t>
      </w:r>
      <w:proofErr w:type="spellEnd"/>
      <w:r w:rsidRPr="006C239A">
        <w:rPr>
          <w:b w:val="0"/>
        </w:rPr>
        <w:t xml:space="preserve"> </w:t>
      </w:r>
      <w:r w:rsidR="009972B7" w:rsidRPr="006C239A">
        <w:rPr>
          <w:b w:val="0"/>
        </w:rPr>
        <w:t>e</w:t>
      </w:r>
      <w:r w:rsidRPr="006C239A">
        <w:rPr>
          <w:b w:val="0"/>
        </w:rPr>
        <w:t>ffects</w:t>
      </w:r>
    </w:p>
    <w:p w14:paraId="5D8DA3CB" w14:textId="60E8192E" w:rsidR="006C239A" w:rsidRDefault="006C239A" w:rsidP="009A6094">
      <w:pPr>
        <w:autoSpaceDE/>
        <w:autoSpaceDN/>
        <w:adjustRightInd/>
        <w:spacing w:line="240" w:lineRule="auto"/>
        <w:ind w:left="357"/>
        <w:rPr>
          <w:rFonts w:eastAsia="MS Mincho"/>
          <w:bCs/>
          <w:lang w:val="en-US" w:eastAsia="zh-CN"/>
        </w:rPr>
      </w:pPr>
      <w:r w:rsidRPr="006C239A">
        <w:rPr>
          <w:rFonts w:eastAsia="MS Mincho"/>
          <w:bCs/>
          <w:lang w:val="en-US" w:eastAsia="zh-CN"/>
        </w:rPr>
        <w:t xml:space="preserve">In biochemical assays, </w:t>
      </w:r>
      <w:proofErr w:type="spellStart"/>
      <w:r w:rsidRPr="006C239A">
        <w:rPr>
          <w:rFonts w:eastAsia="MS Mincho"/>
          <w:bCs/>
          <w:lang w:val="en-US" w:eastAsia="zh-CN"/>
        </w:rPr>
        <w:t>alpelisib</w:t>
      </w:r>
      <w:proofErr w:type="spellEnd"/>
      <w:r w:rsidRPr="006C239A">
        <w:rPr>
          <w:rFonts w:eastAsia="MS Mincho"/>
          <w:bCs/>
          <w:lang w:val="en-US" w:eastAsia="zh-CN"/>
        </w:rPr>
        <w:t xml:space="preserve"> inhibited wild type PIK3α and its 2 most common somatic mutations (H1047R, E545K) (IC</w:t>
      </w:r>
      <w:r w:rsidRPr="006C239A">
        <w:rPr>
          <w:rFonts w:eastAsia="MS Mincho"/>
          <w:bCs/>
          <w:szCs w:val="20"/>
          <w:vertAlign w:val="subscript"/>
          <w:lang w:val="en-US" w:eastAsia="zh-CN"/>
        </w:rPr>
        <w:t>50</w:t>
      </w:r>
      <w:r w:rsidRPr="006C239A">
        <w:rPr>
          <w:rFonts w:eastAsia="MS Mincho"/>
          <w:bCs/>
          <w:lang w:val="en-US" w:eastAsia="zh-CN"/>
        </w:rPr>
        <w:t>~</w:t>
      </w:r>
      <w:r w:rsidR="00C82424">
        <w:rPr>
          <w:rFonts w:eastAsia="MS Mincho"/>
          <w:bCs/>
          <w:lang w:val="en-US" w:eastAsia="zh-CN"/>
        </w:rPr>
        <w:t>5</w:t>
      </w:r>
      <w:r w:rsidRPr="006C239A">
        <w:rPr>
          <w:rFonts w:eastAsia="MS Mincho"/>
          <w:bCs/>
          <w:lang w:val="en-US" w:eastAsia="zh-CN"/>
        </w:rPr>
        <w:t> </w:t>
      </w:r>
      <w:proofErr w:type="spellStart"/>
      <w:r w:rsidRPr="006C239A">
        <w:rPr>
          <w:rFonts w:eastAsia="MS Mincho"/>
          <w:bCs/>
          <w:lang w:val="en-US" w:eastAsia="zh-CN"/>
        </w:rPr>
        <w:t>nmol</w:t>
      </w:r>
      <w:proofErr w:type="spellEnd"/>
      <w:r w:rsidRPr="006C239A">
        <w:rPr>
          <w:rFonts w:eastAsia="MS Mincho"/>
          <w:bCs/>
          <w:lang w:val="en-US" w:eastAsia="zh-CN"/>
        </w:rPr>
        <w:t>/L) more potently than the PI3Kδ (IC</w:t>
      </w:r>
      <w:r w:rsidRPr="006C239A">
        <w:rPr>
          <w:rFonts w:eastAsia="MS Mincho"/>
          <w:bCs/>
          <w:szCs w:val="20"/>
          <w:vertAlign w:val="subscript"/>
          <w:lang w:val="en-US" w:eastAsia="zh-CN"/>
        </w:rPr>
        <w:t>50</w:t>
      </w:r>
      <w:r w:rsidR="00C76D14">
        <w:rPr>
          <w:rFonts w:eastAsia="MS Mincho"/>
          <w:bCs/>
          <w:szCs w:val="20"/>
          <w:vertAlign w:val="subscript"/>
          <w:lang w:val="en-US" w:eastAsia="zh-CN"/>
        </w:rPr>
        <w:t xml:space="preserve"> </w:t>
      </w:r>
      <w:r w:rsidRPr="006C239A">
        <w:rPr>
          <w:rFonts w:eastAsia="MS Mincho"/>
          <w:bCs/>
          <w:lang w:val="en-US" w:eastAsia="zh-CN"/>
        </w:rPr>
        <w:t>=</w:t>
      </w:r>
      <w:r w:rsidR="00C76D14">
        <w:rPr>
          <w:rFonts w:eastAsia="MS Mincho"/>
          <w:bCs/>
          <w:lang w:val="en-US" w:eastAsia="zh-CN"/>
        </w:rPr>
        <w:t xml:space="preserve"> </w:t>
      </w:r>
      <w:r w:rsidR="00C82424">
        <w:rPr>
          <w:rFonts w:eastAsia="MS Mincho"/>
          <w:bCs/>
          <w:lang w:val="en-US" w:eastAsia="zh-CN"/>
        </w:rPr>
        <w:t>60</w:t>
      </w:r>
      <w:r w:rsidRPr="006C239A">
        <w:rPr>
          <w:rFonts w:eastAsia="MS Mincho"/>
          <w:bCs/>
          <w:lang w:val="en-US" w:eastAsia="zh-CN"/>
        </w:rPr>
        <w:t xml:space="preserve"> </w:t>
      </w:r>
      <w:proofErr w:type="spellStart"/>
      <w:r w:rsidRPr="006C239A">
        <w:rPr>
          <w:rFonts w:eastAsia="MS Mincho"/>
          <w:bCs/>
          <w:lang w:val="en-US" w:eastAsia="zh-CN"/>
        </w:rPr>
        <w:t>nmol</w:t>
      </w:r>
      <w:proofErr w:type="spellEnd"/>
      <w:r w:rsidRPr="006C239A">
        <w:rPr>
          <w:rFonts w:eastAsia="MS Mincho"/>
          <w:bCs/>
          <w:lang w:val="en-US" w:eastAsia="zh-CN"/>
        </w:rPr>
        <w:t>/L) and PI3Kγ (IC</w:t>
      </w:r>
      <w:r w:rsidRPr="006C239A">
        <w:rPr>
          <w:rFonts w:eastAsia="MS Mincho"/>
          <w:bCs/>
          <w:szCs w:val="20"/>
          <w:vertAlign w:val="subscript"/>
          <w:lang w:val="en-US" w:eastAsia="zh-CN"/>
        </w:rPr>
        <w:t>50</w:t>
      </w:r>
      <w:r w:rsidR="00C76D14">
        <w:rPr>
          <w:rFonts w:eastAsia="MS Mincho"/>
          <w:bCs/>
          <w:szCs w:val="20"/>
          <w:vertAlign w:val="subscript"/>
          <w:lang w:val="en-US" w:eastAsia="zh-CN"/>
        </w:rPr>
        <w:t xml:space="preserve"> </w:t>
      </w:r>
      <w:r w:rsidRPr="006C239A">
        <w:rPr>
          <w:rFonts w:eastAsia="MS Mincho"/>
          <w:bCs/>
          <w:lang w:val="en-US" w:eastAsia="zh-CN"/>
        </w:rPr>
        <w:t>=</w:t>
      </w:r>
      <w:r w:rsidR="00C76D14">
        <w:rPr>
          <w:rFonts w:eastAsia="MS Mincho"/>
          <w:bCs/>
          <w:lang w:val="en-US" w:eastAsia="zh-CN"/>
        </w:rPr>
        <w:t xml:space="preserve"> </w:t>
      </w:r>
      <w:r w:rsidR="00C82424">
        <w:rPr>
          <w:rFonts w:eastAsia="MS Mincho"/>
          <w:bCs/>
          <w:lang w:val="en-US" w:eastAsia="zh-CN"/>
        </w:rPr>
        <w:t>560</w:t>
      </w:r>
      <w:r w:rsidRPr="006C239A">
        <w:rPr>
          <w:rFonts w:eastAsia="MS Mincho"/>
          <w:bCs/>
          <w:lang w:val="en-US" w:eastAsia="zh-CN"/>
        </w:rPr>
        <w:t xml:space="preserve"> </w:t>
      </w:r>
      <w:proofErr w:type="spellStart"/>
      <w:r w:rsidRPr="006C239A">
        <w:rPr>
          <w:rFonts w:eastAsia="MS Mincho"/>
          <w:bCs/>
          <w:lang w:val="en-US" w:eastAsia="zh-CN"/>
        </w:rPr>
        <w:t>nmol</w:t>
      </w:r>
      <w:proofErr w:type="spellEnd"/>
      <w:r w:rsidRPr="006C239A">
        <w:rPr>
          <w:rFonts w:eastAsia="MS Mincho"/>
          <w:bCs/>
          <w:lang w:val="en-US" w:eastAsia="zh-CN"/>
        </w:rPr>
        <w:t>/L) isoforms and showed significantly reduced activity against PI3Kβ (IC</w:t>
      </w:r>
      <w:r w:rsidRPr="006C239A">
        <w:rPr>
          <w:rFonts w:eastAsia="MS Mincho"/>
          <w:bCs/>
          <w:szCs w:val="20"/>
          <w:vertAlign w:val="subscript"/>
          <w:lang w:val="en-US" w:eastAsia="zh-CN"/>
        </w:rPr>
        <w:t>50</w:t>
      </w:r>
      <w:r w:rsidR="00C76D14">
        <w:rPr>
          <w:rFonts w:eastAsia="MS Mincho"/>
          <w:bCs/>
          <w:szCs w:val="20"/>
          <w:vertAlign w:val="subscript"/>
          <w:lang w:val="en-US" w:eastAsia="zh-CN"/>
        </w:rPr>
        <w:t xml:space="preserve"> </w:t>
      </w:r>
      <w:r w:rsidRPr="006C239A">
        <w:rPr>
          <w:rFonts w:eastAsia="MS Mincho"/>
          <w:bCs/>
          <w:lang w:val="en-US" w:eastAsia="zh-CN"/>
        </w:rPr>
        <w:t>=</w:t>
      </w:r>
      <w:r w:rsidR="00C76D14">
        <w:rPr>
          <w:rFonts w:eastAsia="MS Mincho"/>
          <w:bCs/>
          <w:lang w:val="en-US" w:eastAsia="zh-CN"/>
        </w:rPr>
        <w:t xml:space="preserve"> </w:t>
      </w:r>
      <w:r w:rsidRPr="006C239A">
        <w:rPr>
          <w:rFonts w:eastAsia="MS Mincho"/>
          <w:bCs/>
          <w:lang w:val="en-US" w:eastAsia="zh-CN"/>
        </w:rPr>
        <w:t xml:space="preserve">1156 </w:t>
      </w:r>
      <w:proofErr w:type="spellStart"/>
      <w:r w:rsidRPr="006C239A">
        <w:rPr>
          <w:rFonts w:eastAsia="MS Mincho"/>
          <w:bCs/>
          <w:lang w:val="en-US" w:eastAsia="zh-CN"/>
        </w:rPr>
        <w:t>nmol</w:t>
      </w:r>
      <w:proofErr w:type="spellEnd"/>
      <w:r w:rsidRPr="006C239A">
        <w:rPr>
          <w:rFonts w:eastAsia="MS Mincho"/>
          <w:bCs/>
          <w:lang w:val="en-US" w:eastAsia="zh-CN"/>
        </w:rPr>
        <w:t>/L).</w:t>
      </w:r>
    </w:p>
    <w:p w14:paraId="1DD19816" w14:textId="3DE06C8B" w:rsidR="006C239A" w:rsidRPr="00A7383D" w:rsidRDefault="006C239A" w:rsidP="009A6094">
      <w:pPr>
        <w:autoSpaceDE/>
        <w:autoSpaceDN/>
        <w:adjustRightInd/>
        <w:spacing w:line="240" w:lineRule="auto"/>
        <w:ind w:left="357"/>
        <w:rPr>
          <w:rFonts w:eastAsia="MS Mincho"/>
          <w:bCs/>
          <w:lang w:val="en-US" w:eastAsia="zh-CN"/>
        </w:rPr>
      </w:pPr>
      <w:r w:rsidRPr="00A7383D">
        <w:rPr>
          <w:rFonts w:eastAsia="MS Mincho"/>
          <w:bCs/>
          <w:lang w:val="en-US" w:eastAsia="zh-CN"/>
        </w:rPr>
        <w:t xml:space="preserve">The potency and selectivity of </w:t>
      </w:r>
      <w:proofErr w:type="spellStart"/>
      <w:r w:rsidRPr="00A7383D">
        <w:rPr>
          <w:rFonts w:eastAsia="MS Mincho"/>
          <w:bCs/>
          <w:lang w:val="en-US" w:eastAsia="zh-CN"/>
        </w:rPr>
        <w:t>alpelisib</w:t>
      </w:r>
      <w:proofErr w:type="spellEnd"/>
      <w:r w:rsidRPr="00A7383D">
        <w:rPr>
          <w:rFonts w:eastAsia="MS Mincho"/>
          <w:bCs/>
          <w:lang w:val="en-US" w:eastAsia="zh-CN"/>
        </w:rPr>
        <w:t xml:space="preserve"> was confirmed at the cellular level in mechanistic and relevant </w:t>
      </w:r>
      <w:proofErr w:type="spellStart"/>
      <w:r w:rsidRPr="00A7383D">
        <w:rPr>
          <w:rFonts w:eastAsia="MS Mincho"/>
          <w:bCs/>
          <w:lang w:val="en-US" w:eastAsia="zh-CN"/>
        </w:rPr>
        <w:t>tumour</w:t>
      </w:r>
      <w:proofErr w:type="spellEnd"/>
      <w:r w:rsidRPr="00A7383D">
        <w:rPr>
          <w:rFonts w:eastAsia="MS Mincho"/>
          <w:bCs/>
          <w:lang w:val="en-US" w:eastAsia="zh-CN"/>
        </w:rPr>
        <w:t xml:space="preserve"> cell lines.</w:t>
      </w:r>
    </w:p>
    <w:p w14:paraId="79DFA847" w14:textId="03F5FB69" w:rsidR="006C239A" w:rsidRPr="006C239A" w:rsidRDefault="006C239A" w:rsidP="005E2D28">
      <w:pPr>
        <w:pStyle w:val="Heading2"/>
        <w:keepNext w:val="0"/>
        <w:widowControl w:val="0"/>
        <w:numPr>
          <w:ilvl w:val="0"/>
          <w:numId w:val="0"/>
        </w:numPr>
        <w:spacing w:after="0" w:line="240" w:lineRule="auto"/>
        <w:ind w:left="357"/>
        <w:rPr>
          <w:b w:val="0"/>
        </w:rPr>
      </w:pPr>
      <w:r w:rsidRPr="006C239A">
        <w:rPr>
          <w:b w:val="0"/>
        </w:rPr>
        <w:t>Cardiac electrophysiology</w:t>
      </w:r>
    </w:p>
    <w:p w14:paraId="5E69D789" w14:textId="07302539" w:rsidR="005E2D28" w:rsidRDefault="006C239A" w:rsidP="005E2D28">
      <w:pPr>
        <w:autoSpaceDE/>
        <w:autoSpaceDN/>
        <w:adjustRightInd/>
        <w:spacing w:after="0" w:line="240" w:lineRule="auto"/>
        <w:ind w:left="357"/>
        <w:rPr>
          <w:rFonts w:eastAsia="MS Mincho"/>
          <w:szCs w:val="20"/>
          <w:lang w:val="en-US" w:eastAsia="zh-CN"/>
        </w:rPr>
      </w:pPr>
      <w:r w:rsidRPr="006C239A">
        <w:rPr>
          <w:rFonts w:eastAsia="MS Mincho"/>
          <w:szCs w:val="20"/>
          <w:lang w:val="en-US" w:eastAsia="zh-CN"/>
        </w:rPr>
        <w:t xml:space="preserve">Serial, triplicate ECGs were collected following a single dose and at steady-state to evaluate the effect of </w:t>
      </w:r>
      <w:proofErr w:type="spellStart"/>
      <w:r w:rsidRPr="006C239A">
        <w:rPr>
          <w:rFonts w:eastAsia="MS Mincho"/>
          <w:szCs w:val="20"/>
          <w:lang w:val="en-US" w:eastAsia="zh-CN"/>
        </w:rPr>
        <w:t>alpelisib</w:t>
      </w:r>
      <w:proofErr w:type="spellEnd"/>
      <w:r w:rsidRPr="006C239A">
        <w:rPr>
          <w:rFonts w:eastAsia="MS Mincho"/>
          <w:szCs w:val="20"/>
          <w:lang w:val="en-US" w:eastAsia="zh-CN"/>
        </w:rPr>
        <w:t xml:space="preserve"> on the </w:t>
      </w:r>
      <w:proofErr w:type="spellStart"/>
      <w:r w:rsidRPr="006C239A">
        <w:rPr>
          <w:rFonts w:eastAsia="MS Mincho"/>
          <w:szCs w:val="20"/>
          <w:lang w:val="en-US" w:eastAsia="zh-CN"/>
        </w:rPr>
        <w:t>QTcF</w:t>
      </w:r>
      <w:proofErr w:type="spellEnd"/>
      <w:r w:rsidRPr="006C239A">
        <w:rPr>
          <w:rFonts w:eastAsia="MS Mincho"/>
          <w:szCs w:val="20"/>
          <w:lang w:val="en-US" w:eastAsia="zh-CN"/>
        </w:rPr>
        <w:t xml:space="preserve"> interval in patients with advanced cancer. A pharmacokinetic-</w:t>
      </w:r>
      <w:proofErr w:type="spellStart"/>
      <w:r w:rsidRPr="006C239A">
        <w:rPr>
          <w:rFonts w:eastAsia="MS Mincho"/>
          <w:szCs w:val="20"/>
          <w:lang w:val="en-US" w:eastAsia="zh-CN"/>
        </w:rPr>
        <w:t>pharmacodynamic</w:t>
      </w:r>
      <w:proofErr w:type="spellEnd"/>
      <w:r w:rsidRPr="006C239A">
        <w:rPr>
          <w:rFonts w:eastAsia="MS Mincho"/>
          <w:szCs w:val="20"/>
          <w:lang w:val="en-US" w:eastAsia="zh-CN"/>
        </w:rPr>
        <w:t xml:space="preserve"> analysis included a total of 134 patients treated with </w:t>
      </w:r>
      <w:proofErr w:type="spellStart"/>
      <w:r w:rsidRPr="006C239A">
        <w:rPr>
          <w:rFonts w:eastAsia="MS Mincho"/>
          <w:szCs w:val="20"/>
          <w:lang w:val="en-US" w:eastAsia="zh-CN"/>
        </w:rPr>
        <w:t>alpelisib</w:t>
      </w:r>
      <w:proofErr w:type="spellEnd"/>
      <w:r w:rsidRPr="006C239A">
        <w:rPr>
          <w:rFonts w:eastAsia="MS Mincho"/>
          <w:szCs w:val="20"/>
          <w:lang w:val="en-US" w:eastAsia="zh-CN"/>
        </w:rPr>
        <w:t xml:space="preserve"> at d</w:t>
      </w:r>
      <w:r w:rsidR="009A6094">
        <w:rPr>
          <w:rFonts w:eastAsia="MS Mincho"/>
          <w:szCs w:val="20"/>
          <w:lang w:val="en-US" w:eastAsia="zh-CN"/>
        </w:rPr>
        <w:t>oses ranging from 30 to 450 mg.</w:t>
      </w:r>
    </w:p>
    <w:p w14:paraId="1D33A0A9" w14:textId="6520F556" w:rsidR="006C239A" w:rsidRPr="006C239A" w:rsidRDefault="006C239A" w:rsidP="009A6094">
      <w:pPr>
        <w:autoSpaceDE/>
        <w:autoSpaceDN/>
        <w:adjustRightInd/>
        <w:spacing w:line="240" w:lineRule="auto"/>
        <w:ind w:left="357"/>
        <w:rPr>
          <w:rFonts w:eastAsia="MS Mincho"/>
          <w:szCs w:val="20"/>
          <w:lang w:val="en-US" w:eastAsia="zh-CN"/>
        </w:rPr>
      </w:pPr>
      <w:r w:rsidRPr="006C239A">
        <w:rPr>
          <w:rFonts w:eastAsia="MS Mincho"/>
          <w:szCs w:val="20"/>
          <w:lang w:val="en-US" w:eastAsia="zh-CN"/>
        </w:rPr>
        <w:lastRenderedPageBreak/>
        <w:t xml:space="preserve">The analysis demonstrates the absence of a clinically significant </w:t>
      </w:r>
      <w:proofErr w:type="spellStart"/>
      <w:r w:rsidRPr="006C239A">
        <w:rPr>
          <w:rFonts w:eastAsia="MS Mincho"/>
          <w:szCs w:val="20"/>
          <w:lang w:val="en-US" w:eastAsia="zh-CN"/>
        </w:rPr>
        <w:t>QTcF</w:t>
      </w:r>
      <w:proofErr w:type="spellEnd"/>
      <w:r w:rsidRPr="006C239A">
        <w:rPr>
          <w:rFonts w:eastAsia="MS Mincho"/>
          <w:szCs w:val="20"/>
          <w:lang w:val="en-US" w:eastAsia="zh-CN"/>
        </w:rPr>
        <w:t xml:space="preserve"> prolongation at the recommended 300 mg dose with or without </w:t>
      </w:r>
      <w:proofErr w:type="spellStart"/>
      <w:r w:rsidRPr="006C239A">
        <w:rPr>
          <w:rFonts w:eastAsia="MS Mincho"/>
          <w:szCs w:val="20"/>
          <w:lang w:val="en-US" w:eastAsia="zh-CN"/>
        </w:rPr>
        <w:t>fulvestrant</w:t>
      </w:r>
      <w:proofErr w:type="spellEnd"/>
      <w:r w:rsidRPr="006C239A">
        <w:rPr>
          <w:rFonts w:eastAsia="MS Mincho"/>
          <w:szCs w:val="20"/>
          <w:lang w:val="en-US" w:eastAsia="zh-CN"/>
        </w:rPr>
        <w:t xml:space="preserve">. The estimated mean change from baseline in </w:t>
      </w:r>
      <w:proofErr w:type="spellStart"/>
      <w:r w:rsidRPr="006C239A">
        <w:rPr>
          <w:rFonts w:eastAsia="MS Mincho"/>
          <w:szCs w:val="20"/>
          <w:lang w:val="en-US" w:eastAsia="zh-CN"/>
        </w:rPr>
        <w:t>QTcF</w:t>
      </w:r>
      <w:proofErr w:type="spellEnd"/>
      <w:r w:rsidRPr="006C239A">
        <w:rPr>
          <w:rFonts w:eastAsia="MS Mincho"/>
          <w:szCs w:val="20"/>
          <w:lang w:val="en-US" w:eastAsia="zh-CN"/>
        </w:rPr>
        <w:t xml:space="preserve"> was &lt;10 </w:t>
      </w:r>
      <w:proofErr w:type="spellStart"/>
      <w:r w:rsidRPr="006C239A">
        <w:rPr>
          <w:rFonts w:eastAsia="MS Mincho"/>
          <w:szCs w:val="20"/>
          <w:lang w:val="en-US" w:eastAsia="zh-CN"/>
        </w:rPr>
        <w:t>ms</w:t>
      </w:r>
      <w:proofErr w:type="spellEnd"/>
      <w:r w:rsidRPr="006C239A">
        <w:rPr>
          <w:rFonts w:eastAsia="MS Mincho"/>
          <w:szCs w:val="20"/>
          <w:lang w:val="en-US" w:eastAsia="zh-CN"/>
        </w:rPr>
        <w:t xml:space="preserve"> (7.2 </w:t>
      </w:r>
      <w:proofErr w:type="spellStart"/>
      <w:r w:rsidRPr="006C239A">
        <w:rPr>
          <w:rFonts w:eastAsia="MS Mincho"/>
          <w:szCs w:val="20"/>
          <w:lang w:val="en-US" w:eastAsia="zh-CN"/>
        </w:rPr>
        <w:t>ms</w:t>
      </w:r>
      <w:proofErr w:type="spellEnd"/>
      <w:r w:rsidRPr="006C239A">
        <w:rPr>
          <w:rFonts w:eastAsia="MS Mincho"/>
          <w:szCs w:val="20"/>
          <w:lang w:val="en-US" w:eastAsia="zh-CN"/>
        </w:rPr>
        <w:t xml:space="preserve">; 90% CI: 5.62, 8.83) at the observed geometric-mean </w:t>
      </w:r>
      <w:proofErr w:type="spellStart"/>
      <w:r w:rsidRPr="006C239A">
        <w:rPr>
          <w:rFonts w:eastAsia="MS Mincho"/>
          <w:szCs w:val="20"/>
          <w:lang w:val="en-US" w:eastAsia="zh-CN"/>
        </w:rPr>
        <w:t>Cmax</w:t>
      </w:r>
      <w:proofErr w:type="spellEnd"/>
      <w:r w:rsidRPr="006C239A">
        <w:rPr>
          <w:rFonts w:eastAsia="MS Mincho"/>
          <w:szCs w:val="20"/>
          <w:lang w:val="en-US" w:eastAsia="zh-CN"/>
        </w:rPr>
        <w:t xml:space="preserve"> at steady-state (2900 ng/mL) following single agent administration at the recommended 300 mg dose.</w:t>
      </w:r>
    </w:p>
    <w:p w14:paraId="5E76B05D" w14:textId="6D2EE8D5" w:rsidR="0088047D" w:rsidRPr="006C239A" w:rsidRDefault="0088047D" w:rsidP="000D5D72">
      <w:pPr>
        <w:pStyle w:val="Heading2"/>
        <w:keepNext w:val="0"/>
        <w:widowControl w:val="0"/>
        <w:numPr>
          <w:ilvl w:val="0"/>
          <w:numId w:val="0"/>
        </w:numPr>
        <w:spacing w:after="60" w:line="240" w:lineRule="auto"/>
        <w:ind w:left="357"/>
        <w:rPr>
          <w:b w:val="0"/>
        </w:rPr>
      </w:pPr>
      <w:r w:rsidRPr="006C239A">
        <w:rPr>
          <w:b w:val="0"/>
        </w:rPr>
        <w:t>Clinical Trials</w:t>
      </w:r>
    </w:p>
    <w:p w14:paraId="365836D8" w14:textId="30744356" w:rsidR="000D5D72" w:rsidRPr="000D5D72" w:rsidRDefault="00A7383D" w:rsidP="000D5D72">
      <w:pPr>
        <w:widowControl w:val="0"/>
        <w:autoSpaceDE/>
        <w:autoSpaceDN/>
        <w:adjustRightInd/>
        <w:spacing w:after="60" w:line="240" w:lineRule="auto"/>
        <w:ind w:left="357"/>
        <w:rPr>
          <w:rFonts w:eastAsia="MS Mincho"/>
          <w:i/>
          <w:szCs w:val="20"/>
          <w:lang w:val="en-US" w:eastAsia="zh-CN"/>
        </w:rPr>
      </w:pPr>
      <w:bookmarkStart w:id="23" w:name="_Toc259706951"/>
      <w:bookmarkStart w:id="24" w:name="_Toc259707123"/>
      <w:bookmarkStart w:id="25" w:name="_Toc259707186"/>
      <w:bookmarkStart w:id="26" w:name="_Toc259713132"/>
      <w:bookmarkStart w:id="27" w:name="_Toc260745247"/>
      <w:bookmarkStart w:id="28" w:name="_Toc266784438"/>
      <w:r>
        <w:rPr>
          <w:rFonts w:eastAsia="MS Mincho"/>
          <w:i/>
          <w:szCs w:val="20"/>
          <w:lang w:val="en-US" w:eastAsia="zh-CN"/>
        </w:rPr>
        <w:t>Placebo-controlled s</w:t>
      </w:r>
      <w:r w:rsidR="000D5D72" w:rsidRPr="000D5D72">
        <w:rPr>
          <w:rFonts w:eastAsia="MS Mincho"/>
          <w:i/>
          <w:szCs w:val="20"/>
          <w:lang w:val="en-US" w:eastAsia="zh-CN"/>
        </w:rPr>
        <w:t xml:space="preserve">tudy C2301 </w:t>
      </w:r>
    </w:p>
    <w:p w14:paraId="398BE7CC" w14:textId="206FAD85" w:rsidR="000D5D72" w:rsidRPr="003031BC" w:rsidRDefault="003031BC" w:rsidP="009A6094">
      <w:pPr>
        <w:widowControl w:val="0"/>
        <w:autoSpaceDE/>
        <w:autoSpaceDN/>
        <w:adjustRightInd/>
        <w:spacing w:line="240" w:lineRule="auto"/>
        <w:ind w:left="357"/>
        <w:rPr>
          <w:rFonts w:eastAsia="MS Mincho"/>
          <w:szCs w:val="20"/>
          <w:lang w:val="en-US" w:eastAsia="zh-CN"/>
        </w:rPr>
      </w:pPr>
      <w:r w:rsidRPr="003031BC">
        <w:rPr>
          <w:rFonts w:eastAsia="MS Mincho"/>
          <w:szCs w:val="20"/>
          <w:lang w:val="en-US" w:eastAsia="zh-CN"/>
        </w:rPr>
        <w:t xml:space="preserve">PIQRAY was evaluated in </w:t>
      </w:r>
      <w:r w:rsidR="000D5D72">
        <w:rPr>
          <w:rFonts w:eastAsia="MS Mincho"/>
          <w:szCs w:val="20"/>
          <w:lang w:val="en-US" w:eastAsia="zh-CN"/>
        </w:rPr>
        <w:t xml:space="preserve">this </w:t>
      </w:r>
      <w:r w:rsidRPr="003031BC">
        <w:rPr>
          <w:rFonts w:eastAsia="MS Mincho"/>
          <w:szCs w:val="20"/>
          <w:lang w:val="en-US" w:eastAsia="zh-CN"/>
        </w:rPr>
        <w:t>pivotal phase III, randomized, double-blind</w:t>
      </w:r>
      <w:r w:rsidR="00A7383D">
        <w:rPr>
          <w:rFonts w:eastAsia="MS Mincho"/>
          <w:szCs w:val="20"/>
          <w:lang w:val="en-US" w:eastAsia="zh-CN"/>
        </w:rPr>
        <w:t xml:space="preserve"> </w:t>
      </w:r>
      <w:r w:rsidRPr="003031BC">
        <w:rPr>
          <w:rFonts w:eastAsia="MS Mincho"/>
          <w:szCs w:val="20"/>
          <w:lang w:val="en-US" w:eastAsia="zh-CN"/>
        </w:rPr>
        <w:t xml:space="preserve">study of PIQRAY in combination with </w:t>
      </w:r>
      <w:proofErr w:type="spellStart"/>
      <w:r w:rsidRPr="003031BC">
        <w:rPr>
          <w:rFonts w:eastAsia="MS Mincho"/>
          <w:szCs w:val="20"/>
          <w:lang w:val="en-US" w:eastAsia="zh-CN"/>
        </w:rPr>
        <w:t>fulvestrant</w:t>
      </w:r>
      <w:proofErr w:type="spellEnd"/>
      <w:r w:rsidRPr="003031BC">
        <w:rPr>
          <w:rFonts w:eastAsia="MS Mincho"/>
          <w:szCs w:val="20"/>
          <w:lang w:val="en-US" w:eastAsia="zh-CN"/>
        </w:rPr>
        <w:t xml:space="preserve"> in men and postmenopausal women with HR+, HER2- locally advanced breast cancer whose disease had progressed or recurred on or after an aromatase inhibitor based treatment (with </w:t>
      </w:r>
      <w:r w:rsidR="009A6094">
        <w:rPr>
          <w:rFonts w:eastAsia="MS Mincho"/>
          <w:szCs w:val="20"/>
          <w:lang w:val="en-US" w:eastAsia="zh-CN"/>
        </w:rPr>
        <w:t>or without CDK4/6 combination).</w:t>
      </w:r>
    </w:p>
    <w:p w14:paraId="782438D9" w14:textId="57973660" w:rsidR="00B4279C" w:rsidRDefault="003031BC" w:rsidP="009A6094">
      <w:pPr>
        <w:widowControl w:val="0"/>
        <w:autoSpaceDE/>
        <w:autoSpaceDN/>
        <w:adjustRightInd/>
        <w:spacing w:line="240" w:lineRule="auto"/>
        <w:ind w:left="357"/>
        <w:rPr>
          <w:rFonts w:eastAsia="MS Mincho"/>
          <w:szCs w:val="20"/>
          <w:lang w:val="en-US" w:eastAsia="zh-CN"/>
        </w:rPr>
      </w:pPr>
      <w:r w:rsidRPr="003031BC">
        <w:rPr>
          <w:rFonts w:eastAsia="MS Mincho"/>
          <w:szCs w:val="20"/>
          <w:lang w:val="en-US" w:eastAsia="zh-CN"/>
        </w:rPr>
        <w:t xml:space="preserve">A total of 572 patients were enrolled into two cohorts, cohort with PIK3CA mutation or cohort without PIK3CA mutation breast cancer. PIK3CA mutation status was determined by clinical trial assays. </w:t>
      </w:r>
      <w:r w:rsidR="00B4279C" w:rsidRPr="00902A75">
        <w:rPr>
          <w:rFonts w:eastAsia="MS Mincho"/>
          <w:szCs w:val="20"/>
          <w:lang w:val="en-US" w:eastAsia="zh-CN"/>
        </w:rPr>
        <w:t xml:space="preserve">There were 341 patients enrolled by tumor tissue in the cohort with a PIK3CA mutation and 231 enrolled in the cohort without a PIK3CA mutation. Of the 341 patients in the cohort with a PIK3CA mutation, 336 (99%) patients had one or more PIK3CA mutations confirmed in tumor tissue using the QIAGEN </w:t>
      </w:r>
      <w:proofErr w:type="spellStart"/>
      <w:r w:rsidR="00B4279C" w:rsidRPr="00902A75">
        <w:rPr>
          <w:rFonts w:eastAsia="MS Mincho"/>
          <w:szCs w:val="20"/>
          <w:lang w:val="en-US" w:eastAsia="zh-CN"/>
        </w:rPr>
        <w:t>therascreen</w:t>
      </w:r>
      <w:proofErr w:type="spellEnd"/>
      <w:r w:rsidR="00B4279C" w:rsidRPr="00902A75">
        <w:rPr>
          <w:rFonts w:eastAsia="MS Mincho"/>
          <w:szCs w:val="20"/>
          <w:lang w:val="en-US" w:eastAsia="zh-CN"/>
        </w:rPr>
        <w:t>® PIK3CA RGQ PCR Kit</w:t>
      </w:r>
      <w:r w:rsidR="00B4279C">
        <w:rPr>
          <w:rFonts w:eastAsia="MS Mincho"/>
          <w:szCs w:val="20"/>
          <w:lang w:val="en-US" w:eastAsia="zh-CN"/>
        </w:rPr>
        <w:t xml:space="preserve">. </w:t>
      </w:r>
      <w:r w:rsidR="00B4279C" w:rsidRPr="00902A75">
        <w:rPr>
          <w:rFonts w:eastAsia="MS Mincho"/>
          <w:szCs w:val="20"/>
          <w:lang w:val="en-US" w:eastAsia="zh-CN"/>
        </w:rPr>
        <w:t xml:space="preserve">Out of the 336 patients with PIK3CA mutations confirmed in tumor tissue, 19 patients had no plasma specimen available for testing with the QIAGEN </w:t>
      </w:r>
      <w:proofErr w:type="spellStart"/>
      <w:r w:rsidR="00B4279C" w:rsidRPr="00902A75">
        <w:rPr>
          <w:rFonts w:eastAsia="MS Mincho"/>
          <w:szCs w:val="20"/>
          <w:lang w:val="en-US" w:eastAsia="zh-CN"/>
        </w:rPr>
        <w:t>therascreen</w:t>
      </w:r>
      <w:proofErr w:type="spellEnd"/>
      <w:r w:rsidR="00B4279C" w:rsidRPr="00902A75">
        <w:rPr>
          <w:rFonts w:eastAsia="MS Mincho"/>
          <w:szCs w:val="20"/>
          <w:lang w:val="en-US" w:eastAsia="zh-CN"/>
        </w:rPr>
        <w:t>® PIK3CA RGQ PCR Kit</w:t>
      </w:r>
      <w:r w:rsidR="00B4279C">
        <w:rPr>
          <w:rFonts w:eastAsia="MS Mincho"/>
          <w:szCs w:val="20"/>
          <w:lang w:val="en-US" w:eastAsia="zh-CN"/>
        </w:rPr>
        <w:t xml:space="preserve">. </w:t>
      </w:r>
      <w:r w:rsidR="00B4279C" w:rsidRPr="00902A75">
        <w:rPr>
          <w:rFonts w:eastAsia="MS Mincho"/>
          <w:szCs w:val="20"/>
          <w:lang w:val="en-US" w:eastAsia="zh-CN"/>
        </w:rPr>
        <w:t xml:space="preserve"> Of the remaining 317 patients with PIK3CA mutations confirmed in tumor tissue, 177 patients (56%) had PIK3CA mutations identified in plasma specimen, and 140 patients (44%) did not have PIK3CA mutations identified in plasma specimen</w:t>
      </w:r>
      <w:r w:rsidR="00B4279C">
        <w:rPr>
          <w:rFonts w:eastAsia="MS Mincho"/>
          <w:szCs w:val="20"/>
          <w:lang w:val="en-US" w:eastAsia="zh-CN"/>
        </w:rPr>
        <w:t>.</w:t>
      </w:r>
    </w:p>
    <w:p w14:paraId="0265A7CE" w14:textId="45A24D27" w:rsidR="000D5D72" w:rsidRPr="003031BC" w:rsidRDefault="003031BC" w:rsidP="009A6094">
      <w:pPr>
        <w:widowControl w:val="0"/>
        <w:autoSpaceDE/>
        <w:autoSpaceDN/>
        <w:adjustRightInd/>
        <w:spacing w:line="240" w:lineRule="auto"/>
        <w:ind w:left="357"/>
        <w:rPr>
          <w:rFonts w:eastAsia="MS Mincho"/>
          <w:szCs w:val="20"/>
          <w:lang w:val="en-US" w:eastAsia="zh-CN"/>
        </w:rPr>
      </w:pPr>
      <w:r w:rsidRPr="003031BC">
        <w:rPr>
          <w:rFonts w:eastAsia="MS Mincho"/>
          <w:szCs w:val="20"/>
          <w:lang w:val="en-US" w:eastAsia="zh-CN"/>
        </w:rPr>
        <w:t xml:space="preserve">Patients were randomized to receive either </w:t>
      </w:r>
      <w:r w:rsidR="00E16761" w:rsidRPr="003031BC">
        <w:rPr>
          <w:rFonts w:eastAsia="MS Mincho"/>
          <w:szCs w:val="20"/>
          <w:lang w:val="en-US" w:eastAsia="zh-CN"/>
        </w:rPr>
        <w:t>PIQRAY</w:t>
      </w:r>
      <w:r w:rsidRPr="003031BC">
        <w:rPr>
          <w:rFonts w:eastAsia="MS Mincho"/>
          <w:szCs w:val="20"/>
          <w:lang w:val="en-US" w:eastAsia="zh-CN"/>
        </w:rPr>
        <w:t xml:space="preserve"> 300 mg plus </w:t>
      </w:r>
      <w:proofErr w:type="spellStart"/>
      <w:r w:rsidRPr="003031BC">
        <w:rPr>
          <w:rFonts w:eastAsia="MS Mincho"/>
          <w:szCs w:val="20"/>
          <w:lang w:val="en-US" w:eastAsia="zh-CN"/>
        </w:rPr>
        <w:t>fulvestrant</w:t>
      </w:r>
      <w:proofErr w:type="spellEnd"/>
      <w:r w:rsidRPr="003031BC">
        <w:rPr>
          <w:rFonts w:eastAsia="MS Mincho"/>
          <w:szCs w:val="20"/>
          <w:lang w:val="en-US" w:eastAsia="zh-CN"/>
        </w:rPr>
        <w:t xml:space="preserve"> or placebo plus </w:t>
      </w:r>
      <w:proofErr w:type="spellStart"/>
      <w:r w:rsidRPr="003031BC">
        <w:rPr>
          <w:rFonts w:eastAsia="MS Mincho"/>
          <w:szCs w:val="20"/>
          <w:lang w:val="en-US" w:eastAsia="zh-CN"/>
        </w:rPr>
        <w:t>fulvestrant</w:t>
      </w:r>
      <w:proofErr w:type="spellEnd"/>
      <w:r w:rsidRPr="003031BC">
        <w:rPr>
          <w:rFonts w:eastAsia="MS Mincho"/>
          <w:szCs w:val="20"/>
          <w:lang w:val="en-US" w:eastAsia="zh-CN"/>
        </w:rPr>
        <w:t xml:space="preserve"> in a 1:1 ratio. Randomization was stratified by presence of lung and/or liver metastasis and previous treatment with CDK4/6 inhibitor(s).</w:t>
      </w:r>
    </w:p>
    <w:p w14:paraId="7048547D" w14:textId="6A433288" w:rsidR="003031BC" w:rsidRPr="003031BC" w:rsidRDefault="003031BC" w:rsidP="009A6094">
      <w:pPr>
        <w:widowControl w:val="0"/>
        <w:autoSpaceDE/>
        <w:autoSpaceDN/>
        <w:adjustRightInd/>
        <w:spacing w:line="240" w:lineRule="auto"/>
        <w:ind w:left="357"/>
        <w:rPr>
          <w:rFonts w:eastAsia="MS Mincho"/>
          <w:szCs w:val="20"/>
          <w:lang w:val="en-US" w:eastAsia="zh-CN"/>
        </w:rPr>
      </w:pPr>
      <w:r w:rsidRPr="003031BC">
        <w:rPr>
          <w:rFonts w:eastAsia="MS Mincho"/>
          <w:szCs w:val="20"/>
          <w:lang w:val="en-US" w:eastAsia="zh-CN"/>
        </w:rPr>
        <w:t xml:space="preserve">Within the cohort with a PIK3CA mutation, 169 patients were randomized to receive </w:t>
      </w:r>
      <w:r w:rsidR="00E16761" w:rsidRPr="003031BC">
        <w:rPr>
          <w:rFonts w:eastAsia="MS Mincho"/>
          <w:szCs w:val="20"/>
          <w:lang w:val="en-US" w:eastAsia="zh-CN"/>
        </w:rPr>
        <w:t xml:space="preserve">PIQRAY </w:t>
      </w:r>
      <w:r w:rsidRPr="003031BC">
        <w:rPr>
          <w:rFonts w:eastAsia="MS Mincho"/>
          <w:szCs w:val="20"/>
          <w:lang w:val="en-US" w:eastAsia="zh-CN"/>
        </w:rPr>
        <w:t xml:space="preserve">in combination with </w:t>
      </w:r>
      <w:proofErr w:type="spellStart"/>
      <w:r w:rsidRPr="003031BC">
        <w:rPr>
          <w:rFonts w:eastAsia="MS Mincho"/>
          <w:szCs w:val="20"/>
          <w:lang w:val="en-US" w:eastAsia="zh-CN"/>
        </w:rPr>
        <w:t>fulvestrant</w:t>
      </w:r>
      <w:proofErr w:type="spellEnd"/>
      <w:r w:rsidRPr="003031BC">
        <w:rPr>
          <w:rFonts w:eastAsia="MS Mincho"/>
          <w:szCs w:val="20"/>
          <w:lang w:val="en-US" w:eastAsia="zh-CN"/>
        </w:rPr>
        <w:t xml:space="preserve"> and 172 patients were randomized to placebo in combination with </w:t>
      </w:r>
      <w:proofErr w:type="spellStart"/>
      <w:r w:rsidRPr="003031BC">
        <w:rPr>
          <w:rFonts w:eastAsia="MS Mincho"/>
          <w:szCs w:val="20"/>
          <w:lang w:val="en-US" w:eastAsia="zh-CN"/>
        </w:rPr>
        <w:t>fulvestrant</w:t>
      </w:r>
      <w:proofErr w:type="spellEnd"/>
      <w:r w:rsidRPr="003031BC">
        <w:rPr>
          <w:rFonts w:eastAsia="MS Mincho"/>
          <w:szCs w:val="20"/>
          <w:lang w:val="en-US" w:eastAsia="zh-CN"/>
        </w:rPr>
        <w:t>. Within this cohort, 170 (49.9</w:t>
      </w:r>
      <w:r w:rsidR="00502656">
        <w:rPr>
          <w:rFonts w:eastAsia="MS Mincho"/>
          <w:szCs w:val="20"/>
          <w:lang w:val="en-US" w:eastAsia="zh-CN"/>
        </w:rPr>
        <w:t xml:space="preserve"> </w:t>
      </w:r>
      <w:r w:rsidRPr="003031BC">
        <w:rPr>
          <w:rFonts w:eastAsia="MS Mincho"/>
          <w:szCs w:val="20"/>
          <w:lang w:val="en-US" w:eastAsia="zh-CN"/>
        </w:rPr>
        <w:t>%) patients had liver/lung metastases and 20 (5.9</w:t>
      </w:r>
      <w:r w:rsidR="00502656">
        <w:rPr>
          <w:rFonts w:eastAsia="MS Mincho"/>
          <w:szCs w:val="20"/>
          <w:lang w:val="en-US" w:eastAsia="zh-CN"/>
        </w:rPr>
        <w:t xml:space="preserve"> </w:t>
      </w:r>
      <w:r w:rsidRPr="003031BC">
        <w:rPr>
          <w:rFonts w:eastAsia="MS Mincho"/>
          <w:szCs w:val="20"/>
          <w:lang w:val="en-US" w:eastAsia="zh-CN"/>
        </w:rPr>
        <w:t>%) patients had received prior CDK4/6 inhibitor treatment.</w:t>
      </w:r>
    </w:p>
    <w:p w14:paraId="21DE25D7" w14:textId="25803680" w:rsidR="003031BC" w:rsidRPr="003031BC" w:rsidRDefault="003031BC" w:rsidP="009A6094">
      <w:pPr>
        <w:autoSpaceDE/>
        <w:autoSpaceDN/>
        <w:adjustRightInd/>
        <w:spacing w:before="120" w:line="240" w:lineRule="auto"/>
        <w:ind w:left="360"/>
        <w:rPr>
          <w:rFonts w:eastAsia="MS Mincho"/>
          <w:szCs w:val="20"/>
          <w:lang w:val="en-US" w:eastAsia="zh-CN"/>
        </w:rPr>
      </w:pPr>
      <w:r w:rsidRPr="003031BC">
        <w:rPr>
          <w:rFonts w:eastAsia="MS Mincho"/>
          <w:szCs w:val="20"/>
          <w:lang w:val="en-US" w:eastAsia="zh-CN"/>
        </w:rPr>
        <w:t xml:space="preserve">Within the cohort without PIK3CA mutation, 115 patients were randomized to receive </w:t>
      </w:r>
      <w:r w:rsidR="00E16761" w:rsidRPr="003031BC">
        <w:rPr>
          <w:rFonts w:eastAsia="MS Mincho"/>
          <w:szCs w:val="20"/>
          <w:lang w:val="en-US" w:eastAsia="zh-CN"/>
        </w:rPr>
        <w:t xml:space="preserve">PIQRAY </w:t>
      </w:r>
      <w:r w:rsidRPr="003031BC">
        <w:rPr>
          <w:rFonts w:eastAsia="MS Mincho"/>
          <w:szCs w:val="20"/>
          <w:lang w:val="en-US" w:eastAsia="zh-CN"/>
        </w:rPr>
        <w:t xml:space="preserve">in combination with </w:t>
      </w:r>
      <w:proofErr w:type="spellStart"/>
      <w:r w:rsidRPr="003031BC">
        <w:rPr>
          <w:rFonts w:eastAsia="MS Mincho"/>
          <w:szCs w:val="20"/>
          <w:lang w:val="en-US" w:eastAsia="zh-CN"/>
        </w:rPr>
        <w:t>fulvestrant</w:t>
      </w:r>
      <w:proofErr w:type="spellEnd"/>
      <w:r w:rsidRPr="003031BC">
        <w:rPr>
          <w:rFonts w:eastAsia="MS Mincho"/>
          <w:szCs w:val="20"/>
          <w:lang w:val="en-US" w:eastAsia="zh-CN"/>
        </w:rPr>
        <w:t xml:space="preserve"> and 116 were randomized to receive placebo in combination with </w:t>
      </w:r>
      <w:proofErr w:type="spellStart"/>
      <w:r w:rsidRPr="003031BC">
        <w:rPr>
          <w:rFonts w:eastAsia="MS Mincho"/>
          <w:szCs w:val="20"/>
          <w:lang w:val="en-US" w:eastAsia="zh-CN"/>
        </w:rPr>
        <w:t>fulvestrant</w:t>
      </w:r>
      <w:proofErr w:type="spellEnd"/>
      <w:r w:rsidRPr="003031BC">
        <w:rPr>
          <w:rFonts w:eastAsia="MS Mincho"/>
          <w:szCs w:val="20"/>
          <w:lang w:val="en-US" w:eastAsia="zh-CN"/>
        </w:rPr>
        <w:t>. 112 (48.5</w:t>
      </w:r>
      <w:r w:rsidR="00502656">
        <w:rPr>
          <w:rFonts w:eastAsia="MS Mincho"/>
          <w:szCs w:val="20"/>
          <w:lang w:val="en-US" w:eastAsia="zh-CN"/>
        </w:rPr>
        <w:t xml:space="preserve"> </w:t>
      </w:r>
      <w:r w:rsidRPr="003031BC">
        <w:rPr>
          <w:rFonts w:eastAsia="MS Mincho"/>
          <w:szCs w:val="20"/>
          <w:lang w:val="en-US" w:eastAsia="zh-CN"/>
        </w:rPr>
        <w:t>%) patients had liver/lung metastases and 15 (6.5</w:t>
      </w:r>
      <w:r w:rsidR="00502656">
        <w:rPr>
          <w:rFonts w:eastAsia="MS Mincho"/>
          <w:szCs w:val="20"/>
          <w:lang w:val="en-US" w:eastAsia="zh-CN"/>
        </w:rPr>
        <w:t xml:space="preserve"> </w:t>
      </w:r>
      <w:r w:rsidRPr="003031BC">
        <w:rPr>
          <w:rFonts w:eastAsia="MS Mincho"/>
          <w:szCs w:val="20"/>
          <w:lang w:val="en-US" w:eastAsia="zh-CN"/>
        </w:rPr>
        <w:t>%) patients had prior CDK4/6 inhibitor treatment.</w:t>
      </w:r>
    </w:p>
    <w:p w14:paraId="59D4592E" w14:textId="77777777" w:rsidR="009A6094" w:rsidRPr="009A6094" w:rsidRDefault="003031BC" w:rsidP="009A6094">
      <w:pPr>
        <w:autoSpaceDE/>
        <w:autoSpaceDN/>
        <w:adjustRightInd/>
        <w:spacing w:before="120" w:line="240" w:lineRule="auto"/>
        <w:ind w:left="360"/>
        <w:rPr>
          <w:rFonts w:eastAsia="MS Mincho"/>
          <w:szCs w:val="20"/>
          <w:lang w:val="en-US" w:eastAsia="zh-CN"/>
        </w:rPr>
      </w:pPr>
      <w:r w:rsidRPr="003031BC">
        <w:rPr>
          <w:rFonts w:eastAsia="MS Mincho"/>
          <w:szCs w:val="20"/>
          <w:lang w:val="en-US" w:eastAsia="zh-CN"/>
        </w:rPr>
        <w:t>In the cohort with PIK3CA mutation, 97.7</w:t>
      </w:r>
      <w:r w:rsidR="00502656">
        <w:rPr>
          <w:rFonts w:eastAsia="MS Mincho"/>
          <w:szCs w:val="20"/>
          <w:lang w:val="en-US" w:eastAsia="zh-CN"/>
        </w:rPr>
        <w:t xml:space="preserve"> </w:t>
      </w:r>
      <w:r w:rsidRPr="003031BC">
        <w:rPr>
          <w:rFonts w:eastAsia="MS Mincho"/>
          <w:szCs w:val="20"/>
          <w:lang w:val="en-US" w:eastAsia="zh-CN"/>
        </w:rPr>
        <w:t>% of patients received prior hormonal therapy and 47.8</w:t>
      </w:r>
      <w:r w:rsidR="00502656">
        <w:rPr>
          <w:rFonts w:eastAsia="MS Mincho"/>
          <w:szCs w:val="20"/>
          <w:lang w:val="en-US" w:eastAsia="zh-CN"/>
        </w:rPr>
        <w:t xml:space="preserve"> </w:t>
      </w:r>
      <w:r w:rsidRPr="003031BC">
        <w:rPr>
          <w:rFonts w:eastAsia="MS Mincho"/>
          <w:szCs w:val="20"/>
          <w:lang w:val="en-US" w:eastAsia="zh-CN"/>
        </w:rPr>
        <w:t>% of patients had the last setting as metastatic and 51.9</w:t>
      </w:r>
      <w:r w:rsidR="00502656">
        <w:rPr>
          <w:rFonts w:eastAsia="MS Mincho"/>
          <w:szCs w:val="20"/>
          <w:lang w:val="en-US" w:eastAsia="zh-CN"/>
        </w:rPr>
        <w:t xml:space="preserve"> </w:t>
      </w:r>
      <w:r w:rsidRPr="003031BC">
        <w:rPr>
          <w:rFonts w:eastAsia="MS Mincho"/>
          <w:szCs w:val="20"/>
          <w:lang w:val="en-US" w:eastAsia="zh-CN"/>
        </w:rPr>
        <w:t>% of patients whose last setting was adjuvant therapy. Overall, 85.6</w:t>
      </w:r>
      <w:r w:rsidR="00502656">
        <w:rPr>
          <w:rFonts w:eastAsia="MS Mincho"/>
          <w:szCs w:val="20"/>
          <w:lang w:val="en-US" w:eastAsia="zh-CN"/>
        </w:rPr>
        <w:t xml:space="preserve"> </w:t>
      </w:r>
      <w:r w:rsidRPr="003031BC">
        <w:rPr>
          <w:rFonts w:eastAsia="MS Mincho"/>
          <w:szCs w:val="20"/>
          <w:lang w:val="en-US" w:eastAsia="zh-CN"/>
        </w:rPr>
        <w:t>% of the patients were considered to have endocrine resistant disease; primary endocrine resistance was observed in 13.2% and secondary endocrine resistance in 72.4</w:t>
      </w:r>
      <w:r w:rsidR="00502656">
        <w:rPr>
          <w:rFonts w:eastAsia="MS Mincho"/>
          <w:szCs w:val="20"/>
          <w:lang w:val="en-US" w:eastAsia="zh-CN"/>
        </w:rPr>
        <w:t xml:space="preserve"> </w:t>
      </w:r>
      <w:r w:rsidRPr="003031BC">
        <w:rPr>
          <w:rFonts w:eastAsia="MS Mincho"/>
          <w:szCs w:val="20"/>
          <w:lang w:val="en-US" w:eastAsia="zh-CN"/>
        </w:rPr>
        <w:t>% of patients</w:t>
      </w:r>
      <w:r w:rsidRPr="003031BC">
        <w:rPr>
          <w:rFonts w:eastAsia="MS Mincho"/>
          <w:color w:val="0000FF"/>
          <w:szCs w:val="20"/>
          <w:lang w:val="en-US" w:eastAsia="zh-CN"/>
        </w:rPr>
        <w:t>.</w:t>
      </w:r>
    </w:p>
    <w:p w14:paraId="5AD2FDA0" w14:textId="4654E1A2" w:rsidR="003031BC" w:rsidRPr="00C54899" w:rsidRDefault="003031BC" w:rsidP="009A6094">
      <w:pPr>
        <w:autoSpaceDE/>
        <w:autoSpaceDN/>
        <w:adjustRightInd/>
        <w:spacing w:before="120" w:line="240" w:lineRule="auto"/>
        <w:ind w:left="360"/>
        <w:rPr>
          <w:rFonts w:eastAsia="MS Mincho"/>
          <w:i/>
          <w:iCs/>
          <w:szCs w:val="20"/>
          <w:lang w:val="en-US" w:eastAsia="zh-CN"/>
        </w:rPr>
      </w:pPr>
      <w:r w:rsidRPr="00C54899">
        <w:rPr>
          <w:rFonts w:eastAsia="MS Mincho"/>
          <w:szCs w:val="20"/>
          <w:lang w:val="en-US" w:eastAsia="zh-CN"/>
        </w:rPr>
        <w:t xml:space="preserve">In both cohorts with or without PIK3CA mutation, demographics and baseline disease characteristics, ECOG performance status, </w:t>
      </w:r>
      <w:proofErr w:type="spellStart"/>
      <w:r w:rsidR="00C76D14" w:rsidRPr="00C54899">
        <w:rPr>
          <w:rFonts w:eastAsia="MS Mincho"/>
          <w:szCs w:val="20"/>
          <w:lang w:val="en-US" w:eastAsia="zh-CN"/>
        </w:rPr>
        <w:t>tumour</w:t>
      </w:r>
      <w:proofErr w:type="spellEnd"/>
      <w:r w:rsidRPr="00C54899">
        <w:rPr>
          <w:rFonts w:eastAsia="MS Mincho"/>
          <w:szCs w:val="20"/>
          <w:lang w:val="en-US" w:eastAsia="zh-CN"/>
        </w:rPr>
        <w:t xml:space="preserve"> burden, and prior antineoplastic therapy were well </w:t>
      </w:r>
      <w:r w:rsidR="009A6094">
        <w:rPr>
          <w:rFonts w:eastAsia="MS Mincho"/>
          <w:szCs w:val="20"/>
          <w:lang w:val="en-US" w:eastAsia="zh-CN"/>
        </w:rPr>
        <w:t>balanced between the study arms.</w:t>
      </w:r>
    </w:p>
    <w:p w14:paraId="6B58C5CE" w14:textId="4020EAE8" w:rsidR="003031BC" w:rsidRPr="003031BC" w:rsidRDefault="003031BC" w:rsidP="009A6094">
      <w:pPr>
        <w:autoSpaceDE/>
        <w:autoSpaceDN/>
        <w:adjustRightInd/>
        <w:spacing w:before="120" w:line="240" w:lineRule="auto"/>
        <w:ind w:left="360"/>
        <w:rPr>
          <w:rFonts w:eastAsia="MS Mincho"/>
          <w:color w:val="000000"/>
          <w:sz w:val="23"/>
          <w:szCs w:val="23"/>
          <w:lang w:val="en-US" w:eastAsia="zh-CN"/>
        </w:rPr>
      </w:pPr>
      <w:r w:rsidRPr="003031BC">
        <w:rPr>
          <w:rFonts w:eastAsia="MS Mincho"/>
          <w:szCs w:val="20"/>
          <w:lang w:val="en-US" w:eastAsia="zh-CN"/>
        </w:rPr>
        <w:t xml:space="preserve">During the randomized treatment phase, </w:t>
      </w:r>
      <w:r w:rsidR="00E16761" w:rsidRPr="003031BC">
        <w:rPr>
          <w:rFonts w:eastAsia="MS Mincho"/>
          <w:szCs w:val="20"/>
          <w:lang w:val="en-US" w:eastAsia="zh-CN"/>
        </w:rPr>
        <w:t>PIQRAY</w:t>
      </w:r>
      <w:r w:rsidRPr="003031BC">
        <w:rPr>
          <w:rFonts w:eastAsia="MS Mincho"/>
          <w:szCs w:val="20"/>
          <w:lang w:val="en-US" w:eastAsia="zh-CN"/>
        </w:rPr>
        <w:t xml:space="preserve"> 300 mg or </w:t>
      </w:r>
      <w:r w:rsidR="00E16761" w:rsidRPr="003031BC">
        <w:rPr>
          <w:rFonts w:eastAsia="MS Mincho"/>
          <w:szCs w:val="20"/>
          <w:lang w:val="en-US" w:eastAsia="zh-CN"/>
        </w:rPr>
        <w:t xml:space="preserve">PIQRAY </w:t>
      </w:r>
      <w:r w:rsidRPr="003031BC">
        <w:rPr>
          <w:rFonts w:eastAsia="MS Mincho"/>
          <w:szCs w:val="20"/>
          <w:lang w:val="en-US" w:eastAsia="zh-CN"/>
        </w:rPr>
        <w:t xml:space="preserve">matching placebo was administered orally once daily on a continuous basis. </w:t>
      </w:r>
      <w:proofErr w:type="spellStart"/>
      <w:r w:rsidRPr="003031BC">
        <w:rPr>
          <w:rFonts w:eastAsia="MS Mincho"/>
          <w:szCs w:val="20"/>
          <w:lang w:val="en-US" w:eastAsia="zh-CN"/>
        </w:rPr>
        <w:t>Fulvestrant</w:t>
      </w:r>
      <w:proofErr w:type="spellEnd"/>
      <w:r w:rsidRPr="003031BC">
        <w:rPr>
          <w:rFonts w:eastAsia="MS Mincho"/>
          <w:szCs w:val="20"/>
          <w:lang w:val="en-US" w:eastAsia="zh-CN"/>
        </w:rPr>
        <w:t xml:space="preserve"> 500 mg was administered intramuscularly on Cycle 1 Day 1 and 15 and then at Day 1 of a 28-day cycle during treatment phase (administration +/- 3 days)</w:t>
      </w:r>
      <w:r w:rsidRPr="003031BC">
        <w:rPr>
          <w:rFonts w:eastAsia="MS Mincho"/>
          <w:color w:val="000000"/>
          <w:sz w:val="23"/>
          <w:szCs w:val="23"/>
          <w:lang w:val="en-US" w:eastAsia="zh-CN"/>
        </w:rPr>
        <w:t>.</w:t>
      </w:r>
    </w:p>
    <w:p w14:paraId="47A95224" w14:textId="36D6A32E" w:rsidR="003031BC" w:rsidRPr="003031BC" w:rsidRDefault="003031BC" w:rsidP="009A6094">
      <w:pPr>
        <w:autoSpaceDE/>
        <w:autoSpaceDN/>
        <w:adjustRightInd/>
        <w:spacing w:before="120" w:line="240" w:lineRule="auto"/>
        <w:ind w:left="360"/>
        <w:rPr>
          <w:rFonts w:eastAsia="MS Mincho"/>
          <w:color w:val="000000"/>
          <w:sz w:val="23"/>
          <w:szCs w:val="23"/>
          <w:lang w:val="en-US" w:eastAsia="zh-CN"/>
        </w:rPr>
      </w:pPr>
      <w:r w:rsidRPr="003031BC">
        <w:rPr>
          <w:rFonts w:eastAsia="MS Mincho"/>
          <w:szCs w:val="20"/>
          <w:lang w:val="en-US" w:eastAsia="zh-CN"/>
        </w:rPr>
        <w:t xml:space="preserve">Patients were not allowed to cross over from placebo to </w:t>
      </w:r>
      <w:r w:rsidR="00E16761" w:rsidRPr="003031BC">
        <w:rPr>
          <w:rFonts w:eastAsia="MS Mincho"/>
          <w:szCs w:val="20"/>
          <w:lang w:val="en-US" w:eastAsia="zh-CN"/>
        </w:rPr>
        <w:t>PIQRAY</w:t>
      </w:r>
      <w:r w:rsidRPr="003031BC">
        <w:rPr>
          <w:rFonts w:eastAsia="MS Mincho"/>
          <w:szCs w:val="20"/>
          <w:lang w:val="en-US" w:eastAsia="zh-CN"/>
        </w:rPr>
        <w:t xml:space="preserve"> during the study or after disease progression</w:t>
      </w:r>
      <w:r w:rsidR="009A6094">
        <w:rPr>
          <w:rFonts w:eastAsia="MS Mincho"/>
          <w:color w:val="000000"/>
          <w:sz w:val="23"/>
          <w:szCs w:val="23"/>
          <w:lang w:val="en-US" w:eastAsia="zh-CN"/>
        </w:rPr>
        <w:t>.</w:t>
      </w:r>
    </w:p>
    <w:p w14:paraId="45C114E8" w14:textId="3FA0ED07" w:rsidR="003031BC" w:rsidRDefault="003031BC" w:rsidP="009A6094">
      <w:pPr>
        <w:autoSpaceDE/>
        <w:autoSpaceDN/>
        <w:adjustRightInd/>
        <w:spacing w:before="120" w:line="240" w:lineRule="auto"/>
        <w:ind w:left="360"/>
        <w:rPr>
          <w:rFonts w:eastAsia="MS Mincho"/>
          <w:szCs w:val="20"/>
          <w:lang w:val="en-US" w:eastAsia="zh-CN"/>
        </w:rPr>
      </w:pPr>
      <w:r w:rsidRPr="003031BC">
        <w:rPr>
          <w:rFonts w:eastAsia="MS Mincho"/>
          <w:szCs w:val="20"/>
          <w:lang w:val="en-US" w:eastAsia="zh-CN"/>
        </w:rPr>
        <w:t xml:space="preserve">The primary end point for the study was progression-free survival (PFS) using Response Evaluation Criteria in Solid </w:t>
      </w:r>
      <w:proofErr w:type="spellStart"/>
      <w:r w:rsidR="00C76D14">
        <w:rPr>
          <w:rFonts w:eastAsia="MS Mincho"/>
          <w:szCs w:val="20"/>
          <w:lang w:val="en-US" w:eastAsia="zh-CN"/>
        </w:rPr>
        <w:t>Tumour</w:t>
      </w:r>
      <w:r w:rsidRPr="003031BC">
        <w:rPr>
          <w:rFonts w:eastAsia="MS Mincho"/>
          <w:szCs w:val="20"/>
          <w:lang w:val="en-US" w:eastAsia="zh-CN"/>
        </w:rPr>
        <w:t>s</w:t>
      </w:r>
      <w:proofErr w:type="spellEnd"/>
      <w:r w:rsidRPr="003031BC">
        <w:rPr>
          <w:rFonts w:eastAsia="MS Mincho"/>
          <w:szCs w:val="20"/>
          <w:lang w:val="en-US" w:eastAsia="zh-CN"/>
        </w:rPr>
        <w:t xml:space="preserve"> (RECIST v1.1), based on the investigator assessment in patients with </w:t>
      </w:r>
      <w:r w:rsidRPr="003031BC">
        <w:rPr>
          <w:rFonts w:eastAsia="MS Mincho"/>
          <w:szCs w:val="20"/>
          <w:lang w:val="en-US" w:eastAsia="zh-CN"/>
        </w:rPr>
        <w:lastRenderedPageBreak/>
        <w:t>PIK3CA mutation advanced breast cancer. The key secondary end point was overall survival (OS) for patients with PIK3CA mutation status.</w:t>
      </w:r>
    </w:p>
    <w:p w14:paraId="1B4BDC5A" w14:textId="6C38FEC4" w:rsidR="003031BC" w:rsidRDefault="003031BC" w:rsidP="009A6094">
      <w:pPr>
        <w:autoSpaceDE/>
        <w:autoSpaceDN/>
        <w:adjustRightInd/>
        <w:spacing w:line="240" w:lineRule="auto"/>
        <w:ind w:left="357"/>
        <w:rPr>
          <w:rFonts w:eastAsia="MS Mincho"/>
          <w:i/>
          <w:iCs/>
          <w:szCs w:val="20"/>
          <w:lang w:val="en-US" w:eastAsia="zh-CN"/>
        </w:rPr>
      </w:pPr>
      <w:r w:rsidRPr="003031BC">
        <w:rPr>
          <w:rFonts w:eastAsia="MS Mincho"/>
          <w:szCs w:val="20"/>
          <w:lang w:val="en-US" w:eastAsia="zh-CN"/>
        </w:rPr>
        <w:t>Other secondary endpoints included PFS for patients without PIK3CA mutation, OS for patients without PIK3CA mutation, as well as overall response rate (ORR) by PIK3CA cohort</w:t>
      </w:r>
      <w:r w:rsidRPr="003031BC">
        <w:rPr>
          <w:rFonts w:eastAsia="MS Mincho"/>
          <w:i/>
          <w:iCs/>
          <w:szCs w:val="20"/>
          <w:lang w:val="en-US" w:eastAsia="zh-CN"/>
        </w:rPr>
        <w:t>.</w:t>
      </w:r>
    </w:p>
    <w:p w14:paraId="48513AE4" w14:textId="77777777" w:rsidR="003031BC" w:rsidRPr="00CC02C7" w:rsidRDefault="003031BC" w:rsidP="000D5D72">
      <w:pPr>
        <w:widowControl w:val="0"/>
        <w:autoSpaceDE/>
        <w:autoSpaceDN/>
        <w:adjustRightInd/>
        <w:spacing w:after="60" w:line="240" w:lineRule="auto"/>
        <w:ind w:left="357"/>
        <w:rPr>
          <w:rFonts w:eastAsia="MS Mincho"/>
          <w:spacing w:val="20"/>
          <w:szCs w:val="20"/>
          <w:lang w:val="en-US" w:eastAsia="zh-CN"/>
        </w:rPr>
      </w:pPr>
      <w:r w:rsidRPr="00CC02C7">
        <w:rPr>
          <w:rFonts w:eastAsia="MS Mincho"/>
          <w:spacing w:val="20"/>
          <w:szCs w:val="20"/>
          <w:lang w:val="en-US" w:eastAsia="zh-CN"/>
        </w:rPr>
        <w:t>Cohort with PIK3CA mutation</w:t>
      </w:r>
    </w:p>
    <w:p w14:paraId="6F4D20A1" w14:textId="43124EED" w:rsidR="003031BC" w:rsidRPr="003031BC" w:rsidRDefault="003031BC" w:rsidP="00E16761">
      <w:pPr>
        <w:autoSpaceDE/>
        <w:autoSpaceDN/>
        <w:adjustRightInd/>
        <w:spacing w:before="120" w:after="0" w:line="240" w:lineRule="auto"/>
        <w:ind w:left="360"/>
        <w:rPr>
          <w:rFonts w:eastAsia="MS Mincho"/>
          <w:szCs w:val="20"/>
          <w:lang w:val="en-US" w:eastAsia="zh-CN"/>
        </w:rPr>
      </w:pPr>
      <w:r w:rsidRPr="003031BC">
        <w:rPr>
          <w:rFonts w:eastAsia="MS Mincho"/>
          <w:szCs w:val="20"/>
          <w:lang w:val="en-US" w:eastAsia="zh-CN"/>
        </w:rPr>
        <w:t>Patients enrolled with a PIK3CA mutation had a median age of 63 years (range 25 to 92). 44.9</w:t>
      </w:r>
      <w:r w:rsidR="00502656">
        <w:rPr>
          <w:rFonts w:eastAsia="MS Mincho"/>
          <w:szCs w:val="20"/>
          <w:lang w:val="en-US" w:eastAsia="zh-CN"/>
        </w:rPr>
        <w:t xml:space="preserve"> </w:t>
      </w:r>
      <w:r w:rsidRPr="003031BC">
        <w:rPr>
          <w:rFonts w:eastAsia="MS Mincho"/>
          <w:szCs w:val="20"/>
          <w:lang w:val="en-US" w:eastAsia="zh-CN"/>
        </w:rPr>
        <w:t>% patients were 65 years of age or older and &lt;</w:t>
      </w:r>
      <w:r w:rsidR="00502656">
        <w:rPr>
          <w:rFonts w:eastAsia="MS Mincho"/>
          <w:szCs w:val="20"/>
          <w:lang w:val="en-US" w:eastAsia="zh-CN"/>
        </w:rPr>
        <w:t xml:space="preserve"> </w:t>
      </w:r>
      <w:r w:rsidRPr="003031BC">
        <w:rPr>
          <w:rFonts w:eastAsia="MS Mincho"/>
          <w:szCs w:val="20"/>
          <w:lang w:val="en-US" w:eastAsia="zh-CN"/>
        </w:rPr>
        <w:t>85 years. The patients included were White (66.3</w:t>
      </w:r>
      <w:r w:rsidR="00502656">
        <w:rPr>
          <w:rFonts w:eastAsia="MS Mincho"/>
          <w:szCs w:val="20"/>
          <w:lang w:val="en-US" w:eastAsia="zh-CN"/>
        </w:rPr>
        <w:t xml:space="preserve"> </w:t>
      </w:r>
      <w:r w:rsidRPr="003031BC">
        <w:rPr>
          <w:rFonts w:eastAsia="MS Mincho"/>
          <w:szCs w:val="20"/>
          <w:lang w:val="en-US" w:eastAsia="zh-CN"/>
        </w:rPr>
        <w:t>%), Asian (21.7</w:t>
      </w:r>
      <w:r w:rsidR="00502656">
        <w:rPr>
          <w:rFonts w:eastAsia="MS Mincho"/>
          <w:szCs w:val="20"/>
          <w:lang w:val="en-US" w:eastAsia="zh-CN"/>
        </w:rPr>
        <w:t xml:space="preserve"> </w:t>
      </w:r>
      <w:r w:rsidRPr="003031BC">
        <w:rPr>
          <w:rFonts w:eastAsia="MS Mincho"/>
          <w:szCs w:val="20"/>
          <w:lang w:val="en-US" w:eastAsia="zh-CN"/>
        </w:rPr>
        <w:t>%), Black or African American (1.</w:t>
      </w:r>
      <w:r w:rsidRPr="00CC02C7">
        <w:rPr>
          <w:rFonts w:eastAsia="MS Mincho"/>
          <w:szCs w:val="20"/>
          <w:lang w:val="en-US" w:eastAsia="zh-CN"/>
        </w:rPr>
        <w:t>2</w:t>
      </w:r>
      <w:r w:rsidR="00502656">
        <w:rPr>
          <w:rFonts w:eastAsia="MS Mincho"/>
          <w:szCs w:val="20"/>
          <w:lang w:val="en-US" w:eastAsia="zh-CN"/>
        </w:rPr>
        <w:t xml:space="preserve"> </w:t>
      </w:r>
      <w:r w:rsidR="009A6094">
        <w:rPr>
          <w:rFonts w:eastAsia="MS Mincho"/>
          <w:szCs w:val="20"/>
          <w:lang w:val="en-US" w:eastAsia="zh-CN"/>
        </w:rPr>
        <w:t>%).</w:t>
      </w:r>
    </w:p>
    <w:p w14:paraId="7CE9BE97" w14:textId="77777777" w:rsidR="003031BC" w:rsidRPr="003031BC" w:rsidRDefault="003031BC" w:rsidP="00E16761">
      <w:pPr>
        <w:autoSpaceDE/>
        <w:autoSpaceDN/>
        <w:adjustRightInd/>
        <w:spacing w:before="120" w:after="0" w:line="240" w:lineRule="auto"/>
        <w:ind w:left="360"/>
        <w:rPr>
          <w:rFonts w:eastAsia="MS Mincho"/>
          <w:szCs w:val="20"/>
          <w:lang w:val="en-US" w:eastAsia="zh-CN"/>
        </w:rPr>
      </w:pPr>
      <w:r w:rsidRPr="003031BC">
        <w:rPr>
          <w:rFonts w:eastAsia="MS Mincho"/>
          <w:szCs w:val="20"/>
          <w:lang w:val="en-US" w:eastAsia="zh-CN"/>
        </w:rPr>
        <w:t>The median duration of follow-up in the cohort with PIK3CA mutation was 20 months.</w:t>
      </w:r>
    </w:p>
    <w:p w14:paraId="2E419BAC" w14:textId="51661619" w:rsidR="003031BC" w:rsidRDefault="003031BC" w:rsidP="00E16761">
      <w:pPr>
        <w:autoSpaceDE/>
        <w:autoSpaceDN/>
        <w:adjustRightInd/>
        <w:spacing w:before="120" w:after="0" w:line="240" w:lineRule="auto"/>
        <w:ind w:left="360"/>
        <w:rPr>
          <w:rFonts w:eastAsia="MS Mincho"/>
          <w:szCs w:val="20"/>
          <w:lang w:val="en-US" w:eastAsia="zh-CN"/>
        </w:rPr>
      </w:pPr>
      <w:r w:rsidRPr="003031BC">
        <w:rPr>
          <w:rFonts w:eastAsia="MS Mincho"/>
          <w:szCs w:val="20"/>
          <w:lang w:val="en-US" w:eastAsia="zh-CN"/>
        </w:rPr>
        <w:t xml:space="preserve">The efficacy results in the cohort with PIK3CA mutation demonstrated a statistically significant improvement in PFS in patients receiving </w:t>
      </w:r>
      <w:r w:rsidR="00E16761" w:rsidRPr="003031BC">
        <w:rPr>
          <w:rFonts w:eastAsia="MS Mincho"/>
          <w:szCs w:val="20"/>
          <w:lang w:val="en-US" w:eastAsia="zh-CN"/>
        </w:rPr>
        <w:t>PIQRAY</w:t>
      </w:r>
      <w:r w:rsidRPr="003031BC">
        <w:rPr>
          <w:rFonts w:eastAsia="MS Mincho"/>
          <w:szCs w:val="20"/>
          <w:lang w:val="en-US" w:eastAsia="zh-CN"/>
        </w:rPr>
        <w:t xml:space="preserve"> plus </w:t>
      </w:r>
      <w:proofErr w:type="spellStart"/>
      <w:r w:rsidRPr="003031BC">
        <w:rPr>
          <w:rFonts w:eastAsia="MS Mincho"/>
          <w:szCs w:val="20"/>
          <w:lang w:val="en-US" w:eastAsia="zh-CN"/>
        </w:rPr>
        <w:t>fulvestrant</w:t>
      </w:r>
      <w:proofErr w:type="spellEnd"/>
      <w:r w:rsidRPr="003031BC">
        <w:rPr>
          <w:rFonts w:eastAsia="MS Mincho"/>
          <w:szCs w:val="20"/>
          <w:lang w:val="en-US" w:eastAsia="zh-CN"/>
        </w:rPr>
        <w:t xml:space="preserve">, compared to patients receiving placebo plus </w:t>
      </w:r>
      <w:proofErr w:type="spellStart"/>
      <w:r w:rsidRPr="003031BC">
        <w:rPr>
          <w:rFonts w:eastAsia="MS Mincho"/>
          <w:szCs w:val="20"/>
          <w:lang w:val="en-US" w:eastAsia="zh-CN"/>
        </w:rPr>
        <w:t>fulvestrant</w:t>
      </w:r>
      <w:proofErr w:type="spellEnd"/>
      <w:r w:rsidRPr="003031BC">
        <w:rPr>
          <w:rFonts w:eastAsia="MS Mincho"/>
          <w:szCs w:val="20"/>
          <w:lang w:val="en-US" w:eastAsia="zh-CN"/>
        </w:rPr>
        <w:t xml:space="preserve"> (hazard ratio [HR] = 0.65 with 95% CI: 0.50, 0.85, one sided stratified log-rank test p= 0.00065), with an </w:t>
      </w:r>
      <w:r w:rsidRPr="003031BC">
        <w:rPr>
          <w:rFonts w:eastAsia="MS Mincho"/>
          <w:bCs/>
          <w:lang w:val="en-US" w:eastAsia="zh-CN"/>
        </w:rPr>
        <w:t>estimated 35</w:t>
      </w:r>
      <w:r w:rsidR="00502656">
        <w:rPr>
          <w:rFonts w:eastAsia="MS Mincho"/>
          <w:bCs/>
          <w:lang w:val="en-US" w:eastAsia="zh-CN"/>
        </w:rPr>
        <w:t xml:space="preserve"> </w:t>
      </w:r>
      <w:r w:rsidRPr="003031BC">
        <w:rPr>
          <w:rFonts w:eastAsia="MS Mincho"/>
          <w:bCs/>
          <w:lang w:val="en-US" w:eastAsia="zh-CN"/>
        </w:rPr>
        <w:t>% risk reduction of disease progression or death</w:t>
      </w:r>
      <w:r w:rsidRPr="003031BC">
        <w:rPr>
          <w:rFonts w:eastAsia="MS Mincho"/>
          <w:szCs w:val="20"/>
          <w:lang w:val="en-US" w:eastAsia="zh-CN"/>
        </w:rPr>
        <w:t xml:space="preserve">. Efficacy results from the study are summarized in Table </w:t>
      </w:r>
      <w:r w:rsidR="009B4E3C">
        <w:rPr>
          <w:rFonts w:eastAsia="MS Mincho"/>
          <w:szCs w:val="20"/>
          <w:lang w:val="en-US" w:eastAsia="zh-CN"/>
        </w:rPr>
        <w:t>9</w:t>
      </w:r>
      <w:r w:rsidRPr="003031BC">
        <w:rPr>
          <w:rFonts w:eastAsia="MS Mincho"/>
          <w:szCs w:val="20"/>
          <w:lang w:val="en-US" w:eastAsia="zh-CN"/>
        </w:rPr>
        <w:t xml:space="preserve"> and Figure </w:t>
      </w:r>
      <w:r w:rsidR="00802DD1">
        <w:rPr>
          <w:rFonts w:eastAsia="MS Mincho"/>
          <w:szCs w:val="20"/>
          <w:lang w:val="en-US" w:eastAsia="zh-CN"/>
        </w:rPr>
        <w:t>1</w:t>
      </w:r>
      <w:r w:rsidRPr="003031BC">
        <w:rPr>
          <w:rFonts w:eastAsia="MS Mincho"/>
          <w:szCs w:val="20"/>
          <w:lang w:val="en-US" w:eastAsia="zh-CN"/>
        </w:rPr>
        <w:t>.</w:t>
      </w:r>
    </w:p>
    <w:p w14:paraId="5697B593" w14:textId="77777777" w:rsidR="009A6094" w:rsidRDefault="00E76356" w:rsidP="009A6094">
      <w:pPr>
        <w:autoSpaceDE/>
        <w:autoSpaceDN/>
        <w:adjustRightInd/>
        <w:spacing w:before="120" w:after="0" w:line="240" w:lineRule="auto"/>
        <w:ind w:left="360"/>
        <w:rPr>
          <w:rFonts w:eastAsia="MS Mincho"/>
          <w:szCs w:val="20"/>
          <w:lang w:val="en-US" w:eastAsia="zh-CN"/>
        </w:rPr>
      </w:pPr>
      <w:r w:rsidRPr="003031BC">
        <w:rPr>
          <w:rFonts w:eastAsia="MS Mincho"/>
          <w:szCs w:val="20"/>
          <w:lang w:val="en-US" w:eastAsia="zh-CN"/>
        </w:rPr>
        <w:t>Primary PFS results for cohort with PIK3CA mutation were supported by</w:t>
      </w:r>
      <w:r w:rsidR="00B7203B">
        <w:rPr>
          <w:rFonts w:eastAsia="MS Mincho"/>
          <w:szCs w:val="20"/>
          <w:lang w:val="en-US" w:eastAsia="zh-CN"/>
        </w:rPr>
        <w:t xml:space="preserve"> consistent </w:t>
      </w:r>
      <w:r w:rsidRPr="003031BC">
        <w:rPr>
          <w:rFonts w:eastAsia="MS Mincho"/>
          <w:szCs w:val="20"/>
          <w:lang w:val="en-US" w:eastAsia="zh-CN"/>
        </w:rPr>
        <w:t>results from a blinded independent review committee (BIRC) assessment in this cohort</w:t>
      </w:r>
      <w:r>
        <w:rPr>
          <w:rFonts w:eastAsia="MS Mincho"/>
          <w:szCs w:val="20"/>
          <w:lang w:val="en-US" w:eastAsia="zh-CN"/>
        </w:rPr>
        <w:t>.</w:t>
      </w:r>
    </w:p>
    <w:p w14:paraId="4BEDBF7B" w14:textId="14568778" w:rsidR="003031BC" w:rsidRPr="003031BC" w:rsidRDefault="003031BC" w:rsidP="009A6094">
      <w:pPr>
        <w:autoSpaceDE/>
        <w:autoSpaceDN/>
        <w:adjustRightInd/>
        <w:spacing w:before="120" w:after="0" w:line="240" w:lineRule="auto"/>
        <w:ind w:left="360"/>
        <w:rPr>
          <w:rFonts w:eastAsia="MS Mincho"/>
          <w:szCs w:val="20"/>
          <w:lang w:val="en-US" w:eastAsia="zh-CN"/>
        </w:rPr>
      </w:pPr>
      <w:r w:rsidRPr="003031BC">
        <w:rPr>
          <w:rFonts w:eastAsia="MS Mincho"/>
          <w:szCs w:val="20"/>
          <w:lang w:val="en-US" w:eastAsia="zh-CN"/>
        </w:rPr>
        <w:t>At the time of final PFS analysis</w:t>
      </w:r>
      <w:proofErr w:type="gramStart"/>
      <w:r w:rsidRPr="003031BC">
        <w:rPr>
          <w:rFonts w:eastAsia="MS Mincho"/>
          <w:szCs w:val="20"/>
          <w:lang w:val="en-US" w:eastAsia="zh-CN"/>
        </w:rPr>
        <w:t>,</w:t>
      </w:r>
      <w:r w:rsidR="00B7203B">
        <w:rPr>
          <w:rFonts w:eastAsia="MS Mincho"/>
          <w:szCs w:val="20"/>
          <w:lang w:val="en-US" w:eastAsia="zh-CN"/>
        </w:rPr>
        <w:t xml:space="preserve"> </w:t>
      </w:r>
      <w:r w:rsidR="00B7203B" w:rsidRPr="00B7203B">
        <w:rPr>
          <w:lang w:val="en-US" w:eastAsia="en-US"/>
        </w:rPr>
        <w:t xml:space="preserve"> </w:t>
      </w:r>
      <w:r w:rsidR="00B7203B">
        <w:rPr>
          <w:lang w:val="en-US" w:eastAsia="en-US"/>
        </w:rPr>
        <w:t>27</w:t>
      </w:r>
      <w:proofErr w:type="gramEnd"/>
      <w:r w:rsidR="00B7203B">
        <w:rPr>
          <w:lang w:val="en-US" w:eastAsia="en-US"/>
        </w:rPr>
        <w:t>% (92/341) of patients had died, and overall survival follow-up was immature.</w:t>
      </w:r>
      <w:r w:rsidRPr="003031BC">
        <w:rPr>
          <w:rFonts w:eastAsia="MS Mincho"/>
          <w:szCs w:val="20"/>
          <w:lang w:val="en-US" w:eastAsia="zh-CN"/>
        </w:rPr>
        <w:t xml:space="preserve"> The pre-specified O’Brien-Fleming stopping boundary was not crossed at the first interim OS analysis.</w:t>
      </w:r>
    </w:p>
    <w:p w14:paraId="7AD7B423" w14:textId="19A1745A" w:rsidR="003031BC" w:rsidRPr="003031BC" w:rsidRDefault="003031BC" w:rsidP="00E16761">
      <w:pPr>
        <w:autoSpaceDE/>
        <w:autoSpaceDN/>
        <w:adjustRightInd/>
        <w:spacing w:before="120" w:after="0" w:line="240" w:lineRule="auto"/>
        <w:ind w:left="357"/>
        <w:rPr>
          <w:rFonts w:eastAsia="MS Mincho"/>
          <w:bCs/>
          <w:lang w:val="en-US" w:eastAsia="zh-CN"/>
        </w:rPr>
      </w:pPr>
      <w:r w:rsidRPr="003031BC">
        <w:rPr>
          <w:rFonts w:eastAsia="MS Mincho"/>
          <w:bCs/>
          <w:lang w:val="en-US" w:eastAsia="zh-CN"/>
        </w:rPr>
        <w:t xml:space="preserve">Treatment with the combination of </w:t>
      </w:r>
      <w:r w:rsidR="00E16761" w:rsidRPr="003031BC">
        <w:rPr>
          <w:rFonts w:eastAsia="MS Mincho"/>
          <w:bCs/>
          <w:lang w:val="en-US" w:eastAsia="zh-CN"/>
        </w:rPr>
        <w:t>PIQRAY</w:t>
      </w:r>
      <w:r w:rsidRPr="003031BC">
        <w:rPr>
          <w:rFonts w:eastAsia="MS Mincho"/>
          <w:bCs/>
          <w:lang w:val="en-US" w:eastAsia="zh-CN"/>
        </w:rPr>
        <w:t xml:space="preserve"> plus </w:t>
      </w:r>
      <w:proofErr w:type="spellStart"/>
      <w:r w:rsidRPr="003031BC">
        <w:rPr>
          <w:rFonts w:eastAsia="MS Mincho"/>
          <w:bCs/>
          <w:lang w:val="en-US" w:eastAsia="zh-CN"/>
        </w:rPr>
        <w:t>fulvestrant</w:t>
      </w:r>
      <w:proofErr w:type="spellEnd"/>
      <w:r w:rsidRPr="003031BC">
        <w:rPr>
          <w:rFonts w:eastAsia="MS Mincho"/>
          <w:bCs/>
          <w:lang w:val="en-US" w:eastAsia="zh-CN"/>
        </w:rPr>
        <w:t xml:space="preserve"> was associated with improvements in ORR relative to placebo + </w:t>
      </w:r>
      <w:proofErr w:type="spellStart"/>
      <w:r w:rsidRPr="003031BC">
        <w:rPr>
          <w:rFonts w:eastAsia="MS Mincho"/>
          <w:bCs/>
          <w:lang w:val="en-US" w:eastAsia="zh-CN"/>
        </w:rPr>
        <w:t>fulvestrant</w:t>
      </w:r>
      <w:proofErr w:type="spellEnd"/>
      <w:r w:rsidRPr="003031BC">
        <w:rPr>
          <w:rFonts w:eastAsia="MS Mincho"/>
          <w:bCs/>
          <w:lang w:val="en-US" w:eastAsia="zh-CN"/>
        </w:rPr>
        <w:t>. The ORR was 26.6</w:t>
      </w:r>
      <w:r w:rsidR="00502656">
        <w:rPr>
          <w:rFonts w:eastAsia="MS Mincho"/>
          <w:bCs/>
          <w:lang w:val="en-US" w:eastAsia="zh-CN"/>
        </w:rPr>
        <w:t xml:space="preserve"> </w:t>
      </w:r>
      <w:r w:rsidRPr="003031BC">
        <w:rPr>
          <w:rFonts w:eastAsia="MS Mincho"/>
          <w:bCs/>
          <w:lang w:val="en-US" w:eastAsia="zh-CN"/>
        </w:rPr>
        <w:t xml:space="preserve">% (95% CI: 20.1, 34.0) in the </w:t>
      </w:r>
      <w:r w:rsidR="00E16761" w:rsidRPr="003031BC">
        <w:rPr>
          <w:rFonts w:eastAsia="MS Mincho"/>
          <w:bCs/>
          <w:lang w:val="en-US" w:eastAsia="zh-CN"/>
        </w:rPr>
        <w:t xml:space="preserve">PIQRAY </w:t>
      </w:r>
      <w:r w:rsidRPr="003031BC">
        <w:rPr>
          <w:rFonts w:eastAsia="MS Mincho"/>
          <w:bCs/>
          <w:lang w:val="en-US" w:eastAsia="zh-CN"/>
        </w:rPr>
        <w:t xml:space="preserve">plus </w:t>
      </w:r>
      <w:proofErr w:type="spellStart"/>
      <w:r w:rsidRPr="003031BC">
        <w:rPr>
          <w:rFonts w:eastAsia="MS Mincho"/>
          <w:bCs/>
          <w:lang w:val="en-US" w:eastAsia="zh-CN"/>
        </w:rPr>
        <w:t>fulvestrant</w:t>
      </w:r>
      <w:proofErr w:type="spellEnd"/>
      <w:r w:rsidRPr="003031BC">
        <w:rPr>
          <w:rFonts w:eastAsia="MS Mincho"/>
          <w:bCs/>
          <w:lang w:val="en-US" w:eastAsia="zh-CN"/>
        </w:rPr>
        <w:t xml:space="preserve"> arm and 12.8% (95% CI: 8.2, 18.7) in the placebo plus </w:t>
      </w:r>
      <w:proofErr w:type="spellStart"/>
      <w:r w:rsidRPr="003031BC">
        <w:rPr>
          <w:rFonts w:eastAsia="MS Mincho"/>
          <w:bCs/>
          <w:lang w:val="en-US" w:eastAsia="zh-CN"/>
        </w:rPr>
        <w:t>fulvestrant</w:t>
      </w:r>
      <w:proofErr w:type="spellEnd"/>
      <w:r w:rsidRPr="003031BC">
        <w:rPr>
          <w:rFonts w:eastAsia="MS Mincho"/>
          <w:bCs/>
          <w:lang w:val="en-US" w:eastAsia="zh-CN"/>
        </w:rPr>
        <w:t xml:space="preserve"> arm. </w:t>
      </w:r>
      <w:r w:rsidRPr="003031BC">
        <w:rPr>
          <w:rFonts w:eastAsia="MS Mincho"/>
          <w:szCs w:val="20"/>
          <w:lang w:val="en-US" w:eastAsia="zh-CN"/>
        </w:rPr>
        <w:t xml:space="preserve">See Table </w:t>
      </w:r>
      <w:r w:rsidR="009B4E3C">
        <w:rPr>
          <w:rFonts w:eastAsia="MS Mincho"/>
          <w:szCs w:val="20"/>
          <w:lang w:val="en-US" w:eastAsia="zh-CN"/>
        </w:rPr>
        <w:t>10</w:t>
      </w:r>
      <w:r w:rsidRPr="003031BC">
        <w:rPr>
          <w:rFonts w:eastAsia="MS Mincho"/>
          <w:szCs w:val="20"/>
          <w:lang w:val="en-US" w:eastAsia="zh-CN"/>
        </w:rPr>
        <w:t xml:space="preserve"> for details</w:t>
      </w:r>
      <w:r w:rsidRPr="003031BC">
        <w:rPr>
          <w:rFonts w:eastAsia="MS Mincho"/>
          <w:color w:val="0000FF"/>
          <w:szCs w:val="20"/>
          <w:lang w:val="en-US" w:eastAsia="zh-CN"/>
        </w:rPr>
        <w:t>.</w:t>
      </w:r>
    </w:p>
    <w:p w14:paraId="1D4C8681" w14:textId="1E0A719D" w:rsidR="003031BC" w:rsidRPr="001E00E2" w:rsidRDefault="003031BC" w:rsidP="009A6094">
      <w:pPr>
        <w:autoSpaceDE/>
        <w:autoSpaceDN/>
        <w:adjustRightInd/>
        <w:spacing w:before="120" w:line="240" w:lineRule="auto"/>
        <w:ind w:left="357"/>
        <w:rPr>
          <w:rFonts w:eastAsia="MS Mincho"/>
          <w:bCs/>
          <w:lang w:val="en-US" w:eastAsia="zh-CN"/>
        </w:rPr>
      </w:pPr>
      <w:r w:rsidRPr="003031BC">
        <w:rPr>
          <w:rFonts w:eastAsia="MS Mincho"/>
          <w:bCs/>
          <w:lang w:val="en-US" w:eastAsia="zh-CN"/>
        </w:rPr>
        <w:t>For patients with measurable disease at baseline, the ORR was 35.7</w:t>
      </w:r>
      <w:r w:rsidR="00502656">
        <w:rPr>
          <w:rFonts w:eastAsia="MS Mincho"/>
          <w:bCs/>
          <w:lang w:val="en-US" w:eastAsia="zh-CN"/>
        </w:rPr>
        <w:t xml:space="preserve"> </w:t>
      </w:r>
      <w:r w:rsidRPr="003031BC">
        <w:rPr>
          <w:rFonts w:eastAsia="MS Mincho"/>
          <w:bCs/>
          <w:lang w:val="en-US" w:eastAsia="zh-CN"/>
        </w:rPr>
        <w:t xml:space="preserve">% (95% CI: 27.4, 44.7) in the </w:t>
      </w:r>
      <w:r w:rsidR="00E16761" w:rsidRPr="003031BC">
        <w:rPr>
          <w:rFonts w:eastAsia="MS Mincho"/>
          <w:bCs/>
          <w:lang w:val="en-US" w:eastAsia="zh-CN"/>
        </w:rPr>
        <w:t xml:space="preserve">PIQRAY </w:t>
      </w:r>
      <w:r w:rsidRPr="003031BC">
        <w:rPr>
          <w:rFonts w:eastAsia="MS Mincho"/>
          <w:bCs/>
          <w:lang w:val="en-US" w:eastAsia="zh-CN"/>
        </w:rPr>
        <w:t xml:space="preserve">plus </w:t>
      </w:r>
      <w:proofErr w:type="spellStart"/>
      <w:r w:rsidRPr="003031BC">
        <w:rPr>
          <w:rFonts w:eastAsia="MS Mincho"/>
          <w:bCs/>
          <w:lang w:val="en-US" w:eastAsia="zh-CN"/>
        </w:rPr>
        <w:t>fulvestrant</w:t>
      </w:r>
      <w:proofErr w:type="spellEnd"/>
      <w:r w:rsidRPr="003031BC">
        <w:rPr>
          <w:rFonts w:eastAsia="MS Mincho"/>
          <w:bCs/>
          <w:lang w:val="en-US" w:eastAsia="zh-CN"/>
        </w:rPr>
        <w:t xml:space="preserve"> arm and 16.2</w:t>
      </w:r>
      <w:r w:rsidR="00502656">
        <w:rPr>
          <w:rFonts w:eastAsia="MS Mincho"/>
          <w:bCs/>
          <w:lang w:val="en-US" w:eastAsia="zh-CN"/>
        </w:rPr>
        <w:t xml:space="preserve"> </w:t>
      </w:r>
      <w:r w:rsidRPr="003031BC">
        <w:rPr>
          <w:rFonts w:eastAsia="MS Mincho"/>
          <w:bCs/>
          <w:lang w:val="en-US" w:eastAsia="zh-CN"/>
        </w:rPr>
        <w:t xml:space="preserve">% (95% CI: 10.4, 23.5) in the placebo plus </w:t>
      </w:r>
      <w:proofErr w:type="spellStart"/>
      <w:r w:rsidRPr="003031BC">
        <w:rPr>
          <w:rFonts w:eastAsia="MS Mincho"/>
          <w:bCs/>
          <w:lang w:val="en-US" w:eastAsia="zh-CN"/>
        </w:rPr>
        <w:t>fulvestrant</w:t>
      </w:r>
      <w:proofErr w:type="spellEnd"/>
      <w:r w:rsidRPr="003031BC">
        <w:rPr>
          <w:rFonts w:eastAsia="MS Mincho"/>
          <w:bCs/>
          <w:lang w:val="en-US" w:eastAsia="zh-CN"/>
        </w:rPr>
        <w:t xml:space="preserve"> arm</w:t>
      </w:r>
      <w:r w:rsidR="001E00E2">
        <w:rPr>
          <w:rFonts w:eastAsia="MS Mincho"/>
          <w:bCs/>
          <w:lang w:val="en-US" w:eastAsia="zh-CN"/>
        </w:rPr>
        <w:t>.</w:t>
      </w:r>
    </w:p>
    <w:p w14:paraId="35008A76" w14:textId="43BBD3F7" w:rsidR="003031BC" w:rsidRPr="00CC02C7" w:rsidRDefault="003031BC" w:rsidP="002B6B22">
      <w:pPr>
        <w:keepNext/>
        <w:widowControl w:val="0"/>
        <w:autoSpaceDE/>
        <w:autoSpaceDN/>
        <w:adjustRightInd/>
        <w:spacing w:after="60" w:line="240" w:lineRule="auto"/>
        <w:ind w:left="357"/>
        <w:rPr>
          <w:rFonts w:eastAsia="MS Mincho"/>
          <w:spacing w:val="20"/>
          <w:szCs w:val="20"/>
          <w:lang w:val="en-US" w:eastAsia="zh-CN"/>
        </w:rPr>
      </w:pPr>
      <w:r w:rsidRPr="00CC02C7">
        <w:rPr>
          <w:rFonts w:eastAsia="MS Mincho"/>
          <w:spacing w:val="20"/>
          <w:szCs w:val="20"/>
          <w:lang w:val="en-US" w:eastAsia="zh-CN"/>
        </w:rPr>
        <w:t>Cohort without PIK3CA mutation</w:t>
      </w:r>
    </w:p>
    <w:p w14:paraId="363AD2ED" w14:textId="3C836F0F" w:rsidR="005D0C14" w:rsidRDefault="003031BC" w:rsidP="002B6B22">
      <w:pPr>
        <w:keepNext/>
        <w:widowControl w:val="0"/>
        <w:autoSpaceDE/>
        <w:autoSpaceDN/>
        <w:adjustRightInd/>
        <w:spacing w:after="60" w:line="240" w:lineRule="auto"/>
        <w:ind w:left="357"/>
        <w:rPr>
          <w:rFonts w:eastAsia="MS Mincho"/>
          <w:spacing w:val="20"/>
          <w:szCs w:val="20"/>
          <w:lang w:val="en-US" w:eastAsia="zh-CN"/>
        </w:rPr>
      </w:pPr>
      <w:r w:rsidRPr="003031BC">
        <w:rPr>
          <w:rFonts w:eastAsia="MS Mincho"/>
          <w:szCs w:val="20"/>
          <w:lang w:val="en-US" w:eastAsia="zh-CN"/>
        </w:rPr>
        <w:t xml:space="preserve">The proof of concept criteria to conclude a treatment benefit with </w:t>
      </w:r>
      <w:r w:rsidR="00E16761" w:rsidRPr="003031BC">
        <w:rPr>
          <w:rFonts w:eastAsia="MS Mincho"/>
          <w:szCs w:val="20"/>
          <w:lang w:val="en-US" w:eastAsia="zh-CN"/>
        </w:rPr>
        <w:t xml:space="preserve">PIQRAY </w:t>
      </w:r>
      <w:r w:rsidRPr="003031BC">
        <w:rPr>
          <w:rFonts w:eastAsia="MS Mincho"/>
          <w:szCs w:val="20"/>
          <w:lang w:val="en-US" w:eastAsia="zh-CN"/>
        </w:rPr>
        <w:t xml:space="preserve">and </w:t>
      </w:r>
      <w:proofErr w:type="spellStart"/>
      <w:r w:rsidRPr="003031BC">
        <w:rPr>
          <w:rFonts w:eastAsia="MS Mincho"/>
          <w:szCs w:val="20"/>
          <w:lang w:val="en-US" w:eastAsia="zh-CN"/>
        </w:rPr>
        <w:t>fulvestrant</w:t>
      </w:r>
      <w:proofErr w:type="spellEnd"/>
      <w:r w:rsidRPr="003031BC">
        <w:rPr>
          <w:rFonts w:eastAsia="MS Mincho"/>
          <w:szCs w:val="20"/>
          <w:lang w:val="en-US" w:eastAsia="zh-CN"/>
        </w:rPr>
        <w:t xml:space="preserve"> with respect to PFS in subjects in the PIK3CA non-mutant cohort were not met (HR = 0.85; 95% CI: 0.58, 1.25) (see sectio</w:t>
      </w:r>
      <w:r w:rsidR="009A6094">
        <w:rPr>
          <w:rFonts w:eastAsia="MS Mincho"/>
          <w:szCs w:val="20"/>
          <w:lang w:val="en-US" w:eastAsia="zh-CN"/>
        </w:rPr>
        <w:t>n 4 Dosage and administration).</w:t>
      </w:r>
    </w:p>
    <w:p w14:paraId="52365F22" w14:textId="16E30C14" w:rsidR="00A7383D" w:rsidRDefault="003031BC" w:rsidP="000D5D72">
      <w:pPr>
        <w:keepNext/>
        <w:keepLines/>
        <w:autoSpaceDE/>
        <w:autoSpaceDN/>
        <w:adjustRightInd/>
        <w:spacing w:before="240" w:after="60" w:line="240" w:lineRule="auto"/>
        <w:ind w:left="357"/>
        <w:jc w:val="left"/>
        <w:outlineLvl w:val="5"/>
        <w:rPr>
          <w:rFonts w:ascii="Arial" w:eastAsia="MS Gothic" w:hAnsi="Arial" w:cs="Arial"/>
          <w:b/>
          <w:sz w:val="22"/>
          <w:szCs w:val="20"/>
          <w:lang w:val="en-US" w:eastAsia="zh-CN"/>
        </w:rPr>
      </w:pPr>
      <w:bookmarkStart w:id="29" w:name="_Toc423461843"/>
      <w:bookmarkStart w:id="30" w:name="_Toc528238090"/>
      <w:bookmarkStart w:id="31" w:name="_Toc533089099"/>
      <w:r w:rsidRPr="003031BC">
        <w:rPr>
          <w:rFonts w:ascii="Arial" w:eastAsia="MS Gothic" w:hAnsi="Arial" w:cs="Arial"/>
          <w:b/>
          <w:sz w:val="22"/>
          <w:szCs w:val="20"/>
          <w:lang w:val="en-US" w:eastAsia="zh-CN"/>
        </w:rPr>
        <w:t xml:space="preserve">Table </w:t>
      </w:r>
      <w:r w:rsidR="005A1564">
        <w:rPr>
          <w:rFonts w:ascii="Arial" w:eastAsia="MS Gothic" w:hAnsi="Arial" w:cs="Arial"/>
          <w:b/>
          <w:sz w:val="22"/>
          <w:szCs w:val="20"/>
          <w:lang w:val="en-US" w:eastAsia="zh-CN"/>
        </w:rPr>
        <w:t>9</w:t>
      </w:r>
      <w:r w:rsidR="00A7383D">
        <w:rPr>
          <w:rFonts w:ascii="Arial" w:eastAsia="MS Gothic" w:hAnsi="Arial" w:cs="Arial"/>
          <w:b/>
          <w:sz w:val="22"/>
          <w:szCs w:val="20"/>
          <w:lang w:val="en-US" w:eastAsia="zh-CN"/>
        </w:rPr>
        <w:t xml:space="preserve"> </w:t>
      </w:r>
      <w:r w:rsidR="00A7383D">
        <w:rPr>
          <w:rFonts w:ascii="Arial" w:eastAsia="MS Gothic" w:hAnsi="Arial" w:cs="Arial"/>
          <w:b/>
          <w:sz w:val="22"/>
          <w:szCs w:val="20"/>
          <w:lang w:val="en-US" w:eastAsia="zh-CN"/>
        </w:rPr>
        <w:tab/>
      </w:r>
      <w:r w:rsidRPr="003031BC">
        <w:rPr>
          <w:rFonts w:ascii="Arial" w:eastAsia="MS Gothic" w:hAnsi="Arial" w:cs="Arial"/>
          <w:b/>
          <w:sz w:val="22"/>
          <w:szCs w:val="20"/>
          <w:lang w:val="en-US" w:eastAsia="zh-CN"/>
        </w:rPr>
        <w:t>C2301- Summary of efficacy results based on RECIST criteria</w:t>
      </w:r>
      <w:bookmarkEnd w:id="29"/>
      <w:r w:rsidRPr="003031BC">
        <w:rPr>
          <w:rFonts w:ascii="Arial" w:eastAsia="MS Gothic" w:hAnsi="Arial" w:cs="Arial"/>
          <w:b/>
          <w:sz w:val="22"/>
          <w:szCs w:val="20"/>
          <w:lang w:val="en-US" w:eastAsia="zh-CN"/>
        </w:rPr>
        <w:t xml:space="preserve"> (cohort</w:t>
      </w:r>
      <w:r w:rsidR="000D5D72">
        <w:rPr>
          <w:rFonts w:ascii="Arial" w:eastAsia="MS Gothic" w:hAnsi="Arial" w:cs="Arial"/>
          <w:b/>
          <w:sz w:val="22"/>
          <w:szCs w:val="20"/>
          <w:lang w:val="en-US" w:eastAsia="zh-CN"/>
        </w:rPr>
        <w:t xml:space="preserve"> </w:t>
      </w:r>
      <w:r w:rsidRPr="003031BC">
        <w:rPr>
          <w:rFonts w:ascii="Arial" w:eastAsia="MS Gothic" w:hAnsi="Arial" w:cs="Arial"/>
          <w:b/>
          <w:sz w:val="22"/>
          <w:szCs w:val="20"/>
          <w:lang w:val="en-US" w:eastAsia="zh-CN"/>
        </w:rPr>
        <w:t xml:space="preserve">with </w:t>
      </w:r>
    </w:p>
    <w:p w14:paraId="77532CB3" w14:textId="66F3687B" w:rsidR="003031BC" w:rsidRPr="003031BC" w:rsidRDefault="00A7383D" w:rsidP="00A7383D">
      <w:pPr>
        <w:keepNext/>
        <w:keepLines/>
        <w:autoSpaceDE/>
        <w:autoSpaceDN/>
        <w:adjustRightInd/>
        <w:spacing w:after="60" w:line="240" w:lineRule="auto"/>
        <w:ind w:left="357"/>
        <w:jc w:val="left"/>
        <w:outlineLvl w:val="5"/>
        <w:rPr>
          <w:rFonts w:ascii="Arial" w:eastAsia="MS Gothic" w:hAnsi="Arial" w:cs="Arial"/>
          <w:b/>
          <w:sz w:val="22"/>
          <w:szCs w:val="20"/>
          <w:lang w:val="en-US" w:eastAsia="zh-CN"/>
        </w:rPr>
      </w:pPr>
      <w:r>
        <w:rPr>
          <w:rFonts w:ascii="Arial" w:eastAsia="MS Gothic" w:hAnsi="Arial" w:cs="Arial"/>
          <w:b/>
          <w:sz w:val="22"/>
          <w:szCs w:val="20"/>
          <w:lang w:val="en-US" w:eastAsia="zh-CN"/>
        </w:rPr>
        <w:tab/>
      </w:r>
      <w:r>
        <w:rPr>
          <w:rFonts w:ascii="Arial" w:eastAsia="MS Gothic" w:hAnsi="Arial" w:cs="Arial"/>
          <w:b/>
          <w:sz w:val="22"/>
          <w:szCs w:val="20"/>
          <w:lang w:val="en-US" w:eastAsia="zh-CN"/>
        </w:rPr>
        <w:tab/>
      </w:r>
      <w:r w:rsidR="003031BC" w:rsidRPr="003031BC">
        <w:rPr>
          <w:rFonts w:ascii="Arial" w:eastAsia="MS Gothic" w:hAnsi="Arial" w:cs="Arial"/>
          <w:b/>
          <w:sz w:val="22"/>
          <w:szCs w:val="20"/>
          <w:lang w:val="en-US" w:eastAsia="zh-CN"/>
        </w:rPr>
        <w:t>PIK3CA mutation)</w:t>
      </w:r>
      <w:bookmarkEnd w:id="30"/>
      <w:bookmarkEnd w:id="31"/>
    </w:p>
    <w:tbl>
      <w:tblPr>
        <w:tblW w:w="8046" w:type="dxa"/>
        <w:tblInd w:w="171"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2659"/>
        <w:gridCol w:w="1560"/>
        <w:gridCol w:w="1559"/>
        <w:gridCol w:w="1276"/>
        <w:gridCol w:w="992"/>
      </w:tblGrid>
      <w:tr w:rsidR="003031BC" w:rsidRPr="003031BC" w14:paraId="4F161A0E" w14:textId="77777777" w:rsidTr="00502656">
        <w:trPr>
          <w:tblHeader/>
        </w:trPr>
        <w:tc>
          <w:tcPr>
            <w:tcW w:w="2659" w:type="dxa"/>
            <w:shd w:val="clear" w:color="auto" w:fill="auto"/>
          </w:tcPr>
          <w:p w14:paraId="4CE6B873" w14:textId="77777777" w:rsidR="003031BC" w:rsidRPr="003031BC" w:rsidRDefault="003031BC" w:rsidP="003031BC">
            <w:pPr>
              <w:keepLines/>
              <w:tabs>
                <w:tab w:val="left" w:pos="284"/>
              </w:tabs>
              <w:autoSpaceDE/>
              <w:autoSpaceDN/>
              <w:adjustRightInd/>
              <w:spacing w:before="40" w:after="20" w:line="240" w:lineRule="auto"/>
              <w:jc w:val="left"/>
              <w:rPr>
                <w:rFonts w:ascii="Arial" w:eastAsia="MS Mincho" w:hAnsi="Arial" w:cs="Arial"/>
                <w:b/>
                <w:sz w:val="20"/>
                <w:lang w:val="en-US" w:eastAsia="zh-CN"/>
              </w:rPr>
            </w:pPr>
          </w:p>
        </w:tc>
        <w:tc>
          <w:tcPr>
            <w:tcW w:w="1560" w:type="dxa"/>
            <w:shd w:val="clear" w:color="auto" w:fill="auto"/>
          </w:tcPr>
          <w:p w14:paraId="4A3F037F" w14:textId="2C0A9CCC" w:rsidR="003031BC" w:rsidRPr="003031BC" w:rsidRDefault="00E16761" w:rsidP="003031BC">
            <w:pPr>
              <w:keepLines/>
              <w:tabs>
                <w:tab w:val="left" w:pos="284"/>
              </w:tabs>
              <w:autoSpaceDE/>
              <w:autoSpaceDN/>
              <w:adjustRightInd/>
              <w:spacing w:before="40" w:after="20" w:line="240" w:lineRule="auto"/>
              <w:jc w:val="left"/>
              <w:rPr>
                <w:rFonts w:ascii="Arial" w:eastAsia="MS Mincho" w:hAnsi="Arial" w:cs="Arial"/>
                <w:b/>
                <w:bCs/>
                <w:sz w:val="20"/>
                <w:lang w:val="en-US" w:eastAsia="zh-CN"/>
              </w:rPr>
            </w:pPr>
            <w:r w:rsidRPr="003031BC">
              <w:rPr>
                <w:rFonts w:ascii="Arial" w:eastAsia="MS Mincho" w:hAnsi="Arial" w:cs="Arial"/>
                <w:b/>
                <w:bCs/>
                <w:sz w:val="20"/>
                <w:lang w:val="en-US" w:eastAsia="zh-CN"/>
              </w:rPr>
              <w:t xml:space="preserve">PIQRAY </w:t>
            </w:r>
            <w:r w:rsidR="003031BC" w:rsidRPr="003031BC">
              <w:rPr>
                <w:rFonts w:ascii="Arial" w:eastAsia="MS Mincho" w:hAnsi="Arial" w:cs="Arial"/>
                <w:b/>
                <w:bCs/>
                <w:sz w:val="20"/>
                <w:lang w:val="en-US" w:eastAsia="zh-CN"/>
              </w:rPr>
              <w:t xml:space="preserve">+ </w:t>
            </w:r>
            <w:proofErr w:type="spellStart"/>
            <w:r w:rsidR="003031BC" w:rsidRPr="003031BC">
              <w:rPr>
                <w:rFonts w:ascii="Arial" w:eastAsia="MS Mincho" w:hAnsi="Arial" w:cs="Arial"/>
                <w:b/>
                <w:bCs/>
                <w:sz w:val="20"/>
                <w:lang w:val="en-US" w:eastAsia="zh-CN"/>
              </w:rPr>
              <w:t>Fulvestrant</w:t>
            </w:r>
            <w:proofErr w:type="spellEnd"/>
          </w:p>
          <w:p w14:paraId="6E75F24E" w14:textId="77777777" w:rsidR="003031BC" w:rsidRPr="003031BC" w:rsidRDefault="003031BC" w:rsidP="003031BC">
            <w:pPr>
              <w:keepLines/>
              <w:tabs>
                <w:tab w:val="left" w:pos="284"/>
              </w:tabs>
              <w:autoSpaceDE/>
              <w:autoSpaceDN/>
              <w:adjustRightInd/>
              <w:spacing w:before="40" w:after="20" w:line="240" w:lineRule="auto"/>
              <w:jc w:val="left"/>
              <w:rPr>
                <w:rFonts w:ascii="Arial" w:eastAsia="MS Mincho" w:hAnsi="Arial" w:cs="Arial"/>
                <w:b/>
                <w:sz w:val="20"/>
                <w:lang w:val="en-US" w:eastAsia="zh-CN"/>
              </w:rPr>
            </w:pPr>
            <w:r w:rsidRPr="003031BC">
              <w:rPr>
                <w:rFonts w:ascii="Arial" w:eastAsia="MS Mincho" w:hAnsi="Arial" w:cs="Arial"/>
                <w:b/>
                <w:bCs/>
                <w:sz w:val="20"/>
                <w:lang w:val="en-US" w:eastAsia="zh-CN"/>
              </w:rPr>
              <w:t xml:space="preserve">(n=169) </w:t>
            </w:r>
          </w:p>
        </w:tc>
        <w:tc>
          <w:tcPr>
            <w:tcW w:w="1559" w:type="dxa"/>
            <w:shd w:val="clear" w:color="auto" w:fill="auto"/>
          </w:tcPr>
          <w:p w14:paraId="3DDD8C01" w14:textId="77777777" w:rsidR="003031BC" w:rsidRPr="003031BC" w:rsidRDefault="003031BC" w:rsidP="003031BC">
            <w:pPr>
              <w:keepLines/>
              <w:tabs>
                <w:tab w:val="left" w:pos="284"/>
              </w:tabs>
              <w:autoSpaceDE/>
              <w:autoSpaceDN/>
              <w:adjustRightInd/>
              <w:spacing w:before="40" w:after="20" w:line="240" w:lineRule="auto"/>
              <w:jc w:val="left"/>
              <w:rPr>
                <w:rFonts w:ascii="Arial" w:eastAsia="MS Mincho" w:hAnsi="Arial" w:cs="Arial"/>
                <w:b/>
                <w:bCs/>
                <w:sz w:val="20"/>
                <w:lang w:val="en-US" w:eastAsia="zh-CN"/>
              </w:rPr>
            </w:pPr>
            <w:r w:rsidRPr="003031BC">
              <w:rPr>
                <w:rFonts w:ascii="Arial" w:eastAsia="MS Mincho" w:hAnsi="Arial" w:cs="Arial"/>
                <w:b/>
                <w:bCs/>
                <w:sz w:val="20"/>
                <w:lang w:val="en-US" w:eastAsia="zh-CN"/>
              </w:rPr>
              <w:t xml:space="preserve">Placebo + </w:t>
            </w:r>
            <w:proofErr w:type="spellStart"/>
            <w:r w:rsidRPr="003031BC">
              <w:rPr>
                <w:rFonts w:ascii="Arial" w:eastAsia="MS Mincho" w:hAnsi="Arial" w:cs="Arial"/>
                <w:b/>
                <w:bCs/>
                <w:sz w:val="20"/>
                <w:lang w:val="en-US" w:eastAsia="zh-CN"/>
              </w:rPr>
              <w:t>Fulvestrant</w:t>
            </w:r>
            <w:proofErr w:type="spellEnd"/>
          </w:p>
          <w:p w14:paraId="7750CAF7" w14:textId="77777777" w:rsidR="003031BC" w:rsidRPr="003031BC" w:rsidRDefault="003031BC" w:rsidP="003031BC">
            <w:pPr>
              <w:keepLines/>
              <w:tabs>
                <w:tab w:val="left" w:pos="284"/>
              </w:tabs>
              <w:autoSpaceDE/>
              <w:autoSpaceDN/>
              <w:adjustRightInd/>
              <w:spacing w:before="40" w:after="20" w:line="240" w:lineRule="auto"/>
              <w:jc w:val="left"/>
              <w:rPr>
                <w:rFonts w:ascii="Arial" w:eastAsia="MS Mincho" w:hAnsi="Arial" w:cs="Arial"/>
                <w:b/>
                <w:sz w:val="20"/>
                <w:lang w:val="en-US" w:eastAsia="zh-CN"/>
              </w:rPr>
            </w:pPr>
            <w:r w:rsidRPr="003031BC">
              <w:rPr>
                <w:rFonts w:ascii="Arial" w:eastAsia="MS Mincho" w:hAnsi="Arial" w:cs="Arial"/>
                <w:b/>
                <w:bCs/>
                <w:sz w:val="20"/>
                <w:lang w:val="en-US" w:eastAsia="zh-CN"/>
              </w:rPr>
              <w:t xml:space="preserve">(n=172) </w:t>
            </w:r>
          </w:p>
        </w:tc>
        <w:tc>
          <w:tcPr>
            <w:tcW w:w="1276" w:type="dxa"/>
          </w:tcPr>
          <w:p w14:paraId="7187664E" w14:textId="77777777" w:rsidR="003031BC" w:rsidRPr="003031BC" w:rsidRDefault="003031BC" w:rsidP="003031BC">
            <w:pPr>
              <w:keepLines/>
              <w:tabs>
                <w:tab w:val="left" w:pos="284"/>
              </w:tabs>
              <w:autoSpaceDE/>
              <w:autoSpaceDN/>
              <w:adjustRightInd/>
              <w:spacing w:before="40" w:after="20" w:line="240" w:lineRule="auto"/>
              <w:jc w:val="left"/>
              <w:rPr>
                <w:rFonts w:ascii="Arial" w:eastAsia="MS Mincho" w:hAnsi="Arial" w:cs="Arial"/>
                <w:b/>
                <w:bCs/>
                <w:sz w:val="20"/>
                <w:lang w:val="en-US" w:eastAsia="zh-CN"/>
              </w:rPr>
            </w:pPr>
            <w:r w:rsidRPr="003031BC">
              <w:rPr>
                <w:rFonts w:ascii="Arial" w:eastAsia="MS Mincho" w:hAnsi="Arial" w:cs="Arial"/>
                <w:b/>
                <w:bCs/>
                <w:sz w:val="20"/>
                <w:lang w:val="en-US" w:eastAsia="zh-CN"/>
              </w:rPr>
              <w:t>Hazard ratio (HR)</w:t>
            </w:r>
          </w:p>
        </w:tc>
        <w:tc>
          <w:tcPr>
            <w:tcW w:w="992" w:type="dxa"/>
          </w:tcPr>
          <w:p w14:paraId="726CB2D9" w14:textId="77777777" w:rsidR="003031BC" w:rsidRPr="003031BC" w:rsidRDefault="003031BC" w:rsidP="003031BC">
            <w:pPr>
              <w:keepLines/>
              <w:tabs>
                <w:tab w:val="left" w:pos="284"/>
              </w:tabs>
              <w:autoSpaceDE/>
              <w:autoSpaceDN/>
              <w:adjustRightInd/>
              <w:spacing w:before="40" w:after="20" w:line="240" w:lineRule="auto"/>
              <w:jc w:val="left"/>
              <w:rPr>
                <w:rFonts w:ascii="Arial" w:eastAsia="MS Mincho" w:hAnsi="Arial" w:cs="Arial"/>
                <w:b/>
                <w:bCs/>
                <w:sz w:val="20"/>
                <w:lang w:val="en-US" w:eastAsia="zh-CN"/>
              </w:rPr>
            </w:pPr>
            <w:r w:rsidRPr="003031BC">
              <w:rPr>
                <w:rFonts w:ascii="Arial" w:eastAsia="MS Mincho" w:hAnsi="Arial" w:cs="Arial"/>
                <w:b/>
                <w:bCs/>
                <w:sz w:val="20"/>
                <w:lang w:val="en-US" w:eastAsia="zh-CN"/>
              </w:rPr>
              <w:t>p-</w:t>
            </w:r>
            <w:proofErr w:type="spellStart"/>
            <w:r w:rsidRPr="003031BC">
              <w:rPr>
                <w:rFonts w:ascii="Arial" w:eastAsia="MS Mincho" w:hAnsi="Arial" w:cs="Arial"/>
                <w:b/>
                <w:bCs/>
                <w:sz w:val="20"/>
                <w:lang w:val="en-US" w:eastAsia="zh-CN"/>
              </w:rPr>
              <w:t>value</w:t>
            </w:r>
            <w:r w:rsidRPr="003031BC">
              <w:rPr>
                <w:rFonts w:ascii="Arial" w:eastAsia="MS Mincho" w:hAnsi="Arial" w:cs="Arial"/>
                <w:b/>
                <w:bCs/>
                <w:sz w:val="20"/>
                <w:vertAlign w:val="superscript"/>
                <w:lang w:val="en-US" w:eastAsia="zh-CN"/>
              </w:rPr>
              <w:t>a</w:t>
            </w:r>
            <w:proofErr w:type="spellEnd"/>
          </w:p>
        </w:tc>
      </w:tr>
      <w:tr w:rsidR="003031BC" w:rsidRPr="003031BC" w14:paraId="76AF2E6C" w14:textId="77777777" w:rsidTr="00502656">
        <w:tc>
          <w:tcPr>
            <w:tcW w:w="8046" w:type="dxa"/>
            <w:gridSpan w:val="5"/>
            <w:shd w:val="clear" w:color="auto" w:fill="auto"/>
          </w:tcPr>
          <w:p w14:paraId="1DF2623B" w14:textId="77777777" w:rsidR="003031BC" w:rsidRPr="003031BC" w:rsidRDefault="003031BC" w:rsidP="003031BC">
            <w:pPr>
              <w:keepLines/>
              <w:tabs>
                <w:tab w:val="left" w:pos="284"/>
              </w:tabs>
              <w:autoSpaceDE/>
              <w:autoSpaceDN/>
              <w:adjustRightInd/>
              <w:spacing w:before="40" w:after="20" w:line="240" w:lineRule="auto"/>
              <w:jc w:val="left"/>
              <w:rPr>
                <w:rFonts w:ascii="Arial" w:eastAsia="MS Mincho" w:hAnsi="Arial" w:cs="Arial"/>
                <w:b/>
                <w:bCs/>
                <w:sz w:val="20"/>
                <w:lang w:val="en-US" w:eastAsia="zh-CN"/>
              </w:rPr>
            </w:pPr>
            <w:r w:rsidRPr="003031BC">
              <w:rPr>
                <w:rFonts w:ascii="Arial" w:eastAsia="MS Mincho" w:hAnsi="Arial" w:cs="Arial"/>
                <w:b/>
                <w:bCs/>
                <w:sz w:val="20"/>
                <w:lang w:val="en-US" w:eastAsia="zh-CN"/>
              </w:rPr>
              <w:t>Median progression free survival (</w:t>
            </w:r>
            <w:proofErr w:type="spellStart"/>
            <w:r w:rsidRPr="003031BC">
              <w:rPr>
                <w:rFonts w:ascii="Arial" w:eastAsia="MS Mincho" w:hAnsi="Arial" w:cs="Arial"/>
                <w:b/>
                <w:bCs/>
                <w:sz w:val="20"/>
                <w:lang w:val="en-US" w:eastAsia="zh-CN"/>
              </w:rPr>
              <w:t>PFS</w:t>
            </w:r>
            <w:r w:rsidRPr="003031BC">
              <w:rPr>
                <w:rFonts w:ascii="Arial" w:eastAsia="MS Mincho" w:hAnsi="Arial" w:cs="Arial"/>
                <w:b/>
                <w:bCs/>
                <w:sz w:val="20"/>
                <w:vertAlign w:val="superscript"/>
                <w:lang w:val="en-US" w:eastAsia="zh-CN"/>
              </w:rPr>
              <w:t>a</w:t>
            </w:r>
            <w:proofErr w:type="spellEnd"/>
            <w:r w:rsidRPr="003031BC">
              <w:rPr>
                <w:rFonts w:ascii="Arial" w:eastAsia="MS Mincho" w:hAnsi="Arial" w:cs="Arial"/>
                <w:b/>
                <w:bCs/>
                <w:sz w:val="20"/>
                <w:lang w:val="en-US" w:eastAsia="zh-CN"/>
              </w:rPr>
              <w:t>) (months, 95% CI)</w:t>
            </w:r>
          </w:p>
        </w:tc>
      </w:tr>
      <w:tr w:rsidR="003031BC" w:rsidRPr="003031BC" w14:paraId="1F5E1502" w14:textId="77777777" w:rsidTr="00502656">
        <w:tc>
          <w:tcPr>
            <w:tcW w:w="8046" w:type="dxa"/>
            <w:gridSpan w:val="5"/>
            <w:shd w:val="clear" w:color="auto" w:fill="auto"/>
          </w:tcPr>
          <w:p w14:paraId="3994DFE5" w14:textId="77777777" w:rsidR="003031BC" w:rsidRPr="003031BC" w:rsidRDefault="003031BC" w:rsidP="003031BC">
            <w:pPr>
              <w:keepLines/>
              <w:tabs>
                <w:tab w:val="left" w:pos="284"/>
              </w:tabs>
              <w:autoSpaceDE/>
              <w:autoSpaceDN/>
              <w:adjustRightInd/>
              <w:spacing w:before="40" w:after="20" w:line="240" w:lineRule="auto"/>
              <w:jc w:val="left"/>
              <w:rPr>
                <w:rFonts w:ascii="Arial" w:eastAsia="MS Mincho" w:hAnsi="Arial" w:cs="Arial"/>
                <w:i/>
                <w:iCs/>
                <w:sz w:val="20"/>
                <w:lang w:val="en-US" w:eastAsia="zh-CN"/>
              </w:rPr>
            </w:pPr>
            <w:r w:rsidRPr="003031BC">
              <w:rPr>
                <w:rFonts w:ascii="Arial" w:eastAsia="MS Mincho" w:hAnsi="Arial" w:cs="Arial"/>
                <w:i/>
                <w:iCs/>
                <w:sz w:val="20"/>
                <w:lang w:val="en-US" w:eastAsia="zh-CN"/>
              </w:rPr>
              <w:t xml:space="preserve">Investigator radiological assessment </w:t>
            </w:r>
          </w:p>
        </w:tc>
      </w:tr>
      <w:tr w:rsidR="003031BC" w:rsidRPr="003031BC" w14:paraId="055D53C8" w14:textId="77777777" w:rsidTr="00502656">
        <w:tc>
          <w:tcPr>
            <w:tcW w:w="2659" w:type="dxa"/>
            <w:shd w:val="clear" w:color="auto" w:fill="auto"/>
          </w:tcPr>
          <w:p w14:paraId="7758A5C5" w14:textId="77777777" w:rsidR="003031BC" w:rsidRPr="003031BC" w:rsidRDefault="003031BC" w:rsidP="003031BC">
            <w:pPr>
              <w:keepLines/>
              <w:tabs>
                <w:tab w:val="left" w:pos="284"/>
              </w:tabs>
              <w:autoSpaceDE/>
              <w:autoSpaceDN/>
              <w:adjustRightInd/>
              <w:spacing w:before="40" w:after="20" w:line="240" w:lineRule="auto"/>
              <w:jc w:val="left"/>
              <w:rPr>
                <w:rFonts w:ascii="Arial" w:eastAsia="MS Mincho" w:hAnsi="Arial" w:cs="Arial"/>
                <w:sz w:val="20"/>
                <w:lang w:val="en-US" w:eastAsia="zh-CN"/>
              </w:rPr>
            </w:pPr>
            <w:r w:rsidRPr="003031BC">
              <w:rPr>
                <w:rFonts w:ascii="Arial" w:eastAsia="MS Mincho" w:hAnsi="Arial" w:cs="Arial"/>
                <w:sz w:val="20"/>
                <w:lang w:val="en-US" w:eastAsia="zh-CN"/>
              </w:rPr>
              <w:t xml:space="preserve">PIK3CA mutant cohort (N=341) </w:t>
            </w:r>
          </w:p>
        </w:tc>
        <w:tc>
          <w:tcPr>
            <w:tcW w:w="1560" w:type="dxa"/>
            <w:shd w:val="clear" w:color="auto" w:fill="auto"/>
          </w:tcPr>
          <w:p w14:paraId="1EDC71AD" w14:textId="5EF38833" w:rsidR="003031BC" w:rsidRPr="003031BC" w:rsidRDefault="003031BC" w:rsidP="00EF025D">
            <w:pPr>
              <w:keepLines/>
              <w:tabs>
                <w:tab w:val="left" w:pos="284"/>
              </w:tabs>
              <w:autoSpaceDE/>
              <w:autoSpaceDN/>
              <w:adjustRightInd/>
              <w:spacing w:before="40" w:after="20" w:line="240" w:lineRule="auto"/>
              <w:ind w:right="-45"/>
              <w:jc w:val="center"/>
              <w:rPr>
                <w:rFonts w:ascii="Arial" w:eastAsia="MS Mincho" w:hAnsi="Arial" w:cs="Arial"/>
                <w:sz w:val="20"/>
                <w:lang w:val="en-US" w:eastAsia="zh-CN"/>
              </w:rPr>
            </w:pPr>
            <w:r w:rsidRPr="003031BC">
              <w:rPr>
                <w:rFonts w:ascii="Arial" w:eastAsia="MS Mincho" w:hAnsi="Arial" w:cs="Arial"/>
                <w:sz w:val="20"/>
                <w:lang w:val="en-US" w:eastAsia="zh-CN"/>
              </w:rPr>
              <w:t>11.0</w:t>
            </w:r>
          </w:p>
          <w:p w14:paraId="0A01BE1C" w14:textId="64AAEF1B" w:rsidR="003031BC" w:rsidRPr="003031BC" w:rsidRDefault="003031BC" w:rsidP="00502656">
            <w:pPr>
              <w:keepLines/>
              <w:tabs>
                <w:tab w:val="left" w:pos="284"/>
              </w:tabs>
              <w:autoSpaceDE/>
              <w:autoSpaceDN/>
              <w:adjustRightInd/>
              <w:spacing w:before="40" w:after="20" w:line="240" w:lineRule="auto"/>
              <w:ind w:right="-45"/>
              <w:jc w:val="center"/>
              <w:rPr>
                <w:rFonts w:ascii="Arial" w:eastAsia="MS Mincho" w:hAnsi="Arial" w:cs="Arial"/>
                <w:sz w:val="20"/>
                <w:lang w:val="en-US" w:eastAsia="zh-CN"/>
              </w:rPr>
            </w:pPr>
            <w:r w:rsidRPr="003031BC">
              <w:rPr>
                <w:rFonts w:ascii="Arial" w:eastAsia="MS Mincho" w:hAnsi="Arial" w:cs="Arial"/>
                <w:sz w:val="20"/>
                <w:lang w:val="en-US" w:eastAsia="zh-CN"/>
              </w:rPr>
              <w:t>7.5-14.5</w:t>
            </w:r>
          </w:p>
        </w:tc>
        <w:tc>
          <w:tcPr>
            <w:tcW w:w="1559" w:type="dxa"/>
            <w:shd w:val="clear" w:color="auto" w:fill="auto"/>
          </w:tcPr>
          <w:p w14:paraId="7FE6FDDA" w14:textId="50650D36" w:rsidR="003031BC" w:rsidRPr="003031BC" w:rsidRDefault="003031BC" w:rsidP="00EF025D">
            <w:pPr>
              <w:keepLines/>
              <w:tabs>
                <w:tab w:val="left" w:pos="284"/>
              </w:tabs>
              <w:autoSpaceDE/>
              <w:autoSpaceDN/>
              <w:adjustRightInd/>
              <w:spacing w:before="40" w:after="20" w:line="240" w:lineRule="auto"/>
              <w:ind w:right="-102"/>
              <w:jc w:val="center"/>
              <w:rPr>
                <w:rFonts w:ascii="Arial" w:eastAsia="MS Mincho" w:hAnsi="Arial" w:cs="Arial"/>
                <w:sz w:val="20"/>
                <w:lang w:val="en-US" w:eastAsia="zh-CN"/>
              </w:rPr>
            </w:pPr>
            <w:r w:rsidRPr="003031BC">
              <w:rPr>
                <w:rFonts w:ascii="Arial" w:eastAsia="MS Mincho" w:hAnsi="Arial" w:cs="Arial"/>
                <w:sz w:val="20"/>
                <w:lang w:val="en-US" w:eastAsia="zh-CN"/>
              </w:rPr>
              <w:t>5.7</w:t>
            </w:r>
          </w:p>
          <w:p w14:paraId="5BA5918D" w14:textId="751B1AC4" w:rsidR="003031BC" w:rsidRPr="003031BC" w:rsidRDefault="003031BC" w:rsidP="00502656">
            <w:pPr>
              <w:keepLines/>
              <w:tabs>
                <w:tab w:val="left" w:pos="284"/>
              </w:tabs>
              <w:autoSpaceDE/>
              <w:autoSpaceDN/>
              <w:adjustRightInd/>
              <w:spacing w:before="40" w:after="20" w:line="240" w:lineRule="auto"/>
              <w:ind w:right="-102"/>
              <w:jc w:val="center"/>
              <w:rPr>
                <w:rFonts w:ascii="Arial" w:eastAsia="MS Mincho" w:hAnsi="Arial" w:cs="Arial"/>
                <w:sz w:val="20"/>
                <w:lang w:val="en-US" w:eastAsia="zh-CN"/>
              </w:rPr>
            </w:pPr>
            <w:r w:rsidRPr="003031BC">
              <w:rPr>
                <w:rFonts w:ascii="Arial" w:eastAsia="MS Mincho" w:hAnsi="Arial" w:cs="Arial"/>
                <w:sz w:val="20"/>
                <w:lang w:val="en-US" w:eastAsia="zh-CN"/>
              </w:rPr>
              <w:t>3.7-7.4</w:t>
            </w:r>
          </w:p>
        </w:tc>
        <w:tc>
          <w:tcPr>
            <w:tcW w:w="1276" w:type="dxa"/>
          </w:tcPr>
          <w:p w14:paraId="79CDA3B6" w14:textId="7825C70C" w:rsidR="003031BC" w:rsidRPr="003031BC" w:rsidRDefault="003031BC" w:rsidP="00502656">
            <w:pPr>
              <w:keepLines/>
              <w:tabs>
                <w:tab w:val="left" w:pos="284"/>
              </w:tabs>
              <w:autoSpaceDE/>
              <w:autoSpaceDN/>
              <w:adjustRightInd/>
              <w:spacing w:before="40" w:after="20" w:line="240" w:lineRule="auto"/>
              <w:jc w:val="center"/>
              <w:rPr>
                <w:rFonts w:ascii="Arial" w:eastAsia="MS Mincho" w:hAnsi="Arial" w:cs="Arial"/>
                <w:sz w:val="20"/>
                <w:lang w:val="en-US" w:eastAsia="zh-CN"/>
              </w:rPr>
            </w:pPr>
            <w:r w:rsidRPr="003031BC">
              <w:rPr>
                <w:rFonts w:ascii="Arial" w:eastAsia="MS Mincho" w:hAnsi="Arial" w:cs="Arial"/>
                <w:sz w:val="20"/>
                <w:lang w:val="en-US" w:eastAsia="zh-CN"/>
              </w:rPr>
              <w:t>0.65</w:t>
            </w:r>
            <w:r w:rsidR="00502656">
              <w:rPr>
                <w:rFonts w:ascii="Arial" w:eastAsia="MS Mincho" w:hAnsi="Arial" w:cs="Arial"/>
                <w:sz w:val="20"/>
                <w:lang w:val="en-US" w:eastAsia="zh-CN"/>
              </w:rPr>
              <w:t xml:space="preserve"> </w:t>
            </w:r>
            <w:r w:rsidRPr="003031BC">
              <w:rPr>
                <w:rFonts w:ascii="Arial" w:eastAsia="MS Mincho" w:hAnsi="Arial" w:cs="Arial"/>
                <w:sz w:val="20"/>
                <w:lang w:val="en-US" w:eastAsia="zh-CN"/>
              </w:rPr>
              <w:t xml:space="preserve"> </w:t>
            </w:r>
            <w:r w:rsidR="00502656">
              <w:rPr>
                <w:rFonts w:ascii="Arial" w:eastAsia="MS Mincho" w:hAnsi="Arial" w:cs="Arial"/>
                <w:sz w:val="20"/>
                <w:lang w:val="en-US" w:eastAsia="zh-CN"/>
              </w:rPr>
              <w:t xml:space="preserve">  </w:t>
            </w:r>
            <w:r w:rsidRPr="003031BC">
              <w:rPr>
                <w:rFonts w:ascii="Arial" w:eastAsia="MS Mincho" w:hAnsi="Arial" w:cs="Arial"/>
                <w:sz w:val="20"/>
                <w:lang w:val="en-US" w:eastAsia="zh-CN"/>
              </w:rPr>
              <w:t>0.50-0.85</w:t>
            </w:r>
          </w:p>
        </w:tc>
        <w:tc>
          <w:tcPr>
            <w:tcW w:w="992" w:type="dxa"/>
          </w:tcPr>
          <w:p w14:paraId="610E86FC" w14:textId="77777777" w:rsidR="003031BC" w:rsidRPr="003031BC" w:rsidRDefault="003031BC" w:rsidP="006C4FCD">
            <w:pPr>
              <w:keepLines/>
              <w:tabs>
                <w:tab w:val="left" w:pos="284"/>
              </w:tabs>
              <w:autoSpaceDE/>
              <w:autoSpaceDN/>
              <w:adjustRightInd/>
              <w:spacing w:before="40" w:after="20" w:line="240" w:lineRule="auto"/>
              <w:jc w:val="center"/>
              <w:rPr>
                <w:rFonts w:ascii="Arial" w:eastAsia="MS Mincho" w:hAnsi="Arial" w:cs="Arial"/>
                <w:sz w:val="20"/>
                <w:lang w:val="en-US" w:eastAsia="zh-CN"/>
              </w:rPr>
            </w:pPr>
            <w:r w:rsidRPr="003031BC">
              <w:rPr>
                <w:rFonts w:ascii="Arial" w:eastAsia="MS Mincho" w:hAnsi="Arial" w:cs="Arial"/>
                <w:sz w:val="20"/>
                <w:lang w:val="en-US" w:eastAsia="zh-CN"/>
              </w:rPr>
              <w:t>0.00065</w:t>
            </w:r>
          </w:p>
        </w:tc>
      </w:tr>
    </w:tbl>
    <w:p w14:paraId="49E4DF15" w14:textId="1F5322C0" w:rsidR="003031BC" w:rsidRPr="003031BC" w:rsidRDefault="003031BC" w:rsidP="000D5D72">
      <w:pPr>
        <w:autoSpaceDE/>
        <w:autoSpaceDN/>
        <w:adjustRightInd/>
        <w:spacing w:after="0" w:line="240" w:lineRule="auto"/>
        <w:ind w:left="720"/>
        <w:rPr>
          <w:rFonts w:eastAsia="MS Mincho"/>
          <w:i/>
          <w:szCs w:val="20"/>
          <w:lang w:val="en-US" w:eastAsia="zh-CN"/>
        </w:rPr>
      </w:pPr>
      <w:r w:rsidRPr="003031BC">
        <w:rPr>
          <w:rFonts w:eastAsia="MS Mincho"/>
          <w:i/>
          <w:szCs w:val="20"/>
          <w:lang w:val="en-US" w:eastAsia="zh-CN"/>
        </w:rPr>
        <w:t xml:space="preserve">CI=confidence interval; N=number of patients; </w:t>
      </w:r>
    </w:p>
    <w:p w14:paraId="6C4F15B9" w14:textId="77777777" w:rsidR="003031BC" w:rsidRPr="003031BC" w:rsidRDefault="003031BC" w:rsidP="000D5D72">
      <w:pPr>
        <w:autoSpaceDE/>
        <w:autoSpaceDN/>
        <w:adjustRightInd/>
        <w:spacing w:after="0" w:line="240" w:lineRule="auto"/>
        <w:ind w:left="720"/>
        <w:rPr>
          <w:rFonts w:eastAsia="MS Mincho"/>
          <w:i/>
          <w:szCs w:val="20"/>
          <w:lang w:val="en-US" w:eastAsia="zh-CN"/>
        </w:rPr>
      </w:pPr>
      <w:r w:rsidRPr="003031BC">
        <w:rPr>
          <w:rFonts w:eastAsia="MS Mincho"/>
          <w:i/>
          <w:szCs w:val="20"/>
          <w:lang w:val="en-US" w:eastAsia="zh-CN"/>
        </w:rPr>
        <w:t xml:space="preserve"> </w:t>
      </w:r>
      <w:proofErr w:type="spellStart"/>
      <w:proofErr w:type="gramStart"/>
      <w:r w:rsidRPr="003031BC">
        <w:rPr>
          <w:rFonts w:eastAsia="MS Mincho"/>
          <w:i/>
          <w:szCs w:val="20"/>
          <w:vertAlign w:val="superscript"/>
          <w:lang w:val="en-US" w:eastAsia="zh-CN"/>
        </w:rPr>
        <w:t>a</w:t>
      </w:r>
      <w:r w:rsidRPr="003031BC">
        <w:rPr>
          <w:rFonts w:eastAsia="MS Mincho"/>
          <w:i/>
          <w:szCs w:val="20"/>
          <w:lang w:val="en-US" w:eastAsia="zh-CN"/>
        </w:rPr>
        <w:t>p</w:t>
      </w:r>
      <w:proofErr w:type="spellEnd"/>
      <w:r w:rsidRPr="003031BC">
        <w:rPr>
          <w:rFonts w:eastAsia="MS Mincho"/>
          <w:i/>
          <w:szCs w:val="20"/>
          <w:lang w:val="en-US" w:eastAsia="zh-CN"/>
        </w:rPr>
        <w:t>-value</w:t>
      </w:r>
      <w:proofErr w:type="gramEnd"/>
      <w:r w:rsidRPr="003031BC">
        <w:rPr>
          <w:rFonts w:eastAsia="MS Mincho"/>
          <w:i/>
          <w:szCs w:val="20"/>
          <w:lang w:val="en-US" w:eastAsia="zh-CN"/>
        </w:rPr>
        <w:t xml:space="preserve"> is obtained from the one-sided stratified log-rank test.</w:t>
      </w:r>
    </w:p>
    <w:p w14:paraId="0D36699F" w14:textId="21E2CACC" w:rsidR="00A7383D" w:rsidRDefault="003031BC" w:rsidP="000D5D72">
      <w:pPr>
        <w:keepNext/>
        <w:keepLines/>
        <w:autoSpaceDE/>
        <w:autoSpaceDN/>
        <w:adjustRightInd/>
        <w:spacing w:before="240" w:after="60" w:line="240" w:lineRule="auto"/>
        <w:ind w:left="357"/>
        <w:jc w:val="left"/>
        <w:outlineLvl w:val="5"/>
        <w:rPr>
          <w:rFonts w:ascii="Arial" w:eastAsia="MS Gothic" w:hAnsi="Arial" w:cs="Arial"/>
          <w:b/>
          <w:sz w:val="22"/>
          <w:szCs w:val="20"/>
          <w:lang w:val="en-US" w:eastAsia="zh-CN"/>
        </w:rPr>
      </w:pPr>
      <w:bookmarkStart w:id="32" w:name="_Toc528238091"/>
      <w:bookmarkStart w:id="33" w:name="_Toc533089100"/>
      <w:r w:rsidRPr="003031BC">
        <w:rPr>
          <w:rFonts w:ascii="Arial" w:eastAsia="MS Gothic" w:hAnsi="Arial" w:cs="Arial"/>
          <w:b/>
          <w:sz w:val="22"/>
          <w:szCs w:val="20"/>
          <w:lang w:val="en-US" w:eastAsia="zh-CN"/>
        </w:rPr>
        <w:lastRenderedPageBreak/>
        <w:t xml:space="preserve">Table </w:t>
      </w:r>
      <w:r w:rsidR="005A1564">
        <w:rPr>
          <w:rFonts w:ascii="Arial" w:eastAsia="MS Gothic" w:hAnsi="Arial" w:cs="Arial"/>
          <w:b/>
          <w:sz w:val="22"/>
          <w:szCs w:val="20"/>
          <w:lang w:val="en-US" w:eastAsia="zh-CN"/>
        </w:rPr>
        <w:t>10</w:t>
      </w:r>
      <w:r w:rsidR="00A7383D">
        <w:rPr>
          <w:rFonts w:ascii="Arial" w:eastAsia="MS Gothic" w:hAnsi="Arial" w:cs="Arial"/>
          <w:b/>
          <w:sz w:val="22"/>
          <w:szCs w:val="20"/>
          <w:lang w:val="en-US" w:eastAsia="zh-CN"/>
        </w:rPr>
        <w:tab/>
      </w:r>
      <w:r w:rsidRPr="003031BC">
        <w:rPr>
          <w:rFonts w:ascii="Arial" w:eastAsia="MS Gothic" w:hAnsi="Arial" w:cs="Arial"/>
          <w:b/>
          <w:sz w:val="22"/>
          <w:szCs w:val="20"/>
          <w:lang w:val="en-US" w:eastAsia="zh-CN"/>
        </w:rPr>
        <w:t xml:space="preserve">C2301 Efficacy results (ORR) based on Investigator assessment (cohort </w:t>
      </w:r>
    </w:p>
    <w:p w14:paraId="18E86312" w14:textId="4DF7CCB6" w:rsidR="003031BC" w:rsidRPr="003031BC" w:rsidRDefault="00A7383D" w:rsidP="00A7383D">
      <w:pPr>
        <w:keepNext/>
        <w:keepLines/>
        <w:autoSpaceDE/>
        <w:autoSpaceDN/>
        <w:adjustRightInd/>
        <w:spacing w:after="60" w:line="240" w:lineRule="auto"/>
        <w:ind w:left="357"/>
        <w:jc w:val="left"/>
        <w:outlineLvl w:val="5"/>
        <w:rPr>
          <w:rFonts w:ascii="Arial" w:eastAsia="MS Gothic" w:hAnsi="Arial" w:cs="Arial"/>
          <w:b/>
          <w:sz w:val="22"/>
          <w:szCs w:val="20"/>
          <w:lang w:val="en-US" w:eastAsia="zh-CN"/>
        </w:rPr>
      </w:pPr>
      <w:r>
        <w:rPr>
          <w:rFonts w:ascii="Arial" w:eastAsia="MS Gothic" w:hAnsi="Arial" w:cs="Arial"/>
          <w:b/>
          <w:sz w:val="22"/>
          <w:szCs w:val="20"/>
          <w:lang w:val="en-US" w:eastAsia="zh-CN"/>
        </w:rPr>
        <w:tab/>
      </w:r>
      <w:r>
        <w:rPr>
          <w:rFonts w:ascii="Arial" w:eastAsia="MS Gothic" w:hAnsi="Arial" w:cs="Arial"/>
          <w:b/>
          <w:sz w:val="22"/>
          <w:szCs w:val="20"/>
          <w:lang w:val="en-US" w:eastAsia="zh-CN"/>
        </w:rPr>
        <w:tab/>
      </w:r>
      <w:proofErr w:type="gramStart"/>
      <w:r w:rsidR="003031BC" w:rsidRPr="003031BC">
        <w:rPr>
          <w:rFonts w:ascii="Arial" w:eastAsia="MS Gothic" w:hAnsi="Arial" w:cs="Arial"/>
          <w:b/>
          <w:sz w:val="22"/>
          <w:szCs w:val="20"/>
          <w:lang w:val="en-US" w:eastAsia="zh-CN"/>
        </w:rPr>
        <w:t>with</w:t>
      </w:r>
      <w:proofErr w:type="gramEnd"/>
      <w:r w:rsidR="003031BC" w:rsidRPr="003031BC">
        <w:rPr>
          <w:rFonts w:ascii="Arial" w:eastAsia="MS Gothic" w:hAnsi="Arial" w:cs="Arial"/>
          <w:b/>
          <w:sz w:val="22"/>
          <w:szCs w:val="20"/>
          <w:lang w:val="en-US" w:eastAsia="zh-CN"/>
        </w:rPr>
        <w:t xml:space="preserve"> PIK3CA mutation)</w:t>
      </w:r>
      <w:bookmarkEnd w:id="32"/>
      <w:bookmarkEnd w:id="33"/>
    </w:p>
    <w:tbl>
      <w:tblPr>
        <w:tblW w:w="4241" w:type="pct"/>
        <w:tblInd w:w="-100" w:type="dxa"/>
        <w:tblCellMar>
          <w:left w:w="0" w:type="dxa"/>
          <w:right w:w="0" w:type="dxa"/>
        </w:tblCellMar>
        <w:tblLook w:val="04A0" w:firstRow="1" w:lastRow="0" w:firstColumn="1" w:lastColumn="0" w:noHBand="0" w:noVBand="1"/>
      </w:tblPr>
      <w:tblGrid>
        <w:gridCol w:w="3493"/>
        <w:gridCol w:w="2359"/>
        <w:gridCol w:w="2454"/>
      </w:tblGrid>
      <w:tr w:rsidR="004529FF" w:rsidRPr="003031BC" w14:paraId="60530622" w14:textId="77777777" w:rsidTr="004529FF">
        <w:tc>
          <w:tcPr>
            <w:tcW w:w="2103"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262D6BED" w14:textId="77777777" w:rsidR="004529FF" w:rsidRPr="003031BC" w:rsidRDefault="004529FF" w:rsidP="003031BC">
            <w:pPr>
              <w:keepNext/>
              <w:keepLines/>
              <w:tabs>
                <w:tab w:val="left" w:pos="284"/>
              </w:tabs>
              <w:autoSpaceDE/>
              <w:autoSpaceDN/>
              <w:adjustRightInd/>
              <w:spacing w:before="120" w:after="0" w:line="276" w:lineRule="auto"/>
              <w:jc w:val="left"/>
              <w:rPr>
                <w:rFonts w:ascii="Arial" w:eastAsia="MS Mincho" w:hAnsi="Arial" w:cs="Arial"/>
                <w:b/>
                <w:bCs/>
                <w:sz w:val="18"/>
                <w:szCs w:val="18"/>
                <w:lang w:val="it-IT" w:eastAsia="zh-CN"/>
              </w:rPr>
            </w:pPr>
            <w:r w:rsidRPr="003031BC">
              <w:rPr>
                <w:rFonts w:ascii="Arial" w:eastAsia="MS Mincho" w:hAnsi="Arial" w:cs="Arial"/>
                <w:b/>
                <w:bCs/>
                <w:sz w:val="18"/>
                <w:szCs w:val="18"/>
                <w:lang w:val="it-IT" w:eastAsia="zh-CN"/>
              </w:rPr>
              <w:t>Analysis</w:t>
            </w:r>
          </w:p>
        </w:tc>
        <w:tc>
          <w:tcPr>
            <w:tcW w:w="142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7923A64" w14:textId="1DEE56E8" w:rsidR="004529FF" w:rsidRPr="003031BC" w:rsidRDefault="004529FF" w:rsidP="003031BC">
            <w:pPr>
              <w:keepNext/>
              <w:keepLines/>
              <w:tabs>
                <w:tab w:val="left" w:pos="284"/>
              </w:tabs>
              <w:autoSpaceDE/>
              <w:autoSpaceDN/>
              <w:adjustRightInd/>
              <w:spacing w:before="120" w:after="0" w:line="240" w:lineRule="auto"/>
              <w:jc w:val="center"/>
              <w:rPr>
                <w:rFonts w:ascii="Arial" w:eastAsia="MS Mincho" w:hAnsi="Arial" w:cs="Arial"/>
                <w:b/>
                <w:bCs/>
                <w:sz w:val="18"/>
                <w:szCs w:val="18"/>
                <w:lang w:val="en-US" w:eastAsia="zh-CN"/>
              </w:rPr>
            </w:pPr>
            <w:proofErr w:type="spellStart"/>
            <w:r w:rsidRPr="003031BC">
              <w:rPr>
                <w:rFonts w:ascii="Arial" w:eastAsia="MS Mincho" w:hAnsi="Arial" w:cs="Arial"/>
                <w:b/>
                <w:bCs/>
                <w:sz w:val="18"/>
                <w:szCs w:val="18"/>
                <w:lang w:val="en-US" w:eastAsia="zh-CN"/>
              </w:rPr>
              <w:t>alpelisib</w:t>
            </w:r>
            <w:proofErr w:type="spellEnd"/>
            <w:r w:rsidRPr="003031BC">
              <w:rPr>
                <w:rFonts w:ascii="Arial" w:eastAsia="MS Mincho" w:hAnsi="Arial" w:cs="Arial"/>
                <w:b/>
                <w:bCs/>
                <w:sz w:val="18"/>
                <w:szCs w:val="18"/>
                <w:lang w:val="en-US" w:eastAsia="zh-CN"/>
              </w:rPr>
              <w:t xml:space="preserve"> plus </w:t>
            </w:r>
            <w:proofErr w:type="spellStart"/>
            <w:r w:rsidRPr="003031BC">
              <w:rPr>
                <w:rFonts w:ascii="Arial" w:eastAsia="MS Mincho" w:hAnsi="Arial" w:cs="Arial"/>
                <w:b/>
                <w:bCs/>
                <w:sz w:val="18"/>
                <w:szCs w:val="18"/>
                <w:lang w:val="en-US" w:eastAsia="zh-CN"/>
              </w:rPr>
              <w:t>fulvestrant</w:t>
            </w:r>
            <w:proofErr w:type="spellEnd"/>
          </w:p>
          <w:p w14:paraId="7FD6D941" w14:textId="77777777" w:rsidR="004529FF" w:rsidRPr="003031BC" w:rsidRDefault="004529FF" w:rsidP="003031BC">
            <w:pPr>
              <w:keepNext/>
              <w:keepLines/>
              <w:tabs>
                <w:tab w:val="left" w:pos="284"/>
              </w:tabs>
              <w:autoSpaceDE/>
              <w:autoSpaceDN/>
              <w:adjustRightInd/>
              <w:spacing w:before="120" w:after="0" w:line="240" w:lineRule="auto"/>
              <w:jc w:val="center"/>
              <w:rPr>
                <w:rFonts w:ascii="Arial" w:eastAsia="MS Mincho" w:hAnsi="Arial" w:cs="Arial"/>
                <w:sz w:val="18"/>
                <w:szCs w:val="18"/>
                <w:lang w:val="it-IT" w:eastAsia="zh-CN"/>
              </w:rPr>
            </w:pPr>
            <w:r w:rsidRPr="003031BC">
              <w:rPr>
                <w:rFonts w:ascii="Arial" w:eastAsia="MS Mincho" w:hAnsi="Arial" w:cs="Arial"/>
                <w:b/>
                <w:bCs/>
                <w:sz w:val="18"/>
                <w:szCs w:val="18"/>
                <w:lang w:val="en-US" w:eastAsia="zh-CN"/>
              </w:rPr>
              <w:t>(%, 95% CI)</w:t>
            </w:r>
          </w:p>
        </w:tc>
        <w:tc>
          <w:tcPr>
            <w:tcW w:w="147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0598507" w14:textId="77777777" w:rsidR="004529FF" w:rsidRPr="003031BC" w:rsidRDefault="004529FF" w:rsidP="003031BC">
            <w:pPr>
              <w:keepNext/>
              <w:keepLines/>
              <w:tabs>
                <w:tab w:val="left" w:pos="284"/>
              </w:tabs>
              <w:autoSpaceDE/>
              <w:autoSpaceDN/>
              <w:adjustRightInd/>
              <w:spacing w:before="120" w:after="0" w:line="240" w:lineRule="auto"/>
              <w:jc w:val="center"/>
              <w:rPr>
                <w:rFonts w:ascii="Arial" w:eastAsia="MS Mincho" w:hAnsi="Arial" w:cs="Arial"/>
                <w:b/>
                <w:bCs/>
                <w:sz w:val="18"/>
                <w:szCs w:val="18"/>
                <w:lang w:val="en-US" w:eastAsia="zh-CN"/>
              </w:rPr>
            </w:pPr>
            <w:r w:rsidRPr="003031BC">
              <w:rPr>
                <w:rFonts w:ascii="Arial" w:eastAsia="MS Mincho" w:hAnsi="Arial" w:cs="Arial"/>
                <w:b/>
                <w:bCs/>
                <w:sz w:val="18"/>
                <w:szCs w:val="18"/>
                <w:lang w:val="en-US" w:eastAsia="zh-CN"/>
              </w:rPr>
              <w:t xml:space="preserve">Placebo plus </w:t>
            </w:r>
            <w:proofErr w:type="spellStart"/>
            <w:r w:rsidRPr="003031BC">
              <w:rPr>
                <w:rFonts w:ascii="Arial" w:eastAsia="MS Mincho" w:hAnsi="Arial" w:cs="Arial"/>
                <w:b/>
                <w:bCs/>
                <w:sz w:val="18"/>
                <w:szCs w:val="18"/>
                <w:lang w:val="en-US" w:eastAsia="zh-CN"/>
              </w:rPr>
              <w:t>fulvestrant</w:t>
            </w:r>
            <w:proofErr w:type="spellEnd"/>
          </w:p>
          <w:p w14:paraId="35514578" w14:textId="77777777" w:rsidR="004529FF" w:rsidRPr="003031BC" w:rsidRDefault="004529FF" w:rsidP="003031BC">
            <w:pPr>
              <w:keepNext/>
              <w:autoSpaceDE/>
              <w:autoSpaceDN/>
              <w:adjustRightInd/>
              <w:spacing w:before="120" w:after="0" w:line="240" w:lineRule="auto"/>
              <w:jc w:val="center"/>
              <w:rPr>
                <w:rFonts w:ascii="Arial" w:eastAsia="MS Mincho" w:hAnsi="Arial" w:cs="Arial"/>
                <w:sz w:val="18"/>
                <w:szCs w:val="18"/>
                <w:lang w:val="it-IT" w:eastAsia="zh-CN"/>
              </w:rPr>
            </w:pPr>
            <w:r w:rsidRPr="003031BC">
              <w:rPr>
                <w:rFonts w:ascii="Arial" w:eastAsia="MS Mincho" w:hAnsi="Arial" w:cs="Arial"/>
                <w:b/>
                <w:bCs/>
                <w:sz w:val="18"/>
                <w:szCs w:val="18"/>
                <w:lang w:val="en-US" w:eastAsia="zh-CN"/>
              </w:rPr>
              <w:t>(%, 95% CI)</w:t>
            </w:r>
          </w:p>
        </w:tc>
      </w:tr>
      <w:tr w:rsidR="004529FF" w:rsidRPr="003031BC" w14:paraId="4748B425" w14:textId="77777777" w:rsidTr="004529FF">
        <w:trPr>
          <w:trHeight w:val="259"/>
        </w:trPr>
        <w:tc>
          <w:tcPr>
            <w:tcW w:w="2103" w:type="pct"/>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tcPr>
          <w:p w14:paraId="6C1F3086" w14:textId="77777777" w:rsidR="004529FF" w:rsidRPr="003031BC" w:rsidRDefault="004529FF" w:rsidP="003031BC">
            <w:pPr>
              <w:keepNext/>
              <w:keepLines/>
              <w:tabs>
                <w:tab w:val="left" w:pos="284"/>
              </w:tabs>
              <w:autoSpaceDE/>
              <w:autoSpaceDN/>
              <w:adjustRightInd/>
              <w:spacing w:before="120" w:after="0" w:line="276" w:lineRule="auto"/>
              <w:jc w:val="left"/>
              <w:rPr>
                <w:rFonts w:ascii="Arial" w:eastAsia="MS Mincho" w:hAnsi="Arial" w:cs="Arial"/>
                <w:b/>
                <w:bCs/>
                <w:sz w:val="18"/>
                <w:szCs w:val="18"/>
                <w:lang w:val="it-IT" w:eastAsia="zh-CN"/>
              </w:rPr>
            </w:pPr>
            <w:r w:rsidRPr="003031BC">
              <w:rPr>
                <w:rFonts w:ascii="Arial" w:eastAsia="MS Mincho" w:hAnsi="Arial" w:cs="Arial"/>
                <w:b/>
                <w:bCs/>
                <w:sz w:val="18"/>
                <w:szCs w:val="18"/>
                <w:lang w:val="it-IT" w:eastAsia="zh-CN"/>
              </w:rPr>
              <w:t>Full analysis set</w:t>
            </w:r>
          </w:p>
        </w:tc>
        <w:tc>
          <w:tcPr>
            <w:tcW w:w="1420" w:type="pct"/>
            <w:tcBorders>
              <w:top w:val="single" w:sz="8" w:space="0" w:color="auto"/>
              <w:left w:val="single" w:sz="8" w:space="0" w:color="auto"/>
              <w:bottom w:val="single" w:sz="4" w:space="0" w:color="auto"/>
              <w:right w:val="single" w:sz="8" w:space="0" w:color="auto"/>
            </w:tcBorders>
          </w:tcPr>
          <w:p w14:paraId="03956D49" w14:textId="77777777" w:rsidR="004529FF" w:rsidRPr="003031BC" w:rsidRDefault="004529FF" w:rsidP="003031BC">
            <w:pPr>
              <w:keepNext/>
              <w:keepLines/>
              <w:tabs>
                <w:tab w:val="left" w:pos="284"/>
              </w:tabs>
              <w:autoSpaceDE/>
              <w:autoSpaceDN/>
              <w:adjustRightInd/>
              <w:spacing w:before="120" w:after="0" w:line="276" w:lineRule="auto"/>
              <w:ind w:right="-135"/>
              <w:jc w:val="center"/>
              <w:rPr>
                <w:rFonts w:ascii="Arial" w:eastAsia="MS Mincho" w:hAnsi="Arial" w:cs="Arial"/>
                <w:b/>
                <w:bCs/>
                <w:sz w:val="18"/>
                <w:szCs w:val="18"/>
                <w:lang w:val="it-IT" w:eastAsia="zh-CN"/>
              </w:rPr>
            </w:pPr>
            <w:r w:rsidRPr="003031BC">
              <w:rPr>
                <w:rFonts w:ascii="Arial" w:eastAsia="MS Mincho" w:hAnsi="Arial" w:cs="Arial"/>
                <w:sz w:val="18"/>
                <w:szCs w:val="18"/>
                <w:lang w:val="en-US" w:eastAsia="zh-CN"/>
              </w:rPr>
              <w:t>N=169</w:t>
            </w:r>
          </w:p>
        </w:tc>
        <w:tc>
          <w:tcPr>
            <w:tcW w:w="1477" w:type="pct"/>
            <w:tcBorders>
              <w:top w:val="single" w:sz="8" w:space="0" w:color="auto"/>
              <w:left w:val="single" w:sz="8" w:space="0" w:color="auto"/>
              <w:bottom w:val="single" w:sz="4" w:space="0" w:color="auto"/>
              <w:right w:val="single" w:sz="8" w:space="0" w:color="auto"/>
            </w:tcBorders>
          </w:tcPr>
          <w:p w14:paraId="168E2C84" w14:textId="77777777" w:rsidR="004529FF" w:rsidRPr="003031BC" w:rsidRDefault="004529FF" w:rsidP="003031BC">
            <w:pPr>
              <w:keepNext/>
              <w:keepLines/>
              <w:tabs>
                <w:tab w:val="left" w:pos="284"/>
              </w:tabs>
              <w:autoSpaceDE/>
              <w:autoSpaceDN/>
              <w:adjustRightInd/>
              <w:spacing w:before="120" w:after="0" w:line="276" w:lineRule="auto"/>
              <w:ind w:right="-135"/>
              <w:jc w:val="center"/>
              <w:rPr>
                <w:rFonts w:ascii="Arial" w:eastAsia="MS Mincho" w:hAnsi="Arial" w:cs="Arial"/>
                <w:b/>
                <w:bCs/>
                <w:sz w:val="18"/>
                <w:szCs w:val="18"/>
                <w:lang w:val="it-IT" w:eastAsia="zh-CN"/>
              </w:rPr>
            </w:pPr>
            <w:r w:rsidRPr="003031BC">
              <w:rPr>
                <w:rFonts w:ascii="Arial" w:eastAsia="MS Mincho" w:hAnsi="Arial" w:cs="Arial"/>
                <w:sz w:val="18"/>
                <w:szCs w:val="18"/>
                <w:lang w:val="en-US" w:eastAsia="zh-CN"/>
              </w:rPr>
              <w:t>N=172</w:t>
            </w:r>
          </w:p>
        </w:tc>
      </w:tr>
      <w:tr w:rsidR="004529FF" w:rsidRPr="003031BC" w14:paraId="6D75443D" w14:textId="77777777" w:rsidTr="004529FF">
        <w:tc>
          <w:tcPr>
            <w:tcW w:w="2103"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4B33B7F9" w14:textId="77777777" w:rsidR="004529FF" w:rsidRPr="003031BC" w:rsidRDefault="004529FF" w:rsidP="003031BC">
            <w:pPr>
              <w:keepNext/>
              <w:keepLines/>
              <w:tabs>
                <w:tab w:val="left" w:pos="284"/>
              </w:tabs>
              <w:autoSpaceDE/>
              <w:autoSpaceDN/>
              <w:adjustRightInd/>
              <w:spacing w:before="120" w:after="0" w:line="276" w:lineRule="auto"/>
              <w:jc w:val="left"/>
              <w:rPr>
                <w:rFonts w:ascii="Arial" w:eastAsia="MS Mincho" w:hAnsi="Arial" w:cs="Arial"/>
                <w:sz w:val="18"/>
                <w:szCs w:val="18"/>
                <w:lang w:val="en-US" w:eastAsia="zh-CN"/>
              </w:rPr>
            </w:pPr>
            <w:r w:rsidRPr="003031BC">
              <w:rPr>
                <w:rFonts w:ascii="Arial" w:eastAsia="MS Mincho" w:hAnsi="Arial" w:cs="Arial"/>
                <w:b/>
                <w:bCs/>
                <w:sz w:val="18"/>
                <w:szCs w:val="18"/>
                <w:lang w:val="it-IT" w:eastAsia="zh-CN"/>
              </w:rPr>
              <w:t>Objective Response Rate</w:t>
            </w:r>
            <w:r w:rsidRPr="003031BC">
              <w:rPr>
                <w:rFonts w:ascii="Arial" w:eastAsia="MS Mincho" w:hAnsi="Arial" w:cs="Arial"/>
                <w:b/>
                <w:bCs/>
                <w:sz w:val="18"/>
                <w:szCs w:val="18"/>
                <w:vertAlign w:val="superscript"/>
                <w:lang w:val="it-IT" w:eastAsia="zh-CN"/>
              </w:rPr>
              <w:t xml:space="preserve">a </w:t>
            </w:r>
          </w:p>
        </w:tc>
        <w:tc>
          <w:tcPr>
            <w:tcW w:w="142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A259EB4" w14:textId="77777777" w:rsidR="004529FF" w:rsidRPr="003031BC" w:rsidRDefault="004529FF" w:rsidP="003031BC">
            <w:pPr>
              <w:keepNext/>
              <w:keepLines/>
              <w:tabs>
                <w:tab w:val="left" w:pos="284"/>
              </w:tabs>
              <w:autoSpaceDE/>
              <w:autoSpaceDN/>
              <w:adjustRightInd/>
              <w:spacing w:before="120" w:after="0" w:line="276" w:lineRule="auto"/>
              <w:ind w:right="-135"/>
              <w:jc w:val="center"/>
              <w:rPr>
                <w:rFonts w:ascii="Arial" w:eastAsia="MS Mincho" w:hAnsi="Arial" w:cs="Arial"/>
                <w:sz w:val="18"/>
                <w:szCs w:val="18"/>
                <w:lang w:val="en-US" w:eastAsia="zh-CN"/>
              </w:rPr>
            </w:pPr>
            <w:r w:rsidRPr="003031BC">
              <w:rPr>
                <w:rFonts w:ascii="Arial" w:eastAsia="MS Mincho" w:hAnsi="Arial" w:cs="Arial"/>
                <w:sz w:val="20"/>
                <w:lang w:val="en-US" w:eastAsia="zh-CN"/>
              </w:rPr>
              <w:t>26.6 (20.1, 34.0)</w:t>
            </w:r>
          </w:p>
        </w:tc>
        <w:tc>
          <w:tcPr>
            <w:tcW w:w="147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04631AA" w14:textId="77777777" w:rsidR="004529FF" w:rsidRPr="003031BC" w:rsidRDefault="004529FF" w:rsidP="003031BC">
            <w:pPr>
              <w:keepNext/>
              <w:keepLines/>
              <w:tabs>
                <w:tab w:val="left" w:pos="284"/>
              </w:tabs>
              <w:autoSpaceDE/>
              <w:autoSpaceDN/>
              <w:adjustRightInd/>
              <w:spacing w:before="120" w:after="0" w:line="276" w:lineRule="auto"/>
              <w:ind w:right="-102"/>
              <w:jc w:val="center"/>
              <w:rPr>
                <w:rFonts w:ascii="Arial" w:eastAsia="MS Mincho" w:hAnsi="Arial" w:cs="Arial"/>
                <w:sz w:val="18"/>
                <w:szCs w:val="18"/>
                <w:lang w:val="en-US" w:eastAsia="zh-CN"/>
              </w:rPr>
            </w:pPr>
            <w:r w:rsidRPr="003031BC">
              <w:rPr>
                <w:rFonts w:ascii="Arial" w:eastAsia="MS Mincho" w:hAnsi="Arial" w:cs="Arial"/>
                <w:sz w:val="20"/>
                <w:lang w:val="en-US" w:eastAsia="zh-CN"/>
              </w:rPr>
              <w:t>12.8 (8.2, 18.7)</w:t>
            </w:r>
          </w:p>
        </w:tc>
      </w:tr>
      <w:tr w:rsidR="004529FF" w:rsidRPr="003031BC" w14:paraId="4F5C4525" w14:textId="77777777" w:rsidTr="004529FF">
        <w:tc>
          <w:tcPr>
            <w:tcW w:w="2103" w:type="pct"/>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5B8B6BF8" w14:textId="77777777" w:rsidR="004529FF" w:rsidRPr="003031BC" w:rsidRDefault="004529FF" w:rsidP="003031BC">
            <w:pPr>
              <w:keepNext/>
              <w:keepLines/>
              <w:tabs>
                <w:tab w:val="left" w:pos="284"/>
              </w:tabs>
              <w:autoSpaceDE/>
              <w:autoSpaceDN/>
              <w:adjustRightInd/>
              <w:spacing w:before="120" w:after="0" w:line="276" w:lineRule="auto"/>
              <w:jc w:val="left"/>
              <w:rPr>
                <w:rFonts w:ascii="Arial" w:eastAsia="MS Mincho" w:hAnsi="Arial" w:cs="Arial"/>
                <w:b/>
                <w:bCs/>
                <w:sz w:val="18"/>
                <w:szCs w:val="18"/>
                <w:lang w:val="en-US" w:eastAsia="zh-CN"/>
              </w:rPr>
            </w:pPr>
            <w:r w:rsidRPr="003031BC">
              <w:rPr>
                <w:rFonts w:ascii="Arial" w:eastAsia="MS Mincho" w:hAnsi="Arial" w:cs="Arial"/>
                <w:b/>
                <w:bCs/>
                <w:sz w:val="18"/>
                <w:szCs w:val="18"/>
                <w:lang w:val="en-US" w:eastAsia="zh-CN"/>
              </w:rPr>
              <w:t xml:space="preserve">Patients with measurable disease </w:t>
            </w:r>
          </w:p>
        </w:tc>
        <w:tc>
          <w:tcPr>
            <w:tcW w:w="1420"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EB9EFD3" w14:textId="77777777" w:rsidR="004529FF" w:rsidRPr="003031BC" w:rsidRDefault="004529FF" w:rsidP="003031BC">
            <w:pPr>
              <w:keepNext/>
              <w:keepLines/>
              <w:tabs>
                <w:tab w:val="left" w:pos="284"/>
              </w:tabs>
              <w:autoSpaceDE/>
              <w:autoSpaceDN/>
              <w:adjustRightInd/>
              <w:spacing w:before="120" w:after="0" w:line="276" w:lineRule="auto"/>
              <w:ind w:right="-135"/>
              <w:jc w:val="center"/>
              <w:rPr>
                <w:rFonts w:ascii="Arial" w:eastAsia="MS Mincho" w:hAnsi="Arial" w:cs="Arial"/>
                <w:b/>
                <w:bCs/>
                <w:sz w:val="18"/>
                <w:szCs w:val="18"/>
                <w:lang w:val="en-US" w:eastAsia="zh-CN"/>
              </w:rPr>
            </w:pPr>
            <w:r w:rsidRPr="003031BC">
              <w:rPr>
                <w:rFonts w:ascii="Arial" w:eastAsia="MS Mincho" w:hAnsi="Arial" w:cs="Arial"/>
                <w:b/>
                <w:bCs/>
                <w:sz w:val="18"/>
                <w:szCs w:val="18"/>
                <w:lang w:val="en-US" w:eastAsia="zh-CN"/>
              </w:rPr>
              <w:t>N=126</w:t>
            </w:r>
          </w:p>
        </w:tc>
        <w:tc>
          <w:tcPr>
            <w:tcW w:w="1477"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E322641" w14:textId="77777777" w:rsidR="004529FF" w:rsidRPr="003031BC" w:rsidRDefault="004529FF" w:rsidP="003031BC">
            <w:pPr>
              <w:keepNext/>
              <w:keepLines/>
              <w:tabs>
                <w:tab w:val="left" w:pos="284"/>
              </w:tabs>
              <w:autoSpaceDE/>
              <w:autoSpaceDN/>
              <w:adjustRightInd/>
              <w:spacing w:before="120" w:after="0" w:line="276" w:lineRule="auto"/>
              <w:ind w:right="-102"/>
              <w:jc w:val="center"/>
              <w:rPr>
                <w:rFonts w:ascii="Arial" w:eastAsia="MS Mincho" w:hAnsi="Arial" w:cs="Arial"/>
                <w:b/>
                <w:bCs/>
                <w:sz w:val="18"/>
                <w:szCs w:val="18"/>
                <w:lang w:val="en-US" w:eastAsia="zh-CN"/>
              </w:rPr>
            </w:pPr>
            <w:r w:rsidRPr="003031BC">
              <w:rPr>
                <w:rFonts w:ascii="Arial" w:eastAsia="MS Mincho" w:hAnsi="Arial" w:cs="Arial"/>
                <w:b/>
                <w:bCs/>
                <w:sz w:val="18"/>
                <w:szCs w:val="18"/>
                <w:lang w:val="en-US" w:eastAsia="zh-CN"/>
              </w:rPr>
              <w:t>N=136</w:t>
            </w:r>
          </w:p>
        </w:tc>
      </w:tr>
      <w:tr w:rsidR="004529FF" w:rsidRPr="003031BC" w14:paraId="3CED89F6" w14:textId="77777777" w:rsidTr="004529FF">
        <w:tc>
          <w:tcPr>
            <w:tcW w:w="2103"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21D5704A" w14:textId="77777777" w:rsidR="004529FF" w:rsidRPr="003031BC" w:rsidRDefault="004529FF" w:rsidP="003031BC">
            <w:pPr>
              <w:keepNext/>
              <w:keepLines/>
              <w:tabs>
                <w:tab w:val="left" w:pos="284"/>
              </w:tabs>
              <w:autoSpaceDE/>
              <w:autoSpaceDN/>
              <w:adjustRightInd/>
              <w:spacing w:before="120" w:after="0" w:line="276" w:lineRule="auto"/>
              <w:jc w:val="left"/>
              <w:rPr>
                <w:rFonts w:ascii="Arial" w:eastAsia="MS Mincho" w:hAnsi="Arial" w:cs="Arial"/>
                <w:sz w:val="18"/>
                <w:szCs w:val="18"/>
                <w:lang w:val="en-US" w:eastAsia="zh-CN"/>
              </w:rPr>
            </w:pPr>
            <w:r w:rsidRPr="003031BC">
              <w:rPr>
                <w:rFonts w:ascii="Arial" w:eastAsia="MS Mincho" w:hAnsi="Arial" w:cs="Arial"/>
                <w:b/>
                <w:bCs/>
                <w:sz w:val="18"/>
                <w:szCs w:val="18"/>
                <w:lang w:val="it-IT" w:eastAsia="zh-CN"/>
              </w:rPr>
              <w:t>Objective Response Rate</w:t>
            </w:r>
            <w:r w:rsidRPr="003031BC">
              <w:rPr>
                <w:rFonts w:ascii="Arial" w:eastAsia="MS Mincho" w:hAnsi="Arial" w:cs="Arial"/>
                <w:b/>
                <w:bCs/>
                <w:sz w:val="18"/>
                <w:szCs w:val="18"/>
                <w:vertAlign w:val="superscript"/>
                <w:lang w:val="it-IT" w:eastAsia="zh-CN"/>
              </w:rPr>
              <w:t>a</w:t>
            </w:r>
          </w:p>
        </w:tc>
        <w:tc>
          <w:tcPr>
            <w:tcW w:w="142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441842D" w14:textId="77777777" w:rsidR="004529FF" w:rsidRPr="003031BC" w:rsidRDefault="004529FF" w:rsidP="003031BC">
            <w:pPr>
              <w:keepNext/>
              <w:keepLines/>
              <w:tabs>
                <w:tab w:val="left" w:pos="284"/>
              </w:tabs>
              <w:autoSpaceDE/>
              <w:autoSpaceDN/>
              <w:adjustRightInd/>
              <w:spacing w:before="120" w:after="0" w:line="276" w:lineRule="auto"/>
              <w:ind w:right="-135"/>
              <w:jc w:val="center"/>
              <w:rPr>
                <w:rFonts w:ascii="Arial" w:eastAsia="MS Mincho" w:hAnsi="Arial" w:cs="Arial"/>
                <w:sz w:val="18"/>
                <w:szCs w:val="18"/>
                <w:lang w:val="en-US" w:eastAsia="zh-CN"/>
              </w:rPr>
            </w:pPr>
            <w:r w:rsidRPr="003031BC">
              <w:rPr>
                <w:rFonts w:ascii="Arial" w:eastAsia="MS Mincho" w:hAnsi="Arial" w:cs="Arial"/>
                <w:sz w:val="20"/>
                <w:lang w:val="en-US" w:eastAsia="zh-CN"/>
              </w:rPr>
              <w:t>35.7 (27.4, 44.7)</w:t>
            </w:r>
          </w:p>
        </w:tc>
        <w:tc>
          <w:tcPr>
            <w:tcW w:w="147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0787C27" w14:textId="77777777" w:rsidR="004529FF" w:rsidRPr="003031BC" w:rsidRDefault="004529FF" w:rsidP="003031BC">
            <w:pPr>
              <w:keepNext/>
              <w:keepLines/>
              <w:tabs>
                <w:tab w:val="left" w:pos="284"/>
              </w:tabs>
              <w:autoSpaceDE/>
              <w:autoSpaceDN/>
              <w:adjustRightInd/>
              <w:spacing w:before="120" w:after="0" w:line="276" w:lineRule="auto"/>
              <w:ind w:right="-102"/>
              <w:jc w:val="center"/>
              <w:rPr>
                <w:rFonts w:ascii="Arial" w:eastAsia="MS Mincho" w:hAnsi="Arial" w:cs="Arial"/>
                <w:sz w:val="18"/>
                <w:szCs w:val="18"/>
                <w:lang w:val="en-US" w:eastAsia="zh-CN"/>
              </w:rPr>
            </w:pPr>
            <w:r w:rsidRPr="003031BC">
              <w:rPr>
                <w:rFonts w:ascii="Arial" w:eastAsia="MS Mincho" w:hAnsi="Arial" w:cs="Arial"/>
                <w:sz w:val="20"/>
                <w:lang w:val="en-US" w:eastAsia="zh-CN"/>
              </w:rPr>
              <w:t>16.2 (10.4, 23.5)</w:t>
            </w:r>
          </w:p>
        </w:tc>
      </w:tr>
    </w:tbl>
    <w:p w14:paraId="5277A614" w14:textId="77777777" w:rsidR="003031BC" w:rsidRPr="003031BC" w:rsidRDefault="003031BC" w:rsidP="003031BC">
      <w:pPr>
        <w:autoSpaceDE/>
        <w:autoSpaceDN/>
        <w:adjustRightInd/>
        <w:spacing w:after="0" w:line="240" w:lineRule="auto"/>
        <w:rPr>
          <w:rFonts w:eastAsia="MS Mincho"/>
          <w:i/>
          <w:szCs w:val="20"/>
          <w:lang w:val="en-US" w:eastAsia="zh-CN"/>
        </w:rPr>
      </w:pPr>
      <w:proofErr w:type="gramStart"/>
      <w:r w:rsidRPr="003031BC">
        <w:rPr>
          <w:rFonts w:eastAsia="MS Mincho"/>
          <w:i/>
          <w:szCs w:val="20"/>
          <w:vertAlign w:val="superscript"/>
          <w:lang w:val="en-US" w:eastAsia="zh-CN"/>
        </w:rPr>
        <w:t>a</w:t>
      </w:r>
      <w:proofErr w:type="gramEnd"/>
      <w:r w:rsidRPr="003031BC">
        <w:rPr>
          <w:rFonts w:eastAsia="MS Mincho"/>
          <w:i/>
          <w:szCs w:val="20"/>
          <w:vertAlign w:val="superscript"/>
          <w:lang w:val="en-US" w:eastAsia="zh-CN"/>
        </w:rPr>
        <w:t xml:space="preserve"> </w:t>
      </w:r>
      <w:r w:rsidRPr="003031BC">
        <w:rPr>
          <w:rFonts w:eastAsia="MS Mincho"/>
          <w:i/>
          <w:szCs w:val="20"/>
          <w:lang w:val="en-US" w:eastAsia="zh-CN"/>
        </w:rPr>
        <w:t>ORR= proportion of subjects with confirmed Complete Response or Partial Response</w:t>
      </w:r>
    </w:p>
    <w:p w14:paraId="326E5EF3" w14:textId="77777777" w:rsidR="00A7383D" w:rsidRDefault="003031BC" w:rsidP="000D5D72">
      <w:pPr>
        <w:keepNext/>
        <w:keepLines/>
        <w:autoSpaceDE/>
        <w:autoSpaceDN/>
        <w:adjustRightInd/>
        <w:spacing w:before="240" w:after="60" w:line="240" w:lineRule="auto"/>
        <w:jc w:val="left"/>
        <w:outlineLvl w:val="6"/>
        <w:rPr>
          <w:rFonts w:ascii="Arial" w:eastAsia="MS Gothic" w:hAnsi="Arial" w:cs="Arial"/>
          <w:b/>
          <w:sz w:val="22"/>
          <w:szCs w:val="20"/>
          <w:lang w:val="en-US" w:eastAsia="zh-CN"/>
        </w:rPr>
      </w:pPr>
      <w:bookmarkStart w:id="34" w:name="_Toc533089101"/>
      <w:bookmarkStart w:id="35" w:name="_Toc528238082"/>
      <w:r w:rsidRPr="003031BC">
        <w:rPr>
          <w:rFonts w:ascii="Arial" w:eastAsia="MS Gothic" w:hAnsi="Arial" w:cs="Arial"/>
          <w:b/>
          <w:sz w:val="22"/>
          <w:szCs w:val="20"/>
          <w:lang w:val="en-US" w:eastAsia="zh-CN"/>
        </w:rPr>
        <w:t xml:space="preserve">Figure </w:t>
      </w:r>
      <w:r w:rsidR="00A7383D">
        <w:rPr>
          <w:rFonts w:ascii="Arial" w:eastAsia="MS Gothic" w:hAnsi="Arial" w:cs="Arial"/>
          <w:b/>
          <w:sz w:val="22"/>
          <w:szCs w:val="20"/>
          <w:lang w:val="en-US" w:eastAsia="zh-CN"/>
        </w:rPr>
        <w:t>1</w:t>
      </w:r>
      <w:r w:rsidRPr="003031BC">
        <w:rPr>
          <w:rFonts w:ascii="Arial" w:eastAsia="MS Gothic" w:hAnsi="Arial" w:cs="Arial"/>
          <w:b/>
          <w:sz w:val="22"/>
          <w:szCs w:val="20"/>
          <w:lang w:val="en-US" w:eastAsia="zh-CN"/>
        </w:rPr>
        <w:tab/>
        <w:t xml:space="preserve">Kaplan-Meier plot of Progression Free Survival in cohort with PIK3CA mutation </w:t>
      </w:r>
    </w:p>
    <w:p w14:paraId="3A55C054" w14:textId="62B395FB" w:rsidR="003031BC" w:rsidRPr="003031BC" w:rsidRDefault="00A7383D" w:rsidP="00A7383D">
      <w:pPr>
        <w:keepNext/>
        <w:keepLines/>
        <w:autoSpaceDE/>
        <w:autoSpaceDN/>
        <w:adjustRightInd/>
        <w:spacing w:after="60" w:line="240" w:lineRule="auto"/>
        <w:ind w:left="357"/>
        <w:jc w:val="left"/>
        <w:outlineLvl w:val="5"/>
        <w:rPr>
          <w:rFonts w:ascii="Arial" w:eastAsia="MS Gothic" w:hAnsi="Arial" w:cs="Arial"/>
          <w:b/>
          <w:sz w:val="22"/>
          <w:szCs w:val="20"/>
          <w:lang w:val="en-US" w:eastAsia="zh-CN"/>
        </w:rPr>
      </w:pPr>
      <w:r>
        <w:rPr>
          <w:rFonts w:ascii="Arial" w:eastAsia="MS Gothic" w:hAnsi="Arial" w:cs="Arial"/>
          <w:b/>
          <w:sz w:val="22"/>
          <w:szCs w:val="20"/>
          <w:lang w:val="en-US" w:eastAsia="zh-CN"/>
        </w:rPr>
        <w:tab/>
      </w:r>
      <w:r>
        <w:rPr>
          <w:rFonts w:ascii="Arial" w:eastAsia="MS Gothic" w:hAnsi="Arial" w:cs="Arial"/>
          <w:b/>
          <w:sz w:val="22"/>
          <w:szCs w:val="20"/>
          <w:lang w:val="en-US" w:eastAsia="zh-CN"/>
        </w:rPr>
        <w:tab/>
      </w:r>
      <w:proofErr w:type="gramStart"/>
      <w:r w:rsidR="003031BC" w:rsidRPr="003031BC">
        <w:rPr>
          <w:rFonts w:ascii="Arial" w:eastAsia="MS Gothic" w:hAnsi="Arial" w:cs="Arial"/>
          <w:b/>
          <w:sz w:val="22"/>
          <w:szCs w:val="20"/>
          <w:lang w:val="en-US" w:eastAsia="zh-CN"/>
        </w:rPr>
        <w:t>per</w:t>
      </w:r>
      <w:proofErr w:type="gramEnd"/>
      <w:r w:rsidR="003031BC" w:rsidRPr="003031BC">
        <w:rPr>
          <w:rFonts w:ascii="Arial" w:eastAsia="MS Gothic" w:hAnsi="Arial" w:cs="Arial"/>
          <w:b/>
          <w:sz w:val="22"/>
          <w:szCs w:val="20"/>
          <w:lang w:val="en-US" w:eastAsia="zh-CN"/>
        </w:rPr>
        <w:t xml:space="preserve"> local investigator assessment</w:t>
      </w:r>
      <w:bookmarkEnd w:id="34"/>
      <w:r w:rsidR="003031BC" w:rsidRPr="003031BC">
        <w:rPr>
          <w:rFonts w:ascii="Arial" w:eastAsia="MS Gothic" w:hAnsi="Arial" w:cs="Arial"/>
          <w:b/>
          <w:sz w:val="22"/>
          <w:szCs w:val="20"/>
          <w:lang w:val="en-US" w:eastAsia="zh-CN"/>
        </w:rPr>
        <w:t xml:space="preserve"> </w:t>
      </w:r>
      <w:bookmarkEnd w:id="35"/>
    </w:p>
    <w:p w14:paraId="06C03454" w14:textId="77777777" w:rsidR="003031BC" w:rsidRPr="003031BC" w:rsidRDefault="003031BC" w:rsidP="002B6B22">
      <w:pPr>
        <w:autoSpaceDE/>
        <w:autoSpaceDN/>
        <w:adjustRightInd/>
        <w:spacing w:before="120" w:after="0" w:line="240" w:lineRule="auto"/>
        <w:ind w:left="357"/>
        <w:rPr>
          <w:rFonts w:eastAsia="MS Mincho"/>
          <w:szCs w:val="20"/>
          <w:lang w:val="en-US" w:eastAsia="zh-CN"/>
        </w:rPr>
      </w:pPr>
      <w:r w:rsidRPr="003031BC">
        <w:rPr>
          <w:rFonts w:eastAsia="MS Mincho"/>
          <w:noProof/>
        </w:rPr>
        <w:drawing>
          <wp:inline distT="0" distB="0" distL="0" distR="0" wp14:anchorId="56AFC388" wp14:editId="0F9D0C5B">
            <wp:extent cx="6065520" cy="565829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67876" cy="5660497"/>
                    </a:xfrm>
                    <a:prstGeom prst="rect">
                      <a:avLst/>
                    </a:prstGeom>
                    <a:noFill/>
                    <a:ln>
                      <a:noFill/>
                    </a:ln>
                  </pic:spPr>
                </pic:pic>
              </a:graphicData>
            </a:graphic>
          </wp:inline>
        </w:drawing>
      </w:r>
    </w:p>
    <w:bookmarkEnd w:id="23"/>
    <w:bookmarkEnd w:id="24"/>
    <w:bookmarkEnd w:id="25"/>
    <w:bookmarkEnd w:id="26"/>
    <w:bookmarkEnd w:id="27"/>
    <w:bookmarkEnd w:id="28"/>
    <w:p w14:paraId="07FDE189" w14:textId="64864AF1" w:rsidR="00D06FFC" w:rsidRPr="00EF3DAB" w:rsidRDefault="00D06FFC" w:rsidP="009A6094">
      <w:pPr>
        <w:numPr>
          <w:ilvl w:val="0"/>
          <w:numId w:val="5"/>
        </w:numPr>
        <w:autoSpaceDE/>
        <w:autoSpaceDN/>
        <w:adjustRightInd/>
        <w:spacing w:before="120"/>
        <w:ind w:left="357" w:hanging="357"/>
        <w:contextualSpacing/>
        <w:rPr>
          <w:b/>
        </w:rPr>
      </w:pPr>
      <w:r w:rsidRPr="00EF3DAB">
        <w:rPr>
          <w:b/>
        </w:rPr>
        <w:t>Pharmacokinetic</w:t>
      </w:r>
      <w:r w:rsidR="0096446D" w:rsidRPr="00EF3DAB">
        <w:rPr>
          <w:b/>
        </w:rPr>
        <w:t xml:space="preserve"> propertie</w:t>
      </w:r>
      <w:r w:rsidRPr="00EF3DAB">
        <w:rPr>
          <w:b/>
        </w:rPr>
        <w:t>s</w:t>
      </w:r>
    </w:p>
    <w:p w14:paraId="0EF5DB7E" w14:textId="6BED44E8" w:rsidR="006C239A" w:rsidRDefault="006C239A" w:rsidP="00277621">
      <w:pPr>
        <w:widowControl w:val="0"/>
        <w:autoSpaceDE/>
        <w:autoSpaceDN/>
        <w:adjustRightInd/>
        <w:spacing w:before="120" w:after="0" w:line="240" w:lineRule="auto"/>
        <w:ind w:left="357"/>
        <w:contextualSpacing/>
      </w:pPr>
      <w:r w:rsidRPr="006C239A">
        <w:t>The pharmacokinetics</w:t>
      </w:r>
      <w:r>
        <w:t xml:space="preserve"> (PK)</w:t>
      </w:r>
      <w:r w:rsidRPr="006C239A">
        <w:t xml:space="preserve"> of </w:t>
      </w:r>
      <w:proofErr w:type="spellStart"/>
      <w:r w:rsidRPr="006C239A">
        <w:t>alpelisib</w:t>
      </w:r>
      <w:proofErr w:type="spellEnd"/>
      <w:r w:rsidRPr="006C239A">
        <w:t xml:space="preserve"> were investigated in patients under an oral dosing regimen ranging from 30 to 450 mg daily. Healthy subjects received single oral doses ranging from 300 mg to 400 mg. The PK was mostly comparable in both oncology patients and healthy subjects.</w:t>
      </w:r>
    </w:p>
    <w:p w14:paraId="07FDE18B" w14:textId="4A832C72" w:rsidR="00D06FFC" w:rsidRDefault="00D06FFC" w:rsidP="00F974E8">
      <w:pPr>
        <w:pStyle w:val="Heading3"/>
        <w:numPr>
          <w:ilvl w:val="0"/>
          <w:numId w:val="0"/>
        </w:numPr>
        <w:ind w:left="360"/>
        <w:rPr>
          <w:b w:val="0"/>
          <w:u w:val="single"/>
        </w:rPr>
      </w:pPr>
      <w:r w:rsidRPr="0088047D">
        <w:rPr>
          <w:b w:val="0"/>
          <w:u w:val="single"/>
        </w:rPr>
        <w:lastRenderedPageBreak/>
        <w:t>Absorption</w:t>
      </w:r>
    </w:p>
    <w:p w14:paraId="4B84149D" w14:textId="333B0655" w:rsidR="006C239A" w:rsidRPr="006C239A" w:rsidRDefault="006C239A" w:rsidP="009A6094">
      <w:pPr>
        <w:tabs>
          <w:tab w:val="left" w:pos="8505"/>
        </w:tabs>
        <w:autoSpaceDE/>
        <w:autoSpaceDN/>
        <w:adjustRightInd/>
        <w:spacing w:before="120" w:line="240" w:lineRule="auto"/>
        <w:ind w:left="357"/>
        <w:rPr>
          <w:rFonts w:eastAsia="MS Mincho"/>
          <w:lang w:val="en-US" w:eastAsia="zh-CN"/>
        </w:rPr>
      </w:pPr>
      <w:r w:rsidRPr="006C239A">
        <w:rPr>
          <w:rFonts w:eastAsia="MS Mincho"/>
          <w:szCs w:val="20"/>
          <w:lang w:val="en-US" w:eastAsia="zh-CN"/>
        </w:rPr>
        <w:t xml:space="preserve">Following oral administration of </w:t>
      </w:r>
      <w:proofErr w:type="spellStart"/>
      <w:r w:rsidRPr="006C239A">
        <w:rPr>
          <w:rFonts w:eastAsia="MS Mincho"/>
          <w:szCs w:val="20"/>
          <w:lang w:val="en-US" w:eastAsia="zh-CN"/>
        </w:rPr>
        <w:t>alpelisib</w:t>
      </w:r>
      <w:proofErr w:type="spellEnd"/>
      <w:r w:rsidRPr="006C239A">
        <w:rPr>
          <w:rFonts w:eastAsia="MS Mincho"/>
          <w:szCs w:val="20"/>
          <w:lang w:val="en-US" w:eastAsia="zh-CN"/>
        </w:rPr>
        <w:t>, median time to reach peak plasma concentration (</w:t>
      </w:r>
      <w:proofErr w:type="spellStart"/>
      <w:r w:rsidRPr="006C239A">
        <w:rPr>
          <w:rFonts w:eastAsia="MS Mincho"/>
          <w:szCs w:val="20"/>
          <w:lang w:val="en-US" w:eastAsia="zh-CN"/>
        </w:rPr>
        <w:t>Tmax</w:t>
      </w:r>
      <w:proofErr w:type="spellEnd"/>
      <w:r w:rsidRPr="006C239A">
        <w:rPr>
          <w:rFonts w:eastAsia="MS Mincho"/>
          <w:szCs w:val="20"/>
          <w:lang w:val="en-US" w:eastAsia="zh-CN"/>
        </w:rPr>
        <w:t>) ranged between 2.0 to 4.0 hours, independent of dose, time or regimen. Based on absorption modelling bioavailability was estimated to be very high (&gt;</w:t>
      </w:r>
      <w:r>
        <w:rPr>
          <w:rFonts w:eastAsia="MS Mincho"/>
          <w:szCs w:val="20"/>
          <w:lang w:val="en-US" w:eastAsia="zh-CN"/>
        </w:rPr>
        <w:t xml:space="preserve"> </w:t>
      </w:r>
      <w:r w:rsidRPr="006C239A">
        <w:rPr>
          <w:rFonts w:eastAsia="MS Mincho"/>
          <w:szCs w:val="20"/>
          <w:lang w:val="en-US" w:eastAsia="zh-CN"/>
        </w:rPr>
        <w:t>99%) under fed conditions but lower under fasted conditions (~68.7% at a 300 mg dose)</w:t>
      </w:r>
      <w:r w:rsidRPr="006C239A">
        <w:rPr>
          <w:rFonts w:eastAsia="MS Mincho"/>
          <w:color w:val="0000FF"/>
          <w:szCs w:val="20"/>
          <w:lang w:val="en-US" w:eastAsia="zh-CN"/>
        </w:rPr>
        <w:t>.</w:t>
      </w:r>
      <w:r w:rsidRPr="006C239A">
        <w:rPr>
          <w:rFonts w:eastAsia="MS Mincho"/>
          <w:szCs w:val="20"/>
          <w:lang w:val="en-US" w:eastAsia="zh-CN"/>
        </w:rPr>
        <w:t xml:space="preserve"> Steady-state plasma levels of </w:t>
      </w:r>
      <w:proofErr w:type="spellStart"/>
      <w:r w:rsidRPr="006C239A">
        <w:rPr>
          <w:rFonts w:eastAsia="MS Mincho"/>
          <w:szCs w:val="20"/>
          <w:lang w:val="en-US" w:eastAsia="zh-CN"/>
        </w:rPr>
        <w:t>alpelisib</w:t>
      </w:r>
      <w:proofErr w:type="spellEnd"/>
      <w:r w:rsidRPr="006C239A">
        <w:rPr>
          <w:rFonts w:eastAsia="MS Mincho"/>
          <w:szCs w:val="20"/>
          <w:lang w:val="en-US" w:eastAsia="zh-CN"/>
        </w:rPr>
        <w:t xml:space="preserve"> after daily dosing can be expected to be reached on day 3, following onset of therapy in most patients.</w:t>
      </w:r>
    </w:p>
    <w:p w14:paraId="07FDE18D" w14:textId="6BCDEB09" w:rsidR="00C07792" w:rsidRDefault="006C239A" w:rsidP="00EB7764">
      <w:pPr>
        <w:spacing w:after="60" w:line="240" w:lineRule="auto"/>
        <w:ind w:left="357"/>
        <w:rPr>
          <w:i/>
        </w:rPr>
      </w:pPr>
      <w:r>
        <w:rPr>
          <w:i/>
        </w:rPr>
        <w:t>Food e</w:t>
      </w:r>
      <w:r w:rsidR="00C07792" w:rsidRPr="00F974E8">
        <w:rPr>
          <w:i/>
        </w:rPr>
        <w:t>ffect</w:t>
      </w:r>
    </w:p>
    <w:p w14:paraId="4E55E249" w14:textId="04C7ABEB" w:rsidR="006C239A" w:rsidRDefault="006C239A" w:rsidP="009A6094">
      <w:pPr>
        <w:autoSpaceDE/>
        <w:autoSpaceDN/>
        <w:adjustRightInd/>
        <w:spacing w:before="60" w:line="240" w:lineRule="auto"/>
        <w:ind w:left="357"/>
        <w:rPr>
          <w:rFonts w:eastAsia="MS Mincho"/>
          <w:lang w:val="en-US" w:eastAsia="zh-CN"/>
        </w:rPr>
      </w:pPr>
      <w:proofErr w:type="spellStart"/>
      <w:r w:rsidRPr="006C239A">
        <w:rPr>
          <w:rFonts w:eastAsia="MS Mincho"/>
          <w:bCs/>
          <w:lang w:val="en-US" w:eastAsia="zh-CN"/>
        </w:rPr>
        <w:t>Alpelisib</w:t>
      </w:r>
      <w:proofErr w:type="spellEnd"/>
      <w:r w:rsidRPr="006C239A">
        <w:rPr>
          <w:rFonts w:eastAsia="MS Mincho"/>
          <w:bCs/>
          <w:lang w:val="en-US" w:eastAsia="zh-CN"/>
        </w:rPr>
        <w:t xml:space="preserve"> absorption is affected by food</w:t>
      </w:r>
      <w:r w:rsidRPr="006C239A">
        <w:rPr>
          <w:rFonts w:eastAsia="MS Mincho"/>
          <w:szCs w:val="20"/>
          <w:lang w:val="en-US" w:eastAsia="zh-CN"/>
        </w:rPr>
        <w:t xml:space="preserve">. In healthy volunteers after a single 300 mg oral dose of </w:t>
      </w:r>
      <w:proofErr w:type="spellStart"/>
      <w:r w:rsidRPr="006C239A">
        <w:rPr>
          <w:rFonts w:eastAsia="MS Mincho"/>
          <w:szCs w:val="20"/>
          <w:lang w:val="en-US" w:eastAsia="zh-CN"/>
        </w:rPr>
        <w:t>alpelisib</w:t>
      </w:r>
      <w:proofErr w:type="spellEnd"/>
      <w:r w:rsidRPr="006C239A">
        <w:rPr>
          <w:rFonts w:eastAsia="MS Mincho"/>
          <w:szCs w:val="20"/>
          <w:lang w:val="en-US" w:eastAsia="zh-CN"/>
        </w:rPr>
        <w:t xml:space="preserve">, compared to the fasted state, a high-fat high-calorie (HFHC) meal (985 calories with 58.1 g of fat) increased </w:t>
      </w:r>
      <w:proofErr w:type="spellStart"/>
      <w:r w:rsidRPr="006C239A">
        <w:rPr>
          <w:rFonts w:eastAsia="MS Mincho"/>
          <w:szCs w:val="20"/>
          <w:lang w:val="en-US" w:eastAsia="zh-CN"/>
        </w:rPr>
        <w:t>AUCinf</w:t>
      </w:r>
      <w:proofErr w:type="spellEnd"/>
      <w:r w:rsidRPr="006C239A">
        <w:rPr>
          <w:rFonts w:eastAsia="MS Mincho"/>
          <w:szCs w:val="20"/>
          <w:lang w:val="en-US" w:eastAsia="zh-CN"/>
        </w:rPr>
        <w:t xml:space="preserve"> by 73% and </w:t>
      </w:r>
      <w:proofErr w:type="spellStart"/>
      <w:r w:rsidRPr="006C239A">
        <w:rPr>
          <w:rFonts w:eastAsia="MS Mincho"/>
          <w:szCs w:val="20"/>
          <w:lang w:val="en-US" w:eastAsia="zh-CN"/>
        </w:rPr>
        <w:t>Cmax</w:t>
      </w:r>
      <w:proofErr w:type="spellEnd"/>
      <w:r w:rsidRPr="006C239A">
        <w:rPr>
          <w:rFonts w:eastAsia="MS Mincho"/>
          <w:szCs w:val="20"/>
          <w:lang w:val="en-US" w:eastAsia="zh-CN"/>
        </w:rPr>
        <w:t xml:space="preserve"> by 84%, and a low-fat low-calorie (LFLC) meal (334 calories with 8.7 g of fat) increased </w:t>
      </w:r>
      <w:proofErr w:type="spellStart"/>
      <w:r w:rsidRPr="006C239A">
        <w:rPr>
          <w:rFonts w:eastAsia="MS Mincho"/>
          <w:szCs w:val="20"/>
          <w:lang w:val="en-US" w:eastAsia="zh-CN"/>
        </w:rPr>
        <w:t>AUCinf</w:t>
      </w:r>
      <w:proofErr w:type="spellEnd"/>
      <w:r w:rsidRPr="006C239A">
        <w:rPr>
          <w:rFonts w:eastAsia="MS Mincho"/>
          <w:szCs w:val="20"/>
          <w:lang w:val="en-US" w:eastAsia="zh-CN"/>
        </w:rPr>
        <w:t xml:space="preserve"> by 77% and </w:t>
      </w:r>
      <w:proofErr w:type="spellStart"/>
      <w:r w:rsidRPr="006C239A">
        <w:rPr>
          <w:rFonts w:eastAsia="MS Mincho"/>
          <w:szCs w:val="20"/>
          <w:lang w:val="en-US" w:eastAsia="zh-CN"/>
        </w:rPr>
        <w:t>Cmax</w:t>
      </w:r>
      <w:proofErr w:type="spellEnd"/>
      <w:r w:rsidRPr="006C239A">
        <w:rPr>
          <w:rFonts w:eastAsia="MS Mincho"/>
          <w:szCs w:val="20"/>
          <w:lang w:val="en-US" w:eastAsia="zh-CN"/>
        </w:rPr>
        <w:t xml:space="preserve"> by 145%. No significant difference was found for </w:t>
      </w:r>
      <w:proofErr w:type="spellStart"/>
      <w:r w:rsidRPr="006C239A">
        <w:rPr>
          <w:rFonts w:eastAsia="MS Mincho"/>
          <w:szCs w:val="20"/>
          <w:lang w:val="en-US" w:eastAsia="zh-CN"/>
        </w:rPr>
        <w:t>AUCinf</w:t>
      </w:r>
      <w:proofErr w:type="spellEnd"/>
      <w:r w:rsidRPr="006C239A">
        <w:rPr>
          <w:rFonts w:eastAsia="MS Mincho"/>
          <w:szCs w:val="20"/>
          <w:lang w:val="en-US" w:eastAsia="zh-CN"/>
        </w:rPr>
        <w:t xml:space="preserve"> between LFLC and HF</w:t>
      </w:r>
      <w:r w:rsidR="00EE63DA">
        <w:rPr>
          <w:rFonts w:eastAsia="MS Mincho"/>
          <w:szCs w:val="20"/>
          <w:lang w:val="en-US" w:eastAsia="zh-CN"/>
        </w:rPr>
        <w:t>H</w:t>
      </w:r>
      <w:r w:rsidRPr="006C239A">
        <w:rPr>
          <w:rFonts w:eastAsia="MS Mincho"/>
          <w:szCs w:val="20"/>
          <w:lang w:val="en-US" w:eastAsia="zh-CN"/>
        </w:rPr>
        <w:t>C with a geometric mean ratio of 0.978 [CI: 0.876, 1.09] showing that neither fat content nor overall caloric intake has a considerable impact on absorption. The increase in gastrointestinal solubility by bile, secreted in response to food intake, is considered to be the driver of the food effect. Hence, PIQRAY should be taken immediately after food, at approximately same time each day</w:t>
      </w:r>
      <w:r w:rsidRPr="006C239A" w:rsidDel="005966CE">
        <w:rPr>
          <w:rFonts w:eastAsia="MS Mincho"/>
          <w:lang w:val="en-US" w:eastAsia="zh-CN"/>
        </w:rPr>
        <w:t>.</w:t>
      </w:r>
    </w:p>
    <w:p w14:paraId="7C536BA4" w14:textId="77777777" w:rsidR="00EB7764" w:rsidRPr="00EB7764" w:rsidRDefault="00EB7764" w:rsidP="00EB7764">
      <w:pPr>
        <w:spacing w:after="60" w:line="240" w:lineRule="auto"/>
        <w:ind w:left="357"/>
        <w:rPr>
          <w:i/>
        </w:rPr>
      </w:pPr>
      <w:proofErr w:type="gramStart"/>
      <w:r w:rsidRPr="00EB7764">
        <w:rPr>
          <w:i/>
        </w:rPr>
        <w:t>pH</w:t>
      </w:r>
      <w:proofErr w:type="gramEnd"/>
      <w:r w:rsidRPr="00EB7764">
        <w:rPr>
          <w:i/>
        </w:rPr>
        <w:t xml:space="preserve"> reducing agents</w:t>
      </w:r>
    </w:p>
    <w:p w14:paraId="275578B4" w14:textId="5CC851C5" w:rsidR="00EB7764" w:rsidRDefault="00EB7764" w:rsidP="009A6094">
      <w:pPr>
        <w:tabs>
          <w:tab w:val="left" w:pos="8505"/>
        </w:tabs>
        <w:autoSpaceDE/>
        <w:autoSpaceDN/>
        <w:adjustRightInd/>
        <w:spacing w:line="240" w:lineRule="auto"/>
        <w:ind w:left="357"/>
        <w:rPr>
          <w:rFonts w:eastAsia="MS Mincho"/>
          <w:bCs/>
          <w:lang w:val="en-US" w:eastAsia="zh-CN"/>
        </w:rPr>
      </w:pPr>
      <w:r w:rsidRPr="00EB7764">
        <w:rPr>
          <w:rFonts w:eastAsia="MS Mincho"/>
          <w:szCs w:val="20"/>
          <w:lang w:val="en" w:eastAsia="en-US"/>
        </w:rPr>
        <w:t xml:space="preserve">The co-administration of the H2 receptor antagonist ranitidine in combination with a single 300 mg oral dose of </w:t>
      </w:r>
      <w:proofErr w:type="spellStart"/>
      <w:r w:rsidRPr="00EB7764">
        <w:rPr>
          <w:rFonts w:eastAsia="MS Mincho"/>
          <w:szCs w:val="20"/>
          <w:lang w:val="en" w:eastAsia="en-US"/>
        </w:rPr>
        <w:t>alpelisib</w:t>
      </w:r>
      <w:proofErr w:type="spellEnd"/>
      <w:r w:rsidRPr="00EB7764">
        <w:rPr>
          <w:rFonts w:eastAsia="MS Mincho"/>
          <w:szCs w:val="20"/>
          <w:lang w:val="en" w:eastAsia="en-US"/>
        </w:rPr>
        <w:t xml:space="preserve"> slightly reduced the bioavailability of </w:t>
      </w:r>
      <w:proofErr w:type="spellStart"/>
      <w:r w:rsidRPr="00EB7764">
        <w:rPr>
          <w:rFonts w:eastAsia="MS Mincho"/>
          <w:szCs w:val="20"/>
          <w:lang w:val="en" w:eastAsia="en-US"/>
        </w:rPr>
        <w:t>alpelisib</w:t>
      </w:r>
      <w:proofErr w:type="spellEnd"/>
      <w:r w:rsidRPr="00EB7764">
        <w:rPr>
          <w:rFonts w:eastAsia="MS Mincho"/>
          <w:szCs w:val="20"/>
          <w:lang w:val="en" w:eastAsia="en-US"/>
        </w:rPr>
        <w:t xml:space="preserve"> and decreased overall exposure of </w:t>
      </w:r>
      <w:proofErr w:type="spellStart"/>
      <w:r w:rsidRPr="00EB7764">
        <w:rPr>
          <w:rFonts w:eastAsia="MS Mincho"/>
          <w:szCs w:val="20"/>
          <w:lang w:val="en" w:eastAsia="en-US"/>
        </w:rPr>
        <w:t>alpelisib</w:t>
      </w:r>
      <w:proofErr w:type="spellEnd"/>
      <w:r w:rsidRPr="00EB7764">
        <w:rPr>
          <w:rFonts w:eastAsia="MS Mincho"/>
          <w:szCs w:val="20"/>
          <w:lang w:val="en" w:eastAsia="en-US"/>
        </w:rPr>
        <w:t xml:space="preserve">. In the presence of a LFLC meal, </w:t>
      </w:r>
      <w:proofErr w:type="spellStart"/>
      <w:r w:rsidRPr="00EB7764">
        <w:rPr>
          <w:rFonts w:eastAsia="MS Mincho"/>
          <w:szCs w:val="20"/>
          <w:lang w:val="en" w:eastAsia="en-US"/>
        </w:rPr>
        <w:t>AUCinf</w:t>
      </w:r>
      <w:proofErr w:type="spellEnd"/>
      <w:r w:rsidRPr="00EB7764">
        <w:rPr>
          <w:rFonts w:eastAsia="MS Mincho"/>
          <w:szCs w:val="20"/>
          <w:lang w:val="en" w:eastAsia="en-US"/>
        </w:rPr>
        <w:t xml:space="preserve"> was decreased on average by 21</w:t>
      </w:r>
      <w:r w:rsidR="00EE1792">
        <w:rPr>
          <w:rFonts w:eastAsia="MS Mincho"/>
          <w:szCs w:val="20"/>
          <w:lang w:val="en" w:eastAsia="en-US"/>
        </w:rPr>
        <w:t xml:space="preserve"> </w:t>
      </w:r>
      <w:r w:rsidRPr="00EB7764">
        <w:rPr>
          <w:rFonts w:eastAsia="MS Mincho"/>
          <w:szCs w:val="20"/>
          <w:lang w:val="en" w:eastAsia="en-US"/>
        </w:rPr>
        <w:t xml:space="preserve">% and </w:t>
      </w:r>
      <w:proofErr w:type="spellStart"/>
      <w:r w:rsidRPr="00EB7764">
        <w:rPr>
          <w:rFonts w:eastAsia="MS Mincho"/>
          <w:szCs w:val="20"/>
          <w:lang w:val="en" w:eastAsia="en-US"/>
        </w:rPr>
        <w:t>Cmax</w:t>
      </w:r>
      <w:proofErr w:type="spellEnd"/>
      <w:r w:rsidRPr="00EB7764">
        <w:rPr>
          <w:rFonts w:eastAsia="MS Mincho"/>
          <w:szCs w:val="20"/>
          <w:lang w:val="en" w:eastAsia="en-US"/>
        </w:rPr>
        <w:t xml:space="preserve"> by 36</w:t>
      </w:r>
      <w:r w:rsidR="00EE1792">
        <w:rPr>
          <w:rFonts w:eastAsia="MS Mincho"/>
          <w:szCs w:val="20"/>
          <w:lang w:val="en" w:eastAsia="en-US"/>
        </w:rPr>
        <w:t xml:space="preserve"> </w:t>
      </w:r>
      <w:r w:rsidRPr="00EB7764">
        <w:rPr>
          <w:rFonts w:eastAsia="MS Mincho"/>
          <w:szCs w:val="20"/>
          <w:lang w:val="en" w:eastAsia="en-US"/>
        </w:rPr>
        <w:t>% with ranitidine. In the absence of food, the effect was more pronounced with a 30</w:t>
      </w:r>
      <w:r w:rsidR="00EE1792">
        <w:rPr>
          <w:rFonts w:eastAsia="MS Mincho"/>
          <w:szCs w:val="20"/>
          <w:lang w:val="en" w:eastAsia="en-US"/>
        </w:rPr>
        <w:t xml:space="preserve"> </w:t>
      </w:r>
      <w:r w:rsidRPr="00EB7764">
        <w:rPr>
          <w:rFonts w:eastAsia="MS Mincho"/>
          <w:szCs w:val="20"/>
          <w:lang w:val="en" w:eastAsia="en-US"/>
        </w:rPr>
        <w:t xml:space="preserve">% decrease in </w:t>
      </w:r>
      <w:proofErr w:type="spellStart"/>
      <w:r w:rsidRPr="00EB7764">
        <w:rPr>
          <w:rFonts w:eastAsia="MS Mincho"/>
          <w:szCs w:val="20"/>
          <w:lang w:val="en" w:eastAsia="en-US"/>
        </w:rPr>
        <w:t>AUC</w:t>
      </w:r>
      <w:r w:rsidRPr="00EE1792">
        <w:rPr>
          <w:rFonts w:eastAsia="MS Mincho"/>
          <w:szCs w:val="20"/>
          <w:vertAlign w:val="subscript"/>
          <w:lang w:val="en" w:eastAsia="en-US"/>
        </w:rPr>
        <w:t>inf</w:t>
      </w:r>
      <w:proofErr w:type="spellEnd"/>
      <w:r w:rsidRPr="00EB7764">
        <w:rPr>
          <w:rFonts w:eastAsia="MS Mincho"/>
          <w:szCs w:val="20"/>
          <w:lang w:val="en" w:eastAsia="en-US"/>
        </w:rPr>
        <w:t xml:space="preserve"> and a 51</w:t>
      </w:r>
      <w:r w:rsidR="00EE1792">
        <w:rPr>
          <w:rFonts w:eastAsia="MS Mincho"/>
          <w:szCs w:val="20"/>
          <w:lang w:val="en" w:eastAsia="en-US"/>
        </w:rPr>
        <w:t xml:space="preserve"> </w:t>
      </w:r>
      <w:r w:rsidRPr="00EB7764">
        <w:rPr>
          <w:rFonts w:eastAsia="MS Mincho"/>
          <w:szCs w:val="20"/>
          <w:lang w:val="en" w:eastAsia="en-US"/>
        </w:rPr>
        <w:t xml:space="preserve">% decrease in </w:t>
      </w:r>
      <w:proofErr w:type="spellStart"/>
      <w:r w:rsidRPr="00EB7764">
        <w:rPr>
          <w:rFonts w:eastAsia="MS Mincho"/>
          <w:szCs w:val="20"/>
          <w:lang w:val="en" w:eastAsia="en-US"/>
        </w:rPr>
        <w:t>C</w:t>
      </w:r>
      <w:r w:rsidRPr="00EE1792">
        <w:rPr>
          <w:rFonts w:eastAsia="MS Mincho"/>
          <w:szCs w:val="20"/>
          <w:vertAlign w:val="subscript"/>
          <w:lang w:val="en" w:eastAsia="en-US"/>
        </w:rPr>
        <w:t>max</w:t>
      </w:r>
      <w:proofErr w:type="spellEnd"/>
      <w:r w:rsidRPr="00EB7764">
        <w:rPr>
          <w:rFonts w:eastAsia="MS Mincho"/>
          <w:szCs w:val="20"/>
          <w:lang w:val="en" w:eastAsia="en-US"/>
        </w:rPr>
        <w:t xml:space="preserve"> with ranitidine</w:t>
      </w:r>
      <w:r w:rsidRPr="00EB7764">
        <w:rPr>
          <w:rFonts w:eastAsia="MS Mincho"/>
          <w:color w:val="0000FF"/>
          <w:szCs w:val="20"/>
          <w:lang w:val="en-US" w:eastAsia="zh-CN"/>
        </w:rPr>
        <w:t xml:space="preserve"> </w:t>
      </w:r>
      <w:r w:rsidRPr="00EB7764">
        <w:rPr>
          <w:rFonts w:eastAsia="MS Mincho"/>
          <w:szCs w:val="20"/>
          <w:lang w:val="en" w:eastAsia="en-US"/>
        </w:rPr>
        <w:t xml:space="preserve">compared to the fasted state without co-administration of ranitidine. </w:t>
      </w:r>
      <w:r w:rsidRPr="00EB7764">
        <w:rPr>
          <w:rFonts w:eastAsia="MS Mincho"/>
          <w:bCs/>
          <w:lang w:val="en-US" w:eastAsia="zh-CN"/>
        </w:rPr>
        <w:t>PIQRAY can be co-administered with drugs that are acid-reducing agents, if PIQRAY is taken immediately after food. Population pharmacokinetic analysis showed no significant effect on the PK of PIQRAY by co-administration of acid reducing agents including proton pump inhibitors, H2 receptor antagonists and antacids.</w:t>
      </w:r>
    </w:p>
    <w:p w14:paraId="07FDE18F" w14:textId="1C17C6C7" w:rsidR="00D06FFC" w:rsidRDefault="00D06FFC" w:rsidP="00EB7764">
      <w:pPr>
        <w:pStyle w:val="Heading3"/>
        <w:keepNext w:val="0"/>
        <w:widowControl w:val="0"/>
        <w:numPr>
          <w:ilvl w:val="0"/>
          <w:numId w:val="0"/>
        </w:numPr>
        <w:ind w:left="357"/>
        <w:rPr>
          <w:b w:val="0"/>
          <w:u w:val="single"/>
        </w:rPr>
      </w:pPr>
      <w:r w:rsidRPr="00DE27DD">
        <w:rPr>
          <w:b w:val="0"/>
          <w:u w:val="single"/>
        </w:rPr>
        <w:t>Distribution</w:t>
      </w:r>
    </w:p>
    <w:p w14:paraId="5731811B" w14:textId="25FF9FEE" w:rsidR="00EB7764" w:rsidRPr="00EB7764" w:rsidRDefault="00EB7764" w:rsidP="009A6094">
      <w:pPr>
        <w:tabs>
          <w:tab w:val="left" w:pos="8505"/>
        </w:tabs>
        <w:autoSpaceDE/>
        <w:autoSpaceDN/>
        <w:adjustRightInd/>
        <w:spacing w:before="120" w:line="240" w:lineRule="auto"/>
        <w:ind w:left="357"/>
        <w:rPr>
          <w:rFonts w:eastAsia="MS Mincho"/>
          <w:szCs w:val="20"/>
          <w:lang w:val="en-US" w:eastAsia="zh-CN"/>
        </w:rPr>
      </w:pPr>
      <w:proofErr w:type="spellStart"/>
      <w:r w:rsidRPr="00EB7764">
        <w:rPr>
          <w:rFonts w:eastAsia="MS Mincho"/>
          <w:szCs w:val="20"/>
          <w:lang w:val="en-US" w:eastAsia="zh-CN"/>
        </w:rPr>
        <w:t>Alpelisib</w:t>
      </w:r>
      <w:proofErr w:type="spellEnd"/>
      <w:r w:rsidRPr="00EB7764">
        <w:rPr>
          <w:rFonts w:eastAsia="MS Mincho"/>
          <w:szCs w:val="20"/>
          <w:lang w:val="en-US" w:eastAsia="zh-CN"/>
        </w:rPr>
        <w:t xml:space="preserve"> moderately binds to protein with a free fraction of 10.8% regardless of concentration. </w:t>
      </w:r>
      <w:proofErr w:type="spellStart"/>
      <w:r w:rsidRPr="00EB7764">
        <w:rPr>
          <w:rFonts w:eastAsia="MS Mincho"/>
          <w:szCs w:val="20"/>
          <w:lang w:val="en-US" w:eastAsia="zh-CN"/>
        </w:rPr>
        <w:t>Alpelisib</w:t>
      </w:r>
      <w:proofErr w:type="spellEnd"/>
      <w:r w:rsidRPr="00EB7764">
        <w:rPr>
          <w:rFonts w:eastAsia="MS Mincho"/>
          <w:szCs w:val="20"/>
          <w:lang w:val="en-US" w:eastAsia="zh-CN"/>
        </w:rPr>
        <w:t xml:space="preserve"> was equally distributed between red blood cells and plasma with a mean </w:t>
      </w:r>
      <w:r w:rsidRPr="00EB7764">
        <w:rPr>
          <w:rFonts w:eastAsia="MS Mincho"/>
          <w:i/>
          <w:szCs w:val="20"/>
          <w:lang w:val="en-US" w:eastAsia="zh-CN"/>
        </w:rPr>
        <w:t>in vivo</w:t>
      </w:r>
      <w:r w:rsidRPr="00EB7764">
        <w:rPr>
          <w:rFonts w:eastAsia="MS Mincho"/>
          <w:szCs w:val="20"/>
          <w:lang w:val="en-US" w:eastAsia="zh-CN"/>
        </w:rPr>
        <w:t xml:space="preserve"> blood-to-plasma ratio of 1.03. The volume of distribution of </w:t>
      </w:r>
      <w:proofErr w:type="spellStart"/>
      <w:r w:rsidRPr="00EB7764">
        <w:rPr>
          <w:rFonts w:eastAsia="MS Mincho"/>
          <w:szCs w:val="20"/>
          <w:lang w:val="en-US" w:eastAsia="zh-CN"/>
        </w:rPr>
        <w:t>alpelisib</w:t>
      </w:r>
      <w:proofErr w:type="spellEnd"/>
      <w:r w:rsidRPr="00EB7764">
        <w:rPr>
          <w:rFonts w:eastAsia="MS Mincho"/>
          <w:szCs w:val="20"/>
          <w:lang w:val="en-US" w:eastAsia="zh-CN"/>
        </w:rPr>
        <w:t xml:space="preserve"> at steady-state (</w:t>
      </w:r>
      <w:proofErr w:type="spellStart"/>
      <w:r w:rsidRPr="00EB7764">
        <w:rPr>
          <w:rFonts w:eastAsia="MS Mincho"/>
          <w:szCs w:val="20"/>
          <w:lang w:val="en-US" w:eastAsia="zh-CN"/>
        </w:rPr>
        <w:t>Vss</w:t>
      </w:r>
      <w:proofErr w:type="spellEnd"/>
      <w:r w:rsidRPr="00EB7764">
        <w:rPr>
          <w:rFonts w:eastAsia="MS Mincho"/>
          <w:szCs w:val="20"/>
          <w:lang w:val="en-US" w:eastAsia="zh-CN"/>
        </w:rPr>
        <w:t>/F) is estimated at 114 L (</w:t>
      </w:r>
      <w:proofErr w:type="spellStart"/>
      <w:r w:rsidRPr="00EB7764">
        <w:rPr>
          <w:rFonts w:eastAsia="MS Mincho"/>
          <w:szCs w:val="20"/>
          <w:lang w:val="en-US" w:eastAsia="zh-CN"/>
        </w:rPr>
        <w:t>intersubject</w:t>
      </w:r>
      <w:proofErr w:type="spellEnd"/>
      <w:r w:rsidRPr="00EB7764">
        <w:rPr>
          <w:rFonts w:eastAsia="MS Mincho"/>
          <w:szCs w:val="20"/>
          <w:lang w:val="en-US" w:eastAsia="zh-CN"/>
        </w:rPr>
        <w:t xml:space="preserve"> CV</w:t>
      </w:r>
      <w:r w:rsidR="00723671">
        <w:rPr>
          <w:rFonts w:eastAsia="MS Mincho"/>
          <w:szCs w:val="20"/>
          <w:lang w:val="en-US" w:eastAsia="zh-CN"/>
        </w:rPr>
        <w:t xml:space="preserve"> </w:t>
      </w:r>
      <w:r w:rsidRPr="00EB7764">
        <w:rPr>
          <w:rFonts w:eastAsia="MS Mincho"/>
          <w:szCs w:val="20"/>
          <w:lang w:val="en-US" w:eastAsia="zh-CN"/>
        </w:rPr>
        <w:t>% 46</w:t>
      </w:r>
      <w:r w:rsidR="00723671">
        <w:rPr>
          <w:rFonts w:eastAsia="MS Mincho"/>
          <w:szCs w:val="20"/>
          <w:lang w:val="en-US" w:eastAsia="zh-CN"/>
        </w:rPr>
        <w:t xml:space="preserve"> </w:t>
      </w:r>
      <w:r w:rsidRPr="00EB7764">
        <w:rPr>
          <w:rFonts w:eastAsia="MS Mincho"/>
          <w:szCs w:val="20"/>
          <w:lang w:val="en-US" w:eastAsia="zh-CN"/>
        </w:rPr>
        <w:t>%).</w:t>
      </w:r>
    </w:p>
    <w:p w14:paraId="07FDE193" w14:textId="77777777" w:rsidR="00D06FFC" w:rsidRPr="00DE27DD" w:rsidRDefault="00D06FFC" w:rsidP="00EB7764">
      <w:pPr>
        <w:pStyle w:val="Heading3"/>
        <w:keepNext w:val="0"/>
        <w:widowControl w:val="0"/>
        <w:numPr>
          <w:ilvl w:val="0"/>
          <w:numId w:val="0"/>
        </w:numPr>
        <w:ind w:left="357"/>
        <w:rPr>
          <w:b w:val="0"/>
          <w:u w:val="single"/>
        </w:rPr>
      </w:pPr>
      <w:r w:rsidRPr="00DE27DD">
        <w:rPr>
          <w:b w:val="0"/>
          <w:u w:val="single"/>
        </w:rPr>
        <w:t>Metabolism</w:t>
      </w:r>
    </w:p>
    <w:p w14:paraId="6C48B0E3" w14:textId="49D66ED9" w:rsidR="00EB7764" w:rsidRPr="00EB7764" w:rsidRDefault="00EB7764" w:rsidP="009A6094">
      <w:pPr>
        <w:widowControl w:val="0"/>
        <w:autoSpaceDE/>
        <w:autoSpaceDN/>
        <w:adjustRightInd/>
        <w:spacing w:before="120" w:line="240" w:lineRule="auto"/>
        <w:ind w:left="357"/>
        <w:rPr>
          <w:rFonts w:eastAsia="MS Mincho"/>
          <w:szCs w:val="20"/>
          <w:lang w:val="en-US" w:eastAsia="zh-CN"/>
        </w:rPr>
      </w:pPr>
      <w:r w:rsidRPr="00EB7764">
        <w:rPr>
          <w:rFonts w:eastAsia="MS Mincho"/>
          <w:i/>
          <w:iCs/>
          <w:szCs w:val="20"/>
          <w:lang w:val="en-US" w:eastAsia="zh-CN"/>
        </w:rPr>
        <w:t>In vitro</w:t>
      </w:r>
      <w:r w:rsidRPr="00EB7764">
        <w:rPr>
          <w:rFonts w:eastAsia="MS Mincho"/>
          <w:szCs w:val="20"/>
          <w:lang w:val="en-US" w:eastAsia="zh-CN"/>
        </w:rPr>
        <w:t xml:space="preserve"> studies demonstrated that formation of the hydrolysis metabolite BZG791 by chemical and enzymatic amide hydrolysis was a major metabolic pathway, followed by minor contribution of CYP3A4. </w:t>
      </w:r>
      <w:proofErr w:type="spellStart"/>
      <w:r w:rsidRPr="00EB7764">
        <w:rPr>
          <w:rFonts w:eastAsia="MS Mincho"/>
          <w:szCs w:val="20"/>
          <w:lang w:val="en-US" w:eastAsia="zh-CN"/>
        </w:rPr>
        <w:t>Alpelisib</w:t>
      </w:r>
      <w:proofErr w:type="spellEnd"/>
      <w:r w:rsidRPr="00EB7764" w:rsidDel="000D04EF">
        <w:rPr>
          <w:rFonts w:eastAsia="MS Mincho"/>
          <w:szCs w:val="20"/>
          <w:lang w:val="en-US" w:eastAsia="zh-CN"/>
        </w:rPr>
        <w:t xml:space="preserve"> </w:t>
      </w:r>
      <w:r w:rsidRPr="00EB7764">
        <w:rPr>
          <w:rFonts w:eastAsia="MS Mincho"/>
          <w:szCs w:val="20"/>
          <w:lang w:val="en-US" w:eastAsia="zh-CN"/>
        </w:rPr>
        <w:t>hydrolysis occurs systemically by both chemical decomposition and enzymatic hydrolysis via ubiquitously expressed, high-capacity enzymes (</w:t>
      </w:r>
      <w:proofErr w:type="spellStart"/>
      <w:r w:rsidRPr="00EB7764">
        <w:rPr>
          <w:rFonts w:eastAsia="MS Mincho"/>
          <w:szCs w:val="20"/>
          <w:lang w:val="en-US" w:eastAsia="zh-CN"/>
        </w:rPr>
        <w:t>esterases</w:t>
      </w:r>
      <w:proofErr w:type="spellEnd"/>
      <w:r w:rsidRPr="00EB7764">
        <w:rPr>
          <w:rFonts w:eastAsia="MS Mincho"/>
          <w:szCs w:val="20"/>
          <w:lang w:val="en-US" w:eastAsia="zh-CN"/>
        </w:rPr>
        <w:t xml:space="preserve">, amidases, </w:t>
      </w:r>
      <w:r w:rsidR="001309BE" w:rsidRPr="00EB7764">
        <w:rPr>
          <w:rFonts w:eastAsia="MS Mincho"/>
          <w:szCs w:val="20"/>
          <w:lang w:val="en-US" w:eastAsia="zh-CN"/>
        </w:rPr>
        <w:t>and choline</w:t>
      </w:r>
      <w:r w:rsidRPr="00EB7764">
        <w:rPr>
          <w:rFonts w:eastAsia="MS Mincho"/>
          <w:szCs w:val="20"/>
          <w:lang w:val="en-US" w:eastAsia="zh-CN"/>
        </w:rPr>
        <w:t xml:space="preserve"> esterase) not limited to the liver.</w:t>
      </w:r>
      <w:r w:rsidRPr="00EB7764" w:rsidDel="006A1118">
        <w:rPr>
          <w:rFonts w:eastAsia="MS Mincho"/>
          <w:szCs w:val="20"/>
          <w:lang w:val="en-US" w:eastAsia="zh-CN"/>
        </w:rPr>
        <w:t xml:space="preserve"> </w:t>
      </w:r>
      <w:r w:rsidRPr="00EB7764">
        <w:rPr>
          <w:rFonts w:eastAsia="MS Mincho"/>
          <w:szCs w:val="20"/>
          <w:lang w:val="en-US" w:eastAsia="zh-CN"/>
        </w:rPr>
        <w:t xml:space="preserve">CYP3A4-mediated metabolites and glucuronides amounted to ~15% of the dose </w:t>
      </w:r>
      <w:r w:rsidR="0077155A">
        <w:rPr>
          <w:rFonts w:eastAsia="MS Mincho"/>
          <w:szCs w:val="20"/>
          <w:lang w:val="en-US" w:eastAsia="zh-CN"/>
        </w:rPr>
        <w:t xml:space="preserve">and </w:t>
      </w:r>
      <w:r w:rsidRPr="00EB7764">
        <w:rPr>
          <w:rFonts w:eastAsia="MS Mincho"/>
          <w:szCs w:val="20"/>
          <w:lang w:val="en-US" w:eastAsia="zh-CN"/>
        </w:rPr>
        <w:t xml:space="preserve">BZG791 accounted for ~40-45% of the dose. The rest of the absorbed fraction of the </w:t>
      </w:r>
      <w:r w:rsidR="009A6094">
        <w:rPr>
          <w:rFonts w:eastAsia="MS Mincho"/>
          <w:szCs w:val="20"/>
          <w:lang w:val="en-US" w:eastAsia="zh-CN"/>
        </w:rPr>
        <w:t xml:space="preserve">dose was excreted as </w:t>
      </w:r>
      <w:proofErr w:type="spellStart"/>
      <w:r w:rsidR="009A6094">
        <w:rPr>
          <w:rFonts w:eastAsia="MS Mincho"/>
          <w:szCs w:val="20"/>
          <w:lang w:val="en-US" w:eastAsia="zh-CN"/>
        </w:rPr>
        <w:t>alpelisib</w:t>
      </w:r>
      <w:proofErr w:type="spellEnd"/>
      <w:r w:rsidR="009A6094">
        <w:rPr>
          <w:rFonts w:eastAsia="MS Mincho"/>
          <w:szCs w:val="20"/>
          <w:lang w:val="en-US" w:eastAsia="zh-CN"/>
        </w:rPr>
        <w:t>.</w:t>
      </w:r>
    </w:p>
    <w:p w14:paraId="07FDE195" w14:textId="473FC76A" w:rsidR="00D06FFC" w:rsidRDefault="00E81E59" w:rsidP="00EB7764">
      <w:pPr>
        <w:pStyle w:val="Heading3"/>
        <w:keepNext w:val="0"/>
        <w:widowControl w:val="0"/>
        <w:numPr>
          <w:ilvl w:val="0"/>
          <w:numId w:val="0"/>
        </w:numPr>
        <w:ind w:left="357"/>
        <w:rPr>
          <w:b w:val="0"/>
          <w:u w:val="single"/>
        </w:rPr>
      </w:pPr>
      <w:r w:rsidRPr="00DE27DD">
        <w:rPr>
          <w:b w:val="0"/>
          <w:u w:val="single"/>
        </w:rPr>
        <w:t>Excretion</w:t>
      </w:r>
    </w:p>
    <w:p w14:paraId="1965D585" w14:textId="2B41B7A0" w:rsidR="00EB7764" w:rsidRPr="00EB7764" w:rsidRDefault="00EB7764" w:rsidP="00EB7764">
      <w:pPr>
        <w:autoSpaceDE/>
        <w:autoSpaceDN/>
        <w:adjustRightInd/>
        <w:spacing w:before="120" w:after="0" w:line="240" w:lineRule="auto"/>
        <w:ind w:left="357"/>
        <w:rPr>
          <w:rFonts w:eastAsia="MS Mincho"/>
          <w:lang w:val="en-US" w:eastAsia="zh-CN"/>
        </w:rPr>
      </w:pPr>
      <w:proofErr w:type="spellStart"/>
      <w:r w:rsidRPr="00EB7764">
        <w:rPr>
          <w:rFonts w:eastAsia="MS Mincho"/>
          <w:szCs w:val="20"/>
          <w:lang w:val="en-US" w:eastAsia="zh-CN"/>
        </w:rPr>
        <w:t>Alpelisib</w:t>
      </w:r>
      <w:proofErr w:type="spellEnd"/>
      <w:r w:rsidRPr="00EB7764">
        <w:rPr>
          <w:rFonts w:eastAsia="MS Mincho"/>
          <w:szCs w:val="20"/>
          <w:lang w:val="en-US" w:eastAsia="zh-CN"/>
        </w:rPr>
        <w:t xml:space="preserve"> exhibits low clearance with 9.2 L/</w:t>
      </w:r>
      <w:proofErr w:type="spellStart"/>
      <w:r w:rsidRPr="00EB7764">
        <w:rPr>
          <w:rFonts w:eastAsia="MS Mincho"/>
          <w:szCs w:val="20"/>
          <w:lang w:val="en-US" w:eastAsia="zh-CN"/>
        </w:rPr>
        <w:t>hr</w:t>
      </w:r>
      <w:proofErr w:type="spellEnd"/>
      <w:r w:rsidRPr="00EB7764">
        <w:rPr>
          <w:rFonts w:eastAsia="MS Mincho"/>
          <w:szCs w:val="20"/>
          <w:lang w:val="en-US" w:eastAsia="zh-CN"/>
        </w:rPr>
        <w:t xml:space="preserve"> (CV% 21%) based on population PK analysis under fed conditions. The population derived half-life, independent of dose and time, was 8 to 9 hours at steady state of 300mg, once </w:t>
      </w:r>
      <w:r w:rsidRPr="00EB7764" w:rsidDel="00F479BC">
        <w:rPr>
          <w:rFonts w:eastAsia="MS Mincho"/>
          <w:szCs w:val="20"/>
          <w:lang w:val="en-US" w:eastAsia="zh-CN"/>
        </w:rPr>
        <w:t>daily</w:t>
      </w:r>
      <w:r w:rsidRPr="00EB7764">
        <w:rPr>
          <w:rFonts w:eastAsia="MS Mincho"/>
          <w:szCs w:val="20"/>
          <w:lang w:val="en-US" w:eastAsia="zh-CN"/>
        </w:rPr>
        <w:t>.</w:t>
      </w:r>
    </w:p>
    <w:p w14:paraId="72BCFF91" w14:textId="13A72340" w:rsidR="00EB7764" w:rsidRPr="00EB7764" w:rsidRDefault="00EB7764" w:rsidP="00EB7764">
      <w:pPr>
        <w:autoSpaceDE/>
        <w:autoSpaceDN/>
        <w:adjustRightInd/>
        <w:spacing w:before="120" w:after="0" w:line="240" w:lineRule="auto"/>
        <w:ind w:left="357"/>
        <w:rPr>
          <w:rFonts w:eastAsia="MS Mincho"/>
          <w:szCs w:val="20"/>
          <w:lang w:val="en-US" w:eastAsia="zh-CN"/>
        </w:rPr>
      </w:pPr>
      <w:r w:rsidRPr="00EB7764">
        <w:rPr>
          <w:rFonts w:eastAsia="MS Mincho"/>
          <w:szCs w:val="20"/>
          <w:lang w:val="en-US" w:eastAsia="zh-CN"/>
        </w:rPr>
        <w:t xml:space="preserve">In human mass-balance study, after oral administration, </w:t>
      </w:r>
      <w:proofErr w:type="spellStart"/>
      <w:r w:rsidRPr="00EB7764">
        <w:rPr>
          <w:rFonts w:eastAsia="MS Mincho"/>
          <w:szCs w:val="20"/>
          <w:lang w:val="en-US" w:eastAsia="zh-CN"/>
        </w:rPr>
        <w:t>a</w:t>
      </w:r>
      <w:r w:rsidRPr="00EB7764">
        <w:rPr>
          <w:rFonts w:eastAsia="MS Mincho"/>
          <w:bCs/>
          <w:lang w:val="en-US" w:eastAsia="zh-CN"/>
        </w:rPr>
        <w:t>lpelisib</w:t>
      </w:r>
      <w:proofErr w:type="spellEnd"/>
      <w:r w:rsidRPr="00EB7764">
        <w:rPr>
          <w:rFonts w:eastAsia="MS Mincho"/>
          <w:bCs/>
          <w:lang w:val="en-US" w:eastAsia="zh-CN"/>
        </w:rPr>
        <w:t xml:space="preserve"> and its metabolites are excreted in the feces (81.0%), mainly through hepatobiliary export and/or intestinal secretion of </w:t>
      </w:r>
      <w:proofErr w:type="spellStart"/>
      <w:r w:rsidRPr="00EB7764">
        <w:rPr>
          <w:rFonts w:eastAsia="MS Mincho"/>
          <w:bCs/>
          <w:lang w:val="en-US" w:eastAsia="zh-CN"/>
        </w:rPr>
        <w:t>alpelisib</w:t>
      </w:r>
      <w:proofErr w:type="spellEnd"/>
      <w:r w:rsidRPr="00EB7764">
        <w:rPr>
          <w:rFonts w:eastAsia="MS Mincho"/>
          <w:bCs/>
          <w:lang w:val="en-US" w:eastAsia="zh-CN"/>
        </w:rPr>
        <w:t xml:space="preserve"> or metabolized to BZG791. Excretion in the urine is minor (13.5%), with unchanged </w:t>
      </w:r>
      <w:proofErr w:type="spellStart"/>
      <w:r w:rsidRPr="00EB7764">
        <w:rPr>
          <w:rFonts w:eastAsia="MS Mincho"/>
          <w:bCs/>
          <w:lang w:val="en-US" w:eastAsia="zh-CN"/>
        </w:rPr>
        <w:t>alpelisib</w:t>
      </w:r>
      <w:proofErr w:type="spellEnd"/>
      <w:r w:rsidRPr="00EB7764">
        <w:rPr>
          <w:rFonts w:eastAsia="MS Mincho"/>
          <w:bCs/>
          <w:lang w:val="en-US" w:eastAsia="zh-CN"/>
        </w:rPr>
        <w:t xml:space="preserve"> (2%). Following single oral dose of [14C] </w:t>
      </w:r>
      <w:proofErr w:type="spellStart"/>
      <w:r w:rsidRPr="00EB7764">
        <w:rPr>
          <w:rFonts w:eastAsia="MS Mincho"/>
          <w:bCs/>
          <w:lang w:val="en-US" w:eastAsia="zh-CN"/>
        </w:rPr>
        <w:t>alpelisib</w:t>
      </w:r>
      <w:proofErr w:type="spellEnd"/>
      <w:r w:rsidRPr="00EB7764">
        <w:rPr>
          <w:rFonts w:eastAsia="MS Mincho"/>
          <w:bCs/>
          <w:lang w:val="en-US" w:eastAsia="zh-CN"/>
        </w:rPr>
        <w:t>, 94.5% of the total administered radioactive dose was recovered within 8 days.</w:t>
      </w:r>
    </w:p>
    <w:p w14:paraId="576000ED" w14:textId="278F70A2" w:rsidR="00EB7764" w:rsidRPr="00EB7764" w:rsidRDefault="009A6094" w:rsidP="00EB7764">
      <w:pPr>
        <w:pStyle w:val="Heading3"/>
        <w:keepNext w:val="0"/>
        <w:widowControl w:val="0"/>
        <w:numPr>
          <w:ilvl w:val="0"/>
          <w:numId w:val="0"/>
        </w:numPr>
        <w:ind w:left="357"/>
        <w:rPr>
          <w:b w:val="0"/>
          <w:u w:val="single"/>
        </w:rPr>
      </w:pPr>
      <w:r>
        <w:rPr>
          <w:b w:val="0"/>
          <w:u w:val="single"/>
        </w:rPr>
        <w:lastRenderedPageBreak/>
        <w:t>Linearity/non-linearity</w:t>
      </w:r>
    </w:p>
    <w:p w14:paraId="503C6B9F" w14:textId="6A2613C7" w:rsidR="00EB7764" w:rsidRPr="00EB7764" w:rsidRDefault="00EB7764" w:rsidP="009A6094">
      <w:pPr>
        <w:widowControl w:val="0"/>
        <w:autoSpaceDE/>
        <w:autoSpaceDN/>
        <w:adjustRightInd/>
        <w:spacing w:before="120" w:line="240" w:lineRule="auto"/>
        <w:ind w:left="357"/>
        <w:rPr>
          <w:rFonts w:eastAsia="MS Mincho"/>
          <w:szCs w:val="20"/>
          <w:lang w:val="en-US" w:eastAsia="zh-CN"/>
        </w:rPr>
      </w:pPr>
      <w:r w:rsidRPr="00EB7764">
        <w:rPr>
          <w:rFonts w:eastAsia="MS Mincho"/>
          <w:szCs w:val="20"/>
          <w:lang w:val="en-US" w:eastAsia="zh-CN"/>
        </w:rPr>
        <w:t xml:space="preserve">The pharmacokinetics were found to be linear with respect to dose and time under fed conditions between 30 and 450 mg. After multiple doses, </w:t>
      </w:r>
      <w:proofErr w:type="spellStart"/>
      <w:r w:rsidRPr="00EB7764">
        <w:rPr>
          <w:rFonts w:eastAsia="MS Mincho"/>
          <w:szCs w:val="20"/>
          <w:lang w:val="en-US" w:eastAsia="zh-CN"/>
        </w:rPr>
        <w:t>Alpelisib</w:t>
      </w:r>
      <w:proofErr w:type="spellEnd"/>
      <w:r w:rsidRPr="00EB7764">
        <w:rPr>
          <w:rFonts w:eastAsia="MS Mincho"/>
          <w:szCs w:val="20"/>
          <w:lang w:val="en-US" w:eastAsia="zh-CN"/>
        </w:rPr>
        <w:t xml:space="preserve"> exposure (AUC) at steady-state is only slightly higher than that of a single dose with an average accumulation of 1.3 to 1.5 with a daily dosing regimen.</w:t>
      </w:r>
    </w:p>
    <w:p w14:paraId="07FDE198" w14:textId="77777777" w:rsidR="00912DB9" w:rsidRPr="00254BEF" w:rsidRDefault="00912DB9" w:rsidP="000D5D72">
      <w:pPr>
        <w:pStyle w:val="Heading4"/>
        <w:widowControl w:val="0"/>
        <w:numPr>
          <w:ilvl w:val="0"/>
          <w:numId w:val="0"/>
        </w:numPr>
        <w:spacing w:after="60" w:line="240" w:lineRule="auto"/>
        <w:ind w:left="357"/>
      </w:pPr>
      <w:r w:rsidRPr="00254BEF">
        <w:t>Special Patient Populations</w:t>
      </w:r>
    </w:p>
    <w:p w14:paraId="1E5D8A1A" w14:textId="4C6BC239" w:rsidR="00277621" w:rsidRDefault="00277621" w:rsidP="000D5D72">
      <w:pPr>
        <w:pStyle w:val="Heading4"/>
        <w:widowControl w:val="0"/>
        <w:numPr>
          <w:ilvl w:val="0"/>
          <w:numId w:val="0"/>
        </w:numPr>
        <w:spacing w:after="60" w:line="240" w:lineRule="auto"/>
        <w:ind w:left="357"/>
        <w:rPr>
          <w:i/>
          <w:u w:val="none"/>
        </w:rPr>
      </w:pPr>
      <w:r w:rsidRPr="000B4520">
        <w:rPr>
          <w:i/>
          <w:u w:val="none"/>
        </w:rPr>
        <w:t>R</w:t>
      </w:r>
      <w:r w:rsidR="009A6094">
        <w:rPr>
          <w:i/>
          <w:u w:val="none"/>
        </w:rPr>
        <w:t>enal Impairment</w:t>
      </w:r>
    </w:p>
    <w:p w14:paraId="0587DCCB" w14:textId="1395A0A7" w:rsidR="00277621" w:rsidRDefault="00277621" w:rsidP="009A6094">
      <w:pPr>
        <w:widowControl w:val="0"/>
        <w:autoSpaceDE/>
        <w:autoSpaceDN/>
        <w:adjustRightInd/>
        <w:spacing w:line="240" w:lineRule="auto"/>
        <w:ind w:left="357"/>
        <w:rPr>
          <w:rFonts w:eastAsia="MS Mincho"/>
          <w:szCs w:val="20"/>
          <w:lang w:val="en-US" w:eastAsia="zh-CN"/>
        </w:rPr>
      </w:pPr>
      <w:r w:rsidRPr="00277621">
        <w:rPr>
          <w:rFonts w:eastAsia="MS Mincho"/>
          <w:szCs w:val="20"/>
          <w:lang w:val="en-US" w:eastAsia="zh-CN"/>
        </w:rPr>
        <w:t>No dose adjustment is necessary in patients with mild or moderate renal impairment. Patients with severe renal impairment have not been studied and caution should be used. Based on a population pharmacokinetic analysis that included 117 patients with normal renal function (</w:t>
      </w:r>
      <w:proofErr w:type="spellStart"/>
      <w:r w:rsidRPr="00277621">
        <w:rPr>
          <w:rFonts w:eastAsia="MS Mincho"/>
          <w:sz w:val="23"/>
          <w:szCs w:val="23"/>
          <w:lang w:val="en-US" w:eastAsia="zh-CN"/>
        </w:rPr>
        <w:t>eGFR</w:t>
      </w:r>
      <w:proofErr w:type="spellEnd"/>
      <w:r w:rsidRPr="00277621">
        <w:rPr>
          <w:rFonts w:eastAsia="MS Mincho"/>
          <w:sz w:val="23"/>
          <w:szCs w:val="23"/>
          <w:lang w:val="en-US" w:eastAsia="zh-CN"/>
        </w:rPr>
        <w:t xml:space="preserve"> ≥90 mL/min/1.73 m</w:t>
      </w:r>
      <w:r w:rsidRPr="00277621">
        <w:rPr>
          <w:rFonts w:eastAsia="MS Mincho"/>
          <w:sz w:val="16"/>
          <w:szCs w:val="16"/>
          <w:vertAlign w:val="superscript"/>
          <w:lang w:val="en-US" w:eastAsia="zh-CN"/>
        </w:rPr>
        <w:t>2</w:t>
      </w:r>
      <w:r w:rsidRPr="00277621">
        <w:rPr>
          <w:rFonts w:eastAsia="MS Mincho"/>
          <w:szCs w:val="20"/>
          <w:lang w:val="en-US" w:eastAsia="zh-CN"/>
        </w:rPr>
        <w:t>) / (</w:t>
      </w:r>
      <w:proofErr w:type="spellStart"/>
      <w:r w:rsidRPr="00277621">
        <w:rPr>
          <w:rFonts w:eastAsia="MS Mincho"/>
          <w:szCs w:val="20"/>
          <w:lang w:val="en-US" w:eastAsia="zh-CN"/>
        </w:rPr>
        <w:t>CLcr</w:t>
      </w:r>
      <w:proofErr w:type="spellEnd"/>
      <w:r w:rsidRPr="00277621">
        <w:rPr>
          <w:rFonts w:eastAsia="MS Mincho"/>
          <w:szCs w:val="20"/>
          <w:lang w:val="en-US" w:eastAsia="zh-CN"/>
        </w:rPr>
        <w:t xml:space="preserve"> ≥90 mL/min), 108 patients with mild renal impairment </w:t>
      </w:r>
      <w:r w:rsidRPr="00277621">
        <w:rPr>
          <w:rFonts w:eastAsia="MS Mincho"/>
          <w:sz w:val="23"/>
          <w:szCs w:val="23"/>
          <w:lang w:val="en-US" w:eastAsia="zh-CN"/>
        </w:rPr>
        <w:t>(</w:t>
      </w:r>
      <w:proofErr w:type="spellStart"/>
      <w:r w:rsidRPr="00277621">
        <w:rPr>
          <w:rFonts w:eastAsia="MS Mincho"/>
          <w:sz w:val="23"/>
          <w:szCs w:val="23"/>
          <w:lang w:val="en-US" w:eastAsia="zh-CN"/>
        </w:rPr>
        <w:t>eGFR</w:t>
      </w:r>
      <w:proofErr w:type="spellEnd"/>
      <w:r w:rsidRPr="00277621">
        <w:rPr>
          <w:rFonts w:eastAsia="MS Mincho"/>
          <w:sz w:val="23"/>
          <w:szCs w:val="23"/>
          <w:lang w:val="en-US" w:eastAsia="zh-CN"/>
        </w:rPr>
        <w:t xml:space="preserve"> 60 to &lt;90 mL/min/1.73m</w:t>
      </w:r>
      <w:r w:rsidRPr="00277621">
        <w:rPr>
          <w:rFonts w:eastAsia="MS Mincho"/>
          <w:sz w:val="16"/>
          <w:szCs w:val="16"/>
          <w:vertAlign w:val="superscript"/>
          <w:lang w:val="en-US" w:eastAsia="zh-CN"/>
        </w:rPr>
        <w:t>2</w:t>
      </w:r>
      <w:r w:rsidRPr="00277621">
        <w:rPr>
          <w:rFonts w:eastAsia="MS Mincho"/>
          <w:szCs w:val="20"/>
          <w:lang w:val="en-US" w:eastAsia="zh-CN"/>
        </w:rPr>
        <w:t>)/ (</w:t>
      </w:r>
      <w:proofErr w:type="spellStart"/>
      <w:r w:rsidRPr="00277621">
        <w:rPr>
          <w:rFonts w:eastAsia="MS Mincho"/>
          <w:szCs w:val="20"/>
          <w:lang w:val="en-US" w:eastAsia="zh-CN"/>
        </w:rPr>
        <w:t>CLcr</w:t>
      </w:r>
      <w:proofErr w:type="spellEnd"/>
      <w:r w:rsidRPr="00277621">
        <w:rPr>
          <w:rFonts w:eastAsia="MS Mincho"/>
          <w:szCs w:val="20"/>
          <w:lang w:val="en-US" w:eastAsia="zh-CN"/>
        </w:rPr>
        <w:t xml:space="preserve"> 60 to &lt;90 mL/min), and 45 patients with moderate renal impairment (</w:t>
      </w:r>
      <w:proofErr w:type="spellStart"/>
      <w:r w:rsidRPr="00277621">
        <w:rPr>
          <w:rFonts w:eastAsia="MS Mincho"/>
          <w:sz w:val="23"/>
          <w:szCs w:val="23"/>
          <w:lang w:val="en-US" w:eastAsia="zh-CN"/>
        </w:rPr>
        <w:t>eGFR</w:t>
      </w:r>
      <w:proofErr w:type="spellEnd"/>
      <w:r w:rsidRPr="00277621">
        <w:rPr>
          <w:rFonts w:eastAsia="MS Mincho"/>
          <w:sz w:val="23"/>
          <w:szCs w:val="23"/>
          <w:lang w:val="en-US" w:eastAsia="zh-CN"/>
        </w:rPr>
        <w:t xml:space="preserve"> 30 to &lt;60 mL/min/1.73 m</w:t>
      </w:r>
      <w:r w:rsidRPr="00277621">
        <w:rPr>
          <w:rFonts w:eastAsia="MS Mincho"/>
          <w:sz w:val="16"/>
          <w:szCs w:val="16"/>
          <w:vertAlign w:val="superscript"/>
          <w:lang w:val="en-US" w:eastAsia="zh-CN"/>
        </w:rPr>
        <w:t>2</w:t>
      </w:r>
      <w:r w:rsidRPr="00277621">
        <w:rPr>
          <w:rFonts w:eastAsia="MS Mincho"/>
          <w:szCs w:val="20"/>
          <w:lang w:val="en-US" w:eastAsia="zh-CN"/>
        </w:rPr>
        <w:t xml:space="preserve">), mild and moderate renal impairment had no effect on the exposure of </w:t>
      </w:r>
      <w:proofErr w:type="spellStart"/>
      <w:r w:rsidRPr="00277621">
        <w:rPr>
          <w:rFonts w:eastAsia="MS Mincho"/>
          <w:szCs w:val="20"/>
          <w:lang w:val="en-US" w:eastAsia="zh-CN"/>
        </w:rPr>
        <w:t>alpelisib</w:t>
      </w:r>
      <w:proofErr w:type="spellEnd"/>
      <w:r w:rsidRPr="00277621">
        <w:rPr>
          <w:rFonts w:eastAsia="MS Mincho"/>
          <w:color w:val="0000FF"/>
          <w:szCs w:val="20"/>
          <w:lang w:val="en-US" w:eastAsia="zh-CN"/>
        </w:rPr>
        <w:t xml:space="preserve"> </w:t>
      </w:r>
      <w:r w:rsidRPr="00277621">
        <w:rPr>
          <w:rFonts w:eastAsia="MS Mincho"/>
          <w:szCs w:val="20"/>
          <w:lang w:val="en-US" w:eastAsia="zh-CN"/>
        </w:rPr>
        <w:t>(see section 4</w:t>
      </w:r>
      <w:r>
        <w:rPr>
          <w:rFonts w:eastAsia="MS Mincho"/>
          <w:szCs w:val="20"/>
          <w:lang w:val="en-US" w:eastAsia="zh-CN"/>
        </w:rPr>
        <w:t>.2</w:t>
      </w:r>
      <w:r w:rsidRPr="00277621">
        <w:rPr>
          <w:rFonts w:eastAsia="MS Mincho"/>
          <w:szCs w:val="20"/>
          <w:lang w:val="en-US" w:eastAsia="zh-CN"/>
        </w:rPr>
        <w:t xml:space="preserve"> Dosage and administration).</w:t>
      </w:r>
    </w:p>
    <w:p w14:paraId="07FDE199" w14:textId="47778BF3" w:rsidR="00487519" w:rsidRPr="000B4520" w:rsidRDefault="00912DB9" w:rsidP="00706EB2">
      <w:pPr>
        <w:pStyle w:val="Heading4"/>
        <w:widowControl w:val="0"/>
        <w:numPr>
          <w:ilvl w:val="0"/>
          <w:numId w:val="0"/>
        </w:numPr>
        <w:spacing w:after="60" w:line="240" w:lineRule="auto"/>
        <w:ind w:left="357"/>
        <w:rPr>
          <w:i/>
          <w:u w:val="none"/>
        </w:rPr>
      </w:pPr>
      <w:r w:rsidRPr="000B4520">
        <w:rPr>
          <w:i/>
          <w:u w:val="none"/>
        </w:rPr>
        <w:t>Hepatic Impairment</w:t>
      </w:r>
    </w:p>
    <w:p w14:paraId="1D4701E6" w14:textId="3DC82FFA" w:rsidR="00277621" w:rsidRDefault="00277621" w:rsidP="009A6094">
      <w:pPr>
        <w:autoSpaceDE/>
        <w:autoSpaceDN/>
        <w:adjustRightInd/>
        <w:spacing w:line="240" w:lineRule="auto"/>
        <w:ind w:left="357"/>
        <w:rPr>
          <w:rFonts w:eastAsia="MS Mincho"/>
          <w:szCs w:val="20"/>
          <w:lang w:val="en-US" w:eastAsia="zh-CN"/>
        </w:rPr>
      </w:pPr>
      <w:bookmarkStart w:id="36" w:name="_Toc259706949"/>
      <w:bookmarkStart w:id="37" w:name="_Toc259707121"/>
      <w:bookmarkStart w:id="38" w:name="_Toc259707184"/>
      <w:bookmarkStart w:id="39" w:name="_Toc259713130"/>
      <w:r w:rsidRPr="00277621">
        <w:rPr>
          <w:rFonts w:eastAsia="MS Mincho"/>
          <w:szCs w:val="20"/>
          <w:lang w:val="en-US" w:eastAsia="zh-CN"/>
        </w:rPr>
        <w:t xml:space="preserve">No dose adjustment is necessary in patients with mild, moderate or severe hepatic impairment (Child-Pugh A, B </w:t>
      </w:r>
      <w:r w:rsidR="009A6094">
        <w:rPr>
          <w:rFonts w:eastAsia="MS Mincho"/>
          <w:szCs w:val="20"/>
          <w:lang w:val="en-US" w:eastAsia="zh-CN"/>
        </w:rPr>
        <w:t>and C).</w:t>
      </w:r>
    </w:p>
    <w:p w14:paraId="5A731D94" w14:textId="32198653" w:rsidR="00706EB2" w:rsidRPr="00277621" w:rsidRDefault="00277621" w:rsidP="009A6094">
      <w:pPr>
        <w:autoSpaceDE/>
        <w:autoSpaceDN/>
        <w:adjustRightInd/>
        <w:spacing w:line="240" w:lineRule="auto"/>
        <w:ind w:left="357"/>
        <w:rPr>
          <w:rFonts w:eastAsia="MS Mincho"/>
          <w:szCs w:val="20"/>
          <w:lang w:val="en-US" w:eastAsia="zh-CN"/>
        </w:rPr>
      </w:pPr>
      <w:r w:rsidRPr="00277621">
        <w:rPr>
          <w:rFonts w:eastAsia="MS Mincho"/>
          <w:szCs w:val="20"/>
          <w:lang w:val="en-US" w:eastAsia="zh-CN"/>
        </w:rPr>
        <w:t xml:space="preserve">Based on a pharmacokinetic trial in patients with hepatic impairment, moderate and severe hepatic impairment had negligible effect on the exposure of </w:t>
      </w:r>
      <w:proofErr w:type="spellStart"/>
      <w:r w:rsidRPr="00277621">
        <w:rPr>
          <w:rFonts w:eastAsia="MS Mincho"/>
          <w:szCs w:val="20"/>
          <w:lang w:val="en-US" w:eastAsia="zh-CN"/>
        </w:rPr>
        <w:t>alpelisib</w:t>
      </w:r>
      <w:proofErr w:type="spellEnd"/>
      <w:r w:rsidRPr="00277621">
        <w:rPr>
          <w:rFonts w:eastAsia="MS Mincho"/>
          <w:szCs w:val="20"/>
          <w:lang w:val="en-US" w:eastAsia="zh-CN"/>
        </w:rPr>
        <w:t xml:space="preserve"> (see section 4</w:t>
      </w:r>
      <w:r>
        <w:rPr>
          <w:rFonts w:eastAsia="MS Mincho"/>
          <w:szCs w:val="20"/>
          <w:lang w:val="en-US" w:eastAsia="zh-CN"/>
        </w:rPr>
        <w:t>.2</w:t>
      </w:r>
      <w:r w:rsidRPr="00277621">
        <w:rPr>
          <w:rFonts w:eastAsia="MS Mincho"/>
          <w:szCs w:val="20"/>
          <w:lang w:val="en-US" w:eastAsia="zh-CN"/>
        </w:rPr>
        <w:t xml:space="preserve"> Dosage and administration). The mean exposure for </w:t>
      </w:r>
      <w:proofErr w:type="spellStart"/>
      <w:r w:rsidRPr="00277621">
        <w:rPr>
          <w:rFonts w:eastAsia="MS Mincho"/>
          <w:szCs w:val="20"/>
          <w:lang w:val="en-US" w:eastAsia="zh-CN"/>
        </w:rPr>
        <w:t>alpelisib</w:t>
      </w:r>
      <w:proofErr w:type="spellEnd"/>
      <w:r w:rsidRPr="00277621">
        <w:rPr>
          <w:rFonts w:eastAsia="MS Mincho"/>
          <w:szCs w:val="20"/>
          <w:lang w:val="en-US" w:eastAsia="zh-CN"/>
        </w:rPr>
        <w:t xml:space="preserve"> was increased by 1.26-fold in patients with severe (GMR: 1.00 for </w:t>
      </w:r>
      <w:proofErr w:type="spellStart"/>
      <w:r w:rsidRPr="00277621">
        <w:rPr>
          <w:rFonts w:eastAsia="MS Mincho"/>
          <w:szCs w:val="20"/>
          <w:lang w:val="en-US" w:eastAsia="zh-CN"/>
        </w:rPr>
        <w:t>C</w:t>
      </w:r>
      <w:r w:rsidRPr="00277621">
        <w:rPr>
          <w:rFonts w:eastAsia="MS Mincho"/>
          <w:szCs w:val="20"/>
          <w:vertAlign w:val="subscript"/>
          <w:lang w:val="en-US" w:eastAsia="zh-CN"/>
        </w:rPr>
        <w:t>max</w:t>
      </w:r>
      <w:proofErr w:type="spellEnd"/>
      <w:r w:rsidRPr="00277621">
        <w:rPr>
          <w:rFonts w:eastAsia="MS Mincho"/>
          <w:szCs w:val="20"/>
          <w:lang w:val="en-US" w:eastAsia="zh-CN"/>
        </w:rPr>
        <w:t xml:space="preserve">; 1.26 for </w:t>
      </w:r>
      <w:proofErr w:type="spellStart"/>
      <w:r w:rsidRPr="00277621">
        <w:rPr>
          <w:rFonts w:eastAsia="MS Mincho"/>
          <w:szCs w:val="20"/>
          <w:lang w:val="en-US" w:eastAsia="zh-CN"/>
        </w:rPr>
        <w:t>AUC</w:t>
      </w:r>
      <w:r w:rsidRPr="00277621">
        <w:rPr>
          <w:rFonts w:eastAsia="MS Mincho"/>
          <w:szCs w:val="20"/>
          <w:vertAlign w:val="subscript"/>
          <w:lang w:val="en-US" w:eastAsia="zh-CN"/>
        </w:rPr>
        <w:t>last</w:t>
      </w:r>
      <w:proofErr w:type="spellEnd"/>
      <w:r w:rsidRPr="00277621">
        <w:rPr>
          <w:rFonts w:eastAsia="MS Mincho"/>
          <w:szCs w:val="20"/>
          <w:lang w:val="en-US" w:eastAsia="zh-CN"/>
        </w:rPr>
        <w:t xml:space="preserve"> /</w:t>
      </w:r>
      <w:proofErr w:type="spellStart"/>
      <w:r w:rsidRPr="00277621">
        <w:rPr>
          <w:rFonts w:eastAsia="MS Mincho"/>
          <w:szCs w:val="20"/>
          <w:lang w:val="en-US" w:eastAsia="zh-CN"/>
        </w:rPr>
        <w:t>AUC</w:t>
      </w:r>
      <w:r w:rsidRPr="00277621">
        <w:rPr>
          <w:rFonts w:eastAsia="MS Mincho"/>
          <w:szCs w:val="20"/>
          <w:vertAlign w:val="subscript"/>
          <w:lang w:val="en-US" w:eastAsia="zh-CN"/>
        </w:rPr>
        <w:t>inf</w:t>
      </w:r>
      <w:proofErr w:type="spellEnd"/>
      <w:r w:rsidR="009A6094">
        <w:rPr>
          <w:rFonts w:eastAsia="MS Mincho"/>
          <w:szCs w:val="20"/>
          <w:lang w:val="en-US" w:eastAsia="zh-CN"/>
        </w:rPr>
        <w:t>) hepatic impairment.</w:t>
      </w:r>
    </w:p>
    <w:p w14:paraId="47D422B2" w14:textId="52996336" w:rsidR="00277621" w:rsidRPr="00277621" w:rsidRDefault="00277621" w:rsidP="009A6094">
      <w:pPr>
        <w:autoSpaceDE/>
        <w:autoSpaceDN/>
        <w:adjustRightInd/>
        <w:spacing w:line="240" w:lineRule="auto"/>
        <w:ind w:left="357"/>
        <w:rPr>
          <w:rFonts w:eastAsia="MS Mincho"/>
          <w:szCs w:val="20"/>
          <w:lang w:val="en-US" w:eastAsia="zh-CN"/>
        </w:rPr>
      </w:pPr>
      <w:r w:rsidRPr="00277621">
        <w:rPr>
          <w:rFonts w:eastAsia="MS Mincho"/>
          <w:szCs w:val="20"/>
          <w:lang w:val="en-US" w:eastAsia="zh-CN"/>
        </w:rPr>
        <w:t xml:space="preserve">Based on a population pharmacokinetic analysis that included 230 patients with normal hepatic function, 45 patients with mild hepatic impairment and no patients with moderate hepatic impairment, further supporting the findings from the dedicated hepatic impairment study, mild and moderate hepatic impairment had no effect on the exposure of </w:t>
      </w:r>
      <w:proofErr w:type="spellStart"/>
      <w:r w:rsidRPr="00277621">
        <w:rPr>
          <w:rFonts w:eastAsia="MS Mincho"/>
          <w:szCs w:val="20"/>
          <w:lang w:val="en-US" w:eastAsia="zh-CN"/>
        </w:rPr>
        <w:t>alpelisib</w:t>
      </w:r>
      <w:proofErr w:type="spellEnd"/>
      <w:r w:rsidRPr="00277621">
        <w:rPr>
          <w:rFonts w:eastAsia="MS Mincho"/>
          <w:szCs w:val="20"/>
          <w:lang w:val="en-US" w:eastAsia="zh-CN"/>
        </w:rPr>
        <w:t>, (see section 4</w:t>
      </w:r>
      <w:r>
        <w:rPr>
          <w:rFonts w:eastAsia="MS Mincho"/>
          <w:szCs w:val="20"/>
          <w:lang w:val="en-US" w:eastAsia="zh-CN"/>
        </w:rPr>
        <w:t>.2</w:t>
      </w:r>
      <w:r w:rsidR="009A6094">
        <w:rPr>
          <w:rFonts w:eastAsia="MS Mincho"/>
          <w:szCs w:val="20"/>
          <w:lang w:val="en-US" w:eastAsia="zh-CN"/>
        </w:rPr>
        <w:t xml:space="preserve"> Dosage and administration).</w:t>
      </w:r>
      <w:bookmarkEnd w:id="36"/>
      <w:bookmarkEnd w:id="37"/>
      <w:bookmarkEnd w:id="38"/>
      <w:bookmarkEnd w:id="39"/>
    </w:p>
    <w:p w14:paraId="07FDE19D" w14:textId="44CBB815" w:rsidR="00B64DF0" w:rsidRDefault="00B64DF0" w:rsidP="00277621">
      <w:pPr>
        <w:pStyle w:val="Heading4"/>
        <w:widowControl w:val="0"/>
        <w:numPr>
          <w:ilvl w:val="0"/>
          <w:numId w:val="0"/>
        </w:numPr>
        <w:spacing w:after="60" w:line="240" w:lineRule="auto"/>
        <w:ind w:left="357"/>
        <w:rPr>
          <w:i/>
          <w:u w:val="none"/>
        </w:rPr>
      </w:pPr>
      <w:r w:rsidRPr="000B4520">
        <w:rPr>
          <w:i/>
          <w:u w:val="none"/>
        </w:rPr>
        <w:t xml:space="preserve">Paediatric </w:t>
      </w:r>
      <w:r w:rsidR="00137F52">
        <w:rPr>
          <w:i/>
          <w:u w:val="none"/>
        </w:rPr>
        <w:t>use</w:t>
      </w:r>
    </w:p>
    <w:p w14:paraId="5661C94E" w14:textId="3D209555" w:rsidR="00277621" w:rsidRPr="00277621" w:rsidRDefault="00277621" w:rsidP="00277621">
      <w:pPr>
        <w:ind w:left="357"/>
      </w:pPr>
      <w:r w:rsidRPr="00277621">
        <w:t xml:space="preserve">The pharmacokinetics of PIQRAY in </w:t>
      </w:r>
      <w:r w:rsidR="00802DD1" w:rsidRPr="00277621">
        <w:t>paediatric</w:t>
      </w:r>
      <w:r w:rsidRPr="00277621">
        <w:t xml:space="preserve"> patients have not been established.</w:t>
      </w:r>
    </w:p>
    <w:p w14:paraId="07FDE19F" w14:textId="7529E0C7" w:rsidR="005E7445" w:rsidRPr="000B4520" w:rsidRDefault="00137F52" w:rsidP="00277621">
      <w:pPr>
        <w:pStyle w:val="Heading4"/>
        <w:widowControl w:val="0"/>
        <w:numPr>
          <w:ilvl w:val="0"/>
          <w:numId w:val="0"/>
        </w:numPr>
        <w:spacing w:after="60" w:line="240" w:lineRule="auto"/>
        <w:ind w:left="357"/>
        <w:rPr>
          <w:i/>
          <w:u w:val="none"/>
        </w:rPr>
      </w:pPr>
      <w:r>
        <w:rPr>
          <w:i/>
          <w:u w:val="none"/>
        </w:rPr>
        <w:t>Use in the elderly</w:t>
      </w:r>
    </w:p>
    <w:p w14:paraId="5F0DA8AA" w14:textId="59BB5FE2" w:rsidR="00277621" w:rsidRPr="00277621" w:rsidRDefault="00277621" w:rsidP="00277621">
      <w:pPr>
        <w:ind w:left="357"/>
      </w:pPr>
      <w:r w:rsidRPr="00277621">
        <w:t xml:space="preserve">Of 284 patients who received PIQRAY in the phase III study (in PIQRAY plus </w:t>
      </w:r>
      <w:proofErr w:type="spellStart"/>
      <w:r w:rsidRPr="00277621">
        <w:t>fulvestrant</w:t>
      </w:r>
      <w:proofErr w:type="spellEnd"/>
      <w:r w:rsidRPr="00277621">
        <w:t xml:space="preserve"> arm), 117 patients were ≥</w:t>
      </w:r>
      <w:r>
        <w:t xml:space="preserve"> </w:t>
      </w:r>
      <w:r w:rsidRPr="00277621">
        <w:t>65 years of age and 34 patients were ≥75 years of age. No overall differences in safety or effectiveness of PIQRAY were observed between these patients and younger patients (see section 4</w:t>
      </w:r>
      <w:r>
        <w:t>.2</w:t>
      </w:r>
      <w:r w:rsidRPr="00277621">
        <w:t xml:space="preserve"> Dosa</w:t>
      </w:r>
      <w:r>
        <w:t>ge and administration)</w:t>
      </w:r>
      <w:r w:rsidRPr="00277621">
        <w:t>.</w:t>
      </w:r>
    </w:p>
    <w:p w14:paraId="07FDE1A1" w14:textId="7FF27F80" w:rsidR="008C2564" w:rsidRDefault="00277621" w:rsidP="00277621">
      <w:pPr>
        <w:pStyle w:val="Heading4"/>
        <w:widowControl w:val="0"/>
        <w:numPr>
          <w:ilvl w:val="0"/>
          <w:numId w:val="0"/>
        </w:numPr>
        <w:spacing w:after="60" w:line="240" w:lineRule="auto"/>
        <w:ind w:left="357"/>
        <w:rPr>
          <w:i/>
          <w:u w:val="none"/>
        </w:rPr>
      </w:pPr>
      <w:r>
        <w:rPr>
          <w:i/>
          <w:u w:val="none"/>
        </w:rPr>
        <w:t>Age, b</w:t>
      </w:r>
      <w:r w:rsidR="00912DB9" w:rsidRPr="000B4520">
        <w:rPr>
          <w:i/>
          <w:u w:val="none"/>
        </w:rPr>
        <w:t xml:space="preserve">ody </w:t>
      </w:r>
      <w:r>
        <w:rPr>
          <w:i/>
          <w:u w:val="none"/>
        </w:rPr>
        <w:t>w</w:t>
      </w:r>
      <w:r w:rsidR="00912DB9" w:rsidRPr="000B4520">
        <w:rPr>
          <w:i/>
          <w:u w:val="none"/>
        </w:rPr>
        <w:t>eight</w:t>
      </w:r>
      <w:r>
        <w:rPr>
          <w:i/>
          <w:u w:val="none"/>
        </w:rPr>
        <w:t>,</w:t>
      </w:r>
      <w:r w:rsidR="00912DB9" w:rsidRPr="000B4520">
        <w:rPr>
          <w:i/>
          <w:u w:val="none"/>
        </w:rPr>
        <w:t xml:space="preserve"> and </w:t>
      </w:r>
      <w:r>
        <w:rPr>
          <w:i/>
          <w:u w:val="none"/>
        </w:rPr>
        <w:t>g</w:t>
      </w:r>
      <w:r w:rsidR="009A6094">
        <w:rPr>
          <w:i/>
          <w:u w:val="none"/>
        </w:rPr>
        <w:t>ender</w:t>
      </w:r>
    </w:p>
    <w:p w14:paraId="4D67BE85" w14:textId="13660A95" w:rsidR="00277621" w:rsidRPr="00277621" w:rsidRDefault="00277621" w:rsidP="00277621">
      <w:pPr>
        <w:ind w:left="357"/>
      </w:pPr>
      <w:r w:rsidRPr="00277621">
        <w:t xml:space="preserve">The population PK analysis showed that there are no clinically relevant effects of age, body weight, or gender on the systemic exposure of </w:t>
      </w:r>
      <w:proofErr w:type="spellStart"/>
      <w:r w:rsidRPr="00277621">
        <w:t>alpelisib</w:t>
      </w:r>
      <w:proofErr w:type="spellEnd"/>
      <w:r w:rsidRPr="00277621">
        <w:t xml:space="preserve"> that would require PIQRAY </w:t>
      </w:r>
      <w:r>
        <w:t>dose adjustment</w:t>
      </w:r>
      <w:r w:rsidRPr="00277621">
        <w:t>.</w:t>
      </w:r>
    </w:p>
    <w:p w14:paraId="07FDE1A3" w14:textId="5FFF5414" w:rsidR="008C2564" w:rsidRDefault="00912DB9" w:rsidP="00EB7764">
      <w:pPr>
        <w:pStyle w:val="Heading4"/>
        <w:widowControl w:val="0"/>
        <w:numPr>
          <w:ilvl w:val="0"/>
          <w:numId w:val="0"/>
        </w:numPr>
        <w:ind w:left="357"/>
        <w:rPr>
          <w:i/>
          <w:u w:val="none"/>
        </w:rPr>
      </w:pPr>
      <w:r w:rsidRPr="000B4520">
        <w:rPr>
          <w:i/>
          <w:u w:val="none"/>
        </w:rPr>
        <w:t>Race</w:t>
      </w:r>
      <w:r w:rsidR="000B0963" w:rsidRPr="000B4520">
        <w:rPr>
          <w:i/>
          <w:u w:val="none"/>
        </w:rPr>
        <w:t>/Ethnicity</w:t>
      </w:r>
    </w:p>
    <w:p w14:paraId="03B34596" w14:textId="4A27F5FE" w:rsidR="00277621" w:rsidRDefault="00277621" w:rsidP="00277621">
      <w:pPr>
        <w:ind w:left="357"/>
      </w:pPr>
      <w:r>
        <w:t>Population PK analyses and PK analysis from a single agent study in Japanese cancer patients showed that there are no clinically relevant effects of ethnicity on the systemic exposure of PIQRAY.</w:t>
      </w:r>
    </w:p>
    <w:p w14:paraId="209304EF" w14:textId="6E632623" w:rsidR="00277621" w:rsidRPr="00277621" w:rsidRDefault="00277621" w:rsidP="00277621">
      <w:pPr>
        <w:ind w:left="357"/>
      </w:pPr>
      <w:r>
        <w:t>Non-compartmental PK parameters after single and multiple daily doses of PIQRAY for Japanese patients were very similar to those reported in the Caucasian population.</w:t>
      </w:r>
    </w:p>
    <w:p w14:paraId="265F029B" w14:textId="77777777" w:rsidR="00E438A1" w:rsidRPr="00E438A1" w:rsidRDefault="00E438A1" w:rsidP="009A6094">
      <w:pPr>
        <w:keepNext/>
        <w:numPr>
          <w:ilvl w:val="0"/>
          <w:numId w:val="5"/>
        </w:numPr>
        <w:autoSpaceDE/>
        <w:autoSpaceDN/>
        <w:adjustRightInd/>
        <w:ind w:left="357" w:hanging="357"/>
        <w:contextualSpacing/>
        <w:rPr>
          <w:b/>
        </w:rPr>
      </w:pPr>
      <w:r w:rsidRPr="00E438A1">
        <w:rPr>
          <w:b/>
        </w:rPr>
        <w:lastRenderedPageBreak/>
        <w:t>Preclinical Safety Data</w:t>
      </w:r>
    </w:p>
    <w:p w14:paraId="24D08EFC" w14:textId="77777777" w:rsidR="00A92B5A" w:rsidRDefault="00A92B5A" w:rsidP="00A92B5A">
      <w:pPr>
        <w:pStyle w:val="Heading2"/>
        <w:numPr>
          <w:ilvl w:val="0"/>
          <w:numId w:val="0"/>
        </w:numPr>
        <w:ind w:left="360"/>
        <w:rPr>
          <w:b w:val="0"/>
        </w:rPr>
      </w:pPr>
      <w:r w:rsidRPr="00706EB2">
        <w:rPr>
          <w:b w:val="0"/>
        </w:rPr>
        <w:t>Cardiovascular safety pharmacology</w:t>
      </w:r>
    </w:p>
    <w:p w14:paraId="700A1D5B" w14:textId="2B2C706B" w:rsidR="00A92B5A" w:rsidRPr="00706EB2" w:rsidRDefault="00A92B5A" w:rsidP="00A92B5A">
      <w:pPr>
        <w:pStyle w:val="Heading2"/>
        <w:numPr>
          <w:ilvl w:val="0"/>
          <w:numId w:val="0"/>
        </w:numPr>
        <w:ind w:left="360"/>
        <w:rPr>
          <w:b w:val="0"/>
          <w:u w:val="none"/>
        </w:rPr>
      </w:pPr>
      <w:r w:rsidRPr="00706EB2">
        <w:rPr>
          <w:b w:val="0"/>
          <w:u w:val="none"/>
        </w:rPr>
        <w:t xml:space="preserve">In an </w:t>
      </w:r>
      <w:r w:rsidRPr="00706EB2">
        <w:rPr>
          <w:b w:val="0"/>
          <w:i/>
          <w:u w:val="none"/>
        </w:rPr>
        <w:t>in vitro</w:t>
      </w:r>
      <w:r w:rsidRPr="00706EB2">
        <w:rPr>
          <w:b w:val="0"/>
          <w:u w:val="none"/>
        </w:rPr>
        <w:t xml:space="preserve"> </w:t>
      </w:r>
      <w:proofErr w:type="spellStart"/>
      <w:r w:rsidRPr="00706EB2">
        <w:rPr>
          <w:b w:val="0"/>
          <w:u w:val="none"/>
        </w:rPr>
        <w:t>hERG</w:t>
      </w:r>
      <w:proofErr w:type="spellEnd"/>
      <w:r w:rsidRPr="00706EB2">
        <w:rPr>
          <w:b w:val="0"/>
          <w:u w:val="none"/>
        </w:rPr>
        <w:t xml:space="preserve"> test, (where functionality of the human cardiac </w:t>
      </w:r>
      <w:proofErr w:type="spellStart"/>
      <w:r w:rsidRPr="00706EB2">
        <w:rPr>
          <w:b w:val="0"/>
          <w:u w:val="none"/>
        </w:rPr>
        <w:t>hERG</w:t>
      </w:r>
      <w:proofErr w:type="spellEnd"/>
      <w:r w:rsidRPr="00706EB2">
        <w:rPr>
          <w:b w:val="0"/>
          <w:u w:val="none"/>
        </w:rPr>
        <w:t xml:space="preserve"> channel </w:t>
      </w:r>
      <w:proofErr w:type="spellStart"/>
      <w:r w:rsidRPr="00706EB2">
        <w:rPr>
          <w:b w:val="0"/>
          <w:u w:val="none"/>
        </w:rPr>
        <w:t>heterologously</w:t>
      </w:r>
      <w:proofErr w:type="spellEnd"/>
      <w:r w:rsidRPr="00706EB2">
        <w:rPr>
          <w:b w:val="0"/>
          <w:u w:val="none"/>
        </w:rPr>
        <w:t xml:space="preserve"> expressed in HEK293 cells in vitro is assessed), an IC50 of 9.4 µM (4.2 µg/ml) was found. No relevant electrophysiological effect was seen in dogs in several studies, up to single doses of 180 mg/kg in-vivo. An </w:t>
      </w:r>
      <w:r w:rsidRPr="00706EB2">
        <w:rPr>
          <w:b w:val="0"/>
          <w:i/>
          <w:u w:val="none"/>
        </w:rPr>
        <w:t>in vivo</w:t>
      </w:r>
      <w:r w:rsidRPr="00706EB2">
        <w:rPr>
          <w:b w:val="0"/>
          <w:u w:val="none"/>
        </w:rPr>
        <w:t xml:space="preserve"> telemetry study in dogs showed an elevated blood pressure, starting at exposure lower than the exposure in humans, at the highest </w:t>
      </w:r>
      <w:r w:rsidR="009A6094">
        <w:rPr>
          <w:b w:val="0"/>
          <w:u w:val="none"/>
        </w:rPr>
        <w:t>recommended dose of 300 mg/day.</w:t>
      </w:r>
    </w:p>
    <w:p w14:paraId="70E38750" w14:textId="64712747" w:rsidR="0077155A" w:rsidRDefault="0077155A" w:rsidP="009A6094">
      <w:pPr>
        <w:pStyle w:val="Heading3"/>
        <w:numPr>
          <w:ilvl w:val="0"/>
          <w:numId w:val="0"/>
        </w:numPr>
        <w:ind w:left="851" w:hanging="504"/>
        <w:rPr>
          <w:rFonts w:cstheme="minorHAnsi"/>
        </w:rPr>
      </w:pPr>
      <w:proofErr w:type="spellStart"/>
      <w:r w:rsidRPr="00497C85">
        <w:rPr>
          <w:rFonts w:cstheme="minorHAnsi"/>
        </w:rPr>
        <w:t>Genotoxicity</w:t>
      </w:r>
      <w:proofErr w:type="spellEnd"/>
    </w:p>
    <w:p w14:paraId="394922BA" w14:textId="771A8298" w:rsidR="0077155A" w:rsidRDefault="0077155A" w:rsidP="00706EB2">
      <w:pPr>
        <w:pStyle w:val="Heading4"/>
        <w:widowControl w:val="0"/>
        <w:numPr>
          <w:ilvl w:val="0"/>
          <w:numId w:val="0"/>
        </w:numPr>
        <w:spacing w:after="60" w:line="240" w:lineRule="auto"/>
        <w:ind w:left="357"/>
        <w:rPr>
          <w:u w:val="none"/>
        </w:rPr>
      </w:pPr>
      <w:proofErr w:type="spellStart"/>
      <w:r w:rsidRPr="0077155A">
        <w:rPr>
          <w:u w:val="none"/>
        </w:rPr>
        <w:t>Alpelisib</w:t>
      </w:r>
      <w:proofErr w:type="spellEnd"/>
      <w:r w:rsidRPr="0077155A">
        <w:rPr>
          <w:u w:val="none"/>
        </w:rPr>
        <w:t xml:space="preserve"> was not mutagenic in an in vitro bacterial reverse mutation (Ames) assay, or </w:t>
      </w:r>
      <w:proofErr w:type="spellStart"/>
      <w:r w:rsidRPr="0077155A">
        <w:rPr>
          <w:u w:val="none"/>
        </w:rPr>
        <w:t>aneugenic</w:t>
      </w:r>
      <w:proofErr w:type="spellEnd"/>
      <w:r w:rsidRPr="0077155A">
        <w:rPr>
          <w:u w:val="none"/>
        </w:rPr>
        <w:t xml:space="preserve"> or </w:t>
      </w:r>
      <w:proofErr w:type="spellStart"/>
      <w:r w:rsidRPr="0077155A">
        <w:rPr>
          <w:u w:val="none"/>
        </w:rPr>
        <w:t>clastogenic</w:t>
      </w:r>
      <w:proofErr w:type="spellEnd"/>
      <w:r w:rsidRPr="0077155A">
        <w:rPr>
          <w:u w:val="none"/>
        </w:rPr>
        <w:t xml:space="preserve"> in human cell micronucleus and chromosome aberration tests in vitro. </w:t>
      </w:r>
      <w:proofErr w:type="spellStart"/>
      <w:r w:rsidRPr="0077155A">
        <w:rPr>
          <w:u w:val="none"/>
        </w:rPr>
        <w:t>Alpelisib</w:t>
      </w:r>
      <w:proofErr w:type="spellEnd"/>
      <w:r w:rsidRPr="0077155A">
        <w:rPr>
          <w:u w:val="none"/>
        </w:rPr>
        <w:t xml:space="preserve"> was not genotoxic in an </w:t>
      </w:r>
      <w:r w:rsidRPr="0077155A">
        <w:rPr>
          <w:i/>
          <w:iCs/>
          <w:u w:val="none"/>
        </w:rPr>
        <w:t xml:space="preserve">in vivo </w:t>
      </w:r>
      <w:r w:rsidRPr="0077155A">
        <w:rPr>
          <w:u w:val="none"/>
        </w:rPr>
        <w:t>rat micronucleus test.</w:t>
      </w:r>
    </w:p>
    <w:p w14:paraId="01175280" w14:textId="3D7B39D8" w:rsidR="0077155A" w:rsidRDefault="0077155A" w:rsidP="009A6094">
      <w:pPr>
        <w:pStyle w:val="Heading3"/>
        <w:numPr>
          <w:ilvl w:val="0"/>
          <w:numId w:val="0"/>
        </w:numPr>
        <w:ind w:left="851" w:hanging="504"/>
        <w:rPr>
          <w:rFonts w:cstheme="minorHAnsi"/>
        </w:rPr>
      </w:pPr>
      <w:r w:rsidRPr="00497C85">
        <w:rPr>
          <w:rFonts w:cstheme="minorHAnsi"/>
        </w:rPr>
        <w:t>Carcinogenicity</w:t>
      </w:r>
    </w:p>
    <w:p w14:paraId="4F10F4C2" w14:textId="3D25BBDD" w:rsidR="0077155A" w:rsidRPr="0077155A" w:rsidRDefault="0077155A" w:rsidP="0077155A">
      <w:pPr>
        <w:ind w:firstLine="426"/>
      </w:pPr>
      <w:r>
        <w:rPr>
          <w:sz w:val="23"/>
          <w:szCs w:val="23"/>
        </w:rPr>
        <w:t xml:space="preserve">Carcinogenicity studies have not been conducted with </w:t>
      </w:r>
      <w:proofErr w:type="spellStart"/>
      <w:r>
        <w:rPr>
          <w:sz w:val="23"/>
          <w:szCs w:val="23"/>
        </w:rPr>
        <w:t>alpelisib</w:t>
      </w:r>
      <w:proofErr w:type="spellEnd"/>
    </w:p>
    <w:p w14:paraId="5C841C76" w14:textId="791AED81" w:rsidR="00352F71" w:rsidRPr="003533B2" w:rsidRDefault="00352F71" w:rsidP="00706EB2">
      <w:pPr>
        <w:pStyle w:val="Heading2"/>
        <w:keepNext w:val="0"/>
        <w:numPr>
          <w:ilvl w:val="0"/>
          <w:numId w:val="3"/>
        </w:numPr>
        <w:autoSpaceDE/>
        <w:autoSpaceDN/>
        <w:adjustRightInd/>
        <w:spacing w:line="240" w:lineRule="auto"/>
        <w:ind w:left="357" w:hanging="357"/>
        <w:rPr>
          <w:bCs/>
          <w:sz w:val="28"/>
          <w:szCs w:val="28"/>
          <w:lang w:val="en-AU"/>
        </w:rPr>
      </w:pPr>
      <w:r w:rsidRPr="003533B2">
        <w:rPr>
          <w:bCs/>
          <w:sz w:val="28"/>
          <w:szCs w:val="28"/>
          <w:lang w:val="en-AU"/>
        </w:rPr>
        <w:t>PHARMACEUTICAL PARTICULARS</w:t>
      </w:r>
    </w:p>
    <w:p w14:paraId="5344BC50" w14:textId="49B75981" w:rsidR="00352F71" w:rsidRPr="00352F71" w:rsidRDefault="00352F71" w:rsidP="00F974E8">
      <w:pPr>
        <w:numPr>
          <w:ilvl w:val="0"/>
          <w:numId w:val="2"/>
        </w:numPr>
        <w:autoSpaceDE/>
        <w:autoSpaceDN/>
        <w:adjustRightInd/>
        <w:contextualSpacing/>
        <w:rPr>
          <w:b/>
        </w:rPr>
      </w:pPr>
      <w:r w:rsidRPr="00352F71">
        <w:rPr>
          <w:b/>
        </w:rPr>
        <w:t>List Of Excipients</w:t>
      </w:r>
    </w:p>
    <w:p w14:paraId="7F609F4D" w14:textId="369495B8" w:rsidR="00E11C29" w:rsidRPr="003533B2" w:rsidDel="003533B2" w:rsidRDefault="00F520CE" w:rsidP="00E11C29">
      <w:pPr>
        <w:ind w:left="360"/>
      </w:pPr>
      <w:r>
        <w:t xml:space="preserve">PIQRAY tablets </w:t>
      </w:r>
      <w:r w:rsidR="00E11C29" w:rsidRPr="003533B2" w:rsidDel="003533B2">
        <w:t xml:space="preserve">contain the following inactive ingredients: microcrystalline cellulose, </w:t>
      </w:r>
      <w:r>
        <w:t xml:space="preserve">mannitol, sodium starch </w:t>
      </w:r>
      <w:proofErr w:type="spellStart"/>
      <w:r>
        <w:t>glycollate</w:t>
      </w:r>
      <w:proofErr w:type="spellEnd"/>
      <w:r>
        <w:t xml:space="preserve">, </w:t>
      </w:r>
      <w:proofErr w:type="spellStart"/>
      <w:r w:rsidRPr="003533B2" w:rsidDel="003533B2">
        <w:t>hypromellose</w:t>
      </w:r>
      <w:proofErr w:type="spellEnd"/>
      <w:r>
        <w:t>,</w:t>
      </w:r>
      <w:r w:rsidRPr="003533B2" w:rsidDel="003533B2">
        <w:t xml:space="preserve"> </w:t>
      </w:r>
      <w:r w:rsidR="00E11C29" w:rsidRPr="003533B2" w:rsidDel="003533B2">
        <w:t xml:space="preserve">magnesium stearate (vegetable source), </w:t>
      </w:r>
      <w:proofErr w:type="spellStart"/>
      <w:r>
        <w:t>macrogol</w:t>
      </w:r>
      <w:proofErr w:type="spellEnd"/>
      <w:r>
        <w:t xml:space="preserve">, </w:t>
      </w:r>
      <w:r w:rsidR="00E11C29" w:rsidRPr="003533B2" w:rsidDel="003533B2">
        <w:t>iron oxide red</w:t>
      </w:r>
      <w:r w:rsidR="00376EE9" w:rsidRPr="00376EE9">
        <w:t xml:space="preserve"> CI77491</w:t>
      </w:r>
      <w:r w:rsidR="00E11C29" w:rsidRPr="003533B2" w:rsidDel="003533B2">
        <w:t xml:space="preserve">, </w:t>
      </w:r>
      <w:r w:rsidR="00A63599" w:rsidRPr="003533B2" w:rsidDel="003533B2">
        <w:t>iron oxide black</w:t>
      </w:r>
      <w:r w:rsidR="00376EE9" w:rsidRPr="00376EE9">
        <w:t xml:space="preserve"> CI77499</w:t>
      </w:r>
      <w:r w:rsidR="00A63599">
        <w:t xml:space="preserve">, </w:t>
      </w:r>
      <w:r w:rsidR="00E11C29" w:rsidRPr="003533B2" w:rsidDel="003533B2">
        <w:t>titanium dioxide</w:t>
      </w:r>
      <w:r w:rsidR="00376EE9" w:rsidRPr="00376EE9">
        <w:t xml:space="preserve"> </w:t>
      </w:r>
      <w:r w:rsidR="00376EE9">
        <w:t>(</w:t>
      </w:r>
      <w:r w:rsidR="00376EE9" w:rsidRPr="00376EE9">
        <w:t>E171</w:t>
      </w:r>
      <w:r w:rsidR="00376EE9">
        <w:t>)</w:t>
      </w:r>
      <w:r w:rsidR="00E11C29" w:rsidRPr="003533B2" w:rsidDel="003533B2">
        <w:t xml:space="preserve">, </w:t>
      </w:r>
      <w:r w:rsidR="00A63599">
        <w:t>and purified talc</w:t>
      </w:r>
      <w:r w:rsidR="00E11C29" w:rsidRPr="003533B2" w:rsidDel="003533B2">
        <w:t>.</w:t>
      </w:r>
    </w:p>
    <w:p w14:paraId="7F8856CB" w14:textId="77777777" w:rsidR="00982724" w:rsidRPr="009E7CC5" w:rsidRDefault="00982724" w:rsidP="00F974E8">
      <w:pPr>
        <w:numPr>
          <w:ilvl w:val="0"/>
          <w:numId w:val="2"/>
        </w:numPr>
        <w:autoSpaceDE/>
        <w:autoSpaceDN/>
        <w:adjustRightInd/>
        <w:spacing w:after="0" w:line="240" w:lineRule="auto"/>
        <w:ind w:left="357" w:hanging="357"/>
        <w:contextualSpacing/>
        <w:rPr>
          <w:b/>
        </w:rPr>
      </w:pPr>
      <w:r w:rsidRPr="009E7CC5">
        <w:rPr>
          <w:b/>
        </w:rPr>
        <w:t>Incompatibilities</w:t>
      </w:r>
    </w:p>
    <w:p w14:paraId="2C76A095" w14:textId="0B67860B" w:rsidR="00982724" w:rsidRPr="009E7CC5" w:rsidRDefault="004C6B47" w:rsidP="00706EB2">
      <w:pPr>
        <w:pStyle w:val="Heading2"/>
        <w:keepNext w:val="0"/>
        <w:widowControl w:val="0"/>
        <w:numPr>
          <w:ilvl w:val="0"/>
          <w:numId w:val="0"/>
        </w:numPr>
        <w:ind w:left="357"/>
        <w:rPr>
          <w:b w:val="0"/>
          <w:u w:val="none"/>
        </w:rPr>
      </w:pPr>
      <w:r>
        <w:rPr>
          <w:b w:val="0"/>
          <w:u w:val="none"/>
        </w:rPr>
        <w:t>Incompatibilities were either not assessed or not identified as part of the registration of this medicine</w:t>
      </w:r>
      <w:r w:rsidR="00982724" w:rsidRPr="009E7CC5">
        <w:rPr>
          <w:b w:val="0"/>
          <w:u w:val="none"/>
        </w:rPr>
        <w:t>.</w:t>
      </w:r>
    </w:p>
    <w:p w14:paraId="511607F9" w14:textId="77777777" w:rsidR="00982724" w:rsidRPr="00982724" w:rsidRDefault="00982724" w:rsidP="00F974E8">
      <w:pPr>
        <w:numPr>
          <w:ilvl w:val="0"/>
          <w:numId w:val="2"/>
        </w:numPr>
        <w:autoSpaceDE/>
        <w:autoSpaceDN/>
        <w:adjustRightInd/>
        <w:contextualSpacing/>
        <w:rPr>
          <w:b/>
        </w:rPr>
      </w:pPr>
      <w:r w:rsidRPr="00982724">
        <w:rPr>
          <w:b/>
        </w:rPr>
        <w:t>Shelf-life</w:t>
      </w:r>
    </w:p>
    <w:p w14:paraId="553CBAD7" w14:textId="77777777" w:rsidR="00982724" w:rsidRPr="00982724" w:rsidRDefault="00982724" w:rsidP="00982724">
      <w:pPr>
        <w:autoSpaceDE/>
        <w:autoSpaceDN/>
        <w:adjustRightInd/>
        <w:spacing w:line="240" w:lineRule="auto"/>
        <w:ind w:left="360"/>
        <w:outlineLvl w:val="1"/>
        <w:rPr>
          <w:bCs/>
        </w:rPr>
      </w:pPr>
      <w:r w:rsidRPr="00982724">
        <w:rPr>
          <w:bCs/>
        </w:rPr>
        <w:t>In Australia, information on the shelf life can be found on the public summary of the Australian Register of Therapeutic Goods (ARTG). The expiry date can be found on the packaging.</w:t>
      </w:r>
    </w:p>
    <w:p w14:paraId="22B170CA" w14:textId="1F8580F2" w:rsidR="00982724" w:rsidRPr="00C54309" w:rsidRDefault="00982724" w:rsidP="00F974E8">
      <w:pPr>
        <w:numPr>
          <w:ilvl w:val="0"/>
          <w:numId w:val="2"/>
        </w:numPr>
        <w:autoSpaceDE/>
        <w:autoSpaceDN/>
        <w:adjustRightInd/>
        <w:contextualSpacing/>
        <w:rPr>
          <w:b/>
        </w:rPr>
      </w:pPr>
      <w:r w:rsidRPr="00982724">
        <w:rPr>
          <w:b/>
        </w:rPr>
        <w:t xml:space="preserve">Special precautions for </w:t>
      </w:r>
      <w:r w:rsidR="009A6094">
        <w:rPr>
          <w:b/>
        </w:rPr>
        <w:t>Storage</w:t>
      </w:r>
    </w:p>
    <w:p w14:paraId="0C40AFD5" w14:textId="0D7D22C2" w:rsidR="00982724" w:rsidRPr="00254BEF" w:rsidRDefault="00A63599" w:rsidP="00C54309">
      <w:pPr>
        <w:ind w:left="360"/>
      </w:pPr>
      <w:r w:rsidRPr="00A63599">
        <w:t>Store in the original package in order to protect from moisture.</w:t>
      </w:r>
      <w:r>
        <w:t xml:space="preserve"> Keep out of reach of children. </w:t>
      </w:r>
    </w:p>
    <w:p w14:paraId="0B346427" w14:textId="77777777" w:rsidR="00982724" w:rsidRPr="00982724" w:rsidRDefault="00982724" w:rsidP="00F974E8">
      <w:pPr>
        <w:numPr>
          <w:ilvl w:val="0"/>
          <w:numId w:val="2"/>
        </w:numPr>
        <w:autoSpaceDE/>
        <w:autoSpaceDN/>
        <w:adjustRightInd/>
        <w:contextualSpacing/>
        <w:rPr>
          <w:b/>
        </w:rPr>
      </w:pPr>
      <w:r w:rsidRPr="00982724">
        <w:rPr>
          <w:b/>
        </w:rPr>
        <w:t>Nature and contents of the container</w:t>
      </w:r>
    </w:p>
    <w:p w14:paraId="7B5D10BB" w14:textId="77777777" w:rsidR="008670FC" w:rsidRDefault="00A63599" w:rsidP="008670FC">
      <w:pPr>
        <w:ind w:left="360"/>
      </w:pPr>
      <w:r>
        <w:t xml:space="preserve">PIQRAY tablets </w:t>
      </w:r>
      <w:r w:rsidR="002E4DF0" w:rsidRPr="00254BEF">
        <w:t xml:space="preserve">are supplied in </w:t>
      </w:r>
      <w:r w:rsidR="00916F24" w:rsidRPr="00916F24">
        <w:t>PVC/PCTFE</w:t>
      </w:r>
      <w:r w:rsidR="008670FC">
        <w:t xml:space="preserve"> (polyvinylchloride/</w:t>
      </w:r>
      <w:proofErr w:type="spellStart"/>
      <w:r w:rsidR="008670FC">
        <w:t>polychlorotrifluoroethylene</w:t>
      </w:r>
      <w:proofErr w:type="spellEnd"/>
      <w:r w:rsidR="008670FC">
        <w:t>) or PA/Al/PVC (polyamide/aluminium/polyvinylchloride)</w:t>
      </w:r>
      <w:r w:rsidR="003E65F2">
        <w:t>/aluminium laminate</w:t>
      </w:r>
      <w:r w:rsidR="00916F24" w:rsidRPr="00916F24">
        <w:t xml:space="preserve"> </w:t>
      </w:r>
      <w:r w:rsidR="00F86339">
        <w:t xml:space="preserve">blister </w:t>
      </w:r>
      <w:r w:rsidR="002E4DF0">
        <w:t>packs</w:t>
      </w:r>
      <w:r w:rsidR="008670FC">
        <w:t>.</w:t>
      </w:r>
    </w:p>
    <w:p w14:paraId="4FD04FD1" w14:textId="567E1B7D" w:rsidR="008670FC" w:rsidRPr="00D808E8" w:rsidRDefault="008670FC" w:rsidP="008670FC">
      <w:pPr>
        <w:ind w:left="360"/>
        <w:rPr>
          <w:u w:val="single"/>
        </w:rPr>
      </w:pPr>
      <w:proofErr w:type="spellStart"/>
      <w:r w:rsidRPr="00D808E8">
        <w:rPr>
          <w:u w:val="single"/>
        </w:rPr>
        <w:t>Piqray</w:t>
      </w:r>
      <w:proofErr w:type="spellEnd"/>
      <w:r w:rsidRPr="00D808E8">
        <w:rPr>
          <w:u w:val="single"/>
        </w:rPr>
        <w:t xml:space="preserve"> 50 mg and </w:t>
      </w:r>
      <w:proofErr w:type="spellStart"/>
      <w:r>
        <w:rPr>
          <w:u w:val="single"/>
        </w:rPr>
        <w:t>Piqray</w:t>
      </w:r>
      <w:proofErr w:type="spellEnd"/>
      <w:r>
        <w:rPr>
          <w:u w:val="single"/>
        </w:rPr>
        <w:t xml:space="preserve"> </w:t>
      </w:r>
      <w:r w:rsidRPr="00D808E8">
        <w:rPr>
          <w:u w:val="single"/>
        </w:rPr>
        <w:t>200 mg film-coated tablets</w:t>
      </w:r>
    </w:p>
    <w:p w14:paraId="7B6E26A1" w14:textId="5F0FF851" w:rsidR="008670FC" w:rsidRDefault="008670FC" w:rsidP="008670FC">
      <w:pPr>
        <w:ind w:left="360"/>
      </w:pPr>
      <w:r>
        <w:t>14 day*</w:t>
      </w:r>
      <w:r w:rsidRPr="00254BEF">
        <w:t xml:space="preserve"> or </w:t>
      </w:r>
      <w:r>
        <w:t>28 day calendar packs containing 28 film-coated tablets (fourteen 50 mg and fourteen 200 mg) or 56 film-coated tablets (twenty-eight 50 mg and twenty-eight 200 mg).</w:t>
      </w:r>
    </w:p>
    <w:p w14:paraId="3F1B760C" w14:textId="77777777" w:rsidR="008670FC" w:rsidRPr="00D808E8" w:rsidRDefault="008670FC" w:rsidP="008670FC">
      <w:pPr>
        <w:ind w:left="360"/>
        <w:rPr>
          <w:u w:val="single"/>
        </w:rPr>
      </w:pPr>
      <w:proofErr w:type="spellStart"/>
      <w:r w:rsidRPr="00D808E8">
        <w:rPr>
          <w:u w:val="single"/>
        </w:rPr>
        <w:t>Piqray</w:t>
      </w:r>
      <w:proofErr w:type="spellEnd"/>
      <w:r w:rsidRPr="00D808E8">
        <w:rPr>
          <w:u w:val="single"/>
        </w:rPr>
        <w:t xml:space="preserve"> 150 mg film-coated tablets</w:t>
      </w:r>
    </w:p>
    <w:p w14:paraId="3098EC83" w14:textId="77777777" w:rsidR="008670FC" w:rsidRDefault="008670FC" w:rsidP="008670FC">
      <w:pPr>
        <w:ind w:left="360"/>
      </w:pPr>
      <w:r w:rsidRPr="008670FC">
        <w:t xml:space="preserve">14 day* or 28 day calendar </w:t>
      </w:r>
      <w:r>
        <w:t>packs containing 28 or 56 film-coated tablets.</w:t>
      </w:r>
      <w:r w:rsidR="002E4DF0" w:rsidRPr="00254BEF">
        <w:t xml:space="preserve"> </w:t>
      </w:r>
    </w:p>
    <w:p w14:paraId="4EC84E34" w14:textId="77777777" w:rsidR="008670FC" w:rsidRPr="00D808E8" w:rsidRDefault="008670FC" w:rsidP="008670FC">
      <w:pPr>
        <w:ind w:left="360"/>
        <w:rPr>
          <w:u w:val="single"/>
        </w:rPr>
      </w:pPr>
      <w:proofErr w:type="spellStart"/>
      <w:r w:rsidRPr="00D808E8">
        <w:rPr>
          <w:u w:val="single"/>
        </w:rPr>
        <w:t>Piqray</w:t>
      </w:r>
      <w:proofErr w:type="spellEnd"/>
      <w:r w:rsidRPr="00D808E8">
        <w:rPr>
          <w:u w:val="single"/>
        </w:rPr>
        <w:t xml:space="preserve"> 200 mg film-coated tablets</w:t>
      </w:r>
    </w:p>
    <w:p w14:paraId="09EBA0D3" w14:textId="35EF1C72" w:rsidR="002E4DF0" w:rsidRPr="00254BEF" w:rsidRDefault="008670FC" w:rsidP="008670FC">
      <w:pPr>
        <w:ind w:left="360"/>
      </w:pPr>
      <w:r w:rsidRPr="008670FC">
        <w:t xml:space="preserve">14 day* or 28 day calendar </w:t>
      </w:r>
      <w:r>
        <w:t xml:space="preserve">packs containing 14 or 28 film-coated tablets. </w:t>
      </w:r>
    </w:p>
    <w:p w14:paraId="4FCC567E" w14:textId="28FF13A0" w:rsidR="00982724" w:rsidRPr="00254BEF" w:rsidRDefault="00982724" w:rsidP="00C54309">
      <w:pPr>
        <w:ind w:left="360"/>
      </w:pPr>
      <w:r>
        <w:t xml:space="preserve">*Not all pack sizes </w:t>
      </w:r>
      <w:r w:rsidR="008670FC">
        <w:t>are suppli</w:t>
      </w:r>
      <w:r>
        <w:t>ed.</w:t>
      </w:r>
    </w:p>
    <w:p w14:paraId="07FDE881" w14:textId="77777777" w:rsidR="00365788" w:rsidRPr="00910946" w:rsidRDefault="00365788" w:rsidP="00F974E8">
      <w:pPr>
        <w:numPr>
          <w:ilvl w:val="0"/>
          <w:numId w:val="2"/>
        </w:numPr>
        <w:autoSpaceDE/>
        <w:autoSpaceDN/>
        <w:adjustRightInd/>
        <w:contextualSpacing/>
        <w:rPr>
          <w:b/>
        </w:rPr>
      </w:pPr>
      <w:r w:rsidRPr="00910946">
        <w:rPr>
          <w:b/>
        </w:rPr>
        <w:t>Special precautions for disposal</w:t>
      </w:r>
    </w:p>
    <w:p w14:paraId="07FDE882" w14:textId="44BF1461" w:rsidR="00365788" w:rsidRDefault="00365788" w:rsidP="00C54309">
      <w:pPr>
        <w:ind w:left="360"/>
      </w:pPr>
      <w:r>
        <w:t>Any unused product should not be disposed of in household waste or wastewater. Return it to a pharmacist for safe disposal.</w:t>
      </w:r>
    </w:p>
    <w:p w14:paraId="14D969F0" w14:textId="750F30C9" w:rsidR="008679D3" w:rsidRDefault="008679D3" w:rsidP="00D808E8">
      <w:pPr>
        <w:numPr>
          <w:ilvl w:val="0"/>
          <w:numId w:val="2"/>
        </w:numPr>
        <w:autoSpaceDE/>
        <w:autoSpaceDN/>
        <w:adjustRightInd/>
        <w:spacing w:line="240" w:lineRule="auto"/>
        <w:ind w:left="357" w:hanging="357"/>
        <w:contextualSpacing/>
        <w:rPr>
          <w:b/>
        </w:rPr>
      </w:pPr>
      <w:r w:rsidRPr="008679D3">
        <w:rPr>
          <w:b/>
        </w:rPr>
        <w:t>Physicochemical properties</w:t>
      </w:r>
    </w:p>
    <w:p w14:paraId="2FC8264A" w14:textId="77777777" w:rsidR="000B460C" w:rsidRDefault="006265BC" w:rsidP="00D808E8">
      <w:pPr>
        <w:pStyle w:val="BodyText"/>
        <w:kinsoku w:val="0"/>
        <w:overflowPunct w:val="0"/>
        <w:spacing w:after="0" w:line="240" w:lineRule="auto"/>
        <w:ind w:left="417"/>
        <w:rPr>
          <w:lang w:eastAsia="en-US"/>
        </w:rPr>
      </w:pPr>
      <w:r w:rsidRPr="006265BC">
        <w:t>Chemical name</w:t>
      </w:r>
      <w:r w:rsidR="000B460C">
        <w:t xml:space="preserve"> (IUPAC)</w:t>
      </w:r>
      <w:r w:rsidRPr="006265BC">
        <w:t>:</w:t>
      </w:r>
      <w:r w:rsidR="000B460C">
        <w:t xml:space="preserve"> </w:t>
      </w:r>
      <w:bookmarkStart w:id="40" w:name="1_International_non-proprietary_name_(IN"/>
      <w:bookmarkStart w:id="41" w:name="2_Compendial_name"/>
      <w:bookmarkStart w:id="42" w:name="3_National_approved_names"/>
      <w:bookmarkStart w:id="43" w:name="3.1_USAN"/>
      <w:bookmarkStart w:id="44" w:name="3.2_BAN"/>
      <w:bookmarkStart w:id="45" w:name="3.3_JAN"/>
      <w:bookmarkStart w:id="46" w:name="4_Chemical_names"/>
      <w:bookmarkStart w:id="47" w:name="4.1_IUPAC"/>
      <w:bookmarkStart w:id="48" w:name="4.2_CAS"/>
      <w:bookmarkStart w:id="49" w:name="5_CAS_Registry_Number"/>
      <w:bookmarkStart w:id="50" w:name="6_Company_or_laboratory_codes"/>
      <w:bookmarkEnd w:id="40"/>
      <w:bookmarkEnd w:id="41"/>
      <w:bookmarkEnd w:id="42"/>
      <w:bookmarkEnd w:id="43"/>
      <w:bookmarkEnd w:id="44"/>
      <w:bookmarkEnd w:id="45"/>
      <w:bookmarkEnd w:id="46"/>
      <w:bookmarkEnd w:id="47"/>
      <w:bookmarkEnd w:id="48"/>
      <w:bookmarkEnd w:id="49"/>
      <w:bookmarkEnd w:id="50"/>
      <w:r w:rsidR="000B460C" w:rsidRPr="000B460C">
        <w:rPr>
          <w:lang w:eastAsia="en-US"/>
        </w:rPr>
        <w:t>(2</w:t>
      </w:r>
      <w:r w:rsidR="000B460C" w:rsidRPr="000B460C">
        <w:rPr>
          <w:i/>
          <w:iCs/>
          <w:lang w:eastAsia="en-US"/>
        </w:rPr>
        <w:t>S</w:t>
      </w:r>
      <w:r w:rsidR="000B460C" w:rsidRPr="000B460C">
        <w:rPr>
          <w:lang w:eastAsia="en-US"/>
        </w:rPr>
        <w:t>)-</w:t>
      </w:r>
      <w:r w:rsidR="000B460C" w:rsidRPr="000B460C">
        <w:rPr>
          <w:i/>
          <w:iCs/>
          <w:lang w:eastAsia="en-US"/>
        </w:rPr>
        <w:t>N</w:t>
      </w:r>
      <w:r w:rsidR="000B460C" w:rsidRPr="000B460C">
        <w:rPr>
          <w:position w:val="9"/>
          <w:sz w:val="16"/>
          <w:szCs w:val="16"/>
          <w:lang w:eastAsia="en-US"/>
        </w:rPr>
        <w:t>1</w:t>
      </w:r>
      <w:r w:rsidR="000B460C" w:rsidRPr="000B460C">
        <w:rPr>
          <w:lang w:eastAsia="en-US"/>
        </w:rPr>
        <w:t>-{4-Methyl-5-[2-(1</w:t>
      </w:r>
      <w:proofErr w:type="gramStart"/>
      <w:r w:rsidR="000B460C" w:rsidRPr="000B460C">
        <w:rPr>
          <w:lang w:eastAsia="en-US"/>
        </w:rPr>
        <w:t>,1,1</w:t>
      </w:r>
      <w:proofErr w:type="gramEnd"/>
      <w:r w:rsidR="000B460C" w:rsidRPr="000B460C">
        <w:rPr>
          <w:lang w:eastAsia="en-US"/>
        </w:rPr>
        <w:t>-triflu</w:t>
      </w:r>
      <w:r w:rsidR="000B460C" w:rsidRPr="000B460C">
        <w:rPr>
          <w:spacing w:val="59"/>
          <w:lang w:eastAsia="en-US"/>
        </w:rPr>
        <w:t xml:space="preserve"> </w:t>
      </w:r>
      <w:r w:rsidR="000B460C" w:rsidRPr="000B460C">
        <w:rPr>
          <w:lang w:eastAsia="en-US"/>
        </w:rPr>
        <w:t>ro-2-methylpropan-2-yl)</w:t>
      </w:r>
      <w:proofErr w:type="spellStart"/>
      <w:r w:rsidR="000B460C" w:rsidRPr="000B460C">
        <w:rPr>
          <w:lang w:eastAsia="en-US"/>
        </w:rPr>
        <w:t>pyridin</w:t>
      </w:r>
      <w:proofErr w:type="spellEnd"/>
      <w:r w:rsidR="000B460C" w:rsidRPr="000B460C">
        <w:rPr>
          <w:lang w:eastAsia="en-US"/>
        </w:rPr>
        <w:t>-</w:t>
      </w:r>
    </w:p>
    <w:p w14:paraId="7C9FA74D" w14:textId="6EA8B403" w:rsidR="000B460C" w:rsidRPr="000B460C" w:rsidRDefault="000B460C" w:rsidP="00D808E8">
      <w:pPr>
        <w:pStyle w:val="BodyText"/>
        <w:kinsoku w:val="0"/>
        <w:overflowPunct w:val="0"/>
        <w:spacing w:line="240" w:lineRule="auto"/>
        <w:ind w:left="420"/>
        <w:rPr>
          <w:lang w:eastAsia="en-US"/>
        </w:rPr>
      </w:pPr>
      <w:r>
        <w:rPr>
          <w:lang w:eastAsia="en-US"/>
        </w:rPr>
        <w:tab/>
      </w:r>
      <w:r>
        <w:rPr>
          <w:lang w:eastAsia="en-US"/>
        </w:rPr>
        <w:tab/>
      </w:r>
      <w:r>
        <w:rPr>
          <w:lang w:eastAsia="en-US"/>
        </w:rPr>
        <w:tab/>
      </w:r>
      <w:r>
        <w:rPr>
          <w:lang w:eastAsia="en-US"/>
        </w:rPr>
        <w:tab/>
        <w:t xml:space="preserve">  </w:t>
      </w:r>
      <w:r w:rsidRPr="000B460C">
        <w:rPr>
          <w:lang w:eastAsia="en-US"/>
        </w:rPr>
        <w:t>4-yl]-1</w:t>
      </w:r>
      <w:proofErr w:type="gramStart"/>
      <w:r w:rsidRPr="000B460C">
        <w:rPr>
          <w:lang w:eastAsia="en-US"/>
        </w:rPr>
        <w:t>,3</w:t>
      </w:r>
      <w:proofErr w:type="gramEnd"/>
      <w:r w:rsidRPr="000B460C">
        <w:rPr>
          <w:lang w:eastAsia="en-US"/>
        </w:rPr>
        <w:t>-thiazol-2-yl}pyrrolidine-1,2-dicarboxamide</w:t>
      </w:r>
    </w:p>
    <w:p w14:paraId="58D54F17" w14:textId="31065489" w:rsidR="000763CF" w:rsidRDefault="000B460C" w:rsidP="00D808E8">
      <w:pPr>
        <w:spacing w:after="80" w:line="240" w:lineRule="auto"/>
        <w:ind w:left="357" w:right="-1956"/>
      </w:pPr>
      <w:r>
        <w:lastRenderedPageBreak/>
        <w:t xml:space="preserve"> </w:t>
      </w:r>
      <w:r w:rsidR="000763CF">
        <w:t xml:space="preserve">Molecular formula: </w:t>
      </w:r>
      <w:r w:rsidR="003E65F2">
        <w:t xml:space="preserve">         </w:t>
      </w:r>
      <w:r>
        <w:t xml:space="preserve">  </w:t>
      </w:r>
      <w:r w:rsidR="000763CF">
        <w:t>C</w:t>
      </w:r>
      <w:r w:rsidR="000763CF" w:rsidRPr="00E268A6">
        <w:rPr>
          <w:vertAlign w:val="subscript"/>
        </w:rPr>
        <w:t>19</w:t>
      </w:r>
      <w:r w:rsidR="000763CF">
        <w:t>H</w:t>
      </w:r>
      <w:r w:rsidR="000763CF" w:rsidRPr="00E268A6">
        <w:rPr>
          <w:vertAlign w:val="subscript"/>
        </w:rPr>
        <w:t>22</w:t>
      </w:r>
      <w:r w:rsidR="000763CF">
        <w:t>F</w:t>
      </w:r>
      <w:r w:rsidR="000763CF" w:rsidRPr="00E268A6">
        <w:rPr>
          <w:vertAlign w:val="subscript"/>
        </w:rPr>
        <w:t>3</w:t>
      </w:r>
      <w:r w:rsidR="000763CF">
        <w:t>N</w:t>
      </w:r>
      <w:r w:rsidR="000763CF" w:rsidRPr="00E268A6">
        <w:rPr>
          <w:vertAlign w:val="subscript"/>
        </w:rPr>
        <w:t>5</w:t>
      </w:r>
      <w:r w:rsidR="000763CF">
        <w:t>O</w:t>
      </w:r>
      <w:r w:rsidR="000763CF" w:rsidRPr="00E268A6">
        <w:rPr>
          <w:vertAlign w:val="subscript"/>
        </w:rPr>
        <w:t>2</w:t>
      </w:r>
      <w:r w:rsidR="000763CF">
        <w:t xml:space="preserve">S </w:t>
      </w:r>
    </w:p>
    <w:p w14:paraId="0A4801D2" w14:textId="3DF5DABA" w:rsidR="000763CF" w:rsidRDefault="000B460C" w:rsidP="003E65F2">
      <w:pPr>
        <w:ind w:left="360" w:right="-1955"/>
      </w:pPr>
      <w:r>
        <w:t xml:space="preserve"> </w:t>
      </w:r>
      <w:r w:rsidR="000763CF">
        <w:t xml:space="preserve">Relative molecular mass: </w:t>
      </w:r>
      <w:r>
        <w:t xml:space="preserve">  </w:t>
      </w:r>
      <w:r w:rsidR="000763CF">
        <w:t>441.47</w:t>
      </w:r>
    </w:p>
    <w:p w14:paraId="60260E76" w14:textId="30D9D389" w:rsidR="007A4220" w:rsidRDefault="000B460C" w:rsidP="000B460C">
      <w:pPr>
        <w:ind w:left="426"/>
      </w:pPr>
      <w:proofErr w:type="spellStart"/>
      <w:r>
        <w:t>Alpelisib</w:t>
      </w:r>
      <w:proofErr w:type="spellEnd"/>
      <w:r>
        <w:t xml:space="preserve"> is a w</w:t>
      </w:r>
      <w:r w:rsidRPr="00A37B46">
        <w:t>hite to almost white powder</w:t>
      </w:r>
      <w:r>
        <w:t xml:space="preserve"> at room temperature. </w:t>
      </w:r>
      <w:r w:rsidR="007A4220">
        <w:t>It is sparingly soluble in methanol, acetone, and absolute ethanol; it is i</w:t>
      </w:r>
      <w:r w:rsidR="007A4220" w:rsidRPr="007A4220">
        <w:t>nsoluble</w:t>
      </w:r>
      <w:r w:rsidR="007A4220">
        <w:t>/</w:t>
      </w:r>
      <w:r w:rsidR="007A4220" w:rsidRPr="007A4220">
        <w:t>practically insoluble</w:t>
      </w:r>
      <w:r w:rsidR="007A4220">
        <w:t xml:space="preserve"> in water, and demonstrates</w:t>
      </w:r>
      <w:r w:rsidRPr="00A37B46">
        <w:t xml:space="preserve"> pH-dependent </w:t>
      </w:r>
      <w:r w:rsidR="007A4220">
        <w:t xml:space="preserve">aqueous </w:t>
      </w:r>
      <w:r w:rsidRPr="00A37B46">
        <w:t>solubility</w:t>
      </w:r>
      <w:r w:rsidR="007A4220">
        <w:t xml:space="preserve">. </w:t>
      </w:r>
      <w:proofErr w:type="spellStart"/>
      <w:r w:rsidR="007A4220">
        <w:t>Alpelisib</w:t>
      </w:r>
      <w:proofErr w:type="spellEnd"/>
      <w:r w:rsidR="007A4220">
        <w:t xml:space="preserve"> </w:t>
      </w:r>
      <w:r>
        <w:t xml:space="preserve">is most </w:t>
      </w:r>
      <w:r w:rsidRPr="00A37B46">
        <w:t>solub</w:t>
      </w:r>
      <w:r>
        <w:t xml:space="preserve">le </w:t>
      </w:r>
      <w:r w:rsidRPr="00A37B46">
        <w:t>at pH 1</w:t>
      </w:r>
      <w:r w:rsidR="005C7917">
        <w:t xml:space="preserve"> and </w:t>
      </w:r>
      <w:r w:rsidR="007A4220">
        <w:t xml:space="preserve">has two experimentally determined dissociation constants with </w:t>
      </w:r>
      <w:proofErr w:type="spellStart"/>
      <w:r w:rsidR="007A4220">
        <w:t>pKa</w:t>
      </w:r>
      <w:proofErr w:type="spellEnd"/>
      <w:r w:rsidR="007A4220">
        <w:t xml:space="preserve"> values of 3.3 and 9.4. </w:t>
      </w:r>
      <w:r>
        <w:t xml:space="preserve">The pH of a 1.0 % (m/v) solution of </w:t>
      </w:r>
      <w:proofErr w:type="spellStart"/>
      <w:r>
        <w:t>alpelisib</w:t>
      </w:r>
      <w:proofErr w:type="spellEnd"/>
      <w:r>
        <w:t xml:space="preserve"> in water/ethanol (50:50 v/v) is approximately 6.2.</w:t>
      </w:r>
      <w:r w:rsidR="007A4220">
        <w:t xml:space="preserve"> </w:t>
      </w:r>
      <w:r w:rsidR="007A4220" w:rsidRPr="007A4220">
        <w:t>In an n-</w:t>
      </w:r>
      <w:proofErr w:type="spellStart"/>
      <w:r w:rsidR="007A4220" w:rsidRPr="007A4220">
        <w:t>octanol</w:t>
      </w:r>
      <w:proofErr w:type="spellEnd"/>
      <w:r w:rsidR="007A4220" w:rsidRPr="007A4220">
        <w:t xml:space="preserve">/pH 6.8 buffer system, </w:t>
      </w:r>
      <w:proofErr w:type="spellStart"/>
      <w:r w:rsidR="007A4220" w:rsidRPr="007A4220">
        <w:t>alpelisib</w:t>
      </w:r>
      <w:proofErr w:type="spellEnd"/>
      <w:r w:rsidR="007A4220" w:rsidRPr="007A4220">
        <w:t xml:space="preserve"> has a log D of 2.8. </w:t>
      </w:r>
      <w:proofErr w:type="spellStart"/>
      <w:r w:rsidR="007A4220">
        <w:t>Alpelisib</w:t>
      </w:r>
      <w:proofErr w:type="spellEnd"/>
      <w:r w:rsidR="007A4220">
        <w:t xml:space="preserve"> </w:t>
      </w:r>
      <w:r w:rsidR="007A4220" w:rsidRPr="007A4220">
        <w:t xml:space="preserve">is optically active. </w:t>
      </w:r>
    </w:p>
    <w:tbl>
      <w:tblPr>
        <w:tblStyle w:val="TableGrid"/>
        <w:tblW w:w="9563"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2356"/>
        <w:gridCol w:w="3624"/>
        <w:gridCol w:w="487"/>
      </w:tblGrid>
      <w:tr w:rsidR="00E01B03" w:rsidRPr="00E01B03" w14:paraId="55C1D63A" w14:textId="77777777" w:rsidTr="003E65F2">
        <w:tc>
          <w:tcPr>
            <w:tcW w:w="3096" w:type="dxa"/>
          </w:tcPr>
          <w:p w14:paraId="7B39721A" w14:textId="736E2663" w:rsidR="00E01B03" w:rsidRPr="00E01B03" w:rsidRDefault="00E01B03" w:rsidP="00E01B03">
            <w:pPr>
              <w:keepNext/>
              <w:autoSpaceDE/>
              <w:autoSpaceDN/>
              <w:adjustRightInd/>
              <w:jc w:val="left"/>
              <w:rPr>
                <w:u w:val="single"/>
              </w:rPr>
            </w:pPr>
            <w:r w:rsidRPr="00E01B03">
              <w:rPr>
                <w:u w:val="single"/>
              </w:rPr>
              <w:t xml:space="preserve">Chemical structure </w:t>
            </w:r>
          </w:p>
          <w:p w14:paraId="65DB551E" w14:textId="4C6DE89A" w:rsidR="00E01B03" w:rsidRPr="00E01B03" w:rsidRDefault="00E01B03" w:rsidP="00A7383D">
            <w:pPr>
              <w:ind w:right="-1955"/>
              <w:rPr>
                <w:b/>
              </w:rPr>
            </w:pPr>
          </w:p>
        </w:tc>
        <w:tc>
          <w:tcPr>
            <w:tcW w:w="6467" w:type="dxa"/>
            <w:gridSpan w:val="3"/>
          </w:tcPr>
          <w:p w14:paraId="071BFE66" w14:textId="7D8E22C4" w:rsidR="00E01B03" w:rsidRDefault="000763CF" w:rsidP="003E65F2">
            <w:pPr>
              <w:autoSpaceDE/>
              <w:autoSpaceDN/>
              <w:adjustRightInd/>
              <w:rPr>
                <w:b/>
              </w:rPr>
            </w:pPr>
            <w:r>
              <w:rPr>
                <w:noProof/>
              </w:rPr>
              <w:drawing>
                <wp:inline distT="0" distB="0" distL="0" distR="0" wp14:anchorId="71A56792" wp14:editId="7183518F">
                  <wp:extent cx="1829218" cy="19492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838262" cy="1958883"/>
                          </a:xfrm>
                          <a:prstGeom prst="rect">
                            <a:avLst/>
                          </a:prstGeom>
                        </pic:spPr>
                      </pic:pic>
                    </a:graphicData>
                  </a:graphic>
                </wp:inline>
              </w:drawing>
            </w:r>
          </w:p>
          <w:p w14:paraId="2A5D3B8A" w14:textId="69D763C9" w:rsidR="00A37B46" w:rsidRPr="00E01B03" w:rsidRDefault="00A37B46" w:rsidP="00F86339">
            <w:pPr>
              <w:autoSpaceDE/>
              <w:autoSpaceDN/>
              <w:adjustRightInd/>
              <w:ind w:left="2160"/>
              <w:rPr>
                <w:b/>
              </w:rPr>
            </w:pPr>
          </w:p>
        </w:tc>
      </w:tr>
      <w:tr w:rsidR="00E01B03" w:rsidRPr="00E01B03" w14:paraId="25DFADDB" w14:textId="77777777" w:rsidTr="003E65F2">
        <w:trPr>
          <w:gridAfter w:val="1"/>
          <w:wAfter w:w="487" w:type="dxa"/>
        </w:trPr>
        <w:tc>
          <w:tcPr>
            <w:tcW w:w="5452" w:type="dxa"/>
            <w:gridSpan w:val="2"/>
          </w:tcPr>
          <w:p w14:paraId="084458A6" w14:textId="27FBD7F4" w:rsidR="00E01B03" w:rsidRPr="00E01B03" w:rsidRDefault="00E01B03" w:rsidP="000763CF">
            <w:pPr>
              <w:keepNext/>
              <w:autoSpaceDE/>
              <w:autoSpaceDN/>
              <w:adjustRightInd/>
              <w:ind w:right="1085"/>
              <w:jc w:val="left"/>
              <w:rPr>
                <w:b/>
              </w:rPr>
            </w:pPr>
            <w:r w:rsidRPr="00E01B03">
              <w:rPr>
                <w:u w:val="single"/>
              </w:rPr>
              <w:t>Chemical Abstracts Service (CAS)</w:t>
            </w:r>
            <w:r>
              <w:rPr>
                <w:u w:val="single"/>
              </w:rPr>
              <w:t xml:space="preserve"> number</w:t>
            </w:r>
            <w:r w:rsidRPr="00E01B03">
              <w:rPr>
                <w:u w:val="single"/>
              </w:rPr>
              <w:t xml:space="preserve"> </w:t>
            </w:r>
          </w:p>
        </w:tc>
        <w:tc>
          <w:tcPr>
            <w:tcW w:w="3624" w:type="dxa"/>
          </w:tcPr>
          <w:p w14:paraId="41098928" w14:textId="507EBAF8" w:rsidR="00E01B03" w:rsidRPr="00F86339" w:rsidRDefault="00F86339">
            <w:pPr>
              <w:autoSpaceDE/>
              <w:autoSpaceDN/>
              <w:adjustRightInd/>
              <w:spacing w:after="0" w:line="240" w:lineRule="auto"/>
              <w:rPr>
                <w:b/>
              </w:rPr>
            </w:pPr>
            <w:r w:rsidRPr="00F86339">
              <w:t>1217486-61-7</w:t>
            </w:r>
          </w:p>
        </w:tc>
      </w:tr>
    </w:tbl>
    <w:p w14:paraId="43F048E3" w14:textId="6A7291CA" w:rsidR="008679D3" w:rsidRPr="00C54309" w:rsidRDefault="008679D3" w:rsidP="00A37B46">
      <w:pPr>
        <w:pStyle w:val="Heading2"/>
        <w:keepNext w:val="0"/>
        <w:numPr>
          <w:ilvl w:val="0"/>
          <w:numId w:val="3"/>
        </w:numPr>
        <w:autoSpaceDE/>
        <w:autoSpaceDN/>
        <w:adjustRightInd/>
        <w:spacing w:before="120" w:line="240" w:lineRule="auto"/>
        <w:rPr>
          <w:bCs/>
          <w:sz w:val="28"/>
          <w:szCs w:val="28"/>
          <w:lang w:val="en-AU"/>
        </w:rPr>
      </w:pPr>
      <w:r w:rsidRPr="00C54309">
        <w:rPr>
          <w:bCs/>
          <w:sz w:val="28"/>
          <w:szCs w:val="28"/>
          <w:lang w:val="en-AU"/>
        </w:rPr>
        <w:t>MEDICINE SCHEDULE (POISON</w:t>
      </w:r>
      <w:r w:rsidR="00356313">
        <w:rPr>
          <w:bCs/>
          <w:sz w:val="28"/>
          <w:szCs w:val="28"/>
          <w:lang w:val="en-AU"/>
        </w:rPr>
        <w:t>S</w:t>
      </w:r>
      <w:r w:rsidRPr="00C54309">
        <w:rPr>
          <w:bCs/>
          <w:sz w:val="28"/>
          <w:szCs w:val="28"/>
          <w:lang w:val="en-AU"/>
        </w:rPr>
        <w:t xml:space="preserve"> STANDARD)</w:t>
      </w:r>
    </w:p>
    <w:p w14:paraId="7429100B" w14:textId="60A26B14" w:rsidR="008679D3" w:rsidRDefault="008679D3" w:rsidP="008679D3">
      <w:pPr>
        <w:ind w:left="360"/>
      </w:pPr>
      <w:r w:rsidRPr="00254BEF">
        <w:t xml:space="preserve">Schedule 4 – Prescription Only Medicine </w:t>
      </w:r>
    </w:p>
    <w:p w14:paraId="07FDE884" w14:textId="4DEC7832" w:rsidR="0077380F" w:rsidRPr="00C54309" w:rsidRDefault="0077380F" w:rsidP="00F974E8">
      <w:pPr>
        <w:pStyle w:val="Heading2"/>
        <w:keepNext w:val="0"/>
        <w:numPr>
          <w:ilvl w:val="0"/>
          <w:numId w:val="3"/>
        </w:numPr>
        <w:autoSpaceDE/>
        <w:autoSpaceDN/>
        <w:adjustRightInd/>
        <w:spacing w:before="120" w:line="240" w:lineRule="auto"/>
        <w:rPr>
          <w:bCs/>
          <w:sz w:val="28"/>
          <w:szCs w:val="28"/>
          <w:lang w:val="en-AU"/>
        </w:rPr>
      </w:pPr>
      <w:r w:rsidRPr="00C54309">
        <w:rPr>
          <w:bCs/>
          <w:sz w:val="28"/>
          <w:szCs w:val="28"/>
          <w:lang w:val="en-AU"/>
        </w:rPr>
        <w:t>SPONSOR</w:t>
      </w:r>
    </w:p>
    <w:p w14:paraId="07FDE885" w14:textId="53F8237E" w:rsidR="00293923" w:rsidRDefault="00293923" w:rsidP="00AE2F78">
      <w:pPr>
        <w:widowControl w:val="0"/>
        <w:autoSpaceDE/>
        <w:autoSpaceDN/>
        <w:adjustRightInd/>
        <w:spacing w:after="0" w:line="240" w:lineRule="auto"/>
        <w:ind w:left="357"/>
        <w:jc w:val="left"/>
      </w:pPr>
      <w:r w:rsidRPr="00293923">
        <w:t>NOVARTIS Pharmaceuticals Australia Pty Limited</w:t>
      </w:r>
      <w:r w:rsidRPr="00293923">
        <w:br/>
        <w:t>ABN 18 004 244 160</w:t>
      </w:r>
      <w:r w:rsidRPr="00293923">
        <w:br/>
        <w:t>54 Waterloo Road</w:t>
      </w:r>
      <w:r w:rsidRPr="00293923">
        <w:br/>
        <w:t>Macquarie Park NSW 2113</w:t>
      </w:r>
    </w:p>
    <w:p w14:paraId="3C0283E7" w14:textId="77777777" w:rsidR="00C46AAC" w:rsidRPr="00C46AAC" w:rsidRDefault="00C46AAC" w:rsidP="00C46AAC">
      <w:pPr>
        <w:autoSpaceDE/>
        <w:autoSpaceDN/>
        <w:adjustRightInd/>
        <w:spacing w:after="0" w:line="240" w:lineRule="auto"/>
        <w:ind w:left="357"/>
        <w:jc w:val="left"/>
      </w:pPr>
      <w:r w:rsidRPr="00C46AAC">
        <w:t>Telephone 1 800 671 203</w:t>
      </w:r>
    </w:p>
    <w:p w14:paraId="478B0790" w14:textId="77777777" w:rsidR="00C46AAC" w:rsidRPr="00C46AAC" w:rsidRDefault="00C46AAC" w:rsidP="00C46AAC">
      <w:pPr>
        <w:autoSpaceDE/>
        <w:autoSpaceDN/>
        <w:adjustRightInd/>
        <w:spacing w:after="0" w:line="240" w:lineRule="auto"/>
        <w:ind w:left="357"/>
        <w:jc w:val="left"/>
      </w:pPr>
      <w:r w:rsidRPr="00C46AAC">
        <w:t>Web site: www.novartis.com.au</w:t>
      </w:r>
    </w:p>
    <w:p w14:paraId="07FDE886" w14:textId="6A522A1B" w:rsidR="00293923" w:rsidRDefault="00293923" w:rsidP="008679D3">
      <w:pPr>
        <w:autoSpaceDE/>
        <w:autoSpaceDN/>
        <w:adjustRightInd/>
        <w:ind w:left="360"/>
        <w:jc w:val="left"/>
      </w:pPr>
      <w:r w:rsidRPr="00293923">
        <w:rPr>
          <w:vertAlign w:val="superscript"/>
        </w:rPr>
        <w:t>®</w:t>
      </w:r>
      <w:r w:rsidRPr="00293923">
        <w:t xml:space="preserve"> = Registered Trademark</w:t>
      </w:r>
    </w:p>
    <w:p w14:paraId="07FDE88B" w14:textId="3C4F68A2" w:rsidR="00091CA9" w:rsidRPr="00C54309" w:rsidRDefault="001E3831" w:rsidP="00F974E8">
      <w:pPr>
        <w:pStyle w:val="Heading2"/>
        <w:keepNext w:val="0"/>
        <w:numPr>
          <w:ilvl w:val="0"/>
          <w:numId w:val="3"/>
        </w:numPr>
        <w:autoSpaceDE/>
        <w:autoSpaceDN/>
        <w:adjustRightInd/>
        <w:spacing w:before="120" w:line="240" w:lineRule="auto"/>
        <w:rPr>
          <w:bCs/>
          <w:sz w:val="28"/>
          <w:szCs w:val="28"/>
          <w:lang w:val="en-AU"/>
        </w:rPr>
      </w:pPr>
      <w:r w:rsidRPr="00C54309">
        <w:rPr>
          <w:bCs/>
          <w:sz w:val="28"/>
          <w:szCs w:val="28"/>
          <w:lang w:val="en-AU"/>
        </w:rPr>
        <w:t xml:space="preserve">DATE OF FIRST </w:t>
      </w:r>
      <w:r w:rsidR="008A07A0">
        <w:rPr>
          <w:bCs/>
          <w:sz w:val="28"/>
          <w:szCs w:val="28"/>
          <w:lang w:val="en-AU"/>
        </w:rPr>
        <w:t>APPROVAL</w:t>
      </w:r>
    </w:p>
    <w:p w14:paraId="628D19BB" w14:textId="0941AFAD" w:rsidR="00A63599" w:rsidRPr="001E00E2" w:rsidRDefault="005232D0" w:rsidP="001309BE">
      <w:pPr>
        <w:pStyle w:val="Heading2"/>
        <w:keepNext w:val="0"/>
        <w:numPr>
          <w:ilvl w:val="0"/>
          <w:numId w:val="0"/>
        </w:numPr>
        <w:autoSpaceDE/>
        <w:autoSpaceDN/>
        <w:adjustRightInd/>
        <w:spacing w:before="120" w:line="240" w:lineRule="auto"/>
        <w:ind w:left="357"/>
        <w:rPr>
          <w:b w:val="0"/>
          <w:bCs/>
          <w:u w:val="none"/>
          <w:lang w:val="en-AU"/>
        </w:rPr>
      </w:pPr>
      <w:r>
        <w:rPr>
          <w:b w:val="0"/>
          <w:bCs/>
          <w:u w:val="none"/>
          <w:lang w:val="en-AU"/>
        </w:rPr>
        <w:t>20 March 2020</w:t>
      </w:r>
    </w:p>
    <w:p w14:paraId="07FDE892" w14:textId="713BEAF4" w:rsidR="000F70F6" w:rsidRDefault="004E7720" w:rsidP="00F974E8">
      <w:pPr>
        <w:pStyle w:val="Heading2"/>
        <w:keepNext w:val="0"/>
        <w:numPr>
          <w:ilvl w:val="0"/>
          <w:numId w:val="3"/>
        </w:numPr>
        <w:autoSpaceDE/>
        <w:autoSpaceDN/>
        <w:adjustRightInd/>
        <w:spacing w:before="120" w:line="240" w:lineRule="auto"/>
        <w:rPr>
          <w:bCs/>
          <w:sz w:val="28"/>
          <w:szCs w:val="28"/>
          <w:lang w:val="en-AU"/>
        </w:rPr>
      </w:pPr>
      <w:r w:rsidRPr="00C54309">
        <w:rPr>
          <w:bCs/>
          <w:sz w:val="28"/>
          <w:szCs w:val="28"/>
          <w:lang w:val="en-AU"/>
        </w:rPr>
        <w:t xml:space="preserve">DATE OF </w:t>
      </w:r>
      <w:r w:rsidR="008679D3" w:rsidRPr="00C54309">
        <w:rPr>
          <w:bCs/>
          <w:sz w:val="28"/>
          <w:szCs w:val="28"/>
          <w:lang w:val="en-AU"/>
        </w:rPr>
        <w:t>REVISION</w:t>
      </w:r>
    </w:p>
    <w:p w14:paraId="06DDD291" w14:textId="77777777" w:rsidR="00D52CC2" w:rsidRPr="00D52CC2" w:rsidRDefault="00D52CC2" w:rsidP="008679D3">
      <w:pPr>
        <w:autoSpaceDE/>
        <w:autoSpaceDN/>
        <w:adjustRightInd/>
        <w:ind w:left="357"/>
      </w:pPr>
      <w:r w:rsidRPr="00D52CC2">
        <w:t>N/A</w:t>
      </w:r>
    </w:p>
    <w:p w14:paraId="7903DA8D" w14:textId="1FEA9EE1" w:rsidR="008679D3" w:rsidRPr="002F30C1" w:rsidRDefault="008679D3" w:rsidP="008679D3">
      <w:pPr>
        <w:autoSpaceDE/>
        <w:autoSpaceDN/>
        <w:adjustRightInd/>
        <w:ind w:left="357"/>
        <w:rPr>
          <w:i/>
        </w:rPr>
      </w:pPr>
      <w:r w:rsidRPr="002F30C1">
        <w:rPr>
          <w:i/>
        </w:rPr>
        <w:t>Summary table of changes</w:t>
      </w:r>
    </w:p>
    <w:tbl>
      <w:tblPr>
        <w:tblStyle w:val="TableGrid"/>
        <w:tblW w:w="9010" w:type="dxa"/>
        <w:tblInd w:w="357" w:type="dxa"/>
        <w:tblBorders>
          <w:left w:val="none" w:sz="0" w:space="0" w:color="auto"/>
          <w:right w:val="none" w:sz="0" w:space="0" w:color="auto"/>
        </w:tblBorders>
        <w:tblLook w:val="04A0" w:firstRow="1" w:lastRow="0" w:firstColumn="1" w:lastColumn="0" w:noHBand="0" w:noVBand="1"/>
      </w:tblPr>
      <w:tblGrid>
        <w:gridCol w:w="1916"/>
        <w:gridCol w:w="7094"/>
      </w:tblGrid>
      <w:tr w:rsidR="008679D3" w:rsidRPr="008679D3" w14:paraId="592FCA5D" w14:textId="77777777" w:rsidTr="008679D3">
        <w:tc>
          <w:tcPr>
            <w:tcW w:w="1916" w:type="dxa"/>
            <w:tcBorders>
              <w:right w:val="nil"/>
            </w:tcBorders>
          </w:tcPr>
          <w:p w14:paraId="23E45E5E" w14:textId="77777777" w:rsidR="008679D3" w:rsidRPr="008679D3" w:rsidRDefault="008679D3" w:rsidP="008679D3">
            <w:pPr>
              <w:autoSpaceDE/>
              <w:autoSpaceDN/>
              <w:adjustRightInd/>
              <w:rPr>
                <w:b/>
              </w:rPr>
            </w:pPr>
            <w:r w:rsidRPr="008679D3">
              <w:rPr>
                <w:b/>
              </w:rPr>
              <w:t>Section changed</w:t>
            </w:r>
          </w:p>
        </w:tc>
        <w:tc>
          <w:tcPr>
            <w:tcW w:w="7094" w:type="dxa"/>
            <w:tcBorders>
              <w:left w:val="nil"/>
            </w:tcBorders>
          </w:tcPr>
          <w:p w14:paraId="0B04FB77" w14:textId="77777777" w:rsidR="008679D3" w:rsidRPr="008679D3" w:rsidRDefault="008679D3" w:rsidP="008679D3">
            <w:pPr>
              <w:autoSpaceDE/>
              <w:autoSpaceDN/>
              <w:adjustRightInd/>
              <w:rPr>
                <w:b/>
              </w:rPr>
            </w:pPr>
            <w:r w:rsidRPr="008679D3">
              <w:rPr>
                <w:b/>
              </w:rPr>
              <w:t>Summary of new information</w:t>
            </w:r>
          </w:p>
        </w:tc>
      </w:tr>
      <w:tr w:rsidR="008724D6" w14:paraId="726B3A38" w14:textId="77777777" w:rsidTr="00F520CE">
        <w:tc>
          <w:tcPr>
            <w:tcW w:w="1916" w:type="dxa"/>
            <w:tcBorders>
              <w:right w:val="nil"/>
            </w:tcBorders>
          </w:tcPr>
          <w:p w14:paraId="0F3B1EA2" w14:textId="588E9D23" w:rsidR="008724D6" w:rsidRPr="006233DE" w:rsidRDefault="008724D6" w:rsidP="00F520CE">
            <w:pPr>
              <w:rPr>
                <w:bCs/>
                <w:color w:val="000000"/>
              </w:rPr>
            </w:pPr>
          </w:p>
        </w:tc>
        <w:tc>
          <w:tcPr>
            <w:tcW w:w="7094" w:type="dxa"/>
            <w:tcBorders>
              <w:left w:val="nil"/>
            </w:tcBorders>
          </w:tcPr>
          <w:p w14:paraId="6A12E86B" w14:textId="2AAD61D3" w:rsidR="008724D6" w:rsidRPr="00F72D67" w:rsidRDefault="008724D6" w:rsidP="008F17B3"/>
        </w:tc>
      </w:tr>
    </w:tbl>
    <w:p w14:paraId="07FDE893" w14:textId="1662181B" w:rsidR="00587990" w:rsidRPr="00293923" w:rsidRDefault="00587990" w:rsidP="00587990">
      <w:pPr>
        <w:spacing w:after="0" w:line="240" w:lineRule="auto"/>
        <w:jc w:val="left"/>
        <w:rPr>
          <w:lang w:val="en-US" w:eastAsia="en-US"/>
        </w:rPr>
      </w:pPr>
      <w:bookmarkStart w:id="51" w:name="_GoBack"/>
      <w:bookmarkEnd w:id="51"/>
      <w:r w:rsidRPr="00293923">
        <w:rPr>
          <w:lang w:val="en-US" w:eastAsia="en-US"/>
        </w:rPr>
        <w:t>_______________________________________________________________________</w:t>
      </w:r>
    </w:p>
    <w:p w14:paraId="07FDE894" w14:textId="77777777" w:rsidR="00587990" w:rsidRPr="00B0733D" w:rsidRDefault="00587990" w:rsidP="00587990">
      <w:pPr>
        <w:spacing w:after="0" w:line="240" w:lineRule="auto"/>
        <w:jc w:val="left"/>
        <w:rPr>
          <w:sz w:val="18"/>
          <w:lang w:val="en-US"/>
        </w:rPr>
      </w:pPr>
      <w:r w:rsidRPr="00B0733D">
        <w:rPr>
          <w:sz w:val="18"/>
          <w:lang w:val="en-US"/>
        </w:rPr>
        <w:t xml:space="preserve">Internal </w:t>
      </w:r>
      <w:r w:rsidR="00BC67FB" w:rsidRPr="00BB158E">
        <w:rPr>
          <w:bCs/>
          <w:sz w:val="18"/>
          <w:szCs w:val="18"/>
          <w:lang w:val="en-US" w:eastAsia="en-US"/>
        </w:rPr>
        <w:t>document code</w:t>
      </w:r>
    </w:p>
    <w:p w14:paraId="07FDE895" w14:textId="5F9AD52F" w:rsidR="00587990" w:rsidRPr="00293923" w:rsidRDefault="004529FF" w:rsidP="00587990">
      <w:r>
        <w:rPr>
          <w:sz w:val="18"/>
          <w:szCs w:val="18"/>
          <w:lang w:val="en-US" w:eastAsia="en-US"/>
        </w:rPr>
        <w:t>P</w:t>
      </w:r>
      <w:r w:rsidR="00A63599">
        <w:rPr>
          <w:sz w:val="18"/>
          <w:szCs w:val="18"/>
          <w:lang w:val="en-US" w:eastAsia="en-US"/>
        </w:rPr>
        <w:t>iq</w:t>
      </w:r>
      <w:r w:rsidR="00114845">
        <w:rPr>
          <w:sz w:val="18"/>
          <w:szCs w:val="18"/>
          <w:lang w:val="en-US" w:eastAsia="en-US"/>
        </w:rPr>
        <w:t>19</w:t>
      </w:r>
      <w:r w:rsidR="006273E3">
        <w:rPr>
          <w:sz w:val="18"/>
          <w:szCs w:val="18"/>
          <w:lang w:val="en-US" w:eastAsia="en-US"/>
        </w:rPr>
        <w:t>0320</w:t>
      </w:r>
      <w:r w:rsidR="00587990" w:rsidRPr="00293923">
        <w:rPr>
          <w:sz w:val="18"/>
          <w:szCs w:val="18"/>
          <w:lang w:val="en-US" w:eastAsia="en-US"/>
        </w:rPr>
        <w:t xml:space="preserve">i </w:t>
      </w:r>
      <w:r w:rsidR="008679D3">
        <w:rPr>
          <w:sz w:val="18"/>
          <w:szCs w:val="18"/>
          <w:lang w:val="en-US" w:eastAsia="en-US"/>
        </w:rPr>
        <w:t>based on CDS dated</w:t>
      </w:r>
      <w:r w:rsidR="00A63599">
        <w:rPr>
          <w:sz w:val="18"/>
          <w:szCs w:val="18"/>
          <w:lang w:val="en-US" w:eastAsia="en-US"/>
        </w:rPr>
        <w:t xml:space="preserve"> </w:t>
      </w:r>
      <w:r w:rsidR="009B4E3C">
        <w:rPr>
          <w:sz w:val="18"/>
          <w:szCs w:val="18"/>
          <w:lang w:val="en-US" w:eastAsia="en-US"/>
        </w:rPr>
        <w:t>13 January 2020</w:t>
      </w:r>
    </w:p>
    <w:sectPr w:rsidR="00587990" w:rsidRPr="00293923" w:rsidSect="00676700">
      <w:footerReference w:type="default" r:id="rId19"/>
      <w:headerReference w:type="first" r:id="rId20"/>
      <w:pgSz w:w="11906" w:h="16838" w:code="9"/>
      <w:pgMar w:top="1134" w:right="964" w:bottom="851" w:left="1134" w:header="737" w:footer="454" w:gutter="0"/>
      <w:paperSrc w:first="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203E8" w14:textId="77777777" w:rsidR="000D71C5" w:rsidRDefault="000D71C5" w:rsidP="00AE6BB4">
      <w:r>
        <w:separator/>
      </w:r>
    </w:p>
    <w:p w14:paraId="614CCBBF" w14:textId="77777777" w:rsidR="000D71C5" w:rsidRDefault="000D71C5" w:rsidP="00AE6BB4"/>
  </w:endnote>
  <w:endnote w:type="continuationSeparator" w:id="0">
    <w:p w14:paraId="30FB7011" w14:textId="77777777" w:rsidR="000D71C5" w:rsidRDefault="000D71C5" w:rsidP="00AE6BB4">
      <w:r>
        <w:continuationSeparator/>
      </w:r>
    </w:p>
    <w:p w14:paraId="39070455" w14:textId="77777777" w:rsidR="000D71C5" w:rsidRDefault="000D71C5" w:rsidP="00AE6BB4"/>
  </w:endnote>
  <w:endnote w:type="continuationNotice" w:id="1">
    <w:p w14:paraId="2FB82BD2" w14:textId="77777777" w:rsidR="000D71C5" w:rsidRDefault="000D71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23A8A" w14:textId="77777777" w:rsidR="000D71C5" w:rsidRPr="00502656" w:rsidRDefault="000D71C5" w:rsidP="00502656">
    <w:pPr>
      <w:pStyle w:val="Footer"/>
      <w:spacing w:after="0" w:line="240" w:lineRule="auto"/>
      <w:rPr>
        <w:sz w:val="16"/>
        <w:szCs w:val="16"/>
      </w:rPr>
    </w:pPr>
  </w:p>
  <w:p w14:paraId="07FDE8AA" w14:textId="5845B39B" w:rsidR="000D71C5" w:rsidRDefault="000D71C5" w:rsidP="00502656">
    <w:pPr>
      <w:pStyle w:val="Footer"/>
      <w:tabs>
        <w:tab w:val="left" w:pos="6349"/>
        <w:tab w:val="right" w:pos="9808"/>
      </w:tabs>
      <w:jc w:val="left"/>
    </w:pPr>
    <w:r>
      <w:tab/>
    </w:r>
    <w:r>
      <w:tab/>
    </w:r>
    <w:r>
      <w:tab/>
    </w:r>
    <w:r>
      <w:tab/>
    </w:r>
    <w:r w:rsidRPr="006D1293">
      <w:t xml:space="preserve">Page </w:t>
    </w:r>
    <w:r w:rsidRPr="006D1293">
      <w:rPr>
        <w:bCs/>
      </w:rPr>
      <w:fldChar w:fldCharType="begin"/>
    </w:r>
    <w:r w:rsidRPr="006D1293">
      <w:rPr>
        <w:bCs/>
      </w:rPr>
      <w:instrText xml:space="preserve"> PAGE  \* Arabic  \* MERGEFORMAT </w:instrText>
    </w:r>
    <w:r w:rsidRPr="006D1293">
      <w:rPr>
        <w:bCs/>
      </w:rPr>
      <w:fldChar w:fldCharType="separate"/>
    </w:r>
    <w:r w:rsidR="00F55149">
      <w:rPr>
        <w:bCs/>
        <w:noProof/>
      </w:rPr>
      <w:t>23</w:t>
    </w:r>
    <w:r w:rsidRPr="006D1293">
      <w:rPr>
        <w:bCs/>
      </w:rPr>
      <w:fldChar w:fldCharType="end"/>
    </w:r>
    <w:r w:rsidRPr="006D1293">
      <w:t xml:space="preserve"> of </w:t>
    </w:r>
    <w:r w:rsidRPr="006D1293">
      <w:rPr>
        <w:bCs/>
      </w:rPr>
      <w:fldChar w:fldCharType="begin"/>
    </w:r>
    <w:r w:rsidRPr="006D1293">
      <w:rPr>
        <w:bCs/>
      </w:rPr>
      <w:instrText xml:space="preserve"> NUMPAGES  \* Arabic  \* MERGEFORMAT </w:instrText>
    </w:r>
    <w:r w:rsidRPr="006D1293">
      <w:rPr>
        <w:bCs/>
      </w:rPr>
      <w:fldChar w:fldCharType="separate"/>
    </w:r>
    <w:r w:rsidR="00F55149">
      <w:rPr>
        <w:bCs/>
        <w:noProof/>
      </w:rPr>
      <w:t>23</w:t>
    </w:r>
    <w:r w:rsidRPr="006D1293">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E8AB2" w14:textId="77777777" w:rsidR="000D71C5" w:rsidRDefault="000D71C5" w:rsidP="00AE6BB4">
      <w:r>
        <w:separator/>
      </w:r>
    </w:p>
    <w:p w14:paraId="189BA1C3" w14:textId="77777777" w:rsidR="000D71C5" w:rsidRDefault="000D71C5" w:rsidP="00AE6BB4"/>
  </w:footnote>
  <w:footnote w:type="continuationSeparator" w:id="0">
    <w:p w14:paraId="0BF0DD01" w14:textId="77777777" w:rsidR="000D71C5" w:rsidRDefault="000D71C5" w:rsidP="00AE6BB4">
      <w:r>
        <w:continuationSeparator/>
      </w:r>
    </w:p>
    <w:p w14:paraId="325B1BDF" w14:textId="77777777" w:rsidR="000D71C5" w:rsidRDefault="000D71C5" w:rsidP="00AE6BB4"/>
  </w:footnote>
  <w:footnote w:type="continuationNotice" w:id="1">
    <w:p w14:paraId="49F02ADA" w14:textId="77777777" w:rsidR="000D71C5" w:rsidRDefault="000D71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0D71C5" w14:paraId="0D98054C" w14:textId="77777777" w:rsidTr="000D71C5">
      <w:tc>
        <w:tcPr>
          <w:tcW w:w="8720" w:type="dxa"/>
          <w:shd w:val="clear" w:color="auto" w:fill="E4F2E0"/>
        </w:tcPr>
        <w:p w14:paraId="18B25C9F" w14:textId="55E55F17" w:rsidR="000D71C5" w:rsidRPr="00D361CA" w:rsidRDefault="000D71C5" w:rsidP="00AA7497">
          <w:pPr>
            <w:spacing w:before="40" w:after="40"/>
            <w:rPr>
              <w:b/>
              <w:sz w:val="20"/>
              <w:szCs w:val="20"/>
            </w:rPr>
          </w:pPr>
          <w:r w:rsidRPr="00D361CA">
            <w:rPr>
              <w:b/>
              <w:sz w:val="20"/>
              <w:szCs w:val="20"/>
            </w:rPr>
            <w:t xml:space="preserve">Attachment 1: Product information for </w:t>
          </w:r>
          <w:proofErr w:type="spellStart"/>
          <w:r w:rsidR="00AA7497" w:rsidRPr="00AA7497">
            <w:rPr>
              <w:b/>
              <w:sz w:val="20"/>
              <w:szCs w:val="20"/>
            </w:rPr>
            <w:t>AusPAR</w:t>
          </w:r>
          <w:proofErr w:type="spellEnd"/>
          <w:r w:rsidR="00AA7497" w:rsidRPr="00AA7497">
            <w:rPr>
              <w:b/>
              <w:sz w:val="20"/>
              <w:szCs w:val="20"/>
            </w:rPr>
            <w:t xml:space="preserve"> - PIQRAY - </w:t>
          </w:r>
          <w:proofErr w:type="spellStart"/>
          <w:r w:rsidR="00AA7497" w:rsidRPr="00AA7497">
            <w:rPr>
              <w:b/>
              <w:sz w:val="20"/>
              <w:szCs w:val="20"/>
            </w:rPr>
            <w:t>alpelisib</w:t>
          </w:r>
          <w:proofErr w:type="spellEnd"/>
          <w:r w:rsidR="00AA7497" w:rsidRPr="00AA7497">
            <w:rPr>
              <w:b/>
              <w:sz w:val="20"/>
              <w:szCs w:val="20"/>
            </w:rPr>
            <w:t xml:space="preserve"> - Novartis Pharmaceuticals Australia Pty Ltd - PM-2019-00401-1-4</w:t>
          </w:r>
          <w:r w:rsidR="00AA7497">
            <w:rPr>
              <w:b/>
              <w:sz w:val="20"/>
              <w:szCs w:val="20"/>
            </w:rPr>
            <w:t xml:space="preserve"> </w:t>
          </w:r>
          <w:r w:rsidR="00AA7497" w:rsidRPr="00AA7497">
            <w:rPr>
              <w:b/>
              <w:sz w:val="20"/>
              <w:szCs w:val="20"/>
            </w:rPr>
            <w:t>FINAL 20 August 2020</w:t>
          </w:r>
          <w:r w:rsidRPr="00D361CA">
            <w:rPr>
              <w:b/>
              <w:sz w:val="20"/>
              <w:szCs w:val="20"/>
            </w:rPr>
            <w:t xml:space="preserve">. </w:t>
          </w:r>
          <w:r w:rsidRPr="00FB03BD">
            <w:rPr>
              <w:b/>
              <w:sz w:val="20"/>
              <w:szCs w:val="20"/>
            </w:rPr>
            <w:t xml:space="preserve">This is the Product Information that was approved with the submission described in this </w:t>
          </w:r>
          <w:proofErr w:type="spellStart"/>
          <w:r w:rsidRPr="00FB03BD">
            <w:rPr>
              <w:b/>
              <w:sz w:val="20"/>
              <w:szCs w:val="20"/>
            </w:rPr>
            <w:t>AusPAR</w:t>
          </w:r>
          <w:proofErr w:type="spellEnd"/>
          <w:r w:rsidRPr="00FB03BD">
            <w:rPr>
              <w:b/>
              <w:sz w:val="20"/>
              <w:szCs w:val="20"/>
            </w:rPr>
            <w:t>. It may have been superseded. For the most recent PI, please refer to the TGA website at &lt;</w:t>
          </w:r>
          <w:hyperlink r:id="rId1" w:history="1">
            <w:r w:rsidRPr="00FB03BD">
              <w:rPr>
                <w:rStyle w:val="Hyperlink"/>
                <w:b/>
                <w:sz w:val="20"/>
                <w:szCs w:val="20"/>
              </w:rPr>
              <w:t>https://www.tga.gov.au/product-information-pi</w:t>
            </w:r>
          </w:hyperlink>
          <w:r w:rsidRPr="00FB03BD">
            <w:rPr>
              <w:b/>
              <w:sz w:val="20"/>
              <w:szCs w:val="20"/>
            </w:rPr>
            <w:t>&gt;</w:t>
          </w:r>
        </w:p>
      </w:tc>
    </w:tr>
  </w:tbl>
  <w:p w14:paraId="07FDE8AB" w14:textId="608D3E91" w:rsidR="000D71C5" w:rsidRPr="000D71C5" w:rsidRDefault="000D71C5" w:rsidP="000D71C5">
    <w:pPr>
      <w:widowControl w:val="0"/>
      <w:autoSpaceDE/>
      <w:autoSpaceDN/>
      <w:adjustRightInd/>
      <w:spacing w:before="120" w:line="240" w:lineRule="auto"/>
      <w:jc w:val="center"/>
      <w:rPr>
        <w:rFonts w:ascii="Arial" w:hAnsi="Arial"/>
        <w:b/>
        <w:sz w:val="16"/>
        <w:szCs w:val="16"/>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F120D"/>
    <w:multiLevelType w:val="singleLevel"/>
    <w:tmpl w:val="5A003776"/>
    <w:lvl w:ilvl="0">
      <w:start w:val="1"/>
      <w:numFmt w:val="bullet"/>
      <w:lvlText w:val=""/>
      <w:lvlJc w:val="left"/>
      <w:pPr>
        <w:tabs>
          <w:tab w:val="num" w:pos="357"/>
        </w:tabs>
        <w:ind w:left="357" w:hanging="357"/>
      </w:pPr>
      <w:rPr>
        <w:rFonts w:ascii="Symbol" w:hAnsi="Symbol" w:hint="default"/>
      </w:rPr>
    </w:lvl>
  </w:abstractNum>
  <w:abstractNum w:abstractNumId="1" w15:restartNumberingAfterBreak="0">
    <w:nsid w:val="1D8526DA"/>
    <w:multiLevelType w:val="multilevel"/>
    <w:tmpl w:val="0409001F"/>
    <w:styleLink w:val="111111"/>
    <w:lvl w:ilvl="0">
      <w:start w:val="1"/>
      <w:numFmt w:val="decimal"/>
      <w:pStyle w:val="Heading1"/>
      <w:lvlText w:val="%1."/>
      <w:lvlJc w:val="left"/>
      <w:pPr>
        <w:tabs>
          <w:tab w:val="num" w:pos="360"/>
        </w:tabs>
        <w:ind w:left="360" w:hanging="360"/>
      </w:pPr>
    </w:lvl>
    <w:lvl w:ilvl="1">
      <w:start w:val="1"/>
      <w:numFmt w:val="decimal"/>
      <w:pStyle w:val="Heading2"/>
      <w:lvlText w:val="%1.%2."/>
      <w:lvlJc w:val="left"/>
      <w:pPr>
        <w:tabs>
          <w:tab w:val="num" w:pos="2843"/>
        </w:tabs>
        <w:ind w:left="2843" w:hanging="432"/>
      </w:pPr>
    </w:lvl>
    <w:lvl w:ilvl="2">
      <w:start w:val="1"/>
      <w:numFmt w:val="decimal"/>
      <w:pStyle w:val="Heading3"/>
      <w:lvlText w:val="%1.%2.%3."/>
      <w:lvlJc w:val="left"/>
      <w:pPr>
        <w:tabs>
          <w:tab w:val="num" w:pos="1440"/>
        </w:tabs>
        <w:ind w:left="1224" w:hanging="504"/>
      </w:pPr>
    </w:lvl>
    <w:lvl w:ilvl="3">
      <w:start w:val="1"/>
      <w:numFmt w:val="decimal"/>
      <w:pStyle w:val="Heading4"/>
      <w:lvlText w:val="%1.%2.%3.%4."/>
      <w:lvlJc w:val="left"/>
      <w:pPr>
        <w:tabs>
          <w:tab w:val="num" w:pos="1800"/>
        </w:tabs>
        <w:ind w:left="1728" w:hanging="648"/>
      </w:pPr>
    </w:lvl>
    <w:lvl w:ilvl="4">
      <w:start w:val="1"/>
      <w:numFmt w:val="decimal"/>
      <w:pStyle w:val="Heading5"/>
      <w:lvlText w:val="%1.%2.%3.%4.%5."/>
      <w:lvlJc w:val="left"/>
      <w:pPr>
        <w:tabs>
          <w:tab w:val="num" w:pos="2520"/>
        </w:tabs>
        <w:ind w:left="2232" w:hanging="792"/>
      </w:pPr>
    </w:lvl>
    <w:lvl w:ilvl="5">
      <w:start w:val="1"/>
      <w:numFmt w:val="decimal"/>
      <w:pStyle w:val="Heading6"/>
      <w:lvlText w:val="%1.%2.%3.%4.%5.%6."/>
      <w:lvlJc w:val="left"/>
      <w:pPr>
        <w:tabs>
          <w:tab w:val="num" w:pos="2880"/>
        </w:tabs>
        <w:ind w:left="2736" w:hanging="936"/>
      </w:pPr>
    </w:lvl>
    <w:lvl w:ilvl="6">
      <w:start w:val="1"/>
      <w:numFmt w:val="decimal"/>
      <w:pStyle w:val="Heading7"/>
      <w:lvlText w:val="%1.%2.%3.%4.%5.%6.%7."/>
      <w:lvlJc w:val="left"/>
      <w:pPr>
        <w:tabs>
          <w:tab w:val="num" w:pos="3600"/>
        </w:tabs>
        <w:ind w:left="3240" w:hanging="1080"/>
      </w:pPr>
    </w:lvl>
    <w:lvl w:ilvl="7">
      <w:start w:val="1"/>
      <w:numFmt w:val="decimal"/>
      <w:pStyle w:val="Heading8"/>
      <w:lvlText w:val="%1.%2.%3.%4.%5.%6.%7.%8."/>
      <w:lvlJc w:val="left"/>
      <w:pPr>
        <w:tabs>
          <w:tab w:val="num" w:pos="3960"/>
        </w:tabs>
        <w:ind w:left="3744" w:hanging="1224"/>
      </w:pPr>
    </w:lvl>
    <w:lvl w:ilvl="8">
      <w:start w:val="1"/>
      <w:numFmt w:val="decimal"/>
      <w:pStyle w:val="Heading9"/>
      <w:lvlText w:val="%1.%2.%3.%4.%5.%6.%7.%8.%9."/>
      <w:lvlJc w:val="left"/>
      <w:pPr>
        <w:tabs>
          <w:tab w:val="num" w:pos="4680"/>
        </w:tabs>
        <w:ind w:left="4320" w:hanging="1440"/>
      </w:pPr>
    </w:lvl>
  </w:abstractNum>
  <w:abstractNum w:abstractNumId="2" w15:restartNumberingAfterBreak="0">
    <w:nsid w:val="28D81616"/>
    <w:multiLevelType w:val="hybridMultilevel"/>
    <w:tmpl w:val="F0B28FBA"/>
    <w:lvl w:ilvl="0" w:tplc="07549E02">
      <w:start w:val="1"/>
      <w:numFmt w:val="decimal"/>
      <w:lvlText w:val="6.%1"/>
      <w:lvlJc w:val="left"/>
      <w:pPr>
        <w:ind w:left="360" w:hanging="360"/>
      </w:pPr>
      <w:rPr>
        <w:rFonts w:hint="default"/>
        <w:strike w:val="0"/>
        <w:dstrike w:val="0"/>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AE5586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3035190D"/>
    <w:multiLevelType w:val="singleLevel"/>
    <w:tmpl w:val="6EA66680"/>
    <w:lvl w:ilvl="0">
      <w:start w:val="1"/>
      <w:numFmt w:val="bullet"/>
      <w:pStyle w:val="listbull"/>
      <w:lvlText w:val=""/>
      <w:lvlJc w:val="left"/>
      <w:pPr>
        <w:tabs>
          <w:tab w:val="num" w:pos="432"/>
        </w:tabs>
        <w:ind w:left="432" w:hanging="432"/>
      </w:pPr>
      <w:rPr>
        <w:rFonts w:ascii="Symbol" w:hAnsi="Symbol" w:hint="default"/>
      </w:rPr>
    </w:lvl>
  </w:abstractNum>
  <w:abstractNum w:abstractNumId="5" w15:restartNumberingAfterBreak="0">
    <w:nsid w:val="34555328"/>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35E97C4E"/>
    <w:multiLevelType w:val="hybridMultilevel"/>
    <w:tmpl w:val="2B5E4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797AB1"/>
    <w:multiLevelType w:val="hybridMultilevel"/>
    <w:tmpl w:val="5D5860A0"/>
    <w:lvl w:ilvl="0" w:tplc="0C09000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856756F"/>
    <w:multiLevelType w:val="hybridMultilevel"/>
    <w:tmpl w:val="EDF690B0"/>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9" w15:restartNumberingAfterBreak="0">
    <w:nsid w:val="39F3626D"/>
    <w:multiLevelType w:val="hybridMultilevel"/>
    <w:tmpl w:val="5CD82022"/>
    <w:lvl w:ilvl="0" w:tplc="A860D53C">
      <w:start w:val="1"/>
      <w:numFmt w:val="bullet"/>
      <w:lvlText w:val="-"/>
      <w:lvlJc w:val="left"/>
      <w:pPr>
        <w:ind w:left="1440" w:hanging="360"/>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4C424486"/>
    <w:multiLevelType w:val="hybridMultilevel"/>
    <w:tmpl w:val="52E48E80"/>
    <w:lvl w:ilvl="0" w:tplc="C0A63B5A">
      <w:start w:val="1"/>
      <w:numFmt w:val="decimal"/>
      <w:lvlText w:val="5.%1"/>
      <w:lvlJc w:val="left"/>
      <w:pPr>
        <w:ind w:left="360" w:hanging="360"/>
      </w:pPr>
      <w:rPr>
        <w:rFonts w:hint="default"/>
        <w:strike w:val="0"/>
        <w:dstrike w:val="0"/>
        <w:vertAlign w:val="baseline"/>
      </w:rPr>
    </w:lvl>
    <w:lvl w:ilvl="1" w:tplc="D05E6282">
      <w:start w:val="1"/>
      <w:numFmt w:val="decimal"/>
      <w:lvlText w:val="4.%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4CEC4DDD"/>
    <w:multiLevelType w:val="hybridMultilevel"/>
    <w:tmpl w:val="C382DD8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2" w15:restartNumberingAfterBreak="0">
    <w:nsid w:val="52956EDE"/>
    <w:multiLevelType w:val="multilevel"/>
    <w:tmpl w:val="363C103C"/>
    <w:styleLink w:val="Style1"/>
    <w:lvl w:ilvl="0">
      <w:start w:val="1"/>
      <w:numFmt w:val="lowerLetter"/>
      <w:lvlText w:val="%1."/>
      <w:lvlJc w:val="left"/>
      <w:pPr>
        <w:tabs>
          <w:tab w:val="num" w:pos="357"/>
        </w:tabs>
        <w:ind w:left="357" w:hanging="357"/>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EE2114F"/>
    <w:multiLevelType w:val="hybridMultilevel"/>
    <w:tmpl w:val="92AEB8B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5BC0E41"/>
    <w:multiLevelType w:val="hybridMultilevel"/>
    <w:tmpl w:val="0D9EBBA6"/>
    <w:lvl w:ilvl="0" w:tplc="D05E6282">
      <w:start w:val="1"/>
      <w:numFmt w:val="decimal"/>
      <w:lvlText w:val="4.%1"/>
      <w:lvlJc w:val="left"/>
      <w:pPr>
        <w:ind w:left="360" w:hanging="360"/>
      </w:pPr>
      <w:rPr>
        <w:rFonts w:hint="default"/>
        <w:strike w:val="0"/>
        <w:dstrike w:val="0"/>
        <w:vertAlign w:val="baseli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4"/>
  </w:num>
  <w:num w:numId="2">
    <w:abstractNumId w:val="2"/>
  </w:num>
  <w:num w:numId="3">
    <w:abstractNumId w:val="13"/>
  </w:num>
  <w:num w:numId="4">
    <w:abstractNumId w:val="15"/>
  </w:num>
  <w:num w:numId="5">
    <w:abstractNumId w:val="10"/>
  </w:num>
  <w:num w:numId="6">
    <w:abstractNumId w:val="1"/>
  </w:num>
  <w:num w:numId="7">
    <w:abstractNumId w:val="3"/>
  </w:num>
  <w:num w:numId="8">
    <w:abstractNumId w:val="5"/>
  </w:num>
  <w:num w:numId="9">
    <w:abstractNumId w:val="12"/>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6"/>
  </w:num>
  <w:num w:numId="22">
    <w:abstractNumId w:val="0"/>
  </w:num>
  <w:num w:numId="23">
    <w:abstractNumId w:val="7"/>
  </w:num>
  <w:num w:numId="24">
    <w:abstractNumId w:val="8"/>
  </w:num>
  <w:num w:numId="25">
    <w:abstractNumId w:val="11"/>
  </w:num>
  <w:num w:numId="26">
    <w:abstractNumId w:val="9"/>
  </w:num>
  <w:num w:numId="27">
    <w:abstractNumId w:val="1"/>
  </w:num>
  <w:num w:numId="28">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activeWritingStyle w:appName="MSWord" w:lang="es-ES" w:vendorID="64" w:dllVersion="131078" w:nlCheck="1" w:checkStyle="0"/>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fr-CH" w:vendorID="64" w:dllVersion="131078" w:nlCheck="1" w:checkStyle="0"/>
  <w:activeWritingStyle w:appName="MSWord" w:lang="da-DK" w:vendorID="64" w:dllVersion="131078" w:nlCheck="1" w:checkStyle="0"/>
  <w:activeWritingStyle w:appName="MSWord" w:lang="it-IT"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80F"/>
    <w:rsid w:val="00000044"/>
    <w:rsid w:val="00000F96"/>
    <w:rsid w:val="00000FDD"/>
    <w:rsid w:val="000012F7"/>
    <w:rsid w:val="00003922"/>
    <w:rsid w:val="00003F0A"/>
    <w:rsid w:val="00005856"/>
    <w:rsid w:val="00005F48"/>
    <w:rsid w:val="000076F9"/>
    <w:rsid w:val="00010844"/>
    <w:rsid w:val="00010B2E"/>
    <w:rsid w:val="00011286"/>
    <w:rsid w:val="00011EA8"/>
    <w:rsid w:val="00011EAE"/>
    <w:rsid w:val="000123DA"/>
    <w:rsid w:val="000144CC"/>
    <w:rsid w:val="00016A8D"/>
    <w:rsid w:val="00021C35"/>
    <w:rsid w:val="00023418"/>
    <w:rsid w:val="00027AFD"/>
    <w:rsid w:val="00032A76"/>
    <w:rsid w:val="0003428E"/>
    <w:rsid w:val="000379CC"/>
    <w:rsid w:val="00040349"/>
    <w:rsid w:val="00042F99"/>
    <w:rsid w:val="000467AC"/>
    <w:rsid w:val="00046F8F"/>
    <w:rsid w:val="00047CE1"/>
    <w:rsid w:val="0005175F"/>
    <w:rsid w:val="00051F9A"/>
    <w:rsid w:val="00052FF9"/>
    <w:rsid w:val="00053140"/>
    <w:rsid w:val="00053893"/>
    <w:rsid w:val="00054386"/>
    <w:rsid w:val="00057332"/>
    <w:rsid w:val="0005769D"/>
    <w:rsid w:val="00057F27"/>
    <w:rsid w:val="00062E80"/>
    <w:rsid w:val="00063752"/>
    <w:rsid w:val="00064A55"/>
    <w:rsid w:val="00064D50"/>
    <w:rsid w:val="000650BF"/>
    <w:rsid w:val="00066D30"/>
    <w:rsid w:val="00066E44"/>
    <w:rsid w:val="000679F3"/>
    <w:rsid w:val="00070FFF"/>
    <w:rsid w:val="00071334"/>
    <w:rsid w:val="00071CE4"/>
    <w:rsid w:val="00072735"/>
    <w:rsid w:val="00074685"/>
    <w:rsid w:val="00074D10"/>
    <w:rsid w:val="00074D69"/>
    <w:rsid w:val="000752BA"/>
    <w:rsid w:val="000763CF"/>
    <w:rsid w:val="000771A7"/>
    <w:rsid w:val="0008094E"/>
    <w:rsid w:val="00080B89"/>
    <w:rsid w:val="0008119A"/>
    <w:rsid w:val="000826C7"/>
    <w:rsid w:val="00083734"/>
    <w:rsid w:val="00083B9E"/>
    <w:rsid w:val="0008414C"/>
    <w:rsid w:val="000846EF"/>
    <w:rsid w:val="000849F6"/>
    <w:rsid w:val="000858E9"/>
    <w:rsid w:val="000868EB"/>
    <w:rsid w:val="00086990"/>
    <w:rsid w:val="00087C2E"/>
    <w:rsid w:val="000907E4"/>
    <w:rsid w:val="000909A8"/>
    <w:rsid w:val="00091CA9"/>
    <w:rsid w:val="00091F04"/>
    <w:rsid w:val="000924DE"/>
    <w:rsid w:val="00096BAB"/>
    <w:rsid w:val="00097C2A"/>
    <w:rsid w:val="000A0809"/>
    <w:rsid w:val="000A0958"/>
    <w:rsid w:val="000A0D39"/>
    <w:rsid w:val="000A1059"/>
    <w:rsid w:val="000A4C9D"/>
    <w:rsid w:val="000A50B6"/>
    <w:rsid w:val="000A650B"/>
    <w:rsid w:val="000A6D13"/>
    <w:rsid w:val="000A6FAF"/>
    <w:rsid w:val="000A798F"/>
    <w:rsid w:val="000A7C37"/>
    <w:rsid w:val="000B0963"/>
    <w:rsid w:val="000B2195"/>
    <w:rsid w:val="000B2AB2"/>
    <w:rsid w:val="000B2B52"/>
    <w:rsid w:val="000B3F7C"/>
    <w:rsid w:val="000B4520"/>
    <w:rsid w:val="000B460C"/>
    <w:rsid w:val="000B5812"/>
    <w:rsid w:val="000B5B52"/>
    <w:rsid w:val="000B696A"/>
    <w:rsid w:val="000B6F2A"/>
    <w:rsid w:val="000B71C1"/>
    <w:rsid w:val="000B77C6"/>
    <w:rsid w:val="000C029F"/>
    <w:rsid w:val="000C1805"/>
    <w:rsid w:val="000C33F5"/>
    <w:rsid w:val="000C3F5F"/>
    <w:rsid w:val="000C458C"/>
    <w:rsid w:val="000C5A83"/>
    <w:rsid w:val="000C7575"/>
    <w:rsid w:val="000C7ECB"/>
    <w:rsid w:val="000D059D"/>
    <w:rsid w:val="000D1EE3"/>
    <w:rsid w:val="000D310B"/>
    <w:rsid w:val="000D5431"/>
    <w:rsid w:val="000D5D72"/>
    <w:rsid w:val="000D71C5"/>
    <w:rsid w:val="000E0CBE"/>
    <w:rsid w:val="000E1437"/>
    <w:rsid w:val="000E1AE9"/>
    <w:rsid w:val="000E350D"/>
    <w:rsid w:val="000E71AD"/>
    <w:rsid w:val="000E7849"/>
    <w:rsid w:val="000F30C7"/>
    <w:rsid w:val="000F3B04"/>
    <w:rsid w:val="000F3D44"/>
    <w:rsid w:val="000F48C9"/>
    <w:rsid w:val="000F49F3"/>
    <w:rsid w:val="000F6334"/>
    <w:rsid w:val="000F6790"/>
    <w:rsid w:val="000F70F6"/>
    <w:rsid w:val="00100DEF"/>
    <w:rsid w:val="001018D6"/>
    <w:rsid w:val="00102401"/>
    <w:rsid w:val="001025A6"/>
    <w:rsid w:val="00102A42"/>
    <w:rsid w:val="00102A45"/>
    <w:rsid w:val="00102D9C"/>
    <w:rsid w:val="001032DC"/>
    <w:rsid w:val="0010404D"/>
    <w:rsid w:val="0011013A"/>
    <w:rsid w:val="00110243"/>
    <w:rsid w:val="0011043D"/>
    <w:rsid w:val="00112554"/>
    <w:rsid w:val="001130B4"/>
    <w:rsid w:val="00114845"/>
    <w:rsid w:val="00114C2A"/>
    <w:rsid w:val="00116A72"/>
    <w:rsid w:val="00121728"/>
    <w:rsid w:val="001237F6"/>
    <w:rsid w:val="0012382D"/>
    <w:rsid w:val="00123E73"/>
    <w:rsid w:val="0012487D"/>
    <w:rsid w:val="00125A42"/>
    <w:rsid w:val="00126416"/>
    <w:rsid w:val="0013067E"/>
    <w:rsid w:val="001309BE"/>
    <w:rsid w:val="00131CDA"/>
    <w:rsid w:val="001342C0"/>
    <w:rsid w:val="00134BBA"/>
    <w:rsid w:val="00135002"/>
    <w:rsid w:val="00135F92"/>
    <w:rsid w:val="00136C8E"/>
    <w:rsid w:val="00137D5E"/>
    <w:rsid w:val="00137F52"/>
    <w:rsid w:val="00140A11"/>
    <w:rsid w:val="001423A0"/>
    <w:rsid w:val="001447EC"/>
    <w:rsid w:val="00144B44"/>
    <w:rsid w:val="00147238"/>
    <w:rsid w:val="0014737E"/>
    <w:rsid w:val="00150BA2"/>
    <w:rsid w:val="00151A31"/>
    <w:rsid w:val="00151EA3"/>
    <w:rsid w:val="001550EB"/>
    <w:rsid w:val="001564DD"/>
    <w:rsid w:val="00156A6A"/>
    <w:rsid w:val="00156D83"/>
    <w:rsid w:val="00156FFE"/>
    <w:rsid w:val="00162040"/>
    <w:rsid w:val="00162729"/>
    <w:rsid w:val="001629D5"/>
    <w:rsid w:val="00162AA0"/>
    <w:rsid w:val="00162B4D"/>
    <w:rsid w:val="0016389B"/>
    <w:rsid w:val="001657A5"/>
    <w:rsid w:val="00170689"/>
    <w:rsid w:val="00171817"/>
    <w:rsid w:val="00171D0F"/>
    <w:rsid w:val="00172257"/>
    <w:rsid w:val="00175D50"/>
    <w:rsid w:val="00177398"/>
    <w:rsid w:val="0017792A"/>
    <w:rsid w:val="001779F3"/>
    <w:rsid w:val="00181F40"/>
    <w:rsid w:val="00184DC7"/>
    <w:rsid w:val="00186EF2"/>
    <w:rsid w:val="001879F5"/>
    <w:rsid w:val="001907E6"/>
    <w:rsid w:val="00190B55"/>
    <w:rsid w:val="00197076"/>
    <w:rsid w:val="00197457"/>
    <w:rsid w:val="001A3375"/>
    <w:rsid w:val="001B2BCA"/>
    <w:rsid w:val="001B3C0E"/>
    <w:rsid w:val="001B5072"/>
    <w:rsid w:val="001B5D16"/>
    <w:rsid w:val="001B5D7C"/>
    <w:rsid w:val="001B7FA8"/>
    <w:rsid w:val="001C1405"/>
    <w:rsid w:val="001C33C9"/>
    <w:rsid w:val="001C7153"/>
    <w:rsid w:val="001C7F62"/>
    <w:rsid w:val="001D080C"/>
    <w:rsid w:val="001D275A"/>
    <w:rsid w:val="001D3486"/>
    <w:rsid w:val="001D4521"/>
    <w:rsid w:val="001D5A97"/>
    <w:rsid w:val="001E00E2"/>
    <w:rsid w:val="001E116E"/>
    <w:rsid w:val="001E13C3"/>
    <w:rsid w:val="001E18A0"/>
    <w:rsid w:val="001E31F4"/>
    <w:rsid w:val="001E3831"/>
    <w:rsid w:val="001E3B9A"/>
    <w:rsid w:val="001E3F30"/>
    <w:rsid w:val="001E6411"/>
    <w:rsid w:val="001F44D2"/>
    <w:rsid w:val="001F57A7"/>
    <w:rsid w:val="001F715E"/>
    <w:rsid w:val="00201DA9"/>
    <w:rsid w:val="002020DC"/>
    <w:rsid w:val="002029C5"/>
    <w:rsid w:val="0020311B"/>
    <w:rsid w:val="00203491"/>
    <w:rsid w:val="002045D8"/>
    <w:rsid w:val="0020529F"/>
    <w:rsid w:val="00205AF4"/>
    <w:rsid w:val="00205DF5"/>
    <w:rsid w:val="0020645C"/>
    <w:rsid w:val="002075C8"/>
    <w:rsid w:val="00207EB0"/>
    <w:rsid w:val="002117FF"/>
    <w:rsid w:val="00211F60"/>
    <w:rsid w:val="00212E1F"/>
    <w:rsid w:val="002144A4"/>
    <w:rsid w:val="00215F9D"/>
    <w:rsid w:val="00216A61"/>
    <w:rsid w:val="00216F1C"/>
    <w:rsid w:val="00217FCE"/>
    <w:rsid w:val="002201EB"/>
    <w:rsid w:val="00220258"/>
    <w:rsid w:val="00220835"/>
    <w:rsid w:val="00226ED6"/>
    <w:rsid w:val="00230AC3"/>
    <w:rsid w:val="002316BD"/>
    <w:rsid w:val="00231743"/>
    <w:rsid w:val="00235B55"/>
    <w:rsid w:val="00235FBD"/>
    <w:rsid w:val="00236E6E"/>
    <w:rsid w:val="00241029"/>
    <w:rsid w:val="00242B97"/>
    <w:rsid w:val="00243A30"/>
    <w:rsid w:val="00244401"/>
    <w:rsid w:val="00245469"/>
    <w:rsid w:val="0024686D"/>
    <w:rsid w:val="00246C7C"/>
    <w:rsid w:val="002477D0"/>
    <w:rsid w:val="002515FF"/>
    <w:rsid w:val="00251753"/>
    <w:rsid w:val="00253DD7"/>
    <w:rsid w:val="00254BEF"/>
    <w:rsid w:val="00256F4F"/>
    <w:rsid w:val="00257429"/>
    <w:rsid w:val="002612D2"/>
    <w:rsid w:val="00263170"/>
    <w:rsid w:val="00265C2F"/>
    <w:rsid w:val="002661C1"/>
    <w:rsid w:val="00266838"/>
    <w:rsid w:val="002703E3"/>
    <w:rsid w:val="00270434"/>
    <w:rsid w:val="00271505"/>
    <w:rsid w:val="0027489C"/>
    <w:rsid w:val="00275319"/>
    <w:rsid w:val="00275518"/>
    <w:rsid w:val="00275754"/>
    <w:rsid w:val="00275A00"/>
    <w:rsid w:val="002771DC"/>
    <w:rsid w:val="00277621"/>
    <w:rsid w:val="0028086C"/>
    <w:rsid w:val="00281BB6"/>
    <w:rsid w:val="00283A2E"/>
    <w:rsid w:val="00283EEF"/>
    <w:rsid w:val="002842ED"/>
    <w:rsid w:val="0028470F"/>
    <w:rsid w:val="00284C3C"/>
    <w:rsid w:val="0029198E"/>
    <w:rsid w:val="00291A26"/>
    <w:rsid w:val="00293105"/>
    <w:rsid w:val="00293923"/>
    <w:rsid w:val="0029565F"/>
    <w:rsid w:val="00295B57"/>
    <w:rsid w:val="00297C4F"/>
    <w:rsid w:val="002A1A76"/>
    <w:rsid w:val="002A1D26"/>
    <w:rsid w:val="002A359F"/>
    <w:rsid w:val="002A3D20"/>
    <w:rsid w:val="002A53B0"/>
    <w:rsid w:val="002B33F6"/>
    <w:rsid w:val="002B421A"/>
    <w:rsid w:val="002B6B22"/>
    <w:rsid w:val="002C1495"/>
    <w:rsid w:val="002C1632"/>
    <w:rsid w:val="002C7CE4"/>
    <w:rsid w:val="002C7ED9"/>
    <w:rsid w:val="002D035F"/>
    <w:rsid w:val="002D0DDB"/>
    <w:rsid w:val="002D129A"/>
    <w:rsid w:val="002D17D0"/>
    <w:rsid w:val="002D2B91"/>
    <w:rsid w:val="002D4B42"/>
    <w:rsid w:val="002D5D36"/>
    <w:rsid w:val="002D7BAE"/>
    <w:rsid w:val="002E02F2"/>
    <w:rsid w:val="002E0D43"/>
    <w:rsid w:val="002E461E"/>
    <w:rsid w:val="002E4DF0"/>
    <w:rsid w:val="002E7116"/>
    <w:rsid w:val="002E716A"/>
    <w:rsid w:val="002E7AC9"/>
    <w:rsid w:val="002F1C3B"/>
    <w:rsid w:val="002F30C1"/>
    <w:rsid w:val="002F3B49"/>
    <w:rsid w:val="002F5443"/>
    <w:rsid w:val="0030180F"/>
    <w:rsid w:val="003031BC"/>
    <w:rsid w:val="0030435D"/>
    <w:rsid w:val="00307E7E"/>
    <w:rsid w:val="0031228D"/>
    <w:rsid w:val="003140D6"/>
    <w:rsid w:val="003156AA"/>
    <w:rsid w:val="00316D06"/>
    <w:rsid w:val="003174E7"/>
    <w:rsid w:val="003179C8"/>
    <w:rsid w:val="00323519"/>
    <w:rsid w:val="00325852"/>
    <w:rsid w:val="00325C9B"/>
    <w:rsid w:val="00325EBD"/>
    <w:rsid w:val="0032783F"/>
    <w:rsid w:val="003278E1"/>
    <w:rsid w:val="00330944"/>
    <w:rsid w:val="00330ECC"/>
    <w:rsid w:val="00330F12"/>
    <w:rsid w:val="003311F9"/>
    <w:rsid w:val="0033212B"/>
    <w:rsid w:val="00332A46"/>
    <w:rsid w:val="00333FEB"/>
    <w:rsid w:val="00335997"/>
    <w:rsid w:val="0035087C"/>
    <w:rsid w:val="00350962"/>
    <w:rsid w:val="00352F71"/>
    <w:rsid w:val="00353192"/>
    <w:rsid w:val="003533B2"/>
    <w:rsid w:val="0035373F"/>
    <w:rsid w:val="00353EFE"/>
    <w:rsid w:val="0035484E"/>
    <w:rsid w:val="0035507E"/>
    <w:rsid w:val="003552E7"/>
    <w:rsid w:val="00356313"/>
    <w:rsid w:val="0035779C"/>
    <w:rsid w:val="00360E15"/>
    <w:rsid w:val="003644EE"/>
    <w:rsid w:val="00364D85"/>
    <w:rsid w:val="003656B1"/>
    <w:rsid w:val="00365788"/>
    <w:rsid w:val="00365D1F"/>
    <w:rsid w:val="0036759E"/>
    <w:rsid w:val="00367C13"/>
    <w:rsid w:val="003709E3"/>
    <w:rsid w:val="00373083"/>
    <w:rsid w:val="00373470"/>
    <w:rsid w:val="00373D3B"/>
    <w:rsid w:val="00375BDB"/>
    <w:rsid w:val="00376EE9"/>
    <w:rsid w:val="00376F9E"/>
    <w:rsid w:val="00377448"/>
    <w:rsid w:val="0037797F"/>
    <w:rsid w:val="00382592"/>
    <w:rsid w:val="0038265B"/>
    <w:rsid w:val="00382E3E"/>
    <w:rsid w:val="003831BD"/>
    <w:rsid w:val="00383B5A"/>
    <w:rsid w:val="00387850"/>
    <w:rsid w:val="003933DC"/>
    <w:rsid w:val="003949DF"/>
    <w:rsid w:val="003961A2"/>
    <w:rsid w:val="00397520"/>
    <w:rsid w:val="0039761F"/>
    <w:rsid w:val="003A0356"/>
    <w:rsid w:val="003A08A6"/>
    <w:rsid w:val="003A185D"/>
    <w:rsid w:val="003A1E7C"/>
    <w:rsid w:val="003A212F"/>
    <w:rsid w:val="003A21A0"/>
    <w:rsid w:val="003A3924"/>
    <w:rsid w:val="003A4A74"/>
    <w:rsid w:val="003B0279"/>
    <w:rsid w:val="003B0EF9"/>
    <w:rsid w:val="003B0EFE"/>
    <w:rsid w:val="003B2FC9"/>
    <w:rsid w:val="003B7745"/>
    <w:rsid w:val="003B77CA"/>
    <w:rsid w:val="003B7F99"/>
    <w:rsid w:val="003C00DA"/>
    <w:rsid w:val="003C15C7"/>
    <w:rsid w:val="003C2076"/>
    <w:rsid w:val="003C36B8"/>
    <w:rsid w:val="003C370F"/>
    <w:rsid w:val="003C51F6"/>
    <w:rsid w:val="003C556D"/>
    <w:rsid w:val="003C5A5F"/>
    <w:rsid w:val="003C6242"/>
    <w:rsid w:val="003C6652"/>
    <w:rsid w:val="003C678C"/>
    <w:rsid w:val="003C7166"/>
    <w:rsid w:val="003D1BBC"/>
    <w:rsid w:val="003D27A6"/>
    <w:rsid w:val="003D3058"/>
    <w:rsid w:val="003D4733"/>
    <w:rsid w:val="003D6AE8"/>
    <w:rsid w:val="003E06FC"/>
    <w:rsid w:val="003E1CFE"/>
    <w:rsid w:val="003E212D"/>
    <w:rsid w:val="003E285B"/>
    <w:rsid w:val="003E378A"/>
    <w:rsid w:val="003E477B"/>
    <w:rsid w:val="003E65F2"/>
    <w:rsid w:val="003E69D2"/>
    <w:rsid w:val="003F0152"/>
    <w:rsid w:val="003F25A5"/>
    <w:rsid w:val="003F47FB"/>
    <w:rsid w:val="0040145A"/>
    <w:rsid w:val="00411120"/>
    <w:rsid w:val="00411677"/>
    <w:rsid w:val="00412AAA"/>
    <w:rsid w:val="00413838"/>
    <w:rsid w:val="00414528"/>
    <w:rsid w:val="00415174"/>
    <w:rsid w:val="00420E20"/>
    <w:rsid w:val="00420EA6"/>
    <w:rsid w:val="004212B9"/>
    <w:rsid w:val="00422A91"/>
    <w:rsid w:val="00422CCF"/>
    <w:rsid w:val="00425194"/>
    <w:rsid w:val="0042722D"/>
    <w:rsid w:val="00431A12"/>
    <w:rsid w:val="00433709"/>
    <w:rsid w:val="00433890"/>
    <w:rsid w:val="00433FA0"/>
    <w:rsid w:val="00434B87"/>
    <w:rsid w:val="004358D3"/>
    <w:rsid w:val="0043762C"/>
    <w:rsid w:val="00441DF7"/>
    <w:rsid w:val="00441FA5"/>
    <w:rsid w:val="0044327D"/>
    <w:rsid w:val="00447061"/>
    <w:rsid w:val="0045078A"/>
    <w:rsid w:val="00450814"/>
    <w:rsid w:val="00451C12"/>
    <w:rsid w:val="0045239A"/>
    <w:rsid w:val="004529FF"/>
    <w:rsid w:val="004555E5"/>
    <w:rsid w:val="00463492"/>
    <w:rsid w:val="0046418E"/>
    <w:rsid w:val="004658F3"/>
    <w:rsid w:val="0046604B"/>
    <w:rsid w:val="00466928"/>
    <w:rsid w:val="004672B8"/>
    <w:rsid w:val="004728B5"/>
    <w:rsid w:val="004742A1"/>
    <w:rsid w:val="00475ED5"/>
    <w:rsid w:val="00481A56"/>
    <w:rsid w:val="00481F60"/>
    <w:rsid w:val="00482743"/>
    <w:rsid w:val="0048363C"/>
    <w:rsid w:val="0048432B"/>
    <w:rsid w:val="00484917"/>
    <w:rsid w:val="00485A84"/>
    <w:rsid w:val="004868C8"/>
    <w:rsid w:val="00487519"/>
    <w:rsid w:val="00487601"/>
    <w:rsid w:val="0049066C"/>
    <w:rsid w:val="0049135D"/>
    <w:rsid w:val="0049165F"/>
    <w:rsid w:val="00492A43"/>
    <w:rsid w:val="00493275"/>
    <w:rsid w:val="00495E08"/>
    <w:rsid w:val="004965C4"/>
    <w:rsid w:val="00497397"/>
    <w:rsid w:val="004A0E22"/>
    <w:rsid w:val="004A10C8"/>
    <w:rsid w:val="004A2573"/>
    <w:rsid w:val="004A25BC"/>
    <w:rsid w:val="004A73D6"/>
    <w:rsid w:val="004B03B0"/>
    <w:rsid w:val="004B121B"/>
    <w:rsid w:val="004B1441"/>
    <w:rsid w:val="004B1504"/>
    <w:rsid w:val="004B19BB"/>
    <w:rsid w:val="004B1C3B"/>
    <w:rsid w:val="004B7572"/>
    <w:rsid w:val="004B7E27"/>
    <w:rsid w:val="004C06D6"/>
    <w:rsid w:val="004C4650"/>
    <w:rsid w:val="004C4A2D"/>
    <w:rsid w:val="004C4BE7"/>
    <w:rsid w:val="004C6204"/>
    <w:rsid w:val="004C6B47"/>
    <w:rsid w:val="004C7251"/>
    <w:rsid w:val="004C73F6"/>
    <w:rsid w:val="004C74C8"/>
    <w:rsid w:val="004D0AE6"/>
    <w:rsid w:val="004D0C8C"/>
    <w:rsid w:val="004D41BC"/>
    <w:rsid w:val="004D4EBA"/>
    <w:rsid w:val="004D57E7"/>
    <w:rsid w:val="004D794E"/>
    <w:rsid w:val="004E1851"/>
    <w:rsid w:val="004E51EE"/>
    <w:rsid w:val="004E6199"/>
    <w:rsid w:val="004E7720"/>
    <w:rsid w:val="004F15F6"/>
    <w:rsid w:val="004F640B"/>
    <w:rsid w:val="004F6A93"/>
    <w:rsid w:val="004F7CEF"/>
    <w:rsid w:val="00501619"/>
    <w:rsid w:val="00502656"/>
    <w:rsid w:val="005030DF"/>
    <w:rsid w:val="005038DE"/>
    <w:rsid w:val="00503CE8"/>
    <w:rsid w:val="0050429F"/>
    <w:rsid w:val="0050463C"/>
    <w:rsid w:val="00505FC9"/>
    <w:rsid w:val="00507F23"/>
    <w:rsid w:val="00513B19"/>
    <w:rsid w:val="00513F1C"/>
    <w:rsid w:val="00515B7B"/>
    <w:rsid w:val="005162D6"/>
    <w:rsid w:val="00517A18"/>
    <w:rsid w:val="00520F0C"/>
    <w:rsid w:val="005216F5"/>
    <w:rsid w:val="005228C5"/>
    <w:rsid w:val="005232D0"/>
    <w:rsid w:val="00525CE1"/>
    <w:rsid w:val="005260C4"/>
    <w:rsid w:val="00527BA7"/>
    <w:rsid w:val="00530171"/>
    <w:rsid w:val="0053246F"/>
    <w:rsid w:val="00533D7C"/>
    <w:rsid w:val="00533E58"/>
    <w:rsid w:val="0053613C"/>
    <w:rsid w:val="005365A5"/>
    <w:rsid w:val="00537ACF"/>
    <w:rsid w:val="0054163D"/>
    <w:rsid w:val="0054711B"/>
    <w:rsid w:val="00547CC2"/>
    <w:rsid w:val="00547E35"/>
    <w:rsid w:val="0055207D"/>
    <w:rsid w:val="00552DCC"/>
    <w:rsid w:val="00560C91"/>
    <w:rsid w:val="00561EE1"/>
    <w:rsid w:val="0056694D"/>
    <w:rsid w:val="00570C21"/>
    <w:rsid w:val="00571510"/>
    <w:rsid w:val="005717C5"/>
    <w:rsid w:val="00571EE2"/>
    <w:rsid w:val="005727BD"/>
    <w:rsid w:val="00573523"/>
    <w:rsid w:val="005741DD"/>
    <w:rsid w:val="00575A05"/>
    <w:rsid w:val="00575A1A"/>
    <w:rsid w:val="00576A8A"/>
    <w:rsid w:val="00576DB8"/>
    <w:rsid w:val="00580022"/>
    <w:rsid w:val="00580ADF"/>
    <w:rsid w:val="0058347E"/>
    <w:rsid w:val="00583B74"/>
    <w:rsid w:val="0058519B"/>
    <w:rsid w:val="00585BF7"/>
    <w:rsid w:val="00586343"/>
    <w:rsid w:val="00586E0F"/>
    <w:rsid w:val="0058718A"/>
    <w:rsid w:val="00587990"/>
    <w:rsid w:val="00587E73"/>
    <w:rsid w:val="00590475"/>
    <w:rsid w:val="0059068F"/>
    <w:rsid w:val="00590C2C"/>
    <w:rsid w:val="00591089"/>
    <w:rsid w:val="00595396"/>
    <w:rsid w:val="00595E69"/>
    <w:rsid w:val="00596446"/>
    <w:rsid w:val="005A006B"/>
    <w:rsid w:val="005A02E2"/>
    <w:rsid w:val="005A1564"/>
    <w:rsid w:val="005A2017"/>
    <w:rsid w:val="005A2C8E"/>
    <w:rsid w:val="005A4222"/>
    <w:rsid w:val="005A4D97"/>
    <w:rsid w:val="005A6278"/>
    <w:rsid w:val="005A68C3"/>
    <w:rsid w:val="005B0493"/>
    <w:rsid w:val="005B303E"/>
    <w:rsid w:val="005B4805"/>
    <w:rsid w:val="005B5DE2"/>
    <w:rsid w:val="005B7D9A"/>
    <w:rsid w:val="005C0B93"/>
    <w:rsid w:val="005C16A3"/>
    <w:rsid w:val="005C2FAE"/>
    <w:rsid w:val="005C3C81"/>
    <w:rsid w:val="005C4254"/>
    <w:rsid w:val="005C4986"/>
    <w:rsid w:val="005C626F"/>
    <w:rsid w:val="005C6D78"/>
    <w:rsid w:val="005C6E6E"/>
    <w:rsid w:val="005C7035"/>
    <w:rsid w:val="005C7917"/>
    <w:rsid w:val="005D0C14"/>
    <w:rsid w:val="005D1137"/>
    <w:rsid w:val="005D14FF"/>
    <w:rsid w:val="005D4CB3"/>
    <w:rsid w:val="005D4F67"/>
    <w:rsid w:val="005D5DF9"/>
    <w:rsid w:val="005D64B4"/>
    <w:rsid w:val="005D7273"/>
    <w:rsid w:val="005E27E9"/>
    <w:rsid w:val="005E289B"/>
    <w:rsid w:val="005E2D28"/>
    <w:rsid w:val="005E32FB"/>
    <w:rsid w:val="005E384E"/>
    <w:rsid w:val="005E458D"/>
    <w:rsid w:val="005E4CDA"/>
    <w:rsid w:val="005E549E"/>
    <w:rsid w:val="005E7445"/>
    <w:rsid w:val="005E7888"/>
    <w:rsid w:val="005F13C7"/>
    <w:rsid w:val="005F15D9"/>
    <w:rsid w:val="005F4EFA"/>
    <w:rsid w:val="005F4FC6"/>
    <w:rsid w:val="005F5EE6"/>
    <w:rsid w:val="005F6018"/>
    <w:rsid w:val="00600A2B"/>
    <w:rsid w:val="00603B48"/>
    <w:rsid w:val="0060731B"/>
    <w:rsid w:val="006108E8"/>
    <w:rsid w:val="00611665"/>
    <w:rsid w:val="00611746"/>
    <w:rsid w:val="00611794"/>
    <w:rsid w:val="00611B46"/>
    <w:rsid w:val="0061276F"/>
    <w:rsid w:val="006144DE"/>
    <w:rsid w:val="00615AD5"/>
    <w:rsid w:val="0061709E"/>
    <w:rsid w:val="00617A72"/>
    <w:rsid w:val="00621026"/>
    <w:rsid w:val="00621499"/>
    <w:rsid w:val="00621A30"/>
    <w:rsid w:val="006236C6"/>
    <w:rsid w:val="00625D8E"/>
    <w:rsid w:val="006265BC"/>
    <w:rsid w:val="006273E3"/>
    <w:rsid w:val="0063059B"/>
    <w:rsid w:val="006320DA"/>
    <w:rsid w:val="0063350A"/>
    <w:rsid w:val="006340AC"/>
    <w:rsid w:val="0063508A"/>
    <w:rsid w:val="006362B1"/>
    <w:rsid w:val="006374E8"/>
    <w:rsid w:val="00637663"/>
    <w:rsid w:val="006428CC"/>
    <w:rsid w:val="00642CB2"/>
    <w:rsid w:val="00645363"/>
    <w:rsid w:val="00647C82"/>
    <w:rsid w:val="00650654"/>
    <w:rsid w:val="0065086D"/>
    <w:rsid w:val="00650A12"/>
    <w:rsid w:val="00652DA4"/>
    <w:rsid w:val="00653461"/>
    <w:rsid w:val="00653B34"/>
    <w:rsid w:val="00653DC3"/>
    <w:rsid w:val="0065455C"/>
    <w:rsid w:val="006549F6"/>
    <w:rsid w:val="00655062"/>
    <w:rsid w:val="00655429"/>
    <w:rsid w:val="00655B6D"/>
    <w:rsid w:val="006562DA"/>
    <w:rsid w:val="006566D6"/>
    <w:rsid w:val="00656A10"/>
    <w:rsid w:val="00657B9B"/>
    <w:rsid w:val="00662220"/>
    <w:rsid w:val="006630F0"/>
    <w:rsid w:val="0066416F"/>
    <w:rsid w:val="0066567E"/>
    <w:rsid w:val="006666ED"/>
    <w:rsid w:val="00670B7E"/>
    <w:rsid w:val="00671B1B"/>
    <w:rsid w:val="0067259C"/>
    <w:rsid w:val="00676700"/>
    <w:rsid w:val="006768C7"/>
    <w:rsid w:val="0068152C"/>
    <w:rsid w:val="00682B74"/>
    <w:rsid w:val="0068448F"/>
    <w:rsid w:val="00684775"/>
    <w:rsid w:val="0068696A"/>
    <w:rsid w:val="00693A1B"/>
    <w:rsid w:val="00694BFD"/>
    <w:rsid w:val="00694F9B"/>
    <w:rsid w:val="006976E7"/>
    <w:rsid w:val="00697766"/>
    <w:rsid w:val="00697EF8"/>
    <w:rsid w:val="006A0D8E"/>
    <w:rsid w:val="006A11C2"/>
    <w:rsid w:val="006A1496"/>
    <w:rsid w:val="006A2803"/>
    <w:rsid w:val="006A554D"/>
    <w:rsid w:val="006A5DFF"/>
    <w:rsid w:val="006B0C68"/>
    <w:rsid w:val="006B0C70"/>
    <w:rsid w:val="006B4C71"/>
    <w:rsid w:val="006B64A7"/>
    <w:rsid w:val="006B7024"/>
    <w:rsid w:val="006C02EE"/>
    <w:rsid w:val="006C1643"/>
    <w:rsid w:val="006C2024"/>
    <w:rsid w:val="006C239A"/>
    <w:rsid w:val="006C288A"/>
    <w:rsid w:val="006C29E2"/>
    <w:rsid w:val="006C372D"/>
    <w:rsid w:val="006C3A59"/>
    <w:rsid w:val="006C4FCD"/>
    <w:rsid w:val="006C554D"/>
    <w:rsid w:val="006C591E"/>
    <w:rsid w:val="006D1293"/>
    <w:rsid w:val="006D2505"/>
    <w:rsid w:val="006E108B"/>
    <w:rsid w:val="006E311F"/>
    <w:rsid w:val="006E37C3"/>
    <w:rsid w:val="006E53B7"/>
    <w:rsid w:val="006F2B84"/>
    <w:rsid w:val="006F4754"/>
    <w:rsid w:val="006F7E2B"/>
    <w:rsid w:val="007022C7"/>
    <w:rsid w:val="00703E59"/>
    <w:rsid w:val="00704B18"/>
    <w:rsid w:val="00705D1F"/>
    <w:rsid w:val="0070698C"/>
    <w:rsid w:val="00706EB2"/>
    <w:rsid w:val="0070730F"/>
    <w:rsid w:val="007101BB"/>
    <w:rsid w:val="007101C0"/>
    <w:rsid w:val="00710E6D"/>
    <w:rsid w:val="00711393"/>
    <w:rsid w:val="00714110"/>
    <w:rsid w:val="007147B9"/>
    <w:rsid w:val="00715E88"/>
    <w:rsid w:val="00721613"/>
    <w:rsid w:val="007220DE"/>
    <w:rsid w:val="007227EB"/>
    <w:rsid w:val="00723671"/>
    <w:rsid w:val="007243A8"/>
    <w:rsid w:val="00724B6A"/>
    <w:rsid w:val="00725331"/>
    <w:rsid w:val="00726DD2"/>
    <w:rsid w:val="00726E86"/>
    <w:rsid w:val="00735A23"/>
    <w:rsid w:val="00735A28"/>
    <w:rsid w:val="00736CE3"/>
    <w:rsid w:val="00736F6C"/>
    <w:rsid w:val="00742CD1"/>
    <w:rsid w:val="00742D04"/>
    <w:rsid w:val="00744766"/>
    <w:rsid w:val="00747D2C"/>
    <w:rsid w:val="007500D4"/>
    <w:rsid w:val="00750FA9"/>
    <w:rsid w:val="0075229F"/>
    <w:rsid w:val="00754D64"/>
    <w:rsid w:val="007570E1"/>
    <w:rsid w:val="00760470"/>
    <w:rsid w:val="00760633"/>
    <w:rsid w:val="00763B46"/>
    <w:rsid w:val="00763B64"/>
    <w:rsid w:val="00765966"/>
    <w:rsid w:val="007668A5"/>
    <w:rsid w:val="0076694B"/>
    <w:rsid w:val="00766CE3"/>
    <w:rsid w:val="00767BCC"/>
    <w:rsid w:val="00770397"/>
    <w:rsid w:val="0077155A"/>
    <w:rsid w:val="007715A7"/>
    <w:rsid w:val="00772C19"/>
    <w:rsid w:val="0077380F"/>
    <w:rsid w:val="007743E9"/>
    <w:rsid w:val="00774C10"/>
    <w:rsid w:val="00774EA3"/>
    <w:rsid w:val="00775F26"/>
    <w:rsid w:val="0078175F"/>
    <w:rsid w:val="00784E94"/>
    <w:rsid w:val="00785641"/>
    <w:rsid w:val="007862CA"/>
    <w:rsid w:val="007866AD"/>
    <w:rsid w:val="00790BC3"/>
    <w:rsid w:val="007935B7"/>
    <w:rsid w:val="00795D8D"/>
    <w:rsid w:val="007960E7"/>
    <w:rsid w:val="00796D87"/>
    <w:rsid w:val="00797584"/>
    <w:rsid w:val="007A0105"/>
    <w:rsid w:val="007A0414"/>
    <w:rsid w:val="007A1AC1"/>
    <w:rsid w:val="007A4220"/>
    <w:rsid w:val="007A4294"/>
    <w:rsid w:val="007A44F3"/>
    <w:rsid w:val="007A58FC"/>
    <w:rsid w:val="007B33ED"/>
    <w:rsid w:val="007B5986"/>
    <w:rsid w:val="007B7A64"/>
    <w:rsid w:val="007C054A"/>
    <w:rsid w:val="007C2AA2"/>
    <w:rsid w:val="007C3043"/>
    <w:rsid w:val="007C3BC1"/>
    <w:rsid w:val="007C5316"/>
    <w:rsid w:val="007C5F5A"/>
    <w:rsid w:val="007C6B71"/>
    <w:rsid w:val="007D1404"/>
    <w:rsid w:val="007D1C60"/>
    <w:rsid w:val="007D2B0C"/>
    <w:rsid w:val="007D4E4A"/>
    <w:rsid w:val="007D6A89"/>
    <w:rsid w:val="007D7E29"/>
    <w:rsid w:val="007E0C5E"/>
    <w:rsid w:val="007E0D99"/>
    <w:rsid w:val="007E1F4E"/>
    <w:rsid w:val="007E207B"/>
    <w:rsid w:val="007E215A"/>
    <w:rsid w:val="007E2A9E"/>
    <w:rsid w:val="007E3AE9"/>
    <w:rsid w:val="007E6105"/>
    <w:rsid w:val="007F01C3"/>
    <w:rsid w:val="007F01F4"/>
    <w:rsid w:val="007F4F58"/>
    <w:rsid w:val="007F4FDA"/>
    <w:rsid w:val="007F6A10"/>
    <w:rsid w:val="00802DD1"/>
    <w:rsid w:val="008033AC"/>
    <w:rsid w:val="00803688"/>
    <w:rsid w:val="00803BF9"/>
    <w:rsid w:val="00803F0D"/>
    <w:rsid w:val="008047C6"/>
    <w:rsid w:val="00804FE5"/>
    <w:rsid w:val="00807A70"/>
    <w:rsid w:val="008116CC"/>
    <w:rsid w:val="00811F3D"/>
    <w:rsid w:val="0081442F"/>
    <w:rsid w:val="00814A3F"/>
    <w:rsid w:val="008155EF"/>
    <w:rsid w:val="00815E4A"/>
    <w:rsid w:val="0081688D"/>
    <w:rsid w:val="008176B7"/>
    <w:rsid w:val="00821BC3"/>
    <w:rsid w:val="0082714E"/>
    <w:rsid w:val="00830174"/>
    <w:rsid w:val="00830D01"/>
    <w:rsid w:val="00830DCD"/>
    <w:rsid w:val="00830E6C"/>
    <w:rsid w:val="00832C01"/>
    <w:rsid w:val="008362D4"/>
    <w:rsid w:val="00836761"/>
    <w:rsid w:val="008367A6"/>
    <w:rsid w:val="00837418"/>
    <w:rsid w:val="0084123B"/>
    <w:rsid w:val="00841A9B"/>
    <w:rsid w:val="00842274"/>
    <w:rsid w:val="00843476"/>
    <w:rsid w:val="008439C6"/>
    <w:rsid w:val="00843F78"/>
    <w:rsid w:val="0084413B"/>
    <w:rsid w:val="00846AEC"/>
    <w:rsid w:val="00847511"/>
    <w:rsid w:val="00847A48"/>
    <w:rsid w:val="00847CB2"/>
    <w:rsid w:val="008503A6"/>
    <w:rsid w:val="00851ABA"/>
    <w:rsid w:val="008524C6"/>
    <w:rsid w:val="00855CAB"/>
    <w:rsid w:val="00857431"/>
    <w:rsid w:val="008626D9"/>
    <w:rsid w:val="008632AE"/>
    <w:rsid w:val="0086389A"/>
    <w:rsid w:val="00865540"/>
    <w:rsid w:val="0086662C"/>
    <w:rsid w:val="00866674"/>
    <w:rsid w:val="008670FC"/>
    <w:rsid w:val="008679D3"/>
    <w:rsid w:val="008716DA"/>
    <w:rsid w:val="00871746"/>
    <w:rsid w:val="008724D6"/>
    <w:rsid w:val="00874129"/>
    <w:rsid w:val="00876C11"/>
    <w:rsid w:val="0088047D"/>
    <w:rsid w:val="00881391"/>
    <w:rsid w:val="00881855"/>
    <w:rsid w:val="0088236C"/>
    <w:rsid w:val="00884759"/>
    <w:rsid w:val="0088481A"/>
    <w:rsid w:val="00884B0D"/>
    <w:rsid w:val="00885177"/>
    <w:rsid w:val="00885651"/>
    <w:rsid w:val="008868FB"/>
    <w:rsid w:val="00886DAC"/>
    <w:rsid w:val="00887AE8"/>
    <w:rsid w:val="00890853"/>
    <w:rsid w:val="00892318"/>
    <w:rsid w:val="008942B7"/>
    <w:rsid w:val="008A07A0"/>
    <w:rsid w:val="008A1236"/>
    <w:rsid w:val="008A1618"/>
    <w:rsid w:val="008A18C7"/>
    <w:rsid w:val="008A276A"/>
    <w:rsid w:val="008A5311"/>
    <w:rsid w:val="008A5351"/>
    <w:rsid w:val="008A55CB"/>
    <w:rsid w:val="008A6A1B"/>
    <w:rsid w:val="008B0ED0"/>
    <w:rsid w:val="008B14CC"/>
    <w:rsid w:val="008B17CE"/>
    <w:rsid w:val="008B410C"/>
    <w:rsid w:val="008B5619"/>
    <w:rsid w:val="008B56A5"/>
    <w:rsid w:val="008B57FE"/>
    <w:rsid w:val="008B6356"/>
    <w:rsid w:val="008C041D"/>
    <w:rsid w:val="008C18AE"/>
    <w:rsid w:val="008C2564"/>
    <w:rsid w:val="008C3BAE"/>
    <w:rsid w:val="008C61B2"/>
    <w:rsid w:val="008C6EED"/>
    <w:rsid w:val="008C6F38"/>
    <w:rsid w:val="008D05BD"/>
    <w:rsid w:val="008D16D8"/>
    <w:rsid w:val="008D2D30"/>
    <w:rsid w:val="008D35E5"/>
    <w:rsid w:val="008D3982"/>
    <w:rsid w:val="008D74FA"/>
    <w:rsid w:val="008D78B4"/>
    <w:rsid w:val="008E0F90"/>
    <w:rsid w:val="008E1E77"/>
    <w:rsid w:val="008E32B4"/>
    <w:rsid w:val="008E6909"/>
    <w:rsid w:val="008E6A39"/>
    <w:rsid w:val="008E7297"/>
    <w:rsid w:val="008E774D"/>
    <w:rsid w:val="008E7831"/>
    <w:rsid w:val="008F17B3"/>
    <w:rsid w:val="008F5921"/>
    <w:rsid w:val="008F69DD"/>
    <w:rsid w:val="008F6B52"/>
    <w:rsid w:val="008F6D29"/>
    <w:rsid w:val="008F7DFC"/>
    <w:rsid w:val="0090168D"/>
    <w:rsid w:val="009051B8"/>
    <w:rsid w:val="00910946"/>
    <w:rsid w:val="0091249B"/>
    <w:rsid w:val="00912DB9"/>
    <w:rsid w:val="00913671"/>
    <w:rsid w:val="009139B8"/>
    <w:rsid w:val="00914E57"/>
    <w:rsid w:val="00916D6F"/>
    <w:rsid w:val="00916F24"/>
    <w:rsid w:val="00917B92"/>
    <w:rsid w:val="0092108F"/>
    <w:rsid w:val="00921BBF"/>
    <w:rsid w:val="009221A3"/>
    <w:rsid w:val="00922BF3"/>
    <w:rsid w:val="00925EB1"/>
    <w:rsid w:val="00926415"/>
    <w:rsid w:val="00926E7E"/>
    <w:rsid w:val="009325D5"/>
    <w:rsid w:val="0093397B"/>
    <w:rsid w:val="0093449D"/>
    <w:rsid w:val="009347F6"/>
    <w:rsid w:val="0093494E"/>
    <w:rsid w:val="00936C01"/>
    <w:rsid w:val="0093717D"/>
    <w:rsid w:val="00940A29"/>
    <w:rsid w:val="0094104A"/>
    <w:rsid w:val="009417E6"/>
    <w:rsid w:val="00941A6E"/>
    <w:rsid w:val="00942924"/>
    <w:rsid w:val="009449AE"/>
    <w:rsid w:val="00944CD3"/>
    <w:rsid w:val="00946E1A"/>
    <w:rsid w:val="009501F8"/>
    <w:rsid w:val="009541EA"/>
    <w:rsid w:val="00955A10"/>
    <w:rsid w:val="00956082"/>
    <w:rsid w:val="0095734D"/>
    <w:rsid w:val="00957718"/>
    <w:rsid w:val="009602E1"/>
    <w:rsid w:val="00960AE1"/>
    <w:rsid w:val="00960BB3"/>
    <w:rsid w:val="0096418F"/>
    <w:rsid w:val="0096446D"/>
    <w:rsid w:val="009650E5"/>
    <w:rsid w:val="00966955"/>
    <w:rsid w:val="0097083A"/>
    <w:rsid w:val="009726A0"/>
    <w:rsid w:val="0097411A"/>
    <w:rsid w:val="00976C45"/>
    <w:rsid w:val="00977C50"/>
    <w:rsid w:val="00982469"/>
    <w:rsid w:val="00982724"/>
    <w:rsid w:val="009849D5"/>
    <w:rsid w:val="00985331"/>
    <w:rsid w:val="00985448"/>
    <w:rsid w:val="00985856"/>
    <w:rsid w:val="00985F7C"/>
    <w:rsid w:val="00986F4F"/>
    <w:rsid w:val="00987C21"/>
    <w:rsid w:val="00990AFB"/>
    <w:rsid w:val="00990B1E"/>
    <w:rsid w:val="00991F4B"/>
    <w:rsid w:val="00992B8B"/>
    <w:rsid w:val="00994866"/>
    <w:rsid w:val="009972B7"/>
    <w:rsid w:val="009A0B31"/>
    <w:rsid w:val="009A2683"/>
    <w:rsid w:val="009A6094"/>
    <w:rsid w:val="009A63F9"/>
    <w:rsid w:val="009A746B"/>
    <w:rsid w:val="009B0200"/>
    <w:rsid w:val="009B476D"/>
    <w:rsid w:val="009B4B1F"/>
    <w:rsid w:val="009B4E3C"/>
    <w:rsid w:val="009B63C2"/>
    <w:rsid w:val="009B7462"/>
    <w:rsid w:val="009C01F4"/>
    <w:rsid w:val="009C366A"/>
    <w:rsid w:val="009C3E82"/>
    <w:rsid w:val="009C6D5C"/>
    <w:rsid w:val="009D2B4C"/>
    <w:rsid w:val="009D2BA6"/>
    <w:rsid w:val="009D3CCE"/>
    <w:rsid w:val="009D4C32"/>
    <w:rsid w:val="009D648F"/>
    <w:rsid w:val="009D66D3"/>
    <w:rsid w:val="009E02A2"/>
    <w:rsid w:val="009E041D"/>
    <w:rsid w:val="009E2ADC"/>
    <w:rsid w:val="009E4777"/>
    <w:rsid w:val="009E6265"/>
    <w:rsid w:val="009E76F1"/>
    <w:rsid w:val="009E7A82"/>
    <w:rsid w:val="009F088A"/>
    <w:rsid w:val="009F129A"/>
    <w:rsid w:val="009F16BD"/>
    <w:rsid w:val="009F194D"/>
    <w:rsid w:val="009F2902"/>
    <w:rsid w:val="009F4022"/>
    <w:rsid w:val="009F405B"/>
    <w:rsid w:val="009F47C7"/>
    <w:rsid w:val="009F5C01"/>
    <w:rsid w:val="009F5E86"/>
    <w:rsid w:val="009F6D57"/>
    <w:rsid w:val="009F761C"/>
    <w:rsid w:val="00A0245A"/>
    <w:rsid w:val="00A035CD"/>
    <w:rsid w:val="00A05443"/>
    <w:rsid w:val="00A06D92"/>
    <w:rsid w:val="00A07DCD"/>
    <w:rsid w:val="00A10CD7"/>
    <w:rsid w:val="00A112EC"/>
    <w:rsid w:val="00A125E6"/>
    <w:rsid w:val="00A139E8"/>
    <w:rsid w:val="00A13ACB"/>
    <w:rsid w:val="00A15C15"/>
    <w:rsid w:val="00A15C91"/>
    <w:rsid w:val="00A169D2"/>
    <w:rsid w:val="00A2185C"/>
    <w:rsid w:val="00A22C73"/>
    <w:rsid w:val="00A2604A"/>
    <w:rsid w:val="00A26A37"/>
    <w:rsid w:val="00A32A15"/>
    <w:rsid w:val="00A335E2"/>
    <w:rsid w:val="00A339AD"/>
    <w:rsid w:val="00A33BCA"/>
    <w:rsid w:val="00A341C3"/>
    <w:rsid w:val="00A34AD6"/>
    <w:rsid w:val="00A35E4A"/>
    <w:rsid w:val="00A36833"/>
    <w:rsid w:val="00A37934"/>
    <w:rsid w:val="00A37B46"/>
    <w:rsid w:val="00A411BD"/>
    <w:rsid w:val="00A438C1"/>
    <w:rsid w:val="00A45021"/>
    <w:rsid w:val="00A454BA"/>
    <w:rsid w:val="00A46954"/>
    <w:rsid w:val="00A51E10"/>
    <w:rsid w:val="00A529FE"/>
    <w:rsid w:val="00A5425E"/>
    <w:rsid w:val="00A548FB"/>
    <w:rsid w:val="00A57284"/>
    <w:rsid w:val="00A57B4E"/>
    <w:rsid w:val="00A62BA0"/>
    <w:rsid w:val="00A63187"/>
    <w:rsid w:val="00A63599"/>
    <w:rsid w:val="00A64ACF"/>
    <w:rsid w:val="00A650BF"/>
    <w:rsid w:val="00A658DA"/>
    <w:rsid w:val="00A70A0A"/>
    <w:rsid w:val="00A70AAC"/>
    <w:rsid w:val="00A7271C"/>
    <w:rsid w:val="00A729D8"/>
    <w:rsid w:val="00A7383D"/>
    <w:rsid w:val="00A73987"/>
    <w:rsid w:val="00A74A84"/>
    <w:rsid w:val="00A74CD4"/>
    <w:rsid w:val="00A750C9"/>
    <w:rsid w:val="00A77EA5"/>
    <w:rsid w:val="00A81DC3"/>
    <w:rsid w:val="00A83524"/>
    <w:rsid w:val="00A83554"/>
    <w:rsid w:val="00A83578"/>
    <w:rsid w:val="00A83DC6"/>
    <w:rsid w:val="00A85834"/>
    <w:rsid w:val="00A869C0"/>
    <w:rsid w:val="00A926F6"/>
    <w:rsid w:val="00A92B5A"/>
    <w:rsid w:val="00A93928"/>
    <w:rsid w:val="00AA0E0D"/>
    <w:rsid w:val="00AA1ED8"/>
    <w:rsid w:val="00AA2327"/>
    <w:rsid w:val="00AA26E2"/>
    <w:rsid w:val="00AA3EE0"/>
    <w:rsid w:val="00AA4447"/>
    <w:rsid w:val="00AA5DDD"/>
    <w:rsid w:val="00AA7497"/>
    <w:rsid w:val="00AB01FC"/>
    <w:rsid w:val="00AB0293"/>
    <w:rsid w:val="00AB319F"/>
    <w:rsid w:val="00AB392D"/>
    <w:rsid w:val="00AB3A7C"/>
    <w:rsid w:val="00AB4181"/>
    <w:rsid w:val="00AB4AE5"/>
    <w:rsid w:val="00AB6275"/>
    <w:rsid w:val="00AB6C3C"/>
    <w:rsid w:val="00AC3812"/>
    <w:rsid w:val="00AC5CDB"/>
    <w:rsid w:val="00AC6C51"/>
    <w:rsid w:val="00AC772B"/>
    <w:rsid w:val="00AC7EF4"/>
    <w:rsid w:val="00AD2C82"/>
    <w:rsid w:val="00AD4523"/>
    <w:rsid w:val="00AE04F0"/>
    <w:rsid w:val="00AE22E2"/>
    <w:rsid w:val="00AE2F78"/>
    <w:rsid w:val="00AE36D6"/>
    <w:rsid w:val="00AE49B1"/>
    <w:rsid w:val="00AE6BB4"/>
    <w:rsid w:val="00AE6FBF"/>
    <w:rsid w:val="00AF0769"/>
    <w:rsid w:val="00AF1974"/>
    <w:rsid w:val="00AF20D7"/>
    <w:rsid w:val="00AF3350"/>
    <w:rsid w:val="00AF3EB4"/>
    <w:rsid w:val="00AF5399"/>
    <w:rsid w:val="00B00991"/>
    <w:rsid w:val="00B02949"/>
    <w:rsid w:val="00B0372F"/>
    <w:rsid w:val="00B03E2C"/>
    <w:rsid w:val="00B05371"/>
    <w:rsid w:val="00B0733D"/>
    <w:rsid w:val="00B07EF5"/>
    <w:rsid w:val="00B103F4"/>
    <w:rsid w:val="00B1085E"/>
    <w:rsid w:val="00B10DAB"/>
    <w:rsid w:val="00B1137E"/>
    <w:rsid w:val="00B11EC1"/>
    <w:rsid w:val="00B1292F"/>
    <w:rsid w:val="00B13DFC"/>
    <w:rsid w:val="00B1509C"/>
    <w:rsid w:val="00B1558B"/>
    <w:rsid w:val="00B15F1D"/>
    <w:rsid w:val="00B16327"/>
    <w:rsid w:val="00B1635E"/>
    <w:rsid w:val="00B1687F"/>
    <w:rsid w:val="00B17A43"/>
    <w:rsid w:val="00B20483"/>
    <w:rsid w:val="00B212FD"/>
    <w:rsid w:val="00B231E7"/>
    <w:rsid w:val="00B25C5B"/>
    <w:rsid w:val="00B26341"/>
    <w:rsid w:val="00B2638F"/>
    <w:rsid w:val="00B26E46"/>
    <w:rsid w:val="00B30AAF"/>
    <w:rsid w:val="00B32005"/>
    <w:rsid w:val="00B33542"/>
    <w:rsid w:val="00B34BDF"/>
    <w:rsid w:val="00B34D42"/>
    <w:rsid w:val="00B369A6"/>
    <w:rsid w:val="00B36C2A"/>
    <w:rsid w:val="00B37B34"/>
    <w:rsid w:val="00B406A1"/>
    <w:rsid w:val="00B4279C"/>
    <w:rsid w:val="00B43210"/>
    <w:rsid w:val="00B457DF"/>
    <w:rsid w:val="00B47098"/>
    <w:rsid w:val="00B470BE"/>
    <w:rsid w:val="00B47B0C"/>
    <w:rsid w:val="00B50C47"/>
    <w:rsid w:val="00B52FD4"/>
    <w:rsid w:val="00B53164"/>
    <w:rsid w:val="00B57901"/>
    <w:rsid w:val="00B605D6"/>
    <w:rsid w:val="00B60AE6"/>
    <w:rsid w:val="00B61721"/>
    <w:rsid w:val="00B63373"/>
    <w:rsid w:val="00B64DF0"/>
    <w:rsid w:val="00B67074"/>
    <w:rsid w:val="00B7203B"/>
    <w:rsid w:val="00B73A11"/>
    <w:rsid w:val="00B7621E"/>
    <w:rsid w:val="00B773EE"/>
    <w:rsid w:val="00B80123"/>
    <w:rsid w:val="00B803CC"/>
    <w:rsid w:val="00B81129"/>
    <w:rsid w:val="00B86A7B"/>
    <w:rsid w:val="00B87255"/>
    <w:rsid w:val="00B93799"/>
    <w:rsid w:val="00B94D46"/>
    <w:rsid w:val="00B94F04"/>
    <w:rsid w:val="00B961C3"/>
    <w:rsid w:val="00B9630B"/>
    <w:rsid w:val="00B97282"/>
    <w:rsid w:val="00BA03BE"/>
    <w:rsid w:val="00BA0B21"/>
    <w:rsid w:val="00BA1924"/>
    <w:rsid w:val="00BA499B"/>
    <w:rsid w:val="00BA546D"/>
    <w:rsid w:val="00BA5AA5"/>
    <w:rsid w:val="00BA7511"/>
    <w:rsid w:val="00BA7B47"/>
    <w:rsid w:val="00BB0C59"/>
    <w:rsid w:val="00BB158E"/>
    <w:rsid w:val="00BB2744"/>
    <w:rsid w:val="00BB485B"/>
    <w:rsid w:val="00BB5599"/>
    <w:rsid w:val="00BB5A6A"/>
    <w:rsid w:val="00BB6451"/>
    <w:rsid w:val="00BC4AB8"/>
    <w:rsid w:val="00BC6471"/>
    <w:rsid w:val="00BC67FB"/>
    <w:rsid w:val="00BC6FDF"/>
    <w:rsid w:val="00BC7F72"/>
    <w:rsid w:val="00BD3B05"/>
    <w:rsid w:val="00BD4959"/>
    <w:rsid w:val="00BD5772"/>
    <w:rsid w:val="00BD6CBF"/>
    <w:rsid w:val="00BD6F1D"/>
    <w:rsid w:val="00BE0A2E"/>
    <w:rsid w:val="00BE3FD6"/>
    <w:rsid w:val="00BE5A8A"/>
    <w:rsid w:val="00BE7E9A"/>
    <w:rsid w:val="00BF02A9"/>
    <w:rsid w:val="00BF1A67"/>
    <w:rsid w:val="00BF1F9D"/>
    <w:rsid w:val="00BF2C33"/>
    <w:rsid w:val="00BF3D27"/>
    <w:rsid w:val="00BF5438"/>
    <w:rsid w:val="00BF6ADD"/>
    <w:rsid w:val="00BF7074"/>
    <w:rsid w:val="00C01F95"/>
    <w:rsid w:val="00C0295C"/>
    <w:rsid w:val="00C03A3A"/>
    <w:rsid w:val="00C04862"/>
    <w:rsid w:val="00C05225"/>
    <w:rsid w:val="00C06889"/>
    <w:rsid w:val="00C07792"/>
    <w:rsid w:val="00C13F96"/>
    <w:rsid w:val="00C13FB1"/>
    <w:rsid w:val="00C15891"/>
    <w:rsid w:val="00C224CD"/>
    <w:rsid w:val="00C224CF"/>
    <w:rsid w:val="00C228D4"/>
    <w:rsid w:val="00C22D9F"/>
    <w:rsid w:val="00C24953"/>
    <w:rsid w:val="00C24E02"/>
    <w:rsid w:val="00C259FB"/>
    <w:rsid w:val="00C272CC"/>
    <w:rsid w:val="00C3138F"/>
    <w:rsid w:val="00C31C6E"/>
    <w:rsid w:val="00C330F3"/>
    <w:rsid w:val="00C35BD9"/>
    <w:rsid w:val="00C37832"/>
    <w:rsid w:val="00C41C64"/>
    <w:rsid w:val="00C429E9"/>
    <w:rsid w:val="00C42AF2"/>
    <w:rsid w:val="00C43BEA"/>
    <w:rsid w:val="00C44CE4"/>
    <w:rsid w:val="00C46AAC"/>
    <w:rsid w:val="00C47B4B"/>
    <w:rsid w:val="00C5022D"/>
    <w:rsid w:val="00C504BE"/>
    <w:rsid w:val="00C5427A"/>
    <w:rsid w:val="00C54309"/>
    <w:rsid w:val="00C54501"/>
    <w:rsid w:val="00C54899"/>
    <w:rsid w:val="00C54A08"/>
    <w:rsid w:val="00C556BA"/>
    <w:rsid w:val="00C6274F"/>
    <w:rsid w:val="00C62BDC"/>
    <w:rsid w:val="00C63332"/>
    <w:rsid w:val="00C65F9A"/>
    <w:rsid w:val="00C67447"/>
    <w:rsid w:val="00C70AA7"/>
    <w:rsid w:val="00C72D13"/>
    <w:rsid w:val="00C733EA"/>
    <w:rsid w:val="00C73C07"/>
    <w:rsid w:val="00C73DC2"/>
    <w:rsid w:val="00C73E06"/>
    <w:rsid w:val="00C76AF5"/>
    <w:rsid w:val="00C76D14"/>
    <w:rsid w:val="00C76EE4"/>
    <w:rsid w:val="00C77ABA"/>
    <w:rsid w:val="00C80387"/>
    <w:rsid w:val="00C80CFA"/>
    <w:rsid w:val="00C81B56"/>
    <w:rsid w:val="00C82424"/>
    <w:rsid w:val="00C8332F"/>
    <w:rsid w:val="00C8345E"/>
    <w:rsid w:val="00C84C75"/>
    <w:rsid w:val="00C854F7"/>
    <w:rsid w:val="00C86279"/>
    <w:rsid w:val="00C9135A"/>
    <w:rsid w:val="00C94890"/>
    <w:rsid w:val="00C96049"/>
    <w:rsid w:val="00C96157"/>
    <w:rsid w:val="00C965D2"/>
    <w:rsid w:val="00C96863"/>
    <w:rsid w:val="00C96A80"/>
    <w:rsid w:val="00C97007"/>
    <w:rsid w:val="00C974B5"/>
    <w:rsid w:val="00CA10EE"/>
    <w:rsid w:val="00CA14BD"/>
    <w:rsid w:val="00CA2602"/>
    <w:rsid w:val="00CA268C"/>
    <w:rsid w:val="00CA33DE"/>
    <w:rsid w:val="00CA36D4"/>
    <w:rsid w:val="00CA435D"/>
    <w:rsid w:val="00CA55AD"/>
    <w:rsid w:val="00CA5927"/>
    <w:rsid w:val="00CA6593"/>
    <w:rsid w:val="00CB06AD"/>
    <w:rsid w:val="00CB20DE"/>
    <w:rsid w:val="00CB344C"/>
    <w:rsid w:val="00CC0221"/>
    <w:rsid w:val="00CC02C7"/>
    <w:rsid w:val="00CC336E"/>
    <w:rsid w:val="00CC3AD9"/>
    <w:rsid w:val="00CC5612"/>
    <w:rsid w:val="00CC7798"/>
    <w:rsid w:val="00CD273F"/>
    <w:rsid w:val="00CD48BE"/>
    <w:rsid w:val="00CD5425"/>
    <w:rsid w:val="00CD5E35"/>
    <w:rsid w:val="00CE28A0"/>
    <w:rsid w:val="00CE2B4F"/>
    <w:rsid w:val="00CE30D2"/>
    <w:rsid w:val="00CE35D4"/>
    <w:rsid w:val="00CE5BBF"/>
    <w:rsid w:val="00CE5EF6"/>
    <w:rsid w:val="00CE671C"/>
    <w:rsid w:val="00CF216D"/>
    <w:rsid w:val="00CF24B9"/>
    <w:rsid w:val="00CF2694"/>
    <w:rsid w:val="00CF3B7A"/>
    <w:rsid w:val="00CF489D"/>
    <w:rsid w:val="00CF5389"/>
    <w:rsid w:val="00CF5759"/>
    <w:rsid w:val="00CF7664"/>
    <w:rsid w:val="00D007F4"/>
    <w:rsid w:val="00D04B12"/>
    <w:rsid w:val="00D05E89"/>
    <w:rsid w:val="00D065A0"/>
    <w:rsid w:val="00D067B3"/>
    <w:rsid w:val="00D069F5"/>
    <w:rsid w:val="00D06FFC"/>
    <w:rsid w:val="00D0769A"/>
    <w:rsid w:val="00D0777C"/>
    <w:rsid w:val="00D07CC4"/>
    <w:rsid w:val="00D10044"/>
    <w:rsid w:val="00D10571"/>
    <w:rsid w:val="00D10F31"/>
    <w:rsid w:val="00D11949"/>
    <w:rsid w:val="00D12615"/>
    <w:rsid w:val="00D14007"/>
    <w:rsid w:val="00D14FA0"/>
    <w:rsid w:val="00D16AA0"/>
    <w:rsid w:val="00D17BC4"/>
    <w:rsid w:val="00D20442"/>
    <w:rsid w:val="00D20631"/>
    <w:rsid w:val="00D21521"/>
    <w:rsid w:val="00D22F49"/>
    <w:rsid w:val="00D259D0"/>
    <w:rsid w:val="00D25A0C"/>
    <w:rsid w:val="00D26D10"/>
    <w:rsid w:val="00D3004A"/>
    <w:rsid w:val="00D30907"/>
    <w:rsid w:val="00D33712"/>
    <w:rsid w:val="00D34AC3"/>
    <w:rsid w:val="00D3663D"/>
    <w:rsid w:val="00D367F1"/>
    <w:rsid w:val="00D37BE1"/>
    <w:rsid w:val="00D4066B"/>
    <w:rsid w:val="00D40732"/>
    <w:rsid w:val="00D4135B"/>
    <w:rsid w:val="00D42AB2"/>
    <w:rsid w:val="00D438AF"/>
    <w:rsid w:val="00D44214"/>
    <w:rsid w:val="00D45836"/>
    <w:rsid w:val="00D4677C"/>
    <w:rsid w:val="00D518DD"/>
    <w:rsid w:val="00D526AB"/>
    <w:rsid w:val="00D52899"/>
    <w:rsid w:val="00D52CC2"/>
    <w:rsid w:val="00D53C07"/>
    <w:rsid w:val="00D560D2"/>
    <w:rsid w:val="00D57A4B"/>
    <w:rsid w:val="00D57EEB"/>
    <w:rsid w:val="00D600FA"/>
    <w:rsid w:val="00D60294"/>
    <w:rsid w:val="00D61D8E"/>
    <w:rsid w:val="00D62C6D"/>
    <w:rsid w:val="00D6342B"/>
    <w:rsid w:val="00D6469A"/>
    <w:rsid w:val="00D64C26"/>
    <w:rsid w:val="00D659C8"/>
    <w:rsid w:val="00D66988"/>
    <w:rsid w:val="00D72430"/>
    <w:rsid w:val="00D72558"/>
    <w:rsid w:val="00D727BD"/>
    <w:rsid w:val="00D72976"/>
    <w:rsid w:val="00D732DE"/>
    <w:rsid w:val="00D74C63"/>
    <w:rsid w:val="00D76285"/>
    <w:rsid w:val="00D777D8"/>
    <w:rsid w:val="00D808E8"/>
    <w:rsid w:val="00D80F2F"/>
    <w:rsid w:val="00D80F8A"/>
    <w:rsid w:val="00D8104F"/>
    <w:rsid w:val="00D82BBD"/>
    <w:rsid w:val="00D86603"/>
    <w:rsid w:val="00D86F61"/>
    <w:rsid w:val="00D87C03"/>
    <w:rsid w:val="00D87CDE"/>
    <w:rsid w:val="00D92474"/>
    <w:rsid w:val="00D97478"/>
    <w:rsid w:val="00DA0D0A"/>
    <w:rsid w:val="00DA292D"/>
    <w:rsid w:val="00DA571D"/>
    <w:rsid w:val="00DA5B4D"/>
    <w:rsid w:val="00DA6548"/>
    <w:rsid w:val="00DA7730"/>
    <w:rsid w:val="00DA7A33"/>
    <w:rsid w:val="00DA7B04"/>
    <w:rsid w:val="00DB00DA"/>
    <w:rsid w:val="00DB2073"/>
    <w:rsid w:val="00DB20C0"/>
    <w:rsid w:val="00DB2958"/>
    <w:rsid w:val="00DB45B9"/>
    <w:rsid w:val="00DB4863"/>
    <w:rsid w:val="00DB4E63"/>
    <w:rsid w:val="00DB58B5"/>
    <w:rsid w:val="00DB62E4"/>
    <w:rsid w:val="00DB64B0"/>
    <w:rsid w:val="00DB68A2"/>
    <w:rsid w:val="00DC0E44"/>
    <w:rsid w:val="00DC1CA5"/>
    <w:rsid w:val="00DC45EC"/>
    <w:rsid w:val="00DC5409"/>
    <w:rsid w:val="00DC55DA"/>
    <w:rsid w:val="00DC5853"/>
    <w:rsid w:val="00DC5B77"/>
    <w:rsid w:val="00DD1B59"/>
    <w:rsid w:val="00DD27E7"/>
    <w:rsid w:val="00DD2A90"/>
    <w:rsid w:val="00DD3644"/>
    <w:rsid w:val="00DD4C53"/>
    <w:rsid w:val="00DD6785"/>
    <w:rsid w:val="00DE045D"/>
    <w:rsid w:val="00DE0839"/>
    <w:rsid w:val="00DE0935"/>
    <w:rsid w:val="00DE1C21"/>
    <w:rsid w:val="00DE27DD"/>
    <w:rsid w:val="00DE2D2C"/>
    <w:rsid w:val="00DE40F5"/>
    <w:rsid w:val="00DE63EC"/>
    <w:rsid w:val="00DE7B09"/>
    <w:rsid w:val="00DF0086"/>
    <w:rsid w:val="00DF03AB"/>
    <w:rsid w:val="00DF14C7"/>
    <w:rsid w:val="00DF1553"/>
    <w:rsid w:val="00DF20E7"/>
    <w:rsid w:val="00DF59EA"/>
    <w:rsid w:val="00DF6EB2"/>
    <w:rsid w:val="00DF7A5B"/>
    <w:rsid w:val="00E007E7"/>
    <w:rsid w:val="00E00E44"/>
    <w:rsid w:val="00E01B03"/>
    <w:rsid w:val="00E03C62"/>
    <w:rsid w:val="00E03E39"/>
    <w:rsid w:val="00E040E8"/>
    <w:rsid w:val="00E06710"/>
    <w:rsid w:val="00E069E6"/>
    <w:rsid w:val="00E1145B"/>
    <w:rsid w:val="00E11C29"/>
    <w:rsid w:val="00E13077"/>
    <w:rsid w:val="00E15959"/>
    <w:rsid w:val="00E15D53"/>
    <w:rsid w:val="00E1634D"/>
    <w:rsid w:val="00E16761"/>
    <w:rsid w:val="00E16D7E"/>
    <w:rsid w:val="00E17279"/>
    <w:rsid w:val="00E17428"/>
    <w:rsid w:val="00E209D4"/>
    <w:rsid w:val="00E2106F"/>
    <w:rsid w:val="00E24708"/>
    <w:rsid w:val="00E2484B"/>
    <w:rsid w:val="00E25C61"/>
    <w:rsid w:val="00E268A6"/>
    <w:rsid w:val="00E26DB7"/>
    <w:rsid w:val="00E30FFD"/>
    <w:rsid w:val="00E353DB"/>
    <w:rsid w:val="00E40A2D"/>
    <w:rsid w:val="00E41129"/>
    <w:rsid w:val="00E41536"/>
    <w:rsid w:val="00E4356E"/>
    <w:rsid w:val="00E438A1"/>
    <w:rsid w:val="00E44014"/>
    <w:rsid w:val="00E44070"/>
    <w:rsid w:val="00E449D2"/>
    <w:rsid w:val="00E46C48"/>
    <w:rsid w:val="00E47BEA"/>
    <w:rsid w:val="00E47C91"/>
    <w:rsid w:val="00E5433A"/>
    <w:rsid w:val="00E54D58"/>
    <w:rsid w:val="00E55CD0"/>
    <w:rsid w:val="00E56500"/>
    <w:rsid w:val="00E619E8"/>
    <w:rsid w:val="00E61C39"/>
    <w:rsid w:val="00E66F1D"/>
    <w:rsid w:val="00E700F3"/>
    <w:rsid w:val="00E7062C"/>
    <w:rsid w:val="00E70735"/>
    <w:rsid w:val="00E710FC"/>
    <w:rsid w:val="00E71BD3"/>
    <w:rsid w:val="00E71F3D"/>
    <w:rsid w:val="00E72761"/>
    <w:rsid w:val="00E72D13"/>
    <w:rsid w:val="00E743D9"/>
    <w:rsid w:val="00E74700"/>
    <w:rsid w:val="00E75AC3"/>
    <w:rsid w:val="00E76356"/>
    <w:rsid w:val="00E76696"/>
    <w:rsid w:val="00E767A5"/>
    <w:rsid w:val="00E771CC"/>
    <w:rsid w:val="00E8070F"/>
    <w:rsid w:val="00E8156F"/>
    <w:rsid w:val="00E81C9A"/>
    <w:rsid w:val="00E81E59"/>
    <w:rsid w:val="00E834E3"/>
    <w:rsid w:val="00E85DB6"/>
    <w:rsid w:val="00E87050"/>
    <w:rsid w:val="00E940DE"/>
    <w:rsid w:val="00E96048"/>
    <w:rsid w:val="00E96C81"/>
    <w:rsid w:val="00E974E0"/>
    <w:rsid w:val="00EA0A02"/>
    <w:rsid w:val="00EA16B3"/>
    <w:rsid w:val="00EA1730"/>
    <w:rsid w:val="00EA2A7D"/>
    <w:rsid w:val="00EA4E8F"/>
    <w:rsid w:val="00EA7E2D"/>
    <w:rsid w:val="00EB031B"/>
    <w:rsid w:val="00EB075B"/>
    <w:rsid w:val="00EB1D2B"/>
    <w:rsid w:val="00EB275C"/>
    <w:rsid w:val="00EB334F"/>
    <w:rsid w:val="00EB7764"/>
    <w:rsid w:val="00EB79B3"/>
    <w:rsid w:val="00EC07B1"/>
    <w:rsid w:val="00EC1BFB"/>
    <w:rsid w:val="00EC2254"/>
    <w:rsid w:val="00EC4A7C"/>
    <w:rsid w:val="00EC57E2"/>
    <w:rsid w:val="00EC6BEA"/>
    <w:rsid w:val="00EC7655"/>
    <w:rsid w:val="00ED130A"/>
    <w:rsid w:val="00EE1792"/>
    <w:rsid w:val="00EE1F93"/>
    <w:rsid w:val="00EE2EDF"/>
    <w:rsid w:val="00EE3517"/>
    <w:rsid w:val="00EE63DA"/>
    <w:rsid w:val="00EE6C48"/>
    <w:rsid w:val="00EE7764"/>
    <w:rsid w:val="00EF025D"/>
    <w:rsid w:val="00EF02FD"/>
    <w:rsid w:val="00EF0892"/>
    <w:rsid w:val="00EF3080"/>
    <w:rsid w:val="00EF3DAB"/>
    <w:rsid w:val="00EF4437"/>
    <w:rsid w:val="00EF55A1"/>
    <w:rsid w:val="00EF5885"/>
    <w:rsid w:val="00EF711C"/>
    <w:rsid w:val="00F01D32"/>
    <w:rsid w:val="00F027B4"/>
    <w:rsid w:val="00F03D6D"/>
    <w:rsid w:val="00F0408F"/>
    <w:rsid w:val="00F05115"/>
    <w:rsid w:val="00F059E2"/>
    <w:rsid w:val="00F077B8"/>
    <w:rsid w:val="00F07B29"/>
    <w:rsid w:val="00F12DF4"/>
    <w:rsid w:val="00F132EB"/>
    <w:rsid w:val="00F13801"/>
    <w:rsid w:val="00F149F8"/>
    <w:rsid w:val="00F16625"/>
    <w:rsid w:val="00F2249B"/>
    <w:rsid w:val="00F23670"/>
    <w:rsid w:val="00F2405A"/>
    <w:rsid w:val="00F2521E"/>
    <w:rsid w:val="00F2524C"/>
    <w:rsid w:val="00F26069"/>
    <w:rsid w:val="00F27DE0"/>
    <w:rsid w:val="00F30E06"/>
    <w:rsid w:val="00F3375B"/>
    <w:rsid w:val="00F3397A"/>
    <w:rsid w:val="00F369A0"/>
    <w:rsid w:val="00F37C53"/>
    <w:rsid w:val="00F37FE7"/>
    <w:rsid w:val="00F40460"/>
    <w:rsid w:val="00F41196"/>
    <w:rsid w:val="00F413AA"/>
    <w:rsid w:val="00F43BB5"/>
    <w:rsid w:val="00F44367"/>
    <w:rsid w:val="00F46D42"/>
    <w:rsid w:val="00F50B9D"/>
    <w:rsid w:val="00F511B8"/>
    <w:rsid w:val="00F520CE"/>
    <w:rsid w:val="00F531BA"/>
    <w:rsid w:val="00F531D1"/>
    <w:rsid w:val="00F53A7F"/>
    <w:rsid w:val="00F55149"/>
    <w:rsid w:val="00F5584A"/>
    <w:rsid w:val="00F55C6A"/>
    <w:rsid w:val="00F5662E"/>
    <w:rsid w:val="00F57082"/>
    <w:rsid w:val="00F600B9"/>
    <w:rsid w:val="00F614C8"/>
    <w:rsid w:val="00F63EC1"/>
    <w:rsid w:val="00F64003"/>
    <w:rsid w:val="00F65388"/>
    <w:rsid w:val="00F67A43"/>
    <w:rsid w:val="00F67B2E"/>
    <w:rsid w:val="00F71BCC"/>
    <w:rsid w:val="00F71E31"/>
    <w:rsid w:val="00F71F35"/>
    <w:rsid w:val="00F73AF0"/>
    <w:rsid w:val="00F73EFB"/>
    <w:rsid w:val="00F7461A"/>
    <w:rsid w:val="00F74A55"/>
    <w:rsid w:val="00F74A90"/>
    <w:rsid w:val="00F75079"/>
    <w:rsid w:val="00F753A2"/>
    <w:rsid w:val="00F75843"/>
    <w:rsid w:val="00F82CAC"/>
    <w:rsid w:val="00F8436B"/>
    <w:rsid w:val="00F84BE8"/>
    <w:rsid w:val="00F85050"/>
    <w:rsid w:val="00F86339"/>
    <w:rsid w:val="00F87A92"/>
    <w:rsid w:val="00F90E1E"/>
    <w:rsid w:val="00F917C4"/>
    <w:rsid w:val="00F9335A"/>
    <w:rsid w:val="00F93F0A"/>
    <w:rsid w:val="00F96F90"/>
    <w:rsid w:val="00F974E8"/>
    <w:rsid w:val="00F97CF7"/>
    <w:rsid w:val="00FA01AF"/>
    <w:rsid w:val="00FA08CB"/>
    <w:rsid w:val="00FA16F6"/>
    <w:rsid w:val="00FA2968"/>
    <w:rsid w:val="00FA2A9D"/>
    <w:rsid w:val="00FA3183"/>
    <w:rsid w:val="00FA6109"/>
    <w:rsid w:val="00FA7F63"/>
    <w:rsid w:val="00FB000B"/>
    <w:rsid w:val="00FB0E57"/>
    <w:rsid w:val="00FB2E1F"/>
    <w:rsid w:val="00FB3912"/>
    <w:rsid w:val="00FB570F"/>
    <w:rsid w:val="00FB5CF0"/>
    <w:rsid w:val="00FC13DE"/>
    <w:rsid w:val="00FC20C9"/>
    <w:rsid w:val="00FC7B91"/>
    <w:rsid w:val="00FD075C"/>
    <w:rsid w:val="00FD0F06"/>
    <w:rsid w:val="00FD1FB8"/>
    <w:rsid w:val="00FD20D0"/>
    <w:rsid w:val="00FD2E9E"/>
    <w:rsid w:val="00FD3D1D"/>
    <w:rsid w:val="00FD63F6"/>
    <w:rsid w:val="00FD7484"/>
    <w:rsid w:val="00FD7CAA"/>
    <w:rsid w:val="00FE026F"/>
    <w:rsid w:val="00FE20CD"/>
    <w:rsid w:val="00FE4629"/>
    <w:rsid w:val="00FE4A54"/>
    <w:rsid w:val="00FE4DC4"/>
    <w:rsid w:val="00FE5010"/>
    <w:rsid w:val="00FE52A1"/>
    <w:rsid w:val="00FE593F"/>
    <w:rsid w:val="00FE5E1C"/>
    <w:rsid w:val="00FE626C"/>
    <w:rsid w:val="00FE6F82"/>
    <w:rsid w:val="00FF2DF9"/>
    <w:rsid w:val="00FF2FA6"/>
    <w:rsid w:val="00FF2FD0"/>
    <w:rsid w:val="00FF3B69"/>
    <w:rsid w:val="00FF5405"/>
    <w:rsid w:val="00FF6867"/>
    <w:rsid w:val="00FF7B7F"/>
    <w:rsid w:val="00FF7C60"/>
    <w:rsid w:val="00FF7EB2"/>
    <w:rsid w:val="00FF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07FDE167"/>
  <w15:chartTrackingRefBased/>
  <w15:docId w15:val="{E4D10BE5-DE19-4947-9AC3-F989F2977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BB4"/>
    <w:pPr>
      <w:autoSpaceDE w:val="0"/>
      <w:autoSpaceDN w:val="0"/>
      <w:adjustRightInd w:val="0"/>
      <w:spacing w:after="120" w:line="240" w:lineRule="atLeast"/>
      <w:jc w:val="both"/>
    </w:pPr>
    <w:rPr>
      <w:sz w:val="24"/>
      <w:szCs w:val="24"/>
      <w:lang w:val="en-AU" w:eastAsia="en-AU"/>
    </w:rPr>
  </w:style>
  <w:style w:type="paragraph" w:styleId="Heading1">
    <w:name w:val="heading 1"/>
    <w:basedOn w:val="Heading4"/>
    <w:next w:val="Normal"/>
    <w:link w:val="Heading1Char"/>
    <w:qFormat/>
    <w:rsid w:val="00CF5759"/>
    <w:pPr>
      <w:keepLines/>
      <w:numPr>
        <w:ilvl w:val="0"/>
      </w:numPr>
      <w:tabs>
        <w:tab w:val="right" w:pos="9073"/>
      </w:tabs>
      <w:outlineLvl w:val="0"/>
    </w:pPr>
    <w:rPr>
      <w:b/>
      <w:bCs/>
      <w:sz w:val="30"/>
      <w:lang w:eastAsia="en-US"/>
    </w:rPr>
  </w:style>
  <w:style w:type="paragraph" w:styleId="Heading2">
    <w:name w:val="heading 2"/>
    <w:basedOn w:val="ListParagraph"/>
    <w:link w:val="Heading2Char"/>
    <w:qFormat/>
    <w:rsid w:val="00466928"/>
    <w:pPr>
      <w:keepNext/>
      <w:numPr>
        <w:ilvl w:val="1"/>
        <w:numId w:val="6"/>
      </w:numPr>
      <w:outlineLvl w:val="1"/>
    </w:pPr>
    <w:rPr>
      <w:rFonts w:ascii="Times New Roman" w:hAnsi="Times New Roman" w:cs="Times New Roman"/>
      <w:b/>
      <w:sz w:val="24"/>
      <w:szCs w:val="24"/>
      <w:u w:val="single"/>
      <w:lang w:val="en-US"/>
    </w:rPr>
  </w:style>
  <w:style w:type="paragraph" w:styleId="Heading3">
    <w:name w:val="heading 3"/>
    <w:basedOn w:val="Heading2"/>
    <w:next w:val="Normal"/>
    <w:link w:val="Heading3Char"/>
    <w:unhideWhenUsed/>
    <w:qFormat/>
    <w:rsid w:val="00487519"/>
    <w:pPr>
      <w:numPr>
        <w:ilvl w:val="2"/>
      </w:numPr>
      <w:outlineLvl w:val="2"/>
    </w:pPr>
    <w:rPr>
      <w:u w:val="none"/>
    </w:rPr>
  </w:style>
  <w:style w:type="paragraph" w:styleId="Heading4">
    <w:name w:val="heading 4"/>
    <w:aliases w:val="Heading 4 Char1,Heading 4 Char Char"/>
    <w:basedOn w:val="ListParagraph"/>
    <w:next w:val="Normal"/>
    <w:link w:val="Heading4Char"/>
    <w:unhideWhenUsed/>
    <w:qFormat/>
    <w:rsid w:val="00487519"/>
    <w:pPr>
      <w:numPr>
        <w:ilvl w:val="3"/>
        <w:numId w:val="6"/>
      </w:numPr>
      <w:outlineLvl w:val="3"/>
    </w:pPr>
    <w:rPr>
      <w:rFonts w:ascii="Times New Roman" w:hAnsi="Times New Roman" w:cs="Times New Roman"/>
      <w:sz w:val="24"/>
      <w:szCs w:val="24"/>
      <w:u w:val="single"/>
    </w:rPr>
  </w:style>
  <w:style w:type="paragraph" w:styleId="Heading5">
    <w:name w:val="heading 5"/>
    <w:basedOn w:val="Normal"/>
    <w:next w:val="Normal"/>
    <w:link w:val="Heading5Char"/>
    <w:unhideWhenUsed/>
    <w:qFormat/>
    <w:rsid w:val="001E3B9A"/>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B25C5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qFormat/>
    <w:rsid w:val="00A454BA"/>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qFormat/>
    <w:rsid w:val="007500D4"/>
    <w:pPr>
      <w:keepNext/>
      <w:keepLines/>
      <w:numPr>
        <w:ilvl w:val="7"/>
        <w:numId w:val="6"/>
      </w:numPr>
      <w:spacing w:before="40" w:after="0"/>
      <w:ind w:left="1440" w:hanging="432"/>
      <w:outlineLvl w:val="7"/>
    </w:pPr>
    <w:rPr>
      <w:rFonts w:ascii="Cambria" w:eastAsia="SimSun" w:hAnsi="Cambria"/>
      <w:color w:val="272727"/>
      <w:sz w:val="21"/>
      <w:szCs w:val="21"/>
    </w:rPr>
  </w:style>
  <w:style w:type="paragraph" w:styleId="Heading9">
    <w:name w:val="heading 9"/>
    <w:basedOn w:val="Normal"/>
    <w:next w:val="Normal"/>
    <w:link w:val="Heading9Char"/>
    <w:qFormat/>
    <w:rsid w:val="007500D4"/>
    <w:pPr>
      <w:keepNext/>
      <w:keepLines/>
      <w:numPr>
        <w:ilvl w:val="8"/>
        <w:numId w:val="6"/>
      </w:numPr>
      <w:spacing w:before="40" w:after="0"/>
      <w:ind w:left="1584" w:hanging="144"/>
      <w:outlineLvl w:val="8"/>
    </w:pPr>
    <w:rPr>
      <w:rFonts w:ascii="Cambria" w:eastAsia="SimSun"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eading 4 Char1 Char,Heading 4 Char Char Char"/>
    <w:link w:val="Heading4"/>
    <w:rsid w:val="00487519"/>
    <w:rPr>
      <w:sz w:val="24"/>
      <w:szCs w:val="24"/>
      <w:u w:val="single"/>
      <w:lang w:val="en-AU" w:eastAsia="en-AU"/>
    </w:rPr>
  </w:style>
  <w:style w:type="character" w:customStyle="1" w:styleId="Heading1Char">
    <w:name w:val="Heading 1 Char"/>
    <w:link w:val="Heading1"/>
    <w:rsid w:val="00CF5759"/>
    <w:rPr>
      <w:b/>
      <w:bCs/>
      <w:sz w:val="30"/>
      <w:szCs w:val="24"/>
      <w:u w:val="single"/>
      <w:lang w:val="en-AU"/>
    </w:rPr>
  </w:style>
  <w:style w:type="paragraph" w:styleId="ListParagraph">
    <w:name w:val="List Paragraph"/>
    <w:basedOn w:val="Normal"/>
    <w:uiPriority w:val="34"/>
    <w:qFormat/>
    <w:rsid w:val="00A70A0A"/>
    <w:rPr>
      <w:rFonts w:ascii="Arial" w:hAnsi="Arial" w:cs="Arial"/>
      <w:sz w:val="22"/>
      <w:szCs w:val="22"/>
    </w:rPr>
  </w:style>
  <w:style w:type="character" w:customStyle="1" w:styleId="Heading2Char">
    <w:name w:val="Heading 2 Char"/>
    <w:link w:val="Heading2"/>
    <w:rsid w:val="00466928"/>
    <w:rPr>
      <w:b/>
      <w:sz w:val="24"/>
      <w:szCs w:val="24"/>
      <w:u w:val="single"/>
      <w:lang w:eastAsia="en-AU"/>
    </w:rPr>
  </w:style>
  <w:style w:type="character" w:customStyle="1" w:styleId="Heading3Char">
    <w:name w:val="Heading 3 Char"/>
    <w:link w:val="Heading3"/>
    <w:rsid w:val="00487519"/>
    <w:rPr>
      <w:b/>
      <w:sz w:val="24"/>
      <w:szCs w:val="24"/>
      <w:lang w:eastAsia="en-AU"/>
    </w:rPr>
  </w:style>
  <w:style w:type="character" w:customStyle="1" w:styleId="Heading5Char">
    <w:name w:val="Heading 5 Char"/>
    <w:link w:val="Heading5"/>
    <w:rsid w:val="001E3B9A"/>
    <w:rPr>
      <w:rFonts w:ascii="Calibri" w:hAnsi="Calibri"/>
      <w:b/>
      <w:bCs/>
      <w:i/>
      <w:iCs/>
      <w:sz w:val="26"/>
      <w:szCs w:val="26"/>
      <w:lang w:val="en-AU" w:eastAsia="en-AU"/>
    </w:rPr>
  </w:style>
  <w:style w:type="table" w:styleId="TableGrid">
    <w:name w:val="Table Grid"/>
    <w:basedOn w:val="TableNormal"/>
    <w:uiPriority w:val="59"/>
    <w:rsid w:val="005D1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D14FF"/>
    <w:pPr>
      <w:tabs>
        <w:tab w:val="center" w:pos="4153"/>
        <w:tab w:val="right" w:pos="8306"/>
      </w:tabs>
    </w:pPr>
  </w:style>
  <w:style w:type="paragraph" w:styleId="Footer">
    <w:name w:val="footer"/>
    <w:basedOn w:val="Normal"/>
    <w:rsid w:val="005D14FF"/>
    <w:pPr>
      <w:tabs>
        <w:tab w:val="center" w:pos="4153"/>
        <w:tab w:val="right" w:pos="8306"/>
      </w:tabs>
    </w:pPr>
  </w:style>
  <w:style w:type="character" w:styleId="PageNumber">
    <w:name w:val="page number"/>
    <w:basedOn w:val="DefaultParagraphFont"/>
    <w:rsid w:val="005D14FF"/>
  </w:style>
  <w:style w:type="paragraph" w:customStyle="1" w:styleId="lefthead">
    <w:name w:val="left head"/>
    <w:basedOn w:val="Normal"/>
    <w:next w:val="Normal"/>
    <w:rsid w:val="006E37C3"/>
    <w:pPr>
      <w:keepNext/>
      <w:spacing w:after="240"/>
    </w:pPr>
    <w:rPr>
      <w:rFonts w:ascii="Arial" w:hAnsi="Arial"/>
      <w:b/>
      <w:sz w:val="28"/>
      <w:lang w:val="en-GB" w:eastAsia="en-US"/>
    </w:rPr>
  </w:style>
  <w:style w:type="paragraph" w:styleId="NormalWeb">
    <w:name w:val="Normal (Web)"/>
    <w:basedOn w:val="Normal"/>
    <w:uiPriority w:val="99"/>
    <w:unhideWhenUsed/>
    <w:rsid w:val="001E3B9A"/>
    <w:pPr>
      <w:spacing w:before="100" w:beforeAutospacing="1" w:after="100" w:afterAutospacing="1"/>
    </w:pPr>
  </w:style>
  <w:style w:type="character" w:styleId="HTMLTypewriter">
    <w:name w:val="HTML Typewriter"/>
    <w:semiHidden/>
    <w:unhideWhenUsed/>
    <w:rsid w:val="003A21A0"/>
    <w:rPr>
      <w:rFonts w:ascii="Courier New" w:eastAsia="Calibri" w:hAnsi="Courier New" w:cs="Courier New" w:hint="default"/>
      <w:sz w:val="20"/>
      <w:szCs w:val="20"/>
    </w:rPr>
  </w:style>
  <w:style w:type="character" w:styleId="CommentReference">
    <w:name w:val="annotation reference"/>
    <w:uiPriority w:val="99"/>
    <w:unhideWhenUsed/>
    <w:rsid w:val="00236E6E"/>
    <w:rPr>
      <w:sz w:val="16"/>
      <w:szCs w:val="16"/>
    </w:rPr>
  </w:style>
  <w:style w:type="paragraph" w:styleId="CommentText">
    <w:name w:val="annotation text"/>
    <w:aliases w:val="Comment Text Char1 Char,Comment Text Char Char Char,Comment Text Char1"/>
    <w:basedOn w:val="Normal"/>
    <w:link w:val="CommentTextChar"/>
    <w:unhideWhenUsed/>
    <w:rsid w:val="00236E6E"/>
  </w:style>
  <w:style w:type="character" w:customStyle="1" w:styleId="CommentTextChar">
    <w:name w:val="Comment Text Char"/>
    <w:aliases w:val="Comment Text Char1 Char Char,Comment Text Char Char Char Char,Comment Text Char1 Char1"/>
    <w:basedOn w:val="DefaultParagraphFont"/>
    <w:link w:val="CommentText"/>
    <w:rsid w:val="00236E6E"/>
  </w:style>
  <w:style w:type="paragraph" w:styleId="CommentSubject">
    <w:name w:val="annotation subject"/>
    <w:basedOn w:val="CommentText"/>
    <w:next w:val="CommentText"/>
    <w:link w:val="CommentSubjectChar"/>
    <w:uiPriority w:val="99"/>
    <w:semiHidden/>
    <w:unhideWhenUsed/>
    <w:rsid w:val="00236E6E"/>
    <w:rPr>
      <w:b/>
      <w:bCs/>
    </w:rPr>
  </w:style>
  <w:style w:type="character" w:customStyle="1" w:styleId="CommentSubjectChar">
    <w:name w:val="Comment Subject Char"/>
    <w:link w:val="CommentSubject"/>
    <w:uiPriority w:val="99"/>
    <w:semiHidden/>
    <w:rsid w:val="00236E6E"/>
    <w:rPr>
      <w:b/>
      <w:bCs/>
    </w:rPr>
  </w:style>
  <w:style w:type="paragraph" w:styleId="BalloonText">
    <w:name w:val="Balloon Text"/>
    <w:basedOn w:val="Normal"/>
    <w:link w:val="BalloonTextChar"/>
    <w:uiPriority w:val="99"/>
    <w:semiHidden/>
    <w:unhideWhenUsed/>
    <w:rsid w:val="00236E6E"/>
    <w:rPr>
      <w:rFonts w:ascii="Tahoma" w:hAnsi="Tahoma" w:cs="Tahoma"/>
      <w:sz w:val="16"/>
      <w:szCs w:val="16"/>
    </w:rPr>
  </w:style>
  <w:style w:type="character" w:customStyle="1" w:styleId="BalloonTextChar">
    <w:name w:val="Balloon Text Char"/>
    <w:link w:val="BalloonText"/>
    <w:uiPriority w:val="99"/>
    <w:semiHidden/>
    <w:rsid w:val="00236E6E"/>
    <w:rPr>
      <w:rFonts w:ascii="Tahoma" w:hAnsi="Tahoma" w:cs="Tahoma"/>
      <w:sz w:val="16"/>
      <w:szCs w:val="16"/>
    </w:rPr>
  </w:style>
  <w:style w:type="paragraph" w:customStyle="1" w:styleId="NoNumHead5">
    <w:name w:val="NoNum:Head5"/>
    <w:basedOn w:val="Normal"/>
    <w:next w:val="Normal"/>
    <w:rsid w:val="00236E6E"/>
    <w:pPr>
      <w:keepNext/>
      <w:spacing w:after="240"/>
      <w:outlineLvl w:val="0"/>
    </w:pPr>
    <w:rPr>
      <w:rFonts w:ascii="Arial" w:hAnsi="Arial"/>
      <w:b/>
      <w:i/>
      <w:sz w:val="22"/>
      <w:lang w:val="en-GB" w:eastAsia="en-GB"/>
    </w:rPr>
  </w:style>
  <w:style w:type="paragraph" w:customStyle="1" w:styleId="listbull">
    <w:name w:val="list:bull"/>
    <w:basedOn w:val="Normal"/>
    <w:link w:val="listbullChar"/>
    <w:rsid w:val="00E8156F"/>
    <w:pPr>
      <w:numPr>
        <w:numId w:val="1"/>
      </w:numPr>
      <w:tabs>
        <w:tab w:val="clear" w:pos="432"/>
      </w:tabs>
    </w:pPr>
    <w:rPr>
      <w:lang w:val="en-GB" w:eastAsia="en-GB"/>
    </w:rPr>
  </w:style>
  <w:style w:type="character" w:customStyle="1" w:styleId="listbullChar">
    <w:name w:val="list:bull Char"/>
    <w:link w:val="listbull"/>
    <w:rsid w:val="00E8156F"/>
    <w:rPr>
      <w:sz w:val="24"/>
      <w:szCs w:val="24"/>
      <w:lang w:val="en-GB" w:eastAsia="en-GB"/>
    </w:rPr>
  </w:style>
  <w:style w:type="paragraph" w:customStyle="1" w:styleId="NoNumHead2">
    <w:name w:val="NoNum:Head2"/>
    <w:basedOn w:val="Normal"/>
    <w:next w:val="Normal"/>
    <w:link w:val="NoNumHead2Char"/>
    <w:rsid w:val="00E8156F"/>
    <w:pPr>
      <w:keepNext/>
      <w:spacing w:before="120" w:after="240"/>
      <w:outlineLvl w:val="0"/>
    </w:pPr>
    <w:rPr>
      <w:rFonts w:ascii="Arial" w:hAnsi="Arial"/>
      <w:b/>
      <w:sz w:val="26"/>
      <w:lang w:val="en-GB" w:eastAsia="en-GB"/>
    </w:rPr>
  </w:style>
  <w:style w:type="character" w:customStyle="1" w:styleId="NoNumHead2Char">
    <w:name w:val="NoNum:Head2 Char"/>
    <w:link w:val="NoNumHead2"/>
    <w:rsid w:val="00912DB9"/>
    <w:rPr>
      <w:rFonts w:ascii="Arial" w:hAnsi="Arial"/>
      <w:b/>
      <w:sz w:val="26"/>
      <w:lang w:val="en-GB" w:eastAsia="en-GB"/>
    </w:rPr>
  </w:style>
  <w:style w:type="paragraph" w:customStyle="1" w:styleId="Default">
    <w:name w:val="Default"/>
    <w:rsid w:val="00517A18"/>
    <w:pPr>
      <w:autoSpaceDE w:val="0"/>
      <w:autoSpaceDN w:val="0"/>
      <w:adjustRightInd w:val="0"/>
    </w:pPr>
    <w:rPr>
      <w:color w:val="000000"/>
      <w:sz w:val="24"/>
      <w:szCs w:val="24"/>
    </w:rPr>
  </w:style>
  <w:style w:type="paragraph" w:styleId="Caption">
    <w:name w:val="caption"/>
    <w:basedOn w:val="Normal"/>
    <w:next w:val="Normal"/>
    <w:link w:val="CaptionChar"/>
    <w:qFormat/>
    <w:rsid w:val="007F4FDA"/>
    <w:pPr>
      <w:autoSpaceDE/>
      <w:autoSpaceDN/>
      <w:adjustRightInd/>
      <w:spacing w:before="120"/>
    </w:pPr>
    <w:rPr>
      <w:b/>
      <w:sz w:val="34"/>
      <w:szCs w:val="34"/>
      <w:lang w:val="en-GB" w:eastAsia="en-GB"/>
    </w:rPr>
  </w:style>
  <w:style w:type="character" w:customStyle="1" w:styleId="CaptionChar">
    <w:name w:val="Caption Char"/>
    <w:link w:val="Caption"/>
    <w:rsid w:val="007F4FDA"/>
    <w:rPr>
      <w:b/>
      <w:sz w:val="34"/>
      <w:szCs w:val="34"/>
      <w:lang w:val="en-GB" w:eastAsia="en-GB"/>
    </w:rPr>
  </w:style>
  <w:style w:type="paragraph" w:customStyle="1" w:styleId="NoNumHead4">
    <w:name w:val="NoNum:Head4"/>
    <w:basedOn w:val="Normal"/>
    <w:next w:val="Normal"/>
    <w:rsid w:val="00C43BEA"/>
    <w:pPr>
      <w:keepNext/>
      <w:spacing w:before="120" w:after="240"/>
      <w:outlineLvl w:val="0"/>
    </w:pPr>
    <w:rPr>
      <w:rFonts w:ascii="Arial" w:hAnsi="Arial"/>
      <w:b/>
      <w:sz w:val="22"/>
      <w:lang w:val="en-GB" w:eastAsia="en-GB"/>
    </w:rPr>
  </w:style>
  <w:style w:type="paragraph" w:customStyle="1" w:styleId="tabletextNS">
    <w:name w:val="table:textNS"/>
    <w:basedOn w:val="Normal"/>
    <w:link w:val="tabletextNSChar"/>
    <w:rsid w:val="00C43BEA"/>
    <w:rPr>
      <w:rFonts w:ascii="Arial Narrow" w:hAnsi="Arial Narrow"/>
      <w:lang w:val="en-GB" w:eastAsia="en-GB"/>
    </w:rPr>
  </w:style>
  <w:style w:type="character" w:customStyle="1" w:styleId="tabletextNSChar">
    <w:name w:val="table:textNS Char"/>
    <w:link w:val="tabletextNS"/>
    <w:rsid w:val="00C43BEA"/>
    <w:rPr>
      <w:rFonts w:ascii="Arial Narrow" w:hAnsi="Arial Narrow"/>
      <w:sz w:val="24"/>
      <w:szCs w:val="24"/>
      <w:lang w:val="en-GB" w:eastAsia="en-GB"/>
    </w:rPr>
  </w:style>
  <w:style w:type="paragraph" w:customStyle="1" w:styleId="NoNumHead3">
    <w:name w:val="NoNum:Head3"/>
    <w:basedOn w:val="NoNumHead2"/>
    <w:next w:val="Normal"/>
    <w:rsid w:val="001D275A"/>
    <w:rPr>
      <w:sz w:val="24"/>
    </w:rPr>
  </w:style>
  <w:style w:type="paragraph" w:customStyle="1" w:styleId="captiontable">
    <w:name w:val="caption:table"/>
    <w:basedOn w:val="Normal"/>
    <w:next w:val="Normal"/>
    <w:link w:val="captiontableChar"/>
    <w:rsid w:val="00785641"/>
    <w:pPr>
      <w:keepNext/>
      <w:spacing w:after="240"/>
      <w:ind w:left="1440" w:hanging="1440"/>
    </w:pPr>
    <w:rPr>
      <w:rFonts w:ascii="Arial" w:hAnsi="Arial"/>
      <w:b/>
      <w:sz w:val="22"/>
      <w:lang w:val="en-GB" w:eastAsia="en-GB"/>
    </w:rPr>
  </w:style>
  <w:style w:type="character" w:customStyle="1" w:styleId="captiontableChar">
    <w:name w:val="caption:table Char"/>
    <w:link w:val="captiontable"/>
    <w:locked/>
    <w:rsid w:val="00785641"/>
    <w:rPr>
      <w:rFonts w:ascii="Arial" w:hAnsi="Arial"/>
      <w:b/>
      <w:sz w:val="22"/>
      <w:lang w:val="en-GB" w:eastAsia="en-GB"/>
    </w:rPr>
  </w:style>
  <w:style w:type="character" w:customStyle="1" w:styleId="tabletextNSChar1">
    <w:name w:val="table:textNS Char1"/>
    <w:locked/>
    <w:rsid w:val="009602E1"/>
    <w:rPr>
      <w:rFonts w:ascii="Arial Narrow" w:hAnsi="Arial Narrow"/>
      <w:sz w:val="24"/>
      <w:lang w:val="en-GB"/>
    </w:rPr>
  </w:style>
  <w:style w:type="paragraph" w:styleId="Revision">
    <w:name w:val="Revision"/>
    <w:hidden/>
    <w:uiPriority w:val="99"/>
    <w:semiHidden/>
    <w:rsid w:val="005D5DF9"/>
    <w:rPr>
      <w:lang w:val="en-AU" w:eastAsia="en-AU"/>
    </w:rPr>
  </w:style>
  <w:style w:type="character" w:styleId="FollowedHyperlink">
    <w:name w:val="FollowedHyperlink"/>
    <w:unhideWhenUsed/>
    <w:rsid w:val="00A70A0A"/>
    <w:rPr>
      <w:color w:val="800080"/>
      <w:u w:val="single"/>
    </w:rPr>
  </w:style>
  <w:style w:type="paragraph" w:styleId="Title">
    <w:name w:val="Title"/>
    <w:basedOn w:val="Normal"/>
    <w:next w:val="Normal"/>
    <w:link w:val="TitleChar"/>
    <w:qFormat/>
    <w:rsid w:val="00735A23"/>
    <w:pPr>
      <w:spacing w:after="0" w:line="240" w:lineRule="auto"/>
    </w:pPr>
    <w:rPr>
      <w:rFonts w:ascii="Arial" w:hAnsi="Arial" w:cs="Arial"/>
      <w:b/>
      <w:sz w:val="22"/>
      <w:szCs w:val="22"/>
    </w:rPr>
  </w:style>
  <w:style w:type="character" w:customStyle="1" w:styleId="TitleChar">
    <w:name w:val="Title Char"/>
    <w:link w:val="Title"/>
    <w:uiPriority w:val="10"/>
    <w:rsid w:val="00735A23"/>
    <w:rPr>
      <w:rFonts w:ascii="Arial" w:hAnsi="Arial" w:cs="Arial"/>
      <w:b/>
      <w:sz w:val="22"/>
      <w:szCs w:val="22"/>
      <w:lang w:val="en-AU" w:eastAsia="en-AU"/>
    </w:rPr>
  </w:style>
  <w:style w:type="paragraph" w:styleId="TOC8">
    <w:name w:val="toc 8"/>
    <w:basedOn w:val="TOC3"/>
    <w:next w:val="Normal"/>
    <w:autoRedefine/>
    <w:semiHidden/>
    <w:rsid w:val="00697EF8"/>
    <w:pPr>
      <w:tabs>
        <w:tab w:val="left" w:pos="2088"/>
        <w:tab w:val="right" w:leader="dot" w:pos="8637"/>
      </w:tabs>
      <w:spacing w:after="0"/>
      <w:ind w:left="2088" w:right="850" w:hanging="936"/>
    </w:pPr>
    <w:rPr>
      <w:rFonts w:ascii="Arial" w:hAnsi="Arial" w:cs="Arial"/>
      <w:sz w:val="22"/>
      <w:szCs w:val="22"/>
      <w:lang w:val="en-GB" w:eastAsia="en-US"/>
    </w:rPr>
  </w:style>
  <w:style w:type="paragraph" w:customStyle="1" w:styleId="tabletext">
    <w:name w:val="table:text"/>
    <w:basedOn w:val="Normal"/>
    <w:link w:val="tabletextChar"/>
    <w:rsid w:val="00697EF8"/>
    <w:pPr>
      <w:spacing w:before="120"/>
    </w:pPr>
    <w:rPr>
      <w:rFonts w:ascii="Arial Narrow" w:hAnsi="Arial Narrow"/>
      <w:lang w:val="en-GB" w:eastAsia="en-GB"/>
    </w:rPr>
  </w:style>
  <w:style w:type="paragraph" w:styleId="TOC3">
    <w:name w:val="toc 3"/>
    <w:basedOn w:val="Normal"/>
    <w:next w:val="Normal"/>
    <w:autoRedefine/>
    <w:uiPriority w:val="39"/>
    <w:unhideWhenUsed/>
    <w:rsid w:val="00697EF8"/>
    <w:pPr>
      <w:spacing w:after="100"/>
      <w:ind w:left="400"/>
    </w:pPr>
  </w:style>
  <w:style w:type="character" w:customStyle="1" w:styleId="CSIchar">
    <w:name w:val="CSIchar"/>
    <w:rsid w:val="00330944"/>
    <w:rPr>
      <w:shd w:val="clear" w:color="auto" w:fill="CCCCCC"/>
    </w:rPr>
  </w:style>
  <w:style w:type="character" w:customStyle="1" w:styleId="CSI">
    <w:name w:val="CSI"/>
    <w:uiPriority w:val="1"/>
    <w:qFormat/>
    <w:rsid w:val="008155EF"/>
    <w:rPr>
      <w:bdr w:val="none" w:sz="0" w:space="0" w:color="auto"/>
      <w:shd w:val="clear" w:color="auto" w:fill="BFBFBF"/>
    </w:rPr>
  </w:style>
  <w:style w:type="character" w:customStyle="1" w:styleId="tabletextChar">
    <w:name w:val="table:text Char"/>
    <w:link w:val="tabletext"/>
    <w:rsid w:val="00DE1C21"/>
    <w:rPr>
      <w:rFonts w:ascii="Arial Narrow" w:hAnsi="Arial Narrow"/>
      <w:sz w:val="24"/>
      <w:szCs w:val="24"/>
      <w:lang w:val="en-GB" w:eastAsia="en-GB"/>
    </w:rPr>
  </w:style>
  <w:style w:type="paragraph" w:customStyle="1" w:styleId="Heading51">
    <w:name w:val="Heading 51"/>
    <w:basedOn w:val="Normal"/>
    <w:link w:val="heading5Char0"/>
    <w:qFormat/>
    <w:rsid w:val="009347F6"/>
    <w:pPr>
      <w:autoSpaceDE/>
      <w:autoSpaceDN/>
      <w:adjustRightInd/>
      <w:spacing w:after="0" w:line="240" w:lineRule="auto"/>
    </w:pPr>
    <w:rPr>
      <w:u w:val="single"/>
      <w:lang w:val="en-US"/>
    </w:rPr>
  </w:style>
  <w:style w:type="character" w:customStyle="1" w:styleId="heading5Char0">
    <w:name w:val="heading 5 Char"/>
    <w:link w:val="Heading51"/>
    <w:rsid w:val="009347F6"/>
    <w:rPr>
      <w:sz w:val="24"/>
      <w:szCs w:val="24"/>
      <w:u w:val="single"/>
      <w:lang w:eastAsia="en-AU"/>
    </w:rPr>
  </w:style>
  <w:style w:type="character" w:customStyle="1" w:styleId="HeaderChar">
    <w:name w:val="Header Char"/>
    <w:link w:val="Header"/>
    <w:rsid w:val="009347F6"/>
    <w:rPr>
      <w:sz w:val="24"/>
      <w:szCs w:val="24"/>
      <w:lang w:val="en-AU" w:eastAsia="en-AU"/>
    </w:rPr>
  </w:style>
  <w:style w:type="paragraph" w:customStyle="1" w:styleId="Text">
    <w:name w:val="Text"/>
    <w:aliases w:val="Graphic,Graphic Char Char,Graphic Char Char Char Char Char,Graphic Char Char Char Char Char Char Char C,notic,Text_10394,non tochic,Italic,graphics"/>
    <w:basedOn w:val="Normal"/>
    <w:link w:val="TextChar"/>
    <w:qFormat/>
    <w:rsid w:val="009347F6"/>
    <w:pPr>
      <w:autoSpaceDE/>
      <w:autoSpaceDN/>
      <w:adjustRightInd/>
      <w:spacing w:before="120" w:after="0" w:line="240" w:lineRule="auto"/>
    </w:pPr>
    <w:rPr>
      <w:rFonts w:eastAsia="MS Mincho"/>
      <w:szCs w:val="20"/>
      <w:lang w:val="en-US" w:eastAsia="zh-CN"/>
    </w:rPr>
  </w:style>
  <w:style w:type="character" w:customStyle="1" w:styleId="TextChar">
    <w:name w:val="Text Char"/>
    <w:aliases w:val="Graphic Char"/>
    <w:link w:val="Text"/>
    <w:rsid w:val="009347F6"/>
    <w:rPr>
      <w:rFonts w:eastAsia="MS Mincho"/>
      <w:sz w:val="24"/>
      <w:lang w:eastAsia="zh-CN"/>
    </w:rPr>
  </w:style>
  <w:style w:type="character" w:customStyle="1" w:styleId="Heading6Char">
    <w:name w:val="Heading 6 Char"/>
    <w:basedOn w:val="DefaultParagraphFont"/>
    <w:link w:val="Heading6"/>
    <w:rsid w:val="00B25C5B"/>
    <w:rPr>
      <w:rFonts w:asciiTheme="majorHAnsi" w:eastAsiaTheme="majorEastAsia" w:hAnsiTheme="majorHAnsi" w:cstheme="majorBidi"/>
      <w:color w:val="1F4D78" w:themeColor="accent1" w:themeShade="7F"/>
      <w:sz w:val="24"/>
      <w:szCs w:val="24"/>
      <w:lang w:val="en-AU" w:eastAsia="en-AU"/>
    </w:rPr>
  </w:style>
  <w:style w:type="character" w:customStyle="1" w:styleId="Heading7Char">
    <w:name w:val="Heading 7 Char"/>
    <w:basedOn w:val="DefaultParagraphFont"/>
    <w:link w:val="Heading7"/>
    <w:rsid w:val="00A454BA"/>
    <w:rPr>
      <w:rFonts w:asciiTheme="majorHAnsi" w:eastAsiaTheme="majorEastAsia" w:hAnsiTheme="majorHAnsi" w:cstheme="majorBidi"/>
      <w:i/>
      <w:iCs/>
      <w:color w:val="1F4D78" w:themeColor="accent1" w:themeShade="7F"/>
      <w:sz w:val="24"/>
      <w:szCs w:val="24"/>
      <w:lang w:val="en-AU" w:eastAsia="en-AU"/>
    </w:rPr>
  </w:style>
  <w:style w:type="character" w:styleId="Hyperlink">
    <w:name w:val="Hyperlink"/>
    <w:uiPriority w:val="99"/>
    <w:unhideWhenUsed/>
    <w:rsid w:val="00C46AAC"/>
    <w:rPr>
      <w:color w:val="0000FF"/>
      <w:u w:val="single"/>
    </w:rPr>
  </w:style>
  <w:style w:type="character" w:customStyle="1" w:styleId="Heading8Char">
    <w:name w:val="Heading 8 Char"/>
    <w:basedOn w:val="DefaultParagraphFont"/>
    <w:link w:val="Heading8"/>
    <w:rsid w:val="007500D4"/>
    <w:rPr>
      <w:rFonts w:ascii="Cambria" w:eastAsia="SimSun" w:hAnsi="Cambria"/>
      <w:color w:val="272727"/>
      <w:sz w:val="21"/>
      <w:szCs w:val="21"/>
      <w:lang w:val="en-AU" w:eastAsia="en-AU"/>
    </w:rPr>
  </w:style>
  <w:style w:type="character" w:customStyle="1" w:styleId="Heading9Char">
    <w:name w:val="Heading 9 Char"/>
    <w:basedOn w:val="DefaultParagraphFont"/>
    <w:link w:val="Heading9"/>
    <w:rsid w:val="007500D4"/>
    <w:rPr>
      <w:rFonts w:ascii="Cambria" w:eastAsia="SimSun" w:hAnsi="Cambria"/>
      <w:i/>
      <w:iCs/>
      <w:color w:val="272727"/>
      <w:sz w:val="21"/>
      <w:szCs w:val="21"/>
      <w:lang w:val="en-AU" w:eastAsia="en-AU"/>
    </w:rPr>
  </w:style>
  <w:style w:type="numbering" w:customStyle="1" w:styleId="NoList1">
    <w:name w:val="No List1"/>
    <w:next w:val="NoList"/>
    <w:uiPriority w:val="99"/>
    <w:semiHidden/>
    <w:unhideWhenUsed/>
    <w:rsid w:val="007500D4"/>
  </w:style>
  <w:style w:type="paragraph" w:customStyle="1" w:styleId="Comment">
    <w:name w:val="Comment"/>
    <w:basedOn w:val="Normal"/>
    <w:next w:val="Text"/>
    <w:link w:val="CommentChar"/>
    <w:rsid w:val="007500D4"/>
    <w:pPr>
      <w:autoSpaceDE/>
      <w:autoSpaceDN/>
      <w:adjustRightInd/>
      <w:spacing w:before="120" w:after="0" w:line="240" w:lineRule="auto"/>
    </w:pPr>
    <w:rPr>
      <w:rFonts w:eastAsia="MS Mincho"/>
      <w:i/>
      <w:color w:val="BF30B5"/>
      <w:lang w:val="en-US" w:eastAsia="zh-CN"/>
    </w:rPr>
  </w:style>
  <w:style w:type="paragraph" w:customStyle="1" w:styleId="Compound">
    <w:name w:val="Compound"/>
    <w:basedOn w:val="Normal"/>
    <w:rsid w:val="007500D4"/>
    <w:pPr>
      <w:keepNext/>
      <w:autoSpaceDE/>
      <w:autoSpaceDN/>
      <w:adjustRightInd/>
      <w:spacing w:before="720" w:after="0" w:line="240" w:lineRule="auto"/>
      <w:jc w:val="center"/>
    </w:pPr>
    <w:rPr>
      <w:rFonts w:ascii="Arial" w:eastAsia="MS Gothic" w:hAnsi="Arial" w:cs="Arial"/>
      <w:sz w:val="32"/>
      <w:szCs w:val="20"/>
      <w:lang w:val="en-US" w:eastAsia="zh-CN"/>
    </w:rPr>
  </w:style>
  <w:style w:type="paragraph" w:customStyle="1" w:styleId="Dedicatednumber">
    <w:name w:val="Dedicatednumber"/>
    <w:basedOn w:val="Normal"/>
    <w:rsid w:val="007500D4"/>
    <w:pPr>
      <w:keepNext/>
      <w:autoSpaceDE/>
      <w:autoSpaceDN/>
      <w:adjustRightInd/>
      <w:spacing w:before="720" w:after="0" w:line="240" w:lineRule="auto"/>
      <w:jc w:val="center"/>
    </w:pPr>
    <w:rPr>
      <w:rFonts w:ascii="Arial" w:eastAsia="MS Gothic" w:hAnsi="Arial" w:cs="Arial"/>
      <w:sz w:val="28"/>
      <w:szCs w:val="20"/>
      <w:lang w:val="en-US" w:eastAsia="zh-CN"/>
    </w:rPr>
  </w:style>
  <w:style w:type="paragraph" w:customStyle="1" w:styleId="Department">
    <w:name w:val="Department"/>
    <w:basedOn w:val="Normal"/>
    <w:rsid w:val="007500D4"/>
    <w:pPr>
      <w:keepNext/>
      <w:autoSpaceDE/>
      <w:autoSpaceDN/>
      <w:adjustRightInd/>
      <w:spacing w:before="360" w:after="0" w:line="240" w:lineRule="auto"/>
      <w:jc w:val="center"/>
    </w:pPr>
    <w:rPr>
      <w:rFonts w:ascii="Arial" w:eastAsia="MS Gothic" w:hAnsi="Arial" w:cs="Arial"/>
      <w:sz w:val="28"/>
      <w:szCs w:val="20"/>
      <w:lang w:val="en-US" w:eastAsia="zh-CN"/>
    </w:rPr>
  </w:style>
  <w:style w:type="paragraph" w:customStyle="1" w:styleId="Nottoc-headings">
    <w:name w:val="Not toc-headings"/>
    <w:basedOn w:val="Normal"/>
    <w:next w:val="Text"/>
    <w:link w:val="Nottoc-headingsChar"/>
    <w:rsid w:val="007500D4"/>
    <w:pPr>
      <w:keepNext/>
      <w:keepLines/>
      <w:autoSpaceDE/>
      <w:autoSpaceDN/>
      <w:adjustRightInd/>
      <w:spacing w:before="240" w:after="60" w:line="240" w:lineRule="auto"/>
      <w:jc w:val="left"/>
    </w:pPr>
    <w:rPr>
      <w:rFonts w:ascii="Arial" w:eastAsia="MS Gothic" w:hAnsi="Arial" w:cs="Arial"/>
      <w:b/>
      <w:lang w:val="en-US" w:eastAsia="zh-CN"/>
    </w:rPr>
  </w:style>
  <w:style w:type="paragraph" w:customStyle="1" w:styleId="Numberofpages">
    <w:name w:val="Numberofpages"/>
    <w:basedOn w:val="Normal"/>
    <w:rsid w:val="007500D4"/>
    <w:pPr>
      <w:keepNext/>
      <w:autoSpaceDE/>
      <w:autoSpaceDN/>
      <w:adjustRightInd/>
      <w:spacing w:before="240" w:after="0" w:line="240" w:lineRule="auto"/>
      <w:jc w:val="left"/>
    </w:pPr>
    <w:rPr>
      <w:rFonts w:ascii="Arial" w:eastAsia="MS Gothic" w:hAnsi="Arial" w:cs="Arial"/>
      <w:lang w:val="en-US" w:eastAsia="zh-CN"/>
    </w:rPr>
  </w:style>
  <w:style w:type="paragraph" w:customStyle="1" w:styleId="Reference">
    <w:name w:val="Reference"/>
    <w:basedOn w:val="Normal"/>
    <w:link w:val="ReferenceChar"/>
    <w:rsid w:val="007500D4"/>
    <w:pPr>
      <w:autoSpaceDE/>
      <w:autoSpaceDN/>
      <w:adjustRightInd/>
      <w:spacing w:before="80" w:after="60" w:line="240" w:lineRule="auto"/>
      <w:jc w:val="left"/>
    </w:pPr>
    <w:rPr>
      <w:rFonts w:eastAsia="MS Mincho"/>
      <w:szCs w:val="20"/>
      <w:lang w:val="en-US" w:eastAsia="zh-CN"/>
    </w:rPr>
  </w:style>
  <w:style w:type="paragraph" w:customStyle="1" w:styleId="Firstpageinfo">
    <w:name w:val="Firstpageinfo"/>
    <w:basedOn w:val="Heading5"/>
    <w:link w:val="FirstpageinfoChar"/>
    <w:rsid w:val="007500D4"/>
    <w:pPr>
      <w:keepNext/>
      <w:keepLines/>
      <w:numPr>
        <w:ilvl w:val="0"/>
        <w:numId w:val="0"/>
      </w:numPr>
      <w:autoSpaceDE/>
      <w:autoSpaceDN/>
      <w:adjustRightInd/>
      <w:spacing w:after="0" w:line="240" w:lineRule="auto"/>
      <w:jc w:val="left"/>
      <w:outlineLvl w:val="9"/>
    </w:pPr>
    <w:rPr>
      <w:rFonts w:ascii="Arial" w:eastAsia="MS Gothic" w:hAnsi="Arial" w:cs="Arial"/>
      <w:b w:val="0"/>
      <w:bCs w:val="0"/>
      <w:i w:val="0"/>
      <w:iCs w:val="0"/>
      <w:sz w:val="24"/>
      <w:szCs w:val="20"/>
      <w:lang w:val="en-US" w:eastAsia="zh-CN"/>
    </w:rPr>
  </w:style>
  <w:style w:type="character" w:styleId="Strong">
    <w:name w:val="Strong"/>
    <w:qFormat/>
    <w:rsid w:val="007500D4"/>
    <w:rPr>
      <w:b/>
      <w:bCs/>
    </w:rPr>
  </w:style>
  <w:style w:type="character" w:customStyle="1" w:styleId="FirstpageinfoChar">
    <w:name w:val="Firstpageinfo Char"/>
    <w:link w:val="Firstpageinfo"/>
    <w:rsid w:val="007500D4"/>
    <w:rPr>
      <w:rFonts w:ascii="Arial" w:eastAsia="MS Gothic" w:hAnsi="Arial" w:cs="Arial"/>
      <w:sz w:val="24"/>
      <w:lang w:eastAsia="zh-CN"/>
    </w:rPr>
  </w:style>
  <w:style w:type="character" w:customStyle="1" w:styleId="CommentChar">
    <w:name w:val="Comment Char"/>
    <w:link w:val="Comment"/>
    <w:rsid w:val="007500D4"/>
    <w:rPr>
      <w:rFonts w:eastAsia="MS Mincho"/>
      <w:i/>
      <w:color w:val="BF30B5"/>
      <w:sz w:val="24"/>
      <w:szCs w:val="24"/>
      <w:lang w:eastAsia="zh-CN"/>
    </w:rPr>
  </w:style>
  <w:style w:type="character" w:customStyle="1" w:styleId="Nottoc-headingsChar">
    <w:name w:val="Not toc-headings Char"/>
    <w:link w:val="Nottoc-headings"/>
    <w:rsid w:val="007500D4"/>
    <w:rPr>
      <w:rFonts w:ascii="Arial" w:eastAsia="MS Gothic" w:hAnsi="Arial" w:cs="Arial"/>
      <w:b/>
      <w:sz w:val="24"/>
      <w:szCs w:val="24"/>
      <w:lang w:eastAsia="zh-CN"/>
    </w:rPr>
  </w:style>
  <w:style w:type="paragraph" w:customStyle="1" w:styleId="Table">
    <w:name w:val="Table"/>
    <w:aliases w:val="10 pt  Bold,9 pt,10 pt,9pt,Table + (Latin) Courier New,Before:  0 pt,After:  0 pt,Comment + (Latin) Courier New,Not Italic,Auto,Table pt,table text 10 pt + Arial,Bold,Normal + (Latin) Arial,(Complex) Arial,legendpt,Normal + Courier New,Courier New"/>
    <w:basedOn w:val="Nottoc-headings"/>
    <w:link w:val="TableChar"/>
    <w:qFormat/>
    <w:rsid w:val="007500D4"/>
    <w:pPr>
      <w:keepNext w:val="0"/>
      <w:tabs>
        <w:tab w:val="left" w:pos="284"/>
      </w:tabs>
      <w:spacing w:before="40" w:after="20"/>
    </w:pPr>
    <w:rPr>
      <w:rFonts w:eastAsia="MS Mincho"/>
      <w:b w:val="0"/>
      <w:sz w:val="20"/>
    </w:rPr>
  </w:style>
  <w:style w:type="numbering" w:styleId="1ai">
    <w:name w:val="Outline List 1"/>
    <w:basedOn w:val="NoList"/>
    <w:rsid w:val="007500D4"/>
    <w:pPr>
      <w:numPr>
        <w:numId w:val="7"/>
      </w:numPr>
    </w:pPr>
  </w:style>
  <w:style w:type="paragraph" w:customStyle="1" w:styleId="Authors">
    <w:name w:val="Authors"/>
    <w:basedOn w:val="Normal"/>
    <w:rsid w:val="007500D4"/>
    <w:pPr>
      <w:keepNext/>
      <w:autoSpaceDE/>
      <w:autoSpaceDN/>
      <w:adjustRightInd/>
      <w:spacing w:before="240" w:after="0" w:line="240" w:lineRule="auto"/>
      <w:jc w:val="left"/>
    </w:pPr>
    <w:rPr>
      <w:rFonts w:ascii="Arial" w:eastAsia="MS Gothic" w:hAnsi="Arial" w:cs="Arial"/>
      <w:szCs w:val="20"/>
      <w:lang w:val="en-US" w:eastAsia="zh-CN"/>
    </w:rPr>
  </w:style>
  <w:style w:type="paragraph" w:customStyle="1" w:styleId="Docstatus">
    <w:name w:val="Docstatus"/>
    <w:basedOn w:val="Normal"/>
    <w:rsid w:val="007500D4"/>
    <w:pPr>
      <w:keepNext/>
      <w:autoSpaceDE/>
      <w:autoSpaceDN/>
      <w:adjustRightInd/>
      <w:spacing w:before="240" w:after="0" w:line="240" w:lineRule="auto"/>
      <w:jc w:val="left"/>
    </w:pPr>
    <w:rPr>
      <w:rFonts w:ascii="Arial" w:eastAsia="MS Gothic" w:hAnsi="Arial" w:cs="Arial"/>
      <w:szCs w:val="20"/>
      <w:lang w:val="en-US" w:eastAsia="zh-CN"/>
    </w:rPr>
  </w:style>
  <w:style w:type="paragraph" w:customStyle="1" w:styleId="Doctype">
    <w:name w:val="Doctype"/>
    <w:basedOn w:val="Dedicatednumber"/>
    <w:rsid w:val="007500D4"/>
    <w:pPr>
      <w:spacing w:before="240"/>
      <w:jc w:val="left"/>
    </w:pPr>
    <w:rPr>
      <w:sz w:val="24"/>
    </w:rPr>
  </w:style>
  <w:style w:type="paragraph" w:customStyle="1" w:styleId="JPLegend">
    <w:name w:val="JP Legend"/>
    <w:basedOn w:val="JPTable"/>
    <w:rsid w:val="007500D4"/>
  </w:style>
  <w:style w:type="paragraph" w:customStyle="1" w:styleId="JPListlevel1">
    <w:name w:val="JP List level 1"/>
    <w:basedOn w:val="Listlevel1"/>
    <w:rsid w:val="007500D4"/>
    <w:pPr>
      <w:spacing w:before="0" w:line="360" w:lineRule="atLeast"/>
    </w:pPr>
    <w:rPr>
      <w:sz w:val="21"/>
      <w:szCs w:val="21"/>
    </w:rPr>
  </w:style>
  <w:style w:type="paragraph" w:customStyle="1" w:styleId="JPListlevel2">
    <w:name w:val="JP List level 2"/>
    <w:basedOn w:val="Listlevel2"/>
    <w:rsid w:val="007500D4"/>
    <w:pPr>
      <w:spacing w:before="0" w:line="360" w:lineRule="atLeast"/>
    </w:pPr>
    <w:rPr>
      <w:sz w:val="21"/>
      <w:szCs w:val="21"/>
    </w:rPr>
  </w:style>
  <w:style w:type="paragraph" w:customStyle="1" w:styleId="JPListlevel3">
    <w:name w:val="JP List level 3"/>
    <w:basedOn w:val="Listlevel3"/>
    <w:rsid w:val="007500D4"/>
    <w:pPr>
      <w:spacing w:before="0" w:line="360" w:lineRule="atLeast"/>
      <w:ind w:left="1293" w:hanging="431"/>
    </w:pPr>
    <w:rPr>
      <w:sz w:val="21"/>
      <w:szCs w:val="21"/>
    </w:rPr>
  </w:style>
  <w:style w:type="paragraph" w:customStyle="1" w:styleId="JPReference">
    <w:name w:val="JP Reference"/>
    <w:basedOn w:val="Reference"/>
    <w:rsid w:val="007500D4"/>
    <w:rPr>
      <w:sz w:val="21"/>
      <w:szCs w:val="21"/>
    </w:rPr>
  </w:style>
  <w:style w:type="paragraph" w:customStyle="1" w:styleId="JPSAStext">
    <w:name w:val="JP SAS text"/>
    <w:basedOn w:val="SAStext"/>
    <w:rsid w:val="007500D4"/>
    <w:rPr>
      <w:sz w:val="18"/>
      <w:szCs w:val="18"/>
    </w:rPr>
  </w:style>
  <w:style w:type="paragraph" w:customStyle="1" w:styleId="JPTable">
    <w:name w:val="JP Table"/>
    <w:basedOn w:val="Table"/>
    <w:rsid w:val="007500D4"/>
    <w:rPr>
      <w:rFonts w:ascii="Times New Roman" w:hAnsi="Times New Roman"/>
      <w:sz w:val="18"/>
      <w:szCs w:val="18"/>
    </w:rPr>
  </w:style>
  <w:style w:type="paragraph" w:customStyle="1" w:styleId="JPText">
    <w:name w:val="JP Text"/>
    <w:basedOn w:val="Text"/>
    <w:rsid w:val="007500D4"/>
    <w:pPr>
      <w:spacing w:before="0" w:line="360" w:lineRule="atLeast"/>
      <w:ind w:firstLineChars="100" w:firstLine="100"/>
    </w:pPr>
    <w:rPr>
      <w:sz w:val="21"/>
      <w:szCs w:val="21"/>
    </w:rPr>
  </w:style>
  <w:style w:type="paragraph" w:customStyle="1" w:styleId="Legend">
    <w:name w:val="Legend"/>
    <w:basedOn w:val="Table"/>
    <w:link w:val="LegendChar"/>
    <w:rsid w:val="007500D4"/>
  </w:style>
  <w:style w:type="paragraph" w:customStyle="1" w:styleId="Listlevel1">
    <w:name w:val="List level 1"/>
    <w:basedOn w:val="Normal"/>
    <w:link w:val="Listlevel1Char"/>
    <w:rsid w:val="007500D4"/>
    <w:pPr>
      <w:autoSpaceDE/>
      <w:autoSpaceDN/>
      <w:adjustRightInd/>
      <w:spacing w:before="40" w:after="0" w:line="240" w:lineRule="auto"/>
      <w:ind w:left="425" w:hanging="425"/>
      <w:jc w:val="left"/>
    </w:pPr>
    <w:rPr>
      <w:rFonts w:eastAsia="MS Mincho"/>
      <w:szCs w:val="20"/>
      <w:lang w:val="en-US" w:eastAsia="zh-CN"/>
    </w:rPr>
  </w:style>
  <w:style w:type="paragraph" w:customStyle="1" w:styleId="Listlevel2">
    <w:name w:val="List level 2"/>
    <w:basedOn w:val="Listlevel1"/>
    <w:rsid w:val="007500D4"/>
    <w:pPr>
      <w:ind w:left="850"/>
    </w:pPr>
  </w:style>
  <w:style w:type="paragraph" w:customStyle="1" w:styleId="Listlevel3">
    <w:name w:val="List level 3"/>
    <w:basedOn w:val="Listlevel2"/>
    <w:rsid w:val="007500D4"/>
    <w:pPr>
      <w:ind w:left="1296" w:hanging="432"/>
    </w:pPr>
  </w:style>
  <w:style w:type="paragraph" w:customStyle="1" w:styleId="Non-proportional">
    <w:name w:val="Non-proportional"/>
    <w:basedOn w:val="Normal"/>
    <w:rsid w:val="007500D4"/>
    <w:pPr>
      <w:autoSpaceDE/>
      <w:autoSpaceDN/>
      <w:adjustRightInd/>
      <w:spacing w:before="40" w:after="0"/>
    </w:pPr>
    <w:rPr>
      <w:rFonts w:ascii="Courier New" w:eastAsia="MS Mincho" w:hAnsi="Courier New"/>
      <w:spacing w:val="-10"/>
      <w:sz w:val="18"/>
      <w:szCs w:val="20"/>
      <w:lang w:val="en-US" w:eastAsia="zh-CN"/>
    </w:rPr>
  </w:style>
  <w:style w:type="paragraph" w:customStyle="1" w:styleId="Propertystatement">
    <w:name w:val="Propertystatement"/>
    <w:basedOn w:val="Numberofpages"/>
    <w:link w:val="PropertystatementChar"/>
    <w:rsid w:val="007500D4"/>
    <w:pPr>
      <w:keepNext w:val="0"/>
      <w:spacing w:before="1200"/>
      <w:jc w:val="center"/>
    </w:pPr>
    <w:rPr>
      <w:sz w:val="20"/>
    </w:rPr>
  </w:style>
  <w:style w:type="paragraph" w:customStyle="1" w:styleId="Releasedate">
    <w:name w:val="Releasedate"/>
    <w:basedOn w:val="Docstatus"/>
    <w:rsid w:val="007500D4"/>
  </w:style>
  <w:style w:type="paragraph" w:customStyle="1" w:styleId="SAStext">
    <w:name w:val="SAS text"/>
    <w:rsid w:val="007500D4"/>
    <w:rPr>
      <w:rFonts w:ascii="Courier New" w:eastAsia="MS Mincho" w:hAnsi="Courier New" w:cs="Courier New"/>
      <w:spacing w:val="-10"/>
      <w:lang w:eastAsia="zh-CN"/>
    </w:rPr>
  </w:style>
  <w:style w:type="paragraph" w:customStyle="1" w:styleId="Synopsis">
    <w:name w:val="Synopsis"/>
    <w:basedOn w:val="Text"/>
    <w:rsid w:val="007500D4"/>
    <w:rPr>
      <w:rFonts w:ascii="Arial" w:eastAsia="MS Gothic" w:hAnsi="Arial"/>
      <w:sz w:val="20"/>
    </w:rPr>
  </w:style>
  <w:style w:type="paragraph" w:customStyle="1" w:styleId="SynopsisList">
    <w:name w:val="Synopsis List"/>
    <w:basedOn w:val="Synopsis"/>
    <w:rsid w:val="007500D4"/>
    <w:pPr>
      <w:spacing w:before="40"/>
      <w:ind w:left="864" w:hanging="432"/>
      <w:jc w:val="left"/>
    </w:pPr>
  </w:style>
  <w:style w:type="paragraph" w:customStyle="1" w:styleId="TOCEntry">
    <w:name w:val="TOC Entry"/>
    <w:basedOn w:val="Heading2"/>
    <w:next w:val="Text"/>
    <w:rsid w:val="007500D4"/>
    <w:pPr>
      <w:keepLines/>
      <w:numPr>
        <w:ilvl w:val="0"/>
        <w:numId w:val="0"/>
      </w:numPr>
      <w:autoSpaceDE/>
      <w:autoSpaceDN/>
      <w:adjustRightInd/>
      <w:spacing w:before="240" w:after="0" w:line="240" w:lineRule="auto"/>
      <w:jc w:val="left"/>
    </w:pPr>
    <w:rPr>
      <w:rFonts w:ascii="Arial" w:eastAsia="MS Gothic" w:hAnsi="Arial" w:cs="Arial"/>
      <w:sz w:val="26"/>
      <w:szCs w:val="20"/>
      <w:u w:val="none"/>
      <w:lang w:eastAsia="zh-CN"/>
    </w:rPr>
  </w:style>
  <w:style w:type="paragraph" w:styleId="TOC2">
    <w:name w:val="toc 2"/>
    <w:basedOn w:val="TOC1"/>
    <w:autoRedefine/>
    <w:uiPriority w:val="39"/>
    <w:rsid w:val="007500D4"/>
    <w:pPr>
      <w:ind w:left="1134" w:hanging="709"/>
    </w:pPr>
  </w:style>
  <w:style w:type="paragraph" w:styleId="TOC1">
    <w:name w:val="toc 1"/>
    <w:basedOn w:val="Normal"/>
    <w:autoRedefine/>
    <w:uiPriority w:val="39"/>
    <w:rsid w:val="007500D4"/>
    <w:pPr>
      <w:tabs>
        <w:tab w:val="right" w:leader="dot" w:pos="9061"/>
      </w:tabs>
      <w:autoSpaceDE/>
      <w:autoSpaceDN/>
      <w:adjustRightInd/>
      <w:spacing w:after="72" w:line="240" w:lineRule="auto"/>
      <w:ind w:left="425" w:right="454" w:hanging="425"/>
      <w:jc w:val="left"/>
    </w:pPr>
    <w:rPr>
      <w:rFonts w:eastAsia="MS Mincho"/>
      <w:szCs w:val="20"/>
      <w:lang w:val="en-US" w:eastAsia="zh-CN"/>
    </w:rPr>
  </w:style>
  <w:style w:type="character" w:customStyle="1" w:styleId="ReferenceChar">
    <w:name w:val="Reference Char"/>
    <w:link w:val="Reference"/>
    <w:rsid w:val="007500D4"/>
    <w:rPr>
      <w:rFonts w:eastAsia="MS Mincho"/>
      <w:sz w:val="24"/>
      <w:lang w:eastAsia="zh-CN"/>
    </w:rPr>
  </w:style>
  <w:style w:type="paragraph" w:customStyle="1" w:styleId="JPnottoc-headings">
    <w:name w:val="JP not toc-headings"/>
    <w:basedOn w:val="Nottoc-headings"/>
    <w:next w:val="JPText"/>
    <w:rsid w:val="007500D4"/>
    <w:rPr>
      <w:sz w:val="21"/>
    </w:rPr>
  </w:style>
  <w:style w:type="numbering" w:styleId="ArticleSection">
    <w:name w:val="Outline List 3"/>
    <w:basedOn w:val="NoList"/>
    <w:semiHidden/>
    <w:rsid w:val="007500D4"/>
    <w:pPr>
      <w:numPr>
        <w:numId w:val="8"/>
      </w:numPr>
    </w:pPr>
  </w:style>
  <w:style w:type="paragraph" w:styleId="BlockText">
    <w:name w:val="Block Text"/>
    <w:basedOn w:val="Normal"/>
    <w:semiHidden/>
    <w:rsid w:val="007500D4"/>
    <w:pPr>
      <w:autoSpaceDE/>
      <w:autoSpaceDN/>
      <w:adjustRightInd/>
      <w:spacing w:before="40" w:line="240" w:lineRule="auto"/>
      <w:ind w:left="1440" w:right="1440"/>
      <w:jc w:val="left"/>
    </w:pPr>
    <w:rPr>
      <w:rFonts w:eastAsia="MS Mincho"/>
      <w:szCs w:val="20"/>
      <w:lang w:val="en-US" w:eastAsia="zh-CN"/>
    </w:rPr>
  </w:style>
  <w:style w:type="paragraph" w:styleId="BodyText2">
    <w:name w:val="Body Text 2"/>
    <w:basedOn w:val="Normal"/>
    <w:link w:val="BodyText2Char"/>
    <w:semiHidden/>
    <w:rsid w:val="007500D4"/>
    <w:pPr>
      <w:autoSpaceDE/>
      <w:autoSpaceDN/>
      <w:adjustRightInd/>
      <w:spacing w:before="40" w:line="480" w:lineRule="auto"/>
      <w:jc w:val="left"/>
    </w:pPr>
    <w:rPr>
      <w:rFonts w:eastAsia="MS Mincho"/>
      <w:szCs w:val="20"/>
      <w:lang w:val="en-US" w:eastAsia="zh-CN"/>
    </w:rPr>
  </w:style>
  <w:style w:type="character" w:customStyle="1" w:styleId="BodyText2Char">
    <w:name w:val="Body Text 2 Char"/>
    <w:basedOn w:val="DefaultParagraphFont"/>
    <w:link w:val="BodyText2"/>
    <w:semiHidden/>
    <w:rsid w:val="007500D4"/>
    <w:rPr>
      <w:rFonts w:eastAsia="MS Mincho"/>
      <w:sz w:val="24"/>
      <w:lang w:eastAsia="zh-CN"/>
    </w:rPr>
  </w:style>
  <w:style w:type="paragraph" w:styleId="BodyText3">
    <w:name w:val="Body Text 3"/>
    <w:basedOn w:val="Normal"/>
    <w:link w:val="BodyText3Char"/>
    <w:semiHidden/>
    <w:rsid w:val="007500D4"/>
    <w:pPr>
      <w:autoSpaceDE/>
      <w:autoSpaceDN/>
      <w:adjustRightInd/>
      <w:spacing w:before="40" w:line="240" w:lineRule="auto"/>
      <w:jc w:val="left"/>
    </w:pPr>
    <w:rPr>
      <w:rFonts w:eastAsia="MS Mincho"/>
      <w:sz w:val="16"/>
      <w:szCs w:val="16"/>
      <w:lang w:val="en-US" w:eastAsia="zh-CN"/>
    </w:rPr>
  </w:style>
  <w:style w:type="character" w:customStyle="1" w:styleId="BodyText3Char">
    <w:name w:val="Body Text 3 Char"/>
    <w:basedOn w:val="DefaultParagraphFont"/>
    <w:link w:val="BodyText3"/>
    <w:semiHidden/>
    <w:rsid w:val="007500D4"/>
    <w:rPr>
      <w:rFonts w:eastAsia="MS Mincho"/>
      <w:sz w:val="16"/>
      <w:szCs w:val="16"/>
      <w:lang w:eastAsia="zh-CN"/>
    </w:rPr>
  </w:style>
  <w:style w:type="paragraph" w:styleId="BodyText">
    <w:name w:val="Body Text"/>
    <w:basedOn w:val="Normal"/>
    <w:link w:val="BodyTextChar"/>
    <w:unhideWhenUsed/>
    <w:rsid w:val="007500D4"/>
  </w:style>
  <w:style w:type="character" w:customStyle="1" w:styleId="BodyTextChar">
    <w:name w:val="Body Text Char"/>
    <w:basedOn w:val="DefaultParagraphFont"/>
    <w:link w:val="BodyText"/>
    <w:rsid w:val="007500D4"/>
    <w:rPr>
      <w:sz w:val="24"/>
      <w:szCs w:val="24"/>
      <w:lang w:val="en-AU" w:eastAsia="en-AU"/>
    </w:rPr>
  </w:style>
  <w:style w:type="paragraph" w:styleId="BodyTextFirstIndent">
    <w:name w:val="Body Text First Indent"/>
    <w:basedOn w:val="BodyText"/>
    <w:link w:val="BodyTextFirstIndentChar"/>
    <w:semiHidden/>
    <w:rsid w:val="007500D4"/>
    <w:pPr>
      <w:autoSpaceDE/>
      <w:autoSpaceDN/>
      <w:adjustRightInd/>
      <w:spacing w:before="40" w:line="240" w:lineRule="auto"/>
      <w:ind w:firstLine="210"/>
      <w:jc w:val="left"/>
    </w:pPr>
    <w:rPr>
      <w:rFonts w:eastAsia="MS Mincho"/>
      <w:szCs w:val="20"/>
      <w:lang w:val="en-US" w:eastAsia="zh-CN"/>
    </w:rPr>
  </w:style>
  <w:style w:type="character" w:customStyle="1" w:styleId="BodyTextFirstIndentChar">
    <w:name w:val="Body Text First Indent Char"/>
    <w:basedOn w:val="BodyTextChar"/>
    <w:link w:val="BodyTextFirstIndent"/>
    <w:semiHidden/>
    <w:rsid w:val="007500D4"/>
    <w:rPr>
      <w:rFonts w:eastAsia="MS Mincho"/>
      <w:sz w:val="24"/>
      <w:szCs w:val="24"/>
      <w:lang w:val="en-AU" w:eastAsia="zh-CN"/>
    </w:rPr>
  </w:style>
  <w:style w:type="paragraph" w:styleId="BodyTextIndent">
    <w:name w:val="Body Text Indent"/>
    <w:basedOn w:val="Normal"/>
    <w:link w:val="BodyTextIndentChar"/>
    <w:semiHidden/>
    <w:rsid w:val="007500D4"/>
    <w:pPr>
      <w:autoSpaceDE/>
      <w:autoSpaceDN/>
      <w:adjustRightInd/>
      <w:spacing w:before="40" w:line="240" w:lineRule="auto"/>
      <w:ind w:left="360"/>
      <w:jc w:val="left"/>
    </w:pPr>
    <w:rPr>
      <w:rFonts w:eastAsia="MS Mincho"/>
      <w:szCs w:val="20"/>
      <w:lang w:val="en-US" w:eastAsia="zh-CN"/>
    </w:rPr>
  </w:style>
  <w:style w:type="character" w:customStyle="1" w:styleId="BodyTextIndentChar">
    <w:name w:val="Body Text Indent Char"/>
    <w:basedOn w:val="DefaultParagraphFont"/>
    <w:link w:val="BodyTextIndent"/>
    <w:semiHidden/>
    <w:rsid w:val="007500D4"/>
    <w:rPr>
      <w:rFonts w:eastAsia="MS Mincho"/>
      <w:sz w:val="24"/>
      <w:lang w:eastAsia="zh-CN"/>
    </w:rPr>
  </w:style>
  <w:style w:type="paragraph" w:styleId="BodyTextFirstIndent2">
    <w:name w:val="Body Text First Indent 2"/>
    <w:basedOn w:val="BodyTextIndent"/>
    <w:link w:val="BodyTextFirstIndent2Char"/>
    <w:semiHidden/>
    <w:rsid w:val="007500D4"/>
    <w:pPr>
      <w:ind w:firstLine="210"/>
    </w:pPr>
  </w:style>
  <w:style w:type="character" w:customStyle="1" w:styleId="BodyTextFirstIndent2Char">
    <w:name w:val="Body Text First Indent 2 Char"/>
    <w:basedOn w:val="BodyTextIndentChar"/>
    <w:link w:val="BodyTextFirstIndent2"/>
    <w:semiHidden/>
    <w:rsid w:val="007500D4"/>
    <w:rPr>
      <w:rFonts w:eastAsia="MS Mincho"/>
      <w:sz w:val="24"/>
      <w:lang w:eastAsia="zh-CN"/>
    </w:rPr>
  </w:style>
  <w:style w:type="paragraph" w:styleId="BodyTextIndent3">
    <w:name w:val="Body Text Indent 3"/>
    <w:basedOn w:val="Normal"/>
    <w:link w:val="BodyTextIndent3Char"/>
    <w:semiHidden/>
    <w:rsid w:val="007500D4"/>
    <w:pPr>
      <w:autoSpaceDE/>
      <w:autoSpaceDN/>
      <w:adjustRightInd/>
      <w:spacing w:before="40" w:line="240" w:lineRule="auto"/>
      <w:ind w:left="360"/>
      <w:jc w:val="left"/>
    </w:pPr>
    <w:rPr>
      <w:rFonts w:eastAsia="MS Mincho"/>
      <w:sz w:val="16"/>
      <w:szCs w:val="16"/>
      <w:lang w:val="en-US" w:eastAsia="zh-CN"/>
    </w:rPr>
  </w:style>
  <w:style w:type="character" w:customStyle="1" w:styleId="BodyTextIndent3Char">
    <w:name w:val="Body Text Indent 3 Char"/>
    <w:basedOn w:val="DefaultParagraphFont"/>
    <w:link w:val="BodyTextIndent3"/>
    <w:semiHidden/>
    <w:rsid w:val="007500D4"/>
    <w:rPr>
      <w:rFonts w:eastAsia="MS Mincho"/>
      <w:sz w:val="16"/>
      <w:szCs w:val="16"/>
      <w:lang w:eastAsia="zh-CN"/>
    </w:rPr>
  </w:style>
  <w:style w:type="paragraph" w:styleId="Closing">
    <w:name w:val="Closing"/>
    <w:basedOn w:val="Normal"/>
    <w:link w:val="ClosingChar"/>
    <w:semiHidden/>
    <w:rsid w:val="007500D4"/>
    <w:pPr>
      <w:autoSpaceDE/>
      <w:autoSpaceDN/>
      <w:adjustRightInd/>
      <w:spacing w:before="40" w:after="0" w:line="240" w:lineRule="auto"/>
      <w:ind w:left="4320"/>
      <w:jc w:val="left"/>
    </w:pPr>
    <w:rPr>
      <w:rFonts w:eastAsia="MS Mincho"/>
      <w:szCs w:val="20"/>
      <w:lang w:val="en-US" w:eastAsia="zh-CN"/>
    </w:rPr>
  </w:style>
  <w:style w:type="character" w:customStyle="1" w:styleId="ClosingChar">
    <w:name w:val="Closing Char"/>
    <w:basedOn w:val="DefaultParagraphFont"/>
    <w:link w:val="Closing"/>
    <w:semiHidden/>
    <w:rsid w:val="007500D4"/>
    <w:rPr>
      <w:rFonts w:eastAsia="MS Mincho"/>
      <w:sz w:val="24"/>
      <w:lang w:eastAsia="zh-CN"/>
    </w:rPr>
  </w:style>
  <w:style w:type="paragraph" w:customStyle="1" w:styleId="BalloonText1">
    <w:name w:val="Balloon Text1"/>
    <w:basedOn w:val="Normal"/>
    <w:semiHidden/>
    <w:rsid w:val="007500D4"/>
    <w:pPr>
      <w:autoSpaceDE/>
      <w:autoSpaceDN/>
      <w:adjustRightInd/>
      <w:spacing w:before="40" w:after="0" w:line="240" w:lineRule="auto"/>
      <w:jc w:val="left"/>
    </w:pPr>
    <w:rPr>
      <w:rFonts w:ascii="Tahoma" w:eastAsia="MS Mincho" w:hAnsi="Tahoma" w:cs="Tahoma"/>
      <w:sz w:val="16"/>
      <w:szCs w:val="16"/>
      <w:lang w:val="en-US" w:eastAsia="zh-CN"/>
    </w:rPr>
  </w:style>
  <w:style w:type="paragraph" w:customStyle="1" w:styleId="CommentSubject1">
    <w:name w:val="Comment Subject1"/>
    <w:basedOn w:val="CommentText"/>
    <w:next w:val="CommentText"/>
    <w:semiHidden/>
    <w:rsid w:val="007500D4"/>
    <w:pPr>
      <w:autoSpaceDE/>
      <w:autoSpaceDN/>
      <w:adjustRightInd/>
      <w:spacing w:before="40" w:after="0" w:line="240" w:lineRule="auto"/>
      <w:jc w:val="left"/>
    </w:pPr>
    <w:rPr>
      <w:rFonts w:eastAsia="MS Mincho"/>
      <w:b/>
      <w:bCs/>
      <w:sz w:val="20"/>
      <w:szCs w:val="20"/>
      <w:lang w:val="en-US" w:eastAsia="zh-CN"/>
    </w:rPr>
  </w:style>
  <w:style w:type="paragraph" w:customStyle="1" w:styleId="SynopsisList2">
    <w:name w:val="Synopsis List 2"/>
    <w:basedOn w:val="SynopsisList"/>
    <w:rsid w:val="007500D4"/>
    <w:pPr>
      <w:ind w:left="1299" w:hanging="431"/>
    </w:pPr>
  </w:style>
  <w:style w:type="paragraph" w:styleId="Date">
    <w:name w:val="Date"/>
    <w:basedOn w:val="Normal"/>
    <w:next w:val="Normal"/>
    <w:link w:val="DateChar"/>
    <w:semiHidden/>
    <w:rsid w:val="007500D4"/>
    <w:pPr>
      <w:autoSpaceDE/>
      <w:autoSpaceDN/>
      <w:adjustRightInd/>
      <w:spacing w:before="40" w:after="0" w:line="240" w:lineRule="auto"/>
      <w:jc w:val="left"/>
    </w:pPr>
    <w:rPr>
      <w:rFonts w:eastAsia="MS Mincho"/>
      <w:szCs w:val="20"/>
      <w:lang w:val="en-US" w:eastAsia="zh-CN"/>
    </w:rPr>
  </w:style>
  <w:style w:type="character" w:customStyle="1" w:styleId="DateChar">
    <w:name w:val="Date Char"/>
    <w:basedOn w:val="DefaultParagraphFont"/>
    <w:link w:val="Date"/>
    <w:semiHidden/>
    <w:rsid w:val="007500D4"/>
    <w:rPr>
      <w:rFonts w:eastAsia="MS Mincho"/>
      <w:sz w:val="24"/>
      <w:lang w:eastAsia="zh-CN"/>
    </w:rPr>
  </w:style>
  <w:style w:type="paragraph" w:styleId="DocumentMap">
    <w:name w:val="Document Map"/>
    <w:basedOn w:val="Normal"/>
    <w:link w:val="DocumentMapChar"/>
    <w:semiHidden/>
    <w:rsid w:val="007500D4"/>
    <w:pPr>
      <w:shd w:val="clear" w:color="auto" w:fill="000080"/>
      <w:autoSpaceDE/>
      <w:autoSpaceDN/>
      <w:adjustRightInd/>
      <w:spacing w:before="40" w:after="0" w:line="240" w:lineRule="auto"/>
      <w:jc w:val="left"/>
    </w:pPr>
    <w:rPr>
      <w:rFonts w:ascii="Tahoma" w:eastAsia="MS Mincho" w:hAnsi="Tahoma" w:cs="Tahoma"/>
      <w:sz w:val="20"/>
      <w:szCs w:val="20"/>
      <w:lang w:val="en-US" w:eastAsia="zh-CN"/>
    </w:rPr>
  </w:style>
  <w:style w:type="character" w:customStyle="1" w:styleId="DocumentMapChar">
    <w:name w:val="Document Map Char"/>
    <w:basedOn w:val="DefaultParagraphFont"/>
    <w:link w:val="DocumentMap"/>
    <w:semiHidden/>
    <w:rsid w:val="007500D4"/>
    <w:rPr>
      <w:rFonts w:ascii="Tahoma" w:eastAsia="MS Mincho" w:hAnsi="Tahoma" w:cs="Tahoma"/>
      <w:shd w:val="clear" w:color="auto" w:fill="000080"/>
      <w:lang w:eastAsia="zh-CN"/>
    </w:rPr>
  </w:style>
  <w:style w:type="paragraph" w:styleId="TOC6">
    <w:name w:val="toc 6"/>
    <w:basedOn w:val="Normal"/>
    <w:autoRedefine/>
    <w:uiPriority w:val="39"/>
    <w:rsid w:val="007500D4"/>
    <w:pPr>
      <w:tabs>
        <w:tab w:val="right" w:leader="dot" w:pos="9061"/>
      </w:tabs>
      <w:autoSpaceDE/>
      <w:autoSpaceDN/>
      <w:adjustRightInd/>
      <w:spacing w:after="72" w:line="240" w:lineRule="auto"/>
      <w:ind w:left="2126" w:right="454" w:hanging="2126"/>
      <w:jc w:val="left"/>
    </w:pPr>
    <w:rPr>
      <w:rFonts w:eastAsia="MS Mincho"/>
      <w:szCs w:val="20"/>
      <w:lang w:val="en-US" w:eastAsia="zh-CN"/>
    </w:rPr>
  </w:style>
  <w:style w:type="numbering" w:styleId="111111">
    <w:name w:val="Outline List 2"/>
    <w:basedOn w:val="NoList"/>
    <w:semiHidden/>
    <w:rsid w:val="007500D4"/>
    <w:pPr>
      <w:numPr>
        <w:numId w:val="6"/>
      </w:numPr>
    </w:pPr>
  </w:style>
  <w:style w:type="paragraph" w:styleId="TOC7">
    <w:name w:val="toc 7"/>
    <w:basedOn w:val="Normal"/>
    <w:autoRedefine/>
    <w:uiPriority w:val="39"/>
    <w:rsid w:val="007500D4"/>
    <w:pPr>
      <w:tabs>
        <w:tab w:val="right" w:leader="dot" w:pos="9061"/>
      </w:tabs>
      <w:autoSpaceDE/>
      <w:autoSpaceDN/>
      <w:adjustRightInd/>
      <w:spacing w:after="72" w:line="240" w:lineRule="auto"/>
      <w:ind w:left="2126" w:right="454" w:hanging="2126"/>
      <w:jc w:val="left"/>
    </w:pPr>
    <w:rPr>
      <w:rFonts w:eastAsia="MS Mincho"/>
      <w:szCs w:val="20"/>
      <w:lang w:val="en-US" w:eastAsia="zh-CN"/>
    </w:rPr>
  </w:style>
  <w:style w:type="paragraph" w:styleId="E-mailSignature">
    <w:name w:val="E-mail Signature"/>
    <w:basedOn w:val="Normal"/>
    <w:link w:val="E-mailSignatureChar"/>
    <w:semiHidden/>
    <w:rsid w:val="007500D4"/>
    <w:pPr>
      <w:autoSpaceDE/>
      <w:autoSpaceDN/>
      <w:adjustRightInd/>
      <w:spacing w:before="40" w:after="0" w:line="240" w:lineRule="auto"/>
      <w:jc w:val="left"/>
    </w:pPr>
    <w:rPr>
      <w:rFonts w:eastAsia="MS Mincho"/>
      <w:szCs w:val="20"/>
      <w:lang w:val="en-US" w:eastAsia="zh-CN"/>
    </w:rPr>
  </w:style>
  <w:style w:type="character" w:customStyle="1" w:styleId="E-mailSignatureChar">
    <w:name w:val="E-mail Signature Char"/>
    <w:basedOn w:val="DefaultParagraphFont"/>
    <w:link w:val="E-mailSignature"/>
    <w:semiHidden/>
    <w:rsid w:val="007500D4"/>
    <w:rPr>
      <w:rFonts w:eastAsia="MS Mincho"/>
      <w:sz w:val="24"/>
      <w:lang w:eastAsia="zh-CN"/>
    </w:rPr>
  </w:style>
  <w:style w:type="paragraph" w:styleId="NoSpacing">
    <w:name w:val="No Spacing"/>
    <w:uiPriority w:val="1"/>
    <w:qFormat/>
    <w:rsid w:val="007500D4"/>
    <w:pPr>
      <w:keepLines/>
    </w:pPr>
    <w:rPr>
      <w:rFonts w:eastAsia="MS Mincho"/>
      <w:sz w:val="24"/>
      <w:lang w:eastAsia="zh-CN"/>
    </w:rPr>
  </w:style>
  <w:style w:type="character" w:styleId="IntenseReference">
    <w:name w:val="Intense Reference"/>
    <w:uiPriority w:val="32"/>
    <w:qFormat/>
    <w:rsid w:val="007500D4"/>
    <w:rPr>
      <w:b/>
      <w:bCs/>
      <w:smallCaps/>
      <w:color w:val="C0504D"/>
      <w:spacing w:val="5"/>
      <w:u w:val="single"/>
    </w:rPr>
  </w:style>
  <w:style w:type="character" w:styleId="Emphasis">
    <w:name w:val="Emphasis"/>
    <w:qFormat/>
    <w:rsid w:val="007500D4"/>
    <w:rPr>
      <w:i/>
      <w:iCs/>
    </w:rPr>
  </w:style>
  <w:style w:type="character" w:styleId="EndnoteReference">
    <w:name w:val="endnote reference"/>
    <w:semiHidden/>
    <w:rsid w:val="007500D4"/>
    <w:rPr>
      <w:vertAlign w:val="baseline"/>
    </w:rPr>
  </w:style>
  <w:style w:type="paragraph" w:styleId="BodyTextIndent2">
    <w:name w:val="Body Text Indent 2"/>
    <w:basedOn w:val="Normal"/>
    <w:link w:val="BodyTextIndent2Char"/>
    <w:semiHidden/>
    <w:rsid w:val="007500D4"/>
    <w:pPr>
      <w:autoSpaceDE/>
      <w:autoSpaceDN/>
      <w:adjustRightInd/>
      <w:spacing w:before="40" w:line="480" w:lineRule="auto"/>
      <w:ind w:left="360"/>
      <w:jc w:val="left"/>
    </w:pPr>
    <w:rPr>
      <w:rFonts w:eastAsia="MS Mincho"/>
      <w:szCs w:val="20"/>
      <w:lang w:val="en-US" w:eastAsia="zh-CN"/>
    </w:rPr>
  </w:style>
  <w:style w:type="character" w:customStyle="1" w:styleId="BodyTextIndent2Char">
    <w:name w:val="Body Text Indent 2 Char"/>
    <w:basedOn w:val="DefaultParagraphFont"/>
    <w:link w:val="BodyTextIndent2"/>
    <w:semiHidden/>
    <w:rsid w:val="007500D4"/>
    <w:rPr>
      <w:rFonts w:eastAsia="MS Mincho"/>
      <w:sz w:val="24"/>
      <w:lang w:eastAsia="zh-CN"/>
    </w:rPr>
  </w:style>
  <w:style w:type="paragraph" w:styleId="EndnoteText">
    <w:name w:val="endnote text"/>
    <w:basedOn w:val="Normal"/>
    <w:link w:val="EndnoteTextChar"/>
    <w:semiHidden/>
    <w:rsid w:val="007500D4"/>
    <w:pPr>
      <w:autoSpaceDE/>
      <w:autoSpaceDN/>
      <w:adjustRightInd/>
      <w:spacing w:before="80" w:after="60" w:line="240" w:lineRule="auto"/>
      <w:ind w:left="567" w:hanging="567"/>
      <w:jc w:val="left"/>
    </w:pPr>
    <w:rPr>
      <w:rFonts w:eastAsia="MS Mincho"/>
      <w:szCs w:val="20"/>
      <w:lang w:val="en-US" w:eastAsia="zh-CN"/>
    </w:rPr>
  </w:style>
  <w:style w:type="character" w:customStyle="1" w:styleId="EndnoteTextChar">
    <w:name w:val="Endnote Text Char"/>
    <w:basedOn w:val="DefaultParagraphFont"/>
    <w:link w:val="EndnoteText"/>
    <w:semiHidden/>
    <w:rsid w:val="007500D4"/>
    <w:rPr>
      <w:rFonts w:eastAsia="MS Mincho"/>
      <w:sz w:val="24"/>
      <w:lang w:eastAsia="zh-CN"/>
    </w:rPr>
  </w:style>
  <w:style w:type="paragraph" w:styleId="EnvelopeAddress">
    <w:name w:val="envelope address"/>
    <w:basedOn w:val="Normal"/>
    <w:semiHidden/>
    <w:rsid w:val="007500D4"/>
    <w:pPr>
      <w:framePr w:w="7920" w:h="1980" w:hRule="exact" w:hSpace="180" w:wrap="auto" w:hAnchor="page" w:xAlign="center" w:yAlign="bottom"/>
      <w:autoSpaceDE/>
      <w:autoSpaceDN/>
      <w:adjustRightInd/>
      <w:spacing w:before="40" w:after="0" w:line="240" w:lineRule="auto"/>
      <w:ind w:left="2880"/>
      <w:jc w:val="left"/>
    </w:pPr>
    <w:rPr>
      <w:rFonts w:ascii="Arial" w:eastAsia="MS Mincho" w:hAnsi="Arial" w:cs="Arial"/>
      <w:lang w:val="en-US" w:eastAsia="zh-CN"/>
    </w:rPr>
  </w:style>
  <w:style w:type="paragraph" w:styleId="EnvelopeReturn">
    <w:name w:val="envelope return"/>
    <w:basedOn w:val="Normal"/>
    <w:semiHidden/>
    <w:rsid w:val="007500D4"/>
    <w:pPr>
      <w:autoSpaceDE/>
      <w:autoSpaceDN/>
      <w:adjustRightInd/>
      <w:spacing w:before="40" w:after="0" w:line="240" w:lineRule="auto"/>
      <w:jc w:val="left"/>
    </w:pPr>
    <w:rPr>
      <w:rFonts w:ascii="Arial" w:eastAsia="MS Mincho" w:hAnsi="Arial" w:cs="Arial"/>
      <w:sz w:val="20"/>
      <w:szCs w:val="20"/>
      <w:lang w:val="en-US" w:eastAsia="zh-CN"/>
    </w:rPr>
  </w:style>
  <w:style w:type="character" w:styleId="FootnoteReference">
    <w:name w:val="footnote reference"/>
    <w:semiHidden/>
    <w:rsid w:val="007500D4"/>
    <w:rPr>
      <w:vertAlign w:val="superscript"/>
    </w:rPr>
  </w:style>
  <w:style w:type="paragraph" w:styleId="FootnoteText">
    <w:name w:val="footnote text"/>
    <w:basedOn w:val="Normal"/>
    <w:link w:val="FootnoteTextChar"/>
    <w:semiHidden/>
    <w:rsid w:val="007500D4"/>
    <w:pPr>
      <w:autoSpaceDE/>
      <w:autoSpaceDN/>
      <w:adjustRightInd/>
      <w:spacing w:before="40" w:after="0" w:line="240" w:lineRule="auto"/>
      <w:jc w:val="left"/>
    </w:pPr>
    <w:rPr>
      <w:rFonts w:eastAsia="MS Mincho"/>
      <w:sz w:val="20"/>
      <w:szCs w:val="20"/>
      <w:lang w:val="en-US" w:eastAsia="zh-CN"/>
    </w:rPr>
  </w:style>
  <w:style w:type="character" w:customStyle="1" w:styleId="FootnoteTextChar">
    <w:name w:val="Footnote Text Char"/>
    <w:basedOn w:val="DefaultParagraphFont"/>
    <w:link w:val="FootnoteText"/>
    <w:semiHidden/>
    <w:rsid w:val="007500D4"/>
    <w:rPr>
      <w:rFonts w:eastAsia="MS Mincho"/>
      <w:lang w:eastAsia="zh-CN"/>
    </w:rPr>
  </w:style>
  <w:style w:type="character" w:styleId="HTMLAcronym">
    <w:name w:val="HTML Acronym"/>
    <w:semiHidden/>
    <w:rsid w:val="007500D4"/>
  </w:style>
  <w:style w:type="character" w:customStyle="1" w:styleId="LegendChar">
    <w:name w:val="Legend Char"/>
    <w:link w:val="Legend"/>
    <w:rsid w:val="007500D4"/>
    <w:rPr>
      <w:rFonts w:ascii="Arial" w:eastAsia="MS Mincho" w:hAnsi="Arial" w:cs="Arial"/>
      <w:szCs w:val="24"/>
      <w:lang w:eastAsia="zh-CN"/>
    </w:rPr>
  </w:style>
  <w:style w:type="paragraph" w:styleId="HTMLAddress">
    <w:name w:val="HTML Address"/>
    <w:basedOn w:val="Normal"/>
    <w:link w:val="HTMLAddressChar"/>
    <w:semiHidden/>
    <w:rsid w:val="007500D4"/>
    <w:pPr>
      <w:autoSpaceDE/>
      <w:autoSpaceDN/>
      <w:adjustRightInd/>
      <w:spacing w:before="40" w:after="0" w:line="240" w:lineRule="auto"/>
      <w:jc w:val="left"/>
    </w:pPr>
    <w:rPr>
      <w:rFonts w:eastAsia="MS Mincho"/>
      <w:i/>
      <w:iCs/>
      <w:szCs w:val="20"/>
      <w:lang w:val="en-US" w:eastAsia="zh-CN"/>
    </w:rPr>
  </w:style>
  <w:style w:type="character" w:customStyle="1" w:styleId="HTMLAddressChar">
    <w:name w:val="HTML Address Char"/>
    <w:basedOn w:val="DefaultParagraphFont"/>
    <w:link w:val="HTMLAddress"/>
    <w:semiHidden/>
    <w:rsid w:val="007500D4"/>
    <w:rPr>
      <w:rFonts w:eastAsia="MS Mincho"/>
      <w:i/>
      <w:iCs/>
      <w:sz w:val="24"/>
      <w:lang w:eastAsia="zh-CN"/>
    </w:rPr>
  </w:style>
  <w:style w:type="paragraph" w:customStyle="1" w:styleId="NormalWeb1">
    <w:name w:val="Normal (Web)1"/>
    <w:basedOn w:val="Normal"/>
    <w:rsid w:val="007500D4"/>
    <w:pPr>
      <w:autoSpaceDE/>
      <w:autoSpaceDN/>
      <w:adjustRightInd/>
      <w:spacing w:before="213" w:after="213" w:line="213" w:lineRule="atLeast"/>
      <w:jc w:val="left"/>
    </w:pPr>
    <w:rPr>
      <w:rFonts w:ascii="Verdana" w:hAnsi="Verdana"/>
      <w:color w:val="000000"/>
      <w:sz w:val="15"/>
      <w:szCs w:val="15"/>
      <w:lang w:val="en-US" w:eastAsia="zh-CN"/>
    </w:rPr>
  </w:style>
  <w:style w:type="character" w:styleId="HTMLCite">
    <w:name w:val="HTML Cite"/>
    <w:semiHidden/>
    <w:rsid w:val="007500D4"/>
    <w:rPr>
      <w:i/>
      <w:iCs/>
    </w:rPr>
  </w:style>
  <w:style w:type="character" w:styleId="HTMLCode">
    <w:name w:val="HTML Code"/>
    <w:semiHidden/>
    <w:rsid w:val="007500D4"/>
    <w:rPr>
      <w:rFonts w:ascii="Courier New" w:hAnsi="Courier New" w:cs="Courier New"/>
      <w:sz w:val="20"/>
      <w:szCs w:val="20"/>
    </w:rPr>
  </w:style>
  <w:style w:type="character" w:styleId="HTMLDefinition">
    <w:name w:val="HTML Definition"/>
    <w:semiHidden/>
    <w:rsid w:val="007500D4"/>
    <w:rPr>
      <w:i/>
      <w:iCs/>
    </w:rPr>
  </w:style>
  <w:style w:type="character" w:styleId="HTMLKeyboard">
    <w:name w:val="HTML Keyboard"/>
    <w:semiHidden/>
    <w:rsid w:val="007500D4"/>
    <w:rPr>
      <w:rFonts w:ascii="Courier New" w:hAnsi="Courier New" w:cs="Courier New"/>
      <w:sz w:val="20"/>
      <w:szCs w:val="20"/>
    </w:rPr>
  </w:style>
  <w:style w:type="paragraph" w:styleId="HTMLPreformatted">
    <w:name w:val="HTML Preformatted"/>
    <w:basedOn w:val="Normal"/>
    <w:link w:val="HTMLPreformattedChar"/>
    <w:semiHidden/>
    <w:rsid w:val="007500D4"/>
    <w:pPr>
      <w:autoSpaceDE/>
      <w:autoSpaceDN/>
      <w:adjustRightInd/>
      <w:spacing w:before="40" w:after="0" w:line="240" w:lineRule="auto"/>
      <w:jc w:val="left"/>
    </w:pPr>
    <w:rPr>
      <w:rFonts w:ascii="Courier New" w:eastAsia="MS Mincho" w:hAnsi="Courier New" w:cs="Courier New"/>
      <w:sz w:val="20"/>
      <w:szCs w:val="20"/>
      <w:lang w:val="en-US" w:eastAsia="zh-CN"/>
    </w:rPr>
  </w:style>
  <w:style w:type="character" w:customStyle="1" w:styleId="HTMLPreformattedChar">
    <w:name w:val="HTML Preformatted Char"/>
    <w:basedOn w:val="DefaultParagraphFont"/>
    <w:link w:val="HTMLPreformatted"/>
    <w:semiHidden/>
    <w:rsid w:val="007500D4"/>
    <w:rPr>
      <w:rFonts w:ascii="Courier New" w:eastAsia="MS Mincho" w:hAnsi="Courier New" w:cs="Courier New"/>
      <w:lang w:eastAsia="zh-CN"/>
    </w:rPr>
  </w:style>
  <w:style w:type="character" w:styleId="HTMLSample">
    <w:name w:val="HTML Sample"/>
    <w:semiHidden/>
    <w:rsid w:val="007500D4"/>
    <w:rPr>
      <w:rFonts w:ascii="Courier New" w:hAnsi="Courier New" w:cs="Courier New"/>
    </w:rPr>
  </w:style>
  <w:style w:type="character" w:styleId="HTMLVariable">
    <w:name w:val="HTML Variable"/>
    <w:semiHidden/>
    <w:rsid w:val="007500D4"/>
    <w:rPr>
      <w:i/>
      <w:iCs/>
    </w:rPr>
  </w:style>
  <w:style w:type="paragraph" w:styleId="Index1">
    <w:name w:val="index 1"/>
    <w:basedOn w:val="Normal"/>
    <w:next w:val="Normal"/>
    <w:autoRedefine/>
    <w:semiHidden/>
    <w:rsid w:val="007500D4"/>
    <w:pPr>
      <w:autoSpaceDE/>
      <w:autoSpaceDN/>
      <w:adjustRightInd/>
      <w:spacing w:before="40" w:after="0" w:line="240" w:lineRule="auto"/>
      <w:ind w:left="240" w:hanging="240"/>
      <w:jc w:val="left"/>
    </w:pPr>
    <w:rPr>
      <w:rFonts w:eastAsia="MS Mincho"/>
      <w:szCs w:val="20"/>
      <w:lang w:val="en-US" w:eastAsia="zh-CN"/>
    </w:rPr>
  </w:style>
  <w:style w:type="paragraph" w:styleId="Index2">
    <w:name w:val="index 2"/>
    <w:basedOn w:val="Normal"/>
    <w:next w:val="Normal"/>
    <w:autoRedefine/>
    <w:semiHidden/>
    <w:rsid w:val="007500D4"/>
    <w:pPr>
      <w:autoSpaceDE/>
      <w:autoSpaceDN/>
      <w:adjustRightInd/>
      <w:spacing w:before="40" w:after="0" w:line="240" w:lineRule="auto"/>
      <w:ind w:left="480" w:hanging="240"/>
      <w:jc w:val="left"/>
    </w:pPr>
    <w:rPr>
      <w:rFonts w:eastAsia="MS Mincho"/>
      <w:szCs w:val="20"/>
      <w:lang w:val="en-US" w:eastAsia="zh-CN"/>
    </w:rPr>
  </w:style>
  <w:style w:type="paragraph" w:styleId="Index3">
    <w:name w:val="index 3"/>
    <w:basedOn w:val="Normal"/>
    <w:next w:val="Normal"/>
    <w:autoRedefine/>
    <w:semiHidden/>
    <w:rsid w:val="007500D4"/>
    <w:pPr>
      <w:autoSpaceDE/>
      <w:autoSpaceDN/>
      <w:adjustRightInd/>
      <w:spacing w:before="40" w:after="0" w:line="240" w:lineRule="auto"/>
      <w:ind w:left="720" w:hanging="240"/>
      <w:jc w:val="left"/>
    </w:pPr>
    <w:rPr>
      <w:rFonts w:eastAsia="MS Mincho"/>
      <w:szCs w:val="20"/>
      <w:lang w:val="en-US" w:eastAsia="zh-CN"/>
    </w:rPr>
  </w:style>
  <w:style w:type="paragraph" w:styleId="Index4">
    <w:name w:val="index 4"/>
    <w:basedOn w:val="Normal"/>
    <w:next w:val="Normal"/>
    <w:autoRedefine/>
    <w:semiHidden/>
    <w:rsid w:val="007500D4"/>
    <w:pPr>
      <w:autoSpaceDE/>
      <w:autoSpaceDN/>
      <w:adjustRightInd/>
      <w:spacing w:before="40" w:after="0" w:line="240" w:lineRule="auto"/>
      <w:ind w:left="960" w:hanging="240"/>
      <w:jc w:val="left"/>
    </w:pPr>
    <w:rPr>
      <w:rFonts w:eastAsia="MS Mincho"/>
      <w:szCs w:val="20"/>
      <w:lang w:val="en-US" w:eastAsia="zh-CN"/>
    </w:rPr>
  </w:style>
  <w:style w:type="paragraph" w:styleId="Index5">
    <w:name w:val="index 5"/>
    <w:basedOn w:val="Normal"/>
    <w:next w:val="Normal"/>
    <w:autoRedefine/>
    <w:semiHidden/>
    <w:rsid w:val="007500D4"/>
    <w:pPr>
      <w:autoSpaceDE/>
      <w:autoSpaceDN/>
      <w:adjustRightInd/>
      <w:spacing w:before="40" w:after="0" w:line="240" w:lineRule="auto"/>
      <w:ind w:left="1200" w:hanging="240"/>
      <w:jc w:val="left"/>
    </w:pPr>
    <w:rPr>
      <w:rFonts w:eastAsia="MS Mincho"/>
      <w:szCs w:val="20"/>
      <w:lang w:val="en-US" w:eastAsia="zh-CN"/>
    </w:rPr>
  </w:style>
  <w:style w:type="paragraph" w:styleId="Index6">
    <w:name w:val="index 6"/>
    <w:basedOn w:val="Normal"/>
    <w:next w:val="Normal"/>
    <w:autoRedefine/>
    <w:semiHidden/>
    <w:rsid w:val="007500D4"/>
    <w:pPr>
      <w:autoSpaceDE/>
      <w:autoSpaceDN/>
      <w:adjustRightInd/>
      <w:spacing w:before="40" w:after="0" w:line="240" w:lineRule="auto"/>
      <w:ind w:left="1440" w:hanging="240"/>
      <w:jc w:val="left"/>
    </w:pPr>
    <w:rPr>
      <w:rFonts w:eastAsia="MS Mincho"/>
      <w:szCs w:val="20"/>
      <w:lang w:val="en-US" w:eastAsia="zh-CN"/>
    </w:rPr>
  </w:style>
  <w:style w:type="paragraph" w:styleId="Index7">
    <w:name w:val="index 7"/>
    <w:basedOn w:val="Normal"/>
    <w:next w:val="Normal"/>
    <w:autoRedefine/>
    <w:semiHidden/>
    <w:rsid w:val="007500D4"/>
    <w:pPr>
      <w:autoSpaceDE/>
      <w:autoSpaceDN/>
      <w:adjustRightInd/>
      <w:spacing w:before="40" w:after="0" w:line="240" w:lineRule="auto"/>
      <w:ind w:left="1680" w:hanging="240"/>
      <w:jc w:val="left"/>
    </w:pPr>
    <w:rPr>
      <w:rFonts w:eastAsia="MS Mincho"/>
      <w:szCs w:val="20"/>
      <w:lang w:val="en-US" w:eastAsia="zh-CN"/>
    </w:rPr>
  </w:style>
  <w:style w:type="paragraph" w:styleId="Index8">
    <w:name w:val="index 8"/>
    <w:basedOn w:val="Normal"/>
    <w:next w:val="Normal"/>
    <w:autoRedefine/>
    <w:semiHidden/>
    <w:rsid w:val="007500D4"/>
    <w:pPr>
      <w:autoSpaceDE/>
      <w:autoSpaceDN/>
      <w:adjustRightInd/>
      <w:spacing w:before="40" w:after="0" w:line="240" w:lineRule="auto"/>
      <w:ind w:left="1920" w:hanging="240"/>
      <w:jc w:val="left"/>
    </w:pPr>
    <w:rPr>
      <w:rFonts w:eastAsia="MS Mincho"/>
      <w:szCs w:val="20"/>
      <w:lang w:val="en-US" w:eastAsia="zh-CN"/>
    </w:rPr>
  </w:style>
  <w:style w:type="paragraph" w:styleId="Index9">
    <w:name w:val="index 9"/>
    <w:basedOn w:val="Normal"/>
    <w:next w:val="Normal"/>
    <w:autoRedefine/>
    <w:semiHidden/>
    <w:rsid w:val="007500D4"/>
    <w:pPr>
      <w:autoSpaceDE/>
      <w:autoSpaceDN/>
      <w:adjustRightInd/>
      <w:spacing w:before="40" w:after="0" w:line="240" w:lineRule="auto"/>
      <w:ind w:left="2160" w:hanging="240"/>
      <w:jc w:val="left"/>
    </w:pPr>
    <w:rPr>
      <w:rFonts w:eastAsia="MS Mincho"/>
      <w:szCs w:val="20"/>
      <w:lang w:val="en-US" w:eastAsia="zh-CN"/>
    </w:rPr>
  </w:style>
  <w:style w:type="paragraph" w:styleId="IndexHeading">
    <w:name w:val="index heading"/>
    <w:basedOn w:val="Normal"/>
    <w:next w:val="Index1"/>
    <w:semiHidden/>
    <w:rsid w:val="007500D4"/>
    <w:pPr>
      <w:autoSpaceDE/>
      <w:autoSpaceDN/>
      <w:adjustRightInd/>
      <w:spacing w:before="40" w:after="0" w:line="240" w:lineRule="auto"/>
      <w:jc w:val="left"/>
    </w:pPr>
    <w:rPr>
      <w:rFonts w:ascii="Arial" w:eastAsia="MS Mincho" w:hAnsi="Arial" w:cs="Arial"/>
      <w:b/>
      <w:bCs/>
      <w:szCs w:val="20"/>
      <w:lang w:val="en-US" w:eastAsia="zh-CN"/>
    </w:rPr>
  </w:style>
  <w:style w:type="character" w:styleId="LineNumber">
    <w:name w:val="line number"/>
    <w:semiHidden/>
    <w:rsid w:val="007500D4"/>
  </w:style>
  <w:style w:type="paragraph" w:styleId="List">
    <w:name w:val="List"/>
    <w:basedOn w:val="Normal"/>
    <w:semiHidden/>
    <w:rsid w:val="007500D4"/>
    <w:pPr>
      <w:autoSpaceDE/>
      <w:autoSpaceDN/>
      <w:adjustRightInd/>
      <w:spacing w:before="40" w:after="0" w:line="240" w:lineRule="auto"/>
      <w:ind w:left="360" w:hanging="360"/>
      <w:jc w:val="left"/>
    </w:pPr>
    <w:rPr>
      <w:rFonts w:eastAsia="MS Mincho"/>
      <w:szCs w:val="20"/>
      <w:lang w:val="en-US" w:eastAsia="zh-CN"/>
    </w:rPr>
  </w:style>
  <w:style w:type="paragraph" w:styleId="List2">
    <w:name w:val="List 2"/>
    <w:basedOn w:val="Normal"/>
    <w:semiHidden/>
    <w:rsid w:val="007500D4"/>
    <w:pPr>
      <w:autoSpaceDE/>
      <w:autoSpaceDN/>
      <w:adjustRightInd/>
      <w:spacing w:before="40" w:after="0" w:line="240" w:lineRule="auto"/>
      <w:ind w:left="720" w:hanging="360"/>
      <w:jc w:val="left"/>
    </w:pPr>
    <w:rPr>
      <w:rFonts w:eastAsia="MS Mincho"/>
      <w:szCs w:val="20"/>
      <w:lang w:val="en-US" w:eastAsia="zh-CN"/>
    </w:rPr>
  </w:style>
  <w:style w:type="paragraph" w:styleId="List3">
    <w:name w:val="List 3"/>
    <w:basedOn w:val="Normal"/>
    <w:semiHidden/>
    <w:rsid w:val="007500D4"/>
    <w:pPr>
      <w:autoSpaceDE/>
      <w:autoSpaceDN/>
      <w:adjustRightInd/>
      <w:spacing w:before="40" w:after="0" w:line="240" w:lineRule="auto"/>
      <w:ind w:left="1080" w:hanging="360"/>
      <w:jc w:val="left"/>
    </w:pPr>
    <w:rPr>
      <w:rFonts w:eastAsia="MS Mincho"/>
      <w:szCs w:val="20"/>
      <w:lang w:val="en-US" w:eastAsia="zh-CN"/>
    </w:rPr>
  </w:style>
  <w:style w:type="paragraph" w:styleId="List4">
    <w:name w:val="List 4"/>
    <w:basedOn w:val="Normal"/>
    <w:semiHidden/>
    <w:rsid w:val="007500D4"/>
    <w:pPr>
      <w:autoSpaceDE/>
      <w:autoSpaceDN/>
      <w:adjustRightInd/>
      <w:spacing w:before="40" w:after="0" w:line="240" w:lineRule="auto"/>
      <w:ind w:left="1440" w:hanging="360"/>
      <w:jc w:val="left"/>
    </w:pPr>
    <w:rPr>
      <w:rFonts w:eastAsia="MS Mincho"/>
      <w:szCs w:val="20"/>
      <w:lang w:val="en-US" w:eastAsia="zh-CN"/>
    </w:rPr>
  </w:style>
  <w:style w:type="paragraph" w:styleId="List5">
    <w:name w:val="List 5"/>
    <w:basedOn w:val="Normal"/>
    <w:semiHidden/>
    <w:rsid w:val="007500D4"/>
    <w:pPr>
      <w:autoSpaceDE/>
      <w:autoSpaceDN/>
      <w:adjustRightInd/>
      <w:spacing w:before="40" w:after="0" w:line="240" w:lineRule="auto"/>
      <w:ind w:left="1800" w:hanging="360"/>
      <w:jc w:val="left"/>
    </w:pPr>
    <w:rPr>
      <w:rFonts w:eastAsia="MS Mincho"/>
      <w:szCs w:val="20"/>
      <w:lang w:val="en-US" w:eastAsia="zh-CN"/>
    </w:rPr>
  </w:style>
  <w:style w:type="paragraph" w:styleId="ListBullet">
    <w:name w:val="List Bullet"/>
    <w:basedOn w:val="Normal"/>
    <w:autoRedefine/>
    <w:semiHidden/>
    <w:rsid w:val="007500D4"/>
    <w:pPr>
      <w:autoSpaceDE/>
      <w:autoSpaceDN/>
      <w:adjustRightInd/>
      <w:spacing w:before="40" w:after="0" w:line="240" w:lineRule="auto"/>
      <w:jc w:val="left"/>
    </w:pPr>
    <w:rPr>
      <w:rFonts w:eastAsia="MS Mincho"/>
      <w:szCs w:val="20"/>
      <w:lang w:val="en-US" w:eastAsia="zh-CN"/>
    </w:rPr>
  </w:style>
  <w:style w:type="paragraph" w:styleId="ListBullet2">
    <w:name w:val="List Bullet 2"/>
    <w:basedOn w:val="Normal"/>
    <w:autoRedefine/>
    <w:semiHidden/>
    <w:rsid w:val="007500D4"/>
    <w:pPr>
      <w:autoSpaceDE/>
      <w:autoSpaceDN/>
      <w:adjustRightInd/>
      <w:spacing w:before="40" w:after="0" w:line="240" w:lineRule="auto"/>
      <w:jc w:val="left"/>
    </w:pPr>
    <w:rPr>
      <w:rFonts w:eastAsia="MS Mincho"/>
      <w:szCs w:val="20"/>
      <w:lang w:val="en-US" w:eastAsia="zh-CN"/>
    </w:rPr>
  </w:style>
  <w:style w:type="paragraph" w:styleId="ListBullet3">
    <w:name w:val="List Bullet 3"/>
    <w:basedOn w:val="Normal"/>
    <w:autoRedefine/>
    <w:semiHidden/>
    <w:rsid w:val="007500D4"/>
    <w:pPr>
      <w:autoSpaceDE/>
      <w:autoSpaceDN/>
      <w:adjustRightInd/>
      <w:spacing w:before="40" w:after="0" w:line="240" w:lineRule="auto"/>
      <w:jc w:val="left"/>
    </w:pPr>
    <w:rPr>
      <w:rFonts w:eastAsia="MS Mincho"/>
      <w:szCs w:val="20"/>
      <w:lang w:val="en-US" w:eastAsia="zh-CN"/>
    </w:rPr>
  </w:style>
  <w:style w:type="paragraph" w:styleId="ListBullet4">
    <w:name w:val="List Bullet 4"/>
    <w:basedOn w:val="Normal"/>
    <w:autoRedefine/>
    <w:semiHidden/>
    <w:rsid w:val="007500D4"/>
    <w:pPr>
      <w:autoSpaceDE/>
      <w:autoSpaceDN/>
      <w:adjustRightInd/>
      <w:spacing w:before="40" w:after="0" w:line="240" w:lineRule="auto"/>
      <w:jc w:val="left"/>
    </w:pPr>
    <w:rPr>
      <w:rFonts w:eastAsia="MS Mincho"/>
      <w:szCs w:val="20"/>
      <w:lang w:val="en-US" w:eastAsia="zh-CN"/>
    </w:rPr>
  </w:style>
  <w:style w:type="paragraph" w:styleId="ListBullet5">
    <w:name w:val="List Bullet 5"/>
    <w:basedOn w:val="Normal"/>
    <w:autoRedefine/>
    <w:semiHidden/>
    <w:rsid w:val="007500D4"/>
    <w:pPr>
      <w:autoSpaceDE/>
      <w:autoSpaceDN/>
      <w:adjustRightInd/>
      <w:spacing w:before="40" w:after="0" w:line="240" w:lineRule="auto"/>
      <w:jc w:val="left"/>
    </w:pPr>
    <w:rPr>
      <w:rFonts w:eastAsia="MS Mincho"/>
      <w:szCs w:val="20"/>
      <w:lang w:val="en-US" w:eastAsia="zh-CN"/>
    </w:rPr>
  </w:style>
  <w:style w:type="paragraph" w:styleId="ListContinue">
    <w:name w:val="List Continue"/>
    <w:basedOn w:val="Normal"/>
    <w:semiHidden/>
    <w:rsid w:val="007500D4"/>
    <w:pPr>
      <w:autoSpaceDE/>
      <w:autoSpaceDN/>
      <w:adjustRightInd/>
      <w:spacing w:before="40" w:line="240" w:lineRule="auto"/>
      <w:ind w:left="360"/>
      <w:jc w:val="left"/>
    </w:pPr>
    <w:rPr>
      <w:rFonts w:eastAsia="MS Mincho"/>
      <w:szCs w:val="20"/>
      <w:lang w:val="en-US" w:eastAsia="zh-CN"/>
    </w:rPr>
  </w:style>
  <w:style w:type="paragraph" w:styleId="ListContinue2">
    <w:name w:val="List Continue 2"/>
    <w:basedOn w:val="Normal"/>
    <w:semiHidden/>
    <w:rsid w:val="007500D4"/>
    <w:pPr>
      <w:autoSpaceDE/>
      <w:autoSpaceDN/>
      <w:adjustRightInd/>
      <w:spacing w:before="40" w:line="240" w:lineRule="auto"/>
      <w:ind w:left="720"/>
      <w:jc w:val="left"/>
    </w:pPr>
    <w:rPr>
      <w:rFonts w:eastAsia="MS Mincho"/>
      <w:szCs w:val="20"/>
      <w:lang w:val="en-US" w:eastAsia="zh-CN"/>
    </w:rPr>
  </w:style>
  <w:style w:type="paragraph" w:styleId="ListContinue3">
    <w:name w:val="List Continue 3"/>
    <w:basedOn w:val="Normal"/>
    <w:semiHidden/>
    <w:rsid w:val="007500D4"/>
    <w:pPr>
      <w:autoSpaceDE/>
      <w:autoSpaceDN/>
      <w:adjustRightInd/>
      <w:spacing w:before="40" w:line="240" w:lineRule="auto"/>
      <w:ind w:left="1080"/>
      <w:jc w:val="left"/>
    </w:pPr>
    <w:rPr>
      <w:rFonts w:eastAsia="MS Mincho"/>
      <w:szCs w:val="20"/>
      <w:lang w:val="en-US" w:eastAsia="zh-CN"/>
    </w:rPr>
  </w:style>
  <w:style w:type="paragraph" w:styleId="ListContinue4">
    <w:name w:val="List Continue 4"/>
    <w:basedOn w:val="Normal"/>
    <w:semiHidden/>
    <w:rsid w:val="007500D4"/>
    <w:pPr>
      <w:autoSpaceDE/>
      <w:autoSpaceDN/>
      <w:adjustRightInd/>
      <w:spacing w:before="40" w:line="240" w:lineRule="auto"/>
      <w:ind w:left="1440"/>
      <w:jc w:val="left"/>
    </w:pPr>
    <w:rPr>
      <w:rFonts w:eastAsia="MS Mincho"/>
      <w:szCs w:val="20"/>
      <w:lang w:val="en-US" w:eastAsia="zh-CN"/>
    </w:rPr>
  </w:style>
  <w:style w:type="paragraph" w:styleId="ListContinue5">
    <w:name w:val="List Continue 5"/>
    <w:basedOn w:val="Normal"/>
    <w:semiHidden/>
    <w:rsid w:val="007500D4"/>
    <w:pPr>
      <w:autoSpaceDE/>
      <w:autoSpaceDN/>
      <w:adjustRightInd/>
      <w:spacing w:before="40" w:line="240" w:lineRule="auto"/>
      <w:ind w:left="1800"/>
      <w:jc w:val="left"/>
    </w:pPr>
    <w:rPr>
      <w:rFonts w:eastAsia="MS Mincho"/>
      <w:szCs w:val="20"/>
      <w:lang w:val="en-US" w:eastAsia="zh-CN"/>
    </w:rPr>
  </w:style>
  <w:style w:type="paragraph" w:styleId="ListNumber">
    <w:name w:val="List Number"/>
    <w:basedOn w:val="Normal"/>
    <w:semiHidden/>
    <w:rsid w:val="007500D4"/>
    <w:pPr>
      <w:autoSpaceDE/>
      <w:autoSpaceDN/>
      <w:adjustRightInd/>
      <w:spacing w:before="40" w:after="0" w:line="240" w:lineRule="auto"/>
      <w:jc w:val="left"/>
    </w:pPr>
    <w:rPr>
      <w:rFonts w:eastAsia="MS Mincho"/>
      <w:szCs w:val="20"/>
      <w:lang w:val="en-US" w:eastAsia="zh-CN"/>
    </w:rPr>
  </w:style>
  <w:style w:type="paragraph" w:styleId="ListNumber2">
    <w:name w:val="List Number 2"/>
    <w:basedOn w:val="Normal"/>
    <w:semiHidden/>
    <w:rsid w:val="007500D4"/>
    <w:pPr>
      <w:autoSpaceDE/>
      <w:autoSpaceDN/>
      <w:adjustRightInd/>
      <w:spacing w:before="40" w:after="0" w:line="240" w:lineRule="auto"/>
      <w:jc w:val="left"/>
    </w:pPr>
    <w:rPr>
      <w:rFonts w:eastAsia="MS Mincho"/>
      <w:szCs w:val="20"/>
      <w:lang w:val="en-US" w:eastAsia="zh-CN"/>
    </w:rPr>
  </w:style>
  <w:style w:type="paragraph" w:styleId="ListNumber3">
    <w:name w:val="List Number 3"/>
    <w:basedOn w:val="Normal"/>
    <w:semiHidden/>
    <w:rsid w:val="007500D4"/>
    <w:pPr>
      <w:autoSpaceDE/>
      <w:autoSpaceDN/>
      <w:adjustRightInd/>
      <w:spacing w:before="40" w:after="0" w:line="240" w:lineRule="auto"/>
      <w:jc w:val="left"/>
    </w:pPr>
    <w:rPr>
      <w:rFonts w:eastAsia="MS Mincho"/>
      <w:szCs w:val="20"/>
      <w:lang w:val="en-US" w:eastAsia="zh-CN"/>
    </w:rPr>
  </w:style>
  <w:style w:type="paragraph" w:styleId="ListNumber4">
    <w:name w:val="List Number 4"/>
    <w:basedOn w:val="Normal"/>
    <w:semiHidden/>
    <w:rsid w:val="007500D4"/>
    <w:pPr>
      <w:autoSpaceDE/>
      <w:autoSpaceDN/>
      <w:adjustRightInd/>
      <w:spacing w:before="40" w:after="0" w:line="240" w:lineRule="auto"/>
      <w:jc w:val="left"/>
    </w:pPr>
    <w:rPr>
      <w:rFonts w:eastAsia="MS Mincho"/>
      <w:szCs w:val="20"/>
      <w:lang w:val="en-US" w:eastAsia="zh-CN"/>
    </w:rPr>
  </w:style>
  <w:style w:type="paragraph" w:styleId="ListNumber5">
    <w:name w:val="List Number 5"/>
    <w:basedOn w:val="Normal"/>
    <w:semiHidden/>
    <w:rsid w:val="007500D4"/>
    <w:pPr>
      <w:autoSpaceDE/>
      <w:autoSpaceDN/>
      <w:adjustRightInd/>
      <w:spacing w:before="40" w:after="0" w:line="240" w:lineRule="auto"/>
      <w:jc w:val="left"/>
    </w:pPr>
    <w:rPr>
      <w:rFonts w:eastAsia="MS Mincho"/>
      <w:szCs w:val="20"/>
      <w:lang w:val="en-US" w:eastAsia="zh-CN"/>
    </w:rPr>
  </w:style>
  <w:style w:type="paragraph" w:styleId="MacroText">
    <w:name w:val="macro"/>
    <w:link w:val="MacroTextChar"/>
    <w:semiHidden/>
    <w:rsid w:val="007500D4"/>
    <w:pPr>
      <w:tabs>
        <w:tab w:val="left" w:pos="480"/>
        <w:tab w:val="left" w:pos="960"/>
        <w:tab w:val="left" w:pos="1440"/>
        <w:tab w:val="left" w:pos="1920"/>
        <w:tab w:val="left" w:pos="2400"/>
        <w:tab w:val="left" w:pos="2880"/>
        <w:tab w:val="left" w:pos="3360"/>
        <w:tab w:val="left" w:pos="3840"/>
        <w:tab w:val="left" w:pos="4320"/>
      </w:tabs>
    </w:pPr>
    <w:rPr>
      <w:rFonts w:ascii="Courier New" w:eastAsia="MS Mincho" w:hAnsi="Courier New" w:cs="Courier New"/>
    </w:rPr>
  </w:style>
  <w:style w:type="character" w:customStyle="1" w:styleId="MacroTextChar">
    <w:name w:val="Macro Text Char"/>
    <w:basedOn w:val="DefaultParagraphFont"/>
    <w:link w:val="MacroText"/>
    <w:semiHidden/>
    <w:rsid w:val="007500D4"/>
    <w:rPr>
      <w:rFonts w:ascii="Courier New" w:eastAsia="MS Mincho" w:hAnsi="Courier New" w:cs="Courier New"/>
    </w:rPr>
  </w:style>
  <w:style w:type="paragraph" w:styleId="MessageHeader">
    <w:name w:val="Message Header"/>
    <w:basedOn w:val="Normal"/>
    <w:link w:val="MessageHeaderChar"/>
    <w:semiHidden/>
    <w:rsid w:val="007500D4"/>
    <w:pPr>
      <w:pBdr>
        <w:top w:val="single" w:sz="6" w:space="1" w:color="auto"/>
        <w:left w:val="single" w:sz="6" w:space="1" w:color="auto"/>
        <w:bottom w:val="single" w:sz="6" w:space="1" w:color="auto"/>
        <w:right w:val="single" w:sz="6" w:space="1" w:color="auto"/>
      </w:pBdr>
      <w:shd w:val="pct20" w:color="auto" w:fill="auto"/>
      <w:autoSpaceDE/>
      <w:autoSpaceDN/>
      <w:adjustRightInd/>
      <w:spacing w:before="40" w:after="0" w:line="240" w:lineRule="auto"/>
      <w:ind w:left="1080" w:hanging="1080"/>
      <w:jc w:val="left"/>
    </w:pPr>
    <w:rPr>
      <w:rFonts w:ascii="Arial" w:eastAsia="MS Mincho" w:hAnsi="Arial" w:cs="Arial"/>
      <w:lang w:val="en-US" w:eastAsia="zh-CN"/>
    </w:rPr>
  </w:style>
  <w:style w:type="character" w:customStyle="1" w:styleId="MessageHeaderChar">
    <w:name w:val="Message Header Char"/>
    <w:basedOn w:val="DefaultParagraphFont"/>
    <w:link w:val="MessageHeader"/>
    <w:semiHidden/>
    <w:rsid w:val="007500D4"/>
    <w:rPr>
      <w:rFonts w:ascii="Arial" w:eastAsia="MS Mincho" w:hAnsi="Arial" w:cs="Arial"/>
      <w:sz w:val="24"/>
      <w:szCs w:val="24"/>
      <w:shd w:val="pct20" w:color="auto" w:fill="auto"/>
      <w:lang w:eastAsia="zh-CN"/>
    </w:rPr>
  </w:style>
  <w:style w:type="paragraph" w:styleId="NormalIndent">
    <w:name w:val="Normal Indent"/>
    <w:basedOn w:val="Normal"/>
    <w:semiHidden/>
    <w:rsid w:val="007500D4"/>
    <w:pPr>
      <w:autoSpaceDE/>
      <w:autoSpaceDN/>
      <w:adjustRightInd/>
      <w:spacing w:before="40" w:after="0" w:line="240" w:lineRule="auto"/>
      <w:ind w:left="720"/>
      <w:jc w:val="left"/>
    </w:pPr>
    <w:rPr>
      <w:rFonts w:eastAsia="MS Mincho"/>
      <w:szCs w:val="20"/>
      <w:lang w:val="en-US" w:eastAsia="zh-CN"/>
    </w:rPr>
  </w:style>
  <w:style w:type="paragraph" w:styleId="NoteHeading">
    <w:name w:val="Note Heading"/>
    <w:basedOn w:val="Normal"/>
    <w:next w:val="Normal"/>
    <w:link w:val="NoteHeadingChar"/>
    <w:semiHidden/>
    <w:rsid w:val="007500D4"/>
    <w:pPr>
      <w:autoSpaceDE/>
      <w:autoSpaceDN/>
      <w:adjustRightInd/>
      <w:spacing w:before="40" w:after="0" w:line="240" w:lineRule="auto"/>
      <w:jc w:val="left"/>
    </w:pPr>
    <w:rPr>
      <w:rFonts w:eastAsia="MS Mincho"/>
      <w:szCs w:val="20"/>
      <w:lang w:val="en-US" w:eastAsia="zh-CN"/>
    </w:rPr>
  </w:style>
  <w:style w:type="character" w:customStyle="1" w:styleId="NoteHeadingChar">
    <w:name w:val="Note Heading Char"/>
    <w:basedOn w:val="DefaultParagraphFont"/>
    <w:link w:val="NoteHeading"/>
    <w:semiHidden/>
    <w:rsid w:val="007500D4"/>
    <w:rPr>
      <w:rFonts w:eastAsia="MS Mincho"/>
      <w:sz w:val="24"/>
      <w:lang w:eastAsia="zh-CN"/>
    </w:rPr>
  </w:style>
  <w:style w:type="paragraph" w:styleId="PlainText">
    <w:name w:val="Plain Text"/>
    <w:basedOn w:val="Normal"/>
    <w:link w:val="PlainTextChar"/>
    <w:semiHidden/>
    <w:rsid w:val="007500D4"/>
    <w:pPr>
      <w:autoSpaceDE/>
      <w:autoSpaceDN/>
      <w:adjustRightInd/>
      <w:spacing w:before="40" w:after="0" w:line="240" w:lineRule="auto"/>
      <w:jc w:val="left"/>
    </w:pPr>
    <w:rPr>
      <w:rFonts w:ascii="Courier New" w:eastAsia="MS Mincho" w:hAnsi="Courier New" w:cs="Courier New"/>
      <w:sz w:val="20"/>
      <w:szCs w:val="20"/>
      <w:lang w:val="en-US" w:eastAsia="zh-CN"/>
    </w:rPr>
  </w:style>
  <w:style w:type="character" w:customStyle="1" w:styleId="PlainTextChar">
    <w:name w:val="Plain Text Char"/>
    <w:basedOn w:val="DefaultParagraphFont"/>
    <w:link w:val="PlainText"/>
    <w:semiHidden/>
    <w:rsid w:val="007500D4"/>
    <w:rPr>
      <w:rFonts w:ascii="Courier New" w:eastAsia="MS Mincho" w:hAnsi="Courier New" w:cs="Courier New"/>
      <w:lang w:eastAsia="zh-CN"/>
    </w:rPr>
  </w:style>
  <w:style w:type="paragraph" w:styleId="Salutation">
    <w:name w:val="Salutation"/>
    <w:basedOn w:val="Normal"/>
    <w:next w:val="Normal"/>
    <w:link w:val="SalutationChar"/>
    <w:semiHidden/>
    <w:rsid w:val="007500D4"/>
    <w:pPr>
      <w:autoSpaceDE/>
      <w:autoSpaceDN/>
      <w:adjustRightInd/>
      <w:spacing w:before="40" w:after="0" w:line="240" w:lineRule="auto"/>
      <w:jc w:val="left"/>
    </w:pPr>
    <w:rPr>
      <w:rFonts w:eastAsia="MS Mincho"/>
      <w:szCs w:val="20"/>
      <w:lang w:val="en-US" w:eastAsia="zh-CN"/>
    </w:rPr>
  </w:style>
  <w:style w:type="character" w:customStyle="1" w:styleId="SalutationChar">
    <w:name w:val="Salutation Char"/>
    <w:basedOn w:val="DefaultParagraphFont"/>
    <w:link w:val="Salutation"/>
    <w:semiHidden/>
    <w:rsid w:val="007500D4"/>
    <w:rPr>
      <w:rFonts w:eastAsia="MS Mincho"/>
      <w:sz w:val="24"/>
      <w:lang w:eastAsia="zh-CN"/>
    </w:rPr>
  </w:style>
  <w:style w:type="paragraph" w:styleId="Signature">
    <w:name w:val="Signature"/>
    <w:basedOn w:val="Normal"/>
    <w:link w:val="SignatureChar"/>
    <w:semiHidden/>
    <w:rsid w:val="007500D4"/>
    <w:pPr>
      <w:autoSpaceDE/>
      <w:autoSpaceDN/>
      <w:adjustRightInd/>
      <w:spacing w:before="40" w:after="0" w:line="240" w:lineRule="auto"/>
      <w:ind w:left="4320"/>
      <w:jc w:val="left"/>
    </w:pPr>
    <w:rPr>
      <w:rFonts w:eastAsia="MS Mincho"/>
      <w:szCs w:val="20"/>
      <w:lang w:val="en-US" w:eastAsia="zh-CN"/>
    </w:rPr>
  </w:style>
  <w:style w:type="character" w:customStyle="1" w:styleId="SignatureChar">
    <w:name w:val="Signature Char"/>
    <w:basedOn w:val="DefaultParagraphFont"/>
    <w:link w:val="Signature"/>
    <w:semiHidden/>
    <w:rsid w:val="007500D4"/>
    <w:rPr>
      <w:rFonts w:eastAsia="MS Mincho"/>
      <w:sz w:val="24"/>
      <w:lang w:eastAsia="zh-CN"/>
    </w:rPr>
  </w:style>
  <w:style w:type="paragraph" w:styleId="Subtitle">
    <w:name w:val="Subtitle"/>
    <w:basedOn w:val="Normal"/>
    <w:link w:val="SubtitleChar"/>
    <w:qFormat/>
    <w:rsid w:val="007500D4"/>
    <w:pPr>
      <w:autoSpaceDE/>
      <w:autoSpaceDN/>
      <w:adjustRightInd/>
      <w:spacing w:before="40" w:after="60" w:line="240" w:lineRule="auto"/>
      <w:jc w:val="center"/>
      <w:outlineLvl w:val="1"/>
    </w:pPr>
    <w:rPr>
      <w:rFonts w:ascii="Arial" w:eastAsia="MS Mincho" w:hAnsi="Arial" w:cs="Arial"/>
      <w:lang w:val="en-US" w:eastAsia="zh-CN"/>
    </w:rPr>
  </w:style>
  <w:style w:type="character" w:customStyle="1" w:styleId="SubtitleChar">
    <w:name w:val="Subtitle Char"/>
    <w:basedOn w:val="DefaultParagraphFont"/>
    <w:link w:val="Subtitle"/>
    <w:rsid w:val="007500D4"/>
    <w:rPr>
      <w:rFonts w:ascii="Arial" w:eastAsia="MS Mincho" w:hAnsi="Arial" w:cs="Arial"/>
      <w:sz w:val="24"/>
      <w:szCs w:val="24"/>
      <w:lang w:eastAsia="zh-CN"/>
    </w:rPr>
  </w:style>
  <w:style w:type="table" w:styleId="Table3Deffects1">
    <w:name w:val="Table 3D effects 1"/>
    <w:basedOn w:val="TableNormal"/>
    <w:semiHidden/>
    <w:rsid w:val="007500D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500D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500D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500D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500D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500D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500D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500D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500D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500D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500D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500D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500D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500D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500D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500D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500D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7500D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500D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500D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500D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500D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500D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500D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500D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500D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500D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500D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500D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500D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500D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500D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500D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7500D4"/>
    <w:pPr>
      <w:autoSpaceDE/>
      <w:autoSpaceDN/>
      <w:adjustRightInd/>
      <w:spacing w:before="40" w:after="0" w:line="240" w:lineRule="auto"/>
      <w:ind w:left="240" w:hanging="240"/>
      <w:jc w:val="left"/>
    </w:pPr>
    <w:rPr>
      <w:rFonts w:eastAsia="MS Mincho"/>
      <w:szCs w:val="20"/>
      <w:lang w:val="en-US" w:eastAsia="zh-CN"/>
    </w:rPr>
  </w:style>
  <w:style w:type="paragraph" w:styleId="TableofFigures">
    <w:name w:val="table of figures"/>
    <w:basedOn w:val="Normal"/>
    <w:next w:val="Normal"/>
    <w:semiHidden/>
    <w:rsid w:val="007500D4"/>
    <w:pPr>
      <w:autoSpaceDE/>
      <w:autoSpaceDN/>
      <w:adjustRightInd/>
      <w:spacing w:before="40" w:after="0" w:line="240" w:lineRule="auto"/>
      <w:jc w:val="left"/>
    </w:pPr>
    <w:rPr>
      <w:rFonts w:eastAsia="MS Mincho"/>
      <w:szCs w:val="20"/>
      <w:lang w:val="en-US" w:eastAsia="zh-CN"/>
    </w:rPr>
  </w:style>
  <w:style w:type="table" w:styleId="TableProfessional">
    <w:name w:val="Table Professional"/>
    <w:basedOn w:val="TableNormal"/>
    <w:semiHidden/>
    <w:rsid w:val="007500D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500D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500D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500D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500D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500D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50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500D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500D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500D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7500D4"/>
    <w:pPr>
      <w:autoSpaceDE/>
      <w:autoSpaceDN/>
      <w:adjustRightInd/>
      <w:spacing w:before="120" w:after="0" w:line="240" w:lineRule="auto"/>
      <w:jc w:val="left"/>
    </w:pPr>
    <w:rPr>
      <w:rFonts w:ascii="Arial" w:eastAsia="MS Mincho" w:hAnsi="Arial" w:cs="Arial"/>
      <w:b/>
      <w:bCs/>
      <w:lang w:val="en-US" w:eastAsia="zh-CN"/>
    </w:rPr>
  </w:style>
  <w:style w:type="paragraph" w:styleId="TOC4">
    <w:name w:val="toc 4"/>
    <w:basedOn w:val="Normal"/>
    <w:next w:val="Normal"/>
    <w:autoRedefine/>
    <w:semiHidden/>
    <w:rsid w:val="007500D4"/>
    <w:pPr>
      <w:autoSpaceDE/>
      <w:autoSpaceDN/>
      <w:adjustRightInd/>
      <w:spacing w:before="40" w:after="0" w:line="240" w:lineRule="auto"/>
      <w:ind w:left="720"/>
      <w:jc w:val="left"/>
    </w:pPr>
    <w:rPr>
      <w:rFonts w:eastAsia="MS Mincho"/>
      <w:szCs w:val="20"/>
      <w:lang w:val="en-US" w:eastAsia="zh-CN"/>
    </w:rPr>
  </w:style>
  <w:style w:type="paragraph" w:styleId="TOC5">
    <w:name w:val="toc 5"/>
    <w:basedOn w:val="Normal"/>
    <w:next w:val="Normal"/>
    <w:autoRedefine/>
    <w:semiHidden/>
    <w:rsid w:val="007500D4"/>
    <w:pPr>
      <w:autoSpaceDE/>
      <w:autoSpaceDN/>
      <w:adjustRightInd/>
      <w:spacing w:before="40" w:after="0" w:line="240" w:lineRule="auto"/>
      <w:ind w:left="960"/>
      <w:jc w:val="left"/>
    </w:pPr>
    <w:rPr>
      <w:rFonts w:eastAsia="MS Mincho"/>
      <w:szCs w:val="20"/>
      <w:lang w:val="en-US" w:eastAsia="zh-CN"/>
    </w:rPr>
  </w:style>
  <w:style w:type="paragraph" w:styleId="TOC9">
    <w:name w:val="toc 9"/>
    <w:basedOn w:val="Normal"/>
    <w:next w:val="Normal"/>
    <w:autoRedefine/>
    <w:semiHidden/>
    <w:rsid w:val="007500D4"/>
    <w:pPr>
      <w:autoSpaceDE/>
      <w:autoSpaceDN/>
      <w:adjustRightInd/>
      <w:spacing w:before="40" w:after="0" w:line="240" w:lineRule="auto"/>
      <w:ind w:left="1920"/>
      <w:jc w:val="left"/>
    </w:pPr>
    <w:rPr>
      <w:rFonts w:eastAsia="MS Mincho"/>
      <w:szCs w:val="20"/>
      <w:lang w:val="en-US" w:eastAsia="zh-CN"/>
    </w:rPr>
  </w:style>
  <w:style w:type="character" w:customStyle="1" w:styleId="PropertystatementChar">
    <w:name w:val="Propertystatement Char"/>
    <w:link w:val="Propertystatement"/>
    <w:rsid w:val="007500D4"/>
    <w:rPr>
      <w:rFonts w:ascii="Arial" w:eastAsia="MS Gothic" w:hAnsi="Arial" w:cs="Arial"/>
      <w:szCs w:val="24"/>
      <w:lang w:eastAsia="zh-CN"/>
    </w:rPr>
  </w:style>
  <w:style w:type="paragraph" w:customStyle="1" w:styleId="CNTable">
    <w:name w:val="CN Table"/>
    <w:rsid w:val="007500D4"/>
    <w:pPr>
      <w:spacing w:before="40" w:after="20"/>
    </w:pPr>
    <w:rPr>
      <w:rFonts w:eastAsia="SimSun"/>
      <w:sz w:val="21"/>
      <w:szCs w:val="18"/>
      <w:lang w:eastAsia="zh-CN"/>
    </w:rPr>
  </w:style>
  <w:style w:type="paragraph" w:customStyle="1" w:styleId="CNLegend">
    <w:name w:val="CN Legend"/>
    <w:basedOn w:val="CNTable"/>
    <w:rsid w:val="007500D4"/>
  </w:style>
  <w:style w:type="paragraph" w:customStyle="1" w:styleId="CNListlevel1">
    <w:name w:val="CN List level 1"/>
    <w:rsid w:val="007500D4"/>
    <w:pPr>
      <w:spacing w:before="40" w:after="20" w:line="360" w:lineRule="atLeast"/>
      <w:ind w:left="425" w:hanging="425"/>
    </w:pPr>
    <w:rPr>
      <w:rFonts w:eastAsia="SimSun"/>
      <w:sz w:val="24"/>
      <w:szCs w:val="21"/>
      <w:lang w:eastAsia="zh-CN"/>
    </w:rPr>
  </w:style>
  <w:style w:type="paragraph" w:customStyle="1" w:styleId="CNListlevel2">
    <w:name w:val="CN List level 2"/>
    <w:basedOn w:val="CNListlevel1"/>
    <w:rsid w:val="007500D4"/>
    <w:pPr>
      <w:ind w:left="850"/>
    </w:pPr>
  </w:style>
  <w:style w:type="paragraph" w:customStyle="1" w:styleId="CNListlevel3">
    <w:name w:val="CN List level 3"/>
    <w:basedOn w:val="CNListlevel1"/>
    <w:rsid w:val="007500D4"/>
    <w:pPr>
      <w:ind w:left="1287"/>
    </w:pPr>
  </w:style>
  <w:style w:type="paragraph" w:customStyle="1" w:styleId="CNnottoc-headings">
    <w:name w:val="CN not toc-headings"/>
    <w:next w:val="CNText"/>
    <w:rsid w:val="007500D4"/>
    <w:pPr>
      <w:keepNext/>
      <w:spacing w:before="240" w:after="60"/>
    </w:pPr>
    <w:rPr>
      <w:rFonts w:eastAsia="SimSun" w:cs="Arial"/>
      <w:b/>
      <w:sz w:val="24"/>
      <w:szCs w:val="24"/>
      <w:lang w:eastAsia="zh-CN"/>
    </w:rPr>
  </w:style>
  <w:style w:type="paragraph" w:customStyle="1" w:styleId="CNReference">
    <w:name w:val="CN Reference"/>
    <w:rsid w:val="007500D4"/>
    <w:pPr>
      <w:spacing w:before="80" w:after="60"/>
    </w:pPr>
    <w:rPr>
      <w:rFonts w:eastAsia="SimSun"/>
      <w:sz w:val="24"/>
      <w:szCs w:val="21"/>
      <w:lang w:eastAsia="zh-CN"/>
    </w:rPr>
  </w:style>
  <w:style w:type="paragraph" w:customStyle="1" w:styleId="CNSAStext">
    <w:name w:val="CN SAS text"/>
    <w:rsid w:val="007500D4"/>
    <w:rPr>
      <w:rFonts w:ascii="Courier New" w:eastAsia="SimSun" w:hAnsi="Courier New" w:cs="Courier New"/>
      <w:spacing w:val="-10"/>
      <w:sz w:val="21"/>
      <w:szCs w:val="18"/>
      <w:lang w:eastAsia="zh-CN"/>
    </w:rPr>
  </w:style>
  <w:style w:type="paragraph" w:customStyle="1" w:styleId="CNText">
    <w:name w:val="CN Text"/>
    <w:rsid w:val="007500D4"/>
    <w:pPr>
      <w:spacing w:after="20"/>
      <w:ind w:firstLineChars="200" w:firstLine="200"/>
      <w:jc w:val="both"/>
    </w:pPr>
    <w:rPr>
      <w:rFonts w:eastAsia="SimSun"/>
      <w:sz w:val="24"/>
      <w:szCs w:val="21"/>
      <w:lang w:eastAsia="zh-CN"/>
    </w:rPr>
  </w:style>
  <w:style w:type="paragraph" w:customStyle="1" w:styleId="CNSynopsis">
    <w:name w:val="CN Synopsis"/>
    <w:rsid w:val="007500D4"/>
    <w:pPr>
      <w:spacing w:before="120" w:after="20"/>
      <w:jc w:val="both"/>
    </w:pPr>
    <w:rPr>
      <w:rFonts w:eastAsia="SimSun"/>
      <w:sz w:val="24"/>
      <w:szCs w:val="24"/>
      <w:lang w:eastAsia="zh-CN"/>
    </w:rPr>
  </w:style>
  <w:style w:type="paragraph" w:customStyle="1" w:styleId="CNSynopsisList">
    <w:name w:val="CN Synopsis List"/>
    <w:basedOn w:val="CNSynopsis"/>
    <w:rsid w:val="007500D4"/>
    <w:pPr>
      <w:spacing w:before="40"/>
      <w:ind w:left="862" w:hanging="431"/>
      <w:jc w:val="left"/>
    </w:pPr>
  </w:style>
  <w:style w:type="paragraph" w:customStyle="1" w:styleId="CNSynopsisList2">
    <w:name w:val="CN Synopsis List 2"/>
    <w:basedOn w:val="CNSynopsisList"/>
    <w:rsid w:val="007500D4"/>
    <w:pPr>
      <w:ind w:left="1299"/>
    </w:pPr>
  </w:style>
  <w:style w:type="paragraph" w:styleId="Bibliography">
    <w:name w:val="Bibliography"/>
    <w:basedOn w:val="Normal"/>
    <w:next w:val="Normal"/>
    <w:uiPriority w:val="37"/>
    <w:semiHidden/>
    <w:unhideWhenUsed/>
    <w:rsid w:val="007500D4"/>
    <w:pPr>
      <w:autoSpaceDE/>
      <w:autoSpaceDN/>
      <w:adjustRightInd/>
      <w:spacing w:before="40" w:after="0" w:line="240" w:lineRule="auto"/>
      <w:jc w:val="left"/>
    </w:pPr>
    <w:rPr>
      <w:rFonts w:eastAsia="MS Mincho"/>
      <w:szCs w:val="20"/>
      <w:lang w:val="en-US" w:eastAsia="zh-CN"/>
    </w:rPr>
  </w:style>
  <w:style w:type="character" w:styleId="BookTitle">
    <w:name w:val="Book Title"/>
    <w:uiPriority w:val="33"/>
    <w:qFormat/>
    <w:rsid w:val="007500D4"/>
    <w:rPr>
      <w:b/>
      <w:bCs/>
      <w:smallCaps/>
      <w:spacing w:val="5"/>
    </w:rPr>
  </w:style>
  <w:style w:type="table" w:styleId="ColorfulGrid">
    <w:name w:val="Colorful Grid"/>
    <w:basedOn w:val="TableNormal"/>
    <w:uiPriority w:val="73"/>
    <w:rsid w:val="007500D4"/>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7500D4"/>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7500D4"/>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7500D4"/>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7500D4"/>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7500D4"/>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7500D4"/>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7500D4"/>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7500D4"/>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7500D4"/>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7500D4"/>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7500D4"/>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7500D4"/>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7500D4"/>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7500D4"/>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7500D4"/>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7500D4"/>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7500D4"/>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7500D4"/>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7500D4"/>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7500D4"/>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7500D4"/>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7500D4"/>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7500D4"/>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7500D4"/>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7500D4"/>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7500D4"/>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7500D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IntenseEmphasis">
    <w:name w:val="Intense Emphasis"/>
    <w:uiPriority w:val="21"/>
    <w:qFormat/>
    <w:rsid w:val="007500D4"/>
    <w:rPr>
      <w:b/>
      <w:bCs/>
      <w:i/>
      <w:iCs/>
      <w:color w:val="4F81BD"/>
    </w:rPr>
  </w:style>
  <w:style w:type="paragraph" w:styleId="IntenseQuote">
    <w:name w:val="Intense Quote"/>
    <w:basedOn w:val="Normal"/>
    <w:next w:val="Normal"/>
    <w:link w:val="IntenseQuoteChar"/>
    <w:uiPriority w:val="30"/>
    <w:qFormat/>
    <w:rsid w:val="007500D4"/>
    <w:pPr>
      <w:pBdr>
        <w:bottom w:val="single" w:sz="4" w:space="4" w:color="4F81BD"/>
      </w:pBdr>
      <w:autoSpaceDE/>
      <w:autoSpaceDN/>
      <w:adjustRightInd/>
      <w:spacing w:before="200" w:after="280" w:line="240" w:lineRule="auto"/>
      <w:ind w:left="936" w:right="936"/>
      <w:jc w:val="left"/>
    </w:pPr>
    <w:rPr>
      <w:rFonts w:eastAsia="MS Mincho"/>
      <w:b/>
      <w:bCs/>
      <w:i/>
      <w:iCs/>
      <w:color w:val="4F81BD"/>
      <w:szCs w:val="20"/>
      <w:lang w:val="en-US" w:eastAsia="zh-CN"/>
    </w:rPr>
  </w:style>
  <w:style w:type="character" w:customStyle="1" w:styleId="IntenseQuoteChar">
    <w:name w:val="Intense Quote Char"/>
    <w:basedOn w:val="DefaultParagraphFont"/>
    <w:link w:val="IntenseQuote"/>
    <w:uiPriority w:val="30"/>
    <w:rsid w:val="007500D4"/>
    <w:rPr>
      <w:rFonts w:eastAsia="MS Mincho"/>
      <w:b/>
      <w:bCs/>
      <w:i/>
      <w:iCs/>
      <w:color w:val="4F81BD"/>
      <w:sz w:val="24"/>
      <w:lang w:eastAsia="zh-CN"/>
    </w:rPr>
  </w:style>
  <w:style w:type="table" w:styleId="LightGrid">
    <w:name w:val="Light Grid"/>
    <w:basedOn w:val="TableNormal"/>
    <w:uiPriority w:val="62"/>
    <w:rsid w:val="007500D4"/>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7500D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7500D4"/>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7500D4"/>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7500D4"/>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7500D4"/>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7500D4"/>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7500D4"/>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7500D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7500D4"/>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7500D4"/>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7500D4"/>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7500D4"/>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7500D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7500D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7500D4"/>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7500D4"/>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7500D4"/>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7500D4"/>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7500D4"/>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7500D4"/>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7500D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7500D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7500D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7500D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7500D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7500D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7500D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7500D4"/>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7500D4"/>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7500D4"/>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7500D4"/>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7500D4"/>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7500D4"/>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7500D4"/>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7500D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7500D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7500D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7500D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7500D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7500D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7500D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7500D4"/>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7500D4"/>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7500D4"/>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7500D4"/>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7500D4"/>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7500D4"/>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7500D4"/>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7500D4"/>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7500D4"/>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7500D4"/>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7500D4"/>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7500D4"/>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7500D4"/>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7500D4"/>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7500D4"/>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500D4"/>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500D4"/>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500D4"/>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500D4"/>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500D4"/>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500D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7500D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500D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500D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500D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500D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500D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500D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uiPriority w:val="99"/>
    <w:semiHidden/>
    <w:rsid w:val="007500D4"/>
    <w:rPr>
      <w:color w:val="808080"/>
    </w:rPr>
  </w:style>
  <w:style w:type="paragraph" w:styleId="Quote">
    <w:name w:val="Quote"/>
    <w:basedOn w:val="Normal"/>
    <w:next w:val="Normal"/>
    <w:link w:val="QuoteChar"/>
    <w:uiPriority w:val="29"/>
    <w:qFormat/>
    <w:rsid w:val="007500D4"/>
    <w:pPr>
      <w:autoSpaceDE/>
      <w:autoSpaceDN/>
      <w:adjustRightInd/>
      <w:spacing w:before="40" w:after="0" w:line="240" w:lineRule="auto"/>
      <w:jc w:val="left"/>
    </w:pPr>
    <w:rPr>
      <w:rFonts w:eastAsia="MS Mincho"/>
      <w:i/>
      <w:iCs/>
      <w:color w:val="000000"/>
      <w:szCs w:val="20"/>
      <w:lang w:val="en-US" w:eastAsia="zh-CN"/>
    </w:rPr>
  </w:style>
  <w:style w:type="character" w:customStyle="1" w:styleId="QuoteChar">
    <w:name w:val="Quote Char"/>
    <w:basedOn w:val="DefaultParagraphFont"/>
    <w:link w:val="Quote"/>
    <w:uiPriority w:val="29"/>
    <w:rsid w:val="007500D4"/>
    <w:rPr>
      <w:rFonts w:eastAsia="MS Mincho"/>
      <w:i/>
      <w:iCs/>
      <w:color w:val="000000"/>
      <w:sz w:val="24"/>
      <w:lang w:eastAsia="zh-CN"/>
    </w:rPr>
  </w:style>
  <w:style w:type="character" w:styleId="SubtleEmphasis">
    <w:name w:val="Subtle Emphasis"/>
    <w:uiPriority w:val="19"/>
    <w:qFormat/>
    <w:rsid w:val="007500D4"/>
    <w:rPr>
      <w:i/>
      <w:iCs/>
      <w:color w:val="808080"/>
    </w:rPr>
  </w:style>
  <w:style w:type="character" w:styleId="SubtleReference">
    <w:name w:val="Subtle Reference"/>
    <w:uiPriority w:val="31"/>
    <w:qFormat/>
    <w:rsid w:val="007500D4"/>
    <w:rPr>
      <w:smallCaps/>
      <w:color w:val="C0504D"/>
      <w:u w:val="single"/>
    </w:rPr>
  </w:style>
  <w:style w:type="paragraph" w:styleId="TOCHeading">
    <w:name w:val="TOC Heading"/>
    <w:basedOn w:val="Heading1"/>
    <w:next w:val="Normal"/>
    <w:uiPriority w:val="39"/>
    <w:semiHidden/>
    <w:unhideWhenUsed/>
    <w:qFormat/>
    <w:rsid w:val="007500D4"/>
    <w:pPr>
      <w:keepNext/>
      <w:numPr>
        <w:numId w:val="0"/>
      </w:numPr>
      <w:tabs>
        <w:tab w:val="clear" w:pos="9073"/>
      </w:tabs>
      <w:autoSpaceDE/>
      <w:autoSpaceDN/>
      <w:adjustRightInd/>
      <w:spacing w:before="480" w:after="0" w:line="240" w:lineRule="auto"/>
      <w:jc w:val="left"/>
      <w:outlineLvl w:val="9"/>
    </w:pPr>
    <w:rPr>
      <w:rFonts w:ascii="Cambria" w:hAnsi="Cambria"/>
      <w:color w:val="365F91"/>
      <w:sz w:val="28"/>
      <w:szCs w:val="28"/>
      <w:u w:val="none"/>
      <w:lang w:val="en-US" w:eastAsia="zh-CN"/>
    </w:rPr>
  </w:style>
  <w:style w:type="table" w:customStyle="1" w:styleId="TableGrid10">
    <w:name w:val="Table Grid1"/>
    <w:basedOn w:val="TableNormal"/>
    <w:next w:val="TableGrid"/>
    <w:uiPriority w:val="59"/>
    <w:rsid w:val="007500D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har1">
    <w:name w:val="Text Char1"/>
    <w:rsid w:val="007500D4"/>
    <w:rPr>
      <w:rFonts w:eastAsia="MS Mincho"/>
      <w:sz w:val="24"/>
      <w:lang w:eastAsia="ja-JP"/>
    </w:rPr>
  </w:style>
  <w:style w:type="character" w:customStyle="1" w:styleId="TableChar">
    <w:name w:val="Table Char"/>
    <w:aliases w:val="10 pt  Bold Char,9 pt Char,10 pt Char,Normal + Courier New Char,Italic Char,Justified Char,Left:  0&quot; Char,Hanging:  0.67&quot; Char,Be... Char,Table pt Char,table text 10 pt + Arial Char,Bold Char,Normal + (Latin) Arial Char,9 Char,8 pt Char"/>
    <w:link w:val="Table"/>
    <w:rsid w:val="007500D4"/>
    <w:rPr>
      <w:rFonts w:ascii="Arial" w:eastAsia="MS Mincho" w:hAnsi="Arial" w:cs="Arial"/>
      <w:szCs w:val="24"/>
      <w:lang w:eastAsia="zh-CN"/>
    </w:rPr>
  </w:style>
  <w:style w:type="paragraph" w:customStyle="1" w:styleId="apphead1">
    <w:name w:val="app:head1"/>
    <w:basedOn w:val="Heading1"/>
    <w:next w:val="Normal"/>
    <w:rsid w:val="007500D4"/>
    <w:pPr>
      <w:keepNext/>
      <w:keepLines w:val="0"/>
      <w:numPr>
        <w:numId w:val="0"/>
      </w:numPr>
      <w:tabs>
        <w:tab w:val="clear" w:pos="9073"/>
        <w:tab w:val="left" w:pos="2160"/>
      </w:tabs>
      <w:autoSpaceDE/>
      <w:autoSpaceDN/>
      <w:adjustRightInd/>
      <w:spacing w:before="120" w:after="240" w:line="240" w:lineRule="auto"/>
      <w:ind w:left="2160" w:hanging="2160"/>
      <w:jc w:val="left"/>
      <w:outlineLvl w:val="9"/>
    </w:pPr>
    <w:rPr>
      <w:rFonts w:ascii="Arial" w:hAnsi="Arial" w:cs="Arial"/>
      <w:caps/>
      <w:sz w:val="28"/>
      <w:szCs w:val="28"/>
      <w:u w:val="none"/>
      <w:lang w:val="en-GB" w:eastAsia="en-GB"/>
    </w:rPr>
  </w:style>
  <w:style w:type="numbering" w:customStyle="1" w:styleId="Style1">
    <w:name w:val="Style1"/>
    <w:uiPriority w:val="99"/>
    <w:rsid w:val="007500D4"/>
    <w:pPr>
      <w:numPr>
        <w:numId w:val="9"/>
      </w:numPr>
    </w:pPr>
  </w:style>
  <w:style w:type="character" w:customStyle="1" w:styleId="FontStyle38">
    <w:name w:val="Font Style38"/>
    <w:basedOn w:val="DefaultParagraphFont"/>
    <w:rsid w:val="007500D4"/>
    <w:rPr>
      <w:rFonts w:ascii="Times New Roman" w:hAnsi="Times New Roman" w:cs="Times New Roman"/>
      <w:sz w:val="20"/>
      <w:szCs w:val="20"/>
    </w:rPr>
  </w:style>
  <w:style w:type="character" w:customStyle="1" w:styleId="TextChar3">
    <w:name w:val="Text Char3"/>
    <w:rsid w:val="007500D4"/>
    <w:rPr>
      <w:rFonts w:eastAsia="MS Mincho"/>
      <w:sz w:val="24"/>
      <w:lang w:eastAsia="zh-CN"/>
    </w:rPr>
  </w:style>
  <w:style w:type="character" w:customStyle="1" w:styleId="TableChar1">
    <w:name w:val="Table Char1"/>
    <w:aliases w:val="9pt Char"/>
    <w:rsid w:val="007500D4"/>
    <w:rPr>
      <w:rFonts w:ascii="Arial" w:eastAsia="MS Mincho" w:hAnsi="Arial" w:cs="Arial"/>
      <w:szCs w:val="24"/>
      <w:lang w:eastAsia="zh-CN"/>
    </w:rPr>
  </w:style>
  <w:style w:type="character" w:customStyle="1" w:styleId="sup2">
    <w:name w:val="sup2"/>
    <w:basedOn w:val="DefaultParagraphFont"/>
    <w:rsid w:val="007500D4"/>
    <w:rPr>
      <w:sz w:val="19"/>
      <w:szCs w:val="19"/>
    </w:rPr>
  </w:style>
  <w:style w:type="paragraph" w:customStyle="1" w:styleId="AmmListePuces1">
    <w:name w:val="AmmListePuces1"/>
    <w:basedOn w:val="Normal"/>
    <w:rsid w:val="007500D4"/>
    <w:pPr>
      <w:tabs>
        <w:tab w:val="num" w:pos="360"/>
      </w:tabs>
      <w:autoSpaceDE/>
      <w:autoSpaceDN/>
      <w:adjustRightInd/>
      <w:spacing w:after="0" w:line="240" w:lineRule="auto"/>
      <w:ind w:left="360" w:hanging="360"/>
      <w:jc w:val="left"/>
    </w:pPr>
    <w:rPr>
      <w:rFonts w:ascii="Arial" w:hAnsi="Arial"/>
      <w:sz w:val="20"/>
      <w:szCs w:val="20"/>
      <w:lang w:val="en-GB" w:eastAsia="en-GB" w:bidi="en-GB"/>
    </w:rPr>
  </w:style>
  <w:style w:type="character" w:customStyle="1" w:styleId="Listlevel1Char">
    <w:name w:val="List level 1 Char"/>
    <w:link w:val="Listlevel1"/>
    <w:rsid w:val="007500D4"/>
    <w:rPr>
      <w:rFonts w:eastAsia="MS Mincho"/>
      <w:sz w:val="24"/>
      <w:lang w:eastAsia="zh-CN"/>
    </w:rPr>
  </w:style>
  <w:style w:type="character" w:customStyle="1" w:styleId="apple-converted-space">
    <w:name w:val="apple-converted-space"/>
    <w:basedOn w:val="DefaultParagraphFont"/>
    <w:rsid w:val="007500D4"/>
  </w:style>
  <w:style w:type="paragraph" w:customStyle="1" w:styleId="AmmCorpsTexte">
    <w:name w:val="AmmCorpsTexte"/>
    <w:basedOn w:val="Normal"/>
    <w:link w:val="AmmCorpsTexteCar"/>
    <w:rsid w:val="007500D4"/>
    <w:pPr>
      <w:autoSpaceDE/>
      <w:autoSpaceDN/>
      <w:adjustRightInd/>
      <w:spacing w:line="240" w:lineRule="auto"/>
    </w:pPr>
    <w:rPr>
      <w:rFonts w:ascii="Arial" w:hAnsi="Arial"/>
      <w:sz w:val="20"/>
      <w:szCs w:val="20"/>
      <w:lang w:val="en-GB" w:eastAsia="en-GB" w:bidi="en-GB"/>
    </w:rPr>
  </w:style>
  <w:style w:type="character" w:customStyle="1" w:styleId="AmmCorpsTexteCar">
    <w:name w:val="AmmCorpsTexte Car"/>
    <w:link w:val="AmmCorpsTexte"/>
    <w:rsid w:val="007500D4"/>
    <w:rPr>
      <w:rFonts w:ascii="Arial" w:hAnsi="Arial"/>
      <w:lang w:val="en-GB" w:eastAsia="en-GB" w:bidi="en-GB"/>
    </w:rPr>
  </w:style>
  <w:style w:type="paragraph" w:customStyle="1" w:styleId="TableParagraph">
    <w:name w:val="Table Paragraph"/>
    <w:basedOn w:val="Normal"/>
    <w:uiPriority w:val="1"/>
    <w:qFormat/>
    <w:rsid w:val="00493275"/>
    <w:pPr>
      <w:widowControl w:val="0"/>
      <w:adjustRightInd/>
      <w:spacing w:before="120" w:after="0" w:line="240" w:lineRule="auto"/>
      <w:ind w:left="103"/>
      <w:jc w:val="left"/>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821160">
      <w:bodyDiv w:val="1"/>
      <w:marLeft w:val="0"/>
      <w:marRight w:val="0"/>
      <w:marTop w:val="0"/>
      <w:marBottom w:val="0"/>
      <w:divBdr>
        <w:top w:val="none" w:sz="0" w:space="0" w:color="auto"/>
        <w:left w:val="none" w:sz="0" w:space="0" w:color="auto"/>
        <w:bottom w:val="none" w:sz="0" w:space="0" w:color="auto"/>
        <w:right w:val="none" w:sz="0" w:space="0" w:color="auto"/>
      </w:divBdr>
      <w:divsChild>
        <w:div w:id="1630476581">
          <w:marLeft w:val="0"/>
          <w:marRight w:val="0"/>
          <w:marTop w:val="0"/>
          <w:marBottom w:val="0"/>
          <w:divBdr>
            <w:top w:val="none" w:sz="0" w:space="0" w:color="auto"/>
            <w:left w:val="none" w:sz="0" w:space="0" w:color="auto"/>
            <w:bottom w:val="none" w:sz="0" w:space="0" w:color="auto"/>
            <w:right w:val="none" w:sz="0" w:space="0" w:color="auto"/>
          </w:divBdr>
          <w:divsChild>
            <w:div w:id="72726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03197">
      <w:bodyDiv w:val="1"/>
      <w:marLeft w:val="0"/>
      <w:marRight w:val="0"/>
      <w:marTop w:val="0"/>
      <w:marBottom w:val="0"/>
      <w:divBdr>
        <w:top w:val="none" w:sz="0" w:space="0" w:color="auto"/>
        <w:left w:val="none" w:sz="0" w:space="0" w:color="auto"/>
        <w:bottom w:val="none" w:sz="0" w:space="0" w:color="auto"/>
        <w:right w:val="none" w:sz="0" w:space="0" w:color="auto"/>
      </w:divBdr>
      <w:divsChild>
        <w:div w:id="1857426886">
          <w:marLeft w:val="0"/>
          <w:marRight w:val="0"/>
          <w:marTop w:val="0"/>
          <w:marBottom w:val="0"/>
          <w:divBdr>
            <w:top w:val="none" w:sz="0" w:space="0" w:color="auto"/>
            <w:left w:val="none" w:sz="0" w:space="0" w:color="auto"/>
            <w:bottom w:val="none" w:sz="0" w:space="0" w:color="auto"/>
            <w:right w:val="none" w:sz="0" w:space="0" w:color="auto"/>
          </w:divBdr>
          <w:divsChild>
            <w:div w:id="80762956">
              <w:marLeft w:val="0"/>
              <w:marRight w:val="0"/>
              <w:marTop w:val="0"/>
              <w:marBottom w:val="0"/>
              <w:divBdr>
                <w:top w:val="none" w:sz="0" w:space="0" w:color="auto"/>
                <w:left w:val="none" w:sz="0" w:space="0" w:color="auto"/>
                <w:bottom w:val="none" w:sz="0" w:space="0" w:color="auto"/>
                <w:right w:val="none" w:sz="0" w:space="0" w:color="auto"/>
              </w:divBdr>
              <w:divsChild>
                <w:div w:id="247348018">
                  <w:blockQuote w:val="1"/>
                  <w:marLeft w:val="720"/>
                  <w:marRight w:val="0"/>
                  <w:marTop w:val="100"/>
                  <w:marBottom w:val="100"/>
                  <w:divBdr>
                    <w:top w:val="none" w:sz="0" w:space="0" w:color="auto"/>
                    <w:left w:val="none" w:sz="0" w:space="0" w:color="auto"/>
                    <w:bottom w:val="none" w:sz="0" w:space="0" w:color="auto"/>
                    <w:right w:val="none" w:sz="0" w:space="0" w:color="auto"/>
                  </w:divBdr>
                </w:div>
                <w:div w:id="577443526">
                  <w:blockQuote w:val="1"/>
                  <w:marLeft w:val="720"/>
                  <w:marRight w:val="0"/>
                  <w:marTop w:val="100"/>
                  <w:marBottom w:val="100"/>
                  <w:divBdr>
                    <w:top w:val="none" w:sz="0" w:space="0" w:color="auto"/>
                    <w:left w:val="none" w:sz="0" w:space="0" w:color="auto"/>
                    <w:bottom w:val="none" w:sz="0" w:space="0" w:color="auto"/>
                    <w:right w:val="none" w:sz="0" w:space="0" w:color="auto"/>
                  </w:divBdr>
                </w:div>
                <w:div w:id="206864516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www.tga.gov.au/reporting-problem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tga.gov.au/reporting-problems" TargetMode="Externa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rr71091\My%20Documents\DRAFT%20-%20Aus%20-%20Product%20Information%20-%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eneric_x0020_Name xmlns="17bb8c82-f074-452f-b484-641a2ea4a283">dabrafenib</Generic_x0020_Name>
    <PI_x0020_Date xmlns="17bb8c82-f074-452f-b484-641a2ea4a283">2015-07-10T00:00:00+00:00</PI_x0020_Date>
    <Dosage_x0020_Form xmlns="17bb8c82-f074-452f-b484-641a2ea4a283">Capsules</Dosage_x0020_Form>
    <Revision_x0020_Flag xmlns="17bb8c82-f074-452f-b484-641a2ea4a283" xsi:nil="true"/>
    <Brand_x0020_Name xmlns="17bb8c82-f074-452f-b484-641a2ea4a283">Tafinlar</Brand_x0020_Name>
    <Marketed xmlns="4b8f162b-5636-4821-85da-331af8dff062">true</Marketed>
    <Image xmlns="4b8f162b-5636-4821-85da-331af8dff062">
      <Url xsi:nil="true"/>
      <Description xsi:nil="true"/>
    </Image>
  </documentManagement>
</p:properti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PI Document" ma:contentTypeID="0x01010039983CF8680F544899597C3CF673966A006681E399D2676A4494415B5C34D2395C" ma:contentTypeVersion="8" ma:contentTypeDescription="PI Document Content Type" ma:contentTypeScope="" ma:versionID="ae6d61bf51b5e52cace6de957ed8ea97">
  <xsd:schema xmlns:xsd="http://www.w3.org/2001/XMLSchema" xmlns:p="http://schemas.microsoft.com/office/2006/metadata/properties" xmlns:ns2="17bb8c82-f074-452f-b484-641a2ea4a283" xmlns:ns3="4b8f162b-5636-4821-85da-331af8dff062" targetNamespace="http://schemas.microsoft.com/office/2006/metadata/properties" ma:root="true" ma:fieldsID="b2c203a00581eb0ba9fafbd06b2443a5" ns2:_="" ns3:_="">
    <xsd:import namespace="17bb8c82-f074-452f-b484-641a2ea4a283"/>
    <xsd:import namespace="4b8f162b-5636-4821-85da-331af8dff062"/>
    <xsd:element name="properties">
      <xsd:complexType>
        <xsd:sequence>
          <xsd:element name="documentManagement">
            <xsd:complexType>
              <xsd:all>
                <xsd:element ref="ns2:Revision_x0020_Flag" minOccurs="0"/>
                <xsd:element ref="ns2:Brand_x0020_Name" minOccurs="0"/>
                <xsd:element ref="ns2:Generic_x0020_Name" minOccurs="0"/>
                <xsd:element ref="ns2:PI_x0020_Date" minOccurs="0"/>
                <xsd:element ref="ns2:Dosage_x0020_Form" minOccurs="0"/>
                <xsd:element ref="ns3:Image" minOccurs="0"/>
                <xsd:element ref="ns3:Marketed" minOccurs="0"/>
              </xsd:all>
            </xsd:complexType>
          </xsd:element>
        </xsd:sequence>
      </xsd:complexType>
    </xsd:element>
  </xsd:schema>
  <xsd:schema xmlns:xsd="http://www.w3.org/2001/XMLSchema" xmlns:dms="http://schemas.microsoft.com/office/2006/documentManagement/types" targetNamespace="17bb8c82-f074-452f-b484-641a2ea4a283" elementFormDefault="qualified">
    <xsd:import namespace="http://schemas.microsoft.com/office/2006/documentManagement/types"/>
    <xsd:element name="Revision_x0020_Flag" ma:index="8" nillable="true" ma:displayName="Revision Flag" ma:default="" ma:format="Dropdown" ma:internalName="Revision_x0020_Flag">
      <xsd:simpleType>
        <xsd:restriction base="dms:Choice">
          <xsd:enumeration value="-"/>
          <xsd:enumeration value="Under Revision"/>
        </xsd:restriction>
      </xsd:simpleType>
    </xsd:element>
    <xsd:element name="Brand_x0020_Name" ma:index="9" nillable="true" ma:displayName="Brand" ma:default="Aclasta" ma:format="Dropdown" ma:internalName="Brand_x0020_Name">
      <xsd:simpleType>
        <xsd:union memberTypes="dms:Text">
          <xsd:simpleType>
            <xsd:restriction base="dms:Choice">
              <xsd:enumeration value="Aclasta"/>
              <xsd:enumeration value="Albuferon"/>
              <xsd:enumeration value="Aliskiren Portfolio"/>
              <xsd:enumeration value="Certican"/>
              <xsd:enumeration value="Cubicin"/>
              <xsd:enumeration value="Exelon"/>
              <xsd:enumeration value="Famvir"/>
              <xsd:enumeration value="Galvus"/>
              <xsd:enumeration value="Lescol XL"/>
              <xsd:enumeration value="Lucentis"/>
              <xsd:enumeration value="MS Portfolio"/>
              <xsd:enumeration value="Other CVM Pipeline Products"/>
              <xsd:enumeration value="Respiratory Portfolio"/>
              <xsd:enumeration value="Sebivo"/>
              <xsd:enumeration value="Stalevo"/>
              <xsd:enumeration value="Valsartan Portfolio"/>
            </xsd:restriction>
          </xsd:simpleType>
        </xsd:union>
      </xsd:simpleType>
    </xsd:element>
    <xsd:element name="Generic_x0020_Name" ma:index="10" nillable="true" ma:displayName="Generic Name" ma:internalName="Generic_x0020_Name">
      <xsd:simpleType>
        <xsd:restriction base="dms:Text">
          <xsd:maxLength value="255"/>
        </xsd:restriction>
      </xsd:simpleType>
    </xsd:element>
    <xsd:element name="PI_x0020_Date" ma:index="11" nillable="true" ma:displayName="PI Date" ma:format="DateOnly" ma:internalName="PI_x0020_Date">
      <xsd:simpleType>
        <xsd:restriction base="dms:DateTime"/>
      </xsd:simpleType>
    </xsd:element>
    <xsd:element name="Dosage_x0020_Form" ma:index="12" nillable="true" ma:displayName="Dosage Form" ma:default="Capsule, enteric" ma:format="Dropdown" ma:internalName="Dosage_x0020_Form">
      <xsd:simpleType>
        <xsd:union memberTypes="dms:Text">
          <xsd:simpleType>
            <xsd:restriction base="dms:Choice">
              <xsd:enumeration value="Capsule, enteric"/>
              <xsd:enumeration value="Capsule, hard"/>
              <xsd:enumeration value="Capsule, modified release"/>
              <xsd:enumeration value="Capsule, soft"/>
              <xsd:enumeration value="Capsule, other"/>
              <xsd:enumeration value="Cosmetic"/>
              <xsd:enumeration value="Cream"/>
              <xsd:enumeration value="Drug delivery system, transdermal"/>
              <xsd:enumeration value="Eye Drops"/>
              <xsd:enumeration value="Eye Drops, solution"/>
              <xsd:enumeration value="Eye Drops, suspension"/>
              <xsd:enumeration value="Gel, eye"/>
              <xsd:enumeration value="Gel"/>
              <xsd:enumeration value="Inhalation, powder for"/>
              <xsd:enumeration value="Inhalation, pressurised"/>
              <xsd:enumeration value="Inhalation"/>
              <xsd:enumeration value="Injection, concentrated"/>
              <xsd:enumeration value="Injection, diluent for"/>
              <xsd:enumeration value="Injection, powder for"/>
              <xsd:enumeration value="Injection, solution"/>
              <xsd:enumeration value="Injection, solvent for"/>
              <xsd:enumeration value="Injection"/>
              <xsd:enumeration value="Liquids"/>
              <xsd:enumeration value="Spray, nasal"/>
              <xsd:enumeration value="Nasal Drops"/>
              <xsd:enumeration value="Oral Liquid, powder for"/>
              <xsd:enumeration value="Oral Liquid, solution"/>
              <xsd:enumeration value="Oral Liquid, suspension"/>
              <xsd:enumeration value="Oral Liquid, syrup"/>
              <xsd:enumeration value="Oral Liquid"/>
              <xsd:enumeration value="Powder, oral"/>
              <xsd:enumeration value="Powder"/>
              <xsd:enumeration value="Solution, powder for irrigation"/>
              <xsd:enumeration value="Solution, powder for"/>
              <xsd:enumeration value="Solution"/>
              <xsd:enumeration value="Spray"/>
              <xsd:enumeration value="Suppository"/>
              <xsd:enumeration value="Tablet, dispersible"/>
              <xsd:enumeration value="Tablet, effervescent"/>
              <xsd:enumeration value="Tablet, enteric coated"/>
              <xsd:enumeration value="Tablet, film coated"/>
              <xsd:enumeration value="Tablet, modified release"/>
              <xsd:enumeration value="Tablet, sugar coated"/>
              <xsd:enumeration value="Tablet, uncoated"/>
            </xsd:restriction>
          </xsd:simpleType>
        </xsd:union>
      </xsd:simpleType>
    </xsd:element>
  </xsd:schema>
  <xsd:schema xmlns:xsd="http://www.w3.org/2001/XMLSchema" xmlns:dms="http://schemas.microsoft.com/office/2006/documentManagement/types" targetNamespace="4b8f162b-5636-4821-85da-331af8dff062" elementFormDefault="qualified">
    <xsd:import namespace="http://schemas.microsoft.com/office/2006/documentManagement/types"/>
    <xsd:element name="Image" ma:index="13" nillable="true" ma:displayName="-" ma:default=""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arketed" ma:index="14" nillable="true" ma:displayName="Marketed" ma:default="0" ma:internalName="Market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9D052-04D9-4469-A713-7D09589C6F2F}">
  <ds:schemaRefs>
    <ds:schemaRef ds:uri="http://schemas.microsoft.com/sharepoint/v3/contenttype/forms"/>
  </ds:schemaRefs>
</ds:datastoreItem>
</file>

<file path=customXml/itemProps2.xml><?xml version="1.0" encoding="utf-8"?>
<ds:datastoreItem xmlns:ds="http://schemas.openxmlformats.org/officeDocument/2006/customXml" ds:itemID="{B7296B14-6AAE-4892-B0FD-8A7BE1E6C458}">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4b8f162b-5636-4821-85da-331af8dff062"/>
    <ds:schemaRef ds:uri="17bb8c82-f074-452f-b484-641a2ea4a283"/>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6ADA5E23-BDC2-496A-93E3-70B73A1014D5}">
  <ds:schemaRefs>
    <ds:schemaRef ds:uri="http://schemas.microsoft.com/office/2006/metadata/longProperties"/>
  </ds:schemaRefs>
</ds:datastoreItem>
</file>

<file path=customXml/itemProps4.xml><?xml version="1.0" encoding="utf-8"?>
<ds:datastoreItem xmlns:ds="http://schemas.openxmlformats.org/officeDocument/2006/customXml" ds:itemID="{D4318469-109B-4A04-B536-1EF458681173}">
  <ds:schemaRefs>
    <ds:schemaRef ds:uri="4b8f162b-5636-4821-85da-331af8dff062"/>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elements/1.1/"/>
    <ds:schemaRef ds:uri="17bb8c82-f074-452f-b484-641a2ea4a283"/>
    <ds:schemaRef ds:uri="http://www.w3.org/XML/1998/namespace"/>
    <ds:schemaRef ds:uri="http://purl.org/dc/dcmitype/"/>
    <ds:schemaRef ds:uri="http://schemas.microsoft.com/office/infopath/2007/PartnerControls"/>
  </ds:schemaRefs>
</ds:datastoreItem>
</file>

<file path=customXml/itemProps5.xml><?xml version="1.0" encoding="utf-8"?>
<ds:datastoreItem xmlns:ds="http://schemas.openxmlformats.org/officeDocument/2006/customXml" ds:itemID="{2087BF35-4F7F-420F-808B-A4A9C19D86E4}">
  <ds:schemaRefs>
    <ds:schemaRef ds:uri="http://purl.org/dc/elements/1.1/"/>
    <ds:schemaRef ds:uri="http://schemas.openxmlformats.org/package/2006/metadata/core-properties"/>
    <ds:schemaRef ds:uri="http://www.w3.org/XML/1998/namespace"/>
    <ds:schemaRef ds:uri="http://purl.org/dc/terms/"/>
    <ds:schemaRef ds:uri="4b8f162b-5636-4821-85da-331af8dff062"/>
    <ds:schemaRef ds:uri="http://schemas.microsoft.com/office/2006/documentManagement/types"/>
    <ds:schemaRef ds:uri="http://purl.org/dc/dcmitype/"/>
    <ds:schemaRef ds:uri="17bb8c82-f074-452f-b484-641a2ea4a283"/>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D280CB84-4FC7-44F8-9A2E-0F0E86A15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b8c82-f074-452f-b484-641a2ea4a283"/>
    <ds:schemaRef ds:uri="4b8f162b-5636-4821-85da-331af8dff06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7.xml><?xml version="1.0" encoding="utf-8"?>
<ds:datastoreItem xmlns:ds="http://schemas.openxmlformats.org/officeDocument/2006/customXml" ds:itemID="{F8F2A2D5-4D19-4452-AE7D-73C755D835D8}">
  <ds:schemaRefs>
    <ds:schemaRef ds:uri="http://schemas.openxmlformats.org/officeDocument/2006/bibliography"/>
  </ds:schemaRefs>
</ds:datastoreItem>
</file>

<file path=customXml/itemProps8.xml><?xml version="1.0" encoding="utf-8"?>
<ds:datastoreItem xmlns:ds="http://schemas.openxmlformats.org/officeDocument/2006/customXml" ds:itemID="{122AD761-DA88-4E69-AA60-29D7D68FD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 - Aus - Product Information - Template.dot</Template>
  <TotalTime>28</TotalTime>
  <Pages>23</Pages>
  <Words>10004</Words>
  <Characters>56484</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Novartis Pharmaceuticals Australia Pty Ltd</Company>
  <LinksUpToDate>false</LinksUpToDate>
  <CharactersWithSpaces>66356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Alpelisib</dc:title>
  <dc:subject>Prescription medicines</dc:subject>
  <dc:creator>Novartis Pharmaceuticals Australia Pty Ltd</dc:creator>
  <cp:keywords>AusPARs</cp:keywords>
  <cp:lastPrinted>2020-01-14T10:25:00Z</cp:lastPrinted>
  <dcterms:created xsi:type="dcterms:W3CDTF">2020-07-06T05:23:00Z</dcterms:created>
  <dcterms:modified xsi:type="dcterms:W3CDTF">2020-09-03T03:39:00Z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rketed">
    <vt:lpwstr>1</vt:lpwstr>
  </property>
  <property fmtid="{D5CDD505-2E9C-101B-9397-08002B2CF9AE}" pid="3" name="Generic Name">
    <vt:lpwstr>dabrafenib</vt:lpwstr>
  </property>
  <property fmtid="{D5CDD505-2E9C-101B-9397-08002B2CF9AE}" pid="4" name="PI Date">
    <vt:lpwstr>2015-07-10T00:00:00Z</vt:lpwstr>
  </property>
  <property fmtid="{D5CDD505-2E9C-101B-9397-08002B2CF9AE}" pid="5" name="Dosage Form">
    <vt:lpwstr>Capsules</vt:lpwstr>
  </property>
  <property fmtid="{D5CDD505-2E9C-101B-9397-08002B2CF9AE}" pid="6" name="ContentType">
    <vt:lpwstr>PI Document</vt:lpwstr>
  </property>
  <property fmtid="{D5CDD505-2E9C-101B-9397-08002B2CF9AE}" pid="7" name="Brand Name">
    <vt:lpwstr>Tafinlar</vt:lpwstr>
  </property>
  <property fmtid="{D5CDD505-2E9C-101B-9397-08002B2CF9AE}" pid="8" name="Image">
    <vt:lpwstr>, </vt:lpwstr>
  </property>
  <property fmtid="{D5CDD505-2E9C-101B-9397-08002B2CF9AE}" pid="9" name="Revision Flag">
    <vt:lpwstr/>
  </property>
  <property fmtid="{D5CDD505-2E9C-101B-9397-08002B2CF9AE}" pid="10" name="ContentTypeId">
    <vt:lpwstr>0x01010062F47567F0551F4D89536B0F0DC67798</vt:lpwstr>
  </property>
  <property fmtid="{D5CDD505-2E9C-101B-9397-08002B2CF9AE}" pid="11" name="MSIP_Label_4929bff8-5b33-42aa-95d2-28f72e792cb0_Enabled">
    <vt:lpwstr>True</vt:lpwstr>
  </property>
  <property fmtid="{D5CDD505-2E9C-101B-9397-08002B2CF9AE}" pid="12" name="MSIP_Label_4929bff8-5b33-42aa-95d2-28f72e792cb0_SiteId">
    <vt:lpwstr>f35a6974-607f-47d4-82d7-ff31d7dc53a5</vt:lpwstr>
  </property>
  <property fmtid="{D5CDD505-2E9C-101B-9397-08002B2CF9AE}" pid="13" name="MSIP_Label_4929bff8-5b33-42aa-95d2-28f72e792cb0_Owner">
    <vt:lpwstr>MORSOMA1@novartis.net</vt:lpwstr>
  </property>
  <property fmtid="{D5CDD505-2E9C-101B-9397-08002B2CF9AE}" pid="14" name="MSIP_Label_4929bff8-5b33-42aa-95d2-28f72e792cb0_SetDate">
    <vt:lpwstr>2019-01-14T00:32:35.7637846Z</vt:lpwstr>
  </property>
  <property fmtid="{D5CDD505-2E9C-101B-9397-08002B2CF9AE}" pid="15" name="MSIP_Label_4929bff8-5b33-42aa-95d2-28f72e792cb0_Name">
    <vt:lpwstr>Business Use Only</vt:lpwstr>
  </property>
  <property fmtid="{D5CDD505-2E9C-101B-9397-08002B2CF9AE}" pid="16" name="MSIP_Label_4929bff8-5b33-42aa-95d2-28f72e792cb0_Application">
    <vt:lpwstr>Microsoft Azure Information Protection</vt:lpwstr>
  </property>
  <property fmtid="{D5CDD505-2E9C-101B-9397-08002B2CF9AE}" pid="17" name="MSIP_Label_4929bff8-5b33-42aa-95d2-28f72e792cb0_Extended_MSFT_Method">
    <vt:lpwstr>Automatic</vt:lpwstr>
  </property>
  <property fmtid="{D5CDD505-2E9C-101B-9397-08002B2CF9AE}" pid="18" name="Confidentiality">
    <vt:lpwstr>Business Use Only</vt:lpwstr>
  </property>
</Properties>
</file>