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A9C2D" w14:textId="170B5BC4" w:rsidR="004032BD" w:rsidRPr="00204FB3" w:rsidRDefault="00D86276" w:rsidP="00024098">
      <w:pPr>
        <w:pStyle w:val="Heading1"/>
        <w:keepNext w:val="0"/>
        <w:pageBreakBefore w:val="0"/>
        <w:numPr>
          <w:ilvl w:val="0"/>
          <w:numId w:val="0"/>
        </w:numPr>
        <w:spacing w:after="240"/>
        <w:rPr>
          <w:rFonts w:eastAsia="SimSun"/>
          <w:lang w:val="en-AU"/>
        </w:rPr>
      </w:pPr>
      <w:r w:rsidRPr="00204FB3">
        <w:rPr>
          <w:rFonts w:eastAsia="SimSun"/>
          <w:lang w:val="en-AU"/>
        </w:rPr>
        <w:t xml:space="preserve">Australian product </w:t>
      </w:r>
      <w:r w:rsidR="004032BD" w:rsidRPr="00204FB3">
        <w:rPr>
          <w:rFonts w:eastAsia="SimSun"/>
          <w:lang w:val="en-AU"/>
        </w:rPr>
        <w:t>I</w:t>
      </w:r>
      <w:r w:rsidRPr="00204FB3">
        <w:rPr>
          <w:rFonts w:eastAsia="SimSun"/>
          <w:lang w:val="en-AU"/>
        </w:rPr>
        <w:t>nformation</w:t>
      </w:r>
      <w:r w:rsidR="004032BD" w:rsidRPr="00204FB3">
        <w:rPr>
          <w:rFonts w:eastAsia="SimSun"/>
          <w:lang w:val="en-AU"/>
        </w:rPr>
        <w:t xml:space="preserve"> </w:t>
      </w:r>
      <w:r w:rsidR="00CD5243" w:rsidRPr="00204FB3">
        <w:rPr>
          <w:rFonts w:eastAsia="SimSun"/>
          <w:lang w:val="en-AU"/>
        </w:rPr>
        <w:t xml:space="preserve">- </w:t>
      </w:r>
      <w:r w:rsidR="00696324" w:rsidRPr="00204FB3">
        <w:rPr>
          <w:rFonts w:eastAsia="SimSun"/>
          <w:lang w:val="en-AU"/>
        </w:rPr>
        <w:t>PRALUENT</w:t>
      </w:r>
      <w:r w:rsidR="00CD5243" w:rsidRPr="00204FB3">
        <w:rPr>
          <w:rFonts w:eastAsia="SimSun"/>
          <w:vertAlign w:val="superscript"/>
          <w:lang w:val="en-AU"/>
        </w:rPr>
        <w:t>®</w:t>
      </w:r>
      <w:r w:rsidR="00E53688" w:rsidRPr="00204FB3">
        <w:rPr>
          <w:rFonts w:eastAsia="SimSun"/>
          <w:vertAlign w:val="superscript"/>
          <w:lang w:val="en-AU"/>
        </w:rPr>
        <w:t xml:space="preserve"> </w:t>
      </w:r>
      <w:r w:rsidR="00E53688" w:rsidRPr="00204FB3">
        <w:rPr>
          <w:rFonts w:eastAsia="SimSun"/>
          <w:lang w:val="en-AU"/>
        </w:rPr>
        <w:t>(</w:t>
      </w:r>
      <w:r w:rsidR="00696324" w:rsidRPr="00204FB3">
        <w:rPr>
          <w:rFonts w:eastAsia="SimSun"/>
          <w:lang w:val="en-AU"/>
        </w:rPr>
        <w:t>alirocumab</w:t>
      </w:r>
      <w:r w:rsidR="00E53688" w:rsidRPr="00204FB3">
        <w:rPr>
          <w:rFonts w:eastAsia="SimSun"/>
          <w:lang w:val="en-AU"/>
        </w:rPr>
        <w:t>)</w:t>
      </w:r>
    </w:p>
    <w:p w14:paraId="03162924" w14:textId="77777777" w:rsidR="00024098" w:rsidRPr="00204FB3" w:rsidRDefault="00024098" w:rsidP="00024098">
      <w:pPr>
        <w:rPr>
          <w:color w:val="auto"/>
          <w:lang w:val="en-AU"/>
        </w:rPr>
      </w:pPr>
    </w:p>
    <w:p w14:paraId="043505CD" w14:textId="77777777" w:rsidR="001A3992" w:rsidRPr="00204FB3" w:rsidRDefault="001A3992" w:rsidP="00E71F4B">
      <w:pPr>
        <w:pStyle w:val="Heading1"/>
        <w:keepNext w:val="0"/>
        <w:pageBreakBefore w:val="0"/>
        <w:spacing w:before="0" w:after="120"/>
        <w:rPr>
          <w:lang w:val="en-AU"/>
        </w:rPr>
      </w:pPr>
      <w:r w:rsidRPr="00204FB3">
        <w:rPr>
          <w:lang w:val="en-AU"/>
        </w:rPr>
        <w:t>Name of the medicine</w:t>
      </w:r>
    </w:p>
    <w:p w14:paraId="012C340A" w14:textId="5B5BD8D7" w:rsidR="00C301BA" w:rsidRPr="00204FB3" w:rsidRDefault="00696324" w:rsidP="006300D9">
      <w:pPr>
        <w:rPr>
          <w:color w:val="auto"/>
        </w:rPr>
      </w:pPr>
      <w:r w:rsidRPr="00204FB3">
        <w:rPr>
          <w:color w:val="auto"/>
        </w:rPr>
        <w:t>Praluent 75mg/mL and 150mg/mL solution for injection</w:t>
      </w:r>
    </w:p>
    <w:p w14:paraId="17D50E56" w14:textId="77777777" w:rsidR="00292D82" w:rsidRPr="00204FB3" w:rsidRDefault="00C301BA" w:rsidP="00C301BA">
      <w:pPr>
        <w:spacing w:before="120"/>
        <w:jc w:val="both"/>
        <w:rPr>
          <w:color w:val="auto"/>
          <w:lang w:val="en-AU"/>
        </w:rPr>
      </w:pPr>
      <w:r w:rsidRPr="00204FB3">
        <w:rPr>
          <w:color w:val="auto"/>
          <w:lang w:val="en-AU"/>
        </w:rPr>
        <w:t xml:space="preserve"> </w:t>
      </w:r>
    </w:p>
    <w:p w14:paraId="6393B1FE" w14:textId="77777777" w:rsidR="001A3992" w:rsidRPr="00204FB3" w:rsidRDefault="001A3992" w:rsidP="00024098">
      <w:pPr>
        <w:pStyle w:val="Heading1"/>
        <w:keepNext w:val="0"/>
        <w:pageBreakBefore w:val="0"/>
        <w:spacing w:before="0" w:after="120"/>
        <w:rPr>
          <w:lang w:val="en-AU"/>
        </w:rPr>
      </w:pPr>
      <w:r w:rsidRPr="00204FB3">
        <w:rPr>
          <w:lang w:val="en-AU"/>
        </w:rPr>
        <w:t>Qualitative and quantitative composition</w:t>
      </w:r>
    </w:p>
    <w:p w14:paraId="342036E8" w14:textId="032E6CCA" w:rsidR="001C65EF" w:rsidRPr="00204FB3" w:rsidRDefault="00696324" w:rsidP="006300D9">
      <w:pPr>
        <w:rPr>
          <w:color w:val="auto"/>
        </w:rPr>
      </w:pPr>
      <w:r w:rsidRPr="00204FB3">
        <w:rPr>
          <w:color w:val="auto"/>
        </w:rPr>
        <w:t>Alirocumab</w:t>
      </w:r>
      <w:r w:rsidR="001C2DD6" w:rsidRPr="00204FB3">
        <w:rPr>
          <w:color w:val="auto"/>
        </w:rPr>
        <w:t xml:space="preserve"> (rch)</w:t>
      </w:r>
      <w:r w:rsidRPr="00204FB3">
        <w:rPr>
          <w:color w:val="auto"/>
        </w:rPr>
        <w:t xml:space="preserve"> 75mg/mL and 150mg/mL </w:t>
      </w:r>
    </w:p>
    <w:p w14:paraId="27BD60BD" w14:textId="77777777" w:rsidR="00414315" w:rsidRDefault="001C65EF" w:rsidP="006300D9">
      <w:pPr>
        <w:rPr>
          <w:color w:val="auto"/>
        </w:rPr>
      </w:pPr>
      <w:r w:rsidRPr="00204FB3">
        <w:rPr>
          <w:color w:val="auto"/>
        </w:rPr>
        <w:t xml:space="preserve">Alirocumab is a fully human monoclonal antibody (IgG1 isotype) that targets PCSK9. Alirocumab is produced by recombinant DNA technology in Chinese Hamster </w:t>
      </w:r>
      <w:r w:rsidR="00DD5F3C" w:rsidRPr="00204FB3">
        <w:rPr>
          <w:color w:val="auto"/>
        </w:rPr>
        <w:t xml:space="preserve">Ovary cell suspension culture. </w:t>
      </w:r>
    </w:p>
    <w:p w14:paraId="0C30E07B" w14:textId="3991F790" w:rsidR="005528DB" w:rsidRPr="00204FB3" w:rsidRDefault="00696324" w:rsidP="006300D9">
      <w:pPr>
        <w:rPr>
          <w:color w:val="auto"/>
        </w:rPr>
      </w:pPr>
      <w:r w:rsidRPr="00204FB3">
        <w:rPr>
          <w:color w:val="auto"/>
        </w:rPr>
        <w:br/>
        <w:t>For full list of excipients, see section 6.1</w:t>
      </w:r>
      <w:r w:rsidR="00E723EE">
        <w:rPr>
          <w:color w:val="auto"/>
        </w:rPr>
        <w:t xml:space="preserve">. </w:t>
      </w:r>
    </w:p>
    <w:p w14:paraId="4A208023" w14:textId="77777777" w:rsidR="000E1A58" w:rsidRPr="00204FB3" w:rsidRDefault="000E1A58" w:rsidP="000E1A58">
      <w:pPr>
        <w:pStyle w:val="wcpTableContent"/>
        <w:spacing w:before="120" w:after="0"/>
        <w:jc w:val="both"/>
        <w:rPr>
          <w:color w:val="auto"/>
          <w:lang w:val="en-AU"/>
        </w:rPr>
      </w:pPr>
    </w:p>
    <w:p w14:paraId="5BE0940F" w14:textId="77777777" w:rsidR="001A3992" w:rsidRPr="00204FB3" w:rsidRDefault="001A3992" w:rsidP="00024098">
      <w:pPr>
        <w:pStyle w:val="Heading1"/>
        <w:keepNext w:val="0"/>
        <w:pageBreakBefore w:val="0"/>
        <w:spacing w:before="0" w:after="120"/>
        <w:rPr>
          <w:lang w:val="en-AU"/>
        </w:rPr>
      </w:pPr>
      <w:r w:rsidRPr="00204FB3">
        <w:rPr>
          <w:lang w:val="en-AU"/>
        </w:rPr>
        <w:t>Pharmaceutical form</w:t>
      </w:r>
    </w:p>
    <w:p w14:paraId="519CD904" w14:textId="77777777" w:rsidR="00696324" w:rsidRPr="00204FB3" w:rsidRDefault="00B02861" w:rsidP="00696324">
      <w:pPr>
        <w:rPr>
          <w:color w:val="auto"/>
          <w:lang w:val="en-AU"/>
        </w:rPr>
      </w:pPr>
      <w:r w:rsidRPr="00204FB3">
        <w:rPr>
          <w:color w:val="auto"/>
          <w:lang w:val="en-AU"/>
        </w:rPr>
        <w:t>Solution for injection</w:t>
      </w:r>
    </w:p>
    <w:p w14:paraId="093E58EE" w14:textId="5149B384" w:rsidR="00AE5799" w:rsidRPr="00204FB3" w:rsidRDefault="00B7428A" w:rsidP="004F0E4A">
      <w:pPr>
        <w:rPr>
          <w:color w:val="auto"/>
          <w:lang w:val="en-AU"/>
        </w:rPr>
      </w:pPr>
      <w:r w:rsidRPr="00204FB3">
        <w:rPr>
          <w:color w:val="auto"/>
          <w:lang w:val="en-AU"/>
        </w:rPr>
        <w:t>Praluent is a sterile, clear, colourless to pale yellow solution for subcutaneous injection with pH of about 6.0, containing no antimicrobial preservatives.</w:t>
      </w:r>
    </w:p>
    <w:p w14:paraId="1378AA25" w14:textId="77777777" w:rsidR="00B7428A" w:rsidRPr="00204FB3" w:rsidRDefault="00B7428A" w:rsidP="004F0E4A">
      <w:pPr>
        <w:rPr>
          <w:color w:val="auto"/>
          <w:lang w:val="en-AU"/>
        </w:rPr>
      </w:pPr>
    </w:p>
    <w:p w14:paraId="37E65A35" w14:textId="77777777" w:rsidR="001A3992" w:rsidRPr="00204FB3" w:rsidRDefault="001A3992" w:rsidP="00292D82">
      <w:pPr>
        <w:pStyle w:val="Heading1"/>
        <w:keepNext w:val="0"/>
        <w:pageBreakBefore w:val="0"/>
        <w:spacing w:before="0" w:after="120"/>
        <w:rPr>
          <w:lang w:val="en-AU"/>
        </w:rPr>
      </w:pPr>
      <w:r w:rsidRPr="00204FB3">
        <w:rPr>
          <w:lang w:val="en-AU"/>
        </w:rPr>
        <w:t>Clinical particulars</w:t>
      </w:r>
    </w:p>
    <w:p w14:paraId="1B1F827E" w14:textId="77777777" w:rsidR="001A3992" w:rsidRPr="00204FB3" w:rsidRDefault="001A3992" w:rsidP="001A3992">
      <w:pPr>
        <w:pStyle w:val="Heading2"/>
        <w:spacing w:before="0" w:after="120"/>
        <w:rPr>
          <w:lang w:val="en-AU"/>
        </w:rPr>
      </w:pPr>
      <w:r w:rsidRPr="00204FB3">
        <w:rPr>
          <w:lang w:val="en-AU"/>
        </w:rPr>
        <w:t xml:space="preserve">Therapeutic indications </w:t>
      </w:r>
    </w:p>
    <w:p w14:paraId="22DDCA15" w14:textId="7932915F" w:rsidR="00285708" w:rsidRPr="00204FB3" w:rsidRDefault="00285708" w:rsidP="00696324">
      <w:pPr>
        <w:pStyle w:val="TblTextCenter"/>
        <w:spacing w:before="240"/>
        <w:jc w:val="left"/>
        <w:rPr>
          <w:rFonts w:ascii="Times New Roman" w:hAnsi="Times New Roman"/>
          <w:b/>
          <w:sz w:val="24"/>
          <w:szCs w:val="24"/>
        </w:rPr>
      </w:pPr>
      <w:r w:rsidRPr="00204FB3">
        <w:rPr>
          <w:rFonts w:ascii="Times New Roman" w:hAnsi="Times New Roman"/>
          <w:b/>
          <w:sz w:val="24"/>
          <w:szCs w:val="24"/>
        </w:rPr>
        <w:t>Primary hypercholesterol</w:t>
      </w:r>
      <w:r w:rsidR="00596EDB" w:rsidRPr="00204FB3">
        <w:rPr>
          <w:rFonts w:ascii="Times New Roman" w:hAnsi="Times New Roman"/>
          <w:b/>
          <w:sz w:val="24"/>
          <w:szCs w:val="24"/>
        </w:rPr>
        <w:t>a</w:t>
      </w:r>
      <w:r w:rsidRPr="00204FB3">
        <w:rPr>
          <w:rFonts w:ascii="Times New Roman" w:hAnsi="Times New Roman"/>
          <w:b/>
          <w:sz w:val="24"/>
          <w:szCs w:val="24"/>
        </w:rPr>
        <w:t xml:space="preserve">emia </w:t>
      </w:r>
    </w:p>
    <w:p w14:paraId="319E44D9" w14:textId="51859E5C" w:rsidR="00696324" w:rsidRPr="00204FB3" w:rsidRDefault="00696324" w:rsidP="00696324">
      <w:pPr>
        <w:pStyle w:val="TblTextCenter"/>
        <w:spacing w:before="240"/>
        <w:jc w:val="left"/>
        <w:rPr>
          <w:rFonts w:ascii="Times New Roman" w:hAnsi="Times New Roman"/>
          <w:sz w:val="24"/>
          <w:szCs w:val="24"/>
          <w:lang w:val="en-AU" w:eastAsia="en-AU"/>
        </w:rPr>
      </w:pPr>
      <w:r w:rsidRPr="00204FB3">
        <w:rPr>
          <w:rFonts w:ascii="Times New Roman" w:hAnsi="Times New Roman"/>
          <w:sz w:val="24"/>
          <w:szCs w:val="24"/>
        </w:rPr>
        <w:t xml:space="preserve">Praluent is indicated as an adjunct to diet and exercise to reduce LDL-C in adults with </w:t>
      </w:r>
      <w:r w:rsidR="006F5AAF" w:rsidRPr="00204FB3">
        <w:rPr>
          <w:rFonts w:ascii="Times New Roman" w:hAnsi="Times New Roman"/>
          <w:sz w:val="24"/>
          <w:szCs w:val="24"/>
          <w:lang w:val="en-AU" w:eastAsia="en-AU"/>
        </w:rPr>
        <w:t>primary (</w:t>
      </w:r>
      <w:r w:rsidRPr="00204FB3">
        <w:rPr>
          <w:rFonts w:ascii="Times New Roman" w:hAnsi="Times New Roman"/>
          <w:sz w:val="24"/>
          <w:szCs w:val="24"/>
          <w:lang w:val="en-AU" w:eastAsia="en-AU"/>
        </w:rPr>
        <w:t>heterozygous familial</w:t>
      </w:r>
      <w:r w:rsidR="00F44EC2" w:rsidRPr="00204FB3">
        <w:rPr>
          <w:rFonts w:ascii="Times New Roman" w:hAnsi="Times New Roman"/>
          <w:sz w:val="24"/>
          <w:szCs w:val="24"/>
          <w:lang w:val="en-AU" w:eastAsia="en-AU"/>
        </w:rPr>
        <w:t xml:space="preserve"> or non-familial</w:t>
      </w:r>
      <w:r w:rsidR="006F5AAF" w:rsidRPr="00204FB3">
        <w:rPr>
          <w:rFonts w:ascii="Times New Roman" w:hAnsi="Times New Roman"/>
          <w:sz w:val="24"/>
          <w:szCs w:val="24"/>
          <w:lang w:val="en-AU" w:eastAsia="en-AU"/>
        </w:rPr>
        <w:t>)</w:t>
      </w:r>
      <w:r w:rsidR="008D0C6B" w:rsidRPr="00204FB3">
        <w:rPr>
          <w:rFonts w:ascii="Times New Roman" w:hAnsi="Times New Roman"/>
          <w:sz w:val="24"/>
          <w:szCs w:val="24"/>
          <w:lang w:val="en-AU" w:eastAsia="en-AU"/>
        </w:rPr>
        <w:t xml:space="preserve"> </w:t>
      </w:r>
      <w:r w:rsidRPr="00204FB3">
        <w:rPr>
          <w:rFonts w:ascii="Times New Roman" w:hAnsi="Times New Roman"/>
          <w:sz w:val="24"/>
          <w:szCs w:val="24"/>
          <w:lang w:val="en-AU" w:eastAsia="en-AU"/>
        </w:rPr>
        <w:t>hypercholesterolaemia</w:t>
      </w:r>
      <w:r w:rsidR="006F5AAF" w:rsidRPr="00204FB3">
        <w:rPr>
          <w:rFonts w:ascii="Times New Roman" w:hAnsi="Times New Roman"/>
          <w:sz w:val="24"/>
          <w:szCs w:val="24"/>
          <w:lang w:val="en-AU" w:eastAsia="en-AU"/>
        </w:rPr>
        <w:t xml:space="preserve"> in patients</w:t>
      </w:r>
      <w:r w:rsidRPr="00204FB3">
        <w:rPr>
          <w:rFonts w:ascii="Times New Roman" w:hAnsi="Times New Roman"/>
          <w:sz w:val="24"/>
          <w:szCs w:val="24"/>
          <w:lang w:val="en-AU" w:eastAsia="en-AU"/>
        </w:rPr>
        <w:t xml:space="preserve"> with</w:t>
      </w:r>
      <w:r w:rsidR="00C46D26" w:rsidRPr="00204FB3">
        <w:rPr>
          <w:rFonts w:ascii="Times New Roman" w:hAnsi="Times New Roman"/>
          <w:sz w:val="24"/>
          <w:szCs w:val="24"/>
          <w:lang w:val="en-AU" w:eastAsia="en-AU"/>
        </w:rPr>
        <w:t xml:space="preserve"> moderate to</w:t>
      </w:r>
      <w:r w:rsidRPr="00204FB3">
        <w:rPr>
          <w:rFonts w:ascii="Times New Roman" w:hAnsi="Times New Roman"/>
          <w:sz w:val="24"/>
          <w:szCs w:val="24"/>
          <w:lang w:val="en-AU" w:eastAsia="en-AU"/>
        </w:rPr>
        <w:t xml:space="preserve"> very high cardiovascular risk</w:t>
      </w:r>
      <w:r w:rsidR="00E723EE">
        <w:rPr>
          <w:rFonts w:ascii="Times New Roman" w:hAnsi="Times New Roman"/>
          <w:sz w:val="24"/>
          <w:szCs w:val="24"/>
          <w:lang w:val="en-AU" w:eastAsia="en-AU"/>
        </w:rPr>
        <w:t>:</w:t>
      </w:r>
      <w:r w:rsidR="00204FB3" w:rsidRPr="00204FB3">
        <w:rPr>
          <w:rFonts w:ascii="Times New Roman" w:hAnsi="Times New Roman"/>
          <w:sz w:val="24"/>
          <w:szCs w:val="24"/>
          <w:lang w:val="en-AU" w:eastAsia="en-AU"/>
        </w:rPr>
        <w:t xml:space="preserve"> </w:t>
      </w:r>
    </w:p>
    <w:p w14:paraId="1FC3FBAC" w14:textId="308B3E20" w:rsidR="00696324" w:rsidRPr="00204FB3" w:rsidRDefault="00696324" w:rsidP="00696324">
      <w:pPr>
        <w:rPr>
          <w:color w:val="auto"/>
          <w:lang w:val="en-AU" w:eastAsia="en-AU"/>
        </w:rPr>
      </w:pPr>
      <w:r w:rsidRPr="00204FB3">
        <w:rPr>
          <w:color w:val="auto"/>
          <w:lang w:val="en-AU" w:eastAsia="en-AU"/>
        </w:rPr>
        <w:t>- In combination with a statin, or statin with other lipid-lowering therapies in patients unable to reach LDL-C goals with maximum tolerated dose of a statin</w:t>
      </w:r>
      <w:r w:rsidR="00FE40D5" w:rsidRPr="00204FB3">
        <w:rPr>
          <w:color w:val="auto"/>
          <w:lang w:val="en-AU" w:eastAsia="en-AU"/>
        </w:rPr>
        <w:t>,</w:t>
      </w:r>
    </w:p>
    <w:p w14:paraId="3C9AA9DC" w14:textId="77777777" w:rsidR="00696324" w:rsidRPr="00204FB3" w:rsidRDefault="00696324" w:rsidP="00696324">
      <w:pPr>
        <w:rPr>
          <w:color w:val="auto"/>
          <w:lang w:val="en-AU" w:eastAsia="en-AU"/>
        </w:rPr>
      </w:pPr>
      <w:r w:rsidRPr="00204FB3">
        <w:rPr>
          <w:color w:val="auto"/>
          <w:lang w:val="en-AU" w:eastAsia="en-AU"/>
        </w:rPr>
        <w:t xml:space="preserve">- </w:t>
      </w:r>
      <w:r w:rsidR="00285708" w:rsidRPr="00204FB3">
        <w:rPr>
          <w:color w:val="auto"/>
          <w:lang w:val="en-AU" w:eastAsia="en-AU"/>
        </w:rPr>
        <w:t>alone or in</w:t>
      </w:r>
      <w:r w:rsidRPr="00204FB3">
        <w:rPr>
          <w:color w:val="auto"/>
          <w:lang w:val="en-AU" w:eastAsia="en-AU"/>
        </w:rPr>
        <w:t xml:space="preserve"> combination with other lipid lowering therapies in patients who are statin intolerant or for whom a statin is contraindicated who are unable to reach LDL-C goals.</w:t>
      </w:r>
    </w:p>
    <w:p w14:paraId="22D7CAB6" w14:textId="77777777" w:rsidR="003E2764" w:rsidRPr="00204FB3" w:rsidRDefault="003E2764" w:rsidP="00292D82">
      <w:pPr>
        <w:spacing w:before="120"/>
        <w:jc w:val="both"/>
        <w:rPr>
          <w:b/>
          <w:color w:val="auto"/>
          <w:lang w:val="en-AU"/>
        </w:rPr>
      </w:pPr>
    </w:p>
    <w:p w14:paraId="4B887AD6" w14:textId="26B3488E" w:rsidR="00292D82" w:rsidRPr="00204FB3" w:rsidRDefault="001C2DD6" w:rsidP="00292D82">
      <w:pPr>
        <w:spacing w:before="120"/>
        <w:jc w:val="both"/>
        <w:rPr>
          <w:b/>
          <w:color w:val="auto"/>
          <w:lang w:val="en-AU"/>
        </w:rPr>
      </w:pPr>
      <w:r w:rsidRPr="00204FB3">
        <w:rPr>
          <w:b/>
          <w:color w:val="auto"/>
          <w:lang w:val="en-AU"/>
        </w:rPr>
        <w:t>Prevention of cardiovascu</w:t>
      </w:r>
      <w:r w:rsidR="00D17C34" w:rsidRPr="00204FB3">
        <w:rPr>
          <w:b/>
          <w:color w:val="auto"/>
          <w:lang w:val="en-AU"/>
        </w:rPr>
        <w:t xml:space="preserve">lar events </w:t>
      </w:r>
    </w:p>
    <w:p w14:paraId="3E9E2BA0" w14:textId="70D2E907" w:rsidR="00AB4AE5" w:rsidRPr="00204FB3" w:rsidRDefault="00325A2E" w:rsidP="00325A2E">
      <w:pPr>
        <w:spacing w:before="120"/>
        <w:jc w:val="both"/>
        <w:rPr>
          <w:color w:val="auto"/>
          <w:lang w:val="en-AU"/>
        </w:rPr>
      </w:pPr>
      <w:r w:rsidRPr="00204FB3">
        <w:rPr>
          <w:color w:val="auto"/>
          <w:lang w:val="en-AU"/>
        </w:rPr>
        <w:lastRenderedPageBreak/>
        <w:t xml:space="preserve">Praluent is indicated </w:t>
      </w:r>
      <w:r w:rsidR="00AB4AE5" w:rsidRPr="00204FB3">
        <w:rPr>
          <w:color w:val="auto"/>
        </w:rPr>
        <w:t xml:space="preserve">to reduce the risk of cardiovascular events (myocardial infarction, stroke, unstable angina requiring </w:t>
      </w:r>
      <w:r w:rsidR="00CE34EF" w:rsidRPr="00204FB3">
        <w:rPr>
          <w:color w:val="auto"/>
        </w:rPr>
        <w:t>hospitalis</w:t>
      </w:r>
      <w:r w:rsidR="00AB4AE5" w:rsidRPr="00204FB3">
        <w:rPr>
          <w:color w:val="auto"/>
        </w:rPr>
        <w:t>ation) in adults with est</w:t>
      </w:r>
      <w:r w:rsidR="00596EDB" w:rsidRPr="00204FB3">
        <w:rPr>
          <w:color w:val="auto"/>
        </w:rPr>
        <w:t>ablished cardiovascular disease</w:t>
      </w:r>
      <w:r w:rsidR="00604DEE" w:rsidRPr="00204FB3">
        <w:rPr>
          <w:color w:val="auto"/>
        </w:rPr>
        <w:t>, in combination with</w:t>
      </w:r>
      <w:r w:rsidRPr="00204FB3">
        <w:rPr>
          <w:color w:val="auto"/>
        </w:rPr>
        <w:t xml:space="preserve"> </w:t>
      </w:r>
      <w:r w:rsidRPr="00204FB3">
        <w:rPr>
          <w:color w:val="auto"/>
          <w:lang w:val="en-AU"/>
        </w:rPr>
        <w:t>optimally dosed statins and/or</w:t>
      </w:r>
      <w:r w:rsidR="00604DEE" w:rsidRPr="00204FB3">
        <w:rPr>
          <w:color w:val="auto"/>
        </w:rPr>
        <w:t xml:space="preserve"> other lipid-lowering therapies (see</w:t>
      </w:r>
      <w:r w:rsidRPr="00204FB3">
        <w:rPr>
          <w:color w:val="auto"/>
        </w:rPr>
        <w:t xml:space="preserve"> </w:t>
      </w:r>
      <w:r w:rsidRPr="00204FB3">
        <w:rPr>
          <w:color w:val="auto"/>
          <w:lang w:val="en-AU"/>
        </w:rPr>
        <w:t>section 5.1 Pharmacodynamic properties,</w:t>
      </w:r>
      <w:r w:rsidR="00604DEE" w:rsidRPr="00204FB3">
        <w:rPr>
          <w:color w:val="auto"/>
        </w:rPr>
        <w:t xml:space="preserve"> CLINICAL TRIALS)</w:t>
      </w:r>
      <w:r w:rsidR="00E723EE">
        <w:rPr>
          <w:color w:val="auto"/>
        </w:rPr>
        <w:t xml:space="preserve">. </w:t>
      </w:r>
    </w:p>
    <w:p w14:paraId="054F9A8D" w14:textId="77777777" w:rsidR="00325A2E" w:rsidRPr="00204FB3" w:rsidRDefault="00325A2E" w:rsidP="00AB4AE5">
      <w:pPr>
        <w:spacing w:before="120"/>
        <w:jc w:val="both"/>
        <w:rPr>
          <w:color w:val="auto"/>
          <w:lang w:val="en-AU"/>
        </w:rPr>
      </w:pPr>
    </w:p>
    <w:p w14:paraId="09547A94" w14:textId="77777777" w:rsidR="001A3992" w:rsidRPr="00204FB3" w:rsidRDefault="001A3992" w:rsidP="001A3992">
      <w:pPr>
        <w:pStyle w:val="Heading2"/>
        <w:spacing w:before="0" w:after="120"/>
        <w:rPr>
          <w:lang w:val="en-AU"/>
        </w:rPr>
      </w:pPr>
      <w:r w:rsidRPr="00204FB3">
        <w:rPr>
          <w:lang w:val="en-AU"/>
        </w:rPr>
        <w:t xml:space="preserve">Dose and method of administration </w:t>
      </w:r>
    </w:p>
    <w:p w14:paraId="08EF25AF" w14:textId="77777777" w:rsidR="00B02861" w:rsidRPr="00204FB3" w:rsidRDefault="00B02861" w:rsidP="00B02861">
      <w:pPr>
        <w:rPr>
          <w:color w:val="auto"/>
        </w:rPr>
      </w:pPr>
      <w:r w:rsidRPr="00204FB3">
        <w:rPr>
          <w:color w:val="auto"/>
        </w:rPr>
        <w:t>The recommended starting dose of Praluent is 75 mg once every 2 weeks or 300 mg once every 4 weeks (monthly), administered subcutaneously.</w:t>
      </w:r>
    </w:p>
    <w:p w14:paraId="59855A9A" w14:textId="77777777" w:rsidR="00B02861" w:rsidRPr="00204FB3" w:rsidRDefault="00B02861" w:rsidP="00B02861">
      <w:pPr>
        <w:rPr>
          <w:color w:val="auto"/>
        </w:rPr>
      </w:pPr>
      <w:r w:rsidRPr="00204FB3">
        <w:rPr>
          <w:color w:val="auto"/>
        </w:rPr>
        <w:t>The dose of Praluent can be individualised based on patient characteristics such as baseline LDL-C level, goal of therapy and response. Lipid levels may be measured from 4 – 8 weeks of initiating or titrating Praluent, to assess the response and adjust the dose, if needed. If additional LDL-C reduction is needed in patients treated with 75 mg once every 2 weeks or 300 mg once every 4 weeks (monthly), the dosage may be adjusted to the maximum dosage of 150 mg once every 2 weeks.</w:t>
      </w:r>
    </w:p>
    <w:p w14:paraId="6BF1B057" w14:textId="77777777" w:rsidR="00B02861" w:rsidRPr="00204FB3" w:rsidRDefault="00B02861" w:rsidP="00B02861">
      <w:pPr>
        <w:rPr>
          <w:color w:val="auto"/>
        </w:rPr>
      </w:pPr>
      <w:r w:rsidRPr="00204FB3">
        <w:rPr>
          <w:color w:val="auto"/>
        </w:rPr>
        <w:t>If a dose is missed, instruct the patient to administer the injection within 7 days from the missed dose and then resume the patient’s original schedule. If an every-2-week dose is not administered within 7 days, instruct the patient to wait until the next dose on the original schedule. If an every-4-week dose is not administered within 7 days, instruct the patient to administer the dose, starting a new schedule based on this date.</w:t>
      </w:r>
    </w:p>
    <w:p w14:paraId="6883EB68" w14:textId="25A4556A" w:rsidR="00FD0662" w:rsidRPr="00204FB3" w:rsidRDefault="00B02861" w:rsidP="00AF3B99">
      <w:pPr>
        <w:rPr>
          <w:color w:val="auto"/>
        </w:rPr>
      </w:pPr>
      <w:r w:rsidRPr="00204FB3">
        <w:rPr>
          <w:color w:val="auto"/>
        </w:rPr>
        <w:t xml:space="preserve">No dose adjustments are needed for elderly patients or patients based on weight. No dose adjustments are needed for patients with mild or moderate renal or hepatic impairment (see </w:t>
      </w:r>
      <w:r w:rsidR="00E50D2E" w:rsidRPr="00204FB3">
        <w:rPr>
          <w:color w:val="auto"/>
        </w:rPr>
        <w:t xml:space="preserve">section 5.2 </w:t>
      </w:r>
      <w:r w:rsidRPr="00204FB3">
        <w:rPr>
          <w:color w:val="auto"/>
        </w:rPr>
        <w:t>PHARMACOKINETIC</w:t>
      </w:r>
      <w:r w:rsidR="00E50D2E" w:rsidRPr="00204FB3">
        <w:rPr>
          <w:color w:val="auto"/>
        </w:rPr>
        <w:t xml:space="preserve"> PROPERTIES</w:t>
      </w:r>
      <w:r w:rsidRPr="00204FB3">
        <w:rPr>
          <w:color w:val="auto"/>
        </w:rPr>
        <w:t>)</w:t>
      </w:r>
      <w:r w:rsidR="00E723EE">
        <w:rPr>
          <w:color w:val="auto"/>
        </w:rPr>
        <w:t xml:space="preserve">. </w:t>
      </w:r>
    </w:p>
    <w:p w14:paraId="5042D09A" w14:textId="77777777" w:rsidR="00B02861" w:rsidRPr="00204FB3" w:rsidRDefault="00B02861" w:rsidP="00B02861">
      <w:pPr>
        <w:pStyle w:val="Heading3"/>
        <w:numPr>
          <w:ilvl w:val="0"/>
          <w:numId w:val="0"/>
        </w:numPr>
        <w:ind w:left="680" w:hanging="680"/>
      </w:pPr>
      <w:r w:rsidRPr="00204FB3">
        <w:t xml:space="preserve">Method of Administration </w:t>
      </w:r>
    </w:p>
    <w:p w14:paraId="2E497F36" w14:textId="77777777" w:rsidR="00B02861" w:rsidRPr="00204FB3" w:rsidRDefault="00B02861" w:rsidP="00B02861">
      <w:pPr>
        <w:rPr>
          <w:color w:val="auto"/>
        </w:rPr>
      </w:pPr>
      <w:r w:rsidRPr="00204FB3">
        <w:rPr>
          <w:color w:val="auto"/>
        </w:rPr>
        <w:t xml:space="preserve">Praluent is injected as a subcutaneous injection into the thigh, abdomen or upper arm. </w:t>
      </w:r>
    </w:p>
    <w:p w14:paraId="54A1F73C" w14:textId="77777777" w:rsidR="00B02861" w:rsidRPr="00204FB3" w:rsidRDefault="00B02861" w:rsidP="00B02861">
      <w:pPr>
        <w:rPr>
          <w:color w:val="auto"/>
        </w:rPr>
      </w:pPr>
      <w:r w:rsidRPr="00204FB3">
        <w:rPr>
          <w:color w:val="auto"/>
        </w:rPr>
        <w:t>To administer the 300 mg dose, give two 150 mg injections consecutively at two different injection sites.</w:t>
      </w:r>
    </w:p>
    <w:p w14:paraId="6496909C" w14:textId="77777777" w:rsidR="00B02861" w:rsidRPr="00204FB3" w:rsidRDefault="00B02861" w:rsidP="00B02861">
      <w:pPr>
        <w:rPr>
          <w:color w:val="auto"/>
        </w:rPr>
      </w:pPr>
      <w:r w:rsidRPr="00204FB3">
        <w:rPr>
          <w:color w:val="auto"/>
        </w:rPr>
        <w:t xml:space="preserve">It is recommended to rotate the injection site with each injection. </w:t>
      </w:r>
    </w:p>
    <w:p w14:paraId="7F36AC60" w14:textId="77777777" w:rsidR="00B02861" w:rsidRPr="00204FB3" w:rsidRDefault="00B02861" w:rsidP="00B02861">
      <w:pPr>
        <w:rPr>
          <w:color w:val="auto"/>
        </w:rPr>
      </w:pPr>
      <w:r w:rsidRPr="00204FB3">
        <w:rPr>
          <w:color w:val="auto"/>
        </w:rPr>
        <w:t xml:space="preserve">Praluent should not be injected into areas of active skin disease or injury such as sunburns, skin rashes, inflammation, or skin infections. </w:t>
      </w:r>
    </w:p>
    <w:p w14:paraId="6F7FDACE" w14:textId="77777777" w:rsidR="00B02861" w:rsidRPr="00204FB3" w:rsidRDefault="00B02861" w:rsidP="00B02861">
      <w:pPr>
        <w:rPr>
          <w:color w:val="auto"/>
        </w:rPr>
      </w:pPr>
      <w:r w:rsidRPr="00204FB3">
        <w:rPr>
          <w:color w:val="auto"/>
        </w:rPr>
        <w:t xml:space="preserve">The patient may either self-inject Praluent or a caregiver may administer Praluent, after guidance has been provided by a healthcare professional on proper subcutaneous injection technique. </w:t>
      </w:r>
    </w:p>
    <w:p w14:paraId="16F9FB76" w14:textId="77777777" w:rsidR="00B02861" w:rsidRPr="00204FB3" w:rsidRDefault="00B02861" w:rsidP="00B02861">
      <w:pPr>
        <w:rPr>
          <w:color w:val="auto"/>
        </w:rPr>
      </w:pPr>
      <w:r w:rsidRPr="00204FB3">
        <w:rPr>
          <w:color w:val="auto"/>
        </w:rPr>
        <w:t xml:space="preserve">Praluent must not be co-administered with other injectable medicinal products at the same injection site. </w:t>
      </w:r>
    </w:p>
    <w:p w14:paraId="0F30A3A1" w14:textId="77777777" w:rsidR="00B02861" w:rsidRPr="00204FB3" w:rsidRDefault="00B02861" w:rsidP="00B02861">
      <w:pPr>
        <w:rPr>
          <w:color w:val="auto"/>
        </w:rPr>
      </w:pPr>
      <w:r w:rsidRPr="00204FB3">
        <w:rPr>
          <w:color w:val="auto"/>
        </w:rPr>
        <w:lastRenderedPageBreak/>
        <w:t xml:space="preserve">Praluent is a sterile product and contains no antimicrobial preservatives. Product is for single use in one patient only. </w:t>
      </w:r>
    </w:p>
    <w:p w14:paraId="58020F15" w14:textId="77777777" w:rsidR="00B02861" w:rsidRPr="00204FB3" w:rsidRDefault="00B02861" w:rsidP="00B02861">
      <w:pPr>
        <w:rPr>
          <w:color w:val="auto"/>
        </w:rPr>
      </w:pPr>
      <w:r w:rsidRPr="00204FB3">
        <w:rPr>
          <w:color w:val="auto"/>
        </w:rPr>
        <w:t xml:space="preserve">Before administration, Praluent should be inspected visually for particulate matter and discolouration. If the solution is discoloured or contains particulate matter, the solution should not be used. </w:t>
      </w:r>
    </w:p>
    <w:p w14:paraId="6209904A" w14:textId="77777777" w:rsidR="00B02861" w:rsidRPr="00204FB3" w:rsidRDefault="00B02861" w:rsidP="00B02861">
      <w:pPr>
        <w:rPr>
          <w:color w:val="auto"/>
        </w:rPr>
      </w:pPr>
      <w:r w:rsidRPr="00204FB3">
        <w:rPr>
          <w:color w:val="auto"/>
        </w:rPr>
        <w:t>To avoid discomfort, Praluent should be allowed to warm to room temperature (up to 25°C) for 30 to 40 minutes prior to use. Do not heat, let it warm up on its own. Praluent should be used as soon as possible after it has warmed up. Time out of refrigeration should not exceed a maximum of 30 days at temperatures below 25°C.</w:t>
      </w:r>
    </w:p>
    <w:p w14:paraId="23F143CC" w14:textId="77777777" w:rsidR="00B02861" w:rsidRPr="00204FB3" w:rsidRDefault="00B02861" w:rsidP="00B02861">
      <w:pPr>
        <w:rPr>
          <w:color w:val="auto"/>
        </w:rPr>
      </w:pPr>
      <w:r w:rsidRPr="00204FB3">
        <w:rPr>
          <w:color w:val="auto"/>
        </w:rPr>
        <w:t xml:space="preserve">After use, place the Praluent pre-filled pen or pre-filled syringe into a puncture resistant container and discard in accordance with local requirements. </w:t>
      </w:r>
    </w:p>
    <w:p w14:paraId="79C2A593" w14:textId="77777777" w:rsidR="004F0E4A" w:rsidRPr="00204FB3" w:rsidRDefault="004F0E4A" w:rsidP="00B02861">
      <w:pPr>
        <w:rPr>
          <w:color w:val="auto"/>
          <w:lang w:val="en-AU"/>
        </w:rPr>
      </w:pPr>
    </w:p>
    <w:p w14:paraId="3B56E8A5" w14:textId="77777777" w:rsidR="001A3992" w:rsidRPr="00204FB3" w:rsidRDefault="001A3992" w:rsidP="001A3992">
      <w:pPr>
        <w:pStyle w:val="Heading2"/>
        <w:spacing w:before="0" w:after="120"/>
        <w:rPr>
          <w:lang w:val="en-AU"/>
        </w:rPr>
      </w:pPr>
      <w:r w:rsidRPr="00204FB3">
        <w:rPr>
          <w:lang w:val="en-AU"/>
        </w:rPr>
        <w:t>Contraindications</w:t>
      </w:r>
    </w:p>
    <w:p w14:paraId="1027DFAE" w14:textId="77777777" w:rsidR="00696324" w:rsidRPr="00204FB3" w:rsidRDefault="00696324" w:rsidP="00414315">
      <w:pPr>
        <w:spacing w:before="120"/>
        <w:rPr>
          <w:color w:val="auto"/>
          <w:lang w:val="en-AU"/>
        </w:rPr>
      </w:pPr>
      <w:r w:rsidRPr="00204FB3">
        <w:rPr>
          <w:color w:val="auto"/>
          <w:lang w:val="en-AU"/>
        </w:rPr>
        <w:t>Hypersensitivity to the active substance or to any of the excipients listed in section 6.1.</w:t>
      </w:r>
    </w:p>
    <w:p w14:paraId="64BCD29A" w14:textId="77777777" w:rsidR="00292D82" w:rsidRPr="00204FB3" w:rsidRDefault="00292D82" w:rsidP="00292D82">
      <w:pPr>
        <w:spacing w:before="120"/>
        <w:jc w:val="both"/>
        <w:rPr>
          <w:color w:val="auto"/>
          <w:lang w:val="en-AU"/>
        </w:rPr>
      </w:pPr>
    </w:p>
    <w:p w14:paraId="3AE84738" w14:textId="77777777" w:rsidR="001A3992" w:rsidRPr="00204FB3" w:rsidRDefault="00E74A56" w:rsidP="001A3992">
      <w:pPr>
        <w:pStyle w:val="Heading2"/>
        <w:spacing w:before="0" w:after="120"/>
        <w:rPr>
          <w:lang w:val="en-AU"/>
        </w:rPr>
      </w:pPr>
      <w:r w:rsidRPr="00204FB3">
        <w:rPr>
          <w:lang w:val="en-AU"/>
        </w:rPr>
        <w:t>Special warnings and p</w:t>
      </w:r>
      <w:r w:rsidR="001A3992" w:rsidRPr="00204FB3">
        <w:rPr>
          <w:lang w:val="en-AU"/>
        </w:rPr>
        <w:t xml:space="preserve">recautions </w:t>
      </w:r>
      <w:r w:rsidRPr="00204FB3">
        <w:rPr>
          <w:lang w:val="en-AU"/>
        </w:rPr>
        <w:t>for use</w:t>
      </w:r>
    </w:p>
    <w:p w14:paraId="7C01110C" w14:textId="2C640946" w:rsidR="008627B7" w:rsidRPr="00204FB3" w:rsidRDefault="008627B7" w:rsidP="008627B7">
      <w:pPr>
        <w:rPr>
          <w:color w:val="auto"/>
        </w:rPr>
      </w:pPr>
      <w:r w:rsidRPr="00204FB3">
        <w:rPr>
          <w:color w:val="auto"/>
        </w:rPr>
        <w:t xml:space="preserve">General allergic reactions, including pruritus, as well as rare and sometimes serious allergic reactions such as hypersensitivity, nummular eczema, urticaria, and hypersensitivity vasculitis have been reported in clinical studies (see section </w:t>
      </w:r>
      <w:r w:rsidR="00E50D2E" w:rsidRPr="00204FB3">
        <w:rPr>
          <w:color w:val="auto"/>
        </w:rPr>
        <w:t xml:space="preserve">4.8 </w:t>
      </w:r>
      <w:r w:rsidRPr="00204FB3">
        <w:rPr>
          <w:color w:val="auto"/>
        </w:rPr>
        <w:t>ADVERSE EFFECTS). If signs or symptoms of serious allergic reactions occur, treatment with Praluent must be discontinued and appropriate symptomatic treatment initiated.</w:t>
      </w:r>
    </w:p>
    <w:p w14:paraId="4FF7F42B" w14:textId="77777777" w:rsidR="004F0E4A" w:rsidRPr="00204FB3" w:rsidRDefault="008627B7" w:rsidP="008627B7">
      <w:pPr>
        <w:pStyle w:val="Heading3"/>
        <w:numPr>
          <w:ilvl w:val="0"/>
          <w:numId w:val="0"/>
        </w:numPr>
        <w:ind w:left="680" w:hanging="680"/>
        <w:rPr>
          <w:i/>
          <w:lang w:val="en-AU"/>
        </w:rPr>
      </w:pPr>
      <w:r w:rsidRPr="00204FB3">
        <w:rPr>
          <w:i/>
          <w:lang w:val="en-AU"/>
        </w:rPr>
        <w:t>Immunogenicity</w:t>
      </w:r>
    </w:p>
    <w:p w14:paraId="765EE45E" w14:textId="2C6D8A64" w:rsidR="008627B7" w:rsidRPr="00204FB3" w:rsidRDefault="008627B7" w:rsidP="008627B7">
      <w:pPr>
        <w:rPr>
          <w:color w:val="auto"/>
        </w:rPr>
      </w:pPr>
      <w:r w:rsidRPr="00204FB3">
        <w:rPr>
          <w:color w:val="auto"/>
        </w:rPr>
        <w:t xml:space="preserve">In </w:t>
      </w:r>
      <w:r w:rsidR="00097EB5" w:rsidRPr="00204FB3">
        <w:rPr>
          <w:color w:val="auto"/>
          <w:u w:color="0000FF"/>
        </w:rPr>
        <w:t xml:space="preserve">the ODYSSEY OUTCOMES trial, 5.5% </w:t>
      </w:r>
      <w:r w:rsidRPr="00204FB3">
        <w:rPr>
          <w:color w:val="auto"/>
        </w:rPr>
        <w:t>of patients treated with alirocumab 75 mg and/or 150 mg every 2 weeks</w:t>
      </w:r>
      <w:r w:rsidR="00097EB5" w:rsidRPr="00204FB3">
        <w:rPr>
          <w:color w:val="auto"/>
        </w:rPr>
        <w:t xml:space="preserve"> </w:t>
      </w:r>
      <w:r w:rsidR="00097EB5" w:rsidRPr="00204FB3">
        <w:rPr>
          <w:color w:val="auto"/>
          <w:u w:color="0000FF"/>
        </w:rPr>
        <w:t>(Q2W)</w:t>
      </w:r>
      <w:r w:rsidRPr="00204FB3">
        <w:rPr>
          <w:color w:val="auto"/>
          <w:u w:color="0000FF"/>
        </w:rPr>
        <w:t xml:space="preserve"> </w:t>
      </w:r>
      <w:r w:rsidR="006E3CC9" w:rsidRPr="00204FB3">
        <w:rPr>
          <w:color w:val="auto"/>
          <w:u w:color="0000FF"/>
        </w:rPr>
        <w:t>had anti-drug antibodies (ADA)</w:t>
      </w:r>
      <w:r w:rsidR="006E3CC9" w:rsidRPr="00204FB3">
        <w:rPr>
          <w:color w:val="auto"/>
          <w:spacing w:val="-23"/>
          <w:u w:color="0000FF"/>
        </w:rPr>
        <w:t xml:space="preserve"> </w:t>
      </w:r>
      <w:r w:rsidR="006E3CC9" w:rsidRPr="00204FB3">
        <w:rPr>
          <w:color w:val="auto"/>
          <w:u w:color="0000FF"/>
        </w:rPr>
        <w:t>detected</w:t>
      </w:r>
      <w:r w:rsidR="006E3CC9" w:rsidRPr="00204FB3">
        <w:rPr>
          <w:color w:val="auto"/>
        </w:rPr>
        <w:t xml:space="preserve"> </w:t>
      </w:r>
      <w:r w:rsidR="00FE40D5" w:rsidRPr="00204FB3">
        <w:rPr>
          <w:color w:val="auto"/>
        </w:rPr>
        <w:t>after initiating treatment</w:t>
      </w:r>
      <w:r w:rsidRPr="00204FB3">
        <w:rPr>
          <w:color w:val="auto"/>
        </w:rPr>
        <w:t xml:space="preserve"> compared </w:t>
      </w:r>
      <w:r w:rsidR="00097EB5" w:rsidRPr="00204FB3">
        <w:rPr>
          <w:color w:val="auto"/>
          <w:u w:color="0000FF"/>
        </w:rPr>
        <w:t>with</w:t>
      </w:r>
      <w:r w:rsidR="00FE40D5" w:rsidRPr="00204FB3">
        <w:rPr>
          <w:color w:val="auto"/>
        </w:rPr>
        <w:t xml:space="preserve"> </w:t>
      </w:r>
      <w:r w:rsidR="00097EB5" w:rsidRPr="00204FB3">
        <w:rPr>
          <w:color w:val="auto"/>
          <w:u w:color="0000FF"/>
        </w:rPr>
        <w:t>1.6% of patients treated with placebo</w:t>
      </w:r>
      <w:r w:rsidR="00204FB3" w:rsidRPr="00204FB3">
        <w:rPr>
          <w:color w:val="auto"/>
        </w:rPr>
        <w:t>.</w:t>
      </w:r>
      <w:r w:rsidR="00097EB5" w:rsidRPr="00204FB3">
        <w:rPr>
          <w:color w:val="auto"/>
        </w:rPr>
        <w:t xml:space="preserve"> </w:t>
      </w:r>
      <w:r w:rsidR="00204FB3" w:rsidRPr="00204FB3">
        <w:rPr>
          <w:color w:val="auto"/>
          <w:u w:color="0000FF"/>
        </w:rPr>
        <w:t>M</w:t>
      </w:r>
      <w:r w:rsidR="00097EB5" w:rsidRPr="00204FB3">
        <w:rPr>
          <w:color w:val="auto"/>
          <w:u w:color="0000FF"/>
        </w:rPr>
        <w:t>ost of these were transient responses</w:t>
      </w:r>
      <w:r w:rsidR="00097EB5" w:rsidRPr="00204FB3">
        <w:rPr>
          <w:color w:val="auto"/>
        </w:rPr>
        <w:t>. Persistent ADA responses were observed</w:t>
      </w:r>
      <w:r w:rsidR="00097EB5" w:rsidRPr="00204FB3">
        <w:rPr>
          <w:color w:val="auto"/>
          <w:spacing w:val="-19"/>
        </w:rPr>
        <w:t xml:space="preserve"> </w:t>
      </w:r>
      <w:r w:rsidR="00097EB5" w:rsidRPr="00204FB3">
        <w:rPr>
          <w:color w:val="auto"/>
        </w:rPr>
        <w:t>in 0.7% of patients treated with alirocumab and 0.4% of patients treated with placebo</w:t>
      </w:r>
      <w:r w:rsidR="00097EB5" w:rsidRPr="00204FB3">
        <w:rPr>
          <w:color w:val="auto"/>
          <w:u w:color="0000FF"/>
        </w:rPr>
        <w:t>.</w:t>
      </w:r>
      <w:r w:rsidR="00097EB5" w:rsidRPr="00204FB3">
        <w:rPr>
          <w:color w:val="auto"/>
        </w:rPr>
        <w:t xml:space="preserve"> </w:t>
      </w:r>
      <w:r w:rsidR="00097EB5" w:rsidRPr="00204FB3">
        <w:rPr>
          <w:color w:val="auto"/>
          <w:u w:color="0000FF"/>
        </w:rPr>
        <w:t>Neutralising antibody</w:t>
      </w:r>
      <w:r w:rsidR="00097EB5" w:rsidRPr="00204FB3">
        <w:rPr>
          <w:color w:val="auto"/>
          <w:spacing w:val="-26"/>
          <w:u w:color="0000FF"/>
        </w:rPr>
        <w:t xml:space="preserve"> </w:t>
      </w:r>
      <w:r w:rsidR="00097EB5" w:rsidRPr="00204FB3">
        <w:rPr>
          <w:color w:val="auto"/>
          <w:u w:color="0000FF"/>
        </w:rPr>
        <w:t>(NAb)</w:t>
      </w:r>
      <w:r w:rsidR="00097EB5" w:rsidRPr="00204FB3">
        <w:rPr>
          <w:color w:val="auto"/>
        </w:rPr>
        <w:t xml:space="preserve"> </w:t>
      </w:r>
      <w:r w:rsidR="00097EB5" w:rsidRPr="00204FB3">
        <w:rPr>
          <w:color w:val="auto"/>
          <w:u w:color="0000FF"/>
        </w:rPr>
        <w:t>responses were observed in 0.5% of patients treated with alirocumab and in &lt;0.1% of patients treated</w:t>
      </w:r>
      <w:r w:rsidR="00097EB5" w:rsidRPr="00204FB3">
        <w:rPr>
          <w:color w:val="auto"/>
          <w:spacing w:val="-19"/>
          <w:u w:color="0000FF"/>
        </w:rPr>
        <w:t xml:space="preserve"> </w:t>
      </w:r>
      <w:r w:rsidR="00097EB5" w:rsidRPr="00204FB3">
        <w:rPr>
          <w:color w:val="auto"/>
          <w:u w:color="0000FF"/>
        </w:rPr>
        <w:t>with placebo</w:t>
      </w:r>
      <w:r w:rsidR="00AB0B14" w:rsidRPr="00204FB3">
        <w:rPr>
          <w:color w:val="auto"/>
          <w:u w:color="0000FF"/>
        </w:rPr>
        <w:t xml:space="preserve"> in the OUTCOMES trial</w:t>
      </w:r>
      <w:r w:rsidR="00097EB5" w:rsidRPr="00204FB3">
        <w:rPr>
          <w:color w:val="auto"/>
          <w:u w:color="0000FF"/>
        </w:rPr>
        <w:t>.</w:t>
      </w:r>
      <w:r w:rsidR="00097EB5" w:rsidRPr="00204FB3">
        <w:rPr>
          <w:color w:val="auto"/>
        </w:rPr>
        <w:t xml:space="preserve">  </w:t>
      </w:r>
      <w:r w:rsidRPr="00204FB3">
        <w:rPr>
          <w:color w:val="auto"/>
        </w:rPr>
        <w:t>Only 1.2% of patients exhibited neutralising antibodies (NAb)</w:t>
      </w:r>
      <w:r w:rsidR="00AB0B14" w:rsidRPr="00204FB3">
        <w:rPr>
          <w:color w:val="auto"/>
        </w:rPr>
        <w:t xml:space="preserve"> in the ten pooled phase 3 studies in the hypercholesterolemia program</w:t>
      </w:r>
      <w:r w:rsidR="00E029DF" w:rsidRPr="00204FB3">
        <w:rPr>
          <w:color w:val="auto"/>
        </w:rPr>
        <w:t>, a</w:t>
      </w:r>
      <w:r w:rsidRPr="00204FB3">
        <w:rPr>
          <w:color w:val="auto"/>
        </w:rPr>
        <w:t xml:space="preserve">ll of them in the alirocumab group. </w:t>
      </w:r>
    </w:p>
    <w:p w14:paraId="77E0C202" w14:textId="63DBE14A" w:rsidR="004B474A" w:rsidRPr="00204FB3" w:rsidRDefault="00097EB5" w:rsidP="00097EB5">
      <w:pPr>
        <w:pStyle w:val="BodyText"/>
        <w:spacing w:before="145" w:line="266" w:lineRule="auto"/>
        <w:ind w:right="109"/>
        <w:rPr>
          <w:color w:val="auto"/>
          <w:u w:color="0000FF"/>
        </w:rPr>
      </w:pPr>
      <w:r w:rsidRPr="00204FB3">
        <w:rPr>
          <w:color w:val="auto"/>
          <w:u w:color="0000FF"/>
        </w:rPr>
        <w:t>Anti-drug antibody responses, including NAb, were low titr</w:t>
      </w:r>
      <w:r w:rsidR="00204FB3" w:rsidRPr="00204FB3">
        <w:rPr>
          <w:color w:val="auto"/>
          <w:u w:color="0000FF"/>
        </w:rPr>
        <w:t>e</w:t>
      </w:r>
      <w:r w:rsidRPr="00204FB3">
        <w:rPr>
          <w:color w:val="auto"/>
          <w:u w:color="0000FF"/>
        </w:rPr>
        <w:t xml:space="preserve"> and did not appear to have a</w:t>
      </w:r>
      <w:r w:rsidRPr="00204FB3">
        <w:rPr>
          <w:color w:val="auto"/>
          <w:spacing w:val="-16"/>
          <w:u w:color="0000FF"/>
        </w:rPr>
        <w:t xml:space="preserve"> </w:t>
      </w:r>
      <w:r w:rsidRPr="00204FB3">
        <w:rPr>
          <w:color w:val="auto"/>
          <w:u w:color="0000FF"/>
        </w:rPr>
        <w:t>clinically</w:t>
      </w:r>
      <w:r w:rsidRPr="00204FB3">
        <w:rPr>
          <w:color w:val="auto"/>
        </w:rPr>
        <w:t xml:space="preserve"> </w:t>
      </w:r>
      <w:r w:rsidRPr="00204FB3">
        <w:rPr>
          <w:color w:val="auto"/>
          <w:u w:color="0000FF"/>
        </w:rPr>
        <w:t>meaningful impact on the efficacy or safety of alirocumab</w:t>
      </w:r>
      <w:r w:rsidR="004B474A" w:rsidRPr="00204FB3">
        <w:rPr>
          <w:color w:val="auto"/>
          <w:u w:color="0000FF"/>
        </w:rPr>
        <w:t xml:space="preserve"> for most patients</w:t>
      </w:r>
      <w:r w:rsidR="004740DB" w:rsidRPr="00204FB3">
        <w:rPr>
          <w:color w:val="auto"/>
          <w:u w:color="0000FF"/>
        </w:rPr>
        <w:t xml:space="preserve">. </w:t>
      </w:r>
      <w:r w:rsidRPr="00204FB3">
        <w:rPr>
          <w:color w:val="auto"/>
          <w:u w:color="0000FF"/>
        </w:rPr>
        <w:t xml:space="preserve"> </w:t>
      </w:r>
      <w:r w:rsidR="004B474A" w:rsidRPr="00204FB3">
        <w:rPr>
          <w:color w:val="auto"/>
          <w:u w:color="0000FF"/>
        </w:rPr>
        <w:t>P</w:t>
      </w:r>
      <w:r w:rsidRPr="00204FB3">
        <w:rPr>
          <w:color w:val="auto"/>
          <w:u w:color="0000FF"/>
        </w:rPr>
        <w:t>atients with treatment emergent ADA</w:t>
      </w:r>
      <w:r w:rsidR="004B474A" w:rsidRPr="00204FB3">
        <w:rPr>
          <w:color w:val="auto"/>
          <w:u w:color="0000FF"/>
        </w:rPr>
        <w:t xml:space="preserve"> experienced a higher rate of injection site reactions</w:t>
      </w:r>
      <w:r w:rsidRPr="00204FB3">
        <w:rPr>
          <w:color w:val="auto"/>
          <w:u w:color="0000FF"/>
        </w:rPr>
        <w:t xml:space="preserve"> compared to patients who were ADA negative (7.5% vs</w:t>
      </w:r>
      <w:r w:rsidRPr="00204FB3">
        <w:rPr>
          <w:color w:val="auto"/>
          <w:spacing w:val="-27"/>
          <w:u w:color="0000FF"/>
        </w:rPr>
        <w:t xml:space="preserve"> </w:t>
      </w:r>
      <w:r w:rsidRPr="00204FB3">
        <w:rPr>
          <w:color w:val="auto"/>
          <w:u w:color="0000FF"/>
        </w:rPr>
        <w:t>3.6%).</w:t>
      </w:r>
    </w:p>
    <w:p w14:paraId="137D76DB" w14:textId="77777777" w:rsidR="00097EB5" w:rsidRPr="00204FB3" w:rsidRDefault="00097EB5" w:rsidP="00097EB5">
      <w:pPr>
        <w:pStyle w:val="BodyText"/>
        <w:spacing w:before="1"/>
        <w:ind w:right="109"/>
        <w:rPr>
          <w:color w:val="auto"/>
        </w:rPr>
      </w:pPr>
      <w:r w:rsidRPr="00204FB3">
        <w:rPr>
          <w:color w:val="auto"/>
          <w:u w:color="0000FF"/>
        </w:rPr>
        <w:t>The long-term consequences of continuing alirocumab treatment in the presence of ADA are</w:t>
      </w:r>
      <w:r w:rsidRPr="00204FB3">
        <w:rPr>
          <w:color w:val="auto"/>
          <w:spacing w:val="-23"/>
          <w:u w:color="0000FF"/>
        </w:rPr>
        <w:t xml:space="preserve"> </w:t>
      </w:r>
      <w:r w:rsidRPr="00204FB3">
        <w:rPr>
          <w:color w:val="auto"/>
          <w:u w:color="0000FF"/>
        </w:rPr>
        <w:t>unknown.</w:t>
      </w:r>
    </w:p>
    <w:p w14:paraId="4F457AA3" w14:textId="77777777" w:rsidR="00097EB5" w:rsidRPr="00204FB3" w:rsidRDefault="00097EB5" w:rsidP="00097EB5">
      <w:pPr>
        <w:rPr>
          <w:color w:val="auto"/>
        </w:rPr>
      </w:pPr>
      <w:r w:rsidRPr="00204FB3">
        <w:rPr>
          <w:color w:val="auto"/>
          <w:u w:color="0000FF"/>
        </w:rPr>
        <w:lastRenderedPageBreak/>
        <w:t>In a pool of ten placebo-controlled and active-controlled trials of patients treated with alirocumab 75</w:t>
      </w:r>
      <w:r w:rsidRPr="00204FB3">
        <w:rPr>
          <w:color w:val="auto"/>
          <w:spacing w:val="-19"/>
          <w:u w:color="0000FF"/>
        </w:rPr>
        <w:t xml:space="preserve"> </w:t>
      </w:r>
      <w:r w:rsidRPr="00204FB3">
        <w:rPr>
          <w:color w:val="auto"/>
          <w:u w:color="0000FF"/>
        </w:rPr>
        <w:t>mg</w:t>
      </w:r>
      <w:r w:rsidRPr="00204FB3">
        <w:rPr>
          <w:color w:val="auto"/>
        </w:rPr>
        <w:t xml:space="preserve"> </w:t>
      </w:r>
      <w:r w:rsidRPr="00204FB3">
        <w:rPr>
          <w:color w:val="auto"/>
          <w:u w:color="0000FF"/>
        </w:rPr>
        <w:t>and/or 150 mg Q2W as well as in a separate clinical study of patients treated with alirocumab 75 mg Q2W</w:t>
      </w:r>
      <w:r w:rsidRPr="00204FB3">
        <w:rPr>
          <w:color w:val="auto"/>
          <w:spacing w:val="-22"/>
          <w:u w:color="0000FF"/>
        </w:rPr>
        <w:t xml:space="preserve"> </w:t>
      </w:r>
      <w:r w:rsidRPr="00204FB3">
        <w:rPr>
          <w:color w:val="auto"/>
          <w:u w:color="0000FF"/>
        </w:rPr>
        <w:t>or</w:t>
      </w:r>
      <w:r w:rsidRPr="00204FB3">
        <w:rPr>
          <w:color w:val="auto"/>
        </w:rPr>
        <w:t xml:space="preserve"> </w:t>
      </w:r>
      <w:r w:rsidRPr="00204FB3">
        <w:rPr>
          <w:color w:val="auto"/>
          <w:u w:color="0000FF"/>
        </w:rPr>
        <w:t>300 mg every 4 weeks (including some patients with dose adjustment to 150 mg Q2W), the incidence</w:t>
      </w:r>
      <w:r w:rsidRPr="00204FB3">
        <w:rPr>
          <w:color w:val="auto"/>
          <w:spacing w:val="-22"/>
          <w:u w:color="0000FF"/>
        </w:rPr>
        <w:t xml:space="preserve"> </w:t>
      </w:r>
      <w:r w:rsidRPr="00204FB3">
        <w:rPr>
          <w:color w:val="auto"/>
          <w:u w:color="0000FF"/>
        </w:rPr>
        <w:t>of</w:t>
      </w:r>
      <w:r w:rsidRPr="00204FB3">
        <w:rPr>
          <w:color w:val="auto"/>
        </w:rPr>
        <w:t xml:space="preserve"> </w:t>
      </w:r>
      <w:r w:rsidRPr="00204FB3">
        <w:rPr>
          <w:color w:val="auto"/>
          <w:u w:color="0000FF"/>
        </w:rPr>
        <w:t>detecting ADA and NAb was similar to the results from the ODYSSEY OUTCOMES trial described</w:t>
      </w:r>
      <w:r w:rsidRPr="00204FB3">
        <w:rPr>
          <w:color w:val="auto"/>
          <w:spacing w:val="-31"/>
          <w:u w:color="0000FF"/>
        </w:rPr>
        <w:t xml:space="preserve"> </w:t>
      </w:r>
      <w:r w:rsidRPr="00204FB3">
        <w:rPr>
          <w:color w:val="auto"/>
          <w:u w:color="0000FF"/>
        </w:rPr>
        <w:t>above.</w:t>
      </w:r>
    </w:p>
    <w:p w14:paraId="0EC83F81" w14:textId="77777777" w:rsidR="008627B7" w:rsidRPr="00204FB3" w:rsidRDefault="008627B7" w:rsidP="008627B7">
      <w:pPr>
        <w:rPr>
          <w:color w:val="auto"/>
        </w:rPr>
      </w:pPr>
      <w:r w:rsidRPr="00204FB3">
        <w:rPr>
          <w:color w:val="auto"/>
        </w:rPr>
        <w:t>Immunogenicity data are highly dependent on the sensitivity and specificity of the ADA assay.</w:t>
      </w:r>
    </w:p>
    <w:p w14:paraId="3338E2A6" w14:textId="77777777" w:rsidR="008627B7" w:rsidRPr="00204FB3" w:rsidRDefault="008627B7" w:rsidP="008627B7">
      <w:pPr>
        <w:pStyle w:val="Heading3"/>
        <w:numPr>
          <w:ilvl w:val="0"/>
          <w:numId w:val="0"/>
        </w:numPr>
        <w:ind w:left="680" w:hanging="680"/>
        <w:rPr>
          <w:i/>
          <w:lang w:val="en-AU"/>
        </w:rPr>
      </w:pPr>
      <w:r w:rsidRPr="00204FB3">
        <w:rPr>
          <w:i/>
          <w:lang w:val="en-AU"/>
        </w:rPr>
        <w:t>Low LDL-C</w:t>
      </w:r>
    </w:p>
    <w:p w14:paraId="285BC948" w14:textId="2D8F2CA3" w:rsidR="00D078AC" w:rsidRPr="00204FB3" w:rsidRDefault="00D078AC" w:rsidP="00D078AC">
      <w:pPr>
        <w:rPr>
          <w:color w:val="auto"/>
        </w:rPr>
      </w:pPr>
      <w:r w:rsidRPr="00204FB3">
        <w:rPr>
          <w:color w:val="auto"/>
        </w:rPr>
        <w:t>Although adverse consequences of very low LDL-C were not identified in the clinical trials, the long</w:t>
      </w:r>
      <w:r w:rsidR="00414315">
        <w:rPr>
          <w:color w:val="auto"/>
        </w:rPr>
        <w:t>-</w:t>
      </w:r>
      <w:r w:rsidRPr="00204FB3">
        <w:rPr>
          <w:color w:val="auto"/>
        </w:rPr>
        <w:t>term effects of very low levels of LDL-C are unknown.</w:t>
      </w:r>
    </w:p>
    <w:p w14:paraId="644593DD" w14:textId="77777777" w:rsidR="008627B7" w:rsidRPr="00204FB3" w:rsidRDefault="008627B7" w:rsidP="00755DBE">
      <w:pPr>
        <w:spacing w:before="0"/>
        <w:rPr>
          <w:color w:val="auto"/>
          <w:lang w:val="en-AU"/>
        </w:rPr>
      </w:pPr>
    </w:p>
    <w:p w14:paraId="5C4674C7" w14:textId="77777777" w:rsidR="0024632F" w:rsidRPr="00204FB3" w:rsidRDefault="0024632F" w:rsidP="00CA73C2">
      <w:pPr>
        <w:pStyle w:val="Heading3"/>
        <w:numPr>
          <w:ilvl w:val="0"/>
          <w:numId w:val="0"/>
        </w:numPr>
        <w:spacing w:before="0" w:after="120"/>
        <w:ind w:left="680" w:hanging="680"/>
        <w:rPr>
          <w:i/>
        </w:rPr>
      </w:pPr>
      <w:r w:rsidRPr="00204FB3">
        <w:rPr>
          <w:i/>
        </w:rPr>
        <w:t>Use in hepatic impairment</w:t>
      </w:r>
    </w:p>
    <w:p w14:paraId="15FADAED" w14:textId="77777777" w:rsidR="00B02861" w:rsidRPr="00204FB3" w:rsidRDefault="00B02861" w:rsidP="00B02861">
      <w:pPr>
        <w:rPr>
          <w:color w:val="auto"/>
        </w:rPr>
      </w:pPr>
      <w:r w:rsidRPr="00204FB3">
        <w:rPr>
          <w:color w:val="auto"/>
        </w:rPr>
        <w:t>Patients with severe hepatic impairment (Child-Pugh C) have not been studied. Praluent should be used with caution in patients with severe hepatic impairment.</w:t>
      </w:r>
    </w:p>
    <w:p w14:paraId="53AD6766" w14:textId="77777777" w:rsidR="00B02861" w:rsidRPr="00204FB3" w:rsidRDefault="00B02861" w:rsidP="00755DBE">
      <w:pPr>
        <w:spacing w:before="0"/>
        <w:rPr>
          <w:color w:val="auto"/>
        </w:rPr>
      </w:pPr>
    </w:p>
    <w:p w14:paraId="3E64A1D3" w14:textId="77777777" w:rsidR="0024632F" w:rsidRPr="00204FB3" w:rsidRDefault="0024632F" w:rsidP="00CA73C2">
      <w:pPr>
        <w:pStyle w:val="Heading3"/>
        <w:numPr>
          <w:ilvl w:val="0"/>
          <w:numId w:val="0"/>
        </w:numPr>
        <w:spacing w:before="0" w:after="120"/>
        <w:ind w:left="680" w:hanging="680"/>
        <w:rPr>
          <w:i/>
        </w:rPr>
      </w:pPr>
      <w:r w:rsidRPr="00204FB3">
        <w:rPr>
          <w:i/>
        </w:rPr>
        <w:t>Use in renal impairment</w:t>
      </w:r>
    </w:p>
    <w:p w14:paraId="35A0F977" w14:textId="77777777" w:rsidR="00B02861" w:rsidRPr="00204FB3" w:rsidRDefault="00B02861" w:rsidP="00B02861">
      <w:pPr>
        <w:rPr>
          <w:color w:val="auto"/>
        </w:rPr>
      </w:pPr>
      <w:r w:rsidRPr="00204FB3">
        <w:rPr>
          <w:color w:val="auto"/>
        </w:rPr>
        <w:t>In clinical studies, there was limited representation of patients with severe renal impairment (defined as eGFR &lt; 30 mL/min/1.73 m</w:t>
      </w:r>
      <w:r w:rsidRPr="00204FB3">
        <w:rPr>
          <w:color w:val="auto"/>
          <w:vertAlign w:val="superscript"/>
        </w:rPr>
        <w:t>2</w:t>
      </w:r>
      <w:r w:rsidRPr="00204FB3">
        <w:rPr>
          <w:color w:val="auto"/>
        </w:rPr>
        <w:t>). Praluent should be used with caution in patients with severe renal impairment.</w:t>
      </w:r>
    </w:p>
    <w:p w14:paraId="7B8F0D96" w14:textId="77777777" w:rsidR="00B02861" w:rsidRPr="00204FB3" w:rsidRDefault="00B02861" w:rsidP="00755DBE">
      <w:pPr>
        <w:spacing w:before="0"/>
        <w:rPr>
          <w:color w:val="auto"/>
        </w:rPr>
      </w:pPr>
    </w:p>
    <w:p w14:paraId="3A093F02" w14:textId="77777777" w:rsidR="001A3992" w:rsidRPr="00204FB3" w:rsidRDefault="001A3992" w:rsidP="00CA73C2">
      <w:pPr>
        <w:pStyle w:val="Heading3"/>
        <w:numPr>
          <w:ilvl w:val="0"/>
          <w:numId w:val="0"/>
        </w:numPr>
        <w:spacing w:before="0" w:after="120"/>
        <w:ind w:left="680" w:hanging="680"/>
        <w:rPr>
          <w:i/>
          <w:lang w:val="en-AU"/>
        </w:rPr>
      </w:pPr>
      <w:r w:rsidRPr="00204FB3">
        <w:rPr>
          <w:i/>
          <w:lang w:val="en-AU"/>
        </w:rPr>
        <w:t>Use in the elderly</w:t>
      </w:r>
    </w:p>
    <w:p w14:paraId="0FC311F6" w14:textId="3C527DF3" w:rsidR="00B02861" w:rsidRPr="00204FB3" w:rsidRDefault="00B02861" w:rsidP="00B02861">
      <w:pPr>
        <w:rPr>
          <w:color w:val="auto"/>
        </w:rPr>
      </w:pPr>
      <w:r w:rsidRPr="00204FB3">
        <w:rPr>
          <w:color w:val="auto"/>
        </w:rPr>
        <w:t xml:space="preserve">In </w:t>
      </w:r>
      <w:r w:rsidR="00F539F4" w:rsidRPr="00204FB3">
        <w:rPr>
          <w:color w:val="auto"/>
          <w:u w:color="0000FF"/>
        </w:rPr>
        <w:t>the phase 3 primary hypercholesterolemia</w:t>
      </w:r>
      <w:r w:rsidR="002D22CB">
        <w:rPr>
          <w:color w:val="auto"/>
          <w:u w:color="0000FF"/>
        </w:rPr>
        <w:t xml:space="preserve"> </w:t>
      </w:r>
      <w:r w:rsidRPr="00204FB3">
        <w:rPr>
          <w:color w:val="auto"/>
        </w:rPr>
        <w:t xml:space="preserve">controlled studies, 1158 patients (34.7%) treated with Praluent were ≥65 years of age and 241 patients (7.2%) treated with Praluent were ≥75 years of age. </w:t>
      </w:r>
      <w:r w:rsidR="00F539F4" w:rsidRPr="00204FB3">
        <w:rPr>
          <w:color w:val="auto"/>
          <w:u w:color="0000FF"/>
        </w:rPr>
        <w:t>In the cardiovascular outcomes controlled study, 2505 patients (26.5%) treated with</w:t>
      </w:r>
      <w:r w:rsidR="00F539F4" w:rsidRPr="00204FB3">
        <w:rPr>
          <w:color w:val="auto"/>
          <w:spacing w:val="-18"/>
          <w:u w:color="0000FF"/>
        </w:rPr>
        <w:t xml:space="preserve"> </w:t>
      </w:r>
      <w:r w:rsidR="00F539F4" w:rsidRPr="00204FB3">
        <w:rPr>
          <w:color w:val="auto"/>
          <w:u w:color="0000FF"/>
        </w:rPr>
        <w:t>Praluent</w:t>
      </w:r>
      <w:r w:rsidR="00F539F4" w:rsidRPr="00204FB3">
        <w:rPr>
          <w:color w:val="auto"/>
        </w:rPr>
        <w:t xml:space="preserve"> </w:t>
      </w:r>
      <w:r w:rsidR="00F539F4" w:rsidRPr="00204FB3">
        <w:rPr>
          <w:color w:val="auto"/>
          <w:u w:color="0000FF"/>
        </w:rPr>
        <w:t xml:space="preserve">were </w:t>
      </w:r>
      <w:r w:rsidR="00F539F4" w:rsidRPr="00204FB3">
        <w:rPr>
          <w:rFonts w:eastAsia="Times New Roman"/>
          <w:color w:val="auto"/>
          <w:u w:color="0000FF"/>
        </w:rPr>
        <w:t>≥</w:t>
      </w:r>
      <w:r w:rsidR="00F539F4" w:rsidRPr="00204FB3">
        <w:rPr>
          <w:color w:val="auto"/>
          <w:u w:color="0000FF"/>
        </w:rPr>
        <w:t xml:space="preserve">65 years of age and 493 patients (5.2%) treated with Praluent were </w:t>
      </w:r>
      <w:r w:rsidR="00F539F4" w:rsidRPr="00204FB3">
        <w:rPr>
          <w:rFonts w:eastAsia="Times New Roman"/>
          <w:color w:val="auto"/>
          <w:u w:color="0000FF"/>
        </w:rPr>
        <w:t>≥</w:t>
      </w:r>
      <w:r w:rsidR="00F539F4" w:rsidRPr="00204FB3">
        <w:rPr>
          <w:color w:val="auto"/>
          <w:u w:color="0000FF"/>
        </w:rPr>
        <w:t xml:space="preserve">75 years of age. </w:t>
      </w:r>
      <w:r w:rsidRPr="00204FB3">
        <w:rPr>
          <w:color w:val="auto"/>
        </w:rPr>
        <w:t>There were no significant differences observed in safety and efficacy with increasing age.</w:t>
      </w:r>
    </w:p>
    <w:p w14:paraId="4994C2DD" w14:textId="77777777" w:rsidR="00477BD3" w:rsidRPr="00204FB3" w:rsidRDefault="00477BD3" w:rsidP="00755DBE">
      <w:pPr>
        <w:spacing w:before="0"/>
        <w:rPr>
          <w:color w:val="auto"/>
          <w:lang w:val="en-AU"/>
        </w:rPr>
      </w:pPr>
    </w:p>
    <w:p w14:paraId="6B047079" w14:textId="77777777" w:rsidR="001A3992" w:rsidRPr="00204FB3" w:rsidRDefault="001A3992" w:rsidP="00CA73C2">
      <w:pPr>
        <w:pStyle w:val="Heading3"/>
        <w:numPr>
          <w:ilvl w:val="0"/>
          <w:numId w:val="0"/>
        </w:numPr>
        <w:spacing w:before="0" w:after="120"/>
        <w:ind w:left="680" w:hanging="680"/>
        <w:rPr>
          <w:i/>
          <w:lang w:val="en-AU"/>
        </w:rPr>
      </w:pPr>
      <w:r w:rsidRPr="00204FB3">
        <w:rPr>
          <w:i/>
          <w:lang w:val="en-AU"/>
        </w:rPr>
        <w:t>Paediatric use</w:t>
      </w:r>
    </w:p>
    <w:p w14:paraId="245BCA25" w14:textId="77777777" w:rsidR="008627B7" w:rsidRPr="00204FB3" w:rsidRDefault="008627B7" w:rsidP="008627B7">
      <w:pPr>
        <w:rPr>
          <w:color w:val="auto"/>
        </w:rPr>
      </w:pPr>
      <w:r w:rsidRPr="00204FB3">
        <w:rPr>
          <w:color w:val="auto"/>
        </w:rPr>
        <w:t>The safety and efficacy of Praluent in patients below the age of 18 have not been established.</w:t>
      </w:r>
    </w:p>
    <w:p w14:paraId="7066AE67" w14:textId="77777777" w:rsidR="00BC364A" w:rsidRPr="00204FB3" w:rsidRDefault="00BC364A" w:rsidP="00755DBE">
      <w:pPr>
        <w:spacing w:before="0"/>
        <w:rPr>
          <w:color w:val="auto"/>
          <w:lang w:val="en-AU"/>
        </w:rPr>
      </w:pPr>
    </w:p>
    <w:p w14:paraId="2E3D91C4" w14:textId="77777777" w:rsidR="001A3992" w:rsidRPr="00204FB3" w:rsidRDefault="001A3992" w:rsidP="00CA73C2">
      <w:pPr>
        <w:pStyle w:val="Heading3"/>
        <w:numPr>
          <w:ilvl w:val="0"/>
          <w:numId w:val="0"/>
        </w:numPr>
        <w:spacing w:before="0" w:after="120"/>
        <w:ind w:left="680" w:hanging="680"/>
        <w:rPr>
          <w:i/>
          <w:lang w:val="en-AU"/>
        </w:rPr>
      </w:pPr>
      <w:r w:rsidRPr="00204FB3">
        <w:rPr>
          <w:i/>
          <w:lang w:val="en-AU"/>
        </w:rPr>
        <w:t>Effects on laboratory tests</w:t>
      </w:r>
    </w:p>
    <w:p w14:paraId="0B0DD8DC" w14:textId="77777777" w:rsidR="00B02861" w:rsidRPr="00204FB3" w:rsidRDefault="00B02861" w:rsidP="00B02861">
      <w:pPr>
        <w:rPr>
          <w:color w:val="auto"/>
          <w:lang w:val="en-AU"/>
        </w:rPr>
      </w:pPr>
      <w:r w:rsidRPr="00204FB3">
        <w:rPr>
          <w:color w:val="auto"/>
        </w:rPr>
        <w:t>No interactions with laboratory tests have been identified.</w:t>
      </w:r>
    </w:p>
    <w:p w14:paraId="2D451C6E" w14:textId="77777777" w:rsidR="00A62F6D" w:rsidRPr="00204FB3" w:rsidRDefault="00A62F6D" w:rsidP="00744556">
      <w:pPr>
        <w:rPr>
          <w:color w:val="auto"/>
          <w:lang w:val="en-AU"/>
        </w:rPr>
      </w:pPr>
    </w:p>
    <w:p w14:paraId="4F607DC1" w14:textId="77777777" w:rsidR="001A3992" w:rsidRPr="00204FB3" w:rsidRDefault="001A3992" w:rsidP="001A3992">
      <w:pPr>
        <w:pStyle w:val="Heading2"/>
        <w:keepLines/>
        <w:spacing w:before="0" w:after="120"/>
        <w:rPr>
          <w:lang w:val="en-AU"/>
        </w:rPr>
      </w:pPr>
      <w:r w:rsidRPr="00204FB3">
        <w:rPr>
          <w:lang w:val="en-AU"/>
        </w:rPr>
        <w:t>Interactions with other medicines and other forms of interactions</w:t>
      </w:r>
    </w:p>
    <w:p w14:paraId="43C52E21" w14:textId="77777777" w:rsidR="00B02861" w:rsidRPr="00204FB3" w:rsidRDefault="00B02861" w:rsidP="003D3751">
      <w:pPr>
        <w:pStyle w:val="Heading3"/>
        <w:numPr>
          <w:ilvl w:val="0"/>
          <w:numId w:val="0"/>
        </w:numPr>
      </w:pPr>
      <w:r w:rsidRPr="00204FB3">
        <w:t>Effects of alirocumab on other medicinal products</w:t>
      </w:r>
    </w:p>
    <w:p w14:paraId="7E8779BB" w14:textId="77777777" w:rsidR="00B02861" w:rsidRPr="00204FB3" w:rsidRDefault="00B02861" w:rsidP="00B02861">
      <w:pPr>
        <w:rPr>
          <w:color w:val="auto"/>
        </w:rPr>
      </w:pPr>
      <w:r w:rsidRPr="00204FB3">
        <w:rPr>
          <w:color w:val="auto"/>
        </w:rPr>
        <w:t xml:space="preserve">Since alirocumab is a biologic, no pharmacokinetic effects of alirocumab on other medicinal products are anticipated. In clinical studies where alirocumab was administered in combination </w:t>
      </w:r>
      <w:r w:rsidRPr="00204FB3">
        <w:rPr>
          <w:color w:val="auto"/>
        </w:rPr>
        <w:lastRenderedPageBreak/>
        <w:t>with atorvastatin or rosuvastatin, no relevant changes in statin concentrations were observed in the presence of repeated administration of alirocumab, indicating that cytochrome P450 enzymes (mainly CYP3A4 and CYP2C9) and transporter proteins such as P-gp and OATP were not affected by alirocumab.</w:t>
      </w:r>
    </w:p>
    <w:p w14:paraId="2E5601A8" w14:textId="77777777" w:rsidR="00B02861" w:rsidRPr="00204FB3" w:rsidRDefault="00B02861" w:rsidP="003D3751">
      <w:pPr>
        <w:pStyle w:val="Heading3"/>
        <w:numPr>
          <w:ilvl w:val="0"/>
          <w:numId w:val="0"/>
        </w:numPr>
        <w:ind w:left="680" w:hanging="680"/>
      </w:pPr>
      <w:r w:rsidRPr="00204FB3">
        <w:t>Effects of other medicinal products on alirocumab</w:t>
      </w:r>
    </w:p>
    <w:p w14:paraId="348A5449" w14:textId="77777777" w:rsidR="00B02861" w:rsidRPr="00204FB3" w:rsidRDefault="00B02861" w:rsidP="00B02861">
      <w:pPr>
        <w:rPr>
          <w:color w:val="auto"/>
        </w:rPr>
      </w:pPr>
      <w:r w:rsidRPr="00204FB3">
        <w:rPr>
          <w:color w:val="auto"/>
        </w:rPr>
        <w:t>Statins and other lipid-modifying therapy are known to increase production of PCSK9, the protein targeted by alirocumab. Because a component of the clearance of alirocumab is target-mediated, an elevation in target could lead to lower alirocumab exposure. However, this effect does not impact the duration of efficacy when alirocumab is administered every two weeks.</w:t>
      </w:r>
    </w:p>
    <w:p w14:paraId="39D04E96" w14:textId="77777777" w:rsidR="00BC364A" w:rsidRPr="00204FB3" w:rsidRDefault="00BC364A" w:rsidP="00BC364A">
      <w:pPr>
        <w:rPr>
          <w:color w:val="auto"/>
          <w:lang w:val="en-AU"/>
        </w:rPr>
      </w:pPr>
    </w:p>
    <w:p w14:paraId="076390B6" w14:textId="77777777" w:rsidR="001A3992" w:rsidRPr="00204FB3" w:rsidRDefault="001A3992" w:rsidP="001A3992">
      <w:pPr>
        <w:pStyle w:val="Heading2"/>
        <w:spacing w:before="0" w:after="120"/>
        <w:rPr>
          <w:lang w:val="en-AU"/>
        </w:rPr>
      </w:pPr>
      <w:r w:rsidRPr="00204FB3">
        <w:rPr>
          <w:lang w:val="en-AU"/>
        </w:rPr>
        <w:t xml:space="preserve">Fertility, pregnancy and lactation </w:t>
      </w:r>
    </w:p>
    <w:p w14:paraId="11B33CC9" w14:textId="77777777" w:rsidR="001A3992" w:rsidRPr="00204FB3" w:rsidRDefault="001A3992" w:rsidP="00CA73C2">
      <w:pPr>
        <w:pStyle w:val="Heading3"/>
        <w:numPr>
          <w:ilvl w:val="0"/>
          <w:numId w:val="0"/>
        </w:numPr>
        <w:spacing w:before="0" w:after="120"/>
        <w:rPr>
          <w:i/>
          <w:lang w:val="en-AU"/>
        </w:rPr>
      </w:pPr>
      <w:r w:rsidRPr="00204FB3">
        <w:rPr>
          <w:i/>
          <w:lang w:val="en-AU"/>
        </w:rPr>
        <w:t>Effects on fertility</w:t>
      </w:r>
    </w:p>
    <w:p w14:paraId="242F9402" w14:textId="77777777" w:rsidR="007241FE" w:rsidRPr="00204FB3" w:rsidRDefault="007241FE" w:rsidP="007241FE">
      <w:pPr>
        <w:rPr>
          <w:color w:val="auto"/>
        </w:rPr>
      </w:pPr>
      <w:r w:rsidRPr="00204FB3">
        <w:rPr>
          <w:color w:val="auto"/>
        </w:rPr>
        <w:t>There were no adverse effects of alirocumab on surrogate markers of fertility (e.g. oestrous cycling, testicular volume, ejaculate volume, sperm motility, sperm concentration and total sperm count per ejaculate) in a 26-week toxicity study in sexually-mature monkeys. The highest dose in this study resulted in a serum AUC that was about 100 times that expected in patients at the maximum recommended dose. In addition, there were no alirocumab-related macroscopic or microscopic findings in reproductive organs in any rat or monkey toxicity study.</w:t>
      </w:r>
    </w:p>
    <w:p w14:paraId="504DD1EA" w14:textId="77777777" w:rsidR="000911AA" w:rsidRPr="00204FB3" w:rsidRDefault="000911AA" w:rsidP="00024098">
      <w:pPr>
        <w:spacing w:before="120"/>
        <w:jc w:val="both"/>
        <w:rPr>
          <w:color w:val="auto"/>
          <w:lang w:val="en-AU"/>
        </w:rPr>
      </w:pPr>
    </w:p>
    <w:p w14:paraId="547AD8E5" w14:textId="77777777" w:rsidR="001A3992" w:rsidRPr="00204FB3" w:rsidRDefault="001A3992" w:rsidP="00CA73C2">
      <w:pPr>
        <w:pStyle w:val="Heading3"/>
        <w:numPr>
          <w:ilvl w:val="0"/>
          <w:numId w:val="0"/>
        </w:numPr>
        <w:spacing w:before="0" w:after="120"/>
        <w:ind w:left="680" w:hanging="680"/>
        <w:rPr>
          <w:i/>
          <w:lang w:val="en-AU"/>
        </w:rPr>
      </w:pPr>
      <w:r w:rsidRPr="00204FB3">
        <w:rPr>
          <w:i/>
          <w:lang w:val="en-AU"/>
        </w:rPr>
        <w:t xml:space="preserve">Use in pregnancy </w:t>
      </w:r>
      <w:r w:rsidR="007241FE" w:rsidRPr="00204FB3">
        <w:rPr>
          <w:i/>
          <w:lang w:val="en-AU"/>
        </w:rPr>
        <w:t>(Category B1)</w:t>
      </w:r>
    </w:p>
    <w:p w14:paraId="07DFAFB2" w14:textId="77777777" w:rsidR="007241FE" w:rsidRPr="00204FB3" w:rsidRDefault="007241FE" w:rsidP="007241FE">
      <w:pPr>
        <w:rPr>
          <w:color w:val="auto"/>
        </w:rPr>
      </w:pPr>
      <w:r w:rsidRPr="00204FB3">
        <w:rPr>
          <w:color w:val="auto"/>
        </w:rPr>
        <w:t>There are no data from the use of Praluent in pregnant women. Animal studies do not indicate direct or indirect harmful effects with respect to reproductive and developmental toxicity.</w:t>
      </w:r>
    </w:p>
    <w:p w14:paraId="2B6405B9" w14:textId="77777777" w:rsidR="007241FE" w:rsidRPr="00204FB3" w:rsidRDefault="007241FE" w:rsidP="007241FE">
      <w:pPr>
        <w:rPr>
          <w:color w:val="auto"/>
        </w:rPr>
      </w:pPr>
      <w:r w:rsidRPr="00204FB3">
        <w:rPr>
          <w:color w:val="auto"/>
        </w:rPr>
        <w:t>When pregnant female animals were exposed to alirocumab, measurable alirocumab concentrations in serum were observed in fetal rats (and also infant monkeys), indicating that alirocumab, like other IgG antibodies, crosses the placenta.</w:t>
      </w:r>
    </w:p>
    <w:p w14:paraId="373C5DAE" w14:textId="77777777" w:rsidR="007241FE" w:rsidRPr="00204FB3" w:rsidRDefault="007241FE" w:rsidP="007241FE">
      <w:pPr>
        <w:rPr>
          <w:color w:val="auto"/>
        </w:rPr>
      </w:pPr>
      <w:r w:rsidRPr="00204FB3">
        <w:rPr>
          <w:color w:val="auto"/>
        </w:rPr>
        <w:t xml:space="preserve">There were no effects on fetal growth or development in the rat </w:t>
      </w:r>
      <w:r w:rsidRPr="00204FB3">
        <w:rPr>
          <w:color w:val="auto"/>
          <w:lang w:val="en-AU"/>
        </w:rPr>
        <w:t>embryofoetal</w:t>
      </w:r>
      <w:r w:rsidRPr="00204FB3">
        <w:rPr>
          <w:color w:val="auto"/>
        </w:rPr>
        <w:t xml:space="preserve"> development study conducted at doses up to 75 mg/kg/dose administered on gestation days 6 and 12. At this dose, serum AUC was about 20 times the AUC expected in patients at the maximum recommended dose.</w:t>
      </w:r>
    </w:p>
    <w:p w14:paraId="21E29D07" w14:textId="51E86BE6" w:rsidR="007241FE" w:rsidRPr="00204FB3" w:rsidRDefault="007241FE" w:rsidP="007241FE">
      <w:pPr>
        <w:rPr>
          <w:color w:val="auto"/>
        </w:rPr>
      </w:pPr>
      <w:r w:rsidRPr="00204FB3">
        <w:rPr>
          <w:color w:val="auto"/>
        </w:rPr>
        <w:t>There was a slight attenuation of secondary anti-KLH IgG antibody response in infant offspring of cynomolgus monkeys dosed with alirocumab during organogenesis to parturition at maternal exposure of 13-fold the exposure at the maximum recommended human dose of 150 mg every two weeks. Alirocumab given at subcutaneous doses of up to 75 mg/kg/week to pregnant monkeys from gestation day 20 until parturition, had no adverse effects on the growth and development of offspring up to 6 months post-birth. At this dose, serum AUC was about 80</w:t>
      </w:r>
      <w:r w:rsidR="002D22CB">
        <w:rPr>
          <w:color w:val="auto"/>
        </w:rPr>
        <w:t>-</w:t>
      </w:r>
      <w:r w:rsidRPr="00204FB3">
        <w:rPr>
          <w:color w:val="auto"/>
        </w:rPr>
        <w:t>fold the AUC expected in patients at the maximum recommended dose.</w:t>
      </w:r>
    </w:p>
    <w:p w14:paraId="0DAECD98" w14:textId="77777777" w:rsidR="007241FE" w:rsidRPr="00204FB3" w:rsidRDefault="007241FE" w:rsidP="007241FE">
      <w:pPr>
        <w:rPr>
          <w:color w:val="auto"/>
        </w:rPr>
      </w:pPr>
      <w:r w:rsidRPr="00204FB3">
        <w:rPr>
          <w:color w:val="auto"/>
        </w:rPr>
        <w:lastRenderedPageBreak/>
        <w:t>Animal studies are not always predictive of human response. Therefore, it is not known whether Praluent can cause foetal harm when administered to a pregnant woman and Praluent should be used during pregnancy only if the potential benefit justifies the potential risk to the foetus.</w:t>
      </w:r>
    </w:p>
    <w:p w14:paraId="0611EE9A" w14:textId="77777777" w:rsidR="007241FE" w:rsidRPr="00204FB3" w:rsidRDefault="007241FE" w:rsidP="003D3751">
      <w:pPr>
        <w:pStyle w:val="Heading4"/>
        <w:numPr>
          <w:ilvl w:val="0"/>
          <w:numId w:val="0"/>
        </w:numPr>
        <w:ind w:left="862" w:hanging="862"/>
        <w:rPr>
          <w:b w:val="0"/>
        </w:rPr>
      </w:pPr>
      <w:r w:rsidRPr="00204FB3">
        <w:rPr>
          <w:b w:val="0"/>
        </w:rPr>
        <w:t>For use in combination therapy with a statin</w:t>
      </w:r>
    </w:p>
    <w:p w14:paraId="78FB4E20" w14:textId="77777777" w:rsidR="007241FE" w:rsidRPr="00204FB3" w:rsidRDefault="007241FE" w:rsidP="007241FE">
      <w:pPr>
        <w:rPr>
          <w:color w:val="auto"/>
        </w:rPr>
      </w:pPr>
      <w:r w:rsidRPr="00204FB3">
        <w:rPr>
          <w:color w:val="auto"/>
        </w:rPr>
        <w:t xml:space="preserve">Statins are contraindicated in pregnant women. Please refer to the current respective product information. </w:t>
      </w:r>
    </w:p>
    <w:p w14:paraId="5BF12D11" w14:textId="77777777" w:rsidR="007241FE" w:rsidRPr="00204FB3" w:rsidRDefault="007241FE" w:rsidP="00BC364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120"/>
        <w:jc w:val="both"/>
        <w:rPr>
          <w:color w:val="auto"/>
          <w:lang w:val="en-AU"/>
        </w:rPr>
      </w:pPr>
    </w:p>
    <w:p w14:paraId="4E5AC05D" w14:textId="77777777" w:rsidR="001A3992" w:rsidRPr="00204FB3" w:rsidRDefault="001A3992" w:rsidP="00CA73C2">
      <w:pPr>
        <w:pStyle w:val="Heading3"/>
        <w:numPr>
          <w:ilvl w:val="0"/>
          <w:numId w:val="0"/>
        </w:numPr>
        <w:spacing w:before="0" w:after="120"/>
        <w:ind w:left="680" w:hanging="680"/>
        <w:rPr>
          <w:i/>
          <w:lang w:val="en-AU"/>
        </w:rPr>
      </w:pPr>
      <w:r w:rsidRPr="00204FB3">
        <w:rPr>
          <w:i/>
          <w:lang w:val="en-AU"/>
        </w:rPr>
        <w:t xml:space="preserve">Use in lactation </w:t>
      </w:r>
    </w:p>
    <w:p w14:paraId="0A928BCD" w14:textId="77777777" w:rsidR="007241FE" w:rsidRPr="00204FB3" w:rsidRDefault="007241FE" w:rsidP="007241FE">
      <w:pPr>
        <w:rPr>
          <w:color w:val="auto"/>
        </w:rPr>
      </w:pPr>
      <w:r w:rsidRPr="00204FB3">
        <w:rPr>
          <w:color w:val="auto"/>
        </w:rPr>
        <w:t xml:space="preserve">It is not known whether alirocumab is excreted in human milk. Because immunoglobulins are excreted in human milk, the use of Praluent is not recommended in breast-feeding women. </w:t>
      </w:r>
    </w:p>
    <w:p w14:paraId="3309ED0C" w14:textId="77777777" w:rsidR="007241FE" w:rsidRPr="00204FB3" w:rsidRDefault="007241FE" w:rsidP="003D3751">
      <w:pPr>
        <w:pStyle w:val="Heading4"/>
        <w:numPr>
          <w:ilvl w:val="0"/>
          <w:numId w:val="0"/>
        </w:numPr>
        <w:ind w:left="862" w:hanging="862"/>
        <w:rPr>
          <w:b w:val="0"/>
        </w:rPr>
      </w:pPr>
      <w:r w:rsidRPr="00204FB3">
        <w:rPr>
          <w:b w:val="0"/>
        </w:rPr>
        <w:t>For use in combination therapy with a statin</w:t>
      </w:r>
    </w:p>
    <w:p w14:paraId="1ED7BA55" w14:textId="77777777" w:rsidR="007241FE" w:rsidRPr="00204FB3" w:rsidRDefault="007241FE" w:rsidP="007241FE">
      <w:pPr>
        <w:rPr>
          <w:color w:val="auto"/>
        </w:rPr>
      </w:pPr>
      <w:r w:rsidRPr="00204FB3">
        <w:rPr>
          <w:color w:val="auto"/>
        </w:rPr>
        <w:t xml:space="preserve">Statins are contraindicated in breast-feeding women. Please refer to the current respective product information. </w:t>
      </w:r>
    </w:p>
    <w:p w14:paraId="5514019B" w14:textId="77777777" w:rsidR="007241FE" w:rsidRPr="00204FB3" w:rsidRDefault="007241FE" w:rsidP="00477BD3">
      <w:pPr>
        <w:rPr>
          <w:color w:val="auto"/>
          <w:lang w:val="en-AU"/>
        </w:rPr>
      </w:pPr>
    </w:p>
    <w:p w14:paraId="7B8E7005" w14:textId="77777777" w:rsidR="001A3992" w:rsidRPr="00204FB3" w:rsidRDefault="001A3992" w:rsidP="001A3992">
      <w:pPr>
        <w:pStyle w:val="Heading2"/>
        <w:spacing w:before="0" w:after="120"/>
        <w:rPr>
          <w:lang w:val="en-AU"/>
        </w:rPr>
      </w:pPr>
      <w:r w:rsidRPr="00204FB3">
        <w:rPr>
          <w:lang w:val="en-AU"/>
        </w:rPr>
        <w:t xml:space="preserve">Effects on ability to drive and use machines </w:t>
      </w:r>
    </w:p>
    <w:p w14:paraId="226C726B" w14:textId="77777777" w:rsidR="0086269F" w:rsidRPr="00204FB3" w:rsidRDefault="0086269F" w:rsidP="0086269F">
      <w:pPr>
        <w:rPr>
          <w:color w:val="auto"/>
        </w:rPr>
      </w:pPr>
      <w:r w:rsidRPr="00204FB3">
        <w:rPr>
          <w:color w:val="auto"/>
        </w:rPr>
        <w:t xml:space="preserve">Praluent has no or negligible influence on the ability to drive and use machines. </w:t>
      </w:r>
    </w:p>
    <w:p w14:paraId="356E3D6D" w14:textId="77777777" w:rsidR="0086269F" w:rsidRPr="00204FB3" w:rsidRDefault="0086269F" w:rsidP="0086269F">
      <w:pPr>
        <w:rPr>
          <w:color w:val="auto"/>
        </w:rPr>
      </w:pPr>
    </w:p>
    <w:p w14:paraId="61374E2B" w14:textId="77777777" w:rsidR="001A3992" w:rsidRPr="00204FB3" w:rsidRDefault="001A3992" w:rsidP="004F0E4A">
      <w:pPr>
        <w:pStyle w:val="Heading2"/>
        <w:keepNext w:val="0"/>
        <w:keepLines/>
        <w:spacing w:before="0" w:after="120"/>
        <w:rPr>
          <w:lang w:val="en-AU"/>
        </w:rPr>
      </w:pPr>
      <w:r w:rsidRPr="00204FB3">
        <w:rPr>
          <w:lang w:val="en-AU"/>
        </w:rPr>
        <w:t>Adverse effects (Undesirable effects)</w:t>
      </w:r>
    </w:p>
    <w:p w14:paraId="21BEC414" w14:textId="77777777" w:rsidR="001C65EF" w:rsidRPr="00204FB3" w:rsidRDefault="001C65EF" w:rsidP="001C65EF">
      <w:pPr>
        <w:rPr>
          <w:color w:val="auto"/>
        </w:rPr>
      </w:pPr>
      <w:r w:rsidRPr="00204FB3">
        <w:rPr>
          <w:color w:val="auto"/>
        </w:rPr>
        <w:t xml:space="preserve">The safety data are based on pooled results from nine placebo-controlled studies (four phase 2 and five phase 3 studies, all in patients on background statin), and five ezetimibe-controlled phase 3 studies (with three studies in patients on background statin). This reflects exposure to alirocumab in 3340 patients (3451 patient-years of exposure), the majority with high or very high cardiovascular risk, treated with alirocumab at a dose of 75 and/or 150 mg, administered subcutaneously once every 2 weeks, for a treatment duration of up to 18 months (including 2408 patients exposed to alirocumab for at least 52 weeks, and 639 patients exposed to alirocumab for at least 76 weeks). </w:t>
      </w:r>
    </w:p>
    <w:p w14:paraId="2E7501CB" w14:textId="79C750D3" w:rsidR="001C65EF" w:rsidRPr="00204FB3" w:rsidRDefault="00B80B69" w:rsidP="001C65EF">
      <w:pPr>
        <w:rPr>
          <w:color w:val="auto"/>
        </w:rPr>
      </w:pPr>
      <w:r w:rsidRPr="00204FB3">
        <w:rPr>
          <w:color w:val="auto"/>
        </w:rPr>
        <w:t>In ten phase 3 controlled trials, involving patients with primary hypercholesterolemia, the m</w:t>
      </w:r>
      <w:r w:rsidR="001C65EF" w:rsidRPr="00204FB3">
        <w:rPr>
          <w:color w:val="auto"/>
        </w:rPr>
        <w:t>ost common adverse reactions (≥1% of patients treated with Praluent) were local injection site reactions, upper respiratory tract signs and symptoms and pruritus. Most common adverse reactions leading to treatment discontinuation in patients treated with Praluent were local injection site reactions.</w:t>
      </w:r>
    </w:p>
    <w:p w14:paraId="59D28A02" w14:textId="57DC3049" w:rsidR="008558A0" w:rsidRPr="00204FB3" w:rsidRDefault="00B80B69" w:rsidP="008558A0">
      <w:pPr>
        <w:rPr>
          <w:color w:val="auto"/>
        </w:rPr>
      </w:pPr>
      <w:r w:rsidRPr="00204FB3">
        <w:rPr>
          <w:color w:val="auto"/>
        </w:rPr>
        <w:t>The safety profile in ODYSSEY OUTCOMES (a long-term cardiovascular outcome trial) was consistent with the overall safety profile described in the phase 3 controlled trials.</w:t>
      </w:r>
      <w:r w:rsidR="00A33744" w:rsidRPr="00204FB3">
        <w:rPr>
          <w:color w:val="auto"/>
        </w:rPr>
        <w:t xml:space="preserve"> A total of 9451 patients were exposed to Praluent for a median of 31 months and 9443 patients were exposed to pla</w:t>
      </w:r>
      <w:r w:rsidR="008558A0" w:rsidRPr="00204FB3">
        <w:rPr>
          <w:color w:val="auto"/>
        </w:rPr>
        <w:t>cebo for a median of 32 months.</w:t>
      </w:r>
    </w:p>
    <w:p w14:paraId="7D055094" w14:textId="778DF1C8" w:rsidR="001C65EF" w:rsidRPr="00204FB3" w:rsidRDefault="007E4BB8" w:rsidP="001C65EF">
      <w:pPr>
        <w:rPr>
          <w:color w:val="auto"/>
        </w:rPr>
      </w:pPr>
      <w:r w:rsidRPr="00204FB3">
        <w:rPr>
          <w:color w:val="auto"/>
        </w:rPr>
        <w:lastRenderedPageBreak/>
        <w:t xml:space="preserve">No difference in the safety </w:t>
      </w:r>
      <w:r w:rsidR="001C65EF" w:rsidRPr="00204FB3">
        <w:rPr>
          <w:color w:val="auto"/>
        </w:rPr>
        <w:t>profile was observed between the two doses (75 mg once every 2 weeks and 150 mg once every 2 weeks) used in the phase 3 program.</w:t>
      </w:r>
    </w:p>
    <w:p w14:paraId="4FF14682" w14:textId="77777777" w:rsidR="001C65EF" w:rsidRPr="00204FB3" w:rsidRDefault="001C65EF" w:rsidP="001C65EF">
      <w:pPr>
        <w:rPr>
          <w:color w:val="auto"/>
        </w:rPr>
      </w:pPr>
      <w:r w:rsidRPr="00204FB3">
        <w:rPr>
          <w:color w:val="auto"/>
        </w:rPr>
        <w:t>In controlled studies, 1158 patients (34.7%) treated with Praluent were ≥65 years of age and 241 patients (7.2%) treated with Praluent were ≥75 years of age. There were no significant differences observed in safety and efficacy with increasing age.</w:t>
      </w:r>
    </w:p>
    <w:p w14:paraId="762AD618" w14:textId="26E4533D" w:rsidR="001C65EF" w:rsidRPr="00204FB3" w:rsidRDefault="001C65EF" w:rsidP="001C65EF">
      <w:pPr>
        <w:rPr>
          <w:color w:val="auto"/>
        </w:rPr>
      </w:pPr>
      <w:r w:rsidRPr="00204FB3">
        <w:rPr>
          <w:color w:val="auto"/>
        </w:rPr>
        <w:fldChar w:fldCharType="begin"/>
      </w:r>
      <w:r w:rsidRPr="00204FB3">
        <w:rPr>
          <w:color w:val="auto"/>
        </w:rPr>
        <w:instrText xml:space="preserve"> REF _Ref409782022 \h  \* MERGEFORMAT </w:instrText>
      </w:r>
      <w:r w:rsidRPr="00204FB3">
        <w:rPr>
          <w:color w:val="auto"/>
        </w:rPr>
      </w:r>
      <w:r w:rsidRPr="00204FB3">
        <w:rPr>
          <w:color w:val="auto"/>
        </w:rPr>
        <w:fldChar w:fldCharType="separate"/>
      </w:r>
      <w:r w:rsidR="0052180F" w:rsidRPr="0052180F">
        <w:rPr>
          <w:color w:val="auto"/>
        </w:rPr>
        <w:t>Table 1</w:t>
      </w:r>
      <w:r w:rsidRPr="00204FB3">
        <w:rPr>
          <w:color w:val="auto"/>
        </w:rPr>
        <w:fldChar w:fldCharType="end"/>
      </w:r>
      <w:r w:rsidRPr="00204FB3">
        <w:rPr>
          <w:color w:val="auto"/>
        </w:rPr>
        <w:t xml:space="preserve"> shows the adverse reactions reported in patients treated with alirocumab in pooled </w:t>
      </w:r>
      <w:r w:rsidR="00B80B69" w:rsidRPr="00204FB3">
        <w:rPr>
          <w:color w:val="auto"/>
        </w:rPr>
        <w:t>phase 3 controlled studies and the ODYSSEY OUTCOMES trial. Frequencies for all events have been calculated based on their incidence in pooled phase 3 clinical trials.</w:t>
      </w:r>
    </w:p>
    <w:p w14:paraId="646453FF" w14:textId="77777777" w:rsidR="001C65EF" w:rsidRPr="00204FB3" w:rsidRDefault="001C65EF" w:rsidP="001C65EF">
      <w:pPr>
        <w:rPr>
          <w:color w:val="auto"/>
        </w:rPr>
      </w:pPr>
      <w:r w:rsidRPr="00204FB3">
        <w:rPr>
          <w:color w:val="auto"/>
        </w:rPr>
        <w:t>The frequency categories are defined as: very common (≥1/10); common (≥1/100 to &lt;1/10); uncommon (≥1/1,000 to &lt;1/100); rare (≥1/10,000 to &lt;1/1,000); very rare (&lt;1/10,000) and not known (cannot be estimated from the available data).</w:t>
      </w:r>
    </w:p>
    <w:p w14:paraId="77F75272" w14:textId="25A28602" w:rsidR="001C65EF" w:rsidRPr="00204FB3" w:rsidRDefault="001C65EF" w:rsidP="001C65EF">
      <w:pPr>
        <w:pStyle w:val="Caption"/>
      </w:pPr>
      <w:r w:rsidRPr="00204FB3">
        <w:t xml:space="preserve"> </w:t>
      </w:r>
      <w:bookmarkStart w:id="0" w:name="_Ref409782022"/>
      <w:r w:rsidRPr="00204FB3">
        <w:t>Table </w:t>
      </w:r>
      <w:r w:rsidRPr="00204FB3">
        <w:fldChar w:fldCharType="begin"/>
      </w:r>
      <w:r w:rsidRPr="00204FB3">
        <w:instrText xml:space="preserve"> SEQ Table \* ARABIC </w:instrText>
      </w:r>
      <w:r w:rsidRPr="00204FB3">
        <w:fldChar w:fldCharType="separate"/>
      </w:r>
      <w:r w:rsidR="0052180F">
        <w:rPr>
          <w:noProof/>
        </w:rPr>
        <w:t>1</w:t>
      </w:r>
      <w:r w:rsidRPr="00204FB3">
        <w:fldChar w:fldCharType="end"/>
      </w:r>
      <w:bookmarkEnd w:id="0"/>
      <w:r w:rsidRPr="00204FB3">
        <w:t xml:space="preserve"> ­ Adverse reactions reported with Praluent in pooled </w:t>
      </w:r>
      <w:r w:rsidR="00285708" w:rsidRPr="00204FB3">
        <w:t xml:space="preserve">phase 3 </w:t>
      </w:r>
      <w:r w:rsidR="00B80B69" w:rsidRPr="00204FB3">
        <w:br/>
      </w:r>
      <w:r w:rsidRPr="00204FB3">
        <w:t>controlled studies</w:t>
      </w:r>
      <w:r w:rsidR="00B80B69" w:rsidRPr="00204FB3">
        <w:t xml:space="preserve"> and ODYSSEY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5"/>
        <w:gridCol w:w="3426"/>
        <w:gridCol w:w="2048"/>
      </w:tblGrid>
      <w:tr w:rsidR="001C65EF" w:rsidRPr="00204FB3" w14:paraId="53765FEB" w14:textId="77777777" w:rsidTr="00215881">
        <w:trPr>
          <w:cantSplit/>
          <w:tblHeader/>
          <w:jc w:val="center"/>
        </w:trPr>
        <w:tc>
          <w:tcPr>
            <w:tcW w:w="0" w:type="auto"/>
            <w:shd w:val="clear" w:color="auto" w:fill="auto"/>
          </w:tcPr>
          <w:p w14:paraId="6622E66F" w14:textId="77777777" w:rsidR="001C65EF" w:rsidRPr="00204FB3" w:rsidRDefault="001C65EF" w:rsidP="00215881">
            <w:pPr>
              <w:pStyle w:val="TblHeadingCenter"/>
              <w:jc w:val="left"/>
            </w:pPr>
            <w:r w:rsidRPr="00204FB3">
              <w:t>System Organ Class</w:t>
            </w:r>
          </w:p>
        </w:tc>
        <w:tc>
          <w:tcPr>
            <w:tcW w:w="0" w:type="auto"/>
            <w:shd w:val="clear" w:color="auto" w:fill="auto"/>
          </w:tcPr>
          <w:p w14:paraId="63EF1673" w14:textId="77777777" w:rsidR="001C65EF" w:rsidRPr="00204FB3" w:rsidRDefault="001C65EF" w:rsidP="00215881">
            <w:pPr>
              <w:pStyle w:val="TblHeadingCenter"/>
              <w:jc w:val="left"/>
            </w:pPr>
            <w:r w:rsidRPr="00204FB3">
              <w:t xml:space="preserve">Common </w:t>
            </w:r>
          </w:p>
        </w:tc>
        <w:tc>
          <w:tcPr>
            <w:tcW w:w="0" w:type="auto"/>
            <w:shd w:val="clear" w:color="auto" w:fill="auto"/>
          </w:tcPr>
          <w:p w14:paraId="663D29B8" w14:textId="77777777" w:rsidR="001C65EF" w:rsidRPr="00204FB3" w:rsidRDefault="001C65EF" w:rsidP="00215881">
            <w:pPr>
              <w:pStyle w:val="TblHeadingCenter"/>
              <w:jc w:val="left"/>
            </w:pPr>
            <w:r w:rsidRPr="00204FB3">
              <w:t xml:space="preserve">Rare </w:t>
            </w:r>
          </w:p>
        </w:tc>
      </w:tr>
      <w:tr w:rsidR="001C65EF" w:rsidRPr="00204FB3" w14:paraId="24030A01" w14:textId="77777777" w:rsidTr="00215881">
        <w:trPr>
          <w:cantSplit/>
          <w:jc w:val="center"/>
        </w:trPr>
        <w:tc>
          <w:tcPr>
            <w:tcW w:w="0" w:type="auto"/>
            <w:shd w:val="clear" w:color="auto" w:fill="auto"/>
          </w:tcPr>
          <w:p w14:paraId="7F4A9FAC" w14:textId="77777777" w:rsidR="001C65EF" w:rsidRPr="00204FB3" w:rsidRDefault="001C65EF" w:rsidP="00215881">
            <w:pPr>
              <w:pStyle w:val="TblTextCenter"/>
              <w:jc w:val="left"/>
            </w:pPr>
            <w:r w:rsidRPr="00204FB3">
              <w:t xml:space="preserve">Immune system disorders </w:t>
            </w:r>
          </w:p>
        </w:tc>
        <w:tc>
          <w:tcPr>
            <w:tcW w:w="0" w:type="auto"/>
            <w:shd w:val="clear" w:color="auto" w:fill="auto"/>
          </w:tcPr>
          <w:p w14:paraId="6CDC7980" w14:textId="77777777" w:rsidR="001C65EF" w:rsidRPr="00204FB3" w:rsidRDefault="001C65EF" w:rsidP="00215881">
            <w:pPr>
              <w:pStyle w:val="TblTextCenter"/>
            </w:pPr>
          </w:p>
        </w:tc>
        <w:tc>
          <w:tcPr>
            <w:tcW w:w="0" w:type="auto"/>
            <w:shd w:val="clear" w:color="auto" w:fill="auto"/>
          </w:tcPr>
          <w:p w14:paraId="612E129E" w14:textId="77777777" w:rsidR="001C65EF" w:rsidRPr="00204FB3" w:rsidRDefault="001C65EF" w:rsidP="00215881">
            <w:pPr>
              <w:pStyle w:val="TblTextCenter"/>
              <w:jc w:val="left"/>
            </w:pPr>
            <w:r w:rsidRPr="00204FB3">
              <w:t xml:space="preserve">hypersensitivity </w:t>
            </w:r>
          </w:p>
          <w:p w14:paraId="3F8D1FA0" w14:textId="77777777" w:rsidR="001C65EF" w:rsidRPr="00204FB3" w:rsidRDefault="001C65EF" w:rsidP="00215881">
            <w:pPr>
              <w:pStyle w:val="TblTextCenter"/>
              <w:jc w:val="left"/>
            </w:pPr>
            <w:r w:rsidRPr="00204FB3">
              <w:t>hypersensitivity vasculitis</w:t>
            </w:r>
          </w:p>
        </w:tc>
      </w:tr>
      <w:tr w:rsidR="001C65EF" w:rsidRPr="00204FB3" w14:paraId="4CC5E483" w14:textId="77777777" w:rsidTr="00215881">
        <w:trPr>
          <w:cantSplit/>
          <w:jc w:val="center"/>
        </w:trPr>
        <w:tc>
          <w:tcPr>
            <w:tcW w:w="0" w:type="auto"/>
            <w:shd w:val="clear" w:color="auto" w:fill="auto"/>
          </w:tcPr>
          <w:p w14:paraId="23A389C7" w14:textId="77777777" w:rsidR="001C65EF" w:rsidRPr="00204FB3" w:rsidRDefault="001C65EF" w:rsidP="00215881">
            <w:pPr>
              <w:pStyle w:val="TblTextCenter"/>
              <w:jc w:val="left"/>
            </w:pPr>
            <w:r w:rsidRPr="00204FB3">
              <w:t xml:space="preserve">Respiratory, thoracic and mediastinal disorders </w:t>
            </w:r>
          </w:p>
        </w:tc>
        <w:tc>
          <w:tcPr>
            <w:tcW w:w="0" w:type="auto"/>
            <w:shd w:val="clear" w:color="auto" w:fill="auto"/>
          </w:tcPr>
          <w:p w14:paraId="53E960B9" w14:textId="77777777" w:rsidR="001C65EF" w:rsidRPr="00204FB3" w:rsidRDefault="001C65EF" w:rsidP="00215881">
            <w:pPr>
              <w:pStyle w:val="TblTextCenter"/>
              <w:jc w:val="left"/>
              <w:rPr>
                <w:vertAlign w:val="superscript"/>
              </w:rPr>
            </w:pPr>
            <w:r w:rsidRPr="00204FB3">
              <w:t>Upper respiratory tract signs and symptoms</w:t>
            </w:r>
            <w:r w:rsidRPr="00204FB3">
              <w:rPr>
                <w:vertAlign w:val="superscript"/>
              </w:rPr>
              <w:t>*</w:t>
            </w:r>
          </w:p>
        </w:tc>
        <w:tc>
          <w:tcPr>
            <w:tcW w:w="0" w:type="auto"/>
            <w:shd w:val="clear" w:color="auto" w:fill="auto"/>
          </w:tcPr>
          <w:p w14:paraId="3B307359" w14:textId="77777777" w:rsidR="001C65EF" w:rsidRPr="00204FB3" w:rsidRDefault="001C65EF" w:rsidP="00215881">
            <w:pPr>
              <w:pStyle w:val="TblTextCenter"/>
              <w:jc w:val="left"/>
            </w:pPr>
          </w:p>
        </w:tc>
      </w:tr>
      <w:tr w:rsidR="001C65EF" w:rsidRPr="00204FB3" w14:paraId="1297050A" w14:textId="77777777" w:rsidTr="00215881">
        <w:trPr>
          <w:cantSplit/>
          <w:jc w:val="center"/>
        </w:trPr>
        <w:tc>
          <w:tcPr>
            <w:tcW w:w="0" w:type="auto"/>
            <w:shd w:val="clear" w:color="auto" w:fill="auto"/>
          </w:tcPr>
          <w:p w14:paraId="5EDC64DB" w14:textId="77777777" w:rsidR="001C65EF" w:rsidRPr="00204FB3" w:rsidRDefault="001C65EF" w:rsidP="00215881">
            <w:pPr>
              <w:pStyle w:val="TblTextCenter"/>
              <w:jc w:val="left"/>
            </w:pPr>
            <w:r w:rsidRPr="00204FB3">
              <w:t xml:space="preserve">Skin and subcutaneous tissue disorders </w:t>
            </w:r>
          </w:p>
        </w:tc>
        <w:tc>
          <w:tcPr>
            <w:tcW w:w="0" w:type="auto"/>
            <w:shd w:val="clear" w:color="auto" w:fill="auto"/>
          </w:tcPr>
          <w:p w14:paraId="48161BA5" w14:textId="77777777" w:rsidR="001C65EF" w:rsidRPr="00204FB3" w:rsidRDefault="001C65EF" w:rsidP="00215881">
            <w:pPr>
              <w:pStyle w:val="TblTextCenter"/>
              <w:jc w:val="left"/>
            </w:pPr>
            <w:r w:rsidRPr="00204FB3">
              <w:t xml:space="preserve">Pruritus </w:t>
            </w:r>
          </w:p>
        </w:tc>
        <w:tc>
          <w:tcPr>
            <w:tcW w:w="0" w:type="auto"/>
            <w:shd w:val="clear" w:color="auto" w:fill="auto"/>
          </w:tcPr>
          <w:p w14:paraId="132F6CF9" w14:textId="77777777" w:rsidR="001C65EF" w:rsidRPr="00204FB3" w:rsidRDefault="001C65EF" w:rsidP="00215881">
            <w:pPr>
              <w:pStyle w:val="TblTextCenter"/>
              <w:jc w:val="left"/>
            </w:pPr>
            <w:r w:rsidRPr="00204FB3">
              <w:t xml:space="preserve">urticaria </w:t>
            </w:r>
          </w:p>
          <w:p w14:paraId="1D7452BE" w14:textId="77777777" w:rsidR="001C65EF" w:rsidRPr="00204FB3" w:rsidRDefault="001C65EF" w:rsidP="00215881">
            <w:pPr>
              <w:pStyle w:val="TblTextCenter"/>
              <w:jc w:val="left"/>
            </w:pPr>
            <w:r w:rsidRPr="00204FB3">
              <w:t>eczema nummular</w:t>
            </w:r>
          </w:p>
        </w:tc>
      </w:tr>
      <w:tr w:rsidR="001C65EF" w:rsidRPr="00204FB3" w14:paraId="20A442C9" w14:textId="77777777" w:rsidTr="00215881">
        <w:trPr>
          <w:cantSplit/>
          <w:jc w:val="center"/>
        </w:trPr>
        <w:tc>
          <w:tcPr>
            <w:tcW w:w="0" w:type="auto"/>
            <w:shd w:val="clear" w:color="auto" w:fill="auto"/>
          </w:tcPr>
          <w:p w14:paraId="46A90515" w14:textId="77777777" w:rsidR="001C65EF" w:rsidRPr="00204FB3" w:rsidRDefault="001C65EF" w:rsidP="00215881">
            <w:pPr>
              <w:pStyle w:val="TblTextCenter"/>
              <w:jc w:val="left"/>
            </w:pPr>
            <w:r w:rsidRPr="00204FB3">
              <w:t xml:space="preserve">General disorders and administration site conditions </w:t>
            </w:r>
          </w:p>
        </w:tc>
        <w:tc>
          <w:tcPr>
            <w:tcW w:w="0" w:type="auto"/>
            <w:shd w:val="clear" w:color="auto" w:fill="auto"/>
          </w:tcPr>
          <w:p w14:paraId="5D34D629" w14:textId="77777777" w:rsidR="001C65EF" w:rsidRPr="00204FB3" w:rsidRDefault="001C65EF" w:rsidP="00215881">
            <w:pPr>
              <w:pStyle w:val="TblTextCenter"/>
              <w:jc w:val="left"/>
            </w:pPr>
            <w:r w:rsidRPr="00204FB3">
              <w:t>Injection site reactions*</w:t>
            </w:r>
            <w:r w:rsidRPr="00204FB3">
              <w:rPr>
                <w:vertAlign w:val="superscript"/>
              </w:rPr>
              <w:t>*</w:t>
            </w:r>
            <w:r w:rsidRPr="00204FB3">
              <w:t xml:space="preserve"> </w:t>
            </w:r>
          </w:p>
        </w:tc>
        <w:tc>
          <w:tcPr>
            <w:tcW w:w="0" w:type="auto"/>
            <w:shd w:val="clear" w:color="auto" w:fill="auto"/>
          </w:tcPr>
          <w:p w14:paraId="4F08D370" w14:textId="77777777" w:rsidR="001C65EF" w:rsidRPr="00204FB3" w:rsidRDefault="001C65EF" w:rsidP="00215881">
            <w:pPr>
              <w:pStyle w:val="TblTextCenter"/>
              <w:jc w:val="left"/>
            </w:pPr>
          </w:p>
        </w:tc>
      </w:tr>
      <w:tr w:rsidR="001C65EF" w:rsidRPr="00204FB3" w14:paraId="1844F0FE" w14:textId="77777777" w:rsidTr="00215881">
        <w:trPr>
          <w:cantSplit/>
          <w:jc w:val="center"/>
        </w:trPr>
        <w:tc>
          <w:tcPr>
            <w:tcW w:w="0" w:type="auto"/>
            <w:gridSpan w:val="3"/>
            <w:shd w:val="clear" w:color="auto" w:fill="auto"/>
          </w:tcPr>
          <w:p w14:paraId="58A2DD5A" w14:textId="77777777" w:rsidR="001C65EF" w:rsidRPr="00204FB3" w:rsidRDefault="001C65EF" w:rsidP="00215881">
            <w:pPr>
              <w:pStyle w:val="TblFigFootnote"/>
            </w:pPr>
            <w:r w:rsidRPr="00204FB3">
              <w:t>* including mainly oropharyngeal pain, rhinorrhea, sneezing</w:t>
            </w:r>
          </w:p>
          <w:p w14:paraId="7B12B8B5" w14:textId="77777777" w:rsidR="001C65EF" w:rsidRPr="00204FB3" w:rsidRDefault="001C65EF" w:rsidP="00215881">
            <w:pPr>
              <w:pStyle w:val="TblFigFootnote"/>
            </w:pPr>
            <w:r w:rsidRPr="00204FB3">
              <w:t>** including erythema/redness, itching, swelling, pain/tenderness</w:t>
            </w:r>
          </w:p>
        </w:tc>
      </w:tr>
    </w:tbl>
    <w:p w14:paraId="27DDEFDB" w14:textId="77777777" w:rsidR="001C65EF" w:rsidRPr="00204FB3" w:rsidRDefault="001C65EF" w:rsidP="001C65EF">
      <w:pPr>
        <w:spacing w:before="0"/>
        <w:rPr>
          <w:i/>
          <w:color w:val="auto"/>
        </w:rPr>
      </w:pPr>
    </w:p>
    <w:p w14:paraId="08476527" w14:textId="24200C4B" w:rsidR="001C65EF" w:rsidRPr="00204FB3" w:rsidRDefault="001C65EF" w:rsidP="001C65EF">
      <w:pPr>
        <w:spacing w:before="0"/>
        <w:rPr>
          <w:color w:val="auto"/>
        </w:rPr>
      </w:pPr>
      <w:r w:rsidRPr="00204FB3">
        <w:rPr>
          <w:color w:val="auto"/>
        </w:rPr>
        <w:fldChar w:fldCharType="begin"/>
      </w:r>
      <w:r w:rsidRPr="00204FB3">
        <w:rPr>
          <w:color w:val="auto"/>
        </w:rPr>
        <w:instrText xml:space="preserve"> REF _Ref449614922 \h  \* MERGEFORMAT </w:instrText>
      </w:r>
      <w:r w:rsidRPr="00204FB3">
        <w:rPr>
          <w:color w:val="auto"/>
        </w:rPr>
      </w:r>
      <w:r w:rsidRPr="00204FB3">
        <w:rPr>
          <w:color w:val="auto"/>
        </w:rPr>
        <w:fldChar w:fldCharType="separate"/>
      </w:r>
      <w:r w:rsidR="0052180F" w:rsidRPr="0052180F">
        <w:rPr>
          <w:color w:val="auto"/>
        </w:rPr>
        <w:t>Table 2</w:t>
      </w:r>
      <w:r w:rsidRPr="00204FB3">
        <w:rPr>
          <w:color w:val="auto"/>
        </w:rPr>
        <w:fldChar w:fldCharType="end"/>
      </w:r>
      <w:r w:rsidRPr="00204FB3">
        <w:rPr>
          <w:i/>
          <w:color w:val="auto"/>
        </w:rPr>
        <w:t xml:space="preserve"> </w:t>
      </w:r>
      <w:r w:rsidRPr="00204FB3">
        <w:rPr>
          <w:color w:val="auto"/>
        </w:rPr>
        <w:t>shows the adverse events reported in ≥1% of patients treated with alirocu</w:t>
      </w:r>
      <w:r w:rsidR="00B80B69" w:rsidRPr="00204FB3">
        <w:rPr>
          <w:color w:val="auto"/>
        </w:rPr>
        <w:t xml:space="preserve">mab and more </w:t>
      </w:r>
      <w:r w:rsidRPr="00204FB3">
        <w:rPr>
          <w:color w:val="auto"/>
        </w:rPr>
        <w:t xml:space="preserve">frequently than with placebo in pooled placebo-controlled studies. </w:t>
      </w:r>
    </w:p>
    <w:p w14:paraId="36002C4F" w14:textId="0F80DD35" w:rsidR="001C65EF" w:rsidRPr="00204FB3" w:rsidRDefault="001C65EF" w:rsidP="001C65EF">
      <w:pPr>
        <w:pStyle w:val="Caption"/>
      </w:pPr>
      <w:bookmarkStart w:id="1" w:name="_Ref449614922"/>
      <w:r w:rsidRPr="00204FB3">
        <w:t>Table </w:t>
      </w:r>
      <w:r w:rsidRPr="00204FB3">
        <w:fldChar w:fldCharType="begin"/>
      </w:r>
      <w:r w:rsidRPr="00204FB3">
        <w:instrText xml:space="preserve"> SEQ Table \* ARABIC </w:instrText>
      </w:r>
      <w:r w:rsidRPr="00204FB3">
        <w:fldChar w:fldCharType="separate"/>
      </w:r>
      <w:r w:rsidR="0052180F">
        <w:rPr>
          <w:noProof/>
        </w:rPr>
        <w:t>2</w:t>
      </w:r>
      <w:r w:rsidRPr="00204FB3">
        <w:fldChar w:fldCharType="end"/>
      </w:r>
      <w:bookmarkEnd w:id="1"/>
      <w:r w:rsidRPr="00204FB3">
        <w:t xml:space="preserve"> ­ Adverse events occurring in ≥1% of patients treated with alirocumab and more frequently than with placebo in the pool of placebo-controlled trials</w:t>
      </w:r>
    </w:p>
    <w:tbl>
      <w:tblPr>
        <w:tblW w:w="9497" w:type="dxa"/>
        <w:tblInd w:w="137" w:type="dxa"/>
        <w:tblBorders>
          <w:top w:val="single" w:sz="4" w:space="0" w:color="auto"/>
          <w:bottom w:val="single" w:sz="4" w:space="0" w:color="auto"/>
        </w:tblBorders>
        <w:tblLayout w:type="fixed"/>
        <w:tblLook w:val="0000" w:firstRow="0" w:lastRow="0" w:firstColumn="0" w:lastColumn="0" w:noHBand="0" w:noVBand="0"/>
      </w:tblPr>
      <w:tblGrid>
        <w:gridCol w:w="4253"/>
        <w:gridCol w:w="2693"/>
        <w:gridCol w:w="2551"/>
      </w:tblGrid>
      <w:tr w:rsidR="001C65EF" w:rsidRPr="00204FB3" w14:paraId="23B1DB27" w14:textId="77777777" w:rsidTr="00774E78">
        <w:trPr>
          <w:cantSplit/>
          <w:tblHeader/>
        </w:trPr>
        <w:tc>
          <w:tcPr>
            <w:tcW w:w="4253" w:type="dxa"/>
            <w:tcBorders>
              <w:top w:val="single" w:sz="4" w:space="0" w:color="auto"/>
              <w:bottom w:val="single" w:sz="4" w:space="0" w:color="auto"/>
            </w:tcBorders>
            <w:vAlign w:val="bottom"/>
          </w:tcPr>
          <w:p w14:paraId="3FB0B3CE" w14:textId="77777777" w:rsidR="001C65EF" w:rsidRPr="00204FB3" w:rsidRDefault="001C65EF" w:rsidP="00AB0B14">
            <w:pPr>
              <w:pStyle w:val="TblTextLeft"/>
              <w:jc w:val="center"/>
              <w:rPr>
                <w:b/>
                <w:lang w:val="en-AU" w:eastAsia="en-AU"/>
              </w:rPr>
            </w:pPr>
            <w:r w:rsidRPr="00204FB3">
              <w:rPr>
                <w:b/>
                <w:lang w:val="en-AU" w:eastAsia="en-AU"/>
              </w:rPr>
              <w:t>Primary System Organ Class</w:t>
            </w:r>
          </w:p>
          <w:p w14:paraId="78EECF42" w14:textId="77777777" w:rsidR="001C65EF" w:rsidRPr="00204FB3" w:rsidRDefault="001C65EF" w:rsidP="00AB0B14">
            <w:pPr>
              <w:pStyle w:val="TblTextLeft"/>
              <w:jc w:val="center"/>
              <w:rPr>
                <w:b/>
                <w:lang w:val="en-AU" w:eastAsia="en-AU"/>
              </w:rPr>
            </w:pPr>
            <w:r w:rsidRPr="00204FB3">
              <w:rPr>
                <w:b/>
                <w:lang w:val="en-AU" w:eastAsia="en-AU"/>
              </w:rPr>
              <w:t>Preferred Term n(%)</w:t>
            </w:r>
          </w:p>
        </w:tc>
        <w:tc>
          <w:tcPr>
            <w:tcW w:w="2693" w:type="dxa"/>
            <w:tcBorders>
              <w:top w:val="single" w:sz="4" w:space="0" w:color="auto"/>
              <w:bottom w:val="single" w:sz="4" w:space="0" w:color="auto"/>
            </w:tcBorders>
            <w:vAlign w:val="bottom"/>
          </w:tcPr>
          <w:p w14:paraId="7C92069E" w14:textId="77777777" w:rsidR="001C65EF" w:rsidRPr="00204FB3" w:rsidRDefault="001C65EF" w:rsidP="00AB0B14">
            <w:pPr>
              <w:pStyle w:val="TblTextLeft"/>
              <w:jc w:val="center"/>
              <w:rPr>
                <w:b/>
                <w:lang w:val="en-AU" w:eastAsia="en-AU"/>
              </w:rPr>
            </w:pPr>
            <w:r w:rsidRPr="00204FB3">
              <w:rPr>
                <w:b/>
                <w:lang w:val="en-AU" w:eastAsia="en-AU"/>
              </w:rPr>
              <w:t>Placebo</w:t>
            </w:r>
          </w:p>
          <w:p w14:paraId="0914CE1E" w14:textId="77777777" w:rsidR="001C65EF" w:rsidRPr="00204FB3" w:rsidRDefault="001C65EF" w:rsidP="00AB0B14">
            <w:pPr>
              <w:pStyle w:val="TblTextLeft"/>
              <w:jc w:val="center"/>
              <w:rPr>
                <w:b/>
                <w:lang w:val="en-AU" w:eastAsia="en-AU"/>
              </w:rPr>
            </w:pPr>
            <w:r w:rsidRPr="00204FB3">
              <w:rPr>
                <w:b/>
                <w:lang w:val="en-AU" w:eastAsia="en-AU"/>
              </w:rPr>
              <w:t>(N=1276)</w:t>
            </w:r>
          </w:p>
        </w:tc>
        <w:tc>
          <w:tcPr>
            <w:tcW w:w="2551" w:type="dxa"/>
            <w:tcBorders>
              <w:top w:val="single" w:sz="4" w:space="0" w:color="auto"/>
              <w:bottom w:val="single" w:sz="4" w:space="0" w:color="auto"/>
            </w:tcBorders>
            <w:vAlign w:val="bottom"/>
          </w:tcPr>
          <w:p w14:paraId="7E340BF8" w14:textId="77777777" w:rsidR="001C65EF" w:rsidRPr="00204FB3" w:rsidRDefault="001C65EF" w:rsidP="00AB0B14">
            <w:pPr>
              <w:pStyle w:val="TblTextLeft"/>
              <w:jc w:val="center"/>
              <w:rPr>
                <w:b/>
                <w:lang w:val="en-AU" w:eastAsia="en-AU"/>
              </w:rPr>
            </w:pPr>
            <w:r w:rsidRPr="00204FB3">
              <w:rPr>
                <w:b/>
                <w:lang w:val="en-AU" w:eastAsia="en-AU"/>
              </w:rPr>
              <w:t>Alirocumab</w:t>
            </w:r>
          </w:p>
          <w:p w14:paraId="2DBC1657" w14:textId="77777777" w:rsidR="001C65EF" w:rsidRPr="00204FB3" w:rsidRDefault="001C65EF" w:rsidP="00AB0B14">
            <w:pPr>
              <w:pStyle w:val="TblTextLeft"/>
              <w:jc w:val="center"/>
              <w:rPr>
                <w:b/>
                <w:lang w:val="en-AU" w:eastAsia="en-AU"/>
              </w:rPr>
            </w:pPr>
            <w:r w:rsidRPr="00204FB3">
              <w:rPr>
                <w:b/>
                <w:lang w:val="en-AU" w:eastAsia="en-AU"/>
              </w:rPr>
              <w:t>(N=2476)</w:t>
            </w:r>
          </w:p>
        </w:tc>
      </w:tr>
      <w:tr w:rsidR="001C65EF" w:rsidRPr="00204FB3" w14:paraId="40BE6FB8" w14:textId="77777777" w:rsidTr="00774E78">
        <w:trPr>
          <w:cantSplit/>
        </w:trPr>
        <w:tc>
          <w:tcPr>
            <w:tcW w:w="4253" w:type="dxa"/>
            <w:tcBorders>
              <w:top w:val="single" w:sz="4" w:space="0" w:color="auto"/>
            </w:tcBorders>
            <w:vAlign w:val="bottom"/>
          </w:tcPr>
          <w:p w14:paraId="79312EF2" w14:textId="77777777" w:rsidR="001C65EF" w:rsidRPr="00204FB3" w:rsidRDefault="001C65EF" w:rsidP="00AB0B14">
            <w:pPr>
              <w:pStyle w:val="TblTextLeft"/>
              <w:rPr>
                <w:b/>
                <w:lang w:val="en-AU" w:eastAsia="en-AU"/>
              </w:rPr>
            </w:pPr>
            <w:r w:rsidRPr="00204FB3">
              <w:rPr>
                <w:b/>
                <w:lang w:val="en-AU" w:eastAsia="en-AU"/>
              </w:rPr>
              <w:t>Infections and infestations</w:t>
            </w:r>
          </w:p>
        </w:tc>
        <w:tc>
          <w:tcPr>
            <w:tcW w:w="2693" w:type="dxa"/>
            <w:tcBorders>
              <w:top w:val="single" w:sz="4" w:space="0" w:color="auto"/>
            </w:tcBorders>
            <w:vAlign w:val="bottom"/>
          </w:tcPr>
          <w:p w14:paraId="6EE2FA90" w14:textId="77777777" w:rsidR="001C65EF" w:rsidRPr="00204FB3" w:rsidRDefault="001C65EF" w:rsidP="00AB0B14">
            <w:pPr>
              <w:pStyle w:val="TblTextLeft"/>
              <w:rPr>
                <w:lang w:val="en-AU" w:eastAsia="en-AU"/>
              </w:rPr>
            </w:pPr>
          </w:p>
        </w:tc>
        <w:tc>
          <w:tcPr>
            <w:tcW w:w="2551" w:type="dxa"/>
            <w:tcBorders>
              <w:top w:val="single" w:sz="4" w:space="0" w:color="auto"/>
            </w:tcBorders>
            <w:vAlign w:val="bottom"/>
          </w:tcPr>
          <w:p w14:paraId="14B361DF" w14:textId="77777777" w:rsidR="001C65EF" w:rsidRPr="00204FB3" w:rsidRDefault="001C65EF" w:rsidP="00AB0B14">
            <w:pPr>
              <w:pStyle w:val="TblTextLeft"/>
              <w:rPr>
                <w:lang w:val="en-AU" w:eastAsia="en-AU"/>
              </w:rPr>
            </w:pPr>
          </w:p>
        </w:tc>
      </w:tr>
      <w:tr w:rsidR="001C65EF" w:rsidRPr="00204FB3" w14:paraId="764F7060" w14:textId="77777777" w:rsidTr="00774E78">
        <w:trPr>
          <w:cantSplit/>
        </w:trPr>
        <w:tc>
          <w:tcPr>
            <w:tcW w:w="4253" w:type="dxa"/>
            <w:vAlign w:val="bottom"/>
          </w:tcPr>
          <w:p w14:paraId="64D0B929" w14:textId="77777777" w:rsidR="001C65EF" w:rsidRPr="00204FB3" w:rsidRDefault="001C65EF" w:rsidP="00AB0B14">
            <w:pPr>
              <w:pStyle w:val="TblTextLeft"/>
              <w:rPr>
                <w:lang w:val="en-AU" w:eastAsia="en-AU"/>
              </w:rPr>
            </w:pPr>
            <w:r w:rsidRPr="00204FB3">
              <w:rPr>
                <w:lang w:val="en-AU" w:eastAsia="en-AU"/>
              </w:rPr>
              <w:t>Nasopharyngitis</w:t>
            </w:r>
          </w:p>
        </w:tc>
        <w:tc>
          <w:tcPr>
            <w:tcW w:w="2693" w:type="dxa"/>
            <w:vAlign w:val="bottom"/>
          </w:tcPr>
          <w:p w14:paraId="365C5980" w14:textId="5857561D" w:rsidR="001C65EF" w:rsidRPr="00204FB3" w:rsidRDefault="00AB0B14" w:rsidP="00AB0B14">
            <w:pPr>
              <w:pStyle w:val="TblTextLeft"/>
              <w:rPr>
                <w:lang w:val="en-AU" w:eastAsia="en-AU"/>
              </w:rPr>
            </w:pPr>
            <w:r w:rsidRPr="00204FB3">
              <w:rPr>
                <w:lang w:val="en-AU" w:eastAsia="en-AU"/>
              </w:rPr>
              <w:tab/>
              <w:t xml:space="preserve">147 </w:t>
            </w:r>
            <w:r w:rsidR="001C65EF" w:rsidRPr="00204FB3">
              <w:rPr>
                <w:lang w:val="en-AU" w:eastAsia="en-AU"/>
              </w:rPr>
              <w:t>(11.5%)</w:t>
            </w:r>
          </w:p>
        </w:tc>
        <w:tc>
          <w:tcPr>
            <w:tcW w:w="2551" w:type="dxa"/>
            <w:vAlign w:val="bottom"/>
          </w:tcPr>
          <w:p w14:paraId="0FE243CB" w14:textId="5C62E0CF" w:rsidR="001C65EF" w:rsidRPr="00204FB3" w:rsidRDefault="00AB0B14" w:rsidP="00AB0B14">
            <w:pPr>
              <w:pStyle w:val="TblTextLeft"/>
              <w:rPr>
                <w:lang w:val="en-AU" w:eastAsia="en-AU"/>
              </w:rPr>
            </w:pPr>
            <w:r w:rsidRPr="00204FB3">
              <w:rPr>
                <w:lang w:val="en-AU" w:eastAsia="en-AU"/>
              </w:rPr>
              <w:tab/>
              <w:t xml:space="preserve">301 </w:t>
            </w:r>
            <w:r w:rsidR="001C65EF" w:rsidRPr="00204FB3">
              <w:rPr>
                <w:lang w:val="en-AU" w:eastAsia="en-AU"/>
              </w:rPr>
              <w:t>(12.2%)</w:t>
            </w:r>
          </w:p>
        </w:tc>
      </w:tr>
      <w:tr w:rsidR="001C65EF" w:rsidRPr="00204FB3" w14:paraId="66632373" w14:textId="77777777" w:rsidTr="00774E78">
        <w:trPr>
          <w:cantSplit/>
        </w:trPr>
        <w:tc>
          <w:tcPr>
            <w:tcW w:w="4253" w:type="dxa"/>
            <w:vAlign w:val="bottom"/>
          </w:tcPr>
          <w:p w14:paraId="60970477" w14:textId="77777777" w:rsidR="001C65EF" w:rsidRPr="00204FB3" w:rsidRDefault="001C65EF" w:rsidP="00AB0B14">
            <w:pPr>
              <w:pStyle w:val="TblTextLeft"/>
              <w:rPr>
                <w:lang w:val="en-AU" w:eastAsia="en-AU"/>
              </w:rPr>
            </w:pPr>
            <w:r w:rsidRPr="00204FB3">
              <w:rPr>
                <w:lang w:val="en-AU" w:eastAsia="en-AU"/>
              </w:rPr>
              <w:t>Influenza</w:t>
            </w:r>
          </w:p>
        </w:tc>
        <w:tc>
          <w:tcPr>
            <w:tcW w:w="2693" w:type="dxa"/>
            <w:vAlign w:val="bottom"/>
          </w:tcPr>
          <w:p w14:paraId="1C933129" w14:textId="1E2FC540" w:rsidR="001C65EF" w:rsidRPr="00204FB3" w:rsidRDefault="00AB0B14" w:rsidP="00AB0B14">
            <w:pPr>
              <w:pStyle w:val="TblTextLeft"/>
              <w:rPr>
                <w:lang w:val="en-AU" w:eastAsia="en-AU"/>
              </w:rPr>
            </w:pPr>
            <w:r w:rsidRPr="00204FB3">
              <w:rPr>
                <w:lang w:val="en-AU" w:eastAsia="en-AU"/>
              </w:rPr>
              <w:tab/>
              <w:t xml:space="preserve"> 63 </w:t>
            </w:r>
            <w:r w:rsidR="001C65EF" w:rsidRPr="00204FB3">
              <w:rPr>
                <w:lang w:val="en-AU" w:eastAsia="en-AU"/>
              </w:rPr>
              <w:t xml:space="preserve"> (4.9%)</w:t>
            </w:r>
          </w:p>
        </w:tc>
        <w:tc>
          <w:tcPr>
            <w:tcW w:w="2551" w:type="dxa"/>
            <w:vAlign w:val="bottom"/>
          </w:tcPr>
          <w:p w14:paraId="55D1A2E6" w14:textId="3A316F3F" w:rsidR="001C65EF" w:rsidRPr="00204FB3" w:rsidRDefault="00AB0B14" w:rsidP="00AB0B14">
            <w:pPr>
              <w:pStyle w:val="TblTextLeft"/>
              <w:rPr>
                <w:lang w:val="en-AU" w:eastAsia="en-AU"/>
              </w:rPr>
            </w:pPr>
            <w:r w:rsidRPr="00204FB3">
              <w:rPr>
                <w:lang w:val="en-AU" w:eastAsia="en-AU"/>
              </w:rPr>
              <w:tab/>
              <w:t xml:space="preserve">147 </w:t>
            </w:r>
            <w:r w:rsidR="001C65EF" w:rsidRPr="00204FB3">
              <w:rPr>
                <w:lang w:val="en-AU" w:eastAsia="en-AU"/>
              </w:rPr>
              <w:t>(5.9%)</w:t>
            </w:r>
          </w:p>
        </w:tc>
      </w:tr>
      <w:tr w:rsidR="001C65EF" w:rsidRPr="00204FB3" w14:paraId="7647320A" w14:textId="77777777" w:rsidTr="00774E78">
        <w:trPr>
          <w:cantSplit/>
        </w:trPr>
        <w:tc>
          <w:tcPr>
            <w:tcW w:w="4253" w:type="dxa"/>
            <w:vAlign w:val="bottom"/>
          </w:tcPr>
          <w:p w14:paraId="0453E113" w14:textId="77777777" w:rsidR="001C65EF" w:rsidRPr="00204FB3" w:rsidRDefault="001C65EF" w:rsidP="00AB0B14">
            <w:pPr>
              <w:pStyle w:val="TblTextLeft"/>
              <w:rPr>
                <w:b/>
                <w:lang w:val="en-AU" w:eastAsia="en-AU"/>
              </w:rPr>
            </w:pPr>
            <w:r w:rsidRPr="00204FB3">
              <w:rPr>
                <w:b/>
                <w:lang w:val="en-AU" w:eastAsia="en-AU"/>
              </w:rPr>
              <w:t>Urinary tract infection</w:t>
            </w:r>
          </w:p>
        </w:tc>
        <w:tc>
          <w:tcPr>
            <w:tcW w:w="2693" w:type="dxa"/>
            <w:vAlign w:val="bottom"/>
          </w:tcPr>
          <w:p w14:paraId="20EE57C4" w14:textId="29AEE984" w:rsidR="001C65EF" w:rsidRPr="00204FB3" w:rsidRDefault="00AB0B14" w:rsidP="00AB0B14">
            <w:pPr>
              <w:pStyle w:val="TblTextLeft"/>
              <w:rPr>
                <w:lang w:val="en-AU" w:eastAsia="en-AU"/>
              </w:rPr>
            </w:pPr>
            <w:r w:rsidRPr="00204FB3">
              <w:rPr>
                <w:lang w:val="en-AU" w:eastAsia="en-AU"/>
              </w:rPr>
              <w:tab/>
              <w:t xml:space="preserve"> 65 </w:t>
            </w:r>
            <w:r w:rsidR="001C65EF" w:rsidRPr="00204FB3">
              <w:rPr>
                <w:lang w:val="en-AU" w:eastAsia="en-AU"/>
              </w:rPr>
              <w:t>(5.1%)</w:t>
            </w:r>
          </w:p>
        </w:tc>
        <w:tc>
          <w:tcPr>
            <w:tcW w:w="2551" w:type="dxa"/>
            <w:vAlign w:val="bottom"/>
          </w:tcPr>
          <w:p w14:paraId="72A9C714" w14:textId="071C18DF" w:rsidR="001C65EF" w:rsidRPr="00204FB3" w:rsidRDefault="00AB0B14" w:rsidP="00AB0B14">
            <w:pPr>
              <w:pStyle w:val="TblTextLeft"/>
              <w:rPr>
                <w:lang w:val="en-AU" w:eastAsia="en-AU"/>
              </w:rPr>
            </w:pPr>
            <w:r w:rsidRPr="00204FB3">
              <w:rPr>
                <w:lang w:val="en-AU" w:eastAsia="en-AU"/>
              </w:rPr>
              <w:tab/>
              <w:t>129</w:t>
            </w:r>
            <w:r w:rsidR="001C65EF" w:rsidRPr="00204FB3">
              <w:rPr>
                <w:lang w:val="en-AU" w:eastAsia="en-AU"/>
              </w:rPr>
              <w:t xml:space="preserve"> (5.2%)</w:t>
            </w:r>
          </w:p>
        </w:tc>
      </w:tr>
      <w:tr w:rsidR="001C65EF" w:rsidRPr="00204FB3" w14:paraId="2B3EDA78" w14:textId="77777777" w:rsidTr="00774E78">
        <w:trPr>
          <w:cantSplit/>
        </w:trPr>
        <w:tc>
          <w:tcPr>
            <w:tcW w:w="4253" w:type="dxa"/>
            <w:vAlign w:val="bottom"/>
          </w:tcPr>
          <w:p w14:paraId="24579981" w14:textId="77777777" w:rsidR="001C65EF" w:rsidRPr="00204FB3" w:rsidRDefault="001C65EF" w:rsidP="00AB0B14">
            <w:pPr>
              <w:pStyle w:val="TblTextLeft"/>
              <w:rPr>
                <w:lang w:val="en-AU" w:eastAsia="en-AU"/>
              </w:rPr>
            </w:pPr>
            <w:r w:rsidRPr="00204FB3">
              <w:rPr>
                <w:lang w:val="en-AU" w:eastAsia="en-AU"/>
              </w:rPr>
              <w:t>Bronchitis</w:t>
            </w:r>
          </w:p>
        </w:tc>
        <w:tc>
          <w:tcPr>
            <w:tcW w:w="2693" w:type="dxa"/>
            <w:vAlign w:val="bottom"/>
          </w:tcPr>
          <w:p w14:paraId="4FA8A4AE" w14:textId="36413F73" w:rsidR="001C65EF" w:rsidRPr="00204FB3" w:rsidRDefault="00AB0B14" w:rsidP="00AB0B14">
            <w:pPr>
              <w:pStyle w:val="TblTextLeft"/>
              <w:rPr>
                <w:lang w:val="en-AU" w:eastAsia="en-AU"/>
              </w:rPr>
            </w:pPr>
            <w:r w:rsidRPr="00204FB3">
              <w:rPr>
                <w:lang w:val="en-AU" w:eastAsia="en-AU"/>
              </w:rPr>
              <w:tab/>
              <w:t xml:space="preserve"> 58</w:t>
            </w:r>
            <w:r w:rsidR="001C65EF" w:rsidRPr="00204FB3">
              <w:rPr>
                <w:lang w:val="en-AU" w:eastAsia="en-AU"/>
              </w:rPr>
              <w:t xml:space="preserve"> (4.5%)</w:t>
            </w:r>
          </w:p>
        </w:tc>
        <w:tc>
          <w:tcPr>
            <w:tcW w:w="2551" w:type="dxa"/>
            <w:vAlign w:val="bottom"/>
          </w:tcPr>
          <w:p w14:paraId="13C2979B" w14:textId="183B68D5" w:rsidR="001C65EF" w:rsidRPr="00204FB3" w:rsidRDefault="00AB0B14" w:rsidP="00AB0B14">
            <w:pPr>
              <w:pStyle w:val="TblTextLeft"/>
              <w:rPr>
                <w:lang w:val="en-AU" w:eastAsia="en-AU"/>
              </w:rPr>
            </w:pPr>
            <w:r w:rsidRPr="00204FB3">
              <w:rPr>
                <w:lang w:val="en-AU" w:eastAsia="en-AU"/>
              </w:rPr>
              <w:tab/>
              <w:t xml:space="preserve">113 </w:t>
            </w:r>
            <w:r w:rsidR="001C65EF" w:rsidRPr="00204FB3">
              <w:rPr>
                <w:lang w:val="en-AU" w:eastAsia="en-AU"/>
              </w:rPr>
              <w:t>(4.6%)</w:t>
            </w:r>
          </w:p>
        </w:tc>
      </w:tr>
      <w:tr w:rsidR="001C65EF" w:rsidRPr="00204FB3" w14:paraId="2345A4E1" w14:textId="77777777" w:rsidTr="00774E78">
        <w:trPr>
          <w:cantSplit/>
        </w:trPr>
        <w:tc>
          <w:tcPr>
            <w:tcW w:w="4253" w:type="dxa"/>
            <w:vAlign w:val="bottom"/>
          </w:tcPr>
          <w:p w14:paraId="254FFA2C" w14:textId="77777777" w:rsidR="001C65EF" w:rsidRPr="00204FB3" w:rsidRDefault="001C65EF" w:rsidP="00AB0B14">
            <w:pPr>
              <w:pStyle w:val="TblTextLeft"/>
              <w:rPr>
                <w:lang w:val="en-AU" w:eastAsia="en-AU"/>
              </w:rPr>
            </w:pPr>
            <w:r w:rsidRPr="00204FB3">
              <w:rPr>
                <w:lang w:val="en-AU" w:eastAsia="en-AU"/>
              </w:rPr>
              <w:lastRenderedPageBreak/>
              <w:t>Sinusitis</w:t>
            </w:r>
          </w:p>
        </w:tc>
        <w:tc>
          <w:tcPr>
            <w:tcW w:w="2693" w:type="dxa"/>
            <w:vAlign w:val="bottom"/>
          </w:tcPr>
          <w:p w14:paraId="083D35E4" w14:textId="690DBAB7" w:rsidR="001C65EF" w:rsidRPr="00204FB3" w:rsidRDefault="001C65EF" w:rsidP="00AB0B14">
            <w:pPr>
              <w:pStyle w:val="TblTextLeft"/>
              <w:rPr>
                <w:lang w:val="en-AU" w:eastAsia="en-AU"/>
              </w:rPr>
            </w:pPr>
            <w:r w:rsidRPr="00204FB3">
              <w:rPr>
                <w:lang w:val="en-AU" w:eastAsia="en-AU"/>
              </w:rPr>
              <w:tab/>
            </w:r>
            <w:r w:rsidR="00AB0B14" w:rsidRPr="00204FB3">
              <w:rPr>
                <w:lang w:val="en-AU" w:eastAsia="en-AU"/>
              </w:rPr>
              <w:t xml:space="preserve"> 38 </w:t>
            </w:r>
            <w:r w:rsidRPr="00204FB3">
              <w:rPr>
                <w:lang w:val="en-AU" w:eastAsia="en-AU"/>
              </w:rPr>
              <w:t>(3.0%)</w:t>
            </w:r>
          </w:p>
        </w:tc>
        <w:tc>
          <w:tcPr>
            <w:tcW w:w="2551" w:type="dxa"/>
            <w:vAlign w:val="bottom"/>
          </w:tcPr>
          <w:p w14:paraId="2F491F61" w14:textId="255880D7" w:rsidR="001C65EF" w:rsidRPr="00204FB3" w:rsidRDefault="00AB0B14" w:rsidP="00AB0B14">
            <w:pPr>
              <w:pStyle w:val="TblTextLeft"/>
              <w:rPr>
                <w:lang w:val="en-AU" w:eastAsia="en-AU"/>
              </w:rPr>
            </w:pPr>
            <w:r w:rsidRPr="00204FB3">
              <w:rPr>
                <w:lang w:val="en-AU" w:eastAsia="en-AU"/>
              </w:rPr>
              <w:tab/>
              <w:t>80</w:t>
            </w:r>
            <w:r w:rsidR="001C65EF" w:rsidRPr="00204FB3">
              <w:rPr>
                <w:lang w:val="en-AU" w:eastAsia="en-AU"/>
              </w:rPr>
              <w:t xml:space="preserve"> (3.2%)</w:t>
            </w:r>
          </w:p>
        </w:tc>
      </w:tr>
      <w:tr w:rsidR="001C65EF" w:rsidRPr="00204FB3" w14:paraId="34757B1F" w14:textId="77777777" w:rsidTr="00774E78">
        <w:trPr>
          <w:cantSplit/>
        </w:trPr>
        <w:tc>
          <w:tcPr>
            <w:tcW w:w="4253" w:type="dxa"/>
            <w:vAlign w:val="bottom"/>
          </w:tcPr>
          <w:p w14:paraId="41D32102" w14:textId="77777777" w:rsidR="001C65EF" w:rsidRPr="00204FB3" w:rsidRDefault="001C65EF" w:rsidP="00AB0B14">
            <w:pPr>
              <w:pStyle w:val="TblTextLeft"/>
              <w:rPr>
                <w:lang w:val="en-AU" w:eastAsia="en-AU"/>
              </w:rPr>
            </w:pPr>
            <w:r w:rsidRPr="00204FB3">
              <w:rPr>
                <w:lang w:val="en-AU" w:eastAsia="en-AU"/>
              </w:rPr>
              <w:t>Pneumonia</w:t>
            </w:r>
          </w:p>
        </w:tc>
        <w:tc>
          <w:tcPr>
            <w:tcW w:w="2693" w:type="dxa"/>
            <w:vAlign w:val="bottom"/>
          </w:tcPr>
          <w:p w14:paraId="5BA61853" w14:textId="25C3AC23" w:rsidR="001C65EF" w:rsidRPr="00204FB3" w:rsidRDefault="001C65EF" w:rsidP="00AB0B14">
            <w:pPr>
              <w:pStyle w:val="TblTextLeft"/>
              <w:rPr>
                <w:lang w:val="en-AU" w:eastAsia="en-AU"/>
              </w:rPr>
            </w:pPr>
            <w:r w:rsidRPr="00204FB3">
              <w:rPr>
                <w:lang w:val="en-AU" w:eastAsia="en-AU"/>
              </w:rPr>
              <w:tab/>
            </w:r>
            <w:r w:rsidR="00AB0B14" w:rsidRPr="00204FB3">
              <w:rPr>
                <w:lang w:val="en-AU" w:eastAsia="en-AU"/>
              </w:rPr>
              <w:t xml:space="preserve"> 18 </w:t>
            </w:r>
            <w:r w:rsidRPr="00204FB3">
              <w:rPr>
                <w:lang w:val="en-AU" w:eastAsia="en-AU"/>
              </w:rPr>
              <w:t>(1.4%)</w:t>
            </w:r>
          </w:p>
        </w:tc>
        <w:tc>
          <w:tcPr>
            <w:tcW w:w="2551" w:type="dxa"/>
            <w:vAlign w:val="bottom"/>
          </w:tcPr>
          <w:p w14:paraId="0E0016C0" w14:textId="0D913F70" w:rsidR="001C65EF" w:rsidRPr="00204FB3" w:rsidRDefault="00AB0B14" w:rsidP="00AB0B14">
            <w:pPr>
              <w:pStyle w:val="TblTextLeft"/>
              <w:rPr>
                <w:lang w:val="en-AU" w:eastAsia="en-AU"/>
              </w:rPr>
            </w:pPr>
            <w:r w:rsidRPr="00204FB3">
              <w:rPr>
                <w:lang w:val="en-AU" w:eastAsia="en-AU"/>
              </w:rPr>
              <w:tab/>
              <w:t xml:space="preserve">37 </w:t>
            </w:r>
            <w:r w:rsidR="001C65EF" w:rsidRPr="00204FB3">
              <w:rPr>
                <w:lang w:val="en-AU" w:eastAsia="en-AU"/>
              </w:rPr>
              <w:t>(1.5%)</w:t>
            </w:r>
          </w:p>
        </w:tc>
      </w:tr>
      <w:tr w:rsidR="001C65EF" w:rsidRPr="00204FB3" w14:paraId="041EBA3E" w14:textId="77777777" w:rsidTr="00774E78">
        <w:trPr>
          <w:cantSplit/>
        </w:trPr>
        <w:tc>
          <w:tcPr>
            <w:tcW w:w="4253" w:type="dxa"/>
            <w:vAlign w:val="bottom"/>
          </w:tcPr>
          <w:p w14:paraId="1A013705" w14:textId="77777777" w:rsidR="001C65EF" w:rsidRPr="00204FB3" w:rsidRDefault="001C65EF" w:rsidP="00AB0B14">
            <w:pPr>
              <w:pStyle w:val="TblTextLeft"/>
              <w:rPr>
                <w:lang w:val="en-AU" w:eastAsia="en-AU"/>
              </w:rPr>
            </w:pPr>
            <w:r w:rsidRPr="00204FB3">
              <w:rPr>
                <w:lang w:val="en-AU" w:eastAsia="en-AU"/>
              </w:rPr>
              <w:t>Gastroenteritis viral</w:t>
            </w:r>
          </w:p>
        </w:tc>
        <w:tc>
          <w:tcPr>
            <w:tcW w:w="2693" w:type="dxa"/>
            <w:vAlign w:val="bottom"/>
          </w:tcPr>
          <w:p w14:paraId="3BA87DBA" w14:textId="0B2E9EF5" w:rsidR="001C65EF" w:rsidRPr="00204FB3" w:rsidRDefault="001C65EF" w:rsidP="00AB0B14">
            <w:pPr>
              <w:pStyle w:val="TblTextLeft"/>
              <w:rPr>
                <w:lang w:val="en-AU" w:eastAsia="en-AU"/>
              </w:rPr>
            </w:pPr>
            <w:r w:rsidRPr="00204FB3">
              <w:rPr>
                <w:lang w:val="en-AU" w:eastAsia="en-AU"/>
              </w:rPr>
              <w:tab/>
            </w:r>
            <w:r w:rsidR="00AB0B14" w:rsidRPr="00204FB3">
              <w:rPr>
                <w:lang w:val="en-AU" w:eastAsia="en-AU"/>
              </w:rPr>
              <w:t xml:space="preserve"> 10 </w:t>
            </w:r>
            <w:r w:rsidRPr="00204FB3">
              <w:rPr>
                <w:lang w:val="en-AU" w:eastAsia="en-AU"/>
              </w:rPr>
              <w:t>(0.8%)</w:t>
            </w:r>
          </w:p>
        </w:tc>
        <w:tc>
          <w:tcPr>
            <w:tcW w:w="2551" w:type="dxa"/>
            <w:vAlign w:val="bottom"/>
          </w:tcPr>
          <w:p w14:paraId="49EC2A47" w14:textId="27FF70A5" w:rsidR="001C65EF" w:rsidRPr="00204FB3" w:rsidRDefault="00AB0B14" w:rsidP="00AB0B14">
            <w:pPr>
              <w:pStyle w:val="TblTextLeft"/>
              <w:rPr>
                <w:lang w:val="en-AU" w:eastAsia="en-AU"/>
              </w:rPr>
            </w:pPr>
            <w:r w:rsidRPr="00204FB3">
              <w:rPr>
                <w:lang w:val="en-AU" w:eastAsia="en-AU"/>
              </w:rPr>
              <w:tab/>
              <w:t xml:space="preserve">32 </w:t>
            </w:r>
            <w:r w:rsidR="001C65EF" w:rsidRPr="00204FB3">
              <w:rPr>
                <w:lang w:val="en-AU" w:eastAsia="en-AU"/>
              </w:rPr>
              <w:t>(1.3%)</w:t>
            </w:r>
          </w:p>
        </w:tc>
      </w:tr>
      <w:tr w:rsidR="001C65EF" w:rsidRPr="00204FB3" w14:paraId="748C5D63" w14:textId="77777777" w:rsidTr="00774E78">
        <w:trPr>
          <w:cantSplit/>
        </w:trPr>
        <w:tc>
          <w:tcPr>
            <w:tcW w:w="4253" w:type="dxa"/>
            <w:vAlign w:val="bottom"/>
          </w:tcPr>
          <w:p w14:paraId="29DB84D6" w14:textId="77777777" w:rsidR="001C65EF" w:rsidRPr="00204FB3" w:rsidRDefault="001C65EF" w:rsidP="00AB0B14">
            <w:pPr>
              <w:pStyle w:val="TblTextLeft"/>
              <w:rPr>
                <w:lang w:val="en-AU" w:eastAsia="en-AU"/>
              </w:rPr>
            </w:pPr>
            <w:r w:rsidRPr="00204FB3">
              <w:rPr>
                <w:lang w:val="en-AU" w:eastAsia="en-AU"/>
              </w:rPr>
              <w:t>Pharyngitis</w:t>
            </w:r>
          </w:p>
        </w:tc>
        <w:tc>
          <w:tcPr>
            <w:tcW w:w="2693" w:type="dxa"/>
            <w:vAlign w:val="bottom"/>
          </w:tcPr>
          <w:p w14:paraId="6583D4F0" w14:textId="6944EB5E" w:rsidR="001C65EF" w:rsidRPr="00204FB3" w:rsidRDefault="001C65EF" w:rsidP="00AB0B14">
            <w:pPr>
              <w:pStyle w:val="TblTextLeft"/>
              <w:rPr>
                <w:lang w:val="en-AU" w:eastAsia="en-AU"/>
              </w:rPr>
            </w:pPr>
            <w:r w:rsidRPr="00204FB3">
              <w:rPr>
                <w:lang w:val="en-AU" w:eastAsia="en-AU"/>
              </w:rPr>
              <w:tab/>
            </w:r>
            <w:r w:rsidR="00AB0B14" w:rsidRPr="00204FB3">
              <w:rPr>
                <w:lang w:val="en-AU" w:eastAsia="en-AU"/>
              </w:rPr>
              <w:t xml:space="preserve"> 13 </w:t>
            </w:r>
            <w:r w:rsidRPr="00204FB3">
              <w:rPr>
                <w:lang w:val="en-AU" w:eastAsia="en-AU"/>
              </w:rPr>
              <w:t>(1.0%)</w:t>
            </w:r>
          </w:p>
        </w:tc>
        <w:tc>
          <w:tcPr>
            <w:tcW w:w="2551" w:type="dxa"/>
            <w:vAlign w:val="bottom"/>
          </w:tcPr>
          <w:p w14:paraId="0D8CFB2B" w14:textId="26C328C2" w:rsidR="001C65EF" w:rsidRPr="00204FB3" w:rsidRDefault="00AB0B14" w:rsidP="00AB0B14">
            <w:pPr>
              <w:pStyle w:val="TblTextLeft"/>
              <w:rPr>
                <w:lang w:val="en-AU" w:eastAsia="en-AU"/>
              </w:rPr>
            </w:pPr>
            <w:r w:rsidRPr="00204FB3">
              <w:rPr>
                <w:lang w:val="en-AU" w:eastAsia="en-AU"/>
              </w:rPr>
              <w:tab/>
              <w:t xml:space="preserve">29 </w:t>
            </w:r>
            <w:r w:rsidR="001C65EF" w:rsidRPr="00204FB3">
              <w:rPr>
                <w:lang w:val="en-AU" w:eastAsia="en-AU"/>
              </w:rPr>
              <w:t>(1.2%)</w:t>
            </w:r>
          </w:p>
        </w:tc>
      </w:tr>
      <w:tr w:rsidR="001C65EF" w:rsidRPr="00204FB3" w14:paraId="36D02BA5" w14:textId="77777777" w:rsidTr="00774E78">
        <w:trPr>
          <w:cantSplit/>
        </w:trPr>
        <w:tc>
          <w:tcPr>
            <w:tcW w:w="4253" w:type="dxa"/>
            <w:vAlign w:val="bottom"/>
          </w:tcPr>
          <w:p w14:paraId="47E784B8" w14:textId="77777777" w:rsidR="001C65EF" w:rsidRPr="00204FB3" w:rsidRDefault="001C65EF" w:rsidP="00AB0B14">
            <w:pPr>
              <w:pStyle w:val="TblTextLeft"/>
              <w:rPr>
                <w:lang w:val="en-AU" w:eastAsia="en-AU"/>
              </w:rPr>
            </w:pPr>
            <w:r w:rsidRPr="00204FB3">
              <w:rPr>
                <w:lang w:val="en-AU" w:eastAsia="en-AU"/>
              </w:rPr>
              <w:t>Tooth abscess</w:t>
            </w:r>
          </w:p>
        </w:tc>
        <w:tc>
          <w:tcPr>
            <w:tcW w:w="2693" w:type="dxa"/>
            <w:vAlign w:val="bottom"/>
          </w:tcPr>
          <w:p w14:paraId="17DB5419" w14:textId="5297FFFE" w:rsidR="001C65EF" w:rsidRPr="00204FB3" w:rsidRDefault="001C65EF" w:rsidP="00AB0B14">
            <w:pPr>
              <w:pStyle w:val="TblTextLeft"/>
              <w:rPr>
                <w:lang w:val="en-AU" w:eastAsia="en-AU"/>
              </w:rPr>
            </w:pPr>
            <w:r w:rsidRPr="00204FB3">
              <w:rPr>
                <w:lang w:val="en-AU" w:eastAsia="en-AU"/>
              </w:rPr>
              <w:tab/>
            </w:r>
            <w:r w:rsidR="00AB0B14" w:rsidRPr="00204FB3">
              <w:rPr>
                <w:lang w:val="en-AU" w:eastAsia="en-AU"/>
              </w:rPr>
              <w:t xml:space="preserve"> 13 </w:t>
            </w:r>
            <w:r w:rsidRPr="00204FB3">
              <w:rPr>
                <w:lang w:val="en-AU" w:eastAsia="en-AU"/>
              </w:rPr>
              <w:t>(1.0%)</w:t>
            </w:r>
          </w:p>
        </w:tc>
        <w:tc>
          <w:tcPr>
            <w:tcW w:w="2551" w:type="dxa"/>
            <w:vAlign w:val="bottom"/>
          </w:tcPr>
          <w:p w14:paraId="543600F9" w14:textId="42C15194" w:rsidR="001C65EF" w:rsidRPr="00204FB3" w:rsidRDefault="00AB0B14" w:rsidP="00AB0B14">
            <w:pPr>
              <w:pStyle w:val="TblTextLeft"/>
              <w:rPr>
                <w:lang w:val="en-AU" w:eastAsia="en-AU"/>
              </w:rPr>
            </w:pPr>
            <w:r w:rsidRPr="00204FB3">
              <w:rPr>
                <w:lang w:val="en-AU" w:eastAsia="en-AU"/>
              </w:rPr>
              <w:tab/>
              <w:t>26</w:t>
            </w:r>
            <w:r w:rsidR="001C65EF" w:rsidRPr="00204FB3">
              <w:rPr>
                <w:lang w:val="en-AU" w:eastAsia="en-AU"/>
              </w:rPr>
              <w:t xml:space="preserve"> (1.1%)</w:t>
            </w:r>
          </w:p>
        </w:tc>
      </w:tr>
      <w:tr w:rsidR="001C65EF" w:rsidRPr="00204FB3" w14:paraId="281D6F42" w14:textId="77777777" w:rsidTr="00774E78">
        <w:trPr>
          <w:cantSplit/>
        </w:trPr>
        <w:tc>
          <w:tcPr>
            <w:tcW w:w="4253" w:type="dxa"/>
            <w:vAlign w:val="bottom"/>
          </w:tcPr>
          <w:p w14:paraId="6B2734F3" w14:textId="77777777" w:rsidR="001C65EF" w:rsidRPr="00204FB3" w:rsidRDefault="001C65EF" w:rsidP="00AB0B14">
            <w:pPr>
              <w:pStyle w:val="TblTextLeft"/>
              <w:rPr>
                <w:lang w:val="en-AU" w:eastAsia="en-AU"/>
              </w:rPr>
            </w:pPr>
            <w:r w:rsidRPr="00204FB3">
              <w:rPr>
                <w:lang w:val="en-AU" w:eastAsia="en-AU"/>
              </w:rPr>
              <w:t>Cellulitis</w:t>
            </w:r>
          </w:p>
        </w:tc>
        <w:tc>
          <w:tcPr>
            <w:tcW w:w="2693" w:type="dxa"/>
            <w:vAlign w:val="bottom"/>
          </w:tcPr>
          <w:p w14:paraId="5A275094" w14:textId="6C7E6C80" w:rsidR="001C65EF" w:rsidRPr="00204FB3" w:rsidRDefault="001C65EF" w:rsidP="00AB0B14">
            <w:pPr>
              <w:pStyle w:val="TblTextLeft"/>
              <w:rPr>
                <w:lang w:val="en-AU" w:eastAsia="en-AU"/>
              </w:rPr>
            </w:pPr>
            <w:r w:rsidRPr="00204FB3">
              <w:rPr>
                <w:lang w:val="en-AU" w:eastAsia="en-AU"/>
              </w:rPr>
              <w:tab/>
            </w:r>
            <w:r w:rsidR="00AB0B14" w:rsidRPr="00204FB3">
              <w:rPr>
                <w:lang w:val="en-AU" w:eastAsia="en-AU"/>
              </w:rPr>
              <w:t xml:space="preserve"> 12 </w:t>
            </w:r>
            <w:r w:rsidRPr="00204FB3">
              <w:rPr>
                <w:lang w:val="en-AU" w:eastAsia="en-AU"/>
              </w:rPr>
              <w:t>(0.9%)</w:t>
            </w:r>
          </w:p>
        </w:tc>
        <w:tc>
          <w:tcPr>
            <w:tcW w:w="2551" w:type="dxa"/>
            <w:vAlign w:val="bottom"/>
          </w:tcPr>
          <w:p w14:paraId="314B12CF" w14:textId="3A499DD2" w:rsidR="001C65EF" w:rsidRPr="00204FB3" w:rsidRDefault="00AB0B14" w:rsidP="00AB0B14">
            <w:pPr>
              <w:pStyle w:val="TblTextLeft"/>
              <w:rPr>
                <w:lang w:val="en-AU" w:eastAsia="en-AU"/>
              </w:rPr>
            </w:pPr>
            <w:r w:rsidRPr="00204FB3">
              <w:rPr>
                <w:lang w:val="en-AU" w:eastAsia="en-AU"/>
              </w:rPr>
              <w:tab/>
              <w:t>25</w:t>
            </w:r>
            <w:r w:rsidR="001C65EF" w:rsidRPr="00204FB3">
              <w:rPr>
                <w:lang w:val="en-AU" w:eastAsia="en-AU"/>
              </w:rPr>
              <w:t xml:space="preserve"> (1.0%)</w:t>
            </w:r>
          </w:p>
        </w:tc>
      </w:tr>
      <w:tr w:rsidR="001C65EF" w:rsidRPr="00204FB3" w14:paraId="71FFE97C" w14:textId="77777777" w:rsidTr="00774E78">
        <w:trPr>
          <w:cantSplit/>
        </w:trPr>
        <w:tc>
          <w:tcPr>
            <w:tcW w:w="4253" w:type="dxa"/>
            <w:vAlign w:val="bottom"/>
          </w:tcPr>
          <w:p w14:paraId="0C420B93" w14:textId="77777777" w:rsidR="001C65EF" w:rsidRPr="00204FB3" w:rsidRDefault="001C65EF" w:rsidP="00AB0B14">
            <w:pPr>
              <w:pStyle w:val="TblTextLeft"/>
              <w:rPr>
                <w:lang w:val="en-AU" w:eastAsia="en-AU"/>
              </w:rPr>
            </w:pPr>
            <w:r w:rsidRPr="00204FB3">
              <w:rPr>
                <w:lang w:val="en-AU" w:eastAsia="en-AU"/>
              </w:rPr>
              <w:t>Conjunctivitis</w:t>
            </w:r>
          </w:p>
        </w:tc>
        <w:tc>
          <w:tcPr>
            <w:tcW w:w="2693" w:type="dxa"/>
            <w:vAlign w:val="bottom"/>
          </w:tcPr>
          <w:p w14:paraId="5CC2BCA6" w14:textId="62F9DDE9" w:rsidR="001C65EF" w:rsidRPr="00204FB3" w:rsidRDefault="00AB0B14" w:rsidP="00AB0B14">
            <w:pPr>
              <w:pStyle w:val="TblTextLeft"/>
              <w:rPr>
                <w:lang w:val="en-AU" w:eastAsia="en-AU"/>
              </w:rPr>
            </w:pPr>
            <w:r w:rsidRPr="00204FB3">
              <w:rPr>
                <w:lang w:val="en-AU" w:eastAsia="en-AU"/>
              </w:rPr>
              <w:tab/>
              <w:t xml:space="preserve"> 11</w:t>
            </w:r>
            <w:r w:rsidR="001C65EF" w:rsidRPr="00204FB3">
              <w:rPr>
                <w:lang w:val="en-AU" w:eastAsia="en-AU"/>
              </w:rPr>
              <w:t xml:space="preserve"> (0.9%)</w:t>
            </w:r>
          </w:p>
        </w:tc>
        <w:tc>
          <w:tcPr>
            <w:tcW w:w="2551" w:type="dxa"/>
            <w:vAlign w:val="bottom"/>
          </w:tcPr>
          <w:p w14:paraId="35CC19A0" w14:textId="4B1314EE" w:rsidR="001C65EF" w:rsidRPr="00204FB3" w:rsidRDefault="00AB0B14" w:rsidP="00AB0B14">
            <w:pPr>
              <w:pStyle w:val="TblTextLeft"/>
              <w:rPr>
                <w:lang w:val="en-AU" w:eastAsia="en-AU"/>
              </w:rPr>
            </w:pPr>
            <w:r w:rsidRPr="00204FB3">
              <w:rPr>
                <w:lang w:val="en-AU" w:eastAsia="en-AU"/>
              </w:rPr>
              <w:tab/>
              <w:t>25</w:t>
            </w:r>
            <w:r w:rsidR="001C65EF" w:rsidRPr="00204FB3">
              <w:rPr>
                <w:lang w:val="en-AU" w:eastAsia="en-AU"/>
              </w:rPr>
              <w:t xml:space="preserve"> (1.0%)</w:t>
            </w:r>
          </w:p>
        </w:tc>
      </w:tr>
      <w:tr w:rsidR="001C65EF" w:rsidRPr="00204FB3" w14:paraId="080945E8" w14:textId="77777777" w:rsidTr="00774E78">
        <w:trPr>
          <w:cantSplit/>
        </w:trPr>
        <w:tc>
          <w:tcPr>
            <w:tcW w:w="4253" w:type="dxa"/>
            <w:vAlign w:val="bottom"/>
          </w:tcPr>
          <w:p w14:paraId="01AD3C80" w14:textId="77777777" w:rsidR="001C65EF" w:rsidRPr="00204FB3" w:rsidRDefault="001C65EF" w:rsidP="00AB0B14">
            <w:pPr>
              <w:pStyle w:val="TblTextLeft"/>
              <w:rPr>
                <w:lang w:val="en-AU" w:eastAsia="en-AU"/>
              </w:rPr>
            </w:pPr>
          </w:p>
        </w:tc>
        <w:tc>
          <w:tcPr>
            <w:tcW w:w="2693" w:type="dxa"/>
            <w:vAlign w:val="bottom"/>
          </w:tcPr>
          <w:p w14:paraId="6DF6B71D" w14:textId="77777777" w:rsidR="001C65EF" w:rsidRPr="00204FB3" w:rsidRDefault="001C65EF" w:rsidP="00AB0B14">
            <w:pPr>
              <w:pStyle w:val="TblTextLeft"/>
              <w:rPr>
                <w:lang w:val="en-AU" w:eastAsia="en-AU"/>
              </w:rPr>
            </w:pPr>
          </w:p>
        </w:tc>
        <w:tc>
          <w:tcPr>
            <w:tcW w:w="2551" w:type="dxa"/>
            <w:vAlign w:val="bottom"/>
          </w:tcPr>
          <w:p w14:paraId="2CDBD1B8" w14:textId="77777777" w:rsidR="001C65EF" w:rsidRPr="00204FB3" w:rsidRDefault="001C65EF" w:rsidP="00AB0B14">
            <w:pPr>
              <w:pStyle w:val="TblTextLeft"/>
              <w:rPr>
                <w:lang w:val="en-AU" w:eastAsia="en-AU"/>
              </w:rPr>
            </w:pPr>
          </w:p>
        </w:tc>
      </w:tr>
      <w:tr w:rsidR="001C65EF" w:rsidRPr="00204FB3" w14:paraId="128DD628" w14:textId="77777777" w:rsidTr="00774E78">
        <w:trPr>
          <w:cantSplit/>
        </w:trPr>
        <w:tc>
          <w:tcPr>
            <w:tcW w:w="4253" w:type="dxa"/>
            <w:vAlign w:val="bottom"/>
          </w:tcPr>
          <w:p w14:paraId="66CB8263" w14:textId="77777777" w:rsidR="001C65EF" w:rsidRPr="00204FB3" w:rsidRDefault="001C65EF" w:rsidP="00AB0B14">
            <w:pPr>
              <w:pStyle w:val="TblTextLeft"/>
              <w:rPr>
                <w:b/>
                <w:lang w:val="en-AU" w:eastAsia="en-AU"/>
              </w:rPr>
            </w:pPr>
            <w:r w:rsidRPr="00204FB3">
              <w:rPr>
                <w:b/>
                <w:lang w:val="en-AU" w:eastAsia="en-AU"/>
              </w:rPr>
              <w:t>Blood and lymphatic system disorders</w:t>
            </w:r>
          </w:p>
        </w:tc>
        <w:tc>
          <w:tcPr>
            <w:tcW w:w="2693" w:type="dxa"/>
            <w:vAlign w:val="bottom"/>
          </w:tcPr>
          <w:p w14:paraId="2855F725" w14:textId="77777777" w:rsidR="001C65EF" w:rsidRPr="00204FB3" w:rsidRDefault="001C65EF" w:rsidP="00AB0B14">
            <w:pPr>
              <w:pStyle w:val="TblTextLeft"/>
              <w:rPr>
                <w:lang w:val="en-AU" w:eastAsia="en-AU"/>
              </w:rPr>
            </w:pPr>
          </w:p>
        </w:tc>
        <w:tc>
          <w:tcPr>
            <w:tcW w:w="2551" w:type="dxa"/>
            <w:vAlign w:val="bottom"/>
          </w:tcPr>
          <w:p w14:paraId="04F6FE7E" w14:textId="77777777" w:rsidR="001C65EF" w:rsidRPr="00204FB3" w:rsidRDefault="001C65EF" w:rsidP="00AB0B14">
            <w:pPr>
              <w:pStyle w:val="TblTextLeft"/>
              <w:rPr>
                <w:lang w:val="en-AU" w:eastAsia="en-AU"/>
              </w:rPr>
            </w:pPr>
          </w:p>
        </w:tc>
      </w:tr>
      <w:tr w:rsidR="001C65EF" w:rsidRPr="00204FB3" w14:paraId="1EA1D8DC" w14:textId="77777777" w:rsidTr="00774E78">
        <w:trPr>
          <w:cantSplit/>
        </w:trPr>
        <w:tc>
          <w:tcPr>
            <w:tcW w:w="4253" w:type="dxa"/>
            <w:vAlign w:val="bottom"/>
          </w:tcPr>
          <w:p w14:paraId="665D80B7" w14:textId="77777777" w:rsidR="001C65EF" w:rsidRPr="00204FB3" w:rsidRDefault="001C65EF" w:rsidP="00AB0B14">
            <w:pPr>
              <w:pStyle w:val="TblTextLeft"/>
              <w:rPr>
                <w:lang w:val="en-AU" w:eastAsia="en-AU"/>
              </w:rPr>
            </w:pPr>
            <w:r w:rsidRPr="00204FB3">
              <w:rPr>
                <w:lang w:val="en-AU" w:eastAsia="en-AU"/>
              </w:rPr>
              <w:t>Anaemia</w:t>
            </w:r>
          </w:p>
        </w:tc>
        <w:tc>
          <w:tcPr>
            <w:tcW w:w="2693" w:type="dxa"/>
            <w:vAlign w:val="bottom"/>
          </w:tcPr>
          <w:p w14:paraId="2C1FD18F" w14:textId="6408D59C" w:rsidR="001C65EF" w:rsidRPr="00204FB3" w:rsidRDefault="001C65EF" w:rsidP="00AB0B14">
            <w:pPr>
              <w:pStyle w:val="TblTextLeft"/>
              <w:rPr>
                <w:lang w:val="en-AU" w:eastAsia="en-AU"/>
              </w:rPr>
            </w:pPr>
            <w:r w:rsidRPr="00204FB3">
              <w:rPr>
                <w:lang w:val="en-AU" w:eastAsia="en-AU"/>
              </w:rPr>
              <w:tab/>
            </w:r>
            <w:r w:rsidR="00AB0B14" w:rsidRPr="00204FB3">
              <w:rPr>
                <w:lang w:val="en-AU" w:eastAsia="en-AU"/>
              </w:rPr>
              <w:t xml:space="preserve"> 12 </w:t>
            </w:r>
            <w:r w:rsidRPr="00204FB3">
              <w:rPr>
                <w:lang w:val="en-AU" w:eastAsia="en-AU"/>
              </w:rPr>
              <w:t>(0.9%)</w:t>
            </w:r>
          </w:p>
        </w:tc>
        <w:tc>
          <w:tcPr>
            <w:tcW w:w="2551" w:type="dxa"/>
            <w:vAlign w:val="bottom"/>
          </w:tcPr>
          <w:p w14:paraId="5BB73610" w14:textId="6476273A" w:rsidR="001C65EF" w:rsidRPr="00204FB3" w:rsidRDefault="001C65EF" w:rsidP="00AB0B14">
            <w:pPr>
              <w:pStyle w:val="TblTextLeft"/>
              <w:rPr>
                <w:lang w:val="en-AU" w:eastAsia="en-AU"/>
              </w:rPr>
            </w:pPr>
            <w:r w:rsidRPr="00204FB3">
              <w:rPr>
                <w:lang w:val="en-AU" w:eastAsia="en-AU"/>
              </w:rPr>
              <w:tab/>
            </w:r>
            <w:r w:rsidR="002C02F2" w:rsidRPr="00204FB3">
              <w:rPr>
                <w:lang w:val="en-AU" w:eastAsia="en-AU"/>
              </w:rPr>
              <w:t xml:space="preserve"> 27 </w:t>
            </w:r>
            <w:r w:rsidRPr="00204FB3">
              <w:rPr>
                <w:lang w:val="en-AU" w:eastAsia="en-AU"/>
              </w:rPr>
              <w:t>(1.1%)</w:t>
            </w:r>
          </w:p>
        </w:tc>
      </w:tr>
      <w:tr w:rsidR="001C65EF" w:rsidRPr="00204FB3" w14:paraId="4AD29D6C" w14:textId="77777777" w:rsidTr="00774E78">
        <w:trPr>
          <w:cantSplit/>
        </w:trPr>
        <w:tc>
          <w:tcPr>
            <w:tcW w:w="4253" w:type="dxa"/>
            <w:vAlign w:val="bottom"/>
          </w:tcPr>
          <w:p w14:paraId="4209299E" w14:textId="77777777" w:rsidR="001C65EF" w:rsidRPr="00204FB3" w:rsidRDefault="001C65EF" w:rsidP="00AB0B14">
            <w:pPr>
              <w:pStyle w:val="TblTextLeft"/>
              <w:rPr>
                <w:lang w:val="en-AU" w:eastAsia="en-AU"/>
              </w:rPr>
            </w:pPr>
          </w:p>
        </w:tc>
        <w:tc>
          <w:tcPr>
            <w:tcW w:w="2693" w:type="dxa"/>
            <w:vAlign w:val="bottom"/>
          </w:tcPr>
          <w:p w14:paraId="748E66FD" w14:textId="77777777" w:rsidR="001C65EF" w:rsidRPr="00204FB3" w:rsidRDefault="001C65EF" w:rsidP="00AB0B14">
            <w:pPr>
              <w:pStyle w:val="TblTextLeft"/>
              <w:rPr>
                <w:lang w:val="en-AU" w:eastAsia="en-AU"/>
              </w:rPr>
            </w:pPr>
          </w:p>
        </w:tc>
        <w:tc>
          <w:tcPr>
            <w:tcW w:w="2551" w:type="dxa"/>
            <w:vAlign w:val="bottom"/>
          </w:tcPr>
          <w:p w14:paraId="1611FAE3" w14:textId="77777777" w:rsidR="001C65EF" w:rsidRPr="00204FB3" w:rsidRDefault="001C65EF" w:rsidP="00AB0B14">
            <w:pPr>
              <w:pStyle w:val="TblTextLeft"/>
              <w:rPr>
                <w:lang w:val="en-AU" w:eastAsia="en-AU"/>
              </w:rPr>
            </w:pPr>
          </w:p>
        </w:tc>
      </w:tr>
      <w:tr w:rsidR="001C65EF" w:rsidRPr="00204FB3" w14:paraId="75B19F63" w14:textId="77777777" w:rsidTr="00774E78">
        <w:trPr>
          <w:cantSplit/>
        </w:trPr>
        <w:tc>
          <w:tcPr>
            <w:tcW w:w="4253" w:type="dxa"/>
            <w:vAlign w:val="bottom"/>
          </w:tcPr>
          <w:p w14:paraId="0CEE129A" w14:textId="77777777" w:rsidR="001C65EF" w:rsidRPr="00204FB3" w:rsidRDefault="001C65EF" w:rsidP="00AB0B14">
            <w:pPr>
              <w:pStyle w:val="TblTextLeft"/>
              <w:rPr>
                <w:b/>
                <w:lang w:val="en-AU" w:eastAsia="en-AU"/>
              </w:rPr>
            </w:pPr>
            <w:r w:rsidRPr="00204FB3">
              <w:rPr>
                <w:b/>
                <w:lang w:val="en-AU" w:eastAsia="en-AU"/>
              </w:rPr>
              <w:t>Metabolism and nutrition disorders</w:t>
            </w:r>
          </w:p>
        </w:tc>
        <w:tc>
          <w:tcPr>
            <w:tcW w:w="2693" w:type="dxa"/>
            <w:vAlign w:val="bottom"/>
          </w:tcPr>
          <w:p w14:paraId="244C53AC" w14:textId="77777777" w:rsidR="001C65EF" w:rsidRPr="00204FB3" w:rsidRDefault="001C65EF" w:rsidP="00AB0B14">
            <w:pPr>
              <w:pStyle w:val="TblTextLeft"/>
              <w:rPr>
                <w:lang w:val="en-AU" w:eastAsia="en-AU"/>
              </w:rPr>
            </w:pPr>
          </w:p>
        </w:tc>
        <w:tc>
          <w:tcPr>
            <w:tcW w:w="2551" w:type="dxa"/>
            <w:vAlign w:val="bottom"/>
          </w:tcPr>
          <w:p w14:paraId="1F32AA07" w14:textId="77777777" w:rsidR="001C65EF" w:rsidRPr="00204FB3" w:rsidRDefault="001C65EF" w:rsidP="00AB0B14">
            <w:pPr>
              <w:pStyle w:val="TblTextLeft"/>
              <w:rPr>
                <w:lang w:val="en-AU" w:eastAsia="en-AU"/>
              </w:rPr>
            </w:pPr>
          </w:p>
        </w:tc>
      </w:tr>
      <w:tr w:rsidR="001C65EF" w:rsidRPr="00204FB3" w14:paraId="5F861435" w14:textId="77777777" w:rsidTr="00774E78">
        <w:trPr>
          <w:cantSplit/>
        </w:trPr>
        <w:tc>
          <w:tcPr>
            <w:tcW w:w="4253" w:type="dxa"/>
            <w:vAlign w:val="bottom"/>
          </w:tcPr>
          <w:p w14:paraId="3A3C98CB" w14:textId="77777777" w:rsidR="001C65EF" w:rsidRPr="00204FB3" w:rsidRDefault="001C65EF" w:rsidP="00AB0B14">
            <w:pPr>
              <w:pStyle w:val="TblTextLeft"/>
              <w:rPr>
                <w:lang w:val="en-AU" w:eastAsia="en-AU"/>
              </w:rPr>
            </w:pPr>
            <w:r w:rsidRPr="00204FB3">
              <w:rPr>
                <w:lang w:val="en-AU" w:eastAsia="en-AU"/>
              </w:rPr>
              <w:t>Diabetes mellitus</w:t>
            </w:r>
          </w:p>
        </w:tc>
        <w:tc>
          <w:tcPr>
            <w:tcW w:w="2693" w:type="dxa"/>
            <w:vAlign w:val="bottom"/>
          </w:tcPr>
          <w:p w14:paraId="41BE7917" w14:textId="2C7C2119" w:rsidR="001C65EF" w:rsidRPr="00204FB3" w:rsidRDefault="002C02F2" w:rsidP="00AB0B14">
            <w:pPr>
              <w:pStyle w:val="TblTextLeft"/>
              <w:rPr>
                <w:lang w:val="en-AU" w:eastAsia="en-AU"/>
              </w:rPr>
            </w:pPr>
            <w:r w:rsidRPr="00204FB3">
              <w:rPr>
                <w:lang w:val="en-AU" w:eastAsia="en-AU"/>
              </w:rPr>
              <w:tab/>
              <w:t>13</w:t>
            </w:r>
            <w:r w:rsidR="001C65EF" w:rsidRPr="00204FB3">
              <w:rPr>
                <w:lang w:val="en-AU" w:eastAsia="en-AU"/>
              </w:rPr>
              <w:t xml:space="preserve"> (1.0%)</w:t>
            </w:r>
          </w:p>
        </w:tc>
        <w:tc>
          <w:tcPr>
            <w:tcW w:w="2551" w:type="dxa"/>
            <w:vAlign w:val="bottom"/>
          </w:tcPr>
          <w:p w14:paraId="43383CEC" w14:textId="6D4323D2" w:rsidR="001C65EF" w:rsidRPr="00204FB3" w:rsidRDefault="001C65EF" w:rsidP="00AB0B14">
            <w:pPr>
              <w:pStyle w:val="TblTextLeft"/>
              <w:rPr>
                <w:lang w:val="en-AU" w:eastAsia="en-AU"/>
              </w:rPr>
            </w:pPr>
            <w:r w:rsidRPr="00204FB3">
              <w:rPr>
                <w:lang w:val="en-AU" w:eastAsia="en-AU"/>
              </w:rPr>
              <w:tab/>
            </w:r>
            <w:r w:rsidR="002C02F2" w:rsidRPr="00204FB3">
              <w:rPr>
                <w:lang w:val="en-AU" w:eastAsia="en-AU"/>
              </w:rPr>
              <w:t xml:space="preserve"> 34 </w:t>
            </w:r>
            <w:r w:rsidRPr="00204FB3">
              <w:rPr>
                <w:lang w:val="en-AU" w:eastAsia="en-AU"/>
              </w:rPr>
              <w:t>(1.4%)</w:t>
            </w:r>
          </w:p>
        </w:tc>
      </w:tr>
      <w:tr w:rsidR="001C65EF" w:rsidRPr="00204FB3" w14:paraId="4B8822C7" w14:textId="77777777" w:rsidTr="00774E78">
        <w:trPr>
          <w:cantSplit/>
        </w:trPr>
        <w:tc>
          <w:tcPr>
            <w:tcW w:w="4253" w:type="dxa"/>
            <w:vAlign w:val="bottom"/>
          </w:tcPr>
          <w:p w14:paraId="35C2135D" w14:textId="77777777" w:rsidR="001C65EF" w:rsidRPr="00204FB3" w:rsidRDefault="001C65EF" w:rsidP="00AB0B14">
            <w:pPr>
              <w:pStyle w:val="TblTextLeft"/>
              <w:rPr>
                <w:lang w:val="en-AU" w:eastAsia="en-AU"/>
              </w:rPr>
            </w:pPr>
            <w:r w:rsidRPr="00204FB3">
              <w:rPr>
                <w:lang w:val="en-AU" w:eastAsia="en-AU"/>
              </w:rPr>
              <w:t>Gout</w:t>
            </w:r>
          </w:p>
        </w:tc>
        <w:tc>
          <w:tcPr>
            <w:tcW w:w="2693" w:type="dxa"/>
            <w:vAlign w:val="bottom"/>
          </w:tcPr>
          <w:p w14:paraId="716DB604" w14:textId="0B978524" w:rsidR="001C65EF" w:rsidRPr="00204FB3" w:rsidRDefault="002C02F2" w:rsidP="00AB0B14">
            <w:pPr>
              <w:pStyle w:val="TblTextLeft"/>
              <w:rPr>
                <w:lang w:val="en-AU" w:eastAsia="en-AU"/>
              </w:rPr>
            </w:pPr>
            <w:r w:rsidRPr="00204FB3">
              <w:rPr>
                <w:lang w:val="en-AU" w:eastAsia="en-AU"/>
              </w:rPr>
              <w:tab/>
              <w:t>13</w:t>
            </w:r>
            <w:r w:rsidR="001C65EF" w:rsidRPr="00204FB3">
              <w:rPr>
                <w:lang w:val="en-AU" w:eastAsia="en-AU"/>
              </w:rPr>
              <w:t>(1.0%)</w:t>
            </w:r>
          </w:p>
        </w:tc>
        <w:tc>
          <w:tcPr>
            <w:tcW w:w="2551" w:type="dxa"/>
            <w:vAlign w:val="bottom"/>
          </w:tcPr>
          <w:p w14:paraId="18ECB27D" w14:textId="08632C07" w:rsidR="001C65EF" w:rsidRPr="00204FB3" w:rsidRDefault="001C65EF" w:rsidP="00AB0B14">
            <w:pPr>
              <w:pStyle w:val="TblTextLeft"/>
              <w:rPr>
                <w:lang w:val="en-AU" w:eastAsia="en-AU"/>
              </w:rPr>
            </w:pPr>
            <w:r w:rsidRPr="00204FB3">
              <w:rPr>
                <w:lang w:val="en-AU" w:eastAsia="en-AU"/>
              </w:rPr>
              <w:tab/>
            </w:r>
            <w:r w:rsidR="002C02F2" w:rsidRPr="00204FB3">
              <w:rPr>
                <w:lang w:val="en-AU" w:eastAsia="en-AU"/>
              </w:rPr>
              <w:t xml:space="preserve"> 33 </w:t>
            </w:r>
            <w:r w:rsidRPr="00204FB3">
              <w:rPr>
                <w:lang w:val="en-AU" w:eastAsia="en-AU"/>
              </w:rPr>
              <w:t>(1.3%)</w:t>
            </w:r>
          </w:p>
        </w:tc>
      </w:tr>
      <w:tr w:rsidR="001C65EF" w:rsidRPr="00204FB3" w14:paraId="4D4301BB" w14:textId="77777777" w:rsidTr="00774E78">
        <w:trPr>
          <w:cantSplit/>
        </w:trPr>
        <w:tc>
          <w:tcPr>
            <w:tcW w:w="4253" w:type="dxa"/>
            <w:vAlign w:val="bottom"/>
          </w:tcPr>
          <w:p w14:paraId="40AAFD11" w14:textId="77777777" w:rsidR="001C65EF" w:rsidRPr="00204FB3" w:rsidRDefault="001C65EF" w:rsidP="00AB0B14">
            <w:pPr>
              <w:pStyle w:val="TblTextLeft"/>
              <w:rPr>
                <w:lang w:val="en-AU" w:eastAsia="en-AU"/>
              </w:rPr>
            </w:pPr>
          </w:p>
        </w:tc>
        <w:tc>
          <w:tcPr>
            <w:tcW w:w="2693" w:type="dxa"/>
            <w:vAlign w:val="bottom"/>
          </w:tcPr>
          <w:p w14:paraId="7ABB47AB" w14:textId="77777777" w:rsidR="001C65EF" w:rsidRPr="00204FB3" w:rsidRDefault="001C65EF" w:rsidP="00AB0B14">
            <w:pPr>
              <w:pStyle w:val="TblTextLeft"/>
              <w:rPr>
                <w:lang w:val="en-AU" w:eastAsia="en-AU"/>
              </w:rPr>
            </w:pPr>
          </w:p>
        </w:tc>
        <w:tc>
          <w:tcPr>
            <w:tcW w:w="2551" w:type="dxa"/>
            <w:vAlign w:val="bottom"/>
          </w:tcPr>
          <w:p w14:paraId="7DB96ACC" w14:textId="77777777" w:rsidR="001C65EF" w:rsidRPr="00204FB3" w:rsidRDefault="001C65EF" w:rsidP="00AB0B14">
            <w:pPr>
              <w:pStyle w:val="TblTextLeft"/>
              <w:rPr>
                <w:lang w:val="en-AU" w:eastAsia="en-AU"/>
              </w:rPr>
            </w:pPr>
          </w:p>
        </w:tc>
      </w:tr>
      <w:tr w:rsidR="001C65EF" w:rsidRPr="00204FB3" w14:paraId="7ABFC0B3" w14:textId="77777777" w:rsidTr="00774E78">
        <w:trPr>
          <w:cantSplit/>
        </w:trPr>
        <w:tc>
          <w:tcPr>
            <w:tcW w:w="4253" w:type="dxa"/>
            <w:vAlign w:val="bottom"/>
          </w:tcPr>
          <w:p w14:paraId="1EA632E2" w14:textId="77777777" w:rsidR="001C65EF" w:rsidRPr="00204FB3" w:rsidRDefault="001C65EF" w:rsidP="00AB0B14">
            <w:pPr>
              <w:pStyle w:val="TblTextLeft"/>
              <w:rPr>
                <w:b/>
                <w:lang w:val="en-AU" w:eastAsia="en-AU"/>
              </w:rPr>
            </w:pPr>
            <w:r w:rsidRPr="00204FB3">
              <w:rPr>
                <w:b/>
                <w:lang w:val="en-AU" w:eastAsia="en-AU"/>
              </w:rPr>
              <w:t>Nervous system disorders</w:t>
            </w:r>
          </w:p>
        </w:tc>
        <w:tc>
          <w:tcPr>
            <w:tcW w:w="2693" w:type="dxa"/>
            <w:vAlign w:val="bottom"/>
          </w:tcPr>
          <w:p w14:paraId="68FADAAC" w14:textId="77777777" w:rsidR="001C65EF" w:rsidRPr="00204FB3" w:rsidRDefault="001C65EF" w:rsidP="00AB0B14">
            <w:pPr>
              <w:pStyle w:val="TblTextLeft"/>
              <w:rPr>
                <w:lang w:val="en-AU" w:eastAsia="en-AU"/>
              </w:rPr>
            </w:pPr>
          </w:p>
        </w:tc>
        <w:tc>
          <w:tcPr>
            <w:tcW w:w="2551" w:type="dxa"/>
            <w:vAlign w:val="bottom"/>
          </w:tcPr>
          <w:p w14:paraId="7AA3D8C4" w14:textId="77777777" w:rsidR="001C65EF" w:rsidRPr="00204FB3" w:rsidRDefault="001C65EF" w:rsidP="00AB0B14">
            <w:pPr>
              <w:pStyle w:val="TblTextLeft"/>
              <w:rPr>
                <w:lang w:val="en-AU" w:eastAsia="en-AU"/>
              </w:rPr>
            </w:pPr>
          </w:p>
        </w:tc>
      </w:tr>
      <w:tr w:rsidR="001C65EF" w:rsidRPr="00204FB3" w14:paraId="7D8583B0" w14:textId="77777777" w:rsidTr="00774E78">
        <w:trPr>
          <w:cantSplit/>
        </w:trPr>
        <w:tc>
          <w:tcPr>
            <w:tcW w:w="4253" w:type="dxa"/>
            <w:vAlign w:val="bottom"/>
          </w:tcPr>
          <w:p w14:paraId="295089A4" w14:textId="77777777" w:rsidR="001C65EF" w:rsidRPr="00204FB3" w:rsidRDefault="001C65EF" w:rsidP="00AB0B14">
            <w:pPr>
              <w:pStyle w:val="TblTextLeft"/>
              <w:rPr>
                <w:lang w:val="en-AU" w:eastAsia="en-AU"/>
              </w:rPr>
            </w:pPr>
            <w:r w:rsidRPr="00204FB3">
              <w:rPr>
                <w:lang w:val="en-AU" w:eastAsia="en-AU"/>
              </w:rPr>
              <w:t>Paraesthesia</w:t>
            </w:r>
          </w:p>
        </w:tc>
        <w:tc>
          <w:tcPr>
            <w:tcW w:w="2693" w:type="dxa"/>
            <w:vAlign w:val="bottom"/>
          </w:tcPr>
          <w:p w14:paraId="11BD20BD" w14:textId="59DE4E4B" w:rsidR="001C65EF" w:rsidRPr="00204FB3" w:rsidRDefault="002C02F2" w:rsidP="00AB0B14">
            <w:pPr>
              <w:pStyle w:val="TblTextLeft"/>
              <w:rPr>
                <w:lang w:val="en-AU" w:eastAsia="en-AU"/>
              </w:rPr>
            </w:pPr>
            <w:r w:rsidRPr="00204FB3">
              <w:rPr>
                <w:lang w:val="en-AU" w:eastAsia="en-AU"/>
              </w:rPr>
              <w:tab/>
              <w:t>11</w:t>
            </w:r>
            <w:r w:rsidR="001C65EF" w:rsidRPr="00204FB3">
              <w:rPr>
                <w:lang w:val="en-AU" w:eastAsia="en-AU"/>
              </w:rPr>
              <w:t xml:space="preserve"> (0.9%)</w:t>
            </w:r>
          </w:p>
        </w:tc>
        <w:tc>
          <w:tcPr>
            <w:tcW w:w="2551" w:type="dxa"/>
            <w:vAlign w:val="bottom"/>
          </w:tcPr>
          <w:p w14:paraId="1F9DA311" w14:textId="1CC02827" w:rsidR="001C65EF" w:rsidRPr="00204FB3" w:rsidRDefault="001C65EF" w:rsidP="00AB0B14">
            <w:pPr>
              <w:pStyle w:val="TblTextLeft"/>
              <w:rPr>
                <w:lang w:val="en-AU" w:eastAsia="en-AU"/>
              </w:rPr>
            </w:pPr>
            <w:r w:rsidRPr="00204FB3">
              <w:rPr>
                <w:lang w:val="en-AU" w:eastAsia="en-AU"/>
              </w:rPr>
              <w:tab/>
            </w:r>
            <w:r w:rsidR="002C02F2" w:rsidRPr="00204FB3">
              <w:rPr>
                <w:lang w:val="en-AU" w:eastAsia="en-AU"/>
              </w:rPr>
              <w:t xml:space="preserve"> 28</w:t>
            </w:r>
            <w:r w:rsidRPr="00204FB3">
              <w:rPr>
                <w:lang w:val="en-AU" w:eastAsia="en-AU"/>
              </w:rPr>
              <w:t xml:space="preserve"> (1.1%)</w:t>
            </w:r>
          </w:p>
        </w:tc>
      </w:tr>
      <w:tr w:rsidR="001C65EF" w:rsidRPr="00204FB3" w14:paraId="1EB9C03F" w14:textId="77777777" w:rsidTr="00774E78">
        <w:trPr>
          <w:cantSplit/>
        </w:trPr>
        <w:tc>
          <w:tcPr>
            <w:tcW w:w="4253" w:type="dxa"/>
            <w:vAlign w:val="bottom"/>
          </w:tcPr>
          <w:p w14:paraId="0619DFD7" w14:textId="77777777" w:rsidR="001C65EF" w:rsidRPr="00204FB3" w:rsidRDefault="001C65EF" w:rsidP="00AB0B14">
            <w:pPr>
              <w:pStyle w:val="TblTextLeft"/>
              <w:rPr>
                <w:lang w:val="en-AU" w:eastAsia="en-AU"/>
              </w:rPr>
            </w:pPr>
          </w:p>
        </w:tc>
        <w:tc>
          <w:tcPr>
            <w:tcW w:w="2693" w:type="dxa"/>
            <w:vAlign w:val="bottom"/>
          </w:tcPr>
          <w:p w14:paraId="29ACF9F9" w14:textId="77777777" w:rsidR="001C65EF" w:rsidRPr="00204FB3" w:rsidRDefault="001C65EF" w:rsidP="00AB0B14">
            <w:pPr>
              <w:pStyle w:val="TblTextLeft"/>
              <w:rPr>
                <w:lang w:val="en-AU" w:eastAsia="en-AU"/>
              </w:rPr>
            </w:pPr>
          </w:p>
        </w:tc>
        <w:tc>
          <w:tcPr>
            <w:tcW w:w="2551" w:type="dxa"/>
            <w:vAlign w:val="bottom"/>
          </w:tcPr>
          <w:p w14:paraId="6BFE8824" w14:textId="77777777" w:rsidR="001C65EF" w:rsidRPr="00204FB3" w:rsidRDefault="001C65EF" w:rsidP="00AB0B14">
            <w:pPr>
              <w:pStyle w:val="TblTextLeft"/>
              <w:rPr>
                <w:lang w:val="en-AU" w:eastAsia="en-AU"/>
              </w:rPr>
            </w:pPr>
          </w:p>
        </w:tc>
      </w:tr>
      <w:tr w:rsidR="001C65EF" w:rsidRPr="00204FB3" w14:paraId="0696CC7B" w14:textId="77777777" w:rsidTr="00774E78">
        <w:trPr>
          <w:cantSplit/>
        </w:trPr>
        <w:tc>
          <w:tcPr>
            <w:tcW w:w="4253" w:type="dxa"/>
            <w:vAlign w:val="bottom"/>
          </w:tcPr>
          <w:p w14:paraId="5710EB68" w14:textId="77777777" w:rsidR="001C65EF" w:rsidRPr="00204FB3" w:rsidRDefault="001C65EF" w:rsidP="00AB0B14">
            <w:pPr>
              <w:pStyle w:val="TblTextLeft"/>
              <w:rPr>
                <w:b/>
                <w:lang w:val="en-AU" w:eastAsia="en-AU"/>
              </w:rPr>
            </w:pPr>
            <w:r w:rsidRPr="00204FB3">
              <w:rPr>
                <w:b/>
                <w:lang w:val="en-AU" w:eastAsia="en-AU"/>
              </w:rPr>
              <w:t>Cardiac disorders</w:t>
            </w:r>
          </w:p>
        </w:tc>
        <w:tc>
          <w:tcPr>
            <w:tcW w:w="2693" w:type="dxa"/>
            <w:vAlign w:val="bottom"/>
          </w:tcPr>
          <w:p w14:paraId="3F23C94D" w14:textId="77777777" w:rsidR="001C65EF" w:rsidRPr="00204FB3" w:rsidRDefault="001C65EF" w:rsidP="00AB0B14">
            <w:pPr>
              <w:pStyle w:val="TblTextLeft"/>
              <w:rPr>
                <w:lang w:val="en-AU" w:eastAsia="en-AU"/>
              </w:rPr>
            </w:pPr>
          </w:p>
        </w:tc>
        <w:tc>
          <w:tcPr>
            <w:tcW w:w="2551" w:type="dxa"/>
            <w:vAlign w:val="bottom"/>
          </w:tcPr>
          <w:p w14:paraId="5AEE649D" w14:textId="77777777" w:rsidR="001C65EF" w:rsidRPr="00204FB3" w:rsidRDefault="001C65EF" w:rsidP="00AB0B14">
            <w:pPr>
              <w:pStyle w:val="TblTextLeft"/>
              <w:rPr>
                <w:lang w:val="en-AU" w:eastAsia="en-AU"/>
              </w:rPr>
            </w:pPr>
          </w:p>
        </w:tc>
      </w:tr>
      <w:tr w:rsidR="001C65EF" w:rsidRPr="00204FB3" w14:paraId="580D1ACE" w14:textId="77777777" w:rsidTr="00774E78">
        <w:trPr>
          <w:cantSplit/>
        </w:trPr>
        <w:tc>
          <w:tcPr>
            <w:tcW w:w="4253" w:type="dxa"/>
            <w:vAlign w:val="bottom"/>
          </w:tcPr>
          <w:p w14:paraId="622F3E4F" w14:textId="77777777" w:rsidR="001C65EF" w:rsidRPr="00204FB3" w:rsidRDefault="001C65EF" w:rsidP="00AB0B14">
            <w:pPr>
              <w:pStyle w:val="TblTextLeft"/>
              <w:rPr>
                <w:lang w:val="en-AU" w:eastAsia="en-AU"/>
              </w:rPr>
            </w:pPr>
            <w:r w:rsidRPr="00204FB3">
              <w:rPr>
                <w:lang w:val="en-AU" w:eastAsia="en-AU"/>
              </w:rPr>
              <w:t>Angina unstable</w:t>
            </w:r>
          </w:p>
        </w:tc>
        <w:tc>
          <w:tcPr>
            <w:tcW w:w="2693" w:type="dxa"/>
            <w:vAlign w:val="bottom"/>
          </w:tcPr>
          <w:p w14:paraId="49763C4F" w14:textId="6924C219" w:rsidR="001C65EF" w:rsidRPr="00204FB3" w:rsidRDefault="002C02F2" w:rsidP="00AB0B14">
            <w:pPr>
              <w:pStyle w:val="TblTextLeft"/>
              <w:rPr>
                <w:lang w:val="en-AU" w:eastAsia="en-AU"/>
              </w:rPr>
            </w:pPr>
            <w:r w:rsidRPr="00204FB3">
              <w:rPr>
                <w:lang w:val="en-AU" w:eastAsia="en-AU"/>
              </w:rPr>
              <w:tab/>
              <w:t>13</w:t>
            </w:r>
            <w:r w:rsidR="001C65EF" w:rsidRPr="00204FB3">
              <w:rPr>
                <w:lang w:val="en-AU" w:eastAsia="en-AU"/>
              </w:rPr>
              <w:t xml:space="preserve"> (1.0%)</w:t>
            </w:r>
          </w:p>
        </w:tc>
        <w:tc>
          <w:tcPr>
            <w:tcW w:w="2551" w:type="dxa"/>
            <w:vAlign w:val="bottom"/>
          </w:tcPr>
          <w:p w14:paraId="57F473D8" w14:textId="7FBAA1A9" w:rsidR="001C65EF" w:rsidRPr="00204FB3" w:rsidRDefault="002C02F2" w:rsidP="00AB0B14">
            <w:pPr>
              <w:pStyle w:val="TblTextLeft"/>
              <w:rPr>
                <w:lang w:val="en-AU" w:eastAsia="en-AU"/>
              </w:rPr>
            </w:pPr>
            <w:r w:rsidRPr="00204FB3">
              <w:rPr>
                <w:lang w:val="en-AU" w:eastAsia="en-AU"/>
              </w:rPr>
              <w:tab/>
              <w:t xml:space="preserve"> 37</w:t>
            </w:r>
            <w:r w:rsidR="001C65EF" w:rsidRPr="00204FB3">
              <w:rPr>
                <w:lang w:val="en-AU" w:eastAsia="en-AU"/>
              </w:rPr>
              <w:t xml:space="preserve"> (1.5%)</w:t>
            </w:r>
          </w:p>
        </w:tc>
      </w:tr>
      <w:tr w:rsidR="001C65EF" w:rsidRPr="00204FB3" w14:paraId="379E479E" w14:textId="77777777" w:rsidTr="00774E78">
        <w:trPr>
          <w:cantSplit/>
        </w:trPr>
        <w:tc>
          <w:tcPr>
            <w:tcW w:w="4253" w:type="dxa"/>
            <w:vAlign w:val="bottom"/>
          </w:tcPr>
          <w:p w14:paraId="09CA3BE9" w14:textId="77777777" w:rsidR="001C65EF" w:rsidRPr="00204FB3" w:rsidRDefault="001C65EF" w:rsidP="00AB0B14">
            <w:pPr>
              <w:pStyle w:val="TblTextLeft"/>
              <w:rPr>
                <w:lang w:val="en-AU" w:eastAsia="en-AU"/>
              </w:rPr>
            </w:pPr>
          </w:p>
        </w:tc>
        <w:tc>
          <w:tcPr>
            <w:tcW w:w="2693" w:type="dxa"/>
            <w:vAlign w:val="bottom"/>
          </w:tcPr>
          <w:p w14:paraId="2E6922C7" w14:textId="77777777" w:rsidR="001C65EF" w:rsidRPr="00204FB3" w:rsidRDefault="001C65EF" w:rsidP="00AB0B14">
            <w:pPr>
              <w:pStyle w:val="TblTextLeft"/>
              <w:rPr>
                <w:lang w:val="en-AU" w:eastAsia="en-AU"/>
              </w:rPr>
            </w:pPr>
          </w:p>
        </w:tc>
        <w:tc>
          <w:tcPr>
            <w:tcW w:w="2551" w:type="dxa"/>
            <w:vAlign w:val="bottom"/>
          </w:tcPr>
          <w:p w14:paraId="1267EA90" w14:textId="77777777" w:rsidR="001C65EF" w:rsidRPr="00204FB3" w:rsidRDefault="001C65EF" w:rsidP="00AB0B14">
            <w:pPr>
              <w:pStyle w:val="TblTextLeft"/>
              <w:rPr>
                <w:lang w:val="en-AU" w:eastAsia="en-AU"/>
              </w:rPr>
            </w:pPr>
          </w:p>
        </w:tc>
      </w:tr>
      <w:tr w:rsidR="001C65EF" w:rsidRPr="00204FB3" w14:paraId="06466CEA" w14:textId="77777777" w:rsidTr="00774E78">
        <w:trPr>
          <w:cantSplit/>
        </w:trPr>
        <w:tc>
          <w:tcPr>
            <w:tcW w:w="4253" w:type="dxa"/>
            <w:vAlign w:val="bottom"/>
          </w:tcPr>
          <w:p w14:paraId="4E2E3FCE" w14:textId="77777777" w:rsidR="001C65EF" w:rsidRPr="00204FB3" w:rsidRDefault="001C65EF" w:rsidP="00AB0B14">
            <w:pPr>
              <w:pStyle w:val="TblTextLeft"/>
              <w:rPr>
                <w:b/>
                <w:lang w:val="en-AU" w:eastAsia="en-AU"/>
              </w:rPr>
            </w:pPr>
            <w:r w:rsidRPr="00204FB3">
              <w:rPr>
                <w:b/>
                <w:lang w:val="en-AU" w:eastAsia="en-AU"/>
              </w:rPr>
              <w:t>Respiratory, thoracic and mediastinal disorders</w:t>
            </w:r>
          </w:p>
        </w:tc>
        <w:tc>
          <w:tcPr>
            <w:tcW w:w="2693" w:type="dxa"/>
            <w:vAlign w:val="bottom"/>
          </w:tcPr>
          <w:p w14:paraId="5F529FA5" w14:textId="77777777" w:rsidR="001C65EF" w:rsidRPr="00204FB3" w:rsidRDefault="001C65EF" w:rsidP="00AB0B14">
            <w:pPr>
              <w:pStyle w:val="TblTextLeft"/>
              <w:rPr>
                <w:lang w:val="en-AU" w:eastAsia="en-AU"/>
              </w:rPr>
            </w:pPr>
          </w:p>
        </w:tc>
        <w:tc>
          <w:tcPr>
            <w:tcW w:w="2551" w:type="dxa"/>
            <w:vAlign w:val="bottom"/>
          </w:tcPr>
          <w:p w14:paraId="7FC366A9" w14:textId="77777777" w:rsidR="001C65EF" w:rsidRPr="00204FB3" w:rsidRDefault="001C65EF" w:rsidP="00AB0B14">
            <w:pPr>
              <w:pStyle w:val="TblTextLeft"/>
              <w:rPr>
                <w:lang w:val="en-AU" w:eastAsia="en-AU"/>
              </w:rPr>
            </w:pPr>
          </w:p>
        </w:tc>
      </w:tr>
      <w:tr w:rsidR="001C65EF" w:rsidRPr="00204FB3" w14:paraId="582634BB" w14:textId="77777777" w:rsidTr="00774E78">
        <w:trPr>
          <w:cantSplit/>
        </w:trPr>
        <w:tc>
          <w:tcPr>
            <w:tcW w:w="4253" w:type="dxa"/>
            <w:vAlign w:val="bottom"/>
          </w:tcPr>
          <w:p w14:paraId="56CD08E0" w14:textId="77777777" w:rsidR="001C65EF" w:rsidRPr="00204FB3" w:rsidRDefault="001C65EF" w:rsidP="00AB0B14">
            <w:pPr>
              <w:pStyle w:val="TblTextLeft"/>
              <w:rPr>
                <w:lang w:val="en-AU" w:eastAsia="en-AU"/>
              </w:rPr>
            </w:pPr>
            <w:r w:rsidRPr="00204FB3">
              <w:rPr>
                <w:lang w:val="en-AU" w:eastAsia="en-AU"/>
              </w:rPr>
              <w:t>Cough</w:t>
            </w:r>
          </w:p>
        </w:tc>
        <w:tc>
          <w:tcPr>
            <w:tcW w:w="2693" w:type="dxa"/>
            <w:vAlign w:val="bottom"/>
          </w:tcPr>
          <w:p w14:paraId="12DA583D" w14:textId="5B165D45" w:rsidR="001C65EF" w:rsidRPr="00204FB3" w:rsidRDefault="002C02F2" w:rsidP="00AB0B14">
            <w:pPr>
              <w:pStyle w:val="TblTextLeft"/>
              <w:rPr>
                <w:lang w:val="en-AU" w:eastAsia="en-AU"/>
              </w:rPr>
            </w:pPr>
            <w:r w:rsidRPr="00204FB3">
              <w:rPr>
                <w:lang w:val="en-AU" w:eastAsia="en-AU"/>
              </w:rPr>
              <w:tab/>
              <w:t>31</w:t>
            </w:r>
            <w:r w:rsidR="001C65EF" w:rsidRPr="00204FB3">
              <w:rPr>
                <w:lang w:val="en-AU" w:eastAsia="en-AU"/>
              </w:rPr>
              <w:t xml:space="preserve"> (2.4%)</w:t>
            </w:r>
          </w:p>
        </w:tc>
        <w:tc>
          <w:tcPr>
            <w:tcW w:w="2551" w:type="dxa"/>
            <w:vAlign w:val="bottom"/>
          </w:tcPr>
          <w:p w14:paraId="5D77CDFC" w14:textId="736E32D5" w:rsidR="001C65EF" w:rsidRPr="00204FB3" w:rsidRDefault="002C02F2" w:rsidP="00AB0B14">
            <w:pPr>
              <w:pStyle w:val="TblTextLeft"/>
              <w:rPr>
                <w:lang w:val="en-AU" w:eastAsia="en-AU"/>
              </w:rPr>
            </w:pPr>
            <w:r w:rsidRPr="00204FB3">
              <w:rPr>
                <w:lang w:val="en-AU" w:eastAsia="en-AU"/>
              </w:rPr>
              <w:tab/>
              <w:t xml:space="preserve"> 68</w:t>
            </w:r>
            <w:r w:rsidR="001C65EF" w:rsidRPr="00204FB3">
              <w:rPr>
                <w:lang w:val="en-AU" w:eastAsia="en-AU"/>
              </w:rPr>
              <w:t xml:space="preserve"> (2.7%)</w:t>
            </w:r>
          </w:p>
        </w:tc>
      </w:tr>
      <w:tr w:rsidR="001C65EF" w:rsidRPr="00204FB3" w14:paraId="2CC322F7" w14:textId="77777777" w:rsidTr="00774E78">
        <w:trPr>
          <w:cantSplit/>
        </w:trPr>
        <w:tc>
          <w:tcPr>
            <w:tcW w:w="4253" w:type="dxa"/>
            <w:vAlign w:val="bottom"/>
          </w:tcPr>
          <w:p w14:paraId="4CC1D142" w14:textId="77777777" w:rsidR="001C65EF" w:rsidRPr="00204FB3" w:rsidRDefault="001C65EF" w:rsidP="00AB0B14">
            <w:pPr>
              <w:pStyle w:val="TblTextLeft"/>
              <w:rPr>
                <w:lang w:val="en-AU" w:eastAsia="en-AU"/>
              </w:rPr>
            </w:pPr>
            <w:r w:rsidRPr="00204FB3">
              <w:rPr>
                <w:lang w:val="en-AU" w:eastAsia="en-AU"/>
              </w:rPr>
              <w:t>Oropharyngeal pain</w:t>
            </w:r>
          </w:p>
        </w:tc>
        <w:tc>
          <w:tcPr>
            <w:tcW w:w="2693" w:type="dxa"/>
            <w:vAlign w:val="bottom"/>
          </w:tcPr>
          <w:p w14:paraId="4285BD53" w14:textId="4E2AA87F" w:rsidR="001C65EF" w:rsidRPr="00204FB3" w:rsidRDefault="002C02F2" w:rsidP="00AB0B14">
            <w:pPr>
              <w:pStyle w:val="TblTextLeft"/>
              <w:rPr>
                <w:lang w:val="en-AU" w:eastAsia="en-AU"/>
              </w:rPr>
            </w:pPr>
            <w:r w:rsidRPr="00204FB3">
              <w:rPr>
                <w:lang w:val="en-AU" w:eastAsia="en-AU"/>
              </w:rPr>
              <w:tab/>
              <w:t>8</w:t>
            </w:r>
            <w:r w:rsidR="001C65EF" w:rsidRPr="00204FB3">
              <w:rPr>
                <w:lang w:val="en-AU" w:eastAsia="en-AU"/>
              </w:rPr>
              <w:t xml:space="preserve"> (0.6%)</w:t>
            </w:r>
          </w:p>
        </w:tc>
        <w:tc>
          <w:tcPr>
            <w:tcW w:w="2551" w:type="dxa"/>
            <w:vAlign w:val="bottom"/>
          </w:tcPr>
          <w:p w14:paraId="1FBCE5A8" w14:textId="65A11AF9" w:rsidR="001C65EF" w:rsidRPr="00204FB3" w:rsidRDefault="002C02F2" w:rsidP="00AB0B14">
            <w:pPr>
              <w:pStyle w:val="TblTextLeft"/>
              <w:rPr>
                <w:lang w:val="en-AU" w:eastAsia="en-AU"/>
              </w:rPr>
            </w:pPr>
            <w:r w:rsidRPr="00204FB3">
              <w:rPr>
                <w:lang w:val="en-AU" w:eastAsia="en-AU"/>
              </w:rPr>
              <w:tab/>
              <w:t xml:space="preserve"> 30</w:t>
            </w:r>
            <w:r w:rsidR="001C65EF" w:rsidRPr="00204FB3">
              <w:rPr>
                <w:lang w:val="en-AU" w:eastAsia="en-AU"/>
              </w:rPr>
              <w:t xml:space="preserve"> (1.2%)</w:t>
            </w:r>
          </w:p>
        </w:tc>
      </w:tr>
      <w:tr w:rsidR="001C65EF" w:rsidRPr="00204FB3" w14:paraId="5144ECE1" w14:textId="77777777" w:rsidTr="00774E78">
        <w:trPr>
          <w:cantSplit/>
        </w:trPr>
        <w:tc>
          <w:tcPr>
            <w:tcW w:w="4253" w:type="dxa"/>
            <w:vAlign w:val="bottom"/>
          </w:tcPr>
          <w:p w14:paraId="55213BC4" w14:textId="77777777" w:rsidR="001C65EF" w:rsidRPr="00204FB3" w:rsidRDefault="001C65EF" w:rsidP="00AB0B14">
            <w:pPr>
              <w:pStyle w:val="TblTextLeft"/>
              <w:rPr>
                <w:lang w:val="en-AU" w:eastAsia="en-AU"/>
              </w:rPr>
            </w:pPr>
          </w:p>
        </w:tc>
        <w:tc>
          <w:tcPr>
            <w:tcW w:w="2693" w:type="dxa"/>
            <w:vAlign w:val="bottom"/>
          </w:tcPr>
          <w:p w14:paraId="76FEA677" w14:textId="77777777" w:rsidR="001C65EF" w:rsidRPr="00204FB3" w:rsidRDefault="001C65EF" w:rsidP="00AB0B14">
            <w:pPr>
              <w:pStyle w:val="TblTextLeft"/>
              <w:rPr>
                <w:lang w:val="en-AU" w:eastAsia="en-AU"/>
              </w:rPr>
            </w:pPr>
          </w:p>
        </w:tc>
        <w:tc>
          <w:tcPr>
            <w:tcW w:w="2551" w:type="dxa"/>
            <w:vAlign w:val="bottom"/>
          </w:tcPr>
          <w:p w14:paraId="22452263" w14:textId="77777777" w:rsidR="001C65EF" w:rsidRPr="00204FB3" w:rsidRDefault="001C65EF" w:rsidP="00AB0B14">
            <w:pPr>
              <w:pStyle w:val="TblTextLeft"/>
              <w:rPr>
                <w:lang w:val="en-AU" w:eastAsia="en-AU"/>
              </w:rPr>
            </w:pPr>
          </w:p>
        </w:tc>
      </w:tr>
      <w:tr w:rsidR="001C65EF" w:rsidRPr="00204FB3" w14:paraId="32DE7572" w14:textId="77777777" w:rsidTr="00774E78">
        <w:trPr>
          <w:cantSplit/>
        </w:trPr>
        <w:tc>
          <w:tcPr>
            <w:tcW w:w="4253" w:type="dxa"/>
            <w:vAlign w:val="bottom"/>
          </w:tcPr>
          <w:p w14:paraId="5C40676D" w14:textId="77777777" w:rsidR="001C65EF" w:rsidRPr="00204FB3" w:rsidRDefault="001C65EF" w:rsidP="00AB0B14">
            <w:pPr>
              <w:pStyle w:val="TblTextLeft"/>
              <w:rPr>
                <w:b/>
                <w:lang w:val="en-AU" w:eastAsia="en-AU"/>
              </w:rPr>
            </w:pPr>
            <w:r w:rsidRPr="00204FB3">
              <w:rPr>
                <w:b/>
                <w:lang w:val="en-AU" w:eastAsia="en-AU"/>
              </w:rPr>
              <w:t>Gastrointestinal disorders</w:t>
            </w:r>
          </w:p>
        </w:tc>
        <w:tc>
          <w:tcPr>
            <w:tcW w:w="2693" w:type="dxa"/>
            <w:vAlign w:val="bottom"/>
          </w:tcPr>
          <w:p w14:paraId="2DCCABD2" w14:textId="77777777" w:rsidR="001C65EF" w:rsidRPr="00204FB3" w:rsidRDefault="001C65EF" w:rsidP="00AB0B14">
            <w:pPr>
              <w:pStyle w:val="TblTextLeft"/>
              <w:rPr>
                <w:lang w:val="en-AU" w:eastAsia="en-AU"/>
              </w:rPr>
            </w:pPr>
          </w:p>
        </w:tc>
        <w:tc>
          <w:tcPr>
            <w:tcW w:w="2551" w:type="dxa"/>
            <w:vAlign w:val="bottom"/>
          </w:tcPr>
          <w:p w14:paraId="1FE86E5C" w14:textId="77777777" w:rsidR="001C65EF" w:rsidRPr="00204FB3" w:rsidRDefault="001C65EF" w:rsidP="00AB0B14">
            <w:pPr>
              <w:pStyle w:val="TblTextLeft"/>
              <w:rPr>
                <w:lang w:val="en-AU" w:eastAsia="en-AU"/>
              </w:rPr>
            </w:pPr>
          </w:p>
        </w:tc>
      </w:tr>
      <w:tr w:rsidR="001C65EF" w:rsidRPr="00204FB3" w14:paraId="69474104" w14:textId="77777777" w:rsidTr="00774E78">
        <w:trPr>
          <w:cantSplit/>
        </w:trPr>
        <w:tc>
          <w:tcPr>
            <w:tcW w:w="4253" w:type="dxa"/>
            <w:vAlign w:val="bottom"/>
          </w:tcPr>
          <w:p w14:paraId="1B4C6ED5" w14:textId="77777777" w:rsidR="001C65EF" w:rsidRPr="00204FB3" w:rsidRDefault="001C65EF" w:rsidP="00AB0B14">
            <w:pPr>
              <w:pStyle w:val="TblTextLeft"/>
              <w:rPr>
                <w:lang w:val="en-AU" w:eastAsia="en-AU"/>
              </w:rPr>
            </w:pPr>
            <w:r w:rsidRPr="00204FB3">
              <w:rPr>
                <w:lang w:val="en-AU" w:eastAsia="en-AU"/>
              </w:rPr>
              <w:t>Diarrhoea</w:t>
            </w:r>
          </w:p>
        </w:tc>
        <w:tc>
          <w:tcPr>
            <w:tcW w:w="2693" w:type="dxa"/>
            <w:vAlign w:val="bottom"/>
          </w:tcPr>
          <w:p w14:paraId="5E44A1BE" w14:textId="3E3482DB" w:rsidR="001C65EF" w:rsidRPr="00204FB3" w:rsidRDefault="001C65EF" w:rsidP="00AB0B14">
            <w:pPr>
              <w:pStyle w:val="TblTextLeft"/>
              <w:rPr>
                <w:lang w:val="en-AU" w:eastAsia="en-AU"/>
              </w:rPr>
            </w:pPr>
            <w:r w:rsidRPr="00204FB3">
              <w:rPr>
                <w:lang w:val="en-AU" w:eastAsia="en-AU"/>
              </w:rPr>
              <w:tab/>
            </w:r>
            <w:r w:rsidR="002C02F2" w:rsidRPr="00204FB3">
              <w:rPr>
                <w:lang w:val="en-AU" w:eastAsia="en-AU"/>
              </w:rPr>
              <w:t xml:space="preserve"> 61</w:t>
            </w:r>
            <w:r w:rsidRPr="00204FB3">
              <w:rPr>
                <w:lang w:val="en-AU" w:eastAsia="en-AU"/>
              </w:rPr>
              <w:t xml:space="preserve"> (4.8%)</w:t>
            </w:r>
          </w:p>
        </w:tc>
        <w:tc>
          <w:tcPr>
            <w:tcW w:w="2551" w:type="dxa"/>
            <w:vAlign w:val="bottom"/>
          </w:tcPr>
          <w:p w14:paraId="09FDD0FD" w14:textId="4B2D578A" w:rsidR="001C65EF" w:rsidRPr="00204FB3" w:rsidRDefault="001C65EF" w:rsidP="002C02F2">
            <w:pPr>
              <w:pStyle w:val="TblTextLeft"/>
              <w:rPr>
                <w:lang w:val="en-AU" w:eastAsia="en-AU"/>
              </w:rPr>
            </w:pPr>
            <w:r w:rsidRPr="00204FB3">
              <w:rPr>
                <w:lang w:val="en-AU" w:eastAsia="en-AU"/>
              </w:rPr>
              <w:tab/>
            </w:r>
            <w:r w:rsidR="002C02F2" w:rsidRPr="00204FB3">
              <w:rPr>
                <w:lang w:val="en-AU" w:eastAsia="en-AU"/>
              </w:rPr>
              <w:t xml:space="preserve"> 128</w:t>
            </w:r>
            <w:r w:rsidRPr="00204FB3">
              <w:rPr>
                <w:lang w:val="en-AU" w:eastAsia="en-AU"/>
              </w:rPr>
              <w:t xml:space="preserve"> (5.2%)</w:t>
            </w:r>
          </w:p>
        </w:tc>
      </w:tr>
      <w:tr w:rsidR="001C65EF" w:rsidRPr="00204FB3" w14:paraId="25327C12" w14:textId="77777777" w:rsidTr="00774E78">
        <w:trPr>
          <w:cantSplit/>
        </w:trPr>
        <w:tc>
          <w:tcPr>
            <w:tcW w:w="4253" w:type="dxa"/>
            <w:vAlign w:val="bottom"/>
          </w:tcPr>
          <w:p w14:paraId="6D961EC0" w14:textId="77777777" w:rsidR="001C65EF" w:rsidRPr="00204FB3" w:rsidRDefault="001C65EF" w:rsidP="00AB0B14">
            <w:pPr>
              <w:pStyle w:val="TblTextLeft"/>
              <w:rPr>
                <w:lang w:val="en-AU" w:eastAsia="en-AU"/>
              </w:rPr>
            </w:pPr>
            <w:r w:rsidRPr="00204FB3">
              <w:rPr>
                <w:lang w:val="en-AU" w:eastAsia="en-AU"/>
              </w:rPr>
              <w:t>Constipation</w:t>
            </w:r>
          </w:p>
        </w:tc>
        <w:tc>
          <w:tcPr>
            <w:tcW w:w="2693" w:type="dxa"/>
            <w:vAlign w:val="bottom"/>
          </w:tcPr>
          <w:p w14:paraId="3326A5F6" w14:textId="5955223A" w:rsidR="001C65EF" w:rsidRPr="00204FB3" w:rsidRDefault="001C65EF" w:rsidP="00AB0B14">
            <w:pPr>
              <w:pStyle w:val="TblTextLeft"/>
              <w:rPr>
                <w:lang w:val="en-AU" w:eastAsia="en-AU"/>
              </w:rPr>
            </w:pPr>
            <w:r w:rsidRPr="00204FB3">
              <w:rPr>
                <w:lang w:val="en-AU" w:eastAsia="en-AU"/>
              </w:rPr>
              <w:tab/>
            </w:r>
            <w:r w:rsidR="002C02F2" w:rsidRPr="00204FB3">
              <w:rPr>
                <w:lang w:val="en-AU" w:eastAsia="en-AU"/>
              </w:rPr>
              <w:t xml:space="preserve"> 21</w:t>
            </w:r>
            <w:r w:rsidRPr="00204FB3">
              <w:rPr>
                <w:lang w:val="en-AU" w:eastAsia="en-AU"/>
              </w:rPr>
              <w:t xml:space="preserve"> (1.6%)</w:t>
            </w:r>
          </w:p>
        </w:tc>
        <w:tc>
          <w:tcPr>
            <w:tcW w:w="2551" w:type="dxa"/>
            <w:vAlign w:val="bottom"/>
          </w:tcPr>
          <w:p w14:paraId="6CB98BBB" w14:textId="5AF64857" w:rsidR="001C65EF" w:rsidRPr="00204FB3" w:rsidRDefault="001C65EF" w:rsidP="00AB0B14">
            <w:pPr>
              <w:pStyle w:val="TblTextLeft"/>
              <w:rPr>
                <w:lang w:val="en-AU" w:eastAsia="en-AU"/>
              </w:rPr>
            </w:pPr>
            <w:r w:rsidRPr="00204FB3">
              <w:rPr>
                <w:lang w:val="en-AU" w:eastAsia="en-AU"/>
              </w:rPr>
              <w:tab/>
            </w:r>
            <w:r w:rsidR="002C02F2" w:rsidRPr="00204FB3">
              <w:rPr>
                <w:lang w:val="en-AU" w:eastAsia="en-AU"/>
              </w:rPr>
              <w:t xml:space="preserve"> 46</w:t>
            </w:r>
            <w:r w:rsidRPr="00204FB3">
              <w:rPr>
                <w:lang w:val="en-AU" w:eastAsia="en-AU"/>
              </w:rPr>
              <w:t xml:space="preserve"> (1.9%)</w:t>
            </w:r>
          </w:p>
        </w:tc>
      </w:tr>
      <w:tr w:rsidR="001C65EF" w:rsidRPr="00204FB3" w14:paraId="3496EA08" w14:textId="77777777" w:rsidTr="00774E78">
        <w:trPr>
          <w:cantSplit/>
        </w:trPr>
        <w:tc>
          <w:tcPr>
            <w:tcW w:w="4253" w:type="dxa"/>
            <w:vAlign w:val="bottom"/>
          </w:tcPr>
          <w:p w14:paraId="1CCE9130" w14:textId="77777777" w:rsidR="001C65EF" w:rsidRPr="00204FB3" w:rsidRDefault="001C65EF" w:rsidP="00AB0B14">
            <w:pPr>
              <w:pStyle w:val="TblTextLeft"/>
              <w:rPr>
                <w:lang w:val="en-AU" w:eastAsia="en-AU"/>
              </w:rPr>
            </w:pPr>
            <w:r w:rsidRPr="00204FB3">
              <w:rPr>
                <w:lang w:val="en-AU" w:eastAsia="en-AU"/>
              </w:rPr>
              <w:t>Abdominal pain</w:t>
            </w:r>
          </w:p>
        </w:tc>
        <w:tc>
          <w:tcPr>
            <w:tcW w:w="2693" w:type="dxa"/>
            <w:vAlign w:val="bottom"/>
          </w:tcPr>
          <w:p w14:paraId="3BA49F53" w14:textId="61153EC4" w:rsidR="001C65EF" w:rsidRPr="00204FB3" w:rsidRDefault="002C02F2" w:rsidP="00AB0B14">
            <w:pPr>
              <w:pStyle w:val="TblTextLeft"/>
              <w:rPr>
                <w:lang w:val="en-AU" w:eastAsia="en-AU"/>
              </w:rPr>
            </w:pPr>
            <w:r w:rsidRPr="00204FB3">
              <w:rPr>
                <w:lang w:val="en-AU" w:eastAsia="en-AU"/>
              </w:rPr>
              <w:tab/>
              <w:t xml:space="preserve">19 </w:t>
            </w:r>
            <w:r w:rsidR="001C65EF" w:rsidRPr="00204FB3">
              <w:rPr>
                <w:lang w:val="en-AU" w:eastAsia="en-AU"/>
              </w:rPr>
              <w:t>(1.5%)</w:t>
            </w:r>
          </w:p>
        </w:tc>
        <w:tc>
          <w:tcPr>
            <w:tcW w:w="2551" w:type="dxa"/>
            <w:vAlign w:val="bottom"/>
          </w:tcPr>
          <w:p w14:paraId="35811888" w14:textId="44EB617D" w:rsidR="001C65EF" w:rsidRPr="00204FB3" w:rsidRDefault="001C65EF" w:rsidP="00AB0B14">
            <w:pPr>
              <w:pStyle w:val="TblTextLeft"/>
              <w:rPr>
                <w:lang w:val="en-AU" w:eastAsia="en-AU"/>
              </w:rPr>
            </w:pPr>
            <w:r w:rsidRPr="00204FB3">
              <w:rPr>
                <w:lang w:val="en-AU" w:eastAsia="en-AU"/>
              </w:rPr>
              <w:tab/>
            </w:r>
            <w:r w:rsidR="002C02F2" w:rsidRPr="00204FB3">
              <w:rPr>
                <w:lang w:val="en-AU" w:eastAsia="en-AU"/>
              </w:rPr>
              <w:t xml:space="preserve"> 40</w:t>
            </w:r>
            <w:r w:rsidRPr="00204FB3">
              <w:rPr>
                <w:lang w:val="en-AU" w:eastAsia="en-AU"/>
              </w:rPr>
              <w:t xml:space="preserve"> (1.6%)</w:t>
            </w:r>
          </w:p>
        </w:tc>
      </w:tr>
      <w:tr w:rsidR="001C65EF" w:rsidRPr="00204FB3" w14:paraId="0B87C3C0" w14:textId="77777777" w:rsidTr="00774E78">
        <w:trPr>
          <w:cantSplit/>
        </w:trPr>
        <w:tc>
          <w:tcPr>
            <w:tcW w:w="4253" w:type="dxa"/>
            <w:vAlign w:val="bottom"/>
          </w:tcPr>
          <w:p w14:paraId="1C9CF978" w14:textId="77777777" w:rsidR="001C65EF" w:rsidRPr="00204FB3" w:rsidRDefault="001C65EF" w:rsidP="00AB0B14">
            <w:pPr>
              <w:pStyle w:val="TblTextLeft"/>
              <w:rPr>
                <w:lang w:val="en-AU" w:eastAsia="en-AU"/>
              </w:rPr>
            </w:pPr>
            <w:r w:rsidRPr="00204FB3">
              <w:rPr>
                <w:lang w:val="en-AU" w:eastAsia="en-AU"/>
              </w:rPr>
              <w:t>Abdominal pain upper</w:t>
            </w:r>
          </w:p>
        </w:tc>
        <w:tc>
          <w:tcPr>
            <w:tcW w:w="2693" w:type="dxa"/>
            <w:vAlign w:val="bottom"/>
          </w:tcPr>
          <w:p w14:paraId="4D1B2BC9" w14:textId="68DBB454" w:rsidR="001C65EF" w:rsidRPr="00204FB3" w:rsidRDefault="002C02F2" w:rsidP="00AB0B14">
            <w:pPr>
              <w:pStyle w:val="TblTextLeft"/>
              <w:rPr>
                <w:lang w:val="en-AU" w:eastAsia="en-AU"/>
              </w:rPr>
            </w:pPr>
            <w:r w:rsidRPr="00204FB3">
              <w:rPr>
                <w:lang w:val="en-AU" w:eastAsia="en-AU"/>
              </w:rPr>
              <w:tab/>
              <w:t>12</w:t>
            </w:r>
            <w:r w:rsidR="001C65EF" w:rsidRPr="00204FB3">
              <w:rPr>
                <w:lang w:val="en-AU" w:eastAsia="en-AU"/>
              </w:rPr>
              <w:t xml:space="preserve"> (0.9%)</w:t>
            </w:r>
          </w:p>
        </w:tc>
        <w:tc>
          <w:tcPr>
            <w:tcW w:w="2551" w:type="dxa"/>
            <w:vAlign w:val="bottom"/>
          </w:tcPr>
          <w:p w14:paraId="266BAAE4" w14:textId="6E703C10" w:rsidR="001C65EF" w:rsidRPr="00204FB3" w:rsidRDefault="001C65EF" w:rsidP="00AB0B14">
            <w:pPr>
              <w:pStyle w:val="TblTextLeft"/>
              <w:rPr>
                <w:lang w:val="en-AU" w:eastAsia="en-AU"/>
              </w:rPr>
            </w:pPr>
            <w:r w:rsidRPr="00204FB3">
              <w:rPr>
                <w:lang w:val="en-AU" w:eastAsia="en-AU"/>
              </w:rPr>
              <w:tab/>
            </w:r>
            <w:r w:rsidR="002C02F2" w:rsidRPr="00204FB3">
              <w:rPr>
                <w:lang w:val="en-AU" w:eastAsia="en-AU"/>
              </w:rPr>
              <w:t xml:space="preserve"> 30 </w:t>
            </w:r>
            <w:r w:rsidRPr="00204FB3">
              <w:rPr>
                <w:lang w:val="en-AU" w:eastAsia="en-AU"/>
              </w:rPr>
              <w:t>(1.2%)</w:t>
            </w:r>
          </w:p>
        </w:tc>
      </w:tr>
      <w:tr w:rsidR="001C65EF" w:rsidRPr="00204FB3" w14:paraId="5B813DA7" w14:textId="77777777" w:rsidTr="00774E78">
        <w:trPr>
          <w:cantSplit/>
        </w:trPr>
        <w:tc>
          <w:tcPr>
            <w:tcW w:w="4253" w:type="dxa"/>
            <w:vAlign w:val="bottom"/>
          </w:tcPr>
          <w:p w14:paraId="726D44D5" w14:textId="77777777" w:rsidR="001C65EF" w:rsidRPr="00204FB3" w:rsidRDefault="001C65EF" w:rsidP="00AB0B14">
            <w:pPr>
              <w:pStyle w:val="TblTextLeft"/>
              <w:rPr>
                <w:lang w:val="en-AU" w:eastAsia="en-AU"/>
              </w:rPr>
            </w:pPr>
          </w:p>
        </w:tc>
        <w:tc>
          <w:tcPr>
            <w:tcW w:w="2693" w:type="dxa"/>
            <w:vAlign w:val="bottom"/>
          </w:tcPr>
          <w:p w14:paraId="64F6A666" w14:textId="77777777" w:rsidR="001C65EF" w:rsidRPr="00204FB3" w:rsidRDefault="001C65EF" w:rsidP="00AB0B14">
            <w:pPr>
              <w:pStyle w:val="TblTextLeft"/>
              <w:rPr>
                <w:lang w:val="en-AU" w:eastAsia="en-AU"/>
              </w:rPr>
            </w:pPr>
          </w:p>
        </w:tc>
        <w:tc>
          <w:tcPr>
            <w:tcW w:w="2551" w:type="dxa"/>
            <w:vAlign w:val="bottom"/>
          </w:tcPr>
          <w:p w14:paraId="655A7D2E" w14:textId="77777777" w:rsidR="001C65EF" w:rsidRPr="00204FB3" w:rsidRDefault="001C65EF" w:rsidP="00AB0B14">
            <w:pPr>
              <w:pStyle w:val="TblTextLeft"/>
              <w:rPr>
                <w:lang w:val="en-AU" w:eastAsia="en-AU"/>
              </w:rPr>
            </w:pPr>
          </w:p>
        </w:tc>
      </w:tr>
      <w:tr w:rsidR="001C65EF" w:rsidRPr="00204FB3" w14:paraId="5F2781AA" w14:textId="77777777" w:rsidTr="00774E78">
        <w:trPr>
          <w:cantSplit/>
        </w:trPr>
        <w:tc>
          <w:tcPr>
            <w:tcW w:w="4253" w:type="dxa"/>
            <w:vAlign w:val="bottom"/>
          </w:tcPr>
          <w:p w14:paraId="082717BF" w14:textId="77777777" w:rsidR="001C65EF" w:rsidRPr="00204FB3" w:rsidRDefault="001C65EF" w:rsidP="00AB0B14">
            <w:pPr>
              <w:pStyle w:val="TblTextLeft"/>
              <w:rPr>
                <w:b/>
                <w:lang w:val="en-AU" w:eastAsia="en-AU"/>
              </w:rPr>
            </w:pPr>
            <w:r w:rsidRPr="00204FB3">
              <w:rPr>
                <w:b/>
                <w:lang w:val="en-AU" w:eastAsia="en-AU"/>
              </w:rPr>
              <w:t>Skin and subcutaneous tissue disorders</w:t>
            </w:r>
          </w:p>
        </w:tc>
        <w:tc>
          <w:tcPr>
            <w:tcW w:w="2693" w:type="dxa"/>
            <w:vAlign w:val="bottom"/>
          </w:tcPr>
          <w:p w14:paraId="5EC6B953" w14:textId="77777777" w:rsidR="001C65EF" w:rsidRPr="00204FB3" w:rsidRDefault="001C65EF" w:rsidP="00AB0B14">
            <w:pPr>
              <w:pStyle w:val="TblTextLeft"/>
              <w:rPr>
                <w:lang w:val="en-AU" w:eastAsia="en-AU"/>
              </w:rPr>
            </w:pPr>
          </w:p>
        </w:tc>
        <w:tc>
          <w:tcPr>
            <w:tcW w:w="2551" w:type="dxa"/>
            <w:vAlign w:val="bottom"/>
          </w:tcPr>
          <w:p w14:paraId="08C0952D" w14:textId="77777777" w:rsidR="001C65EF" w:rsidRPr="00204FB3" w:rsidRDefault="001C65EF" w:rsidP="00AB0B14">
            <w:pPr>
              <w:pStyle w:val="TblTextLeft"/>
              <w:rPr>
                <w:lang w:val="en-AU" w:eastAsia="en-AU"/>
              </w:rPr>
            </w:pPr>
          </w:p>
        </w:tc>
      </w:tr>
      <w:tr w:rsidR="001C65EF" w:rsidRPr="00204FB3" w14:paraId="59B56A75" w14:textId="77777777" w:rsidTr="00774E78">
        <w:trPr>
          <w:cantSplit/>
        </w:trPr>
        <w:tc>
          <w:tcPr>
            <w:tcW w:w="4253" w:type="dxa"/>
            <w:vAlign w:val="bottom"/>
          </w:tcPr>
          <w:p w14:paraId="09A637F2" w14:textId="77777777" w:rsidR="001C65EF" w:rsidRPr="00204FB3" w:rsidRDefault="001C65EF" w:rsidP="00AB0B14">
            <w:pPr>
              <w:pStyle w:val="TblTextLeft"/>
              <w:rPr>
                <w:lang w:val="en-AU" w:eastAsia="en-AU"/>
              </w:rPr>
            </w:pPr>
            <w:r w:rsidRPr="00204FB3">
              <w:rPr>
                <w:lang w:val="en-AU" w:eastAsia="en-AU"/>
              </w:rPr>
              <w:t>Rash</w:t>
            </w:r>
          </w:p>
        </w:tc>
        <w:tc>
          <w:tcPr>
            <w:tcW w:w="2693" w:type="dxa"/>
            <w:vAlign w:val="bottom"/>
          </w:tcPr>
          <w:p w14:paraId="48BCE294" w14:textId="5D902FE7" w:rsidR="001C65EF" w:rsidRPr="00204FB3" w:rsidRDefault="002C02F2" w:rsidP="00AB0B14">
            <w:pPr>
              <w:pStyle w:val="TblTextLeft"/>
              <w:rPr>
                <w:lang w:val="en-AU" w:eastAsia="en-AU"/>
              </w:rPr>
            </w:pPr>
            <w:r w:rsidRPr="00204FB3">
              <w:rPr>
                <w:lang w:val="en-AU" w:eastAsia="en-AU"/>
              </w:rPr>
              <w:tab/>
              <w:t>16</w:t>
            </w:r>
            <w:r w:rsidR="001C65EF" w:rsidRPr="00204FB3">
              <w:rPr>
                <w:lang w:val="en-AU" w:eastAsia="en-AU"/>
              </w:rPr>
              <w:t xml:space="preserve"> (1.3%)</w:t>
            </w:r>
          </w:p>
        </w:tc>
        <w:tc>
          <w:tcPr>
            <w:tcW w:w="2551" w:type="dxa"/>
            <w:vAlign w:val="bottom"/>
          </w:tcPr>
          <w:p w14:paraId="114D334A" w14:textId="20FB95BE" w:rsidR="001C65EF" w:rsidRPr="00204FB3" w:rsidRDefault="001C65EF" w:rsidP="00AB0B14">
            <w:pPr>
              <w:pStyle w:val="TblTextLeft"/>
              <w:rPr>
                <w:lang w:val="en-AU" w:eastAsia="en-AU"/>
              </w:rPr>
            </w:pPr>
            <w:r w:rsidRPr="00204FB3">
              <w:rPr>
                <w:lang w:val="en-AU" w:eastAsia="en-AU"/>
              </w:rPr>
              <w:tab/>
            </w:r>
            <w:r w:rsidR="002C02F2" w:rsidRPr="00204FB3">
              <w:rPr>
                <w:lang w:val="en-AU" w:eastAsia="en-AU"/>
              </w:rPr>
              <w:t xml:space="preserve"> 34</w:t>
            </w:r>
            <w:r w:rsidRPr="00204FB3">
              <w:rPr>
                <w:lang w:val="en-AU" w:eastAsia="en-AU"/>
              </w:rPr>
              <w:t xml:space="preserve"> (1.4%)</w:t>
            </w:r>
          </w:p>
        </w:tc>
      </w:tr>
      <w:tr w:rsidR="001C65EF" w:rsidRPr="00204FB3" w14:paraId="7711937E" w14:textId="77777777" w:rsidTr="00774E78">
        <w:trPr>
          <w:cantSplit/>
        </w:trPr>
        <w:tc>
          <w:tcPr>
            <w:tcW w:w="4253" w:type="dxa"/>
            <w:vAlign w:val="bottom"/>
          </w:tcPr>
          <w:p w14:paraId="1FC1FCC6" w14:textId="77777777" w:rsidR="001C65EF" w:rsidRPr="00204FB3" w:rsidRDefault="001C65EF" w:rsidP="00AB0B14">
            <w:pPr>
              <w:pStyle w:val="TblTextLeft"/>
              <w:rPr>
                <w:lang w:val="en-AU" w:eastAsia="en-AU"/>
              </w:rPr>
            </w:pPr>
            <w:r w:rsidRPr="00204FB3">
              <w:rPr>
                <w:lang w:val="en-AU" w:eastAsia="en-AU"/>
              </w:rPr>
              <w:t>Pruritus</w:t>
            </w:r>
          </w:p>
        </w:tc>
        <w:tc>
          <w:tcPr>
            <w:tcW w:w="2693" w:type="dxa"/>
            <w:vAlign w:val="bottom"/>
          </w:tcPr>
          <w:p w14:paraId="700AEB7A" w14:textId="050A9756" w:rsidR="001C65EF" w:rsidRPr="00204FB3" w:rsidRDefault="001C65EF" w:rsidP="00AB0B14">
            <w:pPr>
              <w:pStyle w:val="TblTextLeft"/>
              <w:rPr>
                <w:lang w:val="en-AU" w:eastAsia="en-AU"/>
              </w:rPr>
            </w:pPr>
            <w:r w:rsidRPr="00204FB3">
              <w:rPr>
                <w:lang w:val="en-AU" w:eastAsia="en-AU"/>
              </w:rPr>
              <w:tab/>
            </w:r>
            <w:r w:rsidR="002C02F2" w:rsidRPr="00204FB3">
              <w:rPr>
                <w:lang w:val="en-AU" w:eastAsia="en-AU"/>
              </w:rPr>
              <w:t xml:space="preserve"> 5</w:t>
            </w:r>
            <w:r w:rsidRPr="00204FB3">
              <w:rPr>
                <w:lang w:val="en-AU" w:eastAsia="en-AU"/>
              </w:rPr>
              <w:t xml:space="preserve"> (0.4%)</w:t>
            </w:r>
          </w:p>
        </w:tc>
        <w:tc>
          <w:tcPr>
            <w:tcW w:w="2551" w:type="dxa"/>
            <w:vAlign w:val="bottom"/>
          </w:tcPr>
          <w:p w14:paraId="6DF8A652" w14:textId="66BAEFEA" w:rsidR="001C65EF" w:rsidRPr="00204FB3" w:rsidRDefault="001C65EF" w:rsidP="00AB0B14">
            <w:pPr>
              <w:pStyle w:val="TblTextLeft"/>
              <w:rPr>
                <w:lang w:val="en-AU" w:eastAsia="en-AU"/>
              </w:rPr>
            </w:pPr>
            <w:r w:rsidRPr="00204FB3">
              <w:rPr>
                <w:lang w:val="en-AU" w:eastAsia="en-AU"/>
              </w:rPr>
              <w:tab/>
            </w:r>
            <w:r w:rsidR="002C02F2" w:rsidRPr="00204FB3">
              <w:rPr>
                <w:lang w:val="en-AU" w:eastAsia="en-AU"/>
              </w:rPr>
              <w:t xml:space="preserve"> 31</w:t>
            </w:r>
            <w:r w:rsidRPr="00204FB3">
              <w:rPr>
                <w:lang w:val="en-AU" w:eastAsia="en-AU"/>
              </w:rPr>
              <w:t xml:space="preserve"> (1.3%)</w:t>
            </w:r>
          </w:p>
        </w:tc>
      </w:tr>
      <w:tr w:rsidR="001C65EF" w:rsidRPr="00204FB3" w14:paraId="1C7BB6E4" w14:textId="77777777" w:rsidTr="00774E78">
        <w:trPr>
          <w:cantSplit/>
        </w:trPr>
        <w:tc>
          <w:tcPr>
            <w:tcW w:w="4253" w:type="dxa"/>
            <w:vAlign w:val="bottom"/>
          </w:tcPr>
          <w:p w14:paraId="785444C7" w14:textId="77777777" w:rsidR="001C65EF" w:rsidRPr="00204FB3" w:rsidRDefault="001C65EF" w:rsidP="00AB0B14">
            <w:pPr>
              <w:pStyle w:val="TblTextLeft"/>
              <w:rPr>
                <w:lang w:val="en-AU" w:eastAsia="en-AU"/>
              </w:rPr>
            </w:pPr>
          </w:p>
        </w:tc>
        <w:tc>
          <w:tcPr>
            <w:tcW w:w="2693" w:type="dxa"/>
            <w:vAlign w:val="bottom"/>
          </w:tcPr>
          <w:p w14:paraId="53DF77CF" w14:textId="77777777" w:rsidR="001C65EF" w:rsidRPr="00204FB3" w:rsidRDefault="001C65EF" w:rsidP="00AB0B14">
            <w:pPr>
              <w:pStyle w:val="TblTextLeft"/>
              <w:rPr>
                <w:lang w:val="en-AU" w:eastAsia="en-AU"/>
              </w:rPr>
            </w:pPr>
          </w:p>
        </w:tc>
        <w:tc>
          <w:tcPr>
            <w:tcW w:w="2551" w:type="dxa"/>
            <w:vAlign w:val="bottom"/>
          </w:tcPr>
          <w:p w14:paraId="3F04213B" w14:textId="77777777" w:rsidR="001C65EF" w:rsidRPr="00204FB3" w:rsidRDefault="001C65EF" w:rsidP="00AB0B14">
            <w:pPr>
              <w:pStyle w:val="TblTextLeft"/>
              <w:rPr>
                <w:lang w:val="en-AU" w:eastAsia="en-AU"/>
              </w:rPr>
            </w:pPr>
          </w:p>
        </w:tc>
      </w:tr>
      <w:tr w:rsidR="001C65EF" w:rsidRPr="00204FB3" w14:paraId="1A6C7F5C" w14:textId="77777777" w:rsidTr="00774E78">
        <w:trPr>
          <w:cantSplit/>
        </w:trPr>
        <w:tc>
          <w:tcPr>
            <w:tcW w:w="4253" w:type="dxa"/>
            <w:vAlign w:val="bottom"/>
          </w:tcPr>
          <w:p w14:paraId="5124163A" w14:textId="77777777" w:rsidR="001C65EF" w:rsidRPr="00204FB3" w:rsidRDefault="001C65EF" w:rsidP="00AB0B14">
            <w:pPr>
              <w:pStyle w:val="TblTextLeft"/>
              <w:rPr>
                <w:b/>
                <w:lang w:val="en-AU" w:eastAsia="en-AU"/>
              </w:rPr>
            </w:pPr>
            <w:r w:rsidRPr="00204FB3">
              <w:rPr>
                <w:b/>
                <w:lang w:val="en-AU" w:eastAsia="en-AU"/>
              </w:rPr>
              <w:t>Musculoskeletal and connective tissue disorders</w:t>
            </w:r>
          </w:p>
        </w:tc>
        <w:tc>
          <w:tcPr>
            <w:tcW w:w="2693" w:type="dxa"/>
            <w:vAlign w:val="bottom"/>
          </w:tcPr>
          <w:p w14:paraId="7075A142" w14:textId="77777777" w:rsidR="001C65EF" w:rsidRPr="00204FB3" w:rsidRDefault="001C65EF" w:rsidP="00AB0B14">
            <w:pPr>
              <w:pStyle w:val="TblTextLeft"/>
              <w:rPr>
                <w:lang w:val="en-AU" w:eastAsia="en-AU"/>
              </w:rPr>
            </w:pPr>
          </w:p>
        </w:tc>
        <w:tc>
          <w:tcPr>
            <w:tcW w:w="2551" w:type="dxa"/>
            <w:vAlign w:val="bottom"/>
          </w:tcPr>
          <w:p w14:paraId="6BB85A48" w14:textId="77777777" w:rsidR="001C65EF" w:rsidRPr="00204FB3" w:rsidRDefault="001C65EF" w:rsidP="00AB0B14">
            <w:pPr>
              <w:pStyle w:val="TblTextLeft"/>
              <w:rPr>
                <w:lang w:val="en-AU" w:eastAsia="en-AU"/>
              </w:rPr>
            </w:pPr>
          </w:p>
        </w:tc>
      </w:tr>
      <w:tr w:rsidR="001C65EF" w:rsidRPr="00204FB3" w14:paraId="3EDCD0D8" w14:textId="77777777" w:rsidTr="00774E78">
        <w:trPr>
          <w:cantSplit/>
        </w:trPr>
        <w:tc>
          <w:tcPr>
            <w:tcW w:w="4253" w:type="dxa"/>
            <w:vAlign w:val="bottom"/>
          </w:tcPr>
          <w:p w14:paraId="4F5EA1FF" w14:textId="77777777" w:rsidR="001C65EF" w:rsidRPr="00204FB3" w:rsidRDefault="001C65EF" w:rsidP="00AB0B14">
            <w:pPr>
              <w:pStyle w:val="TblTextLeft"/>
              <w:rPr>
                <w:lang w:val="en-AU" w:eastAsia="en-AU"/>
              </w:rPr>
            </w:pPr>
            <w:r w:rsidRPr="00204FB3">
              <w:rPr>
                <w:lang w:val="en-AU" w:eastAsia="en-AU"/>
              </w:rPr>
              <w:t>Myalgia</w:t>
            </w:r>
          </w:p>
        </w:tc>
        <w:tc>
          <w:tcPr>
            <w:tcW w:w="2693" w:type="dxa"/>
            <w:vAlign w:val="bottom"/>
          </w:tcPr>
          <w:p w14:paraId="7C79889A" w14:textId="229AE28A" w:rsidR="001C65EF" w:rsidRPr="00204FB3" w:rsidRDefault="001C65EF" w:rsidP="00AB0B14">
            <w:pPr>
              <w:pStyle w:val="TblTextLeft"/>
              <w:rPr>
                <w:lang w:val="en-AU" w:eastAsia="en-AU"/>
              </w:rPr>
            </w:pPr>
            <w:r w:rsidRPr="00204FB3">
              <w:rPr>
                <w:lang w:val="en-AU" w:eastAsia="en-AU"/>
              </w:rPr>
              <w:tab/>
            </w:r>
            <w:r w:rsidR="002C02F2" w:rsidRPr="00204FB3">
              <w:rPr>
                <w:lang w:val="en-AU" w:eastAsia="en-AU"/>
              </w:rPr>
              <w:t xml:space="preserve"> 47</w:t>
            </w:r>
            <w:r w:rsidRPr="00204FB3">
              <w:rPr>
                <w:lang w:val="en-AU" w:eastAsia="en-AU"/>
              </w:rPr>
              <w:t xml:space="preserve"> (3.7%)</w:t>
            </w:r>
          </w:p>
        </w:tc>
        <w:tc>
          <w:tcPr>
            <w:tcW w:w="2551" w:type="dxa"/>
            <w:vAlign w:val="bottom"/>
          </w:tcPr>
          <w:p w14:paraId="5D7A7B66" w14:textId="4E82BECD" w:rsidR="001C65EF" w:rsidRPr="00204FB3" w:rsidRDefault="001C65EF" w:rsidP="00AB0B14">
            <w:pPr>
              <w:pStyle w:val="TblTextLeft"/>
              <w:rPr>
                <w:lang w:val="en-AU" w:eastAsia="en-AU"/>
              </w:rPr>
            </w:pPr>
            <w:r w:rsidRPr="00204FB3">
              <w:rPr>
                <w:lang w:val="en-AU" w:eastAsia="en-AU"/>
              </w:rPr>
              <w:tab/>
            </w:r>
            <w:r w:rsidR="002C02F2" w:rsidRPr="00204FB3">
              <w:rPr>
                <w:lang w:val="en-AU" w:eastAsia="en-AU"/>
              </w:rPr>
              <w:t xml:space="preserve"> 112</w:t>
            </w:r>
            <w:r w:rsidRPr="00204FB3">
              <w:rPr>
                <w:lang w:val="en-AU" w:eastAsia="en-AU"/>
              </w:rPr>
              <w:t xml:space="preserve"> (4.5%)</w:t>
            </w:r>
          </w:p>
        </w:tc>
      </w:tr>
      <w:tr w:rsidR="001C65EF" w:rsidRPr="00204FB3" w14:paraId="1563067E" w14:textId="77777777" w:rsidTr="00774E78">
        <w:trPr>
          <w:cantSplit/>
        </w:trPr>
        <w:tc>
          <w:tcPr>
            <w:tcW w:w="4253" w:type="dxa"/>
            <w:vAlign w:val="bottom"/>
          </w:tcPr>
          <w:p w14:paraId="3844D1AD" w14:textId="77777777" w:rsidR="001C65EF" w:rsidRPr="00204FB3" w:rsidRDefault="001C65EF" w:rsidP="00AB0B14">
            <w:pPr>
              <w:pStyle w:val="TblTextLeft"/>
              <w:rPr>
                <w:lang w:val="en-AU" w:eastAsia="en-AU"/>
              </w:rPr>
            </w:pPr>
            <w:r w:rsidRPr="00204FB3">
              <w:rPr>
                <w:lang w:val="en-AU" w:eastAsia="en-AU"/>
              </w:rPr>
              <w:t>Muscle spasms</w:t>
            </w:r>
          </w:p>
        </w:tc>
        <w:tc>
          <w:tcPr>
            <w:tcW w:w="2693" w:type="dxa"/>
            <w:vAlign w:val="bottom"/>
          </w:tcPr>
          <w:p w14:paraId="432CA035" w14:textId="0EAF6F5F" w:rsidR="001C65EF" w:rsidRPr="00204FB3" w:rsidRDefault="001C65EF" w:rsidP="00AB0B14">
            <w:pPr>
              <w:pStyle w:val="TblTextLeft"/>
              <w:rPr>
                <w:lang w:val="en-AU" w:eastAsia="en-AU"/>
              </w:rPr>
            </w:pPr>
            <w:r w:rsidRPr="00204FB3">
              <w:rPr>
                <w:lang w:val="en-AU" w:eastAsia="en-AU"/>
              </w:rPr>
              <w:tab/>
            </w:r>
            <w:r w:rsidR="002C02F2" w:rsidRPr="00204FB3">
              <w:rPr>
                <w:lang w:val="en-AU" w:eastAsia="en-AU"/>
              </w:rPr>
              <w:t xml:space="preserve"> 39</w:t>
            </w:r>
            <w:r w:rsidRPr="00204FB3">
              <w:rPr>
                <w:lang w:val="en-AU" w:eastAsia="en-AU"/>
              </w:rPr>
              <w:t xml:space="preserve"> (3.1%)</w:t>
            </w:r>
          </w:p>
        </w:tc>
        <w:tc>
          <w:tcPr>
            <w:tcW w:w="2551" w:type="dxa"/>
            <w:vAlign w:val="bottom"/>
          </w:tcPr>
          <w:p w14:paraId="220ADA3C" w14:textId="5E9D05B3" w:rsidR="001C65EF" w:rsidRPr="00204FB3" w:rsidRDefault="001C65EF" w:rsidP="00AB0B14">
            <w:pPr>
              <w:pStyle w:val="TblTextLeft"/>
              <w:rPr>
                <w:lang w:val="en-AU" w:eastAsia="en-AU"/>
              </w:rPr>
            </w:pPr>
            <w:r w:rsidRPr="00204FB3">
              <w:rPr>
                <w:lang w:val="en-AU" w:eastAsia="en-AU"/>
              </w:rPr>
              <w:tab/>
            </w:r>
            <w:r w:rsidR="002C02F2" w:rsidRPr="00204FB3">
              <w:rPr>
                <w:lang w:val="en-AU" w:eastAsia="en-AU"/>
              </w:rPr>
              <w:t xml:space="preserve"> 82</w:t>
            </w:r>
            <w:r w:rsidRPr="00204FB3">
              <w:rPr>
                <w:lang w:val="en-AU" w:eastAsia="en-AU"/>
              </w:rPr>
              <w:t xml:space="preserve"> (3.3%)</w:t>
            </w:r>
          </w:p>
        </w:tc>
      </w:tr>
      <w:tr w:rsidR="001C65EF" w:rsidRPr="00204FB3" w14:paraId="268C6C47" w14:textId="77777777" w:rsidTr="00774E78">
        <w:trPr>
          <w:cantSplit/>
        </w:trPr>
        <w:tc>
          <w:tcPr>
            <w:tcW w:w="4253" w:type="dxa"/>
            <w:vAlign w:val="bottom"/>
          </w:tcPr>
          <w:p w14:paraId="12FCC952" w14:textId="77777777" w:rsidR="001C65EF" w:rsidRPr="00204FB3" w:rsidRDefault="001C65EF" w:rsidP="00AB0B14">
            <w:pPr>
              <w:pStyle w:val="TblTextLeft"/>
              <w:rPr>
                <w:lang w:val="en-AU" w:eastAsia="en-AU"/>
              </w:rPr>
            </w:pPr>
            <w:r w:rsidRPr="00204FB3">
              <w:rPr>
                <w:lang w:val="en-AU" w:eastAsia="en-AU"/>
              </w:rPr>
              <w:t>Musculoskeletal pain</w:t>
            </w:r>
          </w:p>
        </w:tc>
        <w:tc>
          <w:tcPr>
            <w:tcW w:w="2693" w:type="dxa"/>
            <w:vAlign w:val="bottom"/>
          </w:tcPr>
          <w:p w14:paraId="06C41573" w14:textId="517A11D5" w:rsidR="001C65EF" w:rsidRPr="00204FB3" w:rsidRDefault="001C65EF" w:rsidP="00AB0B14">
            <w:pPr>
              <w:pStyle w:val="TblTextLeft"/>
              <w:rPr>
                <w:lang w:val="en-AU" w:eastAsia="en-AU"/>
              </w:rPr>
            </w:pPr>
            <w:r w:rsidRPr="00204FB3">
              <w:rPr>
                <w:lang w:val="en-AU" w:eastAsia="en-AU"/>
              </w:rPr>
              <w:tab/>
            </w:r>
            <w:r w:rsidR="002C02F2" w:rsidRPr="00204FB3">
              <w:rPr>
                <w:lang w:val="en-AU" w:eastAsia="en-AU"/>
              </w:rPr>
              <w:t xml:space="preserve"> 20</w:t>
            </w:r>
            <w:r w:rsidRPr="00204FB3">
              <w:rPr>
                <w:lang w:val="en-AU" w:eastAsia="en-AU"/>
              </w:rPr>
              <w:t xml:space="preserve"> (1.6%)</w:t>
            </w:r>
          </w:p>
        </w:tc>
        <w:tc>
          <w:tcPr>
            <w:tcW w:w="2551" w:type="dxa"/>
            <w:vAlign w:val="bottom"/>
          </w:tcPr>
          <w:p w14:paraId="2B779B45" w14:textId="4DD736C9" w:rsidR="001C65EF" w:rsidRPr="00204FB3" w:rsidRDefault="001C65EF" w:rsidP="00AB0B14">
            <w:pPr>
              <w:pStyle w:val="TblTextLeft"/>
              <w:rPr>
                <w:lang w:val="en-AU" w:eastAsia="en-AU"/>
              </w:rPr>
            </w:pPr>
            <w:r w:rsidRPr="00204FB3">
              <w:rPr>
                <w:lang w:val="en-AU" w:eastAsia="en-AU"/>
              </w:rPr>
              <w:tab/>
            </w:r>
            <w:r w:rsidR="002C02F2" w:rsidRPr="00204FB3">
              <w:rPr>
                <w:lang w:val="en-AU" w:eastAsia="en-AU"/>
              </w:rPr>
              <w:t xml:space="preserve"> 57</w:t>
            </w:r>
            <w:r w:rsidRPr="00204FB3">
              <w:rPr>
                <w:lang w:val="en-AU" w:eastAsia="en-AU"/>
              </w:rPr>
              <w:t xml:space="preserve"> (2.3%)</w:t>
            </w:r>
          </w:p>
        </w:tc>
      </w:tr>
      <w:tr w:rsidR="001C65EF" w:rsidRPr="00204FB3" w14:paraId="08E58860" w14:textId="77777777" w:rsidTr="00774E78">
        <w:trPr>
          <w:cantSplit/>
        </w:trPr>
        <w:tc>
          <w:tcPr>
            <w:tcW w:w="4253" w:type="dxa"/>
            <w:vAlign w:val="bottom"/>
          </w:tcPr>
          <w:p w14:paraId="74229AD5" w14:textId="77777777" w:rsidR="001C65EF" w:rsidRPr="00204FB3" w:rsidRDefault="001C65EF" w:rsidP="00AB0B14">
            <w:pPr>
              <w:pStyle w:val="TblTextLeft"/>
              <w:rPr>
                <w:lang w:val="en-AU" w:eastAsia="en-AU"/>
              </w:rPr>
            </w:pPr>
          </w:p>
        </w:tc>
        <w:tc>
          <w:tcPr>
            <w:tcW w:w="2693" w:type="dxa"/>
            <w:vAlign w:val="bottom"/>
          </w:tcPr>
          <w:p w14:paraId="6E9AE2AC" w14:textId="77777777" w:rsidR="001C65EF" w:rsidRPr="00204FB3" w:rsidRDefault="001C65EF" w:rsidP="00AB0B14">
            <w:pPr>
              <w:pStyle w:val="TblTextLeft"/>
              <w:rPr>
                <w:lang w:val="en-AU" w:eastAsia="en-AU"/>
              </w:rPr>
            </w:pPr>
          </w:p>
        </w:tc>
        <w:tc>
          <w:tcPr>
            <w:tcW w:w="2551" w:type="dxa"/>
            <w:vAlign w:val="bottom"/>
          </w:tcPr>
          <w:p w14:paraId="46F6E615" w14:textId="77777777" w:rsidR="001C65EF" w:rsidRPr="00204FB3" w:rsidRDefault="001C65EF" w:rsidP="00AB0B14">
            <w:pPr>
              <w:pStyle w:val="TblTextLeft"/>
              <w:rPr>
                <w:lang w:val="en-AU" w:eastAsia="en-AU"/>
              </w:rPr>
            </w:pPr>
          </w:p>
        </w:tc>
      </w:tr>
      <w:tr w:rsidR="001C65EF" w:rsidRPr="00204FB3" w14:paraId="27EEE094" w14:textId="77777777" w:rsidTr="00774E78">
        <w:trPr>
          <w:cantSplit/>
        </w:trPr>
        <w:tc>
          <w:tcPr>
            <w:tcW w:w="4253" w:type="dxa"/>
            <w:vAlign w:val="bottom"/>
          </w:tcPr>
          <w:p w14:paraId="68AD8F0F" w14:textId="77777777" w:rsidR="001C65EF" w:rsidRPr="00204FB3" w:rsidRDefault="001C65EF" w:rsidP="00AB0B14">
            <w:pPr>
              <w:pStyle w:val="TblTextLeft"/>
              <w:rPr>
                <w:b/>
                <w:lang w:val="en-AU" w:eastAsia="en-AU"/>
              </w:rPr>
            </w:pPr>
            <w:r w:rsidRPr="00204FB3">
              <w:rPr>
                <w:b/>
                <w:lang w:val="en-AU" w:eastAsia="en-AU"/>
              </w:rPr>
              <w:t>General disorders and administration site conditions</w:t>
            </w:r>
          </w:p>
        </w:tc>
        <w:tc>
          <w:tcPr>
            <w:tcW w:w="2693" w:type="dxa"/>
            <w:vAlign w:val="bottom"/>
          </w:tcPr>
          <w:p w14:paraId="65561787" w14:textId="77777777" w:rsidR="001C65EF" w:rsidRPr="00204FB3" w:rsidRDefault="001C65EF" w:rsidP="00AB0B14">
            <w:pPr>
              <w:pStyle w:val="TblTextLeft"/>
              <w:rPr>
                <w:lang w:val="en-AU" w:eastAsia="en-AU"/>
              </w:rPr>
            </w:pPr>
          </w:p>
        </w:tc>
        <w:tc>
          <w:tcPr>
            <w:tcW w:w="2551" w:type="dxa"/>
            <w:vAlign w:val="bottom"/>
          </w:tcPr>
          <w:p w14:paraId="32D17128" w14:textId="77777777" w:rsidR="001C65EF" w:rsidRPr="00204FB3" w:rsidRDefault="001C65EF" w:rsidP="00AB0B14">
            <w:pPr>
              <w:pStyle w:val="TblTextLeft"/>
              <w:rPr>
                <w:lang w:val="en-AU" w:eastAsia="en-AU"/>
              </w:rPr>
            </w:pPr>
          </w:p>
        </w:tc>
      </w:tr>
      <w:tr w:rsidR="001C65EF" w:rsidRPr="00204FB3" w14:paraId="73D0F2A3" w14:textId="77777777" w:rsidTr="00774E78">
        <w:trPr>
          <w:cantSplit/>
        </w:trPr>
        <w:tc>
          <w:tcPr>
            <w:tcW w:w="4253" w:type="dxa"/>
            <w:vAlign w:val="bottom"/>
          </w:tcPr>
          <w:p w14:paraId="122A4777" w14:textId="77777777" w:rsidR="001C65EF" w:rsidRPr="00204FB3" w:rsidRDefault="001C65EF" w:rsidP="00AB0B14">
            <w:pPr>
              <w:pStyle w:val="TblTextLeft"/>
              <w:rPr>
                <w:lang w:val="en-AU" w:eastAsia="en-AU"/>
              </w:rPr>
            </w:pPr>
            <w:r w:rsidRPr="00204FB3">
              <w:rPr>
                <w:lang w:val="en-AU" w:eastAsia="en-AU"/>
              </w:rPr>
              <w:t>Injection site reaction</w:t>
            </w:r>
          </w:p>
        </w:tc>
        <w:tc>
          <w:tcPr>
            <w:tcW w:w="2693" w:type="dxa"/>
            <w:vAlign w:val="bottom"/>
          </w:tcPr>
          <w:p w14:paraId="7B044E75" w14:textId="638C978A" w:rsidR="001C65EF" w:rsidRPr="00204FB3" w:rsidRDefault="001C65EF" w:rsidP="00AB0B14">
            <w:pPr>
              <w:pStyle w:val="TblTextLeft"/>
              <w:rPr>
                <w:lang w:val="en-AU" w:eastAsia="en-AU"/>
              </w:rPr>
            </w:pPr>
            <w:r w:rsidRPr="00204FB3">
              <w:rPr>
                <w:lang w:val="en-AU" w:eastAsia="en-AU"/>
              </w:rPr>
              <w:tab/>
            </w:r>
            <w:r w:rsidR="002C02F2" w:rsidRPr="00204FB3">
              <w:rPr>
                <w:lang w:val="en-AU" w:eastAsia="en-AU"/>
              </w:rPr>
              <w:t xml:space="preserve"> 63 </w:t>
            </w:r>
            <w:r w:rsidRPr="00204FB3">
              <w:rPr>
                <w:lang w:val="en-AU" w:eastAsia="en-AU"/>
              </w:rPr>
              <w:t>(4.9%)</w:t>
            </w:r>
          </w:p>
        </w:tc>
        <w:tc>
          <w:tcPr>
            <w:tcW w:w="2551" w:type="dxa"/>
            <w:vAlign w:val="bottom"/>
          </w:tcPr>
          <w:p w14:paraId="6F42E17A" w14:textId="45321560" w:rsidR="001C65EF" w:rsidRPr="00204FB3" w:rsidRDefault="002C02F2" w:rsidP="00AB0B14">
            <w:pPr>
              <w:pStyle w:val="TblTextLeft"/>
              <w:rPr>
                <w:lang w:val="en-AU" w:eastAsia="en-AU"/>
              </w:rPr>
            </w:pPr>
            <w:r w:rsidRPr="00204FB3">
              <w:rPr>
                <w:lang w:val="en-AU" w:eastAsia="en-AU"/>
              </w:rPr>
              <w:tab/>
              <w:t>171</w:t>
            </w:r>
            <w:r w:rsidR="001C65EF" w:rsidRPr="00204FB3">
              <w:rPr>
                <w:lang w:val="en-AU" w:eastAsia="en-AU"/>
              </w:rPr>
              <w:t xml:space="preserve"> (6.9%)</w:t>
            </w:r>
          </w:p>
        </w:tc>
      </w:tr>
      <w:tr w:rsidR="001C65EF" w:rsidRPr="00204FB3" w14:paraId="36317434" w14:textId="77777777" w:rsidTr="00774E78">
        <w:trPr>
          <w:cantSplit/>
        </w:trPr>
        <w:tc>
          <w:tcPr>
            <w:tcW w:w="4253" w:type="dxa"/>
            <w:vAlign w:val="bottom"/>
          </w:tcPr>
          <w:p w14:paraId="31F95805" w14:textId="77777777" w:rsidR="001C65EF" w:rsidRPr="00204FB3" w:rsidRDefault="001C65EF" w:rsidP="00AB0B14">
            <w:pPr>
              <w:pStyle w:val="TblTextLeft"/>
              <w:rPr>
                <w:lang w:val="en-AU" w:eastAsia="en-AU"/>
              </w:rPr>
            </w:pPr>
            <w:r w:rsidRPr="00204FB3">
              <w:rPr>
                <w:lang w:val="en-AU" w:eastAsia="en-AU"/>
              </w:rPr>
              <w:t>Oedema peripheral</w:t>
            </w:r>
          </w:p>
        </w:tc>
        <w:tc>
          <w:tcPr>
            <w:tcW w:w="2693" w:type="dxa"/>
            <w:vAlign w:val="bottom"/>
          </w:tcPr>
          <w:p w14:paraId="45B27495" w14:textId="11FC5174" w:rsidR="001C65EF" w:rsidRPr="00204FB3" w:rsidRDefault="001C65EF" w:rsidP="00AB0B14">
            <w:pPr>
              <w:pStyle w:val="TblTextLeft"/>
              <w:rPr>
                <w:lang w:val="en-AU" w:eastAsia="en-AU"/>
              </w:rPr>
            </w:pPr>
            <w:r w:rsidRPr="00204FB3">
              <w:rPr>
                <w:lang w:val="en-AU" w:eastAsia="en-AU"/>
              </w:rPr>
              <w:tab/>
            </w:r>
            <w:r w:rsidR="002C02F2" w:rsidRPr="00204FB3">
              <w:rPr>
                <w:lang w:val="en-AU" w:eastAsia="en-AU"/>
              </w:rPr>
              <w:t xml:space="preserve"> 16</w:t>
            </w:r>
            <w:r w:rsidRPr="00204FB3">
              <w:rPr>
                <w:lang w:val="en-AU" w:eastAsia="en-AU"/>
              </w:rPr>
              <w:t xml:space="preserve"> (1.3%)</w:t>
            </w:r>
          </w:p>
        </w:tc>
        <w:tc>
          <w:tcPr>
            <w:tcW w:w="2551" w:type="dxa"/>
            <w:vAlign w:val="bottom"/>
          </w:tcPr>
          <w:p w14:paraId="6A2F5DE1" w14:textId="462E0B88" w:rsidR="001C65EF" w:rsidRPr="00204FB3" w:rsidRDefault="002C02F2" w:rsidP="00AB0B14">
            <w:pPr>
              <w:pStyle w:val="TblTextLeft"/>
              <w:rPr>
                <w:lang w:val="en-AU" w:eastAsia="en-AU"/>
              </w:rPr>
            </w:pPr>
            <w:r w:rsidRPr="00204FB3">
              <w:rPr>
                <w:lang w:val="en-AU" w:eastAsia="en-AU"/>
              </w:rPr>
              <w:tab/>
              <w:t xml:space="preserve">39 </w:t>
            </w:r>
            <w:r w:rsidR="001C65EF" w:rsidRPr="00204FB3">
              <w:rPr>
                <w:lang w:val="en-AU" w:eastAsia="en-AU"/>
              </w:rPr>
              <w:t>(1.6%)</w:t>
            </w:r>
          </w:p>
        </w:tc>
      </w:tr>
      <w:tr w:rsidR="001C65EF" w:rsidRPr="00204FB3" w14:paraId="117085BA" w14:textId="77777777" w:rsidTr="00774E78">
        <w:trPr>
          <w:cantSplit/>
        </w:trPr>
        <w:tc>
          <w:tcPr>
            <w:tcW w:w="4253" w:type="dxa"/>
            <w:vAlign w:val="bottom"/>
          </w:tcPr>
          <w:p w14:paraId="2243C536" w14:textId="77777777" w:rsidR="001C65EF" w:rsidRPr="00204FB3" w:rsidRDefault="001C65EF" w:rsidP="00AB0B14">
            <w:pPr>
              <w:pStyle w:val="TblTextLeft"/>
              <w:rPr>
                <w:lang w:val="en-AU" w:eastAsia="en-AU"/>
              </w:rPr>
            </w:pPr>
          </w:p>
        </w:tc>
        <w:tc>
          <w:tcPr>
            <w:tcW w:w="2693" w:type="dxa"/>
            <w:vAlign w:val="bottom"/>
          </w:tcPr>
          <w:p w14:paraId="1CF165B0" w14:textId="77777777" w:rsidR="001C65EF" w:rsidRPr="00204FB3" w:rsidRDefault="001C65EF" w:rsidP="00AB0B14">
            <w:pPr>
              <w:pStyle w:val="TblTextLeft"/>
              <w:rPr>
                <w:lang w:val="en-AU" w:eastAsia="en-AU"/>
              </w:rPr>
            </w:pPr>
          </w:p>
        </w:tc>
        <w:tc>
          <w:tcPr>
            <w:tcW w:w="2551" w:type="dxa"/>
            <w:vAlign w:val="bottom"/>
          </w:tcPr>
          <w:p w14:paraId="73D6C5D6" w14:textId="77777777" w:rsidR="001C65EF" w:rsidRPr="00204FB3" w:rsidRDefault="001C65EF" w:rsidP="00AB0B14">
            <w:pPr>
              <w:pStyle w:val="TblTextLeft"/>
              <w:rPr>
                <w:lang w:val="en-AU" w:eastAsia="en-AU"/>
              </w:rPr>
            </w:pPr>
          </w:p>
        </w:tc>
      </w:tr>
      <w:tr w:rsidR="001C65EF" w:rsidRPr="00204FB3" w14:paraId="205CEAA4" w14:textId="77777777" w:rsidTr="00774E78">
        <w:trPr>
          <w:cantSplit/>
        </w:trPr>
        <w:tc>
          <w:tcPr>
            <w:tcW w:w="4253" w:type="dxa"/>
            <w:vAlign w:val="bottom"/>
          </w:tcPr>
          <w:p w14:paraId="24C6E21A" w14:textId="77777777" w:rsidR="001C65EF" w:rsidRPr="00204FB3" w:rsidRDefault="001C65EF" w:rsidP="00AB0B14">
            <w:pPr>
              <w:pStyle w:val="TblTextLeft"/>
              <w:rPr>
                <w:b/>
                <w:lang w:val="en-AU" w:eastAsia="en-AU"/>
              </w:rPr>
            </w:pPr>
            <w:r w:rsidRPr="00204FB3">
              <w:rPr>
                <w:b/>
                <w:lang w:val="en-AU" w:eastAsia="en-AU"/>
              </w:rPr>
              <w:t>Investigations</w:t>
            </w:r>
          </w:p>
        </w:tc>
        <w:tc>
          <w:tcPr>
            <w:tcW w:w="2693" w:type="dxa"/>
            <w:vAlign w:val="bottom"/>
          </w:tcPr>
          <w:p w14:paraId="7CDCB564" w14:textId="77777777" w:rsidR="001C65EF" w:rsidRPr="00204FB3" w:rsidRDefault="001C65EF" w:rsidP="00AB0B14">
            <w:pPr>
              <w:pStyle w:val="TblTextLeft"/>
              <w:rPr>
                <w:lang w:val="en-AU" w:eastAsia="en-AU"/>
              </w:rPr>
            </w:pPr>
          </w:p>
        </w:tc>
        <w:tc>
          <w:tcPr>
            <w:tcW w:w="2551" w:type="dxa"/>
            <w:vAlign w:val="bottom"/>
          </w:tcPr>
          <w:p w14:paraId="3A27B524" w14:textId="77777777" w:rsidR="001C65EF" w:rsidRPr="00204FB3" w:rsidRDefault="001C65EF" w:rsidP="00AB0B14">
            <w:pPr>
              <w:pStyle w:val="TblTextLeft"/>
              <w:rPr>
                <w:lang w:val="en-AU" w:eastAsia="en-AU"/>
              </w:rPr>
            </w:pPr>
          </w:p>
        </w:tc>
      </w:tr>
      <w:tr w:rsidR="001C65EF" w:rsidRPr="00204FB3" w14:paraId="17A9DDC3" w14:textId="77777777" w:rsidTr="00774E78">
        <w:trPr>
          <w:cantSplit/>
        </w:trPr>
        <w:tc>
          <w:tcPr>
            <w:tcW w:w="4253" w:type="dxa"/>
            <w:vAlign w:val="bottom"/>
          </w:tcPr>
          <w:p w14:paraId="27A250C6" w14:textId="77777777" w:rsidR="001C65EF" w:rsidRPr="00204FB3" w:rsidRDefault="001C65EF" w:rsidP="00AB0B14">
            <w:pPr>
              <w:pStyle w:val="TblTextLeft"/>
              <w:rPr>
                <w:lang w:val="en-AU" w:eastAsia="en-AU"/>
              </w:rPr>
            </w:pPr>
            <w:r w:rsidRPr="00204FB3">
              <w:rPr>
                <w:lang w:val="en-AU" w:eastAsia="en-AU"/>
              </w:rPr>
              <w:t>Alanine aminotransferase increased</w:t>
            </w:r>
          </w:p>
        </w:tc>
        <w:tc>
          <w:tcPr>
            <w:tcW w:w="2693" w:type="dxa"/>
            <w:vAlign w:val="bottom"/>
          </w:tcPr>
          <w:p w14:paraId="19018271" w14:textId="43EB1647" w:rsidR="001C65EF" w:rsidRPr="00204FB3" w:rsidRDefault="002C02F2" w:rsidP="00AB0B14">
            <w:pPr>
              <w:pStyle w:val="TblTextLeft"/>
              <w:rPr>
                <w:lang w:val="en-AU" w:eastAsia="en-AU"/>
              </w:rPr>
            </w:pPr>
            <w:r w:rsidRPr="00204FB3">
              <w:rPr>
                <w:lang w:val="en-AU" w:eastAsia="en-AU"/>
              </w:rPr>
              <w:tab/>
              <w:t>12</w:t>
            </w:r>
            <w:r w:rsidR="001C65EF" w:rsidRPr="00204FB3">
              <w:rPr>
                <w:lang w:val="en-AU" w:eastAsia="en-AU"/>
              </w:rPr>
              <w:t xml:space="preserve"> (0.9%)</w:t>
            </w:r>
          </w:p>
        </w:tc>
        <w:tc>
          <w:tcPr>
            <w:tcW w:w="2551" w:type="dxa"/>
            <w:vAlign w:val="bottom"/>
          </w:tcPr>
          <w:p w14:paraId="69F5D99A" w14:textId="31477F09" w:rsidR="001C65EF" w:rsidRPr="00204FB3" w:rsidRDefault="002C02F2" w:rsidP="00AB0B14">
            <w:pPr>
              <w:pStyle w:val="TblTextLeft"/>
              <w:rPr>
                <w:lang w:val="en-AU" w:eastAsia="en-AU"/>
              </w:rPr>
            </w:pPr>
            <w:r w:rsidRPr="00204FB3">
              <w:rPr>
                <w:lang w:val="en-AU" w:eastAsia="en-AU"/>
              </w:rPr>
              <w:tab/>
              <w:t>29</w:t>
            </w:r>
            <w:r w:rsidR="001C65EF" w:rsidRPr="00204FB3">
              <w:rPr>
                <w:lang w:val="en-AU" w:eastAsia="en-AU"/>
              </w:rPr>
              <w:t xml:space="preserve"> (1.2%)</w:t>
            </w:r>
          </w:p>
        </w:tc>
      </w:tr>
      <w:tr w:rsidR="001C65EF" w:rsidRPr="00204FB3" w14:paraId="271A10A3" w14:textId="77777777" w:rsidTr="00774E78">
        <w:trPr>
          <w:cantSplit/>
        </w:trPr>
        <w:tc>
          <w:tcPr>
            <w:tcW w:w="4253" w:type="dxa"/>
            <w:vAlign w:val="bottom"/>
          </w:tcPr>
          <w:p w14:paraId="6AAD3C22" w14:textId="77777777" w:rsidR="001C65EF" w:rsidRPr="00204FB3" w:rsidRDefault="001C65EF" w:rsidP="00AB0B14">
            <w:pPr>
              <w:pStyle w:val="TblTextLeft"/>
              <w:rPr>
                <w:lang w:val="en-AU" w:eastAsia="en-AU"/>
              </w:rPr>
            </w:pPr>
          </w:p>
        </w:tc>
        <w:tc>
          <w:tcPr>
            <w:tcW w:w="2693" w:type="dxa"/>
            <w:vAlign w:val="bottom"/>
          </w:tcPr>
          <w:p w14:paraId="12E8CA55" w14:textId="77777777" w:rsidR="001C65EF" w:rsidRPr="00204FB3" w:rsidRDefault="001C65EF" w:rsidP="00AB0B14">
            <w:pPr>
              <w:pStyle w:val="TblTextLeft"/>
              <w:rPr>
                <w:lang w:val="en-AU" w:eastAsia="en-AU"/>
              </w:rPr>
            </w:pPr>
          </w:p>
        </w:tc>
        <w:tc>
          <w:tcPr>
            <w:tcW w:w="2551" w:type="dxa"/>
            <w:vAlign w:val="bottom"/>
          </w:tcPr>
          <w:p w14:paraId="07A6DA87" w14:textId="77777777" w:rsidR="001C65EF" w:rsidRPr="00204FB3" w:rsidRDefault="001C65EF" w:rsidP="00AB0B14">
            <w:pPr>
              <w:pStyle w:val="TblTextLeft"/>
              <w:rPr>
                <w:lang w:val="en-AU" w:eastAsia="en-AU"/>
              </w:rPr>
            </w:pPr>
          </w:p>
        </w:tc>
      </w:tr>
      <w:tr w:rsidR="001C65EF" w:rsidRPr="00204FB3" w14:paraId="5DAC040D" w14:textId="77777777" w:rsidTr="00774E78">
        <w:trPr>
          <w:cantSplit/>
        </w:trPr>
        <w:tc>
          <w:tcPr>
            <w:tcW w:w="4253" w:type="dxa"/>
            <w:vAlign w:val="bottom"/>
          </w:tcPr>
          <w:p w14:paraId="2DFCFB68" w14:textId="77777777" w:rsidR="001C65EF" w:rsidRPr="00204FB3" w:rsidRDefault="001C65EF" w:rsidP="00AB0B14">
            <w:pPr>
              <w:pStyle w:val="TblTextLeft"/>
              <w:rPr>
                <w:b/>
                <w:lang w:val="en-AU" w:eastAsia="en-AU"/>
              </w:rPr>
            </w:pPr>
            <w:r w:rsidRPr="00204FB3">
              <w:rPr>
                <w:b/>
                <w:lang w:val="en-AU" w:eastAsia="en-AU"/>
              </w:rPr>
              <w:t>Injury, poisoning and procedural complications</w:t>
            </w:r>
          </w:p>
        </w:tc>
        <w:tc>
          <w:tcPr>
            <w:tcW w:w="2693" w:type="dxa"/>
            <w:vAlign w:val="bottom"/>
          </w:tcPr>
          <w:p w14:paraId="5D45957A" w14:textId="77777777" w:rsidR="001C65EF" w:rsidRPr="00204FB3" w:rsidRDefault="001C65EF" w:rsidP="00AB0B14">
            <w:pPr>
              <w:pStyle w:val="TblTextLeft"/>
              <w:rPr>
                <w:lang w:val="en-AU" w:eastAsia="en-AU"/>
              </w:rPr>
            </w:pPr>
          </w:p>
        </w:tc>
        <w:tc>
          <w:tcPr>
            <w:tcW w:w="2551" w:type="dxa"/>
            <w:vAlign w:val="bottom"/>
          </w:tcPr>
          <w:p w14:paraId="51845B36" w14:textId="77777777" w:rsidR="001C65EF" w:rsidRPr="00204FB3" w:rsidRDefault="001C65EF" w:rsidP="00AB0B14">
            <w:pPr>
              <w:pStyle w:val="TblTextLeft"/>
              <w:rPr>
                <w:lang w:val="en-AU" w:eastAsia="en-AU"/>
              </w:rPr>
            </w:pPr>
          </w:p>
        </w:tc>
      </w:tr>
      <w:tr w:rsidR="001C65EF" w:rsidRPr="00204FB3" w14:paraId="4D3822EE" w14:textId="77777777" w:rsidTr="00774E78">
        <w:trPr>
          <w:cantSplit/>
        </w:trPr>
        <w:tc>
          <w:tcPr>
            <w:tcW w:w="4253" w:type="dxa"/>
            <w:vAlign w:val="bottom"/>
          </w:tcPr>
          <w:p w14:paraId="2B2453F8" w14:textId="77777777" w:rsidR="001C65EF" w:rsidRPr="00204FB3" w:rsidRDefault="001C65EF" w:rsidP="00AB0B14">
            <w:pPr>
              <w:pStyle w:val="TblTextLeft"/>
              <w:rPr>
                <w:lang w:val="en-AU" w:eastAsia="en-AU"/>
              </w:rPr>
            </w:pPr>
            <w:r w:rsidRPr="00204FB3">
              <w:rPr>
                <w:lang w:val="en-AU" w:eastAsia="en-AU"/>
              </w:rPr>
              <w:t>Contusion</w:t>
            </w:r>
          </w:p>
        </w:tc>
        <w:tc>
          <w:tcPr>
            <w:tcW w:w="2693" w:type="dxa"/>
            <w:vAlign w:val="bottom"/>
          </w:tcPr>
          <w:p w14:paraId="2BB6247E" w14:textId="3BD44A1C" w:rsidR="001C65EF" w:rsidRPr="00204FB3" w:rsidRDefault="002C02F2" w:rsidP="00AB0B14">
            <w:pPr>
              <w:pStyle w:val="TblTextLeft"/>
              <w:rPr>
                <w:lang w:val="en-AU" w:eastAsia="en-AU"/>
              </w:rPr>
            </w:pPr>
            <w:r w:rsidRPr="00204FB3">
              <w:rPr>
                <w:lang w:val="en-AU" w:eastAsia="en-AU"/>
              </w:rPr>
              <w:tab/>
              <w:t>17</w:t>
            </w:r>
            <w:r w:rsidR="001C65EF" w:rsidRPr="00204FB3">
              <w:rPr>
                <w:lang w:val="en-AU" w:eastAsia="en-AU"/>
              </w:rPr>
              <w:t xml:space="preserve"> (1.3%)</w:t>
            </w:r>
          </w:p>
        </w:tc>
        <w:tc>
          <w:tcPr>
            <w:tcW w:w="2551" w:type="dxa"/>
            <w:vAlign w:val="bottom"/>
          </w:tcPr>
          <w:p w14:paraId="05A2AF9F" w14:textId="225227DB" w:rsidR="001C65EF" w:rsidRPr="00204FB3" w:rsidRDefault="002C02F2" w:rsidP="00AB0B14">
            <w:pPr>
              <w:pStyle w:val="TblTextLeft"/>
              <w:rPr>
                <w:lang w:val="en-AU" w:eastAsia="en-AU"/>
              </w:rPr>
            </w:pPr>
            <w:r w:rsidRPr="00204FB3">
              <w:rPr>
                <w:lang w:val="en-AU" w:eastAsia="en-AU"/>
              </w:rPr>
              <w:tab/>
              <w:t>57</w:t>
            </w:r>
            <w:r w:rsidR="001C65EF" w:rsidRPr="00204FB3">
              <w:rPr>
                <w:lang w:val="en-AU" w:eastAsia="en-AU"/>
              </w:rPr>
              <w:t xml:space="preserve"> (2.3%)</w:t>
            </w:r>
          </w:p>
        </w:tc>
      </w:tr>
      <w:tr w:rsidR="001C65EF" w:rsidRPr="00204FB3" w14:paraId="5CB4BC2C" w14:textId="77777777" w:rsidTr="00774E78">
        <w:trPr>
          <w:cantSplit/>
        </w:trPr>
        <w:tc>
          <w:tcPr>
            <w:tcW w:w="4253" w:type="dxa"/>
            <w:vAlign w:val="bottom"/>
          </w:tcPr>
          <w:p w14:paraId="7DA0D8D4" w14:textId="77777777" w:rsidR="001C65EF" w:rsidRPr="00204FB3" w:rsidRDefault="001C65EF" w:rsidP="00AB0B14">
            <w:pPr>
              <w:pStyle w:val="TblTextLeft"/>
              <w:rPr>
                <w:lang w:val="en-AU" w:eastAsia="en-AU"/>
              </w:rPr>
            </w:pPr>
            <w:r w:rsidRPr="00204FB3">
              <w:rPr>
                <w:lang w:val="en-AU" w:eastAsia="en-AU"/>
              </w:rPr>
              <w:t>Accidental overdose</w:t>
            </w:r>
          </w:p>
        </w:tc>
        <w:tc>
          <w:tcPr>
            <w:tcW w:w="2693" w:type="dxa"/>
            <w:vAlign w:val="bottom"/>
          </w:tcPr>
          <w:p w14:paraId="1EAB2B16" w14:textId="631FF1B5" w:rsidR="001C65EF" w:rsidRPr="00204FB3" w:rsidRDefault="002C02F2" w:rsidP="00AB0B14">
            <w:pPr>
              <w:pStyle w:val="TblTextLeft"/>
              <w:rPr>
                <w:lang w:val="en-AU" w:eastAsia="en-AU"/>
              </w:rPr>
            </w:pPr>
            <w:r w:rsidRPr="00204FB3">
              <w:rPr>
                <w:lang w:val="en-AU" w:eastAsia="en-AU"/>
              </w:rPr>
              <w:tab/>
              <w:t>17</w:t>
            </w:r>
            <w:r w:rsidR="001C65EF" w:rsidRPr="00204FB3">
              <w:rPr>
                <w:lang w:val="en-AU" w:eastAsia="en-AU"/>
              </w:rPr>
              <w:t xml:space="preserve"> (1.3%)</w:t>
            </w:r>
          </w:p>
        </w:tc>
        <w:tc>
          <w:tcPr>
            <w:tcW w:w="2551" w:type="dxa"/>
            <w:vAlign w:val="bottom"/>
          </w:tcPr>
          <w:p w14:paraId="27A0BE64" w14:textId="50C6E958" w:rsidR="001C65EF" w:rsidRPr="00204FB3" w:rsidRDefault="002C02F2" w:rsidP="00AB0B14">
            <w:pPr>
              <w:pStyle w:val="TblTextLeft"/>
              <w:rPr>
                <w:lang w:val="en-AU" w:eastAsia="en-AU"/>
              </w:rPr>
            </w:pPr>
            <w:r w:rsidRPr="00204FB3">
              <w:rPr>
                <w:lang w:val="en-AU" w:eastAsia="en-AU"/>
              </w:rPr>
              <w:tab/>
              <w:t xml:space="preserve">35 </w:t>
            </w:r>
            <w:r w:rsidR="001C65EF" w:rsidRPr="00204FB3">
              <w:rPr>
                <w:lang w:val="en-AU" w:eastAsia="en-AU"/>
              </w:rPr>
              <w:t>(1.4%)</w:t>
            </w:r>
          </w:p>
        </w:tc>
      </w:tr>
      <w:tr w:rsidR="001C65EF" w:rsidRPr="00204FB3" w14:paraId="292A203E" w14:textId="77777777" w:rsidTr="00774E78">
        <w:trPr>
          <w:cantSplit/>
        </w:trPr>
        <w:tc>
          <w:tcPr>
            <w:tcW w:w="4253" w:type="dxa"/>
            <w:vAlign w:val="bottom"/>
          </w:tcPr>
          <w:p w14:paraId="1CA3C684" w14:textId="77777777" w:rsidR="001C65EF" w:rsidRPr="00204FB3" w:rsidRDefault="001C65EF" w:rsidP="00AB0B14">
            <w:pPr>
              <w:pStyle w:val="TblTextLeft"/>
              <w:rPr>
                <w:lang w:val="en-AU" w:eastAsia="en-AU"/>
              </w:rPr>
            </w:pPr>
            <w:r w:rsidRPr="00204FB3">
              <w:rPr>
                <w:lang w:val="en-AU" w:eastAsia="en-AU"/>
              </w:rPr>
              <w:t>Laceration</w:t>
            </w:r>
          </w:p>
        </w:tc>
        <w:tc>
          <w:tcPr>
            <w:tcW w:w="2693" w:type="dxa"/>
            <w:vAlign w:val="bottom"/>
          </w:tcPr>
          <w:p w14:paraId="52038A52" w14:textId="1CAE6DC2" w:rsidR="001C65EF" w:rsidRPr="00204FB3" w:rsidRDefault="00774E78" w:rsidP="00774E78">
            <w:pPr>
              <w:pStyle w:val="TblTextLeft"/>
              <w:rPr>
                <w:lang w:val="en-AU" w:eastAsia="en-AU"/>
              </w:rPr>
            </w:pPr>
            <w:r w:rsidRPr="00204FB3">
              <w:rPr>
                <w:lang w:val="en-AU" w:eastAsia="en-AU"/>
              </w:rPr>
              <w:t xml:space="preserve">                 8 </w:t>
            </w:r>
            <w:r w:rsidR="001C65EF" w:rsidRPr="00204FB3">
              <w:rPr>
                <w:lang w:val="en-AU" w:eastAsia="en-AU"/>
              </w:rPr>
              <w:t>(0.6%)</w:t>
            </w:r>
          </w:p>
        </w:tc>
        <w:tc>
          <w:tcPr>
            <w:tcW w:w="2551" w:type="dxa"/>
            <w:vAlign w:val="bottom"/>
          </w:tcPr>
          <w:p w14:paraId="6CDE59DB" w14:textId="3DB369C6" w:rsidR="001C65EF" w:rsidRPr="00204FB3" w:rsidRDefault="002C02F2" w:rsidP="002C02F2">
            <w:pPr>
              <w:pStyle w:val="TblTextLeft"/>
              <w:rPr>
                <w:lang w:val="en-AU" w:eastAsia="en-AU"/>
              </w:rPr>
            </w:pPr>
            <w:r w:rsidRPr="00204FB3">
              <w:rPr>
                <w:lang w:val="en-AU" w:eastAsia="en-AU"/>
              </w:rPr>
              <w:t xml:space="preserve">                </w:t>
            </w:r>
            <w:r w:rsidR="001C65EF" w:rsidRPr="00204FB3">
              <w:rPr>
                <w:lang w:val="en-AU" w:eastAsia="en-AU"/>
              </w:rPr>
              <w:t>27 (1.1%)</w:t>
            </w:r>
          </w:p>
        </w:tc>
      </w:tr>
      <w:tr w:rsidR="001C65EF" w:rsidRPr="00204FB3" w14:paraId="0719F67F" w14:textId="77777777" w:rsidTr="00774E78">
        <w:trPr>
          <w:cantSplit/>
          <w:tblHeader/>
        </w:trPr>
        <w:tc>
          <w:tcPr>
            <w:tcW w:w="9497" w:type="dxa"/>
            <w:gridSpan w:val="3"/>
          </w:tcPr>
          <w:p w14:paraId="5023C3C3" w14:textId="77777777" w:rsidR="001C65EF" w:rsidRPr="00204FB3" w:rsidRDefault="001C65EF" w:rsidP="00AB0B14">
            <w:pPr>
              <w:pStyle w:val="TblTextLeft"/>
              <w:rPr>
                <w:lang w:val="en-AU" w:eastAsia="en-AU"/>
              </w:rPr>
            </w:pPr>
          </w:p>
        </w:tc>
      </w:tr>
    </w:tbl>
    <w:p w14:paraId="0A1213C6" w14:textId="158D5B1D" w:rsidR="001C65EF" w:rsidRPr="00204FB3" w:rsidRDefault="001C65EF" w:rsidP="001C65EF">
      <w:pPr>
        <w:rPr>
          <w:color w:val="auto"/>
        </w:rPr>
      </w:pPr>
      <w:r w:rsidRPr="00204FB3">
        <w:rPr>
          <w:color w:val="auto"/>
        </w:rPr>
        <w:fldChar w:fldCharType="begin"/>
      </w:r>
      <w:r w:rsidRPr="00204FB3">
        <w:rPr>
          <w:color w:val="auto"/>
        </w:rPr>
        <w:instrText xml:space="preserve"> REF _Ref487714793 \h  \* MERGEFORMAT </w:instrText>
      </w:r>
      <w:r w:rsidRPr="00204FB3">
        <w:rPr>
          <w:color w:val="auto"/>
        </w:rPr>
      </w:r>
      <w:r w:rsidRPr="00204FB3">
        <w:rPr>
          <w:color w:val="auto"/>
        </w:rPr>
        <w:fldChar w:fldCharType="separate"/>
      </w:r>
      <w:r w:rsidR="0052180F" w:rsidRPr="0052180F">
        <w:rPr>
          <w:color w:val="auto"/>
        </w:rPr>
        <w:t>Table 3</w:t>
      </w:r>
      <w:r w:rsidRPr="00204FB3">
        <w:rPr>
          <w:color w:val="auto"/>
        </w:rPr>
        <w:fldChar w:fldCharType="end"/>
      </w:r>
      <w:r w:rsidRPr="00204FB3">
        <w:rPr>
          <w:color w:val="auto"/>
        </w:rPr>
        <w:t xml:space="preserve"> shows the adverse events reported in ≥1% of patients treated with alirocumab and more frequently than with ezetimibe in pooled ezetimibe-controlled studies. </w:t>
      </w:r>
    </w:p>
    <w:p w14:paraId="728D37CB" w14:textId="7E5FC7E6" w:rsidR="001C65EF" w:rsidRPr="00204FB3" w:rsidRDefault="001C65EF" w:rsidP="001C65EF">
      <w:pPr>
        <w:pStyle w:val="Caption"/>
      </w:pPr>
      <w:r w:rsidRPr="00204FB3">
        <w:t xml:space="preserve"> </w:t>
      </w:r>
      <w:bookmarkStart w:id="2" w:name="_Ref487714793"/>
      <w:r w:rsidRPr="00204FB3">
        <w:t>Table </w:t>
      </w:r>
      <w:r w:rsidRPr="00204FB3">
        <w:fldChar w:fldCharType="begin"/>
      </w:r>
      <w:r w:rsidRPr="00204FB3">
        <w:instrText xml:space="preserve"> SEQ Table \* ARABIC </w:instrText>
      </w:r>
      <w:r w:rsidRPr="00204FB3">
        <w:fldChar w:fldCharType="separate"/>
      </w:r>
      <w:r w:rsidR="0052180F">
        <w:rPr>
          <w:noProof/>
        </w:rPr>
        <w:t>3</w:t>
      </w:r>
      <w:r w:rsidRPr="00204FB3">
        <w:fldChar w:fldCharType="end"/>
      </w:r>
      <w:bookmarkEnd w:id="2"/>
      <w:r w:rsidRPr="00204FB3">
        <w:t xml:space="preserve"> ­ Adverse events occurring in ≥1% of patients treated with alirocumab and more frequently than with ezetimibe in the pool of ezetimibe-controlled trials</w:t>
      </w:r>
    </w:p>
    <w:tbl>
      <w:tblPr>
        <w:tblW w:w="9677" w:type="dxa"/>
        <w:tblInd w:w="-108" w:type="dxa"/>
        <w:tblLayout w:type="fixed"/>
        <w:tblLook w:val="0000" w:firstRow="0" w:lastRow="0" w:firstColumn="0" w:lastColumn="0" w:noHBand="0" w:noVBand="0"/>
      </w:tblPr>
      <w:tblGrid>
        <w:gridCol w:w="216"/>
        <w:gridCol w:w="4179"/>
        <w:gridCol w:w="216"/>
        <w:gridCol w:w="2477"/>
        <w:gridCol w:w="216"/>
        <w:gridCol w:w="2157"/>
        <w:gridCol w:w="216"/>
      </w:tblGrid>
      <w:tr w:rsidR="001C65EF" w:rsidRPr="00204FB3" w14:paraId="4FB696D6" w14:textId="77777777" w:rsidTr="00774E78">
        <w:trPr>
          <w:gridBefore w:val="1"/>
          <w:wBefore w:w="216" w:type="dxa"/>
          <w:cantSplit/>
          <w:tblHeader/>
        </w:trPr>
        <w:tc>
          <w:tcPr>
            <w:tcW w:w="4395" w:type="dxa"/>
            <w:gridSpan w:val="2"/>
            <w:tcBorders>
              <w:top w:val="single" w:sz="4" w:space="0" w:color="auto"/>
              <w:bottom w:val="single" w:sz="6" w:space="0" w:color="auto"/>
            </w:tcBorders>
            <w:vAlign w:val="bottom"/>
          </w:tcPr>
          <w:p w14:paraId="2EA24EAC" w14:textId="77777777" w:rsidR="001C65EF" w:rsidRPr="00204FB3" w:rsidRDefault="001C65EF" w:rsidP="00774E78">
            <w:pPr>
              <w:pStyle w:val="TblTextLeft"/>
              <w:jc w:val="center"/>
              <w:rPr>
                <w:b/>
                <w:lang w:val="en-AU" w:eastAsia="en-AU"/>
              </w:rPr>
            </w:pPr>
            <w:r w:rsidRPr="00204FB3">
              <w:rPr>
                <w:b/>
                <w:lang w:val="en-AU" w:eastAsia="en-AU"/>
              </w:rPr>
              <w:t>Primary System Organ Class</w:t>
            </w:r>
          </w:p>
          <w:p w14:paraId="23B0F3EE" w14:textId="77777777" w:rsidR="001C65EF" w:rsidRPr="00204FB3" w:rsidRDefault="001C65EF" w:rsidP="00774E78">
            <w:pPr>
              <w:pStyle w:val="TblTextLeft"/>
              <w:jc w:val="center"/>
              <w:rPr>
                <w:b/>
                <w:lang w:val="en-AU" w:eastAsia="en-AU"/>
              </w:rPr>
            </w:pPr>
            <w:r w:rsidRPr="00204FB3">
              <w:rPr>
                <w:b/>
                <w:lang w:val="en-AU" w:eastAsia="en-AU"/>
              </w:rPr>
              <w:t>Preferred Term n(%)</w:t>
            </w:r>
          </w:p>
        </w:tc>
        <w:tc>
          <w:tcPr>
            <w:tcW w:w="2693" w:type="dxa"/>
            <w:gridSpan w:val="2"/>
            <w:tcBorders>
              <w:top w:val="single" w:sz="4" w:space="0" w:color="auto"/>
              <w:left w:val="nil"/>
              <w:bottom w:val="single" w:sz="6" w:space="0" w:color="auto"/>
            </w:tcBorders>
            <w:vAlign w:val="bottom"/>
          </w:tcPr>
          <w:p w14:paraId="568AA3F6" w14:textId="77777777" w:rsidR="001C65EF" w:rsidRPr="00204FB3" w:rsidRDefault="001C65EF" w:rsidP="00774E78">
            <w:pPr>
              <w:pStyle w:val="TblTextLeft"/>
              <w:jc w:val="center"/>
              <w:rPr>
                <w:b/>
                <w:lang w:val="en-AU" w:eastAsia="en-AU"/>
              </w:rPr>
            </w:pPr>
            <w:r w:rsidRPr="00204FB3">
              <w:rPr>
                <w:b/>
                <w:lang w:val="en-AU" w:eastAsia="en-AU"/>
              </w:rPr>
              <w:t>Ezetimibe</w:t>
            </w:r>
          </w:p>
          <w:p w14:paraId="1FC0FE8B" w14:textId="77777777" w:rsidR="001C65EF" w:rsidRPr="00204FB3" w:rsidRDefault="001C65EF" w:rsidP="00774E78">
            <w:pPr>
              <w:pStyle w:val="TblTextLeft"/>
              <w:jc w:val="center"/>
              <w:rPr>
                <w:b/>
                <w:lang w:val="en-AU" w:eastAsia="en-AU"/>
              </w:rPr>
            </w:pPr>
            <w:r w:rsidRPr="00204FB3">
              <w:rPr>
                <w:b/>
                <w:lang w:val="en-AU" w:eastAsia="en-AU"/>
              </w:rPr>
              <w:t>(N=618)</w:t>
            </w:r>
          </w:p>
        </w:tc>
        <w:tc>
          <w:tcPr>
            <w:tcW w:w="2373" w:type="dxa"/>
            <w:gridSpan w:val="2"/>
            <w:tcBorders>
              <w:top w:val="single" w:sz="4" w:space="0" w:color="auto"/>
              <w:left w:val="nil"/>
              <w:bottom w:val="single" w:sz="6" w:space="0" w:color="auto"/>
            </w:tcBorders>
            <w:vAlign w:val="bottom"/>
          </w:tcPr>
          <w:p w14:paraId="49F1DCBC" w14:textId="77777777" w:rsidR="001C65EF" w:rsidRPr="00204FB3" w:rsidRDefault="001C65EF" w:rsidP="00774E78">
            <w:pPr>
              <w:pStyle w:val="TblTextLeft"/>
              <w:jc w:val="center"/>
              <w:rPr>
                <w:b/>
                <w:lang w:val="en-AU" w:eastAsia="en-AU"/>
              </w:rPr>
            </w:pPr>
            <w:r w:rsidRPr="00204FB3">
              <w:rPr>
                <w:b/>
                <w:lang w:val="en-AU" w:eastAsia="en-AU"/>
              </w:rPr>
              <w:t>Alirocumab</w:t>
            </w:r>
          </w:p>
          <w:p w14:paraId="5EADE1A6" w14:textId="77777777" w:rsidR="001C65EF" w:rsidRPr="00204FB3" w:rsidRDefault="001C65EF" w:rsidP="00774E78">
            <w:pPr>
              <w:pStyle w:val="TblTextLeft"/>
              <w:jc w:val="center"/>
              <w:rPr>
                <w:b/>
                <w:lang w:val="en-AU" w:eastAsia="en-AU"/>
              </w:rPr>
            </w:pPr>
            <w:r w:rsidRPr="00204FB3">
              <w:rPr>
                <w:b/>
                <w:lang w:val="en-AU" w:eastAsia="en-AU"/>
              </w:rPr>
              <w:t>(N=864)</w:t>
            </w:r>
          </w:p>
        </w:tc>
      </w:tr>
      <w:tr w:rsidR="001C65EF" w:rsidRPr="00204FB3" w14:paraId="011F5412" w14:textId="77777777" w:rsidTr="00774E78">
        <w:trPr>
          <w:gridBefore w:val="1"/>
          <w:wBefore w:w="216" w:type="dxa"/>
          <w:cantSplit/>
        </w:trPr>
        <w:tc>
          <w:tcPr>
            <w:tcW w:w="4395" w:type="dxa"/>
            <w:gridSpan w:val="2"/>
            <w:vAlign w:val="bottom"/>
          </w:tcPr>
          <w:p w14:paraId="2AC58169" w14:textId="77777777" w:rsidR="001C65EF" w:rsidRPr="00204FB3" w:rsidRDefault="001C65EF" w:rsidP="00774E78">
            <w:pPr>
              <w:pStyle w:val="TblTextLeft"/>
              <w:rPr>
                <w:b/>
                <w:lang w:val="en-AU" w:eastAsia="en-AU"/>
              </w:rPr>
            </w:pPr>
            <w:r w:rsidRPr="00204FB3">
              <w:rPr>
                <w:b/>
                <w:lang w:val="en-AU" w:eastAsia="en-AU"/>
              </w:rPr>
              <w:t>Infections and infestations</w:t>
            </w:r>
          </w:p>
        </w:tc>
        <w:tc>
          <w:tcPr>
            <w:tcW w:w="2693" w:type="dxa"/>
            <w:gridSpan w:val="2"/>
            <w:tcBorders>
              <w:left w:val="nil"/>
            </w:tcBorders>
            <w:vAlign w:val="bottom"/>
          </w:tcPr>
          <w:p w14:paraId="760261AC" w14:textId="77777777" w:rsidR="001C65EF" w:rsidRPr="00204FB3" w:rsidRDefault="001C65EF" w:rsidP="00774E78">
            <w:pPr>
              <w:pStyle w:val="TblTextLeft"/>
              <w:rPr>
                <w:lang w:val="en-AU" w:eastAsia="en-AU"/>
              </w:rPr>
            </w:pPr>
          </w:p>
        </w:tc>
        <w:tc>
          <w:tcPr>
            <w:tcW w:w="2373" w:type="dxa"/>
            <w:gridSpan w:val="2"/>
            <w:tcBorders>
              <w:left w:val="nil"/>
            </w:tcBorders>
            <w:vAlign w:val="bottom"/>
          </w:tcPr>
          <w:p w14:paraId="5469FD18" w14:textId="77777777" w:rsidR="001C65EF" w:rsidRPr="00204FB3" w:rsidRDefault="001C65EF" w:rsidP="00774E78">
            <w:pPr>
              <w:pStyle w:val="TblTextLeft"/>
              <w:rPr>
                <w:lang w:val="en-AU" w:eastAsia="en-AU"/>
              </w:rPr>
            </w:pPr>
          </w:p>
        </w:tc>
      </w:tr>
      <w:tr w:rsidR="001C65EF" w:rsidRPr="00204FB3" w14:paraId="3509B2A8" w14:textId="77777777" w:rsidTr="00774E78">
        <w:trPr>
          <w:gridAfter w:val="1"/>
          <w:wAfter w:w="216" w:type="dxa"/>
          <w:cantSplit/>
        </w:trPr>
        <w:tc>
          <w:tcPr>
            <w:tcW w:w="4395" w:type="dxa"/>
            <w:gridSpan w:val="2"/>
            <w:vAlign w:val="bottom"/>
          </w:tcPr>
          <w:p w14:paraId="29E8DB8E" w14:textId="77777777" w:rsidR="001C65EF" w:rsidRPr="00204FB3" w:rsidRDefault="001C65EF" w:rsidP="00774E78">
            <w:pPr>
              <w:pStyle w:val="TblTextLeft"/>
              <w:rPr>
                <w:lang w:val="en-AU" w:eastAsia="en-AU"/>
              </w:rPr>
            </w:pPr>
            <w:r w:rsidRPr="00204FB3">
              <w:rPr>
                <w:lang w:val="en-AU" w:eastAsia="en-AU"/>
              </w:rPr>
              <w:t>Upper respiratory tract infection</w:t>
            </w:r>
          </w:p>
        </w:tc>
        <w:tc>
          <w:tcPr>
            <w:tcW w:w="2693" w:type="dxa"/>
            <w:gridSpan w:val="2"/>
            <w:tcBorders>
              <w:left w:val="nil"/>
            </w:tcBorders>
            <w:vAlign w:val="bottom"/>
          </w:tcPr>
          <w:p w14:paraId="653BA616" w14:textId="73292C2C" w:rsidR="001C65EF" w:rsidRPr="00204FB3" w:rsidRDefault="00774E78" w:rsidP="00774E78">
            <w:pPr>
              <w:pStyle w:val="TblTextLeft"/>
              <w:jc w:val="center"/>
              <w:rPr>
                <w:lang w:val="en-AU" w:eastAsia="en-AU"/>
              </w:rPr>
            </w:pPr>
            <w:r w:rsidRPr="00204FB3">
              <w:rPr>
                <w:lang w:val="en-AU" w:eastAsia="en-AU"/>
              </w:rPr>
              <w:t>40</w:t>
            </w:r>
            <w:r w:rsidR="001C65EF" w:rsidRPr="00204FB3">
              <w:rPr>
                <w:lang w:val="en-AU" w:eastAsia="en-AU"/>
              </w:rPr>
              <w:t xml:space="preserve"> (6.5%)</w:t>
            </w:r>
          </w:p>
        </w:tc>
        <w:tc>
          <w:tcPr>
            <w:tcW w:w="2373" w:type="dxa"/>
            <w:gridSpan w:val="2"/>
            <w:tcBorders>
              <w:left w:val="nil"/>
            </w:tcBorders>
            <w:vAlign w:val="bottom"/>
          </w:tcPr>
          <w:p w14:paraId="3C5F749E" w14:textId="34F9FB8B" w:rsidR="001C65EF" w:rsidRPr="00204FB3" w:rsidRDefault="00907C32" w:rsidP="00774E78">
            <w:pPr>
              <w:pStyle w:val="TblTextLeft"/>
              <w:rPr>
                <w:lang w:val="en-AU" w:eastAsia="en-AU"/>
              </w:rPr>
            </w:pPr>
            <w:r w:rsidRPr="00204FB3">
              <w:rPr>
                <w:lang w:val="en-AU" w:eastAsia="en-AU"/>
              </w:rPr>
              <w:tab/>
              <w:t>62</w:t>
            </w:r>
            <w:r w:rsidR="001C65EF" w:rsidRPr="00204FB3">
              <w:rPr>
                <w:lang w:val="en-AU" w:eastAsia="en-AU"/>
              </w:rPr>
              <w:t xml:space="preserve"> (7.2%)</w:t>
            </w:r>
          </w:p>
        </w:tc>
      </w:tr>
      <w:tr w:rsidR="001C65EF" w:rsidRPr="00204FB3" w14:paraId="1F71F008" w14:textId="77777777" w:rsidTr="00774E78">
        <w:trPr>
          <w:gridAfter w:val="1"/>
          <w:wAfter w:w="216" w:type="dxa"/>
          <w:cantSplit/>
        </w:trPr>
        <w:tc>
          <w:tcPr>
            <w:tcW w:w="4395" w:type="dxa"/>
            <w:gridSpan w:val="2"/>
            <w:vAlign w:val="bottom"/>
          </w:tcPr>
          <w:p w14:paraId="5017A807" w14:textId="77777777" w:rsidR="001C65EF" w:rsidRPr="00204FB3" w:rsidRDefault="001C65EF" w:rsidP="00774E78">
            <w:pPr>
              <w:pStyle w:val="TblTextLeft"/>
              <w:rPr>
                <w:lang w:val="en-AU" w:eastAsia="en-AU"/>
              </w:rPr>
            </w:pPr>
            <w:r w:rsidRPr="00204FB3">
              <w:rPr>
                <w:lang w:val="en-AU" w:eastAsia="en-AU"/>
              </w:rPr>
              <w:t>Influenza</w:t>
            </w:r>
          </w:p>
        </w:tc>
        <w:tc>
          <w:tcPr>
            <w:tcW w:w="2693" w:type="dxa"/>
            <w:gridSpan w:val="2"/>
            <w:tcBorders>
              <w:left w:val="nil"/>
            </w:tcBorders>
            <w:vAlign w:val="bottom"/>
          </w:tcPr>
          <w:p w14:paraId="3695FBF2" w14:textId="20D75CC1" w:rsidR="001C65EF" w:rsidRPr="00204FB3" w:rsidRDefault="00774E78" w:rsidP="00774E78">
            <w:pPr>
              <w:pStyle w:val="TblTextLeft"/>
              <w:rPr>
                <w:lang w:val="en-AU" w:eastAsia="en-AU"/>
              </w:rPr>
            </w:pPr>
            <w:r w:rsidRPr="00204FB3">
              <w:rPr>
                <w:lang w:val="en-AU" w:eastAsia="en-AU"/>
              </w:rPr>
              <w:tab/>
            </w:r>
            <w:r w:rsidR="00907C32" w:rsidRPr="00204FB3">
              <w:rPr>
                <w:lang w:val="en-AU" w:eastAsia="en-AU"/>
              </w:rPr>
              <w:t xml:space="preserve">    </w:t>
            </w:r>
            <w:r w:rsidRPr="00204FB3">
              <w:rPr>
                <w:lang w:val="en-AU" w:eastAsia="en-AU"/>
              </w:rPr>
              <w:t>23</w:t>
            </w:r>
            <w:r w:rsidR="001C65EF" w:rsidRPr="00204FB3">
              <w:rPr>
                <w:lang w:val="en-AU" w:eastAsia="en-AU"/>
              </w:rPr>
              <w:t xml:space="preserve"> (3.7%)</w:t>
            </w:r>
          </w:p>
        </w:tc>
        <w:tc>
          <w:tcPr>
            <w:tcW w:w="2373" w:type="dxa"/>
            <w:gridSpan w:val="2"/>
            <w:tcBorders>
              <w:left w:val="nil"/>
            </w:tcBorders>
            <w:vAlign w:val="bottom"/>
          </w:tcPr>
          <w:p w14:paraId="32EF3FDE" w14:textId="613DA3BB" w:rsidR="001C65EF" w:rsidRPr="00204FB3" w:rsidRDefault="00907C32" w:rsidP="00774E78">
            <w:pPr>
              <w:pStyle w:val="TblTextLeft"/>
              <w:rPr>
                <w:lang w:val="en-AU" w:eastAsia="en-AU"/>
              </w:rPr>
            </w:pPr>
            <w:r w:rsidRPr="00204FB3">
              <w:rPr>
                <w:lang w:val="en-AU" w:eastAsia="en-AU"/>
              </w:rPr>
              <w:tab/>
              <w:t>37</w:t>
            </w:r>
            <w:r w:rsidR="001C65EF" w:rsidRPr="00204FB3">
              <w:rPr>
                <w:lang w:val="en-AU" w:eastAsia="en-AU"/>
              </w:rPr>
              <w:t xml:space="preserve"> (4.3%)</w:t>
            </w:r>
          </w:p>
        </w:tc>
      </w:tr>
      <w:tr w:rsidR="001C65EF" w:rsidRPr="00204FB3" w14:paraId="48BCCBC6" w14:textId="77777777" w:rsidTr="00774E78">
        <w:trPr>
          <w:gridAfter w:val="1"/>
          <w:wAfter w:w="216" w:type="dxa"/>
          <w:cantSplit/>
        </w:trPr>
        <w:tc>
          <w:tcPr>
            <w:tcW w:w="4395" w:type="dxa"/>
            <w:gridSpan w:val="2"/>
            <w:vAlign w:val="bottom"/>
          </w:tcPr>
          <w:p w14:paraId="71122836" w14:textId="77777777" w:rsidR="001C65EF" w:rsidRPr="00204FB3" w:rsidRDefault="001C65EF" w:rsidP="00774E78">
            <w:pPr>
              <w:pStyle w:val="TblTextLeft"/>
              <w:rPr>
                <w:lang w:val="en-AU" w:eastAsia="en-AU"/>
              </w:rPr>
            </w:pPr>
            <w:r w:rsidRPr="00204FB3">
              <w:rPr>
                <w:lang w:val="en-AU" w:eastAsia="en-AU"/>
              </w:rPr>
              <w:t>Pneumonia</w:t>
            </w:r>
          </w:p>
        </w:tc>
        <w:tc>
          <w:tcPr>
            <w:tcW w:w="2693" w:type="dxa"/>
            <w:gridSpan w:val="2"/>
            <w:tcBorders>
              <w:left w:val="nil"/>
            </w:tcBorders>
            <w:vAlign w:val="bottom"/>
          </w:tcPr>
          <w:p w14:paraId="609DA07E" w14:textId="63CF4001" w:rsidR="001C65EF" w:rsidRPr="00204FB3" w:rsidRDefault="00907C32" w:rsidP="00907C32">
            <w:pPr>
              <w:pStyle w:val="TblTextLeft"/>
              <w:jc w:val="center"/>
              <w:rPr>
                <w:lang w:val="en-AU" w:eastAsia="en-AU"/>
              </w:rPr>
            </w:pPr>
            <w:r w:rsidRPr="00204FB3">
              <w:rPr>
                <w:lang w:val="en-AU" w:eastAsia="en-AU"/>
              </w:rPr>
              <w:t xml:space="preserve">12 </w:t>
            </w:r>
            <w:r w:rsidR="001C65EF" w:rsidRPr="00204FB3">
              <w:rPr>
                <w:lang w:val="en-AU" w:eastAsia="en-AU"/>
              </w:rPr>
              <w:t>(1.9%)</w:t>
            </w:r>
          </w:p>
        </w:tc>
        <w:tc>
          <w:tcPr>
            <w:tcW w:w="2373" w:type="dxa"/>
            <w:gridSpan w:val="2"/>
            <w:tcBorders>
              <w:left w:val="nil"/>
            </w:tcBorders>
            <w:vAlign w:val="bottom"/>
          </w:tcPr>
          <w:p w14:paraId="1A22EBCD" w14:textId="06968508" w:rsidR="001C65EF" w:rsidRPr="00204FB3" w:rsidRDefault="00907C32" w:rsidP="00774E78">
            <w:pPr>
              <w:pStyle w:val="TblTextLeft"/>
              <w:rPr>
                <w:lang w:val="en-AU" w:eastAsia="en-AU"/>
              </w:rPr>
            </w:pPr>
            <w:r w:rsidRPr="00204FB3">
              <w:rPr>
                <w:lang w:val="en-AU" w:eastAsia="en-AU"/>
              </w:rPr>
              <w:tab/>
              <w:t>19</w:t>
            </w:r>
            <w:r w:rsidR="001C65EF" w:rsidRPr="00204FB3">
              <w:rPr>
                <w:lang w:val="en-AU" w:eastAsia="en-AU"/>
              </w:rPr>
              <w:t xml:space="preserve"> (2.2%)</w:t>
            </w:r>
          </w:p>
        </w:tc>
      </w:tr>
      <w:tr w:rsidR="001C65EF" w:rsidRPr="00204FB3" w14:paraId="60E70524" w14:textId="77777777" w:rsidTr="00774E78">
        <w:trPr>
          <w:gridAfter w:val="1"/>
          <w:wAfter w:w="216" w:type="dxa"/>
          <w:cantSplit/>
        </w:trPr>
        <w:tc>
          <w:tcPr>
            <w:tcW w:w="4395" w:type="dxa"/>
            <w:gridSpan w:val="2"/>
            <w:vAlign w:val="bottom"/>
          </w:tcPr>
          <w:p w14:paraId="0DE23C88" w14:textId="77777777" w:rsidR="001C65EF" w:rsidRPr="00204FB3" w:rsidRDefault="001C65EF" w:rsidP="00774E78">
            <w:pPr>
              <w:pStyle w:val="TblTextLeft"/>
              <w:rPr>
                <w:lang w:val="en-AU" w:eastAsia="en-AU"/>
              </w:rPr>
            </w:pPr>
            <w:r w:rsidRPr="00204FB3">
              <w:rPr>
                <w:lang w:val="en-AU" w:eastAsia="en-AU"/>
              </w:rPr>
              <w:t>Tooth abscess</w:t>
            </w:r>
          </w:p>
        </w:tc>
        <w:tc>
          <w:tcPr>
            <w:tcW w:w="2693" w:type="dxa"/>
            <w:gridSpan w:val="2"/>
            <w:tcBorders>
              <w:left w:val="nil"/>
            </w:tcBorders>
            <w:vAlign w:val="bottom"/>
          </w:tcPr>
          <w:p w14:paraId="3B38D977" w14:textId="1FDBBBA1" w:rsidR="001C65EF" w:rsidRPr="00204FB3" w:rsidRDefault="00907C32" w:rsidP="00907C32">
            <w:pPr>
              <w:pStyle w:val="TblTextLeft"/>
              <w:jc w:val="center"/>
              <w:rPr>
                <w:lang w:val="en-AU" w:eastAsia="en-AU"/>
              </w:rPr>
            </w:pPr>
            <w:r w:rsidRPr="00204FB3">
              <w:rPr>
                <w:lang w:val="en-AU" w:eastAsia="en-AU"/>
              </w:rPr>
              <w:t xml:space="preserve">3 </w:t>
            </w:r>
            <w:r w:rsidR="001C65EF" w:rsidRPr="00204FB3">
              <w:rPr>
                <w:lang w:val="en-AU" w:eastAsia="en-AU"/>
              </w:rPr>
              <w:t>(0.5%)</w:t>
            </w:r>
          </w:p>
        </w:tc>
        <w:tc>
          <w:tcPr>
            <w:tcW w:w="2373" w:type="dxa"/>
            <w:gridSpan w:val="2"/>
            <w:tcBorders>
              <w:left w:val="nil"/>
            </w:tcBorders>
            <w:vAlign w:val="bottom"/>
          </w:tcPr>
          <w:p w14:paraId="0EFB7C94" w14:textId="04B1930A" w:rsidR="001C65EF" w:rsidRPr="00204FB3" w:rsidRDefault="00907C32" w:rsidP="00774E78">
            <w:pPr>
              <w:pStyle w:val="TblTextLeft"/>
              <w:rPr>
                <w:lang w:val="en-AU" w:eastAsia="en-AU"/>
              </w:rPr>
            </w:pPr>
            <w:r w:rsidRPr="00204FB3">
              <w:rPr>
                <w:lang w:val="en-AU" w:eastAsia="en-AU"/>
              </w:rPr>
              <w:tab/>
              <w:t>9</w:t>
            </w:r>
            <w:r w:rsidR="001C65EF" w:rsidRPr="00204FB3">
              <w:rPr>
                <w:lang w:val="en-AU" w:eastAsia="en-AU"/>
              </w:rPr>
              <w:t xml:space="preserve"> (1.0%)</w:t>
            </w:r>
          </w:p>
        </w:tc>
      </w:tr>
      <w:tr w:rsidR="001C65EF" w:rsidRPr="00204FB3" w14:paraId="7F7C4F05" w14:textId="77777777" w:rsidTr="00774E78">
        <w:trPr>
          <w:gridAfter w:val="1"/>
          <w:wAfter w:w="216" w:type="dxa"/>
          <w:cantSplit/>
        </w:trPr>
        <w:tc>
          <w:tcPr>
            <w:tcW w:w="4395" w:type="dxa"/>
            <w:gridSpan w:val="2"/>
            <w:vAlign w:val="bottom"/>
          </w:tcPr>
          <w:p w14:paraId="19BD2BF1" w14:textId="77777777" w:rsidR="001C65EF" w:rsidRPr="00204FB3" w:rsidRDefault="001C65EF" w:rsidP="00774E78">
            <w:pPr>
              <w:pStyle w:val="TblTextLeft"/>
              <w:rPr>
                <w:lang w:val="en-AU" w:eastAsia="en-AU"/>
              </w:rPr>
            </w:pPr>
          </w:p>
        </w:tc>
        <w:tc>
          <w:tcPr>
            <w:tcW w:w="2693" w:type="dxa"/>
            <w:gridSpan w:val="2"/>
            <w:tcBorders>
              <w:left w:val="nil"/>
            </w:tcBorders>
            <w:vAlign w:val="bottom"/>
          </w:tcPr>
          <w:p w14:paraId="094B8BAE" w14:textId="77777777" w:rsidR="001C65EF" w:rsidRPr="00204FB3" w:rsidRDefault="001C65EF" w:rsidP="00774E78">
            <w:pPr>
              <w:pStyle w:val="TblTextLeft"/>
              <w:rPr>
                <w:lang w:val="en-AU" w:eastAsia="en-AU"/>
              </w:rPr>
            </w:pPr>
          </w:p>
        </w:tc>
        <w:tc>
          <w:tcPr>
            <w:tcW w:w="2373" w:type="dxa"/>
            <w:gridSpan w:val="2"/>
            <w:tcBorders>
              <w:left w:val="nil"/>
            </w:tcBorders>
            <w:vAlign w:val="bottom"/>
          </w:tcPr>
          <w:p w14:paraId="323A3E7F" w14:textId="77777777" w:rsidR="001C65EF" w:rsidRPr="00204FB3" w:rsidRDefault="001C65EF" w:rsidP="00774E78">
            <w:pPr>
              <w:pStyle w:val="TblTextLeft"/>
              <w:rPr>
                <w:lang w:val="en-AU" w:eastAsia="en-AU"/>
              </w:rPr>
            </w:pPr>
          </w:p>
        </w:tc>
      </w:tr>
      <w:tr w:rsidR="001C65EF" w:rsidRPr="00204FB3" w14:paraId="7E090BD0" w14:textId="77777777" w:rsidTr="00774E78">
        <w:trPr>
          <w:gridAfter w:val="1"/>
          <w:wAfter w:w="216" w:type="dxa"/>
          <w:cantSplit/>
        </w:trPr>
        <w:tc>
          <w:tcPr>
            <w:tcW w:w="4395" w:type="dxa"/>
            <w:gridSpan w:val="2"/>
            <w:vAlign w:val="bottom"/>
          </w:tcPr>
          <w:p w14:paraId="5EF07E8E" w14:textId="77777777" w:rsidR="001C65EF" w:rsidRPr="00204FB3" w:rsidRDefault="001C65EF" w:rsidP="00774E78">
            <w:pPr>
              <w:pStyle w:val="TblTextLeft"/>
              <w:rPr>
                <w:b/>
                <w:lang w:val="en-AU" w:eastAsia="en-AU"/>
              </w:rPr>
            </w:pPr>
            <w:r w:rsidRPr="00204FB3">
              <w:rPr>
                <w:b/>
                <w:lang w:val="en-AU" w:eastAsia="en-AU"/>
              </w:rPr>
              <w:t>Metabolism and nutrition disorders</w:t>
            </w:r>
          </w:p>
        </w:tc>
        <w:tc>
          <w:tcPr>
            <w:tcW w:w="2693" w:type="dxa"/>
            <w:gridSpan w:val="2"/>
            <w:tcBorders>
              <w:left w:val="nil"/>
            </w:tcBorders>
            <w:vAlign w:val="bottom"/>
          </w:tcPr>
          <w:p w14:paraId="4B3404A6" w14:textId="77777777" w:rsidR="001C65EF" w:rsidRPr="00204FB3" w:rsidRDefault="001C65EF" w:rsidP="00774E78">
            <w:pPr>
              <w:pStyle w:val="TblTextLeft"/>
              <w:rPr>
                <w:lang w:val="en-AU" w:eastAsia="en-AU"/>
              </w:rPr>
            </w:pPr>
          </w:p>
        </w:tc>
        <w:tc>
          <w:tcPr>
            <w:tcW w:w="2373" w:type="dxa"/>
            <w:gridSpan w:val="2"/>
            <w:tcBorders>
              <w:left w:val="nil"/>
            </w:tcBorders>
            <w:vAlign w:val="bottom"/>
          </w:tcPr>
          <w:p w14:paraId="25A31FD6" w14:textId="77777777" w:rsidR="001C65EF" w:rsidRPr="00204FB3" w:rsidRDefault="001C65EF" w:rsidP="00774E78">
            <w:pPr>
              <w:pStyle w:val="TblTextLeft"/>
              <w:rPr>
                <w:lang w:val="en-AU" w:eastAsia="en-AU"/>
              </w:rPr>
            </w:pPr>
          </w:p>
        </w:tc>
      </w:tr>
      <w:tr w:rsidR="001C65EF" w:rsidRPr="00204FB3" w14:paraId="25B7C1E9" w14:textId="77777777" w:rsidTr="00774E78">
        <w:trPr>
          <w:gridAfter w:val="1"/>
          <w:wAfter w:w="216" w:type="dxa"/>
          <w:cantSplit/>
        </w:trPr>
        <w:tc>
          <w:tcPr>
            <w:tcW w:w="4395" w:type="dxa"/>
            <w:gridSpan w:val="2"/>
            <w:vAlign w:val="bottom"/>
          </w:tcPr>
          <w:p w14:paraId="3C1717CF" w14:textId="77777777" w:rsidR="001C65EF" w:rsidRPr="00204FB3" w:rsidRDefault="001C65EF" w:rsidP="00774E78">
            <w:pPr>
              <w:pStyle w:val="TblTextLeft"/>
              <w:rPr>
                <w:lang w:val="en-AU" w:eastAsia="en-AU"/>
              </w:rPr>
            </w:pPr>
            <w:r w:rsidRPr="00204FB3">
              <w:rPr>
                <w:lang w:val="en-AU" w:eastAsia="en-AU"/>
              </w:rPr>
              <w:t>Type 2 diabetes mellitus</w:t>
            </w:r>
          </w:p>
        </w:tc>
        <w:tc>
          <w:tcPr>
            <w:tcW w:w="2693" w:type="dxa"/>
            <w:gridSpan w:val="2"/>
            <w:tcBorders>
              <w:left w:val="nil"/>
            </w:tcBorders>
            <w:vAlign w:val="bottom"/>
          </w:tcPr>
          <w:p w14:paraId="5CF933BE" w14:textId="5D1F9674" w:rsidR="001C65EF" w:rsidRPr="00204FB3" w:rsidRDefault="00907C32" w:rsidP="00774E78">
            <w:pPr>
              <w:pStyle w:val="TblTextLeft"/>
              <w:rPr>
                <w:lang w:val="en-AU" w:eastAsia="en-AU"/>
              </w:rPr>
            </w:pPr>
            <w:r w:rsidRPr="00204FB3">
              <w:rPr>
                <w:lang w:val="en-AU" w:eastAsia="en-AU"/>
              </w:rPr>
              <w:tab/>
              <w:t>7</w:t>
            </w:r>
            <w:r w:rsidR="001C65EF" w:rsidRPr="00204FB3">
              <w:rPr>
                <w:lang w:val="en-AU" w:eastAsia="en-AU"/>
              </w:rPr>
              <w:t xml:space="preserve"> (1.1%)</w:t>
            </w:r>
          </w:p>
        </w:tc>
        <w:tc>
          <w:tcPr>
            <w:tcW w:w="2373" w:type="dxa"/>
            <w:gridSpan w:val="2"/>
            <w:tcBorders>
              <w:left w:val="nil"/>
            </w:tcBorders>
            <w:vAlign w:val="bottom"/>
          </w:tcPr>
          <w:p w14:paraId="5F42EE2B" w14:textId="0023BCD5" w:rsidR="001C65EF" w:rsidRPr="00204FB3" w:rsidRDefault="00907C32" w:rsidP="00774E78">
            <w:pPr>
              <w:pStyle w:val="TblTextLeft"/>
              <w:rPr>
                <w:lang w:val="en-AU" w:eastAsia="en-AU"/>
              </w:rPr>
            </w:pPr>
            <w:r w:rsidRPr="00204FB3">
              <w:rPr>
                <w:lang w:val="en-AU" w:eastAsia="en-AU"/>
              </w:rPr>
              <w:tab/>
              <w:t>11</w:t>
            </w:r>
            <w:r w:rsidR="001C65EF" w:rsidRPr="00204FB3">
              <w:rPr>
                <w:lang w:val="en-AU" w:eastAsia="en-AU"/>
              </w:rPr>
              <w:t xml:space="preserve"> (1.3%)</w:t>
            </w:r>
          </w:p>
        </w:tc>
      </w:tr>
      <w:tr w:rsidR="001C65EF" w:rsidRPr="00204FB3" w14:paraId="7BB4C63F" w14:textId="77777777" w:rsidTr="00774E78">
        <w:trPr>
          <w:gridAfter w:val="1"/>
          <w:wAfter w:w="216" w:type="dxa"/>
          <w:cantSplit/>
        </w:trPr>
        <w:tc>
          <w:tcPr>
            <w:tcW w:w="4395" w:type="dxa"/>
            <w:gridSpan w:val="2"/>
            <w:vAlign w:val="bottom"/>
          </w:tcPr>
          <w:p w14:paraId="1596DCC4" w14:textId="77777777" w:rsidR="001C65EF" w:rsidRPr="00204FB3" w:rsidRDefault="001C65EF" w:rsidP="00774E78">
            <w:pPr>
              <w:pStyle w:val="TblTextLeft"/>
              <w:rPr>
                <w:lang w:val="en-AU" w:eastAsia="en-AU"/>
              </w:rPr>
            </w:pPr>
          </w:p>
        </w:tc>
        <w:tc>
          <w:tcPr>
            <w:tcW w:w="2693" w:type="dxa"/>
            <w:gridSpan w:val="2"/>
            <w:tcBorders>
              <w:left w:val="nil"/>
            </w:tcBorders>
            <w:vAlign w:val="bottom"/>
          </w:tcPr>
          <w:p w14:paraId="57A00BDD" w14:textId="77777777" w:rsidR="001C65EF" w:rsidRPr="00204FB3" w:rsidRDefault="001C65EF" w:rsidP="00774E78">
            <w:pPr>
              <w:pStyle w:val="TblTextLeft"/>
              <w:rPr>
                <w:lang w:val="en-AU" w:eastAsia="en-AU"/>
              </w:rPr>
            </w:pPr>
          </w:p>
        </w:tc>
        <w:tc>
          <w:tcPr>
            <w:tcW w:w="2373" w:type="dxa"/>
            <w:gridSpan w:val="2"/>
            <w:tcBorders>
              <w:left w:val="nil"/>
            </w:tcBorders>
            <w:vAlign w:val="bottom"/>
          </w:tcPr>
          <w:p w14:paraId="31F4141F" w14:textId="77777777" w:rsidR="001C65EF" w:rsidRPr="00204FB3" w:rsidRDefault="001C65EF" w:rsidP="00774E78">
            <w:pPr>
              <w:pStyle w:val="TblTextLeft"/>
              <w:rPr>
                <w:lang w:val="en-AU" w:eastAsia="en-AU"/>
              </w:rPr>
            </w:pPr>
          </w:p>
        </w:tc>
      </w:tr>
      <w:tr w:rsidR="001C65EF" w:rsidRPr="00204FB3" w14:paraId="500A626C" w14:textId="77777777" w:rsidTr="00774E78">
        <w:trPr>
          <w:gridAfter w:val="1"/>
          <w:wAfter w:w="216" w:type="dxa"/>
          <w:cantSplit/>
        </w:trPr>
        <w:tc>
          <w:tcPr>
            <w:tcW w:w="4395" w:type="dxa"/>
            <w:gridSpan w:val="2"/>
            <w:vAlign w:val="bottom"/>
          </w:tcPr>
          <w:p w14:paraId="612648AF" w14:textId="77777777" w:rsidR="001C65EF" w:rsidRPr="00204FB3" w:rsidRDefault="001C65EF" w:rsidP="00774E78">
            <w:pPr>
              <w:pStyle w:val="TblTextLeft"/>
              <w:rPr>
                <w:b/>
                <w:lang w:val="en-AU" w:eastAsia="en-AU"/>
              </w:rPr>
            </w:pPr>
            <w:r w:rsidRPr="00204FB3">
              <w:rPr>
                <w:b/>
                <w:lang w:val="en-AU" w:eastAsia="en-AU"/>
              </w:rPr>
              <w:t>Psychiatric disorders</w:t>
            </w:r>
          </w:p>
        </w:tc>
        <w:tc>
          <w:tcPr>
            <w:tcW w:w="2693" w:type="dxa"/>
            <w:gridSpan w:val="2"/>
            <w:tcBorders>
              <w:left w:val="nil"/>
            </w:tcBorders>
            <w:vAlign w:val="bottom"/>
          </w:tcPr>
          <w:p w14:paraId="14BF4DB3" w14:textId="77777777" w:rsidR="001C65EF" w:rsidRPr="00204FB3" w:rsidRDefault="001C65EF" w:rsidP="00774E78">
            <w:pPr>
              <w:pStyle w:val="TblTextLeft"/>
              <w:rPr>
                <w:lang w:val="en-AU" w:eastAsia="en-AU"/>
              </w:rPr>
            </w:pPr>
          </w:p>
        </w:tc>
        <w:tc>
          <w:tcPr>
            <w:tcW w:w="2373" w:type="dxa"/>
            <w:gridSpan w:val="2"/>
            <w:tcBorders>
              <w:left w:val="nil"/>
            </w:tcBorders>
            <w:vAlign w:val="bottom"/>
          </w:tcPr>
          <w:p w14:paraId="0A1483A1" w14:textId="77777777" w:rsidR="001C65EF" w:rsidRPr="00204FB3" w:rsidRDefault="001C65EF" w:rsidP="00774E78">
            <w:pPr>
              <w:pStyle w:val="TblTextLeft"/>
              <w:rPr>
                <w:lang w:val="en-AU" w:eastAsia="en-AU"/>
              </w:rPr>
            </w:pPr>
          </w:p>
        </w:tc>
      </w:tr>
      <w:tr w:rsidR="001C65EF" w:rsidRPr="00204FB3" w14:paraId="389F1B49" w14:textId="77777777" w:rsidTr="00774E78">
        <w:trPr>
          <w:gridAfter w:val="1"/>
          <w:wAfter w:w="216" w:type="dxa"/>
          <w:cantSplit/>
        </w:trPr>
        <w:tc>
          <w:tcPr>
            <w:tcW w:w="4395" w:type="dxa"/>
            <w:gridSpan w:val="2"/>
            <w:vAlign w:val="bottom"/>
          </w:tcPr>
          <w:p w14:paraId="396EA625" w14:textId="77777777" w:rsidR="001C65EF" w:rsidRPr="00204FB3" w:rsidRDefault="001C65EF" w:rsidP="00774E78">
            <w:pPr>
              <w:pStyle w:val="TblTextLeft"/>
              <w:rPr>
                <w:lang w:val="en-AU" w:eastAsia="en-AU"/>
              </w:rPr>
            </w:pPr>
            <w:r w:rsidRPr="00204FB3">
              <w:rPr>
                <w:lang w:val="en-AU" w:eastAsia="en-AU"/>
              </w:rPr>
              <w:t>Insomnia</w:t>
            </w:r>
          </w:p>
        </w:tc>
        <w:tc>
          <w:tcPr>
            <w:tcW w:w="2693" w:type="dxa"/>
            <w:gridSpan w:val="2"/>
            <w:tcBorders>
              <w:left w:val="nil"/>
            </w:tcBorders>
            <w:vAlign w:val="bottom"/>
          </w:tcPr>
          <w:p w14:paraId="64E8BC45" w14:textId="086EFB27" w:rsidR="001C65EF" w:rsidRPr="00204FB3" w:rsidRDefault="00907C32" w:rsidP="00774E78">
            <w:pPr>
              <w:pStyle w:val="TblTextLeft"/>
              <w:rPr>
                <w:lang w:val="en-AU" w:eastAsia="en-AU"/>
              </w:rPr>
            </w:pPr>
            <w:r w:rsidRPr="00204FB3">
              <w:rPr>
                <w:lang w:val="en-AU" w:eastAsia="en-AU"/>
              </w:rPr>
              <w:tab/>
              <w:t>9</w:t>
            </w:r>
            <w:r w:rsidR="001C65EF" w:rsidRPr="00204FB3">
              <w:rPr>
                <w:lang w:val="en-AU" w:eastAsia="en-AU"/>
              </w:rPr>
              <w:t xml:space="preserve"> (1.5%)</w:t>
            </w:r>
          </w:p>
        </w:tc>
        <w:tc>
          <w:tcPr>
            <w:tcW w:w="2373" w:type="dxa"/>
            <w:gridSpan w:val="2"/>
            <w:tcBorders>
              <w:left w:val="nil"/>
            </w:tcBorders>
            <w:vAlign w:val="bottom"/>
          </w:tcPr>
          <w:p w14:paraId="4F8B934F" w14:textId="5A7B3333" w:rsidR="001C65EF" w:rsidRPr="00204FB3" w:rsidRDefault="00907C32" w:rsidP="00774E78">
            <w:pPr>
              <w:pStyle w:val="TblTextLeft"/>
              <w:rPr>
                <w:lang w:val="en-AU" w:eastAsia="en-AU"/>
              </w:rPr>
            </w:pPr>
            <w:r w:rsidRPr="00204FB3">
              <w:rPr>
                <w:lang w:val="en-AU" w:eastAsia="en-AU"/>
              </w:rPr>
              <w:tab/>
              <w:t>18</w:t>
            </w:r>
            <w:r w:rsidR="001C65EF" w:rsidRPr="00204FB3">
              <w:rPr>
                <w:lang w:val="en-AU" w:eastAsia="en-AU"/>
              </w:rPr>
              <w:t xml:space="preserve"> (2.1%)</w:t>
            </w:r>
          </w:p>
        </w:tc>
      </w:tr>
      <w:tr w:rsidR="001C65EF" w:rsidRPr="00204FB3" w14:paraId="4E591CD0" w14:textId="77777777" w:rsidTr="00774E78">
        <w:trPr>
          <w:gridAfter w:val="1"/>
          <w:wAfter w:w="216" w:type="dxa"/>
          <w:cantSplit/>
        </w:trPr>
        <w:tc>
          <w:tcPr>
            <w:tcW w:w="4395" w:type="dxa"/>
            <w:gridSpan w:val="2"/>
            <w:vAlign w:val="bottom"/>
          </w:tcPr>
          <w:p w14:paraId="4AE69457" w14:textId="77777777" w:rsidR="001C65EF" w:rsidRPr="00204FB3" w:rsidRDefault="001C65EF" w:rsidP="00774E78">
            <w:pPr>
              <w:pStyle w:val="TblTextLeft"/>
              <w:rPr>
                <w:lang w:val="en-AU" w:eastAsia="en-AU"/>
              </w:rPr>
            </w:pPr>
          </w:p>
        </w:tc>
        <w:tc>
          <w:tcPr>
            <w:tcW w:w="2693" w:type="dxa"/>
            <w:gridSpan w:val="2"/>
            <w:tcBorders>
              <w:left w:val="nil"/>
            </w:tcBorders>
            <w:vAlign w:val="bottom"/>
          </w:tcPr>
          <w:p w14:paraId="0AD598C3" w14:textId="77777777" w:rsidR="001C65EF" w:rsidRPr="00204FB3" w:rsidRDefault="001C65EF" w:rsidP="00774E78">
            <w:pPr>
              <w:pStyle w:val="TblTextLeft"/>
              <w:rPr>
                <w:lang w:val="en-AU" w:eastAsia="en-AU"/>
              </w:rPr>
            </w:pPr>
          </w:p>
        </w:tc>
        <w:tc>
          <w:tcPr>
            <w:tcW w:w="2373" w:type="dxa"/>
            <w:gridSpan w:val="2"/>
            <w:tcBorders>
              <w:left w:val="nil"/>
            </w:tcBorders>
            <w:vAlign w:val="bottom"/>
          </w:tcPr>
          <w:p w14:paraId="3F522B6F" w14:textId="77777777" w:rsidR="001C65EF" w:rsidRPr="00204FB3" w:rsidRDefault="001C65EF" w:rsidP="00774E78">
            <w:pPr>
              <w:pStyle w:val="TblTextLeft"/>
              <w:rPr>
                <w:lang w:val="en-AU" w:eastAsia="en-AU"/>
              </w:rPr>
            </w:pPr>
          </w:p>
        </w:tc>
      </w:tr>
      <w:tr w:rsidR="001C65EF" w:rsidRPr="00204FB3" w14:paraId="6D13E41A" w14:textId="77777777" w:rsidTr="00774E78">
        <w:trPr>
          <w:gridAfter w:val="1"/>
          <w:wAfter w:w="216" w:type="dxa"/>
          <w:cantSplit/>
        </w:trPr>
        <w:tc>
          <w:tcPr>
            <w:tcW w:w="4395" w:type="dxa"/>
            <w:gridSpan w:val="2"/>
            <w:vAlign w:val="bottom"/>
          </w:tcPr>
          <w:p w14:paraId="4BB32916" w14:textId="77777777" w:rsidR="001C65EF" w:rsidRPr="00204FB3" w:rsidRDefault="001C65EF" w:rsidP="00774E78">
            <w:pPr>
              <w:pStyle w:val="TblTextLeft"/>
              <w:rPr>
                <w:b/>
                <w:lang w:val="en-AU" w:eastAsia="en-AU"/>
              </w:rPr>
            </w:pPr>
            <w:r w:rsidRPr="00204FB3">
              <w:rPr>
                <w:b/>
                <w:lang w:val="en-AU" w:eastAsia="en-AU"/>
              </w:rPr>
              <w:t>Nervous system disorders</w:t>
            </w:r>
          </w:p>
        </w:tc>
        <w:tc>
          <w:tcPr>
            <w:tcW w:w="2693" w:type="dxa"/>
            <w:gridSpan w:val="2"/>
            <w:tcBorders>
              <w:left w:val="nil"/>
            </w:tcBorders>
            <w:vAlign w:val="bottom"/>
          </w:tcPr>
          <w:p w14:paraId="333BFC72" w14:textId="77777777" w:rsidR="001C65EF" w:rsidRPr="00204FB3" w:rsidRDefault="001C65EF" w:rsidP="00774E78">
            <w:pPr>
              <w:pStyle w:val="TblTextLeft"/>
              <w:rPr>
                <w:lang w:val="en-AU" w:eastAsia="en-AU"/>
              </w:rPr>
            </w:pPr>
          </w:p>
        </w:tc>
        <w:tc>
          <w:tcPr>
            <w:tcW w:w="2373" w:type="dxa"/>
            <w:gridSpan w:val="2"/>
            <w:tcBorders>
              <w:left w:val="nil"/>
            </w:tcBorders>
            <w:vAlign w:val="bottom"/>
          </w:tcPr>
          <w:p w14:paraId="1F5077E2" w14:textId="77777777" w:rsidR="001C65EF" w:rsidRPr="00204FB3" w:rsidRDefault="001C65EF" w:rsidP="00774E78">
            <w:pPr>
              <w:pStyle w:val="TblTextLeft"/>
              <w:rPr>
                <w:lang w:val="en-AU" w:eastAsia="en-AU"/>
              </w:rPr>
            </w:pPr>
          </w:p>
        </w:tc>
      </w:tr>
      <w:tr w:rsidR="001C65EF" w:rsidRPr="00204FB3" w14:paraId="02960965" w14:textId="77777777" w:rsidTr="00774E78">
        <w:trPr>
          <w:gridAfter w:val="1"/>
          <w:wAfter w:w="216" w:type="dxa"/>
          <w:cantSplit/>
        </w:trPr>
        <w:tc>
          <w:tcPr>
            <w:tcW w:w="4395" w:type="dxa"/>
            <w:gridSpan w:val="2"/>
            <w:vAlign w:val="bottom"/>
          </w:tcPr>
          <w:p w14:paraId="2F22B2D5" w14:textId="77777777" w:rsidR="001C65EF" w:rsidRPr="00204FB3" w:rsidRDefault="001C65EF" w:rsidP="00774E78">
            <w:pPr>
              <w:pStyle w:val="TblTextLeft"/>
              <w:rPr>
                <w:lang w:val="en-AU" w:eastAsia="en-AU"/>
              </w:rPr>
            </w:pPr>
            <w:r w:rsidRPr="00204FB3">
              <w:rPr>
                <w:lang w:val="en-AU" w:eastAsia="en-AU"/>
              </w:rPr>
              <w:t>Headache</w:t>
            </w:r>
          </w:p>
        </w:tc>
        <w:tc>
          <w:tcPr>
            <w:tcW w:w="2693" w:type="dxa"/>
            <w:gridSpan w:val="2"/>
            <w:tcBorders>
              <w:left w:val="nil"/>
            </w:tcBorders>
            <w:vAlign w:val="bottom"/>
          </w:tcPr>
          <w:p w14:paraId="613352BE" w14:textId="048322CA" w:rsidR="001C65EF" w:rsidRPr="00204FB3" w:rsidRDefault="00907C32" w:rsidP="00774E78">
            <w:pPr>
              <w:pStyle w:val="TblTextLeft"/>
              <w:rPr>
                <w:lang w:val="en-AU" w:eastAsia="en-AU"/>
              </w:rPr>
            </w:pPr>
            <w:r w:rsidRPr="00204FB3">
              <w:rPr>
                <w:lang w:val="en-AU" w:eastAsia="en-AU"/>
              </w:rPr>
              <w:tab/>
              <w:t>24</w:t>
            </w:r>
            <w:r w:rsidR="001C65EF" w:rsidRPr="00204FB3">
              <w:rPr>
                <w:lang w:val="en-AU" w:eastAsia="en-AU"/>
              </w:rPr>
              <w:t xml:space="preserve"> (3.9%)</w:t>
            </w:r>
          </w:p>
        </w:tc>
        <w:tc>
          <w:tcPr>
            <w:tcW w:w="2373" w:type="dxa"/>
            <w:gridSpan w:val="2"/>
            <w:tcBorders>
              <w:left w:val="nil"/>
            </w:tcBorders>
            <w:vAlign w:val="bottom"/>
          </w:tcPr>
          <w:p w14:paraId="08FA3A2A" w14:textId="71067780" w:rsidR="001C65EF" w:rsidRPr="00204FB3" w:rsidRDefault="00907C32" w:rsidP="00774E78">
            <w:pPr>
              <w:pStyle w:val="TblTextLeft"/>
              <w:rPr>
                <w:lang w:val="en-AU" w:eastAsia="en-AU"/>
              </w:rPr>
            </w:pPr>
            <w:r w:rsidRPr="00204FB3">
              <w:rPr>
                <w:lang w:val="en-AU" w:eastAsia="en-AU"/>
              </w:rPr>
              <w:tab/>
              <w:t>43</w:t>
            </w:r>
            <w:r w:rsidR="001C65EF" w:rsidRPr="00204FB3">
              <w:rPr>
                <w:lang w:val="en-AU" w:eastAsia="en-AU"/>
              </w:rPr>
              <w:t xml:space="preserve"> (5.0%)</w:t>
            </w:r>
          </w:p>
        </w:tc>
      </w:tr>
      <w:tr w:rsidR="001C65EF" w:rsidRPr="00204FB3" w14:paraId="2CF3A252" w14:textId="77777777" w:rsidTr="00774E78">
        <w:trPr>
          <w:gridAfter w:val="1"/>
          <w:wAfter w:w="216" w:type="dxa"/>
          <w:cantSplit/>
        </w:trPr>
        <w:tc>
          <w:tcPr>
            <w:tcW w:w="4395" w:type="dxa"/>
            <w:gridSpan w:val="2"/>
            <w:vAlign w:val="bottom"/>
          </w:tcPr>
          <w:p w14:paraId="50F31AA4" w14:textId="77777777" w:rsidR="001C65EF" w:rsidRPr="00204FB3" w:rsidRDefault="001C65EF" w:rsidP="00774E78">
            <w:pPr>
              <w:pStyle w:val="TblTextLeft"/>
              <w:rPr>
                <w:lang w:val="en-AU" w:eastAsia="en-AU"/>
              </w:rPr>
            </w:pPr>
            <w:r w:rsidRPr="00204FB3">
              <w:rPr>
                <w:lang w:val="en-AU" w:eastAsia="en-AU"/>
              </w:rPr>
              <w:t>Paraesthesia</w:t>
            </w:r>
          </w:p>
        </w:tc>
        <w:tc>
          <w:tcPr>
            <w:tcW w:w="2693" w:type="dxa"/>
            <w:gridSpan w:val="2"/>
            <w:tcBorders>
              <w:left w:val="nil"/>
            </w:tcBorders>
            <w:vAlign w:val="bottom"/>
          </w:tcPr>
          <w:p w14:paraId="1951F334" w14:textId="154D40B7" w:rsidR="001C65EF" w:rsidRPr="00204FB3" w:rsidRDefault="00907C32" w:rsidP="00774E78">
            <w:pPr>
              <w:pStyle w:val="TblTextLeft"/>
              <w:rPr>
                <w:lang w:val="en-AU" w:eastAsia="en-AU"/>
              </w:rPr>
            </w:pPr>
            <w:r w:rsidRPr="00204FB3">
              <w:rPr>
                <w:lang w:val="en-AU" w:eastAsia="en-AU"/>
              </w:rPr>
              <w:tab/>
              <w:t>3</w:t>
            </w:r>
            <w:r w:rsidR="001C65EF" w:rsidRPr="00204FB3">
              <w:rPr>
                <w:lang w:val="en-AU" w:eastAsia="en-AU"/>
              </w:rPr>
              <w:t xml:space="preserve"> (0.5%)</w:t>
            </w:r>
          </w:p>
        </w:tc>
        <w:tc>
          <w:tcPr>
            <w:tcW w:w="2373" w:type="dxa"/>
            <w:gridSpan w:val="2"/>
            <w:tcBorders>
              <w:left w:val="nil"/>
            </w:tcBorders>
            <w:vAlign w:val="bottom"/>
          </w:tcPr>
          <w:p w14:paraId="77EBD267" w14:textId="052E6318" w:rsidR="001C65EF" w:rsidRPr="00204FB3" w:rsidRDefault="00907C32" w:rsidP="00774E78">
            <w:pPr>
              <w:pStyle w:val="TblTextLeft"/>
              <w:rPr>
                <w:lang w:val="en-AU" w:eastAsia="en-AU"/>
              </w:rPr>
            </w:pPr>
            <w:r w:rsidRPr="00204FB3">
              <w:rPr>
                <w:lang w:val="en-AU" w:eastAsia="en-AU"/>
              </w:rPr>
              <w:tab/>
              <w:t>9</w:t>
            </w:r>
            <w:r w:rsidR="001C65EF" w:rsidRPr="00204FB3">
              <w:rPr>
                <w:lang w:val="en-AU" w:eastAsia="en-AU"/>
              </w:rPr>
              <w:t xml:space="preserve"> (1.0%)</w:t>
            </w:r>
          </w:p>
        </w:tc>
      </w:tr>
      <w:tr w:rsidR="001C65EF" w:rsidRPr="00204FB3" w14:paraId="40F82EC0" w14:textId="77777777" w:rsidTr="00774E78">
        <w:trPr>
          <w:gridAfter w:val="1"/>
          <w:wAfter w:w="216" w:type="dxa"/>
          <w:cantSplit/>
        </w:trPr>
        <w:tc>
          <w:tcPr>
            <w:tcW w:w="4395" w:type="dxa"/>
            <w:gridSpan w:val="2"/>
            <w:vAlign w:val="bottom"/>
          </w:tcPr>
          <w:p w14:paraId="19A6E2A8" w14:textId="77777777" w:rsidR="001C65EF" w:rsidRPr="00204FB3" w:rsidRDefault="001C65EF" w:rsidP="00774E78">
            <w:pPr>
              <w:pStyle w:val="TblTextLeft"/>
              <w:rPr>
                <w:lang w:val="en-AU" w:eastAsia="en-AU"/>
              </w:rPr>
            </w:pPr>
          </w:p>
        </w:tc>
        <w:tc>
          <w:tcPr>
            <w:tcW w:w="2693" w:type="dxa"/>
            <w:gridSpan w:val="2"/>
            <w:tcBorders>
              <w:left w:val="nil"/>
            </w:tcBorders>
            <w:vAlign w:val="bottom"/>
          </w:tcPr>
          <w:p w14:paraId="325209B8" w14:textId="77777777" w:rsidR="001C65EF" w:rsidRPr="00204FB3" w:rsidRDefault="001C65EF" w:rsidP="00774E78">
            <w:pPr>
              <w:pStyle w:val="TblTextLeft"/>
              <w:rPr>
                <w:lang w:val="en-AU" w:eastAsia="en-AU"/>
              </w:rPr>
            </w:pPr>
          </w:p>
        </w:tc>
        <w:tc>
          <w:tcPr>
            <w:tcW w:w="2373" w:type="dxa"/>
            <w:gridSpan w:val="2"/>
            <w:tcBorders>
              <w:left w:val="nil"/>
            </w:tcBorders>
            <w:vAlign w:val="bottom"/>
          </w:tcPr>
          <w:p w14:paraId="104BA4A6" w14:textId="77777777" w:rsidR="001C65EF" w:rsidRPr="00204FB3" w:rsidRDefault="001C65EF" w:rsidP="00774E78">
            <w:pPr>
              <w:pStyle w:val="TblTextLeft"/>
              <w:rPr>
                <w:lang w:val="en-AU" w:eastAsia="en-AU"/>
              </w:rPr>
            </w:pPr>
          </w:p>
        </w:tc>
      </w:tr>
      <w:tr w:rsidR="001C65EF" w:rsidRPr="00204FB3" w14:paraId="085C7E4D" w14:textId="77777777" w:rsidTr="00774E78">
        <w:trPr>
          <w:gridAfter w:val="1"/>
          <w:wAfter w:w="216" w:type="dxa"/>
          <w:cantSplit/>
        </w:trPr>
        <w:tc>
          <w:tcPr>
            <w:tcW w:w="4395" w:type="dxa"/>
            <w:gridSpan w:val="2"/>
            <w:vAlign w:val="bottom"/>
          </w:tcPr>
          <w:p w14:paraId="0C26494E" w14:textId="77777777" w:rsidR="001C65EF" w:rsidRPr="00204FB3" w:rsidRDefault="001C65EF" w:rsidP="00774E78">
            <w:pPr>
              <w:pStyle w:val="TblTextLeft"/>
              <w:rPr>
                <w:b/>
                <w:lang w:val="en-AU" w:eastAsia="en-AU"/>
              </w:rPr>
            </w:pPr>
            <w:r w:rsidRPr="00204FB3">
              <w:rPr>
                <w:b/>
                <w:lang w:val="en-AU" w:eastAsia="en-AU"/>
              </w:rPr>
              <w:t>Eye disorders</w:t>
            </w:r>
          </w:p>
        </w:tc>
        <w:tc>
          <w:tcPr>
            <w:tcW w:w="2693" w:type="dxa"/>
            <w:gridSpan w:val="2"/>
            <w:tcBorders>
              <w:left w:val="nil"/>
            </w:tcBorders>
            <w:vAlign w:val="bottom"/>
          </w:tcPr>
          <w:p w14:paraId="33D6E8BD" w14:textId="77777777" w:rsidR="001C65EF" w:rsidRPr="00204FB3" w:rsidRDefault="001C65EF" w:rsidP="00774E78">
            <w:pPr>
              <w:pStyle w:val="TblTextLeft"/>
              <w:rPr>
                <w:lang w:val="en-AU" w:eastAsia="en-AU"/>
              </w:rPr>
            </w:pPr>
          </w:p>
        </w:tc>
        <w:tc>
          <w:tcPr>
            <w:tcW w:w="2373" w:type="dxa"/>
            <w:gridSpan w:val="2"/>
            <w:tcBorders>
              <w:left w:val="nil"/>
            </w:tcBorders>
            <w:vAlign w:val="bottom"/>
          </w:tcPr>
          <w:p w14:paraId="56AB655D" w14:textId="77777777" w:rsidR="001C65EF" w:rsidRPr="00204FB3" w:rsidRDefault="001C65EF" w:rsidP="00774E78">
            <w:pPr>
              <w:pStyle w:val="TblTextLeft"/>
              <w:rPr>
                <w:lang w:val="en-AU" w:eastAsia="en-AU"/>
              </w:rPr>
            </w:pPr>
          </w:p>
        </w:tc>
      </w:tr>
      <w:tr w:rsidR="001C65EF" w:rsidRPr="00204FB3" w14:paraId="11F40468" w14:textId="77777777" w:rsidTr="00774E78">
        <w:trPr>
          <w:gridAfter w:val="1"/>
          <w:wAfter w:w="216" w:type="dxa"/>
          <w:cantSplit/>
        </w:trPr>
        <w:tc>
          <w:tcPr>
            <w:tcW w:w="4395" w:type="dxa"/>
            <w:gridSpan w:val="2"/>
            <w:vAlign w:val="bottom"/>
          </w:tcPr>
          <w:p w14:paraId="5F65F775" w14:textId="77777777" w:rsidR="001C65EF" w:rsidRPr="00204FB3" w:rsidRDefault="001C65EF" w:rsidP="00774E78">
            <w:pPr>
              <w:pStyle w:val="TblTextLeft"/>
              <w:rPr>
                <w:lang w:val="en-AU" w:eastAsia="en-AU"/>
              </w:rPr>
            </w:pPr>
            <w:r w:rsidRPr="00204FB3">
              <w:rPr>
                <w:lang w:val="en-AU" w:eastAsia="en-AU"/>
              </w:rPr>
              <w:t>Cataract</w:t>
            </w:r>
          </w:p>
        </w:tc>
        <w:tc>
          <w:tcPr>
            <w:tcW w:w="2693" w:type="dxa"/>
            <w:gridSpan w:val="2"/>
            <w:tcBorders>
              <w:left w:val="nil"/>
            </w:tcBorders>
            <w:vAlign w:val="bottom"/>
          </w:tcPr>
          <w:p w14:paraId="65D33924" w14:textId="0D6B01A0" w:rsidR="001C65EF" w:rsidRPr="00204FB3" w:rsidRDefault="00907C32" w:rsidP="00774E78">
            <w:pPr>
              <w:pStyle w:val="TblTextLeft"/>
              <w:rPr>
                <w:lang w:val="en-AU" w:eastAsia="en-AU"/>
              </w:rPr>
            </w:pPr>
            <w:r w:rsidRPr="00204FB3">
              <w:rPr>
                <w:lang w:val="en-AU" w:eastAsia="en-AU"/>
              </w:rPr>
              <w:tab/>
              <w:t xml:space="preserve">7 </w:t>
            </w:r>
            <w:r w:rsidR="001C65EF" w:rsidRPr="00204FB3">
              <w:rPr>
                <w:lang w:val="en-AU" w:eastAsia="en-AU"/>
              </w:rPr>
              <w:t>(1.1%)</w:t>
            </w:r>
          </w:p>
        </w:tc>
        <w:tc>
          <w:tcPr>
            <w:tcW w:w="2373" w:type="dxa"/>
            <w:gridSpan w:val="2"/>
            <w:tcBorders>
              <w:left w:val="nil"/>
            </w:tcBorders>
            <w:vAlign w:val="bottom"/>
          </w:tcPr>
          <w:p w14:paraId="7343FAA8" w14:textId="0BA1E61F" w:rsidR="001C65EF" w:rsidRPr="00204FB3" w:rsidRDefault="00907C32" w:rsidP="00774E78">
            <w:pPr>
              <w:pStyle w:val="TblTextLeft"/>
              <w:rPr>
                <w:lang w:val="en-AU" w:eastAsia="en-AU"/>
              </w:rPr>
            </w:pPr>
            <w:r w:rsidRPr="00204FB3">
              <w:rPr>
                <w:lang w:val="en-AU" w:eastAsia="en-AU"/>
              </w:rPr>
              <w:tab/>
              <w:t>11</w:t>
            </w:r>
            <w:r w:rsidR="001C65EF" w:rsidRPr="00204FB3">
              <w:rPr>
                <w:lang w:val="en-AU" w:eastAsia="en-AU"/>
              </w:rPr>
              <w:t xml:space="preserve"> (1.3%)</w:t>
            </w:r>
          </w:p>
        </w:tc>
      </w:tr>
      <w:tr w:rsidR="001C65EF" w:rsidRPr="00204FB3" w14:paraId="6312DF24" w14:textId="77777777" w:rsidTr="00774E78">
        <w:trPr>
          <w:gridAfter w:val="1"/>
          <w:wAfter w:w="216" w:type="dxa"/>
          <w:cantSplit/>
        </w:trPr>
        <w:tc>
          <w:tcPr>
            <w:tcW w:w="4395" w:type="dxa"/>
            <w:gridSpan w:val="2"/>
            <w:vAlign w:val="bottom"/>
          </w:tcPr>
          <w:p w14:paraId="5959C98B" w14:textId="77777777" w:rsidR="001C65EF" w:rsidRPr="00204FB3" w:rsidRDefault="001C65EF" w:rsidP="00774E78">
            <w:pPr>
              <w:pStyle w:val="TblTextLeft"/>
              <w:rPr>
                <w:lang w:val="en-AU" w:eastAsia="en-AU"/>
              </w:rPr>
            </w:pPr>
          </w:p>
        </w:tc>
        <w:tc>
          <w:tcPr>
            <w:tcW w:w="2693" w:type="dxa"/>
            <w:gridSpan w:val="2"/>
            <w:tcBorders>
              <w:left w:val="nil"/>
            </w:tcBorders>
            <w:vAlign w:val="bottom"/>
          </w:tcPr>
          <w:p w14:paraId="6495C970" w14:textId="77777777" w:rsidR="001C65EF" w:rsidRPr="00204FB3" w:rsidRDefault="001C65EF" w:rsidP="00774E78">
            <w:pPr>
              <w:pStyle w:val="TblTextLeft"/>
              <w:rPr>
                <w:lang w:val="en-AU" w:eastAsia="en-AU"/>
              </w:rPr>
            </w:pPr>
          </w:p>
        </w:tc>
        <w:tc>
          <w:tcPr>
            <w:tcW w:w="2373" w:type="dxa"/>
            <w:gridSpan w:val="2"/>
            <w:tcBorders>
              <w:left w:val="nil"/>
            </w:tcBorders>
            <w:vAlign w:val="bottom"/>
          </w:tcPr>
          <w:p w14:paraId="615DB5C3" w14:textId="77777777" w:rsidR="001C65EF" w:rsidRPr="00204FB3" w:rsidRDefault="001C65EF" w:rsidP="00774E78">
            <w:pPr>
              <w:pStyle w:val="TblTextLeft"/>
              <w:rPr>
                <w:lang w:val="en-AU" w:eastAsia="en-AU"/>
              </w:rPr>
            </w:pPr>
          </w:p>
        </w:tc>
      </w:tr>
      <w:tr w:rsidR="001C65EF" w:rsidRPr="00204FB3" w14:paraId="28BED936" w14:textId="77777777" w:rsidTr="00774E78">
        <w:trPr>
          <w:gridAfter w:val="1"/>
          <w:wAfter w:w="216" w:type="dxa"/>
          <w:cantSplit/>
        </w:trPr>
        <w:tc>
          <w:tcPr>
            <w:tcW w:w="4395" w:type="dxa"/>
            <w:gridSpan w:val="2"/>
            <w:vAlign w:val="bottom"/>
          </w:tcPr>
          <w:p w14:paraId="66075818" w14:textId="77777777" w:rsidR="001C65EF" w:rsidRPr="00204FB3" w:rsidRDefault="001C65EF" w:rsidP="00774E78">
            <w:pPr>
              <w:pStyle w:val="TblTextLeft"/>
              <w:rPr>
                <w:b/>
                <w:lang w:val="en-AU" w:eastAsia="en-AU"/>
              </w:rPr>
            </w:pPr>
            <w:r w:rsidRPr="00204FB3">
              <w:rPr>
                <w:b/>
                <w:lang w:val="en-AU" w:eastAsia="en-AU"/>
              </w:rPr>
              <w:t>Ear and labyrinth disorders</w:t>
            </w:r>
          </w:p>
        </w:tc>
        <w:tc>
          <w:tcPr>
            <w:tcW w:w="2693" w:type="dxa"/>
            <w:gridSpan w:val="2"/>
            <w:tcBorders>
              <w:left w:val="nil"/>
            </w:tcBorders>
            <w:vAlign w:val="bottom"/>
          </w:tcPr>
          <w:p w14:paraId="42CB7FC3" w14:textId="77777777" w:rsidR="001C65EF" w:rsidRPr="00204FB3" w:rsidRDefault="001C65EF" w:rsidP="00774E78">
            <w:pPr>
              <w:pStyle w:val="TblTextLeft"/>
              <w:rPr>
                <w:lang w:val="en-AU" w:eastAsia="en-AU"/>
              </w:rPr>
            </w:pPr>
          </w:p>
        </w:tc>
        <w:tc>
          <w:tcPr>
            <w:tcW w:w="2373" w:type="dxa"/>
            <w:gridSpan w:val="2"/>
            <w:tcBorders>
              <w:left w:val="nil"/>
            </w:tcBorders>
            <w:vAlign w:val="bottom"/>
          </w:tcPr>
          <w:p w14:paraId="13F13D06" w14:textId="77777777" w:rsidR="001C65EF" w:rsidRPr="00204FB3" w:rsidRDefault="001C65EF" w:rsidP="00774E78">
            <w:pPr>
              <w:pStyle w:val="TblTextLeft"/>
              <w:rPr>
                <w:lang w:val="en-AU" w:eastAsia="en-AU"/>
              </w:rPr>
            </w:pPr>
          </w:p>
        </w:tc>
      </w:tr>
      <w:tr w:rsidR="001C65EF" w:rsidRPr="00204FB3" w14:paraId="58800BEC" w14:textId="77777777" w:rsidTr="00774E78">
        <w:trPr>
          <w:gridAfter w:val="1"/>
          <w:wAfter w:w="216" w:type="dxa"/>
          <w:cantSplit/>
        </w:trPr>
        <w:tc>
          <w:tcPr>
            <w:tcW w:w="4395" w:type="dxa"/>
            <w:gridSpan w:val="2"/>
            <w:vAlign w:val="bottom"/>
          </w:tcPr>
          <w:p w14:paraId="3C9FB1C7" w14:textId="77777777" w:rsidR="001C65EF" w:rsidRPr="00204FB3" w:rsidRDefault="001C65EF" w:rsidP="00774E78">
            <w:pPr>
              <w:pStyle w:val="TblTextLeft"/>
              <w:rPr>
                <w:lang w:val="en-AU" w:eastAsia="en-AU"/>
              </w:rPr>
            </w:pPr>
            <w:r w:rsidRPr="00204FB3">
              <w:rPr>
                <w:lang w:val="en-AU" w:eastAsia="en-AU"/>
              </w:rPr>
              <w:t>Vertigo</w:t>
            </w:r>
          </w:p>
        </w:tc>
        <w:tc>
          <w:tcPr>
            <w:tcW w:w="2693" w:type="dxa"/>
            <w:gridSpan w:val="2"/>
            <w:tcBorders>
              <w:left w:val="nil"/>
            </w:tcBorders>
            <w:vAlign w:val="bottom"/>
          </w:tcPr>
          <w:p w14:paraId="5573EBDE" w14:textId="33FC040E" w:rsidR="001C65EF" w:rsidRPr="00204FB3" w:rsidRDefault="00907C32" w:rsidP="00774E78">
            <w:pPr>
              <w:pStyle w:val="TblTextLeft"/>
              <w:rPr>
                <w:lang w:val="en-AU" w:eastAsia="en-AU"/>
              </w:rPr>
            </w:pPr>
            <w:r w:rsidRPr="00204FB3">
              <w:rPr>
                <w:lang w:val="en-AU" w:eastAsia="en-AU"/>
              </w:rPr>
              <w:tab/>
              <w:t>5</w:t>
            </w:r>
            <w:r w:rsidR="001C65EF" w:rsidRPr="00204FB3">
              <w:rPr>
                <w:lang w:val="en-AU" w:eastAsia="en-AU"/>
              </w:rPr>
              <w:t xml:space="preserve"> (0.8%)</w:t>
            </w:r>
          </w:p>
        </w:tc>
        <w:tc>
          <w:tcPr>
            <w:tcW w:w="2373" w:type="dxa"/>
            <w:gridSpan w:val="2"/>
            <w:tcBorders>
              <w:left w:val="nil"/>
            </w:tcBorders>
            <w:vAlign w:val="bottom"/>
          </w:tcPr>
          <w:p w14:paraId="5B2C95EA" w14:textId="002FE85F" w:rsidR="001C65EF" w:rsidRPr="00204FB3" w:rsidRDefault="00907C32" w:rsidP="00774E78">
            <w:pPr>
              <w:pStyle w:val="TblTextLeft"/>
              <w:rPr>
                <w:lang w:val="en-AU" w:eastAsia="en-AU"/>
              </w:rPr>
            </w:pPr>
            <w:r w:rsidRPr="00204FB3">
              <w:rPr>
                <w:lang w:val="en-AU" w:eastAsia="en-AU"/>
              </w:rPr>
              <w:tab/>
              <w:t>9</w:t>
            </w:r>
            <w:r w:rsidR="001C65EF" w:rsidRPr="00204FB3">
              <w:rPr>
                <w:lang w:val="en-AU" w:eastAsia="en-AU"/>
              </w:rPr>
              <w:t xml:space="preserve"> (1.0%)</w:t>
            </w:r>
          </w:p>
        </w:tc>
      </w:tr>
      <w:tr w:rsidR="001C65EF" w:rsidRPr="00204FB3" w14:paraId="2BE3213B" w14:textId="77777777" w:rsidTr="00774E78">
        <w:trPr>
          <w:gridAfter w:val="1"/>
          <w:wAfter w:w="216" w:type="dxa"/>
          <w:cantSplit/>
        </w:trPr>
        <w:tc>
          <w:tcPr>
            <w:tcW w:w="4395" w:type="dxa"/>
            <w:gridSpan w:val="2"/>
            <w:vAlign w:val="bottom"/>
          </w:tcPr>
          <w:p w14:paraId="43563560" w14:textId="77777777" w:rsidR="001C65EF" w:rsidRPr="00204FB3" w:rsidRDefault="001C65EF" w:rsidP="00774E78">
            <w:pPr>
              <w:pStyle w:val="TblTextLeft"/>
              <w:rPr>
                <w:lang w:val="en-AU" w:eastAsia="en-AU"/>
              </w:rPr>
            </w:pPr>
          </w:p>
        </w:tc>
        <w:tc>
          <w:tcPr>
            <w:tcW w:w="2693" w:type="dxa"/>
            <w:gridSpan w:val="2"/>
            <w:tcBorders>
              <w:left w:val="nil"/>
            </w:tcBorders>
            <w:vAlign w:val="bottom"/>
          </w:tcPr>
          <w:p w14:paraId="5D4A7924" w14:textId="77777777" w:rsidR="001C65EF" w:rsidRPr="00204FB3" w:rsidRDefault="001C65EF" w:rsidP="00774E78">
            <w:pPr>
              <w:pStyle w:val="TblTextLeft"/>
              <w:rPr>
                <w:lang w:val="en-AU" w:eastAsia="en-AU"/>
              </w:rPr>
            </w:pPr>
          </w:p>
        </w:tc>
        <w:tc>
          <w:tcPr>
            <w:tcW w:w="2373" w:type="dxa"/>
            <w:gridSpan w:val="2"/>
            <w:tcBorders>
              <w:left w:val="nil"/>
            </w:tcBorders>
            <w:vAlign w:val="bottom"/>
          </w:tcPr>
          <w:p w14:paraId="0D164F0B" w14:textId="77777777" w:rsidR="001C65EF" w:rsidRPr="00204FB3" w:rsidRDefault="001C65EF" w:rsidP="00774E78">
            <w:pPr>
              <w:pStyle w:val="TblTextLeft"/>
              <w:rPr>
                <w:lang w:val="en-AU" w:eastAsia="en-AU"/>
              </w:rPr>
            </w:pPr>
          </w:p>
        </w:tc>
      </w:tr>
      <w:tr w:rsidR="001C65EF" w:rsidRPr="00204FB3" w14:paraId="1E5F35B2" w14:textId="77777777" w:rsidTr="00774E78">
        <w:trPr>
          <w:gridAfter w:val="1"/>
          <w:wAfter w:w="216" w:type="dxa"/>
          <w:cantSplit/>
        </w:trPr>
        <w:tc>
          <w:tcPr>
            <w:tcW w:w="4395" w:type="dxa"/>
            <w:gridSpan w:val="2"/>
            <w:vAlign w:val="bottom"/>
          </w:tcPr>
          <w:p w14:paraId="437E8BCE" w14:textId="77777777" w:rsidR="001C65EF" w:rsidRPr="00204FB3" w:rsidRDefault="001C65EF" w:rsidP="00774E78">
            <w:pPr>
              <w:pStyle w:val="TblTextLeft"/>
              <w:rPr>
                <w:b/>
                <w:lang w:val="en-AU" w:eastAsia="en-AU"/>
              </w:rPr>
            </w:pPr>
            <w:r w:rsidRPr="00204FB3">
              <w:rPr>
                <w:b/>
                <w:lang w:val="en-AU" w:eastAsia="en-AU"/>
              </w:rPr>
              <w:t>Cardiac disorders</w:t>
            </w:r>
          </w:p>
        </w:tc>
        <w:tc>
          <w:tcPr>
            <w:tcW w:w="2693" w:type="dxa"/>
            <w:gridSpan w:val="2"/>
            <w:tcBorders>
              <w:left w:val="nil"/>
            </w:tcBorders>
            <w:vAlign w:val="bottom"/>
          </w:tcPr>
          <w:p w14:paraId="68C64097" w14:textId="77777777" w:rsidR="001C65EF" w:rsidRPr="00204FB3" w:rsidRDefault="001C65EF" w:rsidP="00774E78">
            <w:pPr>
              <w:pStyle w:val="TblTextLeft"/>
              <w:rPr>
                <w:lang w:val="en-AU" w:eastAsia="en-AU"/>
              </w:rPr>
            </w:pPr>
          </w:p>
        </w:tc>
        <w:tc>
          <w:tcPr>
            <w:tcW w:w="2373" w:type="dxa"/>
            <w:gridSpan w:val="2"/>
            <w:tcBorders>
              <w:left w:val="nil"/>
            </w:tcBorders>
            <w:vAlign w:val="bottom"/>
          </w:tcPr>
          <w:p w14:paraId="18A8CA22" w14:textId="77777777" w:rsidR="001C65EF" w:rsidRPr="00204FB3" w:rsidRDefault="001C65EF" w:rsidP="00774E78">
            <w:pPr>
              <w:pStyle w:val="TblTextLeft"/>
              <w:rPr>
                <w:lang w:val="en-AU" w:eastAsia="en-AU"/>
              </w:rPr>
            </w:pPr>
          </w:p>
        </w:tc>
      </w:tr>
      <w:tr w:rsidR="001C65EF" w:rsidRPr="00204FB3" w14:paraId="73F15A85" w14:textId="77777777" w:rsidTr="00774E78">
        <w:trPr>
          <w:gridAfter w:val="1"/>
          <w:wAfter w:w="216" w:type="dxa"/>
          <w:cantSplit/>
        </w:trPr>
        <w:tc>
          <w:tcPr>
            <w:tcW w:w="4395" w:type="dxa"/>
            <w:gridSpan w:val="2"/>
            <w:vAlign w:val="bottom"/>
          </w:tcPr>
          <w:p w14:paraId="459BC21C" w14:textId="77777777" w:rsidR="001C65EF" w:rsidRPr="00204FB3" w:rsidRDefault="001C65EF" w:rsidP="00774E78">
            <w:pPr>
              <w:pStyle w:val="TblTextLeft"/>
              <w:rPr>
                <w:lang w:val="en-AU" w:eastAsia="en-AU"/>
              </w:rPr>
            </w:pPr>
            <w:r w:rsidRPr="00204FB3">
              <w:rPr>
                <w:lang w:val="en-AU" w:eastAsia="en-AU"/>
              </w:rPr>
              <w:t>Angina pectoris</w:t>
            </w:r>
          </w:p>
        </w:tc>
        <w:tc>
          <w:tcPr>
            <w:tcW w:w="2693" w:type="dxa"/>
            <w:gridSpan w:val="2"/>
            <w:tcBorders>
              <w:left w:val="nil"/>
            </w:tcBorders>
            <w:vAlign w:val="bottom"/>
          </w:tcPr>
          <w:p w14:paraId="03727ADA" w14:textId="35708389" w:rsidR="001C65EF" w:rsidRPr="00204FB3" w:rsidRDefault="00907C32" w:rsidP="00774E78">
            <w:pPr>
              <w:pStyle w:val="TblTextLeft"/>
              <w:rPr>
                <w:lang w:val="en-AU" w:eastAsia="en-AU"/>
              </w:rPr>
            </w:pPr>
            <w:r w:rsidRPr="00204FB3">
              <w:rPr>
                <w:lang w:val="en-AU" w:eastAsia="en-AU"/>
              </w:rPr>
              <w:tab/>
              <w:t>11</w:t>
            </w:r>
            <w:r w:rsidR="001C65EF" w:rsidRPr="00204FB3">
              <w:rPr>
                <w:lang w:val="en-AU" w:eastAsia="en-AU"/>
              </w:rPr>
              <w:t xml:space="preserve"> (1.8%)</w:t>
            </w:r>
          </w:p>
        </w:tc>
        <w:tc>
          <w:tcPr>
            <w:tcW w:w="2373" w:type="dxa"/>
            <w:gridSpan w:val="2"/>
            <w:tcBorders>
              <w:left w:val="nil"/>
            </w:tcBorders>
            <w:vAlign w:val="bottom"/>
          </w:tcPr>
          <w:p w14:paraId="59DFA608" w14:textId="1196BCDA" w:rsidR="001C65EF" w:rsidRPr="00204FB3" w:rsidRDefault="00907C32" w:rsidP="00774E78">
            <w:pPr>
              <w:pStyle w:val="TblTextLeft"/>
              <w:rPr>
                <w:lang w:val="en-AU" w:eastAsia="en-AU"/>
              </w:rPr>
            </w:pPr>
            <w:r w:rsidRPr="00204FB3">
              <w:rPr>
                <w:lang w:val="en-AU" w:eastAsia="en-AU"/>
              </w:rPr>
              <w:tab/>
              <w:t>16</w:t>
            </w:r>
            <w:r w:rsidR="001C65EF" w:rsidRPr="00204FB3">
              <w:rPr>
                <w:lang w:val="en-AU" w:eastAsia="en-AU"/>
              </w:rPr>
              <w:t xml:space="preserve"> (1.9%)</w:t>
            </w:r>
          </w:p>
        </w:tc>
      </w:tr>
      <w:tr w:rsidR="001C65EF" w:rsidRPr="00204FB3" w14:paraId="5DA6216A" w14:textId="77777777" w:rsidTr="00774E78">
        <w:trPr>
          <w:gridAfter w:val="1"/>
          <w:wAfter w:w="216" w:type="dxa"/>
          <w:cantSplit/>
        </w:trPr>
        <w:tc>
          <w:tcPr>
            <w:tcW w:w="4395" w:type="dxa"/>
            <w:gridSpan w:val="2"/>
            <w:vAlign w:val="bottom"/>
          </w:tcPr>
          <w:p w14:paraId="0D2A8373" w14:textId="77777777" w:rsidR="001C65EF" w:rsidRPr="00204FB3" w:rsidRDefault="001C65EF" w:rsidP="00774E78">
            <w:pPr>
              <w:pStyle w:val="TblTextLeft"/>
              <w:rPr>
                <w:lang w:val="en-AU" w:eastAsia="en-AU"/>
              </w:rPr>
            </w:pPr>
            <w:r w:rsidRPr="00204FB3">
              <w:rPr>
                <w:lang w:val="en-AU" w:eastAsia="en-AU"/>
              </w:rPr>
              <w:t>Acute myocardial infarction</w:t>
            </w:r>
          </w:p>
        </w:tc>
        <w:tc>
          <w:tcPr>
            <w:tcW w:w="2693" w:type="dxa"/>
            <w:gridSpan w:val="2"/>
            <w:tcBorders>
              <w:left w:val="nil"/>
            </w:tcBorders>
            <w:vAlign w:val="bottom"/>
          </w:tcPr>
          <w:p w14:paraId="3301923E" w14:textId="2D95CBE6" w:rsidR="001C65EF" w:rsidRPr="00204FB3" w:rsidRDefault="00907C32" w:rsidP="00774E78">
            <w:pPr>
              <w:pStyle w:val="TblTextLeft"/>
              <w:rPr>
                <w:lang w:val="en-AU" w:eastAsia="en-AU"/>
              </w:rPr>
            </w:pPr>
            <w:r w:rsidRPr="00204FB3">
              <w:rPr>
                <w:lang w:val="en-AU" w:eastAsia="en-AU"/>
              </w:rPr>
              <w:tab/>
              <w:t>4</w:t>
            </w:r>
            <w:r w:rsidR="001C65EF" w:rsidRPr="00204FB3">
              <w:rPr>
                <w:lang w:val="en-AU" w:eastAsia="en-AU"/>
              </w:rPr>
              <w:t xml:space="preserve"> (0.6%)</w:t>
            </w:r>
          </w:p>
        </w:tc>
        <w:tc>
          <w:tcPr>
            <w:tcW w:w="2373" w:type="dxa"/>
            <w:gridSpan w:val="2"/>
            <w:tcBorders>
              <w:left w:val="nil"/>
            </w:tcBorders>
            <w:vAlign w:val="bottom"/>
          </w:tcPr>
          <w:p w14:paraId="5E542897" w14:textId="12A73B11" w:rsidR="001C65EF" w:rsidRPr="00204FB3" w:rsidRDefault="00907C32" w:rsidP="00774E78">
            <w:pPr>
              <w:pStyle w:val="TblTextLeft"/>
              <w:rPr>
                <w:lang w:val="en-AU" w:eastAsia="en-AU"/>
              </w:rPr>
            </w:pPr>
            <w:r w:rsidRPr="00204FB3">
              <w:rPr>
                <w:lang w:val="en-AU" w:eastAsia="en-AU"/>
              </w:rPr>
              <w:tab/>
              <w:t>13</w:t>
            </w:r>
            <w:r w:rsidR="001C65EF" w:rsidRPr="00204FB3">
              <w:rPr>
                <w:lang w:val="en-AU" w:eastAsia="en-AU"/>
              </w:rPr>
              <w:t xml:space="preserve"> (1.5%)</w:t>
            </w:r>
          </w:p>
        </w:tc>
      </w:tr>
      <w:tr w:rsidR="001C65EF" w:rsidRPr="00204FB3" w14:paraId="5CCB0D4E" w14:textId="77777777" w:rsidTr="00774E78">
        <w:trPr>
          <w:gridAfter w:val="1"/>
          <w:wAfter w:w="216" w:type="dxa"/>
          <w:cantSplit/>
        </w:trPr>
        <w:tc>
          <w:tcPr>
            <w:tcW w:w="4395" w:type="dxa"/>
            <w:gridSpan w:val="2"/>
            <w:vAlign w:val="bottom"/>
          </w:tcPr>
          <w:p w14:paraId="495CC350" w14:textId="77777777" w:rsidR="001C65EF" w:rsidRPr="00204FB3" w:rsidRDefault="001C65EF" w:rsidP="00774E78">
            <w:pPr>
              <w:pStyle w:val="TblTextLeft"/>
              <w:rPr>
                <w:lang w:val="en-AU" w:eastAsia="en-AU"/>
              </w:rPr>
            </w:pPr>
            <w:r w:rsidRPr="00204FB3">
              <w:rPr>
                <w:lang w:val="en-AU" w:eastAsia="en-AU"/>
              </w:rPr>
              <w:t>Angina unstable</w:t>
            </w:r>
          </w:p>
        </w:tc>
        <w:tc>
          <w:tcPr>
            <w:tcW w:w="2693" w:type="dxa"/>
            <w:gridSpan w:val="2"/>
            <w:tcBorders>
              <w:left w:val="nil"/>
            </w:tcBorders>
            <w:vAlign w:val="bottom"/>
          </w:tcPr>
          <w:p w14:paraId="06BDABCF" w14:textId="53A63437" w:rsidR="001C65EF" w:rsidRPr="00204FB3" w:rsidRDefault="00907C32" w:rsidP="00774E78">
            <w:pPr>
              <w:pStyle w:val="TblTextLeft"/>
              <w:rPr>
                <w:lang w:val="en-AU" w:eastAsia="en-AU"/>
              </w:rPr>
            </w:pPr>
            <w:r w:rsidRPr="00204FB3">
              <w:rPr>
                <w:lang w:val="en-AU" w:eastAsia="en-AU"/>
              </w:rPr>
              <w:tab/>
              <w:t>6</w:t>
            </w:r>
            <w:r w:rsidR="001C65EF" w:rsidRPr="00204FB3">
              <w:rPr>
                <w:lang w:val="en-AU" w:eastAsia="en-AU"/>
              </w:rPr>
              <w:t xml:space="preserve"> (1.0%)</w:t>
            </w:r>
          </w:p>
        </w:tc>
        <w:tc>
          <w:tcPr>
            <w:tcW w:w="2373" w:type="dxa"/>
            <w:gridSpan w:val="2"/>
            <w:tcBorders>
              <w:left w:val="nil"/>
            </w:tcBorders>
            <w:vAlign w:val="bottom"/>
          </w:tcPr>
          <w:p w14:paraId="3574CC36" w14:textId="5267BF8A" w:rsidR="001C65EF" w:rsidRPr="00204FB3" w:rsidRDefault="00907C32" w:rsidP="00774E78">
            <w:pPr>
              <w:pStyle w:val="TblTextLeft"/>
              <w:rPr>
                <w:lang w:val="en-AU" w:eastAsia="en-AU"/>
              </w:rPr>
            </w:pPr>
            <w:r w:rsidRPr="00204FB3">
              <w:rPr>
                <w:lang w:val="en-AU" w:eastAsia="en-AU"/>
              </w:rPr>
              <w:tab/>
              <w:t>13</w:t>
            </w:r>
            <w:r w:rsidR="001C65EF" w:rsidRPr="00204FB3">
              <w:rPr>
                <w:lang w:val="en-AU" w:eastAsia="en-AU"/>
              </w:rPr>
              <w:t xml:space="preserve"> (1.5%)</w:t>
            </w:r>
          </w:p>
        </w:tc>
      </w:tr>
      <w:tr w:rsidR="001C65EF" w:rsidRPr="00204FB3" w14:paraId="68658F59" w14:textId="77777777" w:rsidTr="00774E78">
        <w:trPr>
          <w:gridAfter w:val="1"/>
          <w:wAfter w:w="216" w:type="dxa"/>
          <w:cantSplit/>
        </w:trPr>
        <w:tc>
          <w:tcPr>
            <w:tcW w:w="4395" w:type="dxa"/>
            <w:gridSpan w:val="2"/>
            <w:vAlign w:val="bottom"/>
          </w:tcPr>
          <w:p w14:paraId="74CA536E" w14:textId="77777777" w:rsidR="001C65EF" w:rsidRPr="00204FB3" w:rsidRDefault="001C65EF" w:rsidP="00774E78">
            <w:pPr>
              <w:pStyle w:val="TblTextLeft"/>
              <w:rPr>
                <w:lang w:val="en-AU" w:eastAsia="en-AU"/>
              </w:rPr>
            </w:pPr>
            <w:r w:rsidRPr="00204FB3">
              <w:rPr>
                <w:lang w:val="en-AU" w:eastAsia="en-AU"/>
              </w:rPr>
              <w:t>Atrial fibrillation</w:t>
            </w:r>
          </w:p>
        </w:tc>
        <w:tc>
          <w:tcPr>
            <w:tcW w:w="2693" w:type="dxa"/>
            <w:gridSpan w:val="2"/>
            <w:tcBorders>
              <w:left w:val="nil"/>
            </w:tcBorders>
            <w:vAlign w:val="bottom"/>
          </w:tcPr>
          <w:p w14:paraId="10EFAAF6" w14:textId="3F9B8A8D" w:rsidR="001C65EF" w:rsidRPr="00204FB3" w:rsidRDefault="00907C32" w:rsidP="00774E78">
            <w:pPr>
              <w:pStyle w:val="TblTextLeft"/>
              <w:rPr>
                <w:lang w:val="en-AU" w:eastAsia="en-AU"/>
              </w:rPr>
            </w:pPr>
            <w:r w:rsidRPr="00204FB3">
              <w:rPr>
                <w:lang w:val="en-AU" w:eastAsia="en-AU"/>
              </w:rPr>
              <w:tab/>
              <w:t>8</w:t>
            </w:r>
            <w:r w:rsidR="001C65EF" w:rsidRPr="00204FB3">
              <w:rPr>
                <w:lang w:val="en-AU" w:eastAsia="en-AU"/>
              </w:rPr>
              <w:t xml:space="preserve"> (1.3%)</w:t>
            </w:r>
          </w:p>
        </w:tc>
        <w:tc>
          <w:tcPr>
            <w:tcW w:w="2373" w:type="dxa"/>
            <w:gridSpan w:val="2"/>
            <w:tcBorders>
              <w:left w:val="nil"/>
            </w:tcBorders>
            <w:vAlign w:val="bottom"/>
          </w:tcPr>
          <w:p w14:paraId="557E468E" w14:textId="3E7771E5" w:rsidR="001C65EF" w:rsidRPr="00204FB3" w:rsidRDefault="00907C32" w:rsidP="00774E78">
            <w:pPr>
              <w:pStyle w:val="TblTextLeft"/>
              <w:rPr>
                <w:lang w:val="en-AU" w:eastAsia="en-AU"/>
              </w:rPr>
            </w:pPr>
            <w:r w:rsidRPr="00204FB3">
              <w:rPr>
                <w:lang w:val="en-AU" w:eastAsia="en-AU"/>
              </w:rPr>
              <w:tab/>
              <w:t>13</w:t>
            </w:r>
            <w:r w:rsidR="001C65EF" w:rsidRPr="00204FB3">
              <w:rPr>
                <w:lang w:val="en-AU" w:eastAsia="en-AU"/>
              </w:rPr>
              <w:t xml:space="preserve"> (1.5%)</w:t>
            </w:r>
          </w:p>
        </w:tc>
      </w:tr>
      <w:tr w:rsidR="001C65EF" w:rsidRPr="00204FB3" w14:paraId="0D726A65" w14:textId="77777777" w:rsidTr="00774E78">
        <w:trPr>
          <w:gridAfter w:val="1"/>
          <w:wAfter w:w="216" w:type="dxa"/>
          <w:cantSplit/>
        </w:trPr>
        <w:tc>
          <w:tcPr>
            <w:tcW w:w="4395" w:type="dxa"/>
            <w:gridSpan w:val="2"/>
            <w:vAlign w:val="bottom"/>
          </w:tcPr>
          <w:p w14:paraId="1B393A67" w14:textId="77777777" w:rsidR="001C65EF" w:rsidRPr="00204FB3" w:rsidRDefault="001C65EF" w:rsidP="00774E78">
            <w:pPr>
              <w:pStyle w:val="TblTextLeft"/>
              <w:rPr>
                <w:lang w:val="en-AU" w:eastAsia="en-AU"/>
              </w:rPr>
            </w:pPr>
            <w:r w:rsidRPr="00204FB3">
              <w:rPr>
                <w:lang w:val="en-AU" w:eastAsia="en-AU"/>
              </w:rPr>
              <w:t>Palpitations</w:t>
            </w:r>
          </w:p>
        </w:tc>
        <w:tc>
          <w:tcPr>
            <w:tcW w:w="2693" w:type="dxa"/>
            <w:gridSpan w:val="2"/>
            <w:tcBorders>
              <w:left w:val="nil"/>
            </w:tcBorders>
            <w:vAlign w:val="bottom"/>
          </w:tcPr>
          <w:p w14:paraId="7D823890" w14:textId="3344C325" w:rsidR="001C65EF" w:rsidRPr="00204FB3" w:rsidRDefault="00907C32" w:rsidP="00774E78">
            <w:pPr>
              <w:pStyle w:val="TblTextLeft"/>
              <w:rPr>
                <w:lang w:val="en-AU" w:eastAsia="en-AU"/>
              </w:rPr>
            </w:pPr>
            <w:r w:rsidRPr="00204FB3">
              <w:rPr>
                <w:lang w:val="en-AU" w:eastAsia="en-AU"/>
              </w:rPr>
              <w:tab/>
              <w:t>6</w:t>
            </w:r>
            <w:r w:rsidR="001C65EF" w:rsidRPr="00204FB3">
              <w:rPr>
                <w:lang w:val="en-AU" w:eastAsia="en-AU"/>
              </w:rPr>
              <w:t>(1.0%)</w:t>
            </w:r>
          </w:p>
        </w:tc>
        <w:tc>
          <w:tcPr>
            <w:tcW w:w="2373" w:type="dxa"/>
            <w:gridSpan w:val="2"/>
            <w:tcBorders>
              <w:left w:val="nil"/>
            </w:tcBorders>
            <w:vAlign w:val="bottom"/>
          </w:tcPr>
          <w:p w14:paraId="07C0E088" w14:textId="2B17C618" w:rsidR="001C65EF" w:rsidRPr="00204FB3" w:rsidRDefault="00907C32" w:rsidP="00774E78">
            <w:pPr>
              <w:pStyle w:val="TblTextLeft"/>
              <w:rPr>
                <w:lang w:val="en-AU" w:eastAsia="en-AU"/>
              </w:rPr>
            </w:pPr>
            <w:r w:rsidRPr="00204FB3">
              <w:rPr>
                <w:lang w:val="en-AU" w:eastAsia="en-AU"/>
              </w:rPr>
              <w:tab/>
              <w:t>11</w:t>
            </w:r>
            <w:r w:rsidR="001C65EF" w:rsidRPr="00204FB3">
              <w:rPr>
                <w:lang w:val="en-AU" w:eastAsia="en-AU"/>
              </w:rPr>
              <w:t>(1.3%)</w:t>
            </w:r>
          </w:p>
        </w:tc>
      </w:tr>
      <w:tr w:rsidR="001C65EF" w:rsidRPr="00204FB3" w14:paraId="4519C16B" w14:textId="77777777" w:rsidTr="00774E78">
        <w:trPr>
          <w:gridAfter w:val="1"/>
          <w:wAfter w:w="216" w:type="dxa"/>
          <w:cantSplit/>
        </w:trPr>
        <w:tc>
          <w:tcPr>
            <w:tcW w:w="4395" w:type="dxa"/>
            <w:gridSpan w:val="2"/>
            <w:vAlign w:val="bottom"/>
          </w:tcPr>
          <w:p w14:paraId="796865E0" w14:textId="77777777" w:rsidR="001C65EF" w:rsidRPr="00204FB3" w:rsidRDefault="001C65EF" w:rsidP="00774E78">
            <w:pPr>
              <w:pStyle w:val="TblTextLeft"/>
              <w:rPr>
                <w:lang w:val="en-AU" w:eastAsia="en-AU"/>
              </w:rPr>
            </w:pPr>
          </w:p>
        </w:tc>
        <w:tc>
          <w:tcPr>
            <w:tcW w:w="2693" w:type="dxa"/>
            <w:gridSpan w:val="2"/>
            <w:tcBorders>
              <w:left w:val="nil"/>
            </w:tcBorders>
            <w:vAlign w:val="bottom"/>
          </w:tcPr>
          <w:p w14:paraId="351943A1" w14:textId="77777777" w:rsidR="001C65EF" w:rsidRPr="00204FB3" w:rsidRDefault="001C65EF" w:rsidP="00774E78">
            <w:pPr>
              <w:pStyle w:val="TblTextLeft"/>
              <w:rPr>
                <w:lang w:val="en-AU" w:eastAsia="en-AU"/>
              </w:rPr>
            </w:pPr>
          </w:p>
        </w:tc>
        <w:tc>
          <w:tcPr>
            <w:tcW w:w="2373" w:type="dxa"/>
            <w:gridSpan w:val="2"/>
            <w:tcBorders>
              <w:left w:val="nil"/>
            </w:tcBorders>
            <w:vAlign w:val="bottom"/>
          </w:tcPr>
          <w:p w14:paraId="254437B4" w14:textId="77777777" w:rsidR="001C65EF" w:rsidRPr="00204FB3" w:rsidRDefault="001C65EF" w:rsidP="00774E78">
            <w:pPr>
              <w:pStyle w:val="TblTextLeft"/>
              <w:rPr>
                <w:lang w:val="en-AU" w:eastAsia="en-AU"/>
              </w:rPr>
            </w:pPr>
          </w:p>
        </w:tc>
      </w:tr>
      <w:tr w:rsidR="001C65EF" w:rsidRPr="00204FB3" w14:paraId="6BCF8DC4" w14:textId="77777777" w:rsidTr="00774E78">
        <w:trPr>
          <w:gridAfter w:val="1"/>
          <w:wAfter w:w="216" w:type="dxa"/>
          <w:cantSplit/>
        </w:trPr>
        <w:tc>
          <w:tcPr>
            <w:tcW w:w="4395" w:type="dxa"/>
            <w:gridSpan w:val="2"/>
            <w:vAlign w:val="bottom"/>
          </w:tcPr>
          <w:p w14:paraId="081DF539" w14:textId="77777777" w:rsidR="001C65EF" w:rsidRPr="00204FB3" w:rsidRDefault="001C65EF" w:rsidP="00774E78">
            <w:pPr>
              <w:pStyle w:val="TblTextLeft"/>
              <w:rPr>
                <w:b/>
                <w:lang w:val="en-AU" w:eastAsia="en-AU"/>
              </w:rPr>
            </w:pPr>
            <w:r w:rsidRPr="00204FB3">
              <w:rPr>
                <w:b/>
                <w:lang w:val="en-AU" w:eastAsia="en-AU"/>
              </w:rPr>
              <w:t>Vascular disorders</w:t>
            </w:r>
          </w:p>
        </w:tc>
        <w:tc>
          <w:tcPr>
            <w:tcW w:w="2693" w:type="dxa"/>
            <w:gridSpan w:val="2"/>
            <w:tcBorders>
              <w:left w:val="nil"/>
            </w:tcBorders>
            <w:vAlign w:val="bottom"/>
          </w:tcPr>
          <w:p w14:paraId="00554CE6" w14:textId="77777777" w:rsidR="001C65EF" w:rsidRPr="00204FB3" w:rsidRDefault="001C65EF" w:rsidP="00774E78">
            <w:pPr>
              <w:pStyle w:val="TblTextLeft"/>
              <w:rPr>
                <w:lang w:val="en-AU" w:eastAsia="en-AU"/>
              </w:rPr>
            </w:pPr>
          </w:p>
        </w:tc>
        <w:tc>
          <w:tcPr>
            <w:tcW w:w="2373" w:type="dxa"/>
            <w:gridSpan w:val="2"/>
            <w:tcBorders>
              <w:left w:val="nil"/>
            </w:tcBorders>
            <w:vAlign w:val="bottom"/>
          </w:tcPr>
          <w:p w14:paraId="6373C814" w14:textId="77777777" w:rsidR="001C65EF" w:rsidRPr="00204FB3" w:rsidRDefault="001C65EF" w:rsidP="00774E78">
            <w:pPr>
              <w:pStyle w:val="TblTextLeft"/>
              <w:rPr>
                <w:lang w:val="en-AU" w:eastAsia="en-AU"/>
              </w:rPr>
            </w:pPr>
          </w:p>
        </w:tc>
      </w:tr>
      <w:tr w:rsidR="001C65EF" w:rsidRPr="00204FB3" w14:paraId="223F50ED" w14:textId="77777777" w:rsidTr="00774E78">
        <w:trPr>
          <w:gridAfter w:val="1"/>
          <w:wAfter w:w="216" w:type="dxa"/>
          <w:cantSplit/>
        </w:trPr>
        <w:tc>
          <w:tcPr>
            <w:tcW w:w="4395" w:type="dxa"/>
            <w:gridSpan w:val="2"/>
            <w:vAlign w:val="bottom"/>
          </w:tcPr>
          <w:p w14:paraId="147E9303" w14:textId="77777777" w:rsidR="001C65EF" w:rsidRPr="00204FB3" w:rsidRDefault="001C65EF" w:rsidP="00774E78">
            <w:pPr>
              <w:pStyle w:val="TblTextLeft"/>
              <w:rPr>
                <w:lang w:val="en-AU" w:eastAsia="en-AU"/>
              </w:rPr>
            </w:pPr>
            <w:r w:rsidRPr="00204FB3">
              <w:rPr>
                <w:lang w:val="en-AU" w:eastAsia="en-AU"/>
              </w:rPr>
              <w:t>Hypertension</w:t>
            </w:r>
          </w:p>
        </w:tc>
        <w:tc>
          <w:tcPr>
            <w:tcW w:w="2693" w:type="dxa"/>
            <w:gridSpan w:val="2"/>
            <w:tcBorders>
              <w:left w:val="nil"/>
            </w:tcBorders>
            <w:vAlign w:val="bottom"/>
          </w:tcPr>
          <w:p w14:paraId="56DAA8D7" w14:textId="78D8598E" w:rsidR="001C65EF" w:rsidRPr="00204FB3" w:rsidRDefault="00907C32" w:rsidP="00774E78">
            <w:pPr>
              <w:pStyle w:val="TblTextLeft"/>
              <w:rPr>
                <w:lang w:val="en-AU" w:eastAsia="en-AU"/>
              </w:rPr>
            </w:pPr>
            <w:r w:rsidRPr="00204FB3">
              <w:rPr>
                <w:lang w:val="en-AU" w:eastAsia="en-AU"/>
              </w:rPr>
              <w:tab/>
              <w:t>28</w:t>
            </w:r>
            <w:r w:rsidR="001C65EF" w:rsidRPr="00204FB3">
              <w:rPr>
                <w:lang w:val="en-AU" w:eastAsia="en-AU"/>
              </w:rPr>
              <w:t xml:space="preserve"> (4.5%)</w:t>
            </w:r>
          </w:p>
        </w:tc>
        <w:tc>
          <w:tcPr>
            <w:tcW w:w="2373" w:type="dxa"/>
            <w:gridSpan w:val="2"/>
            <w:tcBorders>
              <w:left w:val="nil"/>
            </w:tcBorders>
            <w:vAlign w:val="bottom"/>
          </w:tcPr>
          <w:p w14:paraId="1D8C1647" w14:textId="4B6CB132" w:rsidR="001C65EF" w:rsidRPr="00204FB3" w:rsidRDefault="00907C32" w:rsidP="00774E78">
            <w:pPr>
              <w:pStyle w:val="TblTextLeft"/>
              <w:rPr>
                <w:lang w:val="en-AU" w:eastAsia="en-AU"/>
              </w:rPr>
            </w:pPr>
            <w:r w:rsidRPr="00204FB3">
              <w:rPr>
                <w:lang w:val="en-AU" w:eastAsia="en-AU"/>
              </w:rPr>
              <w:tab/>
              <w:t xml:space="preserve">42 </w:t>
            </w:r>
            <w:r w:rsidR="001C65EF" w:rsidRPr="00204FB3">
              <w:rPr>
                <w:lang w:val="en-AU" w:eastAsia="en-AU"/>
              </w:rPr>
              <w:t>(4.9%)</w:t>
            </w:r>
          </w:p>
        </w:tc>
      </w:tr>
      <w:tr w:rsidR="001C65EF" w:rsidRPr="00204FB3" w14:paraId="5409C393" w14:textId="77777777" w:rsidTr="00774E78">
        <w:trPr>
          <w:gridAfter w:val="1"/>
          <w:wAfter w:w="216" w:type="dxa"/>
          <w:cantSplit/>
        </w:trPr>
        <w:tc>
          <w:tcPr>
            <w:tcW w:w="4395" w:type="dxa"/>
            <w:gridSpan w:val="2"/>
            <w:vAlign w:val="bottom"/>
          </w:tcPr>
          <w:p w14:paraId="7210513D" w14:textId="77777777" w:rsidR="001C65EF" w:rsidRPr="00204FB3" w:rsidRDefault="001C65EF" w:rsidP="00774E78">
            <w:pPr>
              <w:pStyle w:val="TblTextLeft"/>
              <w:rPr>
                <w:lang w:val="en-AU" w:eastAsia="en-AU"/>
              </w:rPr>
            </w:pPr>
          </w:p>
        </w:tc>
        <w:tc>
          <w:tcPr>
            <w:tcW w:w="2693" w:type="dxa"/>
            <w:gridSpan w:val="2"/>
            <w:tcBorders>
              <w:left w:val="nil"/>
            </w:tcBorders>
            <w:vAlign w:val="bottom"/>
          </w:tcPr>
          <w:p w14:paraId="77097363" w14:textId="77777777" w:rsidR="001C65EF" w:rsidRPr="00204FB3" w:rsidRDefault="001C65EF" w:rsidP="00774E78">
            <w:pPr>
              <w:pStyle w:val="TblTextLeft"/>
              <w:rPr>
                <w:lang w:val="en-AU" w:eastAsia="en-AU"/>
              </w:rPr>
            </w:pPr>
          </w:p>
        </w:tc>
        <w:tc>
          <w:tcPr>
            <w:tcW w:w="2373" w:type="dxa"/>
            <w:gridSpan w:val="2"/>
            <w:tcBorders>
              <w:left w:val="nil"/>
            </w:tcBorders>
            <w:vAlign w:val="bottom"/>
          </w:tcPr>
          <w:p w14:paraId="409CA243" w14:textId="77777777" w:rsidR="001C65EF" w:rsidRPr="00204FB3" w:rsidRDefault="001C65EF" w:rsidP="00774E78">
            <w:pPr>
              <w:pStyle w:val="TblTextLeft"/>
              <w:rPr>
                <w:lang w:val="en-AU" w:eastAsia="en-AU"/>
              </w:rPr>
            </w:pPr>
          </w:p>
        </w:tc>
      </w:tr>
      <w:tr w:rsidR="001C65EF" w:rsidRPr="00204FB3" w14:paraId="31C9A6D2" w14:textId="77777777" w:rsidTr="00774E78">
        <w:trPr>
          <w:gridAfter w:val="1"/>
          <w:wAfter w:w="216" w:type="dxa"/>
          <w:cantSplit/>
        </w:trPr>
        <w:tc>
          <w:tcPr>
            <w:tcW w:w="4395" w:type="dxa"/>
            <w:gridSpan w:val="2"/>
            <w:vAlign w:val="bottom"/>
          </w:tcPr>
          <w:p w14:paraId="15A0B313" w14:textId="77777777" w:rsidR="001C65EF" w:rsidRPr="00204FB3" w:rsidRDefault="001C65EF" w:rsidP="00774E78">
            <w:pPr>
              <w:pStyle w:val="TblTextLeft"/>
              <w:rPr>
                <w:b/>
                <w:lang w:val="en-AU" w:eastAsia="en-AU"/>
              </w:rPr>
            </w:pPr>
            <w:r w:rsidRPr="00204FB3">
              <w:rPr>
                <w:b/>
                <w:lang w:val="en-AU" w:eastAsia="en-AU"/>
              </w:rPr>
              <w:t>Respiratory, thoracic and mediastinal disorders</w:t>
            </w:r>
          </w:p>
        </w:tc>
        <w:tc>
          <w:tcPr>
            <w:tcW w:w="2693" w:type="dxa"/>
            <w:gridSpan w:val="2"/>
            <w:tcBorders>
              <w:left w:val="nil"/>
            </w:tcBorders>
            <w:vAlign w:val="bottom"/>
          </w:tcPr>
          <w:p w14:paraId="51029D1E" w14:textId="77777777" w:rsidR="001C65EF" w:rsidRPr="00204FB3" w:rsidRDefault="001C65EF" w:rsidP="00774E78">
            <w:pPr>
              <w:pStyle w:val="TblTextLeft"/>
              <w:rPr>
                <w:lang w:val="en-AU" w:eastAsia="en-AU"/>
              </w:rPr>
            </w:pPr>
          </w:p>
        </w:tc>
        <w:tc>
          <w:tcPr>
            <w:tcW w:w="2373" w:type="dxa"/>
            <w:gridSpan w:val="2"/>
            <w:tcBorders>
              <w:left w:val="nil"/>
            </w:tcBorders>
            <w:vAlign w:val="bottom"/>
          </w:tcPr>
          <w:p w14:paraId="6C527118" w14:textId="77777777" w:rsidR="001C65EF" w:rsidRPr="00204FB3" w:rsidRDefault="001C65EF" w:rsidP="00774E78">
            <w:pPr>
              <w:pStyle w:val="TblTextLeft"/>
              <w:rPr>
                <w:lang w:val="en-AU" w:eastAsia="en-AU"/>
              </w:rPr>
            </w:pPr>
          </w:p>
        </w:tc>
      </w:tr>
      <w:tr w:rsidR="001C65EF" w:rsidRPr="00204FB3" w14:paraId="0E0D2101" w14:textId="77777777" w:rsidTr="00774E78">
        <w:trPr>
          <w:gridAfter w:val="1"/>
          <w:wAfter w:w="216" w:type="dxa"/>
          <w:cantSplit/>
        </w:trPr>
        <w:tc>
          <w:tcPr>
            <w:tcW w:w="4395" w:type="dxa"/>
            <w:gridSpan w:val="2"/>
            <w:vAlign w:val="bottom"/>
          </w:tcPr>
          <w:p w14:paraId="20119EEE" w14:textId="77777777" w:rsidR="001C65EF" w:rsidRPr="00204FB3" w:rsidRDefault="001C65EF" w:rsidP="00774E78">
            <w:pPr>
              <w:pStyle w:val="TblTextLeft"/>
              <w:rPr>
                <w:lang w:val="en-AU" w:eastAsia="en-AU"/>
              </w:rPr>
            </w:pPr>
            <w:r w:rsidRPr="00204FB3">
              <w:rPr>
                <w:lang w:val="en-AU" w:eastAsia="en-AU"/>
              </w:rPr>
              <w:t>Cough</w:t>
            </w:r>
          </w:p>
        </w:tc>
        <w:tc>
          <w:tcPr>
            <w:tcW w:w="2693" w:type="dxa"/>
            <w:gridSpan w:val="2"/>
            <w:tcBorders>
              <w:left w:val="nil"/>
            </w:tcBorders>
            <w:vAlign w:val="bottom"/>
          </w:tcPr>
          <w:p w14:paraId="5F0AE5BA" w14:textId="2DDA7C82" w:rsidR="001C65EF" w:rsidRPr="00204FB3" w:rsidRDefault="00774E78" w:rsidP="00907C32">
            <w:pPr>
              <w:pStyle w:val="TblTextLeft"/>
              <w:jc w:val="center"/>
              <w:rPr>
                <w:lang w:val="en-AU" w:eastAsia="en-AU"/>
              </w:rPr>
            </w:pPr>
            <w:r w:rsidRPr="00204FB3">
              <w:rPr>
                <w:lang w:val="en-AU" w:eastAsia="en-AU"/>
              </w:rPr>
              <w:t xml:space="preserve">13 </w:t>
            </w:r>
            <w:r w:rsidR="001C65EF" w:rsidRPr="00204FB3">
              <w:rPr>
                <w:lang w:val="en-AU" w:eastAsia="en-AU"/>
              </w:rPr>
              <w:t>(2.1%)</w:t>
            </w:r>
          </w:p>
        </w:tc>
        <w:tc>
          <w:tcPr>
            <w:tcW w:w="2373" w:type="dxa"/>
            <w:gridSpan w:val="2"/>
            <w:tcBorders>
              <w:left w:val="nil"/>
            </w:tcBorders>
            <w:vAlign w:val="bottom"/>
          </w:tcPr>
          <w:p w14:paraId="401C0589" w14:textId="69E71C46" w:rsidR="001C65EF" w:rsidRPr="00204FB3" w:rsidRDefault="00907C32" w:rsidP="00907C32">
            <w:pPr>
              <w:pStyle w:val="TblTextLeft"/>
              <w:jc w:val="center"/>
              <w:rPr>
                <w:lang w:val="en-AU" w:eastAsia="en-AU"/>
              </w:rPr>
            </w:pPr>
            <w:r w:rsidRPr="00204FB3">
              <w:rPr>
                <w:lang w:val="en-AU" w:eastAsia="en-AU"/>
              </w:rPr>
              <w:t>20</w:t>
            </w:r>
            <w:r w:rsidR="001C65EF" w:rsidRPr="00204FB3">
              <w:rPr>
                <w:lang w:val="en-AU" w:eastAsia="en-AU"/>
              </w:rPr>
              <w:t xml:space="preserve"> (2.3%)</w:t>
            </w:r>
          </w:p>
        </w:tc>
      </w:tr>
      <w:tr w:rsidR="001C65EF" w:rsidRPr="00204FB3" w14:paraId="1451B059" w14:textId="77777777" w:rsidTr="00774E78">
        <w:trPr>
          <w:gridAfter w:val="1"/>
          <w:wAfter w:w="216" w:type="dxa"/>
          <w:cantSplit/>
        </w:trPr>
        <w:tc>
          <w:tcPr>
            <w:tcW w:w="4395" w:type="dxa"/>
            <w:gridSpan w:val="2"/>
            <w:vAlign w:val="bottom"/>
          </w:tcPr>
          <w:p w14:paraId="28B7DABD" w14:textId="77777777" w:rsidR="001C65EF" w:rsidRPr="00204FB3" w:rsidRDefault="001C65EF" w:rsidP="00774E78">
            <w:pPr>
              <w:pStyle w:val="TblTextLeft"/>
              <w:rPr>
                <w:lang w:val="en-AU" w:eastAsia="en-AU"/>
              </w:rPr>
            </w:pPr>
            <w:r w:rsidRPr="00204FB3">
              <w:rPr>
                <w:lang w:val="en-AU" w:eastAsia="en-AU"/>
              </w:rPr>
              <w:t>Chronic obstructive pulmonary disease</w:t>
            </w:r>
          </w:p>
        </w:tc>
        <w:tc>
          <w:tcPr>
            <w:tcW w:w="2693" w:type="dxa"/>
            <w:gridSpan w:val="2"/>
            <w:tcBorders>
              <w:left w:val="nil"/>
            </w:tcBorders>
            <w:vAlign w:val="bottom"/>
          </w:tcPr>
          <w:p w14:paraId="304F410E" w14:textId="623499F8" w:rsidR="001C65EF" w:rsidRPr="00204FB3" w:rsidRDefault="00907C32" w:rsidP="00907C32">
            <w:pPr>
              <w:pStyle w:val="TblTextLeft"/>
              <w:jc w:val="center"/>
              <w:rPr>
                <w:lang w:val="en-AU" w:eastAsia="en-AU"/>
              </w:rPr>
            </w:pPr>
            <w:r w:rsidRPr="00204FB3">
              <w:rPr>
                <w:lang w:val="en-AU" w:eastAsia="en-AU"/>
              </w:rPr>
              <w:t>2</w:t>
            </w:r>
            <w:r w:rsidR="001C65EF" w:rsidRPr="00204FB3">
              <w:rPr>
                <w:lang w:val="en-AU" w:eastAsia="en-AU"/>
              </w:rPr>
              <w:t xml:space="preserve"> (0.3%)</w:t>
            </w:r>
          </w:p>
        </w:tc>
        <w:tc>
          <w:tcPr>
            <w:tcW w:w="2373" w:type="dxa"/>
            <w:gridSpan w:val="2"/>
            <w:tcBorders>
              <w:left w:val="nil"/>
            </w:tcBorders>
            <w:vAlign w:val="bottom"/>
          </w:tcPr>
          <w:p w14:paraId="6B7F78FF" w14:textId="1703B88E" w:rsidR="001C65EF" w:rsidRPr="00204FB3" w:rsidRDefault="00907C32" w:rsidP="00907C32">
            <w:pPr>
              <w:pStyle w:val="TblTextLeft"/>
              <w:jc w:val="center"/>
              <w:rPr>
                <w:lang w:val="en-AU" w:eastAsia="en-AU"/>
              </w:rPr>
            </w:pPr>
            <w:r w:rsidRPr="00204FB3">
              <w:rPr>
                <w:lang w:val="en-AU" w:eastAsia="en-AU"/>
              </w:rPr>
              <w:t>11</w:t>
            </w:r>
            <w:r w:rsidR="001C65EF" w:rsidRPr="00204FB3">
              <w:rPr>
                <w:lang w:val="en-AU" w:eastAsia="en-AU"/>
              </w:rPr>
              <w:t xml:space="preserve"> (1.3%)</w:t>
            </w:r>
          </w:p>
        </w:tc>
      </w:tr>
      <w:tr w:rsidR="001C65EF" w:rsidRPr="00204FB3" w14:paraId="0600460C" w14:textId="77777777" w:rsidTr="00774E78">
        <w:trPr>
          <w:gridAfter w:val="1"/>
          <w:wAfter w:w="216" w:type="dxa"/>
          <w:cantSplit/>
        </w:trPr>
        <w:tc>
          <w:tcPr>
            <w:tcW w:w="4395" w:type="dxa"/>
            <w:gridSpan w:val="2"/>
            <w:vAlign w:val="bottom"/>
          </w:tcPr>
          <w:p w14:paraId="1CE6F46A" w14:textId="77777777" w:rsidR="001C65EF" w:rsidRPr="00204FB3" w:rsidRDefault="001C65EF" w:rsidP="00774E78">
            <w:pPr>
              <w:pStyle w:val="TblTextLeft"/>
              <w:rPr>
                <w:lang w:val="en-AU" w:eastAsia="en-AU"/>
              </w:rPr>
            </w:pPr>
            <w:r w:rsidRPr="00204FB3">
              <w:rPr>
                <w:lang w:val="en-AU" w:eastAsia="en-AU"/>
              </w:rPr>
              <w:t>Epistaxis</w:t>
            </w:r>
          </w:p>
        </w:tc>
        <w:tc>
          <w:tcPr>
            <w:tcW w:w="2693" w:type="dxa"/>
            <w:gridSpan w:val="2"/>
            <w:tcBorders>
              <w:left w:val="nil"/>
            </w:tcBorders>
            <w:vAlign w:val="bottom"/>
          </w:tcPr>
          <w:p w14:paraId="633B552E" w14:textId="04CBE3ED" w:rsidR="001C65EF" w:rsidRPr="00204FB3" w:rsidRDefault="00907C32" w:rsidP="00907C32">
            <w:pPr>
              <w:pStyle w:val="TblTextLeft"/>
              <w:jc w:val="center"/>
              <w:rPr>
                <w:lang w:val="en-AU" w:eastAsia="en-AU"/>
              </w:rPr>
            </w:pPr>
            <w:r w:rsidRPr="00204FB3">
              <w:rPr>
                <w:lang w:val="en-AU" w:eastAsia="en-AU"/>
              </w:rPr>
              <w:t>4</w:t>
            </w:r>
            <w:r w:rsidR="001C65EF" w:rsidRPr="00204FB3">
              <w:rPr>
                <w:lang w:val="en-AU" w:eastAsia="en-AU"/>
              </w:rPr>
              <w:t xml:space="preserve"> (0.6%)</w:t>
            </w:r>
          </w:p>
        </w:tc>
        <w:tc>
          <w:tcPr>
            <w:tcW w:w="2373" w:type="dxa"/>
            <w:gridSpan w:val="2"/>
            <w:tcBorders>
              <w:left w:val="nil"/>
            </w:tcBorders>
            <w:vAlign w:val="bottom"/>
          </w:tcPr>
          <w:p w14:paraId="763FBB45" w14:textId="1CF3A163" w:rsidR="001C65EF" w:rsidRPr="00204FB3" w:rsidRDefault="00907C32" w:rsidP="00907C32">
            <w:pPr>
              <w:pStyle w:val="TblTextLeft"/>
              <w:jc w:val="center"/>
              <w:rPr>
                <w:lang w:val="en-AU" w:eastAsia="en-AU"/>
              </w:rPr>
            </w:pPr>
            <w:r w:rsidRPr="00204FB3">
              <w:rPr>
                <w:lang w:val="en-AU" w:eastAsia="en-AU"/>
              </w:rPr>
              <w:t>10</w:t>
            </w:r>
            <w:r w:rsidR="001C65EF" w:rsidRPr="00204FB3">
              <w:rPr>
                <w:lang w:val="en-AU" w:eastAsia="en-AU"/>
              </w:rPr>
              <w:t xml:space="preserve"> (1.2%)</w:t>
            </w:r>
          </w:p>
        </w:tc>
      </w:tr>
      <w:tr w:rsidR="001C65EF" w:rsidRPr="00204FB3" w14:paraId="7210E9EC" w14:textId="77777777" w:rsidTr="00774E78">
        <w:trPr>
          <w:gridAfter w:val="1"/>
          <w:wAfter w:w="216" w:type="dxa"/>
          <w:cantSplit/>
        </w:trPr>
        <w:tc>
          <w:tcPr>
            <w:tcW w:w="4395" w:type="dxa"/>
            <w:gridSpan w:val="2"/>
            <w:vAlign w:val="bottom"/>
          </w:tcPr>
          <w:p w14:paraId="538BF720" w14:textId="77777777" w:rsidR="001C65EF" w:rsidRPr="00204FB3" w:rsidRDefault="001C65EF" w:rsidP="00774E78">
            <w:pPr>
              <w:pStyle w:val="TblTextLeft"/>
              <w:rPr>
                <w:lang w:val="en-AU" w:eastAsia="en-AU"/>
              </w:rPr>
            </w:pPr>
          </w:p>
        </w:tc>
        <w:tc>
          <w:tcPr>
            <w:tcW w:w="2693" w:type="dxa"/>
            <w:gridSpan w:val="2"/>
            <w:tcBorders>
              <w:left w:val="nil"/>
            </w:tcBorders>
            <w:vAlign w:val="bottom"/>
          </w:tcPr>
          <w:p w14:paraId="3B946C61" w14:textId="77777777" w:rsidR="001C65EF" w:rsidRPr="00204FB3" w:rsidRDefault="001C65EF" w:rsidP="00907C32">
            <w:pPr>
              <w:pStyle w:val="TblTextLeft"/>
              <w:jc w:val="center"/>
              <w:rPr>
                <w:lang w:val="en-AU" w:eastAsia="en-AU"/>
              </w:rPr>
            </w:pPr>
          </w:p>
        </w:tc>
        <w:tc>
          <w:tcPr>
            <w:tcW w:w="2373" w:type="dxa"/>
            <w:gridSpan w:val="2"/>
            <w:tcBorders>
              <w:left w:val="nil"/>
            </w:tcBorders>
            <w:vAlign w:val="bottom"/>
          </w:tcPr>
          <w:p w14:paraId="480E9257" w14:textId="77777777" w:rsidR="001C65EF" w:rsidRPr="00204FB3" w:rsidRDefault="001C65EF" w:rsidP="00907C32">
            <w:pPr>
              <w:pStyle w:val="TblTextLeft"/>
              <w:jc w:val="center"/>
              <w:rPr>
                <w:lang w:val="en-AU" w:eastAsia="en-AU"/>
              </w:rPr>
            </w:pPr>
          </w:p>
        </w:tc>
      </w:tr>
      <w:tr w:rsidR="001C65EF" w:rsidRPr="00204FB3" w14:paraId="5DADE651" w14:textId="77777777" w:rsidTr="00774E78">
        <w:trPr>
          <w:gridAfter w:val="1"/>
          <w:wAfter w:w="216" w:type="dxa"/>
          <w:cantSplit/>
        </w:trPr>
        <w:tc>
          <w:tcPr>
            <w:tcW w:w="4395" w:type="dxa"/>
            <w:gridSpan w:val="2"/>
            <w:vAlign w:val="bottom"/>
          </w:tcPr>
          <w:p w14:paraId="0DEAE62B" w14:textId="77777777" w:rsidR="001C65EF" w:rsidRPr="00204FB3" w:rsidRDefault="001C65EF" w:rsidP="00774E78">
            <w:pPr>
              <w:pStyle w:val="TblTextLeft"/>
              <w:rPr>
                <w:b/>
                <w:lang w:val="en-AU" w:eastAsia="en-AU"/>
              </w:rPr>
            </w:pPr>
            <w:r w:rsidRPr="00204FB3">
              <w:rPr>
                <w:b/>
                <w:lang w:val="en-AU" w:eastAsia="en-AU"/>
              </w:rPr>
              <w:t>Gastrointestinal disorders</w:t>
            </w:r>
          </w:p>
        </w:tc>
        <w:tc>
          <w:tcPr>
            <w:tcW w:w="2693" w:type="dxa"/>
            <w:gridSpan w:val="2"/>
            <w:tcBorders>
              <w:left w:val="nil"/>
            </w:tcBorders>
            <w:vAlign w:val="bottom"/>
          </w:tcPr>
          <w:p w14:paraId="078CB499" w14:textId="77777777" w:rsidR="001C65EF" w:rsidRPr="00204FB3" w:rsidRDefault="001C65EF" w:rsidP="00907C32">
            <w:pPr>
              <w:pStyle w:val="TblTextLeft"/>
              <w:jc w:val="center"/>
              <w:rPr>
                <w:lang w:val="en-AU" w:eastAsia="en-AU"/>
              </w:rPr>
            </w:pPr>
          </w:p>
        </w:tc>
        <w:tc>
          <w:tcPr>
            <w:tcW w:w="2373" w:type="dxa"/>
            <w:gridSpan w:val="2"/>
            <w:tcBorders>
              <w:left w:val="nil"/>
            </w:tcBorders>
            <w:vAlign w:val="bottom"/>
          </w:tcPr>
          <w:p w14:paraId="3BF9152B" w14:textId="77777777" w:rsidR="001C65EF" w:rsidRPr="00204FB3" w:rsidRDefault="001C65EF" w:rsidP="00907C32">
            <w:pPr>
              <w:pStyle w:val="TblTextLeft"/>
              <w:jc w:val="center"/>
              <w:rPr>
                <w:lang w:val="en-AU" w:eastAsia="en-AU"/>
              </w:rPr>
            </w:pPr>
          </w:p>
        </w:tc>
      </w:tr>
      <w:tr w:rsidR="001C65EF" w:rsidRPr="00204FB3" w14:paraId="4FB3B8A5" w14:textId="77777777" w:rsidTr="00774E78">
        <w:trPr>
          <w:gridAfter w:val="1"/>
          <w:wAfter w:w="216" w:type="dxa"/>
          <w:cantSplit/>
        </w:trPr>
        <w:tc>
          <w:tcPr>
            <w:tcW w:w="4395" w:type="dxa"/>
            <w:gridSpan w:val="2"/>
            <w:vAlign w:val="bottom"/>
          </w:tcPr>
          <w:p w14:paraId="73698724" w14:textId="77777777" w:rsidR="001C65EF" w:rsidRPr="00204FB3" w:rsidRDefault="001C65EF" w:rsidP="00774E78">
            <w:pPr>
              <w:pStyle w:val="TblTextLeft"/>
              <w:rPr>
                <w:lang w:val="en-AU" w:eastAsia="en-AU"/>
              </w:rPr>
            </w:pPr>
            <w:r w:rsidRPr="00204FB3">
              <w:rPr>
                <w:lang w:val="en-AU" w:eastAsia="en-AU"/>
              </w:rPr>
              <w:t>Diarrhoea</w:t>
            </w:r>
          </w:p>
        </w:tc>
        <w:tc>
          <w:tcPr>
            <w:tcW w:w="2693" w:type="dxa"/>
            <w:gridSpan w:val="2"/>
            <w:tcBorders>
              <w:left w:val="nil"/>
            </w:tcBorders>
            <w:vAlign w:val="bottom"/>
          </w:tcPr>
          <w:p w14:paraId="3272687D" w14:textId="498325D6" w:rsidR="001C65EF" w:rsidRPr="00204FB3" w:rsidRDefault="00907C32" w:rsidP="00907C32">
            <w:pPr>
              <w:pStyle w:val="TblTextLeft"/>
              <w:jc w:val="center"/>
              <w:rPr>
                <w:lang w:val="en-AU" w:eastAsia="en-AU"/>
              </w:rPr>
            </w:pPr>
            <w:r w:rsidRPr="00204FB3">
              <w:rPr>
                <w:lang w:val="en-AU" w:eastAsia="en-AU"/>
              </w:rPr>
              <w:t>21</w:t>
            </w:r>
            <w:r w:rsidR="001C65EF" w:rsidRPr="00204FB3">
              <w:rPr>
                <w:lang w:val="en-AU" w:eastAsia="en-AU"/>
              </w:rPr>
              <w:t xml:space="preserve"> (3.4%)</w:t>
            </w:r>
          </w:p>
        </w:tc>
        <w:tc>
          <w:tcPr>
            <w:tcW w:w="2373" w:type="dxa"/>
            <w:gridSpan w:val="2"/>
            <w:tcBorders>
              <w:left w:val="nil"/>
            </w:tcBorders>
            <w:vAlign w:val="bottom"/>
          </w:tcPr>
          <w:p w14:paraId="6A1F595A" w14:textId="474F5889" w:rsidR="001C65EF" w:rsidRPr="00204FB3" w:rsidRDefault="00907C32" w:rsidP="00907C32">
            <w:pPr>
              <w:pStyle w:val="TblTextLeft"/>
              <w:jc w:val="center"/>
              <w:rPr>
                <w:lang w:val="en-AU" w:eastAsia="en-AU"/>
              </w:rPr>
            </w:pPr>
            <w:r w:rsidRPr="00204FB3">
              <w:rPr>
                <w:lang w:val="en-AU" w:eastAsia="en-AU"/>
              </w:rPr>
              <w:t>30</w:t>
            </w:r>
            <w:r w:rsidR="001C65EF" w:rsidRPr="00204FB3">
              <w:rPr>
                <w:lang w:val="en-AU" w:eastAsia="en-AU"/>
              </w:rPr>
              <w:t xml:space="preserve"> (3.5%)</w:t>
            </w:r>
          </w:p>
        </w:tc>
      </w:tr>
      <w:tr w:rsidR="001C65EF" w:rsidRPr="00204FB3" w14:paraId="119AB21F" w14:textId="77777777" w:rsidTr="00774E78">
        <w:trPr>
          <w:gridAfter w:val="1"/>
          <w:wAfter w:w="216" w:type="dxa"/>
          <w:cantSplit/>
        </w:trPr>
        <w:tc>
          <w:tcPr>
            <w:tcW w:w="4395" w:type="dxa"/>
            <w:gridSpan w:val="2"/>
            <w:vAlign w:val="bottom"/>
          </w:tcPr>
          <w:p w14:paraId="3CBF81CF" w14:textId="77777777" w:rsidR="001C65EF" w:rsidRPr="00204FB3" w:rsidRDefault="001C65EF" w:rsidP="00774E78">
            <w:pPr>
              <w:pStyle w:val="TblTextLeft"/>
              <w:rPr>
                <w:lang w:val="en-AU" w:eastAsia="en-AU"/>
              </w:rPr>
            </w:pPr>
            <w:r w:rsidRPr="00204FB3">
              <w:rPr>
                <w:lang w:val="en-AU" w:eastAsia="en-AU"/>
              </w:rPr>
              <w:t>Constipation</w:t>
            </w:r>
          </w:p>
        </w:tc>
        <w:tc>
          <w:tcPr>
            <w:tcW w:w="2693" w:type="dxa"/>
            <w:gridSpan w:val="2"/>
            <w:tcBorders>
              <w:left w:val="nil"/>
            </w:tcBorders>
            <w:vAlign w:val="bottom"/>
          </w:tcPr>
          <w:p w14:paraId="19E3C34F" w14:textId="4A0458C9" w:rsidR="001C65EF" w:rsidRPr="00204FB3" w:rsidRDefault="00907C32" w:rsidP="00907C32">
            <w:pPr>
              <w:pStyle w:val="TblTextLeft"/>
              <w:jc w:val="center"/>
              <w:rPr>
                <w:lang w:val="en-AU" w:eastAsia="en-AU"/>
              </w:rPr>
            </w:pPr>
            <w:r w:rsidRPr="00204FB3">
              <w:rPr>
                <w:lang w:val="en-AU" w:eastAsia="en-AU"/>
              </w:rPr>
              <w:t>11</w:t>
            </w:r>
            <w:r w:rsidR="001C65EF" w:rsidRPr="00204FB3">
              <w:rPr>
                <w:lang w:val="en-AU" w:eastAsia="en-AU"/>
              </w:rPr>
              <w:t xml:space="preserve"> (1.8%)</w:t>
            </w:r>
          </w:p>
        </w:tc>
        <w:tc>
          <w:tcPr>
            <w:tcW w:w="2373" w:type="dxa"/>
            <w:gridSpan w:val="2"/>
            <w:tcBorders>
              <w:left w:val="nil"/>
            </w:tcBorders>
            <w:vAlign w:val="bottom"/>
          </w:tcPr>
          <w:p w14:paraId="51C870C2" w14:textId="23CEE8C5" w:rsidR="001C65EF" w:rsidRPr="00204FB3" w:rsidRDefault="00907C32" w:rsidP="00907C32">
            <w:pPr>
              <w:pStyle w:val="TblTextLeft"/>
              <w:jc w:val="center"/>
              <w:rPr>
                <w:lang w:val="en-AU" w:eastAsia="en-AU"/>
              </w:rPr>
            </w:pPr>
            <w:r w:rsidRPr="00204FB3">
              <w:rPr>
                <w:lang w:val="en-AU" w:eastAsia="en-AU"/>
              </w:rPr>
              <w:t>20</w:t>
            </w:r>
            <w:r w:rsidR="001C65EF" w:rsidRPr="00204FB3">
              <w:rPr>
                <w:lang w:val="en-AU" w:eastAsia="en-AU"/>
              </w:rPr>
              <w:t xml:space="preserve"> (2.3%)</w:t>
            </w:r>
          </w:p>
        </w:tc>
      </w:tr>
      <w:tr w:rsidR="001C65EF" w:rsidRPr="00204FB3" w14:paraId="07E75435" w14:textId="77777777" w:rsidTr="00774E78">
        <w:trPr>
          <w:gridAfter w:val="1"/>
          <w:wAfter w:w="216" w:type="dxa"/>
          <w:cantSplit/>
        </w:trPr>
        <w:tc>
          <w:tcPr>
            <w:tcW w:w="4395" w:type="dxa"/>
            <w:gridSpan w:val="2"/>
            <w:vAlign w:val="bottom"/>
          </w:tcPr>
          <w:p w14:paraId="76B01B76" w14:textId="77777777" w:rsidR="001C65EF" w:rsidRPr="00204FB3" w:rsidRDefault="001C65EF" w:rsidP="00774E78">
            <w:pPr>
              <w:pStyle w:val="TblTextLeft"/>
              <w:rPr>
                <w:lang w:val="en-AU" w:eastAsia="en-AU"/>
              </w:rPr>
            </w:pPr>
          </w:p>
        </w:tc>
        <w:tc>
          <w:tcPr>
            <w:tcW w:w="2693" w:type="dxa"/>
            <w:gridSpan w:val="2"/>
            <w:tcBorders>
              <w:left w:val="nil"/>
            </w:tcBorders>
            <w:vAlign w:val="bottom"/>
          </w:tcPr>
          <w:p w14:paraId="5D1A73A7" w14:textId="77777777" w:rsidR="001C65EF" w:rsidRPr="00204FB3" w:rsidRDefault="001C65EF" w:rsidP="00907C32">
            <w:pPr>
              <w:pStyle w:val="TblTextLeft"/>
              <w:jc w:val="center"/>
              <w:rPr>
                <w:lang w:val="en-AU" w:eastAsia="en-AU"/>
              </w:rPr>
            </w:pPr>
          </w:p>
        </w:tc>
        <w:tc>
          <w:tcPr>
            <w:tcW w:w="2373" w:type="dxa"/>
            <w:gridSpan w:val="2"/>
            <w:tcBorders>
              <w:left w:val="nil"/>
            </w:tcBorders>
            <w:vAlign w:val="bottom"/>
          </w:tcPr>
          <w:p w14:paraId="5AD3BC30" w14:textId="77777777" w:rsidR="001C65EF" w:rsidRPr="00204FB3" w:rsidRDefault="001C65EF" w:rsidP="00907C32">
            <w:pPr>
              <w:pStyle w:val="TblTextLeft"/>
              <w:jc w:val="center"/>
              <w:rPr>
                <w:lang w:val="en-AU" w:eastAsia="en-AU"/>
              </w:rPr>
            </w:pPr>
          </w:p>
        </w:tc>
      </w:tr>
      <w:tr w:rsidR="001C65EF" w:rsidRPr="00204FB3" w14:paraId="4CEDA289" w14:textId="77777777" w:rsidTr="00774E78">
        <w:trPr>
          <w:gridAfter w:val="1"/>
          <w:wAfter w:w="216" w:type="dxa"/>
          <w:cantSplit/>
        </w:trPr>
        <w:tc>
          <w:tcPr>
            <w:tcW w:w="4395" w:type="dxa"/>
            <w:gridSpan w:val="2"/>
            <w:vAlign w:val="bottom"/>
          </w:tcPr>
          <w:p w14:paraId="509635C4" w14:textId="77777777" w:rsidR="001C65EF" w:rsidRPr="00204FB3" w:rsidRDefault="001C65EF" w:rsidP="00774E78">
            <w:pPr>
              <w:pStyle w:val="TblTextLeft"/>
              <w:rPr>
                <w:b/>
                <w:lang w:val="en-AU" w:eastAsia="en-AU"/>
              </w:rPr>
            </w:pPr>
            <w:r w:rsidRPr="00204FB3">
              <w:rPr>
                <w:b/>
                <w:lang w:val="en-AU" w:eastAsia="en-AU"/>
              </w:rPr>
              <w:t>Skin and subcutaneous tissue disorders</w:t>
            </w:r>
          </w:p>
        </w:tc>
        <w:tc>
          <w:tcPr>
            <w:tcW w:w="2693" w:type="dxa"/>
            <w:gridSpan w:val="2"/>
            <w:tcBorders>
              <w:left w:val="nil"/>
            </w:tcBorders>
            <w:vAlign w:val="bottom"/>
          </w:tcPr>
          <w:p w14:paraId="2D99891B" w14:textId="77777777" w:rsidR="001C65EF" w:rsidRPr="00204FB3" w:rsidRDefault="001C65EF" w:rsidP="00907C32">
            <w:pPr>
              <w:pStyle w:val="TblTextLeft"/>
              <w:jc w:val="center"/>
              <w:rPr>
                <w:lang w:val="en-AU" w:eastAsia="en-AU"/>
              </w:rPr>
            </w:pPr>
          </w:p>
        </w:tc>
        <w:tc>
          <w:tcPr>
            <w:tcW w:w="2373" w:type="dxa"/>
            <w:gridSpan w:val="2"/>
            <w:tcBorders>
              <w:left w:val="nil"/>
            </w:tcBorders>
            <w:vAlign w:val="bottom"/>
          </w:tcPr>
          <w:p w14:paraId="762D8FAC" w14:textId="77777777" w:rsidR="001C65EF" w:rsidRPr="00204FB3" w:rsidRDefault="001C65EF" w:rsidP="00907C32">
            <w:pPr>
              <w:pStyle w:val="TblTextLeft"/>
              <w:jc w:val="center"/>
              <w:rPr>
                <w:lang w:val="en-AU" w:eastAsia="en-AU"/>
              </w:rPr>
            </w:pPr>
          </w:p>
        </w:tc>
      </w:tr>
      <w:tr w:rsidR="001C65EF" w:rsidRPr="00204FB3" w14:paraId="289362C6" w14:textId="77777777" w:rsidTr="009316AE">
        <w:trPr>
          <w:gridAfter w:val="1"/>
          <w:wAfter w:w="216" w:type="dxa"/>
          <w:cantSplit/>
        </w:trPr>
        <w:tc>
          <w:tcPr>
            <w:tcW w:w="4395" w:type="dxa"/>
            <w:gridSpan w:val="2"/>
            <w:vAlign w:val="bottom"/>
          </w:tcPr>
          <w:p w14:paraId="53812EB8" w14:textId="77777777" w:rsidR="001C65EF" w:rsidRPr="00204FB3" w:rsidRDefault="001C65EF" w:rsidP="00774E78">
            <w:pPr>
              <w:pStyle w:val="TblTextLeft"/>
              <w:rPr>
                <w:lang w:val="en-AU" w:eastAsia="en-AU"/>
              </w:rPr>
            </w:pPr>
            <w:r w:rsidRPr="00204FB3">
              <w:rPr>
                <w:lang w:val="en-AU" w:eastAsia="en-AU"/>
              </w:rPr>
              <w:lastRenderedPageBreak/>
              <w:t>Rash</w:t>
            </w:r>
          </w:p>
        </w:tc>
        <w:tc>
          <w:tcPr>
            <w:tcW w:w="2693" w:type="dxa"/>
            <w:gridSpan w:val="2"/>
            <w:tcBorders>
              <w:left w:val="nil"/>
            </w:tcBorders>
            <w:vAlign w:val="bottom"/>
          </w:tcPr>
          <w:p w14:paraId="1DEA3797" w14:textId="53C4878F" w:rsidR="001C65EF" w:rsidRPr="00204FB3" w:rsidRDefault="00907C32" w:rsidP="00907C32">
            <w:pPr>
              <w:pStyle w:val="TblTextLeft"/>
              <w:jc w:val="center"/>
              <w:rPr>
                <w:lang w:val="en-AU" w:eastAsia="en-AU"/>
              </w:rPr>
            </w:pPr>
            <w:r w:rsidRPr="00204FB3">
              <w:rPr>
                <w:lang w:val="en-AU" w:eastAsia="en-AU"/>
              </w:rPr>
              <w:t>7</w:t>
            </w:r>
            <w:r w:rsidR="001C65EF" w:rsidRPr="00204FB3">
              <w:rPr>
                <w:lang w:val="en-AU" w:eastAsia="en-AU"/>
              </w:rPr>
              <w:t xml:space="preserve"> (1.1%)</w:t>
            </w:r>
          </w:p>
        </w:tc>
        <w:tc>
          <w:tcPr>
            <w:tcW w:w="2373" w:type="dxa"/>
            <w:gridSpan w:val="2"/>
            <w:tcBorders>
              <w:left w:val="nil"/>
            </w:tcBorders>
            <w:vAlign w:val="bottom"/>
          </w:tcPr>
          <w:p w14:paraId="3D63612A" w14:textId="3591696B" w:rsidR="001C65EF" w:rsidRPr="00204FB3" w:rsidRDefault="00907C32" w:rsidP="00907C32">
            <w:pPr>
              <w:pStyle w:val="TblTextLeft"/>
              <w:jc w:val="center"/>
              <w:rPr>
                <w:lang w:val="en-AU" w:eastAsia="en-AU"/>
              </w:rPr>
            </w:pPr>
            <w:r w:rsidRPr="00204FB3">
              <w:rPr>
                <w:lang w:val="en-AU" w:eastAsia="en-AU"/>
              </w:rPr>
              <w:t>13</w:t>
            </w:r>
            <w:r w:rsidR="001C65EF" w:rsidRPr="00204FB3">
              <w:rPr>
                <w:lang w:val="en-AU" w:eastAsia="en-AU"/>
              </w:rPr>
              <w:t xml:space="preserve"> (1.5%)</w:t>
            </w:r>
          </w:p>
        </w:tc>
      </w:tr>
      <w:tr w:rsidR="001C65EF" w:rsidRPr="00204FB3" w14:paraId="7067066D" w14:textId="77777777" w:rsidTr="009316AE">
        <w:trPr>
          <w:gridAfter w:val="1"/>
          <w:wAfter w:w="216" w:type="dxa"/>
          <w:cantSplit/>
        </w:trPr>
        <w:tc>
          <w:tcPr>
            <w:tcW w:w="4395" w:type="dxa"/>
            <w:gridSpan w:val="2"/>
            <w:vAlign w:val="bottom"/>
          </w:tcPr>
          <w:p w14:paraId="39410997" w14:textId="77777777" w:rsidR="001C65EF" w:rsidRPr="00204FB3" w:rsidRDefault="001C65EF" w:rsidP="00774E78">
            <w:pPr>
              <w:pStyle w:val="TblTextLeft"/>
              <w:rPr>
                <w:lang w:val="en-AU" w:eastAsia="en-AU"/>
              </w:rPr>
            </w:pPr>
          </w:p>
        </w:tc>
        <w:tc>
          <w:tcPr>
            <w:tcW w:w="2693" w:type="dxa"/>
            <w:gridSpan w:val="2"/>
            <w:tcBorders>
              <w:left w:val="nil"/>
            </w:tcBorders>
            <w:vAlign w:val="bottom"/>
          </w:tcPr>
          <w:p w14:paraId="0F19C086" w14:textId="77777777" w:rsidR="001C65EF" w:rsidRPr="00204FB3" w:rsidRDefault="001C65EF" w:rsidP="00907C32">
            <w:pPr>
              <w:pStyle w:val="TblTextLeft"/>
              <w:jc w:val="center"/>
              <w:rPr>
                <w:lang w:val="en-AU" w:eastAsia="en-AU"/>
              </w:rPr>
            </w:pPr>
          </w:p>
        </w:tc>
        <w:tc>
          <w:tcPr>
            <w:tcW w:w="2373" w:type="dxa"/>
            <w:gridSpan w:val="2"/>
            <w:tcBorders>
              <w:left w:val="nil"/>
            </w:tcBorders>
            <w:vAlign w:val="bottom"/>
          </w:tcPr>
          <w:p w14:paraId="69FB7FE9" w14:textId="77777777" w:rsidR="001C65EF" w:rsidRPr="00204FB3" w:rsidRDefault="001C65EF" w:rsidP="00907C32">
            <w:pPr>
              <w:pStyle w:val="TblTextLeft"/>
              <w:jc w:val="center"/>
              <w:rPr>
                <w:lang w:val="en-AU" w:eastAsia="en-AU"/>
              </w:rPr>
            </w:pPr>
          </w:p>
        </w:tc>
      </w:tr>
      <w:tr w:rsidR="001C65EF" w:rsidRPr="00204FB3" w14:paraId="38BC0C38" w14:textId="77777777" w:rsidTr="009316AE">
        <w:trPr>
          <w:gridAfter w:val="1"/>
          <w:wAfter w:w="216" w:type="dxa"/>
          <w:cantSplit/>
        </w:trPr>
        <w:tc>
          <w:tcPr>
            <w:tcW w:w="4395" w:type="dxa"/>
            <w:gridSpan w:val="2"/>
            <w:vAlign w:val="bottom"/>
          </w:tcPr>
          <w:p w14:paraId="3B6E7C4F" w14:textId="77777777" w:rsidR="001C65EF" w:rsidRPr="00204FB3" w:rsidRDefault="001C65EF" w:rsidP="00774E78">
            <w:pPr>
              <w:pStyle w:val="TblTextLeft"/>
              <w:rPr>
                <w:b/>
                <w:lang w:val="en-AU" w:eastAsia="en-AU"/>
              </w:rPr>
            </w:pPr>
            <w:r w:rsidRPr="00204FB3">
              <w:rPr>
                <w:b/>
                <w:lang w:val="en-AU" w:eastAsia="en-AU"/>
              </w:rPr>
              <w:t>Musculoskeletal and connective tissue disorders</w:t>
            </w:r>
          </w:p>
        </w:tc>
        <w:tc>
          <w:tcPr>
            <w:tcW w:w="2693" w:type="dxa"/>
            <w:gridSpan w:val="2"/>
            <w:tcBorders>
              <w:left w:val="nil"/>
            </w:tcBorders>
            <w:vAlign w:val="bottom"/>
          </w:tcPr>
          <w:p w14:paraId="18A3AE28" w14:textId="77777777" w:rsidR="001C65EF" w:rsidRPr="00204FB3" w:rsidRDefault="001C65EF" w:rsidP="00907C32">
            <w:pPr>
              <w:pStyle w:val="TblTextLeft"/>
              <w:jc w:val="center"/>
              <w:rPr>
                <w:lang w:val="en-AU" w:eastAsia="en-AU"/>
              </w:rPr>
            </w:pPr>
          </w:p>
        </w:tc>
        <w:tc>
          <w:tcPr>
            <w:tcW w:w="2373" w:type="dxa"/>
            <w:gridSpan w:val="2"/>
            <w:tcBorders>
              <w:left w:val="nil"/>
            </w:tcBorders>
            <w:vAlign w:val="bottom"/>
          </w:tcPr>
          <w:p w14:paraId="5A5CE4A2" w14:textId="77777777" w:rsidR="001C65EF" w:rsidRPr="00204FB3" w:rsidRDefault="001C65EF" w:rsidP="00907C32">
            <w:pPr>
              <w:pStyle w:val="TblTextLeft"/>
              <w:jc w:val="center"/>
              <w:rPr>
                <w:lang w:val="en-AU" w:eastAsia="en-AU"/>
              </w:rPr>
            </w:pPr>
          </w:p>
        </w:tc>
      </w:tr>
      <w:tr w:rsidR="001C65EF" w:rsidRPr="00204FB3" w14:paraId="39227438" w14:textId="77777777" w:rsidTr="00774E78">
        <w:trPr>
          <w:gridAfter w:val="1"/>
          <w:wAfter w:w="216" w:type="dxa"/>
          <w:cantSplit/>
        </w:trPr>
        <w:tc>
          <w:tcPr>
            <w:tcW w:w="4395" w:type="dxa"/>
            <w:gridSpan w:val="2"/>
            <w:vAlign w:val="bottom"/>
          </w:tcPr>
          <w:p w14:paraId="212D935E" w14:textId="77777777" w:rsidR="001C65EF" w:rsidRPr="00204FB3" w:rsidRDefault="001C65EF" w:rsidP="00774E78">
            <w:pPr>
              <w:pStyle w:val="TblTextLeft"/>
              <w:rPr>
                <w:lang w:val="en-AU" w:eastAsia="en-AU"/>
              </w:rPr>
            </w:pPr>
            <w:r w:rsidRPr="00204FB3">
              <w:rPr>
                <w:lang w:val="en-AU" w:eastAsia="en-AU"/>
              </w:rPr>
              <w:t>Arthralgia</w:t>
            </w:r>
          </w:p>
        </w:tc>
        <w:tc>
          <w:tcPr>
            <w:tcW w:w="2693" w:type="dxa"/>
            <w:gridSpan w:val="2"/>
            <w:tcBorders>
              <w:left w:val="nil"/>
            </w:tcBorders>
            <w:vAlign w:val="bottom"/>
          </w:tcPr>
          <w:p w14:paraId="6C7B3A83" w14:textId="2685FA00" w:rsidR="001C65EF" w:rsidRPr="00204FB3" w:rsidRDefault="00907C32" w:rsidP="00907C32">
            <w:pPr>
              <w:pStyle w:val="TblTextLeft"/>
              <w:jc w:val="center"/>
              <w:rPr>
                <w:lang w:val="en-AU" w:eastAsia="en-AU"/>
              </w:rPr>
            </w:pPr>
            <w:r w:rsidRPr="00204FB3">
              <w:rPr>
                <w:lang w:val="en-AU" w:eastAsia="en-AU"/>
              </w:rPr>
              <w:t>26</w:t>
            </w:r>
            <w:r w:rsidR="001C65EF" w:rsidRPr="00204FB3">
              <w:rPr>
                <w:lang w:val="en-AU" w:eastAsia="en-AU"/>
              </w:rPr>
              <w:t xml:space="preserve"> (4.2%)</w:t>
            </w:r>
          </w:p>
        </w:tc>
        <w:tc>
          <w:tcPr>
            <w:tcW w:w="2373" w:type="dxa"/>
            <w:gridSpan w:val="2"/>
            <w:tcBorders>
              <w:left w:val="nil"/>
            </w:tcBorders>
            <w:vAlign w:val="bottom"/>
          </w:tcPr>
          <w:p w14:paraId="4E80AABA" w14:textId="7CD49A74" w:rsidR="001C65EF" w:rsidRPr="00204FB3" w:rsidRDefault="00907C32" w:rsidP="00907C32">
            <w:pPr>
              <w:pStyle w:val="TblTextLeft"/>
              <w:jc w:val="center"/>
              <w:rPr>
                <w:lang w:val="en-AU" w:eastAsia="en-AU"/>
              </w:rPr>
            </w:pPr>
            <w:r w:rsidRPr="00204FB3">
              <w:rPr>
                <w:lang w:val="en-AU" w:eastAsia="en-AU"/>
              </w:rPr>
              <w:t>42</w:t>
            </w:r>
            <w:r w:rsidR="001C65EF" w:rsidRPr="00204FB3">
              <w:rPr>
                <w:lang w:val="en-AU" w:eastAsia="en-AU"/>
              </w:rPr>
              <w:t xml:space="preserve"> (4.9%)</w:t>
            </w:r>
          </w:p>
        </w:tc>
      </w:tr>
      <w:tr w:rsidR="001C65EF" w:rsidRPr="00204FB3" w14:paraId="22746AF2" w14:textId="77777777" w:rsidTr="00774E78">
        <w:trPr>
          <w:gridAfter w:val="1"/>
          <w:wAfter w:w="216" w:type="dxa"/>
          <w:cantSplit/>
        </w:trPr>
        <w:tc>
          <w:tcPr>
            <w:tcW w:w="4395" w:type="dxa"/>
            <w:gridSpan w:val="2"/>
            <w:vAlign w:val="bottom"/>
          </w:tcPr>
          <w:p w14:paraId="79D1493A" w14:textId="77777777" w:rsidR="001C65EF" w:rsidRPr="00204FB3" w:rsidRDefault="001C65EF" w:rsidP="00774E78">
            <w:pPr>
              <w:pStyle w:val="TblTextLeft"/>
              <w:rPr>
                <w:lang w:val="en-AU" w:eastAsia="en-AU"/>
              </w:rPr>
            </w:pPr>
            <w:r w:rsidRPr="00204FB3">
              <w:rPr>
                <w:lang w:val="en-AU" w:eastAsia="en-AU"/>
              </w:rPr>
              <w:t>Muscle spasms</w:t>
            </w:r>
          </w:p>
        </w:tc>
        <w:tc>
          <w:tcPr>
            <w:tcW w:w="2693" w:type="dxa"/>
            <w:gridSpan w:val="2"/>
            <w:tcBorders>
              <w:left w:val="nil"/>
            </w:tcBorders>
            <w:vAlign w:val="bottom"/>
          </w:tcPr>
          <w:p w14:paraId="6CF341CF" w14:textId="033646C9" w:rsidR="001C65EF" w:rsidRPr="00204FB3" w:rsidRDefault="00907C32" w:rsidP="00907C32">
            <w:pPr>
              <w:pStyle w:val="TblTextLeft"/>
              <w:jc w:val="center"/>
              <w:rPr>
                <w:lang w:val="en-AU" w:eastAsia="en-AU"/>
              </w:rPr>
            </w:pPr>
            <w:r w:rsidRPr="00204FB3">
              <w:rPr>
                <w:lang w:val="en-AU" w:eastAsia="en-AU"/>
              </w:rPr>
              <w:t>15</w:t>
            </w:r>
            <w:r w:rsidR="001C65EF" w:rsidRPr="00204FB3">
              <w:rPr>
                <w:lang w:val="en-AU" w:eastAsia="en-AU"/>
              </w:rPr>
              <w:t xml:space="preserve"> (2.4%)</w:t>
            </w:r>
          </w:p>
        </w:tc>
        <w:tc>
          <w:tcPr>
            <w:tcW w:w="2373" w:type="dxa"/>
            <w:gridSpan w:val="2"/>
            <w:tcBorders>
              <w:left w:val="nil"/>
            </w:tcBorders>
            <w:vAlign w:val="bottom"/>
          </w:tcPr>
          <w:p w14:paraId="4B309943" w14:textId="54463D33" w:rsidR="001C65EF" w:rsidRPr="00204FB3" w:rsidRDefault="00907C32" w:rsidP="00907C32">
            <w:pPr>
              <w:pStyle w:val="TblTextLeft"/>
              <w:jc w:val="center"/>
              <w:rPr>
                <w:lang w:val="en-AU" w:eastAsia="en-AU"/>
              </w:rPr>
            </w:pPr>
            <w:r w:rsidRPr="00204FB3">
              <w:rPr>
                <w:lang w:val="en-AU" w:eastAsia="en-AU"/>
              </w:rPr>
              <w:t>25</w:t>
            </w:r>
            <w:r w:rsidR="001C65EF" w:rsidRPr="00204FB3">
              <w:rPr>
                <w:lang w:val="en-AU" w:eastAsia="en-AU"/>
              </w:rPr>
              <w:t xml:space="preserve"> (2.9%)</w:t>
            </w:r>
          </w:p>
        </w:tc>
      </w:tr>
      <w:tr w:rsidR="001C65EF" w:rsidRPr="00204FB3" w14:paraId="3F8CE725" w14:textId="77777777" w:rsidTr="00774E78">
        <w:trPr>
          <w:gridAfter w:val="1"/>
          <w:wAfter w:w="216" w:type="dxa"/>
          <w:cantSplit/>
        </w:trPr>
        <w:tc>
          <w:tcPr>
            <w:tcW w:w="4395" w:type="dxa"/>
            <w:gridSpan w:val="2"/>
            <w:vAlign w:val="bottom"/>
          </w:tcPr>
          <w:p w14:paraId="673783F4" w14:textId="77777777" w:rsidR="001C65EF" w:rsidRPr="00204FB3" w:rsidRDefault="001C65EF" w:rsidP="00774E78">
            <w:pPr>
              <w:pStyle w:val="TblTextLeft"/>
              <w:rPr>
                <w:lang w:val="en-AU" w:eastAsia="en-AU"/>
              </w:rPr>
            </w:pPr>
            <w:r w:rsidRPr="00204FB3">
              <w:rPr>
                <w:lang w:val="en-AU" w:eastAsia="en-AU"/>
              </w:rPr>
              <w:t>Osteoarthritis</w:t>
            </w:r>
          </w:p>
        </w:tc>
        <w:tc>
          <w:tcPr>
            <w:tcW w:w="2693" w:type="dxa"/>
            <w:gridSpan w:val="2"/>
            <w:tcBorders>
              <w:left w:val="nil"/>
            </w:tcBorders>
            <w:vAlign w:val="bottom"/>
          </w:tcPr>
          <w:p w14:paraId="57CE10C4" w14:textId="25A69F81" w:rsidR="001C65EF" w:rsidRPr="00204FB3" w:rsidRDefault="00907C32" w:rsidP="00907C32">
            <w:pPr>
              <w:pStyle w:val="TblTextLeft"/>
              <w:jc w:val="center"/>
              <w:rPr>
                <w:lang w:val="en-AU" w:eastAsia="en-AU"/>
              </w:rPr>
            </w:pPr>
            <w:r w:rsidRPr="00204FB3">
              <w:rPr>
                <w:lang w:val="en-AU" w:eastAsia="en-AU"/>
              </w:rPr>
              <w:t>14</w:t>
            </w:r>
            <w:r w:rsidR="001C65EF" w:rsidRPr="00204FB3">
              <w:rPr>
                <w:lang w:val="en-AU" w:eastAsia="en-AU"/>
              </w:rPr>
              <w:t xml:space="preserve"> (2.3%)</w:t>
            </w:r>
          </w:p>
        </w:tc>
        <w:tc>
          <w:tcPr>
            <w:tcW w:w="2373" w:type="dxa"/>
            <w:gridSpan w:val="2"/>
            <w:tcBorders>
              <w:left w:val="nil"/>
            </w:tcBorders>
            <w:vAlign w:val="bottom"/>
          </w:tcPr>
          <w:p w14:paraId="176602FA" w14:textId="0441D768" w:rsidR="001C65EF" w:rsidRPr="00204FB3" w:rsidRDefault="00907C32" w:rsidP="00907C32">
            <w:pPr>
              <w:pStyle w:val="TblTextLeft"/>
              <w:jc w:val="center"/>
              <w:rPr>
                <w:lang w:val="en-AU" w:eastAsia="en-AU"/>
              </w:rPr>
            </w:pPr>
            <w:r w:rsidRPr="00204FB3">
              <w:rPr>
                <w:lang w:val="en-AU" w:eastAsia="en-AU"/>
              </w:rPr>
              <w:t>21</w:t>
            </w:r>
            <w:r w:rsidR="001C65EF" w:rsidRPr="00204FB3">
              <w:rPr>
                <w:lang w:val="en-AU" w:eastAsia="en-AU"/>
              </w:rPr>
              <w:t xml:space="preserve"> (2.4%)</w:t>
            </w:r>
          </w:p>
        </w:tc>
      </w:tr>
      <w:tr w:rsidR="001C65EF" w:rsidRPr="00204FB3" w14:paraId="7D953CEA" w14:textId="77777777" w:rsidTr="00774E78">
        <w:trPr>
          <w:gridAfter w:val="1"/>
          <w:wAfter w:w="216" w:type="dxa"/>
          <w:cantSplit/>
        </w:trPr>
        <w:tc>
          <w:tcPr>
            <w:tcW w:w="4395" w:type="dxa"/>
            <w:gridSpan w:val="2"/>
            <w:vAlign w:val="bottom"/>
          </w:tcPr>
          <w:p w14:paraId="1B8C445F" w14:textId="77777777" w:rsidR="001C65EF" w:rsidRPr="00204FB3" w:rsidRDefault="001C65EF" w:rsidP="00774E78">
            <w:pPr>
              <w:pStyle w:val="TblTextLeft"/>
              <w:rPr>
                <w:lang w:val="en-AU" w:eastAsia="en-AU"/>
              </w:rPr>
            </w:pPr>
            <w:r w:rsidRPr="00204FB3">
              <w:rPr>
                <w:lang w:val="en-AU" w:eastAsia="en-AU"/>
              </w:rPr>
              <w:t>Musculoskeletal pain</w:t>
            </w:r>
          </w:p>
        </w:tc>
        <w:tc>
          <w:tcPr>
            <w:tcW w:w="2693" w:type="dxa"/>
            <w:gridSpan w:val="2"/>
            <w:tcBorders>
              <w:left w:val="nil"/>
            </w:tcBorders>
            <w:vAlign w:val="bottom"/>
          </w:tcPr>
          <w:p w14:paraId="6F27A063" w14:textId="6CF16574" w:rsidR="001C65EF" w:rsidRPr="00204FB3" w:rsidRDefault="00907C32" w:rsidP="00907C32">
            <w:pPr>
              <w:pStyle w:val="TblTextLeft"/>
              <w:jc w:val="center"/>
              <w:rPr>
                <w:lang w:val="en-AU" w:eastAsia="en-AU"/>
              </w:rPr>
            </w:pPr>
            <w:r w:rsidRPr="00204FB3">
              <w:rPr>
                <w:lang w:val="en-AU" w:eastAsia="en-AU"/>
              </w:rPr>
              <w:t>8</w:t>
            </w:r>
            <w:r w:rsidR="001C65EF" w:rsidRPr="00204FB3">
              <w:rPr>
                <w:lang w:val="en-AU" w:eastAsia="en-AU"/>
              </w:rPr>
              <w:t xml:space="preserve"> (1.3%)</w:t>
            </w:r>
          </w:p>
        </w:tc>
        <w:tc>
          <w:tcPr>
            <w:tcW w:w="2373" w:type="dxa"/>
            <w:gridSpan w:val="2"/>
            <w:tcBorders>
              <w:left w:val="nil"/>
            </w:tcBorders>
            <w:vAlign w:val="bottom"/>
          </w:tcPr>
          <w:p w14:paraId="5E40F8CA" w14:textId="03CE0795" w:rsidR="001C65EF" w:rsidRPr="00204FB3" w:rsidRDefault="00907C32" w:rsidP="00907C32">
            <w:pPr>
              <w:pStyle w:val="TblTextLeft"/>
              <w:jc w:val="center"/>
              <w:rPr>
                <w:lang w:val="en-AU" w:eastAsia="en-AU"/>
              </w:rPr>
            </w:pPr>
            <w:r w:rsidRPr="00204FB3">
              <w:rPr>
                <w:lang w:val="en-AU" w:eastAsia="en-AU"/>
              </w:rPr>
              <w:t>15</w:t>
            </w:r>
            <w:r w:rsidR="001C65EF" w:rsidRPr="00204FB3">
              <w:rPr>
                <w:lang w:val="en-AU" w:eastAsia="en-AU"/>
              </w:rPr>
              <w:t xml:space="preserve"> (1.7%)</w:t>
            </w:r>
          </w:p>
        </w:tc>
      </w:tr>
      <w:tr w:rsidR="001C65EF" w:rsidRPr="00204FB3" w14:paraId="604B170E" w14:textId="77777777" w:rsidTr="00774E78">
        <w:trPr>
          <w:gridAfter w:val="1"/>
          <w:wAfter w:w="216" w:type="dxa"/>
          <w:cantSplit/>
        </w:trPr>
        <w:tc>
          <w:tcPr>
            <w:tcW w:w="4395" w:type="dxa"/>
            <w:gridSpan w:val="2"/>
            <w:vAlign w:val="bottom"/>
          </w:tcPr>
          <w:p w14:paraId="614ECD8C" w14:textId="77777777" w:rsidR="001C65EF" w:rsidRPr="00204FB3" w:rsidRDefault="001C65EF" w:rsidP="00774E78">
            <w:pPr>
              <w:pStyle w:val="TblTextLeft"/>
              <w:rPr>
                <w:lang w:val="en-AU" w:eastAsia="en-AU"/>
              </w:rPr>
            </w:pPr>
          </w:p>
        </w:tc>
        <w:tc>
          <w:tcPr>
            <w:tcW w:w="2693" w:type="dxa"/>
            <w:gridSpan w:val="2"/>
            <w:tcBorders>
              <w:left w:val="nil"/>
            </w:tcBorders>
            <w:vAlign w:val="bottom"/>
          </w:tcPr>
          <w:p w14:paraId="27306D78" w14:textId="77777777" w:rsidR="001C65EF" w:rsidRPr="00204FB3" w:rsidRDefault="001C65EF" w:rsidP="00907C32">
            <w:pPr>
              <w:pStyle w:val="TblTextLeft"/>
              <w:jc w:val="center"/>
              <w:rPr>
                <w:lang w:val="en-AU" w:eastAsia="en-AU"/>
              </w:rPr>
            </w:pPr>
          </w:p>
        </w:tc>
        <w:tc>
          <w:tcPr>
            <w:tcW w:w="2373" w:type="dxa"/>
            <w:gridSpan w:val="2"/>
            <w:tcBorders>
              <w:left w:val="nil"/>
            </w:tcBorders>
            <w:vAlign w:val="bottom"/>
          </w:tcPr>
          <w:p w14:paraId="07E466DE" w14:textId="77777777" w:rsidR="001C65EF" w:rsidRPr="00204FB3" w:rsidRDefault="001C65EF" w:rsidP="00907C32">
            <w:pPr>
              <w:pStyle w:val="TblTextLeft"/>
              <w:jc w:val="center"/>
              <w:rPr>
                <w:lang w:val="en-AU" w:eastAsia="en-AU"/>
              </w:rPr>
            </w:pPr>
          </w:p>
        </w:tc>
      </w:tr>
      <w:tr w:rsidR="001C65EF" w:rsidRPr="00204FB3" w14:paraId="1B095038" w14:textId="77777777" w:rsidTr="00774E78">
        <w:trPr>
          <w:gridAfter w:val="1"/>
          <w:wAfter w:w="216" w:type="dxa"/>
          <w:cantSplit/>
        </w:trPr>
        <w:tc>
          <w:tcPr>
            <w:tcW w:w="4395" w:type="dxa"/>
            <w:gridSpan w:val="2"/>
            <w:vAlign w:val="bottom"/>
          </w:tcPr>
          <w:p w14:paraId="3BC06E12" w14:textId="77777777" w:rsidR="001C65EF" w:rsidRPr="00204FB3" w:rsidRDefault="001C65EF" w:rsidP="00774E78">
            <w:pPr>
              <w:pStyle w:val="TblTextLeft"/>
              <w:rPr>
                <w:b/>
                <w:lang w:val="en-AU" w:eastAsia="en-AU"/>
              </w:rPr>
            </w:pPr>
            <w:r w:rsidRPr="00204FB3">
              <w:rPr>
                <w:b/>
                <w:lang w:val="en-AU" w:eastAsia="en-AU"/>
              </w:rPr>
              <w:t>Renal and urinary disorders</w:t>
            </w:r>
          </w:p>
        </w:tc>
        <w:tc>
          <w:tcPr>
            <w:tcW w:w="2693" w:type="dxa"/>
            <w:gridSpan w:val="2"/>
            <w:tcBorders>
              <w:left w:val="nil"/>
            </w:tcBorders>
            <w:vAlign w:val="bottom"/>
          </w:tcPr>
          <w:p w14:paraId="604B7749" w14:textId="77777777" w:rsidR="001C65EF" w:rsidRPr="00204FB3" w:rsidRDefault="001C65EF" w:rsidP="00907C32">
            <w:pPr>
              <w:pStyle w:val="TblTextLeft"/>
              <w:jc w:val="center"/>
              <w:rPr>
                <w:lang w:val="en-AU" w:eastAsia="en-AU"/>
              </w:rPr>
            </w:pPr>
          </w:p>
        </w:tc>
        <w:tc>
          <w:tcPr>
            <w:tcW w:w="2373" w:type="dxa"/>
            <w:gridSpan w:val="2"/>
            <w:tcBorders>
              <w:left w:val="nil"/>
            </w:tcBorders>
            <w:vAlign w:val="bottom"/>
          </w:tcPr>
          <w:p w14:paraId="4A2C280D" w14:textId="77777777" w:rsidR="001C65EF" w:rsidRPr="00204FB3" w:rsidRDefault="001C65EF" w:rsidP="00907C32">
            <w:pPr>
              <w:pStyle w:val="TblTextLeft"/>
              <w:jc w:val="center"/>
              <w:rPr>
                <w:lang w:val="en-AU" w:eastAsia="en-AU"/>
              </w:rPr>
            </w:pPr>
          </w:p>
        </w:tc>
      </w:tr>
      <w:tr w:rsidR="001C65EF" w:rsidRPr="00204FB3" w14:paraId="4D877CDC" w14:textId="77777777" w:rsidTr="00774E78">
        <w:trPr>
          <w:gridAfter w:val="1"/>
          <w:wAfter w:w="216" w:type="dxa"/>
          <w:cantSplit/>
        </w:trPr>
        <w:tc>
          <w:tcPr>
            <w:tcW w:w="4395" w:type="dxa"/>
            <w:gridSpan w:val="2"/>
            <w:vAlign w:val="bottom"/>
          </w:tcPr>
          <w:p w14:paraId="4F57317C" w14:textId="77777777" w:rsidR="001C65EF" w:rsidRPr="00204FB3" w:rsidRDefault="001C65EF" w:rsidP="00774E78">
            <w:pPr>
              <w:pStyle w:val="TblTextLeft"/>
              <w:rPr>
                <w:lang w:val="en-AU" w:eastAsia="en-AU"/>
              </w:rPr>
            </w:pPr>
            <w:r w:rsidRPr="00204FB3">
              <w:rPr>
                <w:lang w:val="en-AU" w:eastAsia="en-AU"/>
              </w:rPr>
              <w:t>Haematuria</w:t>
            </w:r>
          </w:p>
        </w:tc>
        <w:tc>
          <w:tcPr>
            <w:tcW w:w="2693" w:type="dxa"/>
            <w:gridSpan w:val="2"/>
            <w:tcBorders>
              <w:left w:val="nil"/>
            </w:tcBorders>
            <w:vAlign w:val="bottom"/>
          </w:tcPr>
          <w:p w14:paraId="5F124447" w14:textId="12059D19" w:rsidR="001C65EF" w:rsidRPr="00204FB3" w:rsidRDefault="00907C32" w:rsidP="00907C32">
            <w:pPr>
              <w:pStyle w:val="TblTextLeft"/>
              <w:jc w:val="center"/>
              <w:rPr>
                <w:lang w:val="en-AU" w:eastAsia="en-AU"/>
              </w:rPr>
            </w:pPr>
            <w:r w:rsidRPr="00204FB3">
              <w:rPr>
                <w:lang w:val="en-AU" w:eastAsia="en-AU"/>
              </w:rPr>
              <w:t>5</w:t>
            </w:r>
            <w:r w:rsidR="001C65EF" w:rsidRPr="00204FB3">
              <w:rPr>
                <w:lang w:val="en-AU" w:eastAsia="en-AU"/>
              </w:rPr>
              <w:t xml:space="preserve"> (0.8%)</w:t>
            </w:r>
          </w:p>
        </w:tc>
        <w:tc>
          <w:tcPr>
            <w:tcW w:w="2373" w:type="dxa"/>
            <w:gridSpan w:val="2"/>
            <w:tcBorders>
              <w:left w:val="nil"/>
            </w:tcBorders>
            <w:vAlign w:val="bottom"/>
          </w:tcPr>
          <w:p w14:paraId="5AD236A7" w14:textId="7C6883DF" w:rsidR="001C65EF" w:rsidRPr="00204FB3" w:rsidRDefault="00907C32" w:rsidP="00907C32">
            <w:pPr>
              <w:pStyle w:val="TblTextLeft"/>
              <w:jc w:val="center"/>
              <w:rPr>
                <w:lang w:val="en-AU" w:eastAsia="en-AU"/>
              </w:rPr>
            </w:pPr>
            <w:r w:rsidRPr="00204FB3">
              <w:rPr>
                <w:lang w:val="en-AU" w:eastAsia="en-AU"/>
              </w:rPr>
              <w:t>14</w:t>
            </w:r>
            <w:r w:rsidR="001C65EF" w:rsidRPr="00204FB3">
              <w:rPr>
                <w:lang w:val="en-AU" w:eastAsia="en-AU"/>
              </w:rPr>
              <w:t xml:space="preserve"> (1.6%)</w:t>
            </w:r>
          </w:p>
        </w:tc>
      </w:tr>
      <w:tr w:rsidR="001C65EF" w:rsidRPr="00204FB3" w14:paraId="1F4662B7" w14:textId="77777777" w:rsidTr="00774E78">
        <w:trPr>
          <w:gridAfter w:val="1"/>
          <w:wAfter w:w="216" w:type="dxa"/>
          <w:cantSplit/>
        </w:trPr>
        <w:tc>
          <w:tcPr>
            <w:tcW w:w="4395" w:type="dxa"/>
            <w:gridSpan w:val="2"/>
            <w:vAlign w:val="bottom"/>
          </w:tcPr>
          <w:p w14:paraId="61CDD5BE" w14:textId="77777777" w:rsidR="001C65EF" w:rsidRPr="00204FB3" w:rsidRDefault="001C65EF" w:rsidP="00774E78">
            <w:pPr>
              <w:pStyle w:val="TblTextLeft"/>
              <w:rPr>
                <w:lang w:val="en-AU" w:eastAsia="en-AU"/>
              </w:rPr>
            </w:pPr>
          </w:p>
        </w:tc>
        <w:tc>
          <w:tcPr>
            <w:tcW w:w="2693" w:type="dxa"/>
            <w:gridSpan w:val="2"/>
            <w:tcBorders>
              <w:left w:val="nil"/>
            </w:tcBorders>
            <w:vAlign w:val="bottom"/>
          </w:tcPr>
          <w:p w14:paraId="308DC15A" w14:textId="77777777" w:rsidR="001C65EF" w:rsidRPr="00204FB3" w:rsidRDefault="001C65EF" w:rsidP="00907C32">
            <w:pPr>
              <w:pStyle w:val="TblTextLeft"/>
              <w:jc w:val="center"/>
              <w:rPr>
                <w:lang w:val="en-AU" w:eastAsia="en-AU"/>
              </w:rPr>
            </w:pPr>
          </w:p>
        </w:tc>
        <w:tc>
          <w:tcPr>
            <w:tcW w:w="2373" w:type="dxa"/>
            <w:gridSpan w:val="2"/>
            <w:tcBorders>
              <w:left w:val="nil"/>
            </w:tcBorders>
            <w:vAlign w:val="bottom"/>
          </w:tcPr>
          <w:p w14:paraId="493F5FAE" w14:textId="77777777" w:rsidR="001C65EF" w:rsidRPr="00204FB3" w:rsidRDefault="001C65EF" w:rsidP="00907C32">
            <w:pPr>
              <w:pStyle w:val="TblTextLeft"/>
              <w:jc w:val="center"/>
              <w:rPr>
                <w:lang w:val="en-AU" w:eastAsia="en-AU"/>
              </w:rPr>
            </w:pPr>
          </w:p>
        </w:tc>
      </w:tr>
      <w:tr w:rsidR="001C65EF" w:rsidRPr="00204FB3" w14:paraId="243544A2" w14:textId="77777777" w:rsidTr="00774E78">
        <w:trPr>
          <w:gridAfter w:val="1"/>
          <w:wAfter w:w="216" w:type="dxa"/>
          <w:cantSplit/>
        </w:trPr>
        <w:tc>
          <w:tcPr>
            <w:tcW w:w="4395" w:type="dxa"/>
            <w:gridSpan w:val="2"/>
            <w:vAlign w:val="bottom"/>
          </w:tcPr>
          <w:p w14:paraId="6A45CB6A" w14:textId="77777777" w:rsidR="001C65EF" w:rsidRPr="00204FB3" w:rsidRDefault="001C65EF" w:rsidP="00774E78">
            <w:pPr>
              <w:pStyle w:val="TblTextLeft"/>
              <w:rPr>
                <w:b/>
                <w:lang w:val="en-AU" w:eastAsia="en-AU"/>
              </w:rPr>
            </w:pPr>
            <w:r w:rsidRPr="00204FB3">
              <w:rPr>
                <w:b/>
                <w:lang w:val="en-AU" w:eastAsia="en-AU"/>
              </w:rPr>
              <w:t>General disorders and administration site conditions</w:t>
            </w:r>
          </w:p>
        </w:tc>
        <w:tc>
          <w:tcPr>
            <w:tcW w:w="2693" w:type="dxa"/>
            <w:gridSpan w:val="2"/>
            <w:tcBorders>
              <w:left w:val="nil"/>
            </w:tcBorders>
            <w:vAlign w:val="bottom"/>
          </w:tcPr>
          <w:p w14:paraId="12997F8C" w14:textId="77777777" w:rsidR="001C65EF" w:rsidRPr="00204FB3" w:rsidRDefault="001C65EF" w:rsidP="00907C32">
            <w:pPr>
              <w:pStyle w:val="TblTextLeft"/>
              <w:jc w:val="center"/>
              <w:rPr>
                <w:lang w:val="en-AU" w:eastAsia="en-AU"/>
              </w:rPr>
            </w:pPr>
          </w:p>
        </w:tc>
        <w:tc>
          <w:tcPr>
            <w:tcW w:w="2373" w:type="dxa"/>
            <w:gridSpan w:val="2"/>
            <w:tcBorders>
              <w:left w:val="nil"/>
            </w:tcBorders>
            <w:vAlign w:val="bottom"/>
          </w:tcPr>
          <w:p w14:paraId="25BECFC3" w14:textId="77777777" w:rsidR="001C65EF" w:rsidRPr="00204FB3" w:rsidRDefault="001C65EF" w:rsidP="00907C32">
            <w:pPr>
              <w:pStyle w:val="TblTextLeft"/>
              <w:jc w:val="center"/>
              <w:rPr>
                <w:lang w:val="en-AU" w:eastAsia="en-AU"/>
              </w:rPr>
            </w:pPr>
          </w:p>
        </w:tc>
      </w:tr>
      <w:tr w:rsidR="001C65EF" w:rsidRPr="00204FB3" w14:paraId="1ECF6CBD" w14:textId="77777777" w:rsidTr="00774E78">
        <w:trPr>
          <w:gridAfter w:val="1"/>
          <w:wAfter w:w="216" w:type="dxa"/>
          <w:cantSplit/>
        </w:trPr>
        <w:tc>
          <w:tcPr>
            <w:tcW w:w="4395" w:type="dxa"/>
            <w:gridSpan w:val="2"/>
            <w:vAlign w:val="bottom"/>
          </w:tcPr>
          <w:p w14:paraId="2A96B7B2" w14:textId="77777777" w:rsidR="001C65EF" w:rsidRPr="00204FB3" w:rsidRDefault="001C65EF" w:rsidP="00774E78">
            <w:pPr>
              <w:pStyle w:val="TblTextLeft"/>
              <w:rPr>
                <w:lang w:val="en-AU" w:eastAsia="en-AU"/>
              </w:rPr>
            </w:pPr>
            <w:r w:rsidRPr="00204FB3">
              <w:rPr>
                <w:lang w:val="en-AU" w:eastAsia="en-AU"/>
              </w:rPr>
              <w:t>Fatigue</w:t>
            </w:r>
          </w:p>
        </w:tc>
        <w:tc>
          <w:tcPr>
            <w:tcW w:w="2693" w:type="dxa"/>
            <w:gridSpan w:val="2"/>
            <w:tcBorders>
              <w:left w:val="nil"/>
            </w:tcBorders>
            <w:vAlign w:val="bottom"/>
          </w:tcPr>
          <w:p w14:paraId="7311EE05" w14:textId="50980044" w:rsidR="001C65EF" w:rsidRPr="00204FB3" w:rsidRDefault="00907C32" w:rsidP="00907C32">
            <w:pPr>
              <w:pStyle w:val="TblTextLeft"/>
              <w:jc w:val="center"/>
              <w:rPr>
                <w:lang w:val="en-AU" w:eastAsia="en-AU"/>
              </w:rPr>
            </w:pPr>
            <w:r w:rsidRPr="00204FB3">
              <w:rPr>
                <w:lang w:val="en-AU" w:eastAsia="en-AU"/>
              </w:rPr>
              <w:t>9</w:t>
            </w:r>
            <w:r w:rsidR="001C65EF" w:rsidRPr="00204FB3">
              <w:rPr>
                <w:lang w:val="en-AU" w:eastAsia="en-AU"/>
              </w:rPr>
              <w:t xml:space="preserve"> (1.5%)</w:t>
            </w:r>
          </w:p>
        </w:tc>
        <w:tc>
          <w:tcPr>
            <w:tcW w:w="2373" w:type="dxa"/>
            <w:gridSpan w:val="2"/>
            <w:tcBorders>
              <w:left w:val="nil"/>
            </w:tcBorders>
            <w:vAlign w:val="bottom"/>
          </w:tcPr>
          <w:p w14:paraId="11E5252A" w14:textId="724F0D16" w:rsidR="001C65EF" w:rsidRPr="00204FB3" w:rsidRDefault="00907C32" w:rsidP="00907C32">
            <w:pPr>
              <w:pStyle w:val="TblTextLeft"/>
              <w:jc w:val="center"/>
              <w:rPr>
                <w:lang w:val="en-AU" w:eastAsia="en-AU"/>
              </w:rPr>
            </w:pPr>
            <w:r w:rsidRPr="00204FB3">
              <w:rPr>
                <w:lang w:val="en-AU" w:eastAsia="en-AU"/>
              </w:rPr>
              <w:t>28</w:t>
            </w:r>
            <w:r w:rsidR="001C65EF" w:rsidRPr="00204FB3">
              <w:rPr>
                <w:lang w:val="en-AU" w:eastAsia="en-AU"/>
              </w:rPr>
              <w:t xml:space="preserve"> (3.2%)</w:t>
            </w:r>
          </w:p>
        </w:tc>
      </w:tr>
      <w:tr w:rsidR="001C65EF" w:rsidRPr="00204FB3" w14:paraId="2A01846D" w14:textId="77777777" w:rsidTr="00774E78">
        <w:trPr>
          <w:gridAfter w:val="1"/>
          <w:wAfter w:w="216" w:type="dxa"/>
          <w:cantSplit/>
        </w:trPr>
        <w:tc>
          <w:tcPr>
            <w:tcW w:w="4395" w:type="dxa"/>
            <w:gridSpan w:val="2"/>
            <w:vAlign w:val="bottom"/>
          </w:tcPr>
          <w:p w14:paraId="168B5625" w14:textId="77777777" w:rsidR="001C65EF" w:rsidRPr="00204FB3" w:rsidRDefault="001C65EF" w:rsidP="00774E78">
            <w:pPr>
              <w:pStyle w:val="TblTextLeft"/>
              <w:rPr>
                <w:lang w:val="en-AU" w:eastAsia="en-AU"/>
              </w:rPr>
            </w:pPr>
            <w:r w:rsidRPr="00204FB3">
              <w:rPr>
                <w:lang w:val="en-AU" w:eastAsia="en-AU"/>
              </w:rPr>
              <w:t>Injection site reaction</w:t>
            </w:r>
          </w:p>
        </w:tc>
        <w:tc>
          <w:tcPr>
            <w:tcW w:w="2693" w:type="dxa"/>
            <w:gridSpan w:val="2"/>
            <w:tcBorders>
              <w:left w:val="nil"/>
            </w:tcBorders>
            <w:vAlign w:val="bottom"/>
          </w:tcPr>
          <w:p w14:paraId="7A7487DA" w14:textId="5DB603C5" w:rsidR="001C65EF" w:rsidRPr="00204FB3" w:rsidRDefault="00907C32" w:rsidP="00907C32">
            <w:pPr>
              <w:pStyle w:val="TblTextLeft"/>
              <w:jc w:val="center"/>
              <w:rPr>
                <w:lang w:val="en-AU" w:eastAsia="en-AU"/>
              </w:rPr>
            </w:pPr>
            <w:r w:rsidRPr="00204FB3">
              <w:rPr>
                <w:lang w:val="en-AU" w:eastAsia="en-AU"/>
              </w:rPr>
              <w:t>13</w:t>
            </w:r>
            <w:r w:rsidR="001C65EF" w:rsidRPr="00204FB3">
              <w:rPr>
                <w:lang w:val="en-AU" w:eastAsia="en-AU"/>
              </w:rPr>
              <w:t xml:space="preserve"> (2.1%)</w:t>
            </w:r>
          </w:p>
        </w:tc>
        <w:tc>
          <w:tcPr>
            <w:tcW w:w="2373" w:type="dxa"/>
            <w:gridSpan w:val="2"/>
            <w:tcBorders>
              <w:left w:val="nil"/>
            </w:tcBorders>
            <w:vAlign w:val="bottom"/>
          </w:tcPr>
          <w:p w14:paraId="638CC229" w14:textId="2ABB834B" w:rsidR="001C65EF" w:rsidRPr="00204FB3" w:rsidRDefault="00907C32" w:rsidP="00907C32">
            <w:pPr>
              <w:pStyle w:val="TblTextLeft"/>
              <w:jc w:val="center"/>
              <w:rPr>
                <w:lang w:val="en-AU" w:eastAsia="en-AU"/>
              </w:rPr>
            </w:pPr>
            <w:r w:rsidRPr="00204FB3">
              <w:rPr>
                <w:lang w:val="en-AU" w:eastAsia="en-AU"/>
              </w:rPr>
              <w:t>25</w:t>
            </w:r>
            <w:r w:rsidR="001C65EF" w:rsidRPr="00204FB3">
              <w:rPr>
                <w:lang w:val="en-AU" w:eastAsia="en-AU"/>
              </w:rPr>
              <w:t xml:space="preserve"> (2.9%)</w:t>
            </w:r>
          </w:p>
        </w:tc>
      </w:tr>
      <w:tr w:rsidR="001C65EF" w:rsidRPr="00204FB3" w14:paraId="229EC1BF" w14:textId="77777777" w:rsidTr="00774E78">
        <w:trPr>
          <w:gridAfter w:val="1"/>
          <w:wAfter w:w="216" w:type="dxa"/>
          <w:cantSplit/>
        </w:trPr>
        <w:tc>
          <w:tcPr>
            <w:tcW w:w="4395" w:type="dxa"/>
            <w:gridSpan w:val="2"/>
            <w:vAlign w:val="bottom"/>
          </w:tcPr>
          <w:p w14:paraId="174201CC" w14:textId="77777777" w:rsidR="001C65EF" w:rsidRPr="00204FB3" w:rsidRDefault="001C65EF" w:rsidP="00774E78">
            <w:pPr>
              <w:pStyle w:val="TblTextLeft"/>
              <w:rPr>
                <w:lang w:val="en-AU" w:eastAsia="en-AU"/>
              </w:rPr>
            </w:pPr>
            <w:r w:rsidRPr="00204FB3">
              <w:rPr>
                <w:lang w:val="en-AU" w:eastAsia="en-AU"/>
              </w:rPr>
              <w:t>Non-cardiac chest pain</w:t>
            </w:r>
          </w:p>
        </w:tc>
        <w:tc>
          <w:tcPr>
            <w:tcW w:w="2693" w:type="dxa"/>
            <w:gridSpan w:val="2"/>
            <w:tcBorders>
              <w:left w:val="nil"/>
            </w:tcBorders>
            <w:vAlign w:val="bottom"/>
          </w:tcPr>
          <w:p w14:paraId="5A4BAB6D" w14:textId="76A8AF35" w:rsidR="001C65EF" w:rsidRPr="00204FB3" w:rsidRDefault="00907C32" w:rsidP="00907C32">
            <w:pPr>
              <w:pStyle w:val="TblTextLeft"/>
              <w:jc w:val="center"/>
              <w:rPr>
                <w:lang w:val="en-AU" w:eastAsia="en-AU"/>
              </w:rPr>
            </w:pPr>
            <w:r w:rsidRPr="00204FB3">
              <w:rPr>
                <w:lang w:val="en-AU" w:eastAsia="en-AU"/>
              </w:rPr>
              <w:t>14</w:t>
            </w:r>
            <w:r w:rsidR="001C65EF" w:rsidRPr="00204FB3">
              <w:rPr>
                <w:lang w:val="en-AU" w:eastAsia="en-AU"/>
              </w:rPr>
              <w:t xml:space="preserve"> (2.3%)</w:t>
            </w:r>
          </w:p>
        </w:tc>
        <w:tc>
          <w:tcPr>
            <w:tcW w:w="2373" w:type="dxa"/>
            <w:gridSpan w:val="2"/>
            <w:tcBorders>
              <w:left w:val="nil"/>
            </w:tcBorders>
            <w:vAlign w:val="bottom"/>
          </w:tcPr>
          <w:p w14:paraId="23FC56E8" w14:textId="405671B9" w:rsidR="001C65EF" w:rsidRPr="00204FB3" w:rsidRDefault="00907C32" w:rsidP="00907C32">
            <w:pPr>
              <w:pStyle w:val="TblTextLeft"/>
              <w:jc w:val="center"/>
              <w:rPr>
                <w:lang w:val="en-AU" w:eastAsia="en-AU"/>
              </w:rPr>
            </w:pPr>
            <w:r w:rsidRPr="00204FB3">
              <w:rPr>
                <w:lang w:val="en-AU" w:eastAsia="en-AU"/>
              </w:rPr>
              <w:t>22</w:t>
            </w:r>
            <w:r w:rsidR="001C65EF" w:rsidRPr="00204FB3">
              <w:rPr>
                <w:lang w:val="en-AU" w:eastAsia="en-AU"/>
              </w:rPr>
              <w:t xml:space="preserve"> (2.5%)</w:t>
            </w:r>
          </w:p>
        </w:tc>
      </w:tr>
      <w:tr w:rsidR="001C65EF" w:rsidRPr="00204FB3" w14:paraId="2CCE5B20" w14:textId="77777777" w:rsidTr="00774E78">
        <w:trPr>
          <w:gridAfter w:val="1"/>
          <w:wAfter w:w="216" w:type="dxa"/>
          <w:cantSplit/>
        </w:trPr>
        <w:tc>
          <w:tcPr>
            <w:tcW w:w="4395" w:type="dxa"/>
            <w:gridSpan w:val="2"/>
            <w:vAlign w:val="bottom"/>
          </w:tcPr>
          <w:p w14:paraId="3F7B9075" w14:textId="77777777" w:rsidR="001C65EF" w:rsidRPr="00204FB3" w:rsidRDefault="001C65EF" w:rsidP="00774E78">
            <w:pPr>
              <w:pStyle w:val="TblTextLeft"/>
              <w:rPr>
                <w:lang w:val="en-AU" w:eastAsia="en-AU"/>
              </w:rPr>
            </w:pPr>
            <w:r w:rsidRPr="00204FB3">
              <w:rPr>
                <w:lang w:val="en-AU" w:eastAsia="en-AU"/>
              </w:rPr>
              <w:t>Oedema peripheral</w:t>
            </w:r>
          </w:p>
        </w:tc>
        <w:tc>
          <w:tcPr>
            <w:tcW w:w="2693" w:type="dxa"/>
            <w:gridSpan w:val="2"/>
            <w:tcBorders>
              <w:left w:val="nil"/>
            </w:tcBorders>
            <w:vAlign w:val="bottom"/>
          </w:tcPr>
          <w:p w14:paraId="0261AAB4" w14:textId="4F55AE95" w:rsidR="001C65EF" w:rsidRPr="00204FB3" w:rsidRDefault="00907C32" w:rsidP="00907C32">
            <w:pPr>
              <w:pStyle w:val="TblTextLeft"/>
              <w:jc w:val="center"/>
              <w:rPr>
                <w:lang w:val="en-AU" w:eastAsia="en-AU"/>
              </w:rPr>
            </w:pPr>
            <w:r w:rsidRPr="00204FB3">
              <w:rPr>
                <w:lang w:val="en-AU" w:eastAsia="en-AU"/>
              </w:rPr>
              <w:t>9</w:t>
            </w:r>
            <w:r w:rsidR="001C65EF" w:rsidRPr="00204FB3">
              <w:rPr>
                <w:lang w:val="en-AU" w:eastAsia="en-AU"/>
              </w:rPr>
              <w:t xml:space="preserve"> (1.5%)</w:t>
            </w:r>
          </w:p>
        </w:tc>
        <w:tc>
          <w:tcPr>
            <w:tcW w:w="2373" w:type="dxa"/>
            <w:gridSpan w:val="2"/>
            <w:tcBorders>
              <w:left w:val="nil"/>
            </w:tcBorders>
            <w:vAlign w:val="bottom"/>
          </w:tcPr>
          <w:p w14:paraId="77DE78D4" w14:textId="251764F2" w:rsidR="001C65EF" w:rsidRPr="00204FB3" w:rsidRDefault="00907C32" w:rsidP="00907C32">
            <w:pPr>
              <w:pStyle w:val="TblTextLeft"/>
              <w:jc w:val="center"/>
              <w:rPr>
                <w:lang w:val="en-AU" w:eastAsia="en-AU"/>
              </w:rPr>
            </w:pPr>
            <w:r w:rsidRPr="00204FB3">
              <w:rPr>
                <w:lang w:val="en-AU" w:eastAsia="en-AU"/>
              </w:rPr>
              <w:t>14</w:t>
            </w:r>
            <w:r w:rsidR="001C65EF" w:rsidRPr="00204FB3">
              <w:rPr>
                <w:lang w:val="en-AU" w:eastAsia="en-AU"/>
              </w:rPr>
              <w:t xml:space="preserve"> (1.6%)</w:t>
            </w:r>
          </w:p>
        </w:tc>
      </w:tr>
      <w:tr w:rsidR="001C65EF" w:rsidRPr="00204FB3" w14:paraId="7A3C9168" w14:textId="77777777" w:rsidTr="00774E78">
        <w:trPr>
          <w:gridAfter w:val="1"/>
          <w:wAfter w:w="216" w:type="dxa"/>
          <w:cantSplit/>
        </w:trPr>
        <w:tc>
          <w:tcPr>
            <w:tcW w:w="4395" w:type="dxa"/>
            <w:gridSpan w:val="2"/>
            <w:vAlign w:val="bottom"/>
          </w:tcPr>
          <w:p w14:paraId="038A99A5" w14:textId="77777777" w:rsidR="001C65EF" w:rsidRPr="00204FB3" w:rsidRDefault="001C65EF" w:rsidP="00774E78">
            <w:pPr>
              <w:pStyle w:val="TblTextLeft"/>
              <w:rPr>
                <w:lang w:val="en-AU" w:eastAsia="en-AU"/>
              </w:rPr>
            </w:pPr>
          </w:p>
        </w:tc>
        <w:tc>
          <w:tcPr>
            <w:tcW w:w="2693" w:type="dxa"/>
            <w:gridSpan w:val="2"/>
            <w:tcBorders>
              <w:left w:val="nil"/>
            </w:tcBorders>
            <w:vAlign w:val="bottom"/>
          </w:tcPr>
          <w:p w14:paraId="7734F933" w14:textId="77777777" w:rsidR="001C65EF" w:rsidRPr="00204FB3" w:rsidRDefault="001C65EF" w:rsidP="00907C32">
            <w:pPr>
              <w:pStyle w:val="TblTextLeft"/>
              <w:jc w:val="center"/>
              <w:rPr>
                <w:lang w:val="en-AU" w:eastAsia="en-AU"/>
              </w:rPr>
            </w:pPr>
          </w:p>
        </w:tc>
        <w:tc>
          <w:tcPr>
            <w:tcW w:w="2373" w:type="dxa"/>
            <w:gridSpan w:val="2"/>
            <w:tcBorders>
              <w:left w:val="nil"/>
            </w:tcBorders>
            <w:vAlign w:val="bottom"/>
          </w:tcPr>
          <w:p w14:paraId="46490473" w14:textId="77777777" w:rsidR="001C65EF" w:rsidRPr="00204FB3" w:rsidRDefault="001C65EF" w:rsidP="00907C32">
            <w:pPr>
              <w:pStyle w:val="TblTextLeft"/>
              <w:jc w:val="center"/>
              <w:rPr>
                <w:lang w:val="en-AU" w:eastAsia="en-AU"/>
              </w:rPr>
            </w:pPr>
          </w:p>
        </w:tc>
      </w:tr>
      <w:tr w:rsidR="001C65EF" w:rsidRPr="00204FB3" w14:paraId="27C3985A" w14:textId="77777777" w:rsidTr="00774E78">
        <w:trPr>
          <w:gridAfter w:val="1"/>
          <w:wAfter w:w="216" w:type="dxa"/>
          <w:cantSplit/>
        </w:trPr>
        <w:tc>
          <w:tcPr>
            <w:tcW w:w="4395" w:type="dxa"/>
            <w:gridSpan w:val="2"/>
            <w:vAlign w:val="bottom"/>
          </w:tcPr>
          <w:p w14:paraId="00A336A0" w14:textId="77777777" w:rsidR="001C65EF" w:rsidRPr="00204FB3" w:rsidRDefault="001C65EF" w:rsidP="00774E78">
            <w:pPr>
              <w:pStyle w:val="TblTextLeft"/>
              <w:rPr>
                <w:b/>
                <w:lang w:val="en-AU" w:eastAsia="en-AU"/>
              </w:rPr>
            </w:pPr>
            <w:r w:rsidRPr="00204FB3">
              <w:rPr>
                <w:b/>
                <w:lang w:val="en-AU" w:eastAsia="en-AU"/>
              </w:rPr>
              <w:t>Injury, poisoning and procedural complications</w:t>
            </w:r>
          </w:p>
        </w:tc>
        <w:tc>
          <w:tcPr>
            <w:tcW w:w="2693" w:type="dxa"/>
            <w:gridSpan w:val="2"/>
            <w:tcBorders>
              <w:left w:val="nil"/>
            </w:tcBorders>
            <w:vAlign w:val="bottom"/>
          </w:tcPr>
          <w:p w14:paraId="107344B6" w14:textId="77777777" w:rsidR="001C65EF" w:rsidRPr="00204FB3" w:rsidRDefault="001C65EF" w:rsidP="00907C32">
            <w:pPr>
              <w:pStyle w:val="TblTextLeft"/>
              <w:jc w:val="center"/>
              <w:rPr>
                <w:lang w:val="en-AU" w:eastAsia="en-AU"/>
              </w:rPr>
            </w:pPr>
          </w:p>
        </w:tc>
        <w:tc>
          <w:tcPr>
            <w:tcW w:w="2373" w:type="dxa"/>
            <w:gridSpan w:val="2"/>
            <w:tcBorders>
              <w:left w:val="nil"/>
            </w:tcBorders>
            <w:vAlign w:val="bottom"/>
          </w:tcPr>
          <w:p w14:paraId="311FB084" w14:textId="77777777" w:rsidR="001C65EF" w:rsidRPr="00204FB3" w:rsidRDefault="001C65EF" w:rsidP="00907C32">
            <w:pPr>
              <w:pStyle w:val="TblTextLeft"/>
              <w:jc w:val="center"/>
              <w:rPr>
                <w:lang w:val="en-AU" w:eastAsia="en-AU"/>
              </w:rPr>
            </w:pPr>
          </w:p>
        </w:tc>
      </w:tr>
      <w:tr w:rsidR="001C65EF" w:rsidRPr="00204FB3" w14:paraId="31809F2E" w14:textId="77777777" w:rsidTr="00774E78">
        <w:trPr>
          <w:gridAfter w:val="1"/>
          <w:wAfter w:w="216" w:type="dxa"/>
          <w:cantSplit/>
        </w:trPr>
        <w:tc>
          <w:tcPr>
            <w:tcW w:w="4395" w:type="dxa"/>
            <w:gridSpan w:val="2"/>
            <w:vAlign w:val="bottom"/>
          </w:tcPr>
          <w:p w14:paraId="15B86F1B" w14:textId="77777777" w:rsidR="001C65EF" w:rsidRPr="00204FB3" w:rsidRDefault="001C65EF" w:rsidP="00774E78">
            <w:pPr>
              <w:pStyle w:val="TblTextLeft"/>
              <w:rPr>
                <w:lang w:val="en-AU" w:eastAsia="en-AU"/>
              </w:rPr>
            </w:pPr>
            <w:r w:rsidRPr="00204FB3">
              <w:rPr>
                <w:lang w:val="en-AU" w:eastAsia="en-AU"/>
              </w:rPr>
              <w:t>Accidental overdose</w:t>
            </w:r>
          </w:p>
        </w:tc>
        <w:tc>
          <w:tcPr>
            <w:tcW w:w="2693" w:type="dxa"/>
            <w:gridSpan w:val="2"/>
            <w:tcBorders>
              <w:left w:val="nil"/>
            </w:tcBorders>
            <w:vAlign w:val="bottom"/>
          </w:tcPr>
          <w:p w14:paraId="5F8B15B1" w14:textId="0D885116" w:rsidR="001C65EF" w:rsidRPr="00204FB3" w:rsidRDefault="00907C32" w:rsidP="00907C32">
            <w:pPr>
              <w:pStyle w:val="TblTextLeft"/>
              <w:jc w:val="center"/>
              <w:rPr>
                <w:lang w:val="en-AU" w:eastAsia="en-AU"/>
              </w:rPr>
            </w:pPr>
            <w:r w:rsidRPr="00204FB3">
              <w:rPr>
                <w:lang w:val="en-AU" w:eastAsia="en-AU"/>
              </w:rPr>
              <w:t>24</w:t>
            </w:r>
            <w:r w:rsidR="001C65EF" w:rsidRPr="00204FB3">
              <w:rPr>
                <w:lang w:val="en-AU" w:eastAsia="en-AU"/>
              </w:rPr>
              <w:t xml:space="preserve"> (3.9%)</w:t>
            </w:r>
          </w:p>
        </w:tc>
        <w:tc>
          <w:tcPr>
            <w:tcW w:w="2373" w:type="dxa"/>
            <w:gridSpan w:val="2"/>
            <w:tcBorders>
              <w:left w:val="nil"/>
            </w:tcBorders>
            <w:vAlign w:val="bottom"/>
          </w:tcPr>
          <w:p w14:paraId="75CC164E" w14:textId="419B832C" w:rsidR="001C65EF" w:rsidRPr="00204FB3" w:rsidRDefault="00907C32" w:rsidP="00907C32">
            <w:pPr>
              <w:pStyle w:val="TblTextLeft"/>
              <w:jc w:val="center"/>
              <w:rPr>
                <w:lang w:val="en-AU" w:eastAsia="en-AU"/>
              </w:rPr>
            </w:pPr>
            <w:r w:rsidRPr="00204FB3">
              <w:rPr>
                <w:lang w:val="en-AU" w:eastAsia="en-AU"/>
              </w:rPr>
              <w:t>54</w:t>
            </w:r>
            <w:r w:rsidR="001C65EF" w:rsidRPr="00204FB3">
              <w:rPr>
                <w:lang w:val="en-AU" w:eastAsia="en-AU"/>
              </w:rPr>
              <w:t xml:space="preserve"> (6.3%)</w:t>
            </w:r>
          </w:p>
        </w:tc>
      </w:tr>
      <w:tr w:rsidR="001C65EF" w:rsidRPr="00204FB3" w14:paraId="0EA87D20" w14:textId="77777777" w:rsidTr="00774E78">
        <w:trPr>
          <w:gridAfter w:val="1"/>
          <w:wAfter w:w="216" w:type="dxa"/>
          <w:cantSplit/>
        </w:trPr>
        <w:tc>
          <w:tcPr>
            <w:tcW w:w="4395" w:type="dxa"/>
            <w:gridSpan w:val="2"/>
            <w:vAlign w:val="bottom"/>
          </w:tcPr>
          <w:p w14:paraId="2E677078" w14:textId="77777777" w:rsidR="001C65EF" w:rsidRPr="00204FB3" w:rsidRDefault="001C65EF" w:rsidP="00774E78">
            <w:pPr>
              <w:pStyle w:val="TblTextLeft"/>
              <w:rPr>
                <w:lang w:val="en-AU" w:eastAsia="en-AU"/>
              </w:rPr>
            </w:pPr>
            <w:r w:rsidRPr="00204FB3">
              <w:rPr>
                <w:lang w:val="en-AU" w:eastAsia="en-AU"/>
              </w:rPr>
              <w:t>Fall</w:t>
            </w:r>
          </w:p>
        </w:tc>
        <w:tc>
          <w:tcPr>
            <w:tcW w:w="2693" w:type="dxa"/>
            <w:gridSpan w:val="2"/>
            <w:tcBorders>
              <w:left w:val="nil"/>
            </w:tcBorders>
            <w:vAlign w:val="bottom"/>
          </w:tcPr>
          <w:p w14:paraId="51526D61" w14:textId="06040215" w:rsidR="001C65EF" w:rsidRPr="00204FB3" w:rsidRDefault="00907C32" w:rsidP="00907C32">
            <w:pPr>
              <w:pStyle w:val="TblTextLeft"/>
              <w:jc w:val="center"/>
              <w:rPr>
                <w:lang w:val="en-AU" w:eastAsia="en-AU"/>
              </w:rPr>
            </w:pPr>
            <w:r w:rsidRPr="00204FB3">
              <w:rPr>
                <w:lang w:val="en-AU" w:eastAsia="en-AU"/>
              </w:rPr>
              <w:t xml:space="preserve">11 </w:t>
            </w:r>
            <w:r w:rsidR="001C65EF" w:rsidRPr="00204FB3">
              <w:rPr>
                <w:lang w:val="en-AU" w:eastAsia="en-AU"/>
              </w:rPr>
              <w:t>(1.8%)</w:t>
            </w:r>
          </w:p>
        </w:tc>
        <w:tc>
          <w:tcPr>
            <w:tcW w:w="2373" w:type="dxa"/>
            <w:gridSpan w:val="2"/>
            <w:tcBorders>
              <w:left w:val="nil"/>
            </w:tcBorders>
            <w:vAlign w:val="bottom"/>
          </w:tcPr>
          <w:p w14:paraId="623B0E82" w14:textId="62D0A3F6" w:rsidR="001C65EF" w:rsidRPr="00204FB3" w:rsidRDefault="00907C32" w:rsidP="00907C32">
            <w:pPr>
              <w:pStyle w:val="TblTextLeft"/>
              <w:jc w:val="center"/>
              <w:rPr>
                <w:lang w:val="en-AU" w:eastAsia="en-AU"/>
              </w:rPr>
            </w:pPr>
            <w:r w:rsidRPr="00204FB3">
              <w:rPr>
                <w:lang w:val="en-AU" w:eastAsia="en-AU"/>
              </w:rPr>
              <w:t>22</w:t>
            </w:r>
            <w:r w:rsidR="001C65EF" w:rsidRPr="00204FB3">
              <w:rPr>
                <w:lang w:val="en-AU" w:eastAsia="en-AU"/>
              </w:rPr>
              <w:t xml:space="preserve"> (2.5%)</w:t>
            </w:r>
          </w:p>
        </w:tc>
      </w:tr>
      <w:tr w:rsidR="001C65EF" w:rsidRPr="00204FB3" w14:paraId="1AF80E40" w14:textId="77777777" w:rsidTr="00774E78">
        <w:trPr>
          <w:gridAfter w:val="1"/>
          <w:wAfter w:w="216" w:type="dxa"/>
          <w:cantSplit/>
        </w:trPr>
        <w:tc>
          <w:tcPr>
            <w:tcW w:w="4395" w:type="dxa"/>
            <w:gridSpan w:val="2"/>
            <w:tcBorders>
              <w:bottom w:val="single" w:sz="4" w:space="0" w:color="auto"/>
            </w:tcBorders>
            <w:vAlign w:val="bottom"/>
          </w:tcPr>
          <w:p w14:paraId="70D4FDAD" w14:textId="77777777" w:rsidR="001C65EF" w:rsidRPr="00204FB3" w:rsidRDefault="001C65EF" w:rsidP="00774E78">
            <w:pPr>
              <w:pStyle w:val="TblTextLeft"/>
              <w:rPr>
                <w:lang w:val="en-AU" w:eastAsia="en-AU"/>
              </w:rPr>
            </w:pPr>
            <w:r w:rsidRPr="00204FB3">
              <w:rPr>
                <w:lang w:val="en-AU" w:eastAsia="en-AU"/>
              </w:rPr>
              <w:t>Contusion</w:t>
            </w:r>
          </w:p>
        </w:tc>
        <w:tc>
          <w:tcPr>
            <w:tcW w:w="2693" w:type="dxa"/>
            <w:gridSpan w:val="2"/>
            <w:tcBorders>
              <w:left w:val="nil"/>
              <w:bottom w:val="single" w:sz="4" w:space="0" w:color="auto"/>
            </w:tcBorders>
            <w:vAlign w:val="bottom"/>
          </w:tcPr>
          <w:p w14:paraId="3614D9DF" w14:textId="792F0761" w:rsidR="001C65EF" w:rsidRPr="00204FB3" w:rsidRDefault="00907C32" w:rsidP="00907C32">
            <w:pPr>
              <w:pStyle w:val="TblTextLeft"/>
              <w:jc w:val="center"/>
              <w:rPr>
                <w:lang w:val="en-AU" w:eastAsia="en-AU"/>
              </w:rPr>
            </w:pPr>
            <w:r w:rsidRPr="00204FB3">
              <w:rPr>
                <w:lang w:val="en-AU" w:eastAsia="en-AU"/>
              </w:rPr>
              <w:t>6</w:t>
            </w:r>
            <w:r w:rsidR="001C65EF" w:rsidRPr="00204FB3">
              <w:rPr>
                <w:lang w:val="en-AU" w:eastAsia="en-AU"/>
              </w:rPr>
              <w:t xml:space="preserve"> (1.0%)</w:t>
            </w:r>
          </w:p>
        </w:tc>
        <w:tc>
          <w:tcPr>
            <w:tcW w:w="2373" w:type="dxa"/>
            <w:gridSpan w:val="2"/>
            <w:tcBorders>
              <w:left w:val="nil"/>
              <w:bottom w:val="single" w:sz="4" w:space="0" w:color="auto"/>
            </w:tcBorders>
            <w:vAlign w:val="bottom"/>
          </w:tcPr>
          <w:p w14:paraId="58F71BF3" w14:textId="1C3B0D7A" w:rsidR="001C65EF" w:rsidRPr="00204FB3" w:rsidRDefault="00907C32" w:rsidP="00907C32">
            <w:pPr>
              <w:pStyle w:val="TblTextLeft"/>
              <w:jc w:val="center"/>
              <w:rPr>
                <w:lang w:val="en-AU" w:eastAsia="en-AU"/>
              </w:rPr>
            </w:pPr>
            <w:r w:rsidRPr="00204FB3">
              <w:rPr>
                <w:lang w:val="en-AU" w:eastAsia="en-AU"/>
              </w:rPr>
              <w:t>12</w:t>
            </w:r>
            <w:r w:rsidR="001C65EF" w:rsidRPr="00204FB3">
              <w:rPr>
                <w:lang w:val="en-AU" w:eastAsia="en-AU"/>
              </w:rPr>
              <w:t xml:space="preserve"> (1.4%)</w:t>
            </w:r>
          </w:p>
        </w:tc>
      </w:tr>
    </w:tbl>
    <w:p w14:paraId="39475FFA" w14:textId="076DDE63" w:rsidR="001C65EF" w:rsidRPr="00204FB3" w:rsidRDefault="001C65EF" w:rsidP="00755DBE">
      <w:pPr>
        <w:spacing w:before="360"/>
        <w:rPr>
          <w:color w:val="auto"/>
        </w:rPr>
      </w:pPr>
      <w:r w:rsidRPr="00204FB3">
        <w:rPr>
          <w:color w:val="auto"/>
        </w:rPr>
        <w:fldChar w:fldCharType="begin"/>
      </w:r>
      <w:r w:rsidRPr="00204FB3">
        <w:rPr>
          <w:color w:val="auto"/>
        </w:rPr>
        <w:instrText xml:space="preserve"> REF _Ref487715809 \h  \* MERGEFORMAT </w:instrText>
      </w:r>
      <w:r w:rsidRPr="00204FB3">
        <w:rPr>
          <w:color w:val="auto"/>
        </w:rPr>
      </w:r>
      <w:r w:rsidRPr="00204FB3">
        <w:rPr>
          <w:color w:val="auto"/>
        </w:rPr>
        <w:fldChar w:fldCharType="separate"/>
      </w:r>
      <w:r w:rsidR="0052180F" w:rsidRPr="0052180F">
        <w:rPr>
          <w:color w:val="auto"/>
        </w:rPr>
        <w:t>Table 4</w:t>
      </w:r>
      <w:r w:rsidRPr="00204FB3">
        <w:rPr>
          <w:color w:val="auto"/>
        </w:rPr>
        <w:fldChar w:fldCharType="end"/>
      </w:r>
      <w:r w:rsidRPr="00204FB3">
        <w:rPr>
          <w:color w:val="auto"/>
        </w:rPr>
        <w:t xml:space="preserve"> shows the adverse events reported in</w:t>
      </w:r>
      <w:r w:rsidR="00414315">
        <w:rPr>
          <w:color w:val="auto"/>
        </w:rPr>
        <w:t xml:space="preserve"> </w:t>
      </w:r>
      <w:r w:rsidRPr="00204FB3">
        <w:rPr>
          <w:color w:val="auto"/>
        </w:rPr>
        <w:t>≥2% of patients treated with alirocumab 300 mg monthly dose as compared to placebo and alirocumab fortnightly dose, irrespective of concomitant statin therapy.</w:t>
      </w:r>
    </w:p>
    <w:p w14:paraId="0239D28A" w14:textId="1DB96E83" w:rsidR="001C65EF" w:rsidRPr="00204FB3" w:rsidRDefault="001C65EF" w:rsidP="001C65EF">
      <w:pPr>
        <w:pStyle w:val="Caption"/>
      </w:pPr>
      <w:r w:rsidRPr="00204FB3">
        <w:t xml:space="preserve"> </w:t>
      </w:r>
      <w:bookmarkStart w:id="3" w:name="_Ref487715809"/>
      <w:r w:rsidRPr="00204FB3">
        <w:t>Table </w:t>
      </w:r>
      <w:r w:rsidRPr="00204FB3">
        <w:fldChar w:fldCharType="begin"/>
      </w:r>
      <w:r w:rsidRPr="00204FB3">
        <w:instrText xml:space="preserve"> SEQ Table \* ARABIC </w:instrText>
      </w:r>
      <w:r w:rsidRPr="00204FB3">
        <w:fldChar w:fldCharType="separate"/>
      </w:r>
      <w:r w:rsidR="0052180F">
        <w:rPr>
          <w:noProof/>
        </w:rPr>
        <w:t>4</w:t>
      </w:r>
      <w:r w:rsidRPr="00204FB3">
        <w:fldChar w:fldCharType="end"/>
      </w:r>
      <w:bookmarkEnd w:id="3"/>
      <w:r w:rsidRPr="00204FB3">
        <w:t xml:space="preserve"> ­ Adverse events occurring in ≥2% of patients treated with alirocumab 300 mg monthly as compared to placebo, irrespective of concomitant statin therapy</w:t>
      </w:r>
    </w:p>
    <w:tbl>
      <w:tblPr>
        <w:tblW w:w="9498" w:type="dxa"/>
        <w:tblInd w:w="108" w:type="dxa"/>
        <w:tblLayout w:type="fixed"/>
        <w:tblLook w:val="0000" w:firstRow="0" w:lastRow="0" w:firstColumn="0" w:lastColumn="0" w:noHBand="0" w:noVBand="0"/>
      </w:tblPr>
      <w:tblGrid>
        <w:gridCol w:w="3544"/>
        <w:gridCol w:w="1985"/>
        <w:gridCol w:w="2126"/>
        <w:gridCol w:w="1843"/>
      </w:tblGrid>
      <w:tr w:rsidR="001C65EF" w:rsidRPr="00204FB3" w14:paraId="28029EA8" w14:textId="77777777" w:rsidTr="009316AE">
        <w:trPr>
          <w:cantSplit/>
          <w:tblHeader/>
        </w:trPr>
        <w:tc>
          <w:tcPr>
            <w:tcW w:w="3544" w:type="dxa"/>
            <w:tcBorders>
              <w:top w:val="single" w:sz="4" w:space="0" w:color="auto"/>
              <w:bottom w:val="single" w:sz="6" w:space="0" w:color="auto"/>
            </w:tcBorders>
            <w:vAlign w:val="bottom"/>
          </w:tcPr>
          <w:p w14:paraId="7F4EAE01" w14:textId="77777777" w:rsidR="001C65EF" w:rsidRPr="00204FB3" w:rsidRDefault="001C65EF" w:rsidP="00215881">
            <w:pPr>
              <w:keepLines/>
              <w:tabs>
                <w:tab w:val="left" w:pos="2"/>
              </w:tabs>
              <w:autoSpaceDE w:val="0"/>
              <w:autoSpaceDN w:val="0"/>
              <w:adjustRightInd w:val="0"/>
              <w:spacing w:before="30" w:after="30"/>
              <w:rPr>
                <w:rFonts w:eastAsia="Times New Roman"/>
                <w:b/>
                <w:bCs/>
                <w:color w:val="auto"/>
                <w:sz w:val="20"/>
                <w:szCs w:val="20"/>
                <w:lang w:val="en-AU" w:eastAsia="en-AU"/>
              </w:rPr>
            </w:pPr>
            <w:r w:rsidRPr="00204FB3">
              <w:rPr>
                <w:rFonts w:eastAsia="Times New Roman"/>
                <w:b/>
                <w:bCs/>
                <w:color w:val="auto"/>
                <w:sz w:val="20"/>
                <w:szCs w:val="20"/>
                <w:lang w:val="en-AU" w:eastAsia="en-AU"/>
              </w:rPr>
              <w:t>Primary System Organ Class</w:t>
            </w:r>
          </w:p>
          <w:p w14:paraId="08764D36" w14:textId="77777777" w:rsidR="001C65EF" w:rsidRPr="00204FB3" w:rsidRDefault="001C65EF" w:rsidP="00215881">
            <w:pPr>
              <w:keepLines/>
              <w:tabs>
                <w:tab w:val="left" w:pos="2"/>
              </w:tabs>
              <w:autoSpaceDE w:val="0"/>
              <w:autoSpaceDN w:val="0"/>
              <w:adjustRightInd w:val="0"/>
              <w:spacing w:before="30" w:after="30"/>
              <w:ind w:left="240"/>
              <w:rPr>
                <w:rFonts w:eastAsia="Times New Roman"/>
                <w:color w:val="auto"/>
                <w:sz w:val="20"/>
                <w:szCs w:val="20"/>
                <w:lang w:val="en-AU" w:eastAsia="en-AU"/>
              </w:rPr>
            </w:pPr>
            <w:r w:rsidRPr="00204FB3">
              <w:rPr>
                <w:rFonts w:eastAsia="Times New Roman"/>
                <w:b/>
                <w:bCs/>
                <w:color w:val="auto"/>
                <w:sz w:val="20"/>
                <w:szCs w:val="20"/>
                <w:lang w:val="en-AU" w:eastAsia="en-AU"/>
              </w:rPr>
              <w:t>Preferred Term n(%)</w:t>
            </w:r>
          </w:p>
        </w:tc>
        <w:tc>
          <w:tcPr>
            <w:tcW w:w="1985" w:type="dxa"/>
            <w:tcBorders>
              <w:top w:val="single" w:sz="4" w:space="0" w:color="auto"/>
              <w:left w:val="nil"/>
              <w:bottom w:val="single" w:sz="6" w:space="0" w:color="auto"/>
            </w:tcBorders>
            <w:vAlign w:val="bottom"/>
          </w:tcPr>
          <w:p w14:paraId="3D7CC9F0" w14:textId="77777777" w:rsidR="001C65EF" w:rsidRPr="00204FB3" w:rsidRDefault="001C65EF" w:rsidP="00215881">
            <w:pPr>
              <w:keepLines/>
              <w:autoSpaceDE w:val="0"/>
              <w:autoSpaceDN w:val="0"/>
              <w:adjustRightInd w:val="0"/>
              <w:spacing w:before="30" w:after="30"/>
              <w:rPr>
                <w:rFonts w:eastAsia="Times New Roman"/>
                <w:b/>
                <w:bCs/>
                <w:color w:val="auto"/>
                <w:sz w:val="20"/>
                <w:szCs w:val="20"/>
                <w:lang w:val="en-AU" w:eastAsia="en-AU"/>
              </w:rPr>
            </w:pPr>
            <w:r w:rsidRPr="00204FB3">
              <w:rPr>
                <w:rFonts w:eastAsia="Times New Roman"/>
                <w:b/>
                <w:bCs/>
                <w:color w:val="auto"/>
                <w:sz w:val="20"/>
                <w:szCs w:val="20"/>
                <w:lang w:val="en-AU" w:eastAsia="en-AU"/>
              </w:rPr>
              <w:t>Placebo</w:t>
            </w:r>
          </w:p>
          <w:p w14:paraId="775BD44D" w14:textId="77777777" w:rsidR="001C65EF" w:rsidRPr="00204FB3" w:rsidRDefault="001C65EF" w:rsidP="00215881">
            <w:pPr>
              <w:keepLines/>
              <w:autoSpaceDE w:val="0"/>
              <w:autoSpaceDN w:val="0"/>
              <w:adjustRightInd w:val="0"/>
              <w:spacing w:before="30" w:after="30"/>
              <w:rPr>
                <w:rFonts w:eastAsia="Times New Roman"/>
                <w:color w:val="auto"/>
                <w:sz w:val="20"/>
                <w:szCs w:val="20"/>
                <w:lang w:val="en-AU" w:eastAsia="en-AU"/>
              </w:rPr>
            </w:pPr>
            <w:r w:rsidRPr="00204FB3">
              <w:rPr>
                <w:rFonts w:eastAsia="Times New Roman"/>
                <w:b/>
                <w:bCs/>
                <w:color w:val="auto"/>
                <w:sz w:val="20"/>
                <w:szCs w:val="20"/>
                <w:lang w:val="en-AU" w:eastAsia="en-AU"/>
              </w:rPr>
              <w:t>(N=229)</w:t>
            </w:r>
          </w:p>
        </w:tc>
        <w:tc>
          <w:tcPr>
            <w:tcW w:w="2126" w:type="dxa"/>
            <w:tcBorders>
              <w:top w:val="single" w:sz="4" w:space="0" w:color="auto"/>
              <w:left w:val="nil"/>
              <w:bottom w:val="single" w:sz="6" w:space="0" w:color="auto"/>
              <w:right w:val="nil"/>
            </w:tcBorders>
          </w:tcPr>
          <w:p w14:paraId="18EC7F31" w14:textId="77777777" w:rsidR="001C65EF" w:rsidRPr="00204FB3" w:rsidRDefault="001C65EF" w:rsidP="00215881">
            <w:pPr>
              <w:keepLines/>
              <w:autoSpaceDE w:val="0"/>
              <w:autoSpaceDN w:val="0"/>
              <w:adjustRightInd w:val="0"/>
              <w:spacing w:before="30" w:after="30"/>
              <w:rPr>
                <w:rFonts w:eastAsia="Times New Roman"/>
                <w:b/>
                <w:bCs/>
                <w:color w:val="auto"/>
                <w:sz w:val="20"/>
                <w:szCs w:val="20"/>
                <w:lang w:val="en-AU" w:eastAsia="en-AU"/>
              </w:rPr>
            </w:pPr>
            <w:r w:rsidRPr="00204FB3">
              <w:rPr>
                <w:rFonts w:eastAsia="Times New Roman"/>
                <w:b/>
                <w:bCs/>
                <w:color w:val="auto"/>
                <w:sz w:val="20"/>
                <w:szCs w:val="20"/>
                <w:lang w:val="en-AU" w:eastAsia="en-AU"/>
              </w:rPr>
              <w:t xml:space="preserve">Alirocumab </w:t>
            </w:r>
          </w:p>
          <w:p w14:paraId="43D83FF6" w14:textId="77777777" w:rsidR="001C65EF" w:rsidRPr="00204FB3" w:rsidRDefault="001C65EF" w:rsidP="00215881">
            <w:pPr>
              <w:keepLines/>
              <w:autoSpaceDE w:val="0"/>
              <w:autoSpaceDN w:val="0"/>
              <w:adjustRightInd w:val="0"/>
              <w:spacing w:before="30" w:after="30"/>
              <w:rPr>
                <w:rFonts w:eastAsia="Times New Roman"/>
                <w:b/>
                <w:bCs/>
                <w:color w:val="auto"/>
                <w:sz w:val="20"/>
                <w:szCs w:val="20"/>
                <w:lang w:val="en-AU" w:eastAsia="en-AU"/>
              </w:rPr>
            </w:pPr>
            <w:r w:rsidRPr="00204FB3">
              <w:rPr>
                <w:rFonts w:eastAsia="Times New Roman"/>
                <w:b/>
                <w:bCs/>
                <w:color w:val="auto"/>
                <w:sz w:val="20"/>
                <w:szCs w:val="20"/>
                <w:lang w:val="en-AU" w:eastAsia="en-AU"/>
              </w:rPr>
              <w:t>75 mg/150 mg Q2W</w:t>
            </w:r>
          </w:p>
          <w:p w14:paraId="5A1A8CF1" w14:textId="77777777" w:rsidR="001C65EF" w:rsidRPr="00204FB3" w:rsidRDefault="001C65EF" w:rsidP="00215881">
            <w:pPr>
              <w:keepLines/>
              <w:autoSpaceDE w:val="0"/>
              <w:autoSpaceDN w:val="0"/>
              <w:adjustRightInd w:val="0"/>
              <w:spacing w:before="30" w:after="30"/>
              <w:rPr>
                <w:rFonts w:eastAsia="Times New Roman"/>
                <w:b/>
                <w:bCs/>
                <w:color w:val="auto"/>
                <w:sz w:val="20"/>
                <w:szCs w:val="20"/>
                <w:lang w:val="en-AU" w:eastAsia="en-AU"/>
              </w:rPr>
            </w:pPr>
            <w:r w:rsidRPr="00204FB3">
              <w:rPr>
                <w:rFonts w:eastAsia="Times New Roman"/>
                <w:b/>
                <w:bCs/>
                <w:color w:val="auto"/>
                <w:sz w:val="20"/>
                <w:szCs w:val="20"/>
                <w:lang w:val="en-AU" w:eastAsia="en-AU"/>
              </w:rPr>
              <w:t>(N=115)</w:t>
            </w:r>
          </w:p>
        </w:tc>
        <w:tc>
          <w:tcPr>
            <w:tcW w:w="1843" w:type="dxa"/>
            <w:tcBorders>
              <w:top w:val="single" w:sz="4" w:space="0" w:color="auto"/>
              <w:left w:val="nil"/>
              <w:bottom w:val="single" w:sz="6" w:space="0" w:color="auto"/>
            </w:tcBorders>
            <w:vAlign w:val="bottom"/>
          </w:tcPr>
          <w:p w14:paraId="479DEBD1" w14:textId="77777777" w:rsidR="001C65EF" w:rsidRPr="00204FB3" w:rsidRDefault="001C65EF" w:rsidP="00215881">
            <w:pPr>
              <w:keepLines/>
              <w:autoSpaceDE w:val="0"/>
              <w:autoSpaceDN w:val="0"/>
              <w:adjustRightInd w:val="0"/>
              <w:spacing w:before="30" w:after="30"/>
              <w:rPr>
                <w:rFonts w:eastAsia="Times New Roman"/>
                <w:b/>
                <w:bCs/>
                <w:color w:val="auto"/>
                <w:sz w:val="20"/>
                <w:szCs w:val="20"/>
                <w:lang w:val="en-AU" w:eastAsia="en-AU"/>
              </w:rPr>
            </w:pPr>
            <w:r w:rsidRPr="00204FB3">
              <w:rPr>
                <w:rFonts w:eastAsia="Times New Roman"/>
                <w:b/>
                <w:bCs/>
                <w:color w:val="auto"/>
                <w:sz w:val="20"/>
                <w:szCs w:val="20"/>
                <w:lang w:val="en-AU" w:eastAsia="en-AU"/>
              </w:rPr>
              <w:t xml:space="preserve">Alirocumab </w:t>
            </w:r>
          </w:p>
          <w:p w14:paraId="106C8AD8" w14:textId="77777777" w:rsidR="001C65EF" w:rsidRPr="00204FB3" w:rsidRDefault="001C65EF" w:rsidP="00215881">
            <w:pPr>
              <w:keepLines/>
              <w:autoSpaceDE w:val="0"/>
              <w:autoSpaceDN w:val="0"/>
              <w:adjustRightInd w:val="0"/>
              <w:spacing w:before="30" w:after="30"/>
              <w:rPr>
                <w:rFonts w:eastAsia="Times New Roman"/>
                <w:b/>
                <w:bCs/>
                <w:color w:val="auto"/>
                <w:sz w:val="20"/>
                <w:szCs w:val="20"/>
                <w:lang w:val="en-AU" w:eastAsia="en-AU"/>
              </w:rPr>
            </w:pPr>
            <w:r w:rsidRPr="00204FB3">
              <w:rPr>
                <w:rFonts w:eastAsia="Times New Roman"/>
                <w:b/>
                <w:bCs/>
                <w:color w:val="auto"/>
                <w:sz w:val="20"/>
                <w:szCs w:val="20"/>
                <w:lang w:val="en-AU" w:eastAsia="en-AU"/>
              </w:rPr>
              <w:t>300 mg Q4W</w:t>
            </w:r>
          </w:p>
          <w:p w14:paraId="2F1732BF" w14:textId="77777777" w:rsidR="001C65EF" w:rsidRPr="00204FB3" w:rsidRDefault="001C65EF" w:rsidP="00215881">
            <w:pPr>
              <w:keepLines/>
              <w:autoSpaceDE w:val="0"/>
              <w:autoSpaceDN w:val="0"/>
              <w:adjustRightInd w:val="0"/>
              <w:spacing w:before="30" w:after="30"/>
              <w:rPr>
                <w:rFonts w:eastAsia="Times New Roman"/>
                <w:color w:val="auto"/>
                <w:sz w:val="20"/>
                <w:szCs w:val="20"/>
                <w:lang w:val="en-AU" w:eastAsia="en-AU"/>
              </w:rPr>
            </w:pPr>
            <w:r w:rsidRPr="00204FB3">
              <w:rPr>
                <w:rFonts w:eastAsia="Times New Roman"/>
                <w:b/>
                <w:bCs/>
                <w:color w:val="auto"/>
                <w:sz w:val="20"/>
                <w:szCs w:val="20"/>
                <w:lang w:val="en-AU" w:eastAsia="en-AU"/>
              </w:rPr>
              <w:t>(N=458)</w:t>
            </w:r>
          </w:p>
        </w:tc>
      </w:tr>
      <w:tr w:rsidR="001C65EF" w:rsidRPr="00204FB3" w14:paraId="42B9B868" w14:textId="77777777" w:rsidTr="004075F9">
        <w:trPr>
          <w:cantSplit/>
        </w:trPr>
        <w:tc>
          <w:tcPr>
            <w:tcW w:w="3544" w:type="dxa"/>
            <w:vAlign w:val="bottom"/>
          </w:tcPr>
          <w:p w14:paraId="078D61A3" w14:textId="77777777" w:rsidR="001C65EF" w:rsidRPr="00204FB3" w:rsidRDefault="001C65EF" w:rsidP="00215881">
            <w:pPr>
              <w:keepNext/>
              <w:keepLines/>
              <w:tabs>
                <w:tab w:val="left" w:pos="3024"/>
              </w:tabs>
              <w:autoSpaceDE w:val="0"/>
              <w:autoSpaceDN w:val="0"/>
              <w:adjustRightInd w:val="0"/>
              <w:spacing w:before="30" w:after="30"/>
              <w:ind w:left="120" w:hanging="120"/>
              <w:rPr>
                <w:rFonts w:eastAsia="Times New Roman"/>
                <w:b/>
                <w:color w:val="auto"/>
                <w:sz w:val="20"/>
                <w:szCs w:val="20"/>
                <w:lang w:val="en-AU" w:eastAsia="en-AU"/>
              </w:rPr>
            </w:pPr>
            <w:r w:rsidRPr="00204FB3">
              <w:rPr>
                <w:rFonts w:eastAsia="Times New Roman"/>
                <w:b/>
                <w:color w:val="auto"/>
                <w:sz w:val="20"/>
                <w:szCs w:val="20"/>
                <w:lang w:val="en-AU" w:eastAsia="en-AU"/>
              </w:rPr>
              <w:t>Infections and infestations</w:t>
            </w:r>
          </w:p>
        </w:tc>
        <w:tc>
          <w:tcPr>
            <w:tcW w:w="1985" w:type="dxa"/>
            <w:tcBorders>
              <w:left w:val="nil"/>
            </w:tcBorders>
            <w:vAlign w:val="bottom"/>
          </w:tcPr>
          <w:p w14:paraId="55E74C15" w14:textId="77777777" w:rsidR="001C65EF" w:rsidRPr="00204FB3" w:rsidRDefault="001C65EF" w:rsidP="00215881">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p>
        </w:tc>
        <w:tc>
          <w:tcPr>
            <w:tcW w:w="2126" w:type="dxa"/>
            <w:tcBorders>
              <w:left w:val="nil"/>
              <w:right w:val="nil"/>
            </w:tcBorders>
          </w:tcPr>
          <w:p w14:paraId="255E9F5E"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1843" w:type="dxa"/>
            <w:tcBorders>
              <w:left w:val="nil"/>
            </w:tcBorders>
            <w:vAlign w:val="bottom"/>
          </w:tcPr>
          <w:p w14:paraId="3A14958B"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r>
      <w:tr w:rsidR="001C65EF" w:rsidRPr="00204FB3" w14:paraId="4FE1D5FE" w14:textId="77777777" w:rsidTr="004075F9">
        <w:trPr>
          <w:cantSplit/>
        </w:trPr>
        <w:tc>
          <w:tcPr>
            <w:tcW w:w="3544" w:type="dxa"/>
            <w:vAlign w:val="bottom"/>
          </w:tcPr>
          <w:p w14:paraId="69E44F7C" w14:textId="77777777" w:rsidR="001C65EF" w:rsidRPr="00204FB3" w:rsidRDefault="001C65EF" w:rsidP="00215881">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204FB3">
              <w:rPr>
                <w:rFonts w:eastAsia="Times New Roman"/>
                <w:color w:val="auto"/>
                <w:sz w:val="20"/>
                <w:szCs w:val="20"/>
                <w:lang w:val="en-AU" w:eastAsia="en-AU"/>
              </w:rPr>
              <w:t>Upper respiratory tract infection</w:t>
            </w:r>
          </w:p>
        </w:tc>
        <w:tc>
          <w:tcPr>
            <w:tcW w:w="1985" w:type="dxa"/>
            <w:tcBorders>
              <w:left w:val="nil"/>
            </w:tcBorders>
            <w:vAlign w:val="bottom"/>
          </w:tcPr>
          <w:p w14:paraId="76CA42DA" w14:textId="77777777" w:rsidR="001C65EF" w:rsidRPr="00204FB3" w:rsidRDefault="001C65EF" w:rsidP="00215881">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204FB3">
              <w:rPr>
                <w:rFonts w:eastAsia="Times New Roman"/>
                <w:color w:val="auto"/>
                <w:sz w:val="20"/>
                <w:szCs w:val="20"/>
                <w:lang w:val="en-AU" w:eastAsia="en-AU"/>
              </w:rPr>
              <w:tab/>
              <w:t>18</w:t>
            </w:r>
            <w:r w:rsidRPr="00204FB3">
              <w:rPr>
                <w:rFonts w:eastAsia="Times New Roman"/>
                <w:color w:val="auto"/>
                <w:sz w:val="20"/>
                <w:szCs w:val="20"/>
                <w:lang w:val="en-AU" w:eastAsia="en-AU"/>
              </w:rPr>
              <w:tab/>
              <w:t xml:space="preserve"> (7.9%)</w:t>
            </w:r>
          </w:p>
        </w:tc>
        <w:tc>
          <w:tcPr>
            <w:tcW w:w="2126" w:type="dxa"/>
            <w:tcBorders>
              <w:left w:val="nil"/>
              <w:right w:val="nil"/>
            </w:tcBorders>
          </w:tcPr>
          <w:p w14:paraId="48739A3C"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204FB3">
              <w:rPr>
                <w:rFonts w:eastAsia="Times New Roman"/>
                <w:color w:val="auto"/>
                <w:sz w:val="20"/>
                <w:szCs w:val="20"/>
                <w:lang w:val="en-AU" w:eastAsia="en-AU"/>
              </w:rPr>
              <w:tab/>
              <w:t>8</w:t>
            </w:r>
            <w:r w:rsidRPr="00204FB3">
              <w:rPr>
                <w:rFonts w:eastAsia="Times New Roman"/>
                <w:color w:val="auto"/>
                <w:sz w:val="20"/>
                <w:szCs w:val="20"/>
                <w:lang w:val="en-AU" w:eastAsia="en-AU"/>
              </w:rPr>
              <w:tab/>
              <w:t xml:space="preserve"> (7.0%)</w:t>
            </w:r>
          </w:p>
        </w:tc>
        <w:tc>
          <w:tcPr>
            <w:tcW w:w="1843" w:type="dxa"/>
            <w:tcBorders>
              <w:left w:val="nil"/>
            </w:tcBorders>
            <w:vAlign w:val="bottom"/>
          </w:tcPr>
          <w:p w14:paraId="15F0BF26"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204FB3">
              <w:rPr>
                <w:rFonts w:eastAsia="Times New Roman"/>
                <w:color w:val="auto"/>
                <w:sz w:val="20"/>
                <w:szCs w:val="20"/>
                <w:lang w:val="en-AU" w:eastAsia="en-AU"/>
              </w:rPr>
              <w:tab/>
              <w:t>41</w:t>
            </w:r>
            <w:r w:rsidRPr="00204FB3">
              <w:rPr>
                <w:rFonts w:eastAsia="Times New Roman"/>
                <w:color w:val="auto"/>
                <w:sz w:val="20"/>
                <w:szCs w:val="20"/>
                <w:lang w:val="en-AU" w:eastAsia="en-AU"/>
              </w:rPr>
              <w:tab/>
              <w:t xml:space="preserve"> (9.0%)</w:t>
            </w:r>
          </w:p>
        </w:tc>
      </w:tr>
      <w:tr w:rsidR="001C65EF" w:rsidRPr="00204FB3" w14:paraId="4A81138A" w14:textId="77777777" w:rsidTr="004075F9">
        <w:trPr>
          <w:cantSplit/>
        </w:trPr>
        <w:tc>
          <w:tcPr>
            <w:tcW w:w="3544" w:type="dxa"/>
            <w:vAlign w:val="bottom"/>
          </w:tcPr>
          <w:p w14:paraId="25DB4C2A" w14:textId="77777777" w:rsidR="001C65EF" w:rsidRPr="00204FB3" w:rsidRDefault="001C65EF" w:rsidP="00215881">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204FB3">
              <w:rPr>
                <w:rFonts w:eastAsia="Times New Roman"/>
                <w:color w:val="auto"/>
                <w:sz w:val="20"/>
                <w:szCs w:val="20"/>
                <w:lang w:val="en-AU" w:eastAsia="en-AU"/>
              </w:rPr>
              <w:t>Nasopharyngitis</w:t>
            </w:r>
          </w:p>
        </w:tc>
        <w:tc>
          <w:tcPr>
            <w:tcW w:w="1985" w:type="dxa"/>
            <w:tcBorders>
              <w:left w:val="nil"/>
            </w:tcBorders>
            <w:vAlign w:val="bottom"/>
          </w:tcPr>
          <w:p w14:paraId="6905A765" w14:textId="77777777" w:rsidR="001C65EF" w:rsidRPr="00204FB3" w:rsidRDefault="001C65EF" w:rsidP="00215881">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204FB3">
              <w:rPr>
                <w:rFonts w:eastAsia="Times New Roman"/>
                <w:color w:val="auto"/>
                <w:sz w:val="20"/>
                <w:szCs w:val="20"/>
                <w:lang w:val="en-AU" w:eastAsia="en-AU"/>
              </w:rPr>
              <w:tab/>
              <w:t>18</w:t>
            </w:r>
            <w:r w:rsidRPr="00204FB3">
              <w:rPr>
                <w:rFonts w:eastAsia="Times New Roman"/>
                <w:color w:val="auto"/>
                <w:sz w:val="20"/>
                <w:szCs w:val="20"/>
                <w:lang w:val="en-AU" w:eastAsia="en-AU"/>
              </w:rPr>
              <w:tab/>
              <w:t xml:space="preserve"> (7.9%)</w:t>
            </w:r>
          </w:p>
        </w:tc>
        <w:tc>
          <w:tcPr>
            <w:tcW w:w="2126" w:type="dxa"/>
            <w:tcBorders>
              <w:left w:val="nil"/>
              <w:right w:val="nil"/>
            </w:tcBorders>
          </w:tcPr>
          <w:p w14:paraId="18F3BA1E"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204FB3">
              <w:rPr>
                <w:rFonts w:eastAsia="Times New Roman"/>
                <w:color w:val="auto"/>
                <w:sz w:val="20"/>
                <w:szCs w:val="20"/>
                <w:lang w:val="en-AU" w:eastAsia="en-AU"/>
              </w:rPr>
              <w:tab/>
              <w:t>10</w:t>
            </w:r>
            <w:r w:rsidRPr="00204FB3">
              <w:rPr>
                <w:rFonts w:eastAsia="Times New Roman"/>
                <w:color w:val="auto"/>
                <w:sz w:val="20"/>
                <w:szCs w:val="20"/>
                <w:lang w:val="en-AU" w:eastAsia="en-AU"/>
              </w:rPr>
              <w:tab/>
              <w:t xml:space="preserve"> (8.7%)</w:t>
            </w:r>
          </w:p>
        </w:tc>
        <w:tc>
          <w:tcPr>
            <w:tcW w:w="1843" w:type="dxa"/>
            <w:tcBorders>
              <w:left w:val="nil"/>
            </w:tcBorders>
            <w:vAlign w:val="bottom"/>
          </w:tcPr>
          <w:p w14:paraId="5937BE01"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204FB3">
              <w:rPr>
                <w:rFonts w:eastAsia="Times New Roman"/>
                <w:color w:val="auto"/>
                <w:sz w:val="20"/>
                <w:szCs w:val="20"/>
                <w:lang w:val="en-AU" w:eastAsia="en-AU"/>
              </w:rPr>
              <w:tab/>
              <w:t>39</w:t>
            </w:r>
            <w:r w:rsidRPr="00204FB3">
              <w:rPr>
                <w:rFonts w:eastAsia="Times New Roman"/>
                <w:color w:val="auto"/>
                <w:sz w:val="20"/>
                <w:szCs w:val="20"/>
                <w:lang w:val="en-AU" w:eastAsia="en-AU"/>
              </w:rPr>
              <w:tab/>
              <w:t xml:space="preserve"> (8.5%)</w:t>
            </w:r>
          </w:p>
        </w:tc>
      </w:tr>
      <w:tr w:rsidR="001C65EF" w:rsidRPr="00204FB3" w14:paraId="59CF6891" w14:textId="77777777" w:rsidTr="004075F9">
        <w:trPr>
          <w:cantSplit/>
        </w:trPr>
        <w:tc>
          <w:tcPr>
            <w:tcW w:w="3544" w:type="dxa"/>
            <w:vAlign w:val="bottom"/>
          </w:tcPr>
          <w:p w14:paraId="54D7738B" w14:textId="77777777" w:rsidR="001C65EF" w:rsidRPr="00204FB3" w:rsidRDefault="001C65EF" w:rsidP="00215881">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204FB3">
              <w:rPr>
                <w:rFonts w:eastAsia="Times New Roman"/>
                <w:color w:val="auto"/>
                <w:sz w:val="20"/>
                <w:szCs w:val="20"/>
                <w:lang w:val="en-AU" w:eastAsia="en-AU"/>
              </w:rPr>
              <w:t>Sinusitis</w:t>
            </w:r>
          </w:p>
        </w:tc>
        <w:tc>
          <w:tcPr>
            <w:tcW w:w="1985" w:type="dxa"/>
            <w:tcBorders>
              <w:left w:val="nil"/>
            </w:tcBorders>
            <w:vAlign w:val="bottom"/>
          </w:tcPr>
          <w:p w14:paraId="6878703D" w14:textId="77777777" w:rsidR="001C65EF" w:rsidRPr="00204FB3" w:rsidRDefault="001C65EF" w:rsidP="00215881">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204FB3">
              <w:rPr>
                <w:rFonts w:eastAsia="Times New Roman"/>
                <w:color w:val="auto"/>
                <w:sz w:val="20"/>
                <w:szCs w:val="20"/>
                <w:lang w:val="en-AU" w:eastAsia="en-AU"/>
              </w:rPr>
              <w:tab/>
              <w:t>11</w:t>
            </w:r>
            <w:r w:rsidRPr="00204FB3">
              <w:rPr>
                <w:rFonts w:eastAsia="Times New Roman"/>
                <w:color w:val="auto"/>
                <w:sz w:val="20"/>
                <w:szCs w:val="20"/>
                <w:lang w:val="en-AU" w:eastAsia="en-AU"/>
              </w:rPr>
              <w:tab/>
              <w:t xml:space="preserve"> (4.8%)</w:t>
            </w:r>
          </w:p>
        </w:tc>
        <w:tc>
          <w:tcPr>
            <w:tcW w:w="2126" w:type="dxa"/>
            <w:tcBorders>
              <w:left w:val="nil"/>
              <w:right w:val="nil"/>
            </w:tcBorders>
          </w:tcPr>
          <w:p w14:paraId="6F76BEB5"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204FB3">
              <w:rPr>
                <w:rFonts w:eastAsia="Times New Roman"/>
                <w:color w:val="auto"/>
                <w:sz w:val="20"/>
                <w:szCs w:val="20"/>
                <w:lang w:val="en-AU" w:eastAsia="en-AU"/>
              </w:rPr>
              <w:tab/>
              <w:t>4</w:t>
            </w:r>
            <w:r w:rsidRPr="00204FB3">
              <w:rPr>
                <w:rFonts w:eastAsia="Times New Roman"/>
                <w:color w:val="auto"/>
                <w:sz w:val="20"/>
                <w:szCs w:val="20"/>
                <w:lang w:val="en-AU" w:eastAsia="en-AU"/>
              </w:rPr>
              <w:tab/>
              <w:t xml:space="preserve"> (3.5%)</w:t>
            </w:r>
          </w:p>
        </w:tc>
        <w:tc>
          <w:tcPr>
            <w:tcW w:w="1843" w:type="dxa"/>
            <w:tcBorders>
              <w:left w:val="nil"/>
            </w:tcBorders>
            <w:vAlign w:val="bottom"/>
          </w:tcPr>
          <w:p w14:paraId="397F0AD5"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204FB3">
              <w:rPr>
                <w:rFonts w:eastAsia="Times New Roman"/>
                <w:color w:val="auto"/>
                <w:sz w:val="20"/>
                <w:szCs w:val="20"/>
                <w:lang w:val="en-AU" w:eastAsia="en-AU"/>
              </w:rPr>
              <w:tab/>
              <w:t>28</w:t>
            </w:r>
            <w:r w:rsidRPr="00204FB3">
              <w:rPr>
                <w:rFonts w:eastAsia="Times New Roman"/>
                <w:color w:val="auto"/>
                <w:sz w:val="20"/>
                <w:szCs w:val="20"/>
                <w:lang w:val="en-AU" w:eastAsia="en-AU"/>
              </w:rPr>
              <w:tab/>
              <w:t xml:space="preserve"> (6.1%)</w:t>
            </w:r>
          </w:p>
        </w:tc>
      </w:tr>
      <w:tr w:rsidR="001C65EF" w:rsidRPr="00204FB3" w14:paraId="496C582A" w14:textId="77777777" w:rsidTr="004075F9">
        <w:trPr>
          <w:cantSplit/>
        </w:trPr>
        <w:tc>
          <w:tcPr>
            <w:tcW w:w="3544" w:type="dxa"/>
            <w:vAlign w:val="bottom"/>
          </w:tcPr>
          <w:p w14:paraId="04EB5EB1" w14:textId="77777777" w:rsidR="001C65EF" w:rsidRPr="00204FB3" w:rsidRDefault="001C65EF" w:rsidP="00215881">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204FB3">
              <w:rPr>
                <w:rFonts w:eastAsia="Times New Roman"/>
                <w:color w:val="auto"/>
                <w:sz w:val="20"/>
                <w:szCs w:val="20"/>
                <w:lang w:val="en-AU" w:eastAsia="en-AU"/>
              </w:rPr>
              <w:t>Urinary tract infection</w:t>
            </w:r>
          </w:p>
        </w:tc>
        <w:tc>
          <w:tcPr>
            <w:tcW w:w="1985" w:type="dxa"/>
            <w:tcBorders>
              <w:left w:val="nil"/>
            </w:tcBorders>
            <w:vAlign w:val="bottom"/>
          </w:tcPr>
          <w:p w14:paraId="549C61E0" w14:textId="77777777" w:rsidR="001C65EF" w:rsidRPr="00204FB3" w:rsidRDefault="001C65EF" w:rsidP="00215881">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204FB3">
              <w:rPr>
                <w:rFonts w:eastAsia="Times New Roman"/>
                <w:color w:val="auto"/>
                <w:sz w:val="20"/>
                <w:szCs w:val="20"/>
                <w:lang w:val="en-AU" w:eastAsia="en-AU"/>
              </w:rPr>
              <w:tab/>
              <w:t>10</w:t>
            </w:r>
            <w:r w:rsidRPr="00204FB3">
              <w:rPr>
                <w:rFonts w:eastAsia="Times New Roman"/>
                <w:color w:val="auto"/>
                <w:sz w:val="20"/>
                <w:szCs w:val="20"/>
                <w:lang w:val="en-AU" w:eastAsia="en-AU"/>
              </w:rPr>
              <w:tab/>
              <w:t xml:space="preserve"> (4.4%)</w:t>
            </w:r>
          </w:p>
        </w:tc>
        <w:tc>
          <w:tcPr>
            <w:tcW w:w="2126" w:type="dxa"/>
            <w:tcBorders>
              <w:left w:val="nil"/>
              <w:right w:val="nil"/>
            </w:tcBorders>
          </w:tcPr>
          <w:p w14:paraId="0E63A359"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204FB3">
              <w:rPr>
                <w:rFonts w:eastAsia="Times New Roman"/>
                <w:color w:val="auto"/>
                <w:sz w:val="20"/>
                <w:szCs w:val="20"/>
                <w:lang w:val="en-AU" w:eastAsia="en-AU"/>
              </w:rPr>
              <w:tab/>
              <w:t>7</w:t>
            </w:r>
            <w:r w:rsidRPr="00204FB3">
              <w:rPr>
                <w:rFonts w:eastAsia="Times New Roman"/>
                <w:color w:val="auto"/>
                <w:sz w:val="20"/>
                <w:szCs w:val="20"/>
                <w:lang w:val="en-AU" w:eastAsia="en-AU"/>
              </w:rPr>
              <w:tab/>
              <w:t xml:space="preserve"> (6.1%)</w:t>
            </w:r>
          </w:p>
        </w:tc>
        <w:tc>
          <w:tcPr>
            <w:tcW w:w="1843" w:type="dxa"/>
            <w:tcBorders>
              <w:left w:val="nil"/>
            </w:tcBorders>
            <w:vAlign w:val="bottom"/>
          </w:tcPr>
          <w:p w14:paraId="1F7E4010"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204FB3">
              <w:rPr>
                <w:rFonts w:eastAsia="Times New Roman"/>
                <w:color w:val="auto"/>
                <w:sz w:val="20"/>
                <w:szCs w:val="20"/>
                <w:lang w:val="en-AU" w:eastAsia="en-AU"/>
              </w:rPr>
              <w:tab/>
              <w:t>28</w:t>
            </w:r>
            <w:r w:rsidRPr="00204FB3">
              <w:rPr>
                <w:rFonts w:eastAsia="Times New Roman"/>
                <w:color w:val="auto"/>
                <w:sz w:val="20"/>
                <w:szCs w:val="20"/>
                <w:lang w:val="en-AU" w:eastAsia="en-AU"/>
              </w:rPr>
              <w:tab/>
              <w:t xml:space="preserve"> (6.1%)</w:t>
            </w:r>
          </w:p>
        </w:tc>
      </w:tr>
      <w:tr w:rsidR="001C65EF" w:rsidRPr="00204FB3" w14:paraId="248B0AEB" w14:textId="77777777" w:rsidTr="004075F9">
        <w:trPr>
          <w:cantSplit/>
        </w:trPr>
        <w:tc>
          <w:tcPr>
            <w:tcW w:w="3544" w:type="dxa"/>
            <w:vAlign w:val="bottom"/>
          </w:tcPr>
          <w:p w14:paraId="5C7F1F7E" w14:textId="77777777" w:rsidR="001C65EF" w:rsidRPr="00204FB3" w:rsidRDefault="001C65EF" w:rsidP="00215881">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204FB3">
              <w:rPr>
                <w:rFonts w:eastAsia="Times New Roman"/>
                <w:color w:val="auto"/>
                <w:sz w:val="20"/>
                <w:szCs w:val="20"/>
                <w:lang w:val="en-AU" w:eastAsia="en-AU"/>
              </w:rPr>
              <w:t>Lower respiratory tract infection</w:t>
            </w:r>
          </w:p>
        </w:tc>
        <w:tc>
          <w:tcPr>
            <w:tcW w:w="1985" w:type="dxa"/>
            <w:tcBorders>
              <w:left w:val="nil"/>
            </w:tcBorders>
            <w:vAlign w:val="bottom"/>
          </w:tcPr>
          <w:p w14:paraId="13E8159E" w14:textId="77777777" w:rsidR="001C65EF" w:rsidRPr="00204FB3" w:rsidRDefault="001C65EF" w:rsidP="00215881">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204FB3">
              <w:rPr>
                <w:rFonts w:eastAsia="Times New Roman"/>
                <w:color w:val="auto"/>
                <w:sz w:val="20"/>
                <w:szCs w:val="20"/>
                <w:lang w:val="en-AU" w:eastAsia="en-AU"/>
              </w:rPr>
              <w:tab/>
              <w:t>2</w:t>
            </w:r>
            <w:r w:rsidRPr="00204FB3">
              <w:rPr>
                <w:rFonts w:eastAsia="Times New Roman"/>
                <w:color w:val="auto"/>
                <w:sz w:val="20"/>
                <w:szCs w:val="20"/>
                <w:lang w:val="en-AU" w:eastAsia="en-AU"/>
              </w:rPr>
              <w:tab/>
              <w:t xml:space="preserve"> (0.9%)</w:t>
            </w:r>
          </w:p>
        </w:tc>
        <w:tc>
          <w:tcPr>
            <w:tcW w:w="2126" w:type="dxa"/>
            <w:tcBorders>
              <w:left w:val="nil"/>
              <w:right w:val="nil"/>
            </w:tcBorders>
          </w:tcPr>
          <w:p w14:paraId="49921701"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204FB3">
              <w:rPr>
                <w:rFonts w:eastAsia="Times New Roman"/>
                <w:color w:val="auto"/>
                <w:sz w:val="20"/>
                <w:szCs w:val="20"/>
                <w:lang w:val="en-AU" w:eastAsia="en-AU"/>
              </w:rPr>
              <w:tab/>
              <w:t>3</w:t>
            </w:r>
            <w:r w:rsidRPr="00204FB3">
              <w:rPr>
                <w:rFonts w:eastAsia="Times New Roman"/>
                <w:color w:val="auto"/>
                <w:sz w:val="20"/>
                <w:szCs w:val="20"/>
                <w:lang w:val="en-AU" w:eastAsia="en-AU"/>
              </w:rPr>
              <w:tab/>
              <w:t xml:space="preserve"> (2.6%)</w:t>
            </w:r>
          </w:p>
        </w:tc>
        <w:tc>
          <w:tcPr>
            <w:tcW w:w="1843" w:type="dxa"/>
            <w:tcBorders>
              <w:left w:val="nil"/>
            </w:tcBorders>
            <w:vAlign w:val="bottom"/>
          </w:tcPr>
          <w:p w14:paraId="04895B95"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204FB3">
              <w:rPr>
                <w:rFonts w:eastAsia="Times New Roman"/>
                <w:color w:val="auto"/>
                <w:sz w:val="20"/>
                <w:szCs w:val="20"/>
                <w:lang w:val="en-AU" w:eastAsia="en-AU"/>
              </w:rPr>
              <w:tab/>
              <w:t>13</w:t>
            </w:r>
            <w:r w:rsidRPr="00204FB3">
              <w:rPr>
                <w:rFonts w:eastAsia="Times New Roman"/>
                <w:color w:val="auto"/>
                <w:sz w:val="20"/>
                <w:szCs w:val="20"/>
                <w:lang w:val="en-AU" w:eastAsia="en-AU"/>
              </w:rPr>
              <w:tab/>
              <w:t xml:space="preserve"> (2.8%)</w:t>
            </w:r>
          </w:p>
        </w:tc>
      </w:tr>
      <w:tr w:rsidR="001C65EF" w:rsidRPr="00204FB3" w14:paraId="70C2F118" w14:textId="77777777" w:rsidTr="004075F9">
        <w:trPr>
          <w:cantSplit/>
        </w:trPr>
        <w:tc>
          <w:tcPr>
            <w:tcW w:w="3544" w:type="dxa"/>
            <w:vAlign w:val="bottom"/>
          </w:tcPr>
          <w:p w14:paraId="052E9E29"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1985" w:type="dxa"/>
            <w:tcBorders>
              <w:left w:val="nil"/>
            </w:tcBorders>
            <w:vAlign w:val="bottom"/>
          </w:tcPr>
          <w:p w14:paraId="687634A1"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2126" w:type="dxa"/>
            <w:tcBorders>
              <w:left w:val="nil"/>
              <w:right w:val="nil"/>
            </w:tcBorders>
          </w:tcPr>
          <w:p w14:paraId="19CDE500"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1843" w:type="dxa"/>
            <w:tcBorders>
              <w:left w:val="nil"/>
            </w:tcBorders>
            <w:vAlign w:val="bottom"/>
          </w:tcPr>
          <w:p w14:paraId="0AD6E2AE"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r>
      <w:tr w:rsidR="001C65EF" w:rsidRPr="00204FB3" w14:paraId="3AE800CE" w14:textId="77777777" w:rsidTr="004075F9">
        <w:trPr>
          <w:cantSplit/>
        </w:trPr>
        <w:tc>
          <w:tcPr>
            <w:tcW w:w="3544" w:type="dxa"/>
            <w:vAlign w:val="bottom"/>
          </w:tcPr>
          <w:p w14:paraId="01A8154B" w14:textId="77777777" w:rsidR="001C65EF" w:rsidRPr="00204FB3" w:rsidRDefault="001C65EF" w:rsidP="00215881">
            <w:pPr>
              <w:keepNext/>
              <w:keepLines/>
              <w:tabs>
                <w:tab w:val="left" w:pos="3024"/>
              </w:tabs>
              <w:autoSpaceDE w:val="0"/>
              <w:autoSpaceDN w:val="0"/>
              <w:adjustRightInd w:val="0"/>
              <w:spacing w:before="30" w:after="30"/>
              <w:ind w:left="120" w:hanging="120"/>
              <w:rPr>
                <w:rFonts w:eastAsia="Times New Roman"/>
                <w:b/>
                <w:color w:val="auto"/>
                <w:sz w:val="20"/>
                <w:szCs w:val="20"/>
                <w:lang w:val="en-AU" w:eastAsia="en-AU"/>
              </w:rPr>
            </w:pPr>
            <w:r w:rsidRPr="00204FB3">
              <w:rPr>
                <w:rFonts w:eastAsia="Times New Roman"/>
                <w:b/>
                <w:color w:val="auto"/>
                <w:sz w:val="20"/>
                <w:szCs w:val="20"/>
                <w:lang w:val="en-AU" w:eastAsia="en-AU"/>
              </w:rPr>
              <w:t>Metabolism and nutrition disorders</w:t>
            </w:r>
          </w:p>
        </w:tc>
        <w:tc>
          <w:tcPr>
            <w:tcW w:w="1985" w:type="dxa"/>
            <w:tcBorders>
              <w:left w:val="nil"/>
            </w:tcBorders>
            <w:vAlign w:val="bottom"/>
          </w:tcPr>
          <w:p w14:paraId="28457D31" w14:textId="77777777" w:rsidR="001C65EF" w:rsidRPr="00204FB3" w:rsidRDefault="001C65EF" w:rsidP="00215881">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p>
        </w:tc>
        <w:tc>
          <w:tcPr>
            <w:tcW w:w="2126" w:type="dxa"/>
            <w:tcBorders>
              <w:left w:val="nil"/>
              <w:right w:val="nil"/>
            </w:tcBorders>
          </w:tcPr>
          <w:p w14:paraId="0CE09B52"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1843" w:type="dxa"/>
            <w:tcBorders>
              <w:left w:val="nil"/>
            </w:tcBorders>
            <w:vAlign w:val="bottom"/>
          </w:tcPr>
          <w:p w14:paraId="1FB34197"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r>
      <w:tr w:rsidR="001C65EF" w:rsidRPr="00204FB3" w14:paraId="003CCCED" w14:textId="77777777" w:rsidTr="004075F9">
        <w:trPr>
          <w:cantSplit/>
        </w:trPr>
        <w:tc>
          <w:tcPr>
            <w:tcW w:w="3544" w:type="dxa"/>
            <w:vAlign w:val="bottom"/>
          </w:tcPr>
          <w:p w14:paraId="7173B0D8" w14:textId="77777777" w:rsidR="001C65EF" w:rsidRPr="00204FB3" w:rsidRDefault="001C65EF" w:rsidP="00215881">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204FB3">
              <w:rPr>
                <w:rFonts w:eastAsia="Times New Roman"/>
                <w:color w:val="auto"/>
                <w:sz w:val="20"/>
                <w:szCs w:val="20"/>
                <w:lang w:val="en-AU" w:eastAsia="en-AU"/>
              </w:rPr>
              <w:t>Type 2 diabetes mellitus</w:t>
            </w:r>
          </w:p>
        </w:tc>
        <w:tc>
          <w:tcPr>
            <w:tcW w:w="1985" w:type="dxa"/>
            <w:tcBorders>
              <w:left w:val="nil"/>
            </w:tcBorders>
            <w:vAlign w:val="bottom"/>
          </w:tcPr>
          <w:p w14:paraId="7E543411" w14:textId="77777777" w:rsidR="001C65EF" w:rsidRPr="00204FB3" w:rsidRDefault="001C65EF" w:rsidP="00215881">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204FB3">
              <w:rPr>
                <w:rFonts w:eastAsia="Times New Roman"/>
                <w:color w:val="auto"/>
                <w:sz w:val="20"/>
                <w:szCs w:val="20"/>
                <w:lang w:val="en-AU" w:eastAsia="en-AU"/>
              </w:rPr>
              <w:tab/>
              <w:t>2</w:t>
            </w:r>
            <w:r w:rsidRPr="00204FB3">
              <w:rPr>
                <w:rFonts w:eastAsia="Times New Roman"/>
                <w:color w:val="auto"/>
                <w:sz w:val="20"/>
                <w:szCs w:val="20"/>
                <w:lang w:val="en-AU" w:eastAsia="en-AU"/>
              </w:rPr>
              <w:tab/>
              <w:t xml:space="preserve"> (0.9%)</w:t>
            </w:r>
          </w:p>
        </w:tc>
        <w:tc>
          <w:tcPr>
            <w:tcW w:w="2126" w:type="dxa"/>
            <w:tcBorders>
              <w:left w:val="nil"/>
              <w:right w:val="nil"/>
            </w:tcBorders>
          </w:tcPr>
          <w:p w14:paraId="7F5E7C10"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204FB3">
              <w:rPr>
                <w:rFonts w:eastAsia="Times New Roman"/>
                <w:color w:val="auto"/>
                <w:sz w:val="20"/>
                <w:szCs w:val="20"/>
                <w:lang w:val="en-AU" w:eastAsia="en-AU"/>
              </w:rPr>
              <w:tab/>
              <w:t>1</w:t>
            </w:r>
            <w:r w:rsidRPr="00204FB3">
              <w:rPr>
                <w:rFonts w:eastAsia="Times New Roman"/>
                <w:color w:val="auto"/>
                <w:sz w:val="20"/>
                <w:szCs w:val="20"/>
                <w:lang w:val="en-AU" w:eastAsia="en-AU"/>
              </w:rPr>
              <w:tab/>
              <w:t xml:space="preserve"> (0.9%)</w:t>
            </w:r>
          </w:p>
        </w:tc>
        <w:tc>
          <w:tcPr>
            <w:tcW w:w="1843" w:type="dxa"/>
            <w:tcBorders>
              <w:left w:val="nil"/>
            </w:tcBorders>
            <w:vAlign w:val="bottom"/>
          </w:tcPr>
          <w:p w14:paraId="66CA76CF"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204FB3">
              <w:rPr>
                <w:rFonts w:eastAsia="Times New Roman"/>
                <w:color w:val="auto"/>
                <w:sz w:val="20"/>
                <w:szCs w:val="20"/>
                <w:lang w:val="en-AU" w:eastAsia="en-AU"/>
              </w:rPr>
              <w:tab/>
              <w:t>11</w:t>
            </w:r>
            <w:r w:rsidRPr="00204FB3">
              <w:rPr>
                <w:rFonts w:eastAsia="Times New Roman"/>
                <w:color w:val="auto"/>
                <w:sz w:val="20"/>
                <w:szCs w:val="20"/>
                <w:lang w:val="en-AU" w:eastAsia="en-AU"/>
              </w:rPr>
              <w:tab/>
              <w:t xml:space="preserve"> (2.4%)</w:t>
            </w:r>
          </w:p>
        </w:tc>
      </w:tr>
      <w:tr w:rsidR="001C65EF" w:rsidRPr="00204FB3" w14:paraId="60B5226F" w14:textId="77777777" w:rsidTr="004075F9">
        <w:trPr>
          <w:cantSplit/>
        </w:trPr>
        <w:tc>
          <w:tcPr>
            <w:tcW w:w="3544" w:type="dxa"/>
            <w:vAlign w:val="bottom"/>
          </w:tcPr>
          <w:p w14:paraId="378E5EE3"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1985" w:type="dxa"/>
            <w:tcBorders>
              <w:left w:val="nil"/>
            </w:tcBorders>
            <w:vAlign w:val="bottom"/>
          </w:tcPr>
          <w:p w14:paraId="6BDB0C8C"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2126" w:type="dxa"/>
            <w:tcBorders>
              <w:left w:val="nil"/>
              <w:right w:val="nil"/>
            </w:tcBorders>
          </w:tcPr>
          <w:p w14:paraId="4D7D362B"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1843" w:type="dxa"/>
            <w:tcBorders>
              <w:left w:val="nil"/>
            </w:tcBorders>
            <w:vAlign w:val="bottom"/>
          </w:tcPr>
          <w:p w14:paraId="5793EB42"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r>
      <w:tr w:rsidR="001C65EF" w:rsidRPr="00204FB3" w14:paraId="4334B87A" w14:textId="77777777" w:rsidTr="004075F9">
        <w:trPr>
          <w:cantSplit/>
        </w:trPr>
        <w:tc>
          <w:tcPr>
            <w:tcW w:w="3544" w:type="dxa"/>
            <w:vAlign w:val="bottom"/>
          </w:tcPr>
          <w:p w14:paraId="1FF6E5E7" w14:textId="77777777" w:rsidR="001C65EF" w:rsidRPr="00204FB3" w:rsidRDefault="001C65EF" w:rsidP="00215881">
            <w:pPr>
              <w:keepNext/>
              <w:keepLines/>
              <w:tabs>
                <w:tab w:val="left" w:pos="3024"/>
              </w:tabs>
              <w:autoSpaceDE w:val="0"/>
              <w:autoSpaceDN w:val="0"/>
              <w:adjustRightInd w:val="0"/>
              <w:spacing w:before="30" w:after="30"/>
              <w:ind w:left="120" w:hanging="120"/>
              <w:rPr>
                <w:rFonts w:eastAsia="Times New Roman"/>
                <w:b/>
                <w:color w:val="auto"/>
                <w:sz w:val="20"/>
                <w:szCs w:val="20"/>
                <w:lang w:val="en-AU" w:eastAsia="en-AU"/>
              </w:rPr>
            </w:pPr>
            <w:r w:rsidRPr="00204FB3">
              <w:rPr>
                <w:rFonts w:eastAsia="Times New Roman"/>
                <w:b/>
                <w:color w:val="auto"/>
                <w:sz w:val="20"/>
                <w:szCs w:val="20"/>
                <w:lang w:val="en-AU" w:eastAsia="en-AU"/>
              </w:rPr>
              <w:t>Nervous system disorders</w:t>
            </w:r>
          </w:p>
        </w:tc>
        <w:tc>
          <w:tcPr>
            <w:tcW w:w="1985" w:type="dxa"/>
            <w:tcBorders>
              <w:left w:val="nil"/>
            </w:tcBorders>
            <w:vAlign w:val="bottom"/>
          </w:tcPr>
          <w:p w14:paraId="5DDE7FC5" w14:textId="77777777" w:rsidR="001C65EF" w:rsidRPr="00204FB3" w:rsidRDefault="001C65EF" w:rsidP="00215881">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p>
        </w:tc>
        <w:tc>
          <w:tcPr>
            <w:tcW w:w="2126" w:type="dxa"/>
            <w:tcBorders>
              <w:left w:val="nil"/>
              <w:right w:val="nil"/>
            </w:tcBorders>
          </w:tcPr>
          <w:p w14:paraId="3BD892E4"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1843" w:type="dxa"/>
            <w:tcBorders>
              <w:left w:val="nil"/>
            </w:tcBorders>
            <w:vAlign w:val="bottom"/>
          </w:tcPr>
          <w:p w14:paraId="7E8804FF"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r>
      <w:tr w:rsidR="001C65EF" w:rsidRPr="00204FB3" w14:paraId="770A6A89" w14:textId="77777777" w:rsidTr="004075F9">
        <w:trPr>
          <w:cantSplit/>
        </w:trPr>
        <w:tc>
          <w:tcPr>
            <w:tcW w:w="3544" w:type="dxa"/>
            <w:vAlign w:val="bottom"/>
          </w:tcPr>
          <w:p w14:paraId="5895F450" w14:textId="77777777" w:rsidR="001C65EF" w:rsidRPr="00204FB3" w:rsidRDefault="001C65EF" w:rsidP="00215881">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204FB3">
              <w:rPr>
                <w:rFonts w:eastAsia="Times New Roman"/>
                <w:color w:val="auto"/>
                <w:sz w:val="20"/>
                <w:szCs w:val="20"/>
                <w:lang w:val="en-AU" w:eastAsia="en-AU"/>
              </w:rPr>
              <w:t>Headache</w:t>
            </w:r>
          </w:p>
        </w:tc>
        <w:tc>
          <w:tcPr>
            <w:tcW w:w="1985" w:type="dxa"/>
            <w:tcBorders>
              <w:left w:val="nil"/>
            </w:tcBorders>
            <w:vAlign w:val="bottom"/>
          </w:tcPr>
          <w:p w14:paraId="0BCA92A8" w14:textId="77777777" w:rsidR="001C65EF" w:rsidRPr="00204FB3" w:rsidRDefault="001C65EF" w:rsidP="00215881">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204FB3">
              <w:rPr>
                <w:rFonts w:eastAsia="Times New Roman"/>
                <w:color w:val="auto"/>
                <w:sz w:val="20"/>
                <w:szCs w:val="20"/>
                <w:lang w:val="en-AU" w:eastAsia="en-AU"/>
              </w:rPr>
              <w:tab/>
              <w:t>13</w:t>
            </w:r>
            <w:r w:rsidRPr="00204FB3">
              <w:rPr>
                <w:rFonts w:eastAsia="Times New Roman"/>
                <w:color w:val="auto"/>
                <w:sz w:val="20"/>
                <w:szCs w:val="20"/>
                <w:lang w:val="en-AU" w:eastAsia="en-AU"/>
              </w:rPr>
              <w:tab/>
              <w:t xml:space="preserve"> (5.7%)</w:t>
            </w:r>
          </w:p>
        </w:tc>
        <w:tc>
          <w:tcPr>
            <w:tcW w:w="2126" w:type="dxa"/>
            <w:tcBorders>
              <w:left w:val="nil"/>
              <w:right w:val="nil"/>
            </w:tcBorders>
          </w:tcPr>
          <w:p w14:paraId="7568F897"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204FB3">
              <w:rPr>
                <w:rFonts w:eastAsia="Times New Roman"/>
                <w:color w:val="auto"/>
                <w:sz w:val="20"/>
                <w:szCs w:val="20"/>
                <w:lang w:val="en-AU" w:eastAsia="en-AU"/>
              </w:rPr>
              <w:tab/>
              <w:t>6</w:t>
            </w:r>
            <w:r w:rsidRPr="00204FB3">
              <w:rPr>
                <w:rFonts w:eastAsia="Times New Roman"/>
                <w:color w:val="auto"/>
                <w:sz w:val="20"/>
                <w:szCs w:val="20"/>
                <w:lang w:val="en-AU" w:eastAsia="en-AU"/>
              </w:rPr>
              <w:tab/>
              <w:t xml:space="preserve"> (5.2%)</w:t>
            </w:r>
          </w:p>
        </w:tc>
        <w:tc>
          <w:tcPr>
            <w:tcW w:w="1843" w:type="dxa"/>
            <w:tcBorders>
              <w:left w:val="nil"/>
            </w:tcBorders>
            <w:vAlign w:val="bottom"/>
          </w:tcPr>
          <w:p w14:paraId="5715B696"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204FB3">
              <w:rPr>
                <w:rFonts w:eastAsia="Times New Roman"/>
                <w:color w:val="auto"/>
                <w:sz w:val="20"/>
                <w:szCs w:val="20"/>
                <w:lang w:val="en-AU" w:eastAsia="en-AU"/>
              </w:rPr>
              <w:tab/>
              <w:t>29</w:t>
            </w:r>
            <w:r w:rsidRPr="00204FB3">
              <w:rPr>
                <w:rFonts w:eastAsia="Times New Roman"/>
                <w:color w:val="auto"/>
                <w:sz w:val="20"/>
                <w:szCs w:val="20"/>
                <w:lang w:val="en-AU" w:eastAsia="en-AU"/>
              </w:rPr>
              <w:tab/>
              <w:t xml:space="preserve"> (6.3%)</w:t>
            </w:r>
          </w:p>
        </w:tc>
      </w:tr>
      <w:tr w:rsidR="001C65EF" w:rsidRPr="00204FB3" w14:paraId="25D1ABD5" w14:textId="77777777" w:rsidTr="004075F9">
        <w:trPr>
          <w:cantSplit/>
        </w:trPr>
        <w:tc>
          <w:tcPr>
            <w:tcW w:w="3544" w:type="dxa"/>
            <w:vAlign w:val="bottom"/>
          </w:tcPr>
          <w:p w14:paraId="65A60600" w14:textId="77777777" w:rsidR="001C65EF" w:rsidRPr="00204FB3" w:rsidRDefault="001C65EF" w:rsidP="00215881">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204FB3">
              <w:rPr>
                <w:rFonts w:eastAsia="Times New Roman"/>
                <w:color w:val="auto"/>
                <w:sz w:val="20"/>
                <w:szCs w:val="20"/>
                <w:lang w:val="en-AU" w:eastAsia="en-AU"/>
              </w:rPr>
              <w:t>Dizziness</w:t>
            </w:r>
          </w:p>
        </w:tc>
        <w:tc>
          <w:tcPr>
            <w:tcW w:w="1985" w:type="dxa"/>
            <w:tcBorders>
              <w:left w:val="nil"/>
            </w:tcBorders>
            <w:vAlign w:val="bottom"/>
          </w:tcPr>
          <w:p w14:paraId="2D410E22" w14:textId="77777777" w:rsidR="001C65EF" w:rsidRPr="00204FB3" w:rsidRDefault="001C65EF" w:rsidP="00215881">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204FB3">
              <w:rPr>
                <w:rFonts w:eastAsia="Times New Roman"/>
                <w:color w:val="auto"/>
                <w:sz w:val="20"/>
                <w:szCs w:val="20"/>
                <w:lang w:val="en-AU" w:eastAsia="en-AU"/>
              </w:rPr>
              <w:tab/>
              <w:t>9</w:t>
            </w:r>
            <w:r w:rsidRPr="00204FB3">
              <w:rPr>
                <w:rFonts w:eastAsia="Times New Roman"/>
                <w:color w:val="auto"/>
                <w:sz w:val="20"/>
                <w:szCs w:val="20"/>
                <w:lang w:val="en-AU" w:eastAsia="en-AU"/>
              </w:rPr>
              <w:tab/>
              <w:t xml:space="preserve"> (3.9%)</w:t>
            </w:r>
          </w:p>
        </w:tc>
        <w:tc>
          <w:tcPr>
            <w:tcW w:w="2126" w:type="dxa"/>
            <w:tcBorders>
              <w:left w:val="nil"/>
              <w:right w:val="nil"/>
            </w:tcBorders>
          </w:tcPr>
          <w:p w14:paraId="33C809EA"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204FB3">
              <w:rPr>
                <w:rFonts w:eastAsia="Times New Roman"/>
                <w:color w:val="auto"/>
                <w:sz w:val="20"/>
                <w:szCs w:val="20"/>
                <w:lang w:val="en-AU" w:eastAsia="en-AU"/>
              </w:rPr>
              <w:tab/>
              <w:t>5</w:t>
            </w:r>
            <w:r w:rsidRPr="00204FB3">
              <w:rPr>
                <w:rFonts w:eastAsia="Times New Roman"/>
                <w:color w:val="auto"/>
                <w:sz w:val="20"/>
                <w:szCs w:val="20"/>
                <w:lang w:val="en-AU" w:eastAsia="en-AU"/>
              </w:rPr>
              <w:tab/>
              <w:t xml:space="preserve"> (4.3%)</w:t>
            </w:r>
          </w:p>
        </w:tc>
        <w:tc>
          <w:tcPr>
            <w:tcW w:w="1843" w:type="dxa"/>
            <w:tcBorders>
              <w:left w:val="nil"/>
            </w:tcBorders>
            <w:vAlign w:val="bottom"/>
          </w:tcPr>
          <w:p w14:paraId="1C312E80"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204FB3">
              <w:rPr>
                <w:rFonts w:eastAsia="Times New Roman"/>
                <w:color w:val="auto"/>
                <w:sz w:val="20"/>
                <w:szCs w:val="20"/>
                <w:lang w:val="en-AU" w:eastAsia="en-AU"/>
              </w:rPr>
              <w:tab/>
              <w:t>19</w:t>
            </w:r>
            <w:r w:rsidRPr="00204FB3">
              <w:rPr>
                <w:rFonts w:eastAsia="Times New Roman"/>
                <w:color w:val="auto"/>
                <w:sz w:val="20"/>
                <w:szCs w:val="20"/>
                <w:lang w:val="en-AU" w:eastAsia="en-AU"/>
              </w:rPr>
              <w:tab/>
              <w:t xml:space="preserve"> (4.1%)</w:t>
            </w:r>
          </w:p>
        </w:tc>
      </w:tr>
      <w:tr w:rsidR="001C65EF" w:rsidRPr="00204FB3" w14:paraId="60555570" w14:textId="77777777" w:rsidTr="004075F9">
        <w:trPr>
          <w:cantSplit/>
        </w:trPr>
        <w:tc>
          <w:tcPr>
            <w:tcW w:w="3544" w:type="dxa"/>
            <w:vAlign w:val="bottom"/>
          </w:tcPr>
          <w:p w14:paraId="77B9E138"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1985" w:type="dxa"/>
            <w:tcBorders>
              <w:left w:val="nil"/>
            </w:tcBorders>
            <w:vAlign w:val="bottom"/>
          </w:tcPr>
          <w:p w14:paraId="31020F31"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2126" w:type="dxa"/>
            <w:tcBorders>
              <w:left w:val="nil"/>
              <w:right w:val="nil"/>
            </w:tcBorders>
          </w:tcPr>
          <w:p w14:paraId="370D895E"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1843" w:type="dxa"/>
            <w:tcBorders>
              <w:left w:val="nil"/>
            </w:tcBorders>
            <w:vAlign w:val="bottom"/>
          </w:tcPr>
          <w:p w14:paraId="1D5BA854"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r>
      <w:tr w:rsidR="001C65EF" w:rsidRPr="00204FB3" w14:paraId="59A0240A" w14:textId="77777777" w:rsidTr="004075F9">
        <w:trPr>
          <w:cantSplit/>
        </w:trPr>
        <w:tc>
          <w:tcPr>
            <w:tcW w:w="5529" w:type="dxa"/>
            <w:gridSpan w:val="2"/>
            <w:vAlign w:val="bottom"/>
          </w:tcPr>
          <w:p w14:paraId="44BB88FF" w14:textId="77777777" w:rsidR="001C65EF" w:rsidRPr="00204FB3" w:rsidRDefault="001C65EF" w:rsidP="00215881">
            <w:pPr>
              <w:keepLines/>
              <w:tabs>
                <w:tab w:val="right" w:pos="519"/>
                <w:tab w:val="decimal" w:pos="839"/>
              </w:tabs>
              <w:autoSpaceDE w:val="0"/>
              <w:autoSpaceDN w:val="0"/>
              <w:adjustRightInd w:val="0"/>
              <w:spacing w:before="30" w:after="30"/>
              <w:rPr>
                <w:rFonts w:eastAsia="Times New Roman"/>
                <w:b/>
                <w:color w:val="auto"/>
                <w:sz w:val="20"/>
                <w:szCs w:val="20"/>
                <w:lang w:val="en-AU" w:eastAsia="en-AU"/>
              </w:rPr>
            </w:pPr>
            <w:r w:rsidRPr="00204FB3">
              <w:rPr>
                <w:rFonts w:eastAsia="Times New Roman"/>
                <w:b/>
                <w:color w:val="auto"/>
                <w:sz w:val="20"/>
                <w:szCs w:val="20"/>
                <w:lang w:val="en-AU" w:eastAsia="en-AU"/>
              </w:rPr>
              <w:t>Respiratory, thoracic and mediastinal disorders</w:t>
            </w:r>
          </w:p>
        </w:tc>
        <w:tc>
          <w:tcPr>
            <w:tcW w:w="2126" w:type="dxa"/>
            <w:tcBorders>
              <w:left w:val="nil"/>
              <w:right w:val="nil"/>
            </w:tcBorders>
          </w:tcPr>
          <w:p w14:paraId="69837A46"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1843" w:type="dxa"/>
            <w:tcBorders>
              <w:left w:val="nil"/>
            </w:tcBorders>
            <w:vAlign w:val="bottom"/>
          </w:tcPr>
          <w:p w14:paraId="73F6AEE3"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r>
      <w:tr w:rsidR="001C65EF" w:rsidRPr="00204FB3" w14:paraId="6AFFC2EF" w14:textId="77777777" w:rsidTr="004075F9">
        <w:trPr>
          <w:cantSplit/>
        </w:trPr>
        <w:tc>
          <w:tcPr>
            <w:tcW w:w="3544" w:type="dxa"/>
            <w:vAlign w:val="bottom"/>
          </w:tcPr>
          <w:p w14:paraId="6F936AEC" w14:textId="77777777" w:rsidR="001C65EF" w:rsidRPr="00204FB3" w:rsidRDefault="001C65EF" w:rsidP="00215881">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204FB3">
              <w:rPr>
                <w:rFonts w:eastAsia="Times New Roman"/>
                <w:color w:val="auto"/>
                <w:sz w:val="20"/>
                <w:szCs w:val="20"/>
                <w:lang w:val="en-AU" w:eastAsia="en-AU"/>
              </w:rPr>
              <w:t>Nasal congestion</w:t>
            </w:r>
          </w:p>
        </w:tc>
        <w:tc>
          <w:tcPr>
            <w:tcW w:w="1985" w:type="dxa"/>
            <w:tcBorders>
              <w:left w:val="nil"/>
            </w:tcBorders>
            <w:vAlign w:val="bottom"/>
          </w:tcPr>
          <w:p w14:paraId="0579D108" w14:textId="77777777" w:rsidR="001C65EF" w:rsidRPr="00204FB3" w:rsidRDefault="001C65EF" w:rsidP="00215881">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204FB3">
              <w:rPr>
                <w:rFonts w:eastAsia="Times New Roman"/>
                <w:color w:val="auto"/>
                <w:sz w:val="20"/>
                <w:szCs w:val="20"/>
                <w:lang w:val="en-AU" w:eastAsia="en-AU"/>
              </w:rPr>
              <w:tab/>
              <w:t>5</w:t>
            </w:r>
            <w:r w:rsidRPr="00204FB3">
              <w:rPr>
                <w:rFonts w:eastAsia="Times New Roman"/>
                <w:color w:val="auto"/>
                <w:sz w:val="20"/>
                <w:szCs w:val="20"/>
                <w:lang w:val="en-AU" w:eastAsia="en-AU"/>
              </w:rPr>
              <w:tab/>
              <w:t xml:space="preserve"> (2.2%)</w:t>
            </w:r>
          </w:p>
        </w:tc>
        <w:tc>
          <w:tcPr>
            <w:tcW w:w="2126" w:type="dxa"/>
            <w:tcBorders>
              <w:left w:val="nil"/>
              <w:right w:val="nil"/>
            </w:tcBorders>
          </w:tcPr>
          <w:p w14:paraId="2D54C599"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204FB3">
              <w:rPr>
                <w:rFonts w:eastAsia="Times New Roman"/>
                <w:color w:val="auto"/>
                <w:sz w:val="20"/>
                <w:szCs w:val="20"/>
                <w:lang w:val="en-AU" w:eastAsia="en-AU"/>
              </w:rPr>
              <w:tab/>
              <w:t>4</w:t>
            </w:r>
            <w:r w:rsidRPr="00204FB3">
              <w:rPr>
                <w:rFonts w:eastAsia="Times New Roman"/>
                <w:color w:val="auto"/>
                <w:sz w:val="20"/>
                <w:szCs w:val="20"/>
                <w:lang w:val="en-AU" w:eastAsia="en-AU"/>
              </w:rPr>
              <w:tab/>
              <w:t xml:space="preserve"> (3.5%)</w:t>
            </w:r>
          </w:p>
        </w:tc>
        <w:tc>
          <w:tcPr>
            <w:tcW w:w="1843" w:type="dxa"/>
            <w:tcBorders>
              <w:left w:val="nil"/>
            </w:tcBorders>
            <w:vAlign w:val="bottom"/>
          </w:tcPr>
          <w:p w14:paraId="282D4012"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204FB3">
              <w:rPr>
                <w:rFonts w:eastAsia="Times New Roman"/>
                <w:color w:val="auto"/>
                <w:sz w:val="20"/>
                <w:szCs w:val="20"/>
                <w:lang w:val="en-AU" w:eastAsia="en-AU"/>
              </w:rPr>
              <w:tab/>
              <w:t>11</w:t>
            </w:r>
            <w:r w:rsidRPr="00204FB3">
              <w:rPr>
                <w:rFonts w:eastAsia="Times New Roman"/>
                <w:color w:val="auto"/>
                <w:sz w:val="20"/>
                <w:szCs w:val="20"/>
                <w:lang w:val="en-AU" w:eastAsia="en-AU"/>
              </w:rPr>
              <w:tab/>
              <w:t xml:space="preserve"> (2.4%)</w:t>
            </w:r>
          </w:p>
        </w:tc>
      </w:tr>
      <w:tr w:rsidR="001C65EF" w:rsidRPr="00204FB3" w14:paraId="1D22E27D" w14:textId="77777777" w:rsidTr="004075F9">
        <w:trPr>
          <w:cantSplit/>
        </w:trPr>
        <w:tc>
          <w:tcPr>
            <w:tcW w:w="3544" w:type="dxa"/>
            <w:vAlign w:val="bottom"/>
          </w:tcPr>
          <w:p w14:paraId="70E64734" w14:textId="77777777" w:rsidR="001C65EF" w:rsidRPr="00204FB3" w:rsidRDefault="001C65EF" w:rsidP="00215881">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p>
        </w:tc>
        <w:tc>
          <w:tcPr>
            <w:tcW w:w="1985" w:type="dxa"/>
            <w:tcBorders>
              <w:left w:val="nil"/>
            </w:tcBorders>
            <w:vAlign w:val="bottom"/>
          </w:tcPr>
          <w:p w14:paraId="4D4683CF" w14:textId="77777777" w:rsidR="001C65EF" w:rsidRPr="00204FB3" w:rsidRDefault="001C65EF" w:rsidP="00215881">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p>
        </w:tc>
        <w:tc>
          <w:tcPr>
            <w:tcW w:w="2126" w:type="dxa"/>
            <w:tcBorders>
              <w:left w:val="nil"/>
              <w:right w:val="nil"/>
            </w:tcBorders>
          </w:tcPr>
          <w:p w14:paraId="253B8806"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1843" w:type="dxa"/>
            <w:tcBorders>
              <w:left w:val="nil"/>
            </w:tcBorders>
            <w:vAlign w:val="bottom"/>
          </w:tcPr>
          <w:p w14:paraId="77DE1043"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r>
      <w:tr w:rsidR="001C65EF" w:rsidRPr="00204FB3" w14:paraId="507C247E" w14:textId="77777777" w:rsidTr="004075F9">
        <w:trPr>
          <w:cantSplit/>
        </w:trPr>
        <w:tc>
          <w:tcPr>
            <w:tcW w:w="5529" w:type="dxa"/>
            <w:gridSpan w:val="2"/>
            <w:vAlign w:val="bottom"/>
          </w:tcPr>
          <w:p w14:paraId="5E578A88" w14:textId="77777777" w:rsidR="001C65EF" w:rsidRPr="00204FB3" w:rsidRDefault="001C65EF" w:rsidP="00215881">
            <w:pPr>
              <w:keepLines/>
              <w:tabs>
                <w:tab w:val="right" w:pos="519"/>
                <w:tab w:val="decimal" w:pos="839"/>
              </w:tabs>
              <w:autoSpaceDE w:val="0"/>
              <w:autoSpaceDN w:val="0"/>
              <w:adjustRightInd w:val="0"/>
              <w:spacing w:before="30" w:after="30"/>
              <w:rPr>
                <w:rFonts w:eastAsia="Times New Roman"/>
                <w:b/>
                <w:color w:val="auto"/>
                <w:sz w:val="20"/>
                <w:szCs w:val="20"/>
                <w:lang w:val="en-AU" w:eastAsia="en-AU"/>
              </w:rPr>
            </w:pPr>
            <w:r w:rsidRPr="00204FB3">
              <w:rPr>
                <w:rFonts w:eastAsia="Times New Roman"/>
                <w:b/>
                <w:color w:val="auto"/>
                <w:sz w:val="20"/>
                <w:szCs w:val="20"/>
                <w:lang w:val="en-AU" w:eastAsia="en-AU"/>
              </w:rPr>
              <w:t>Musculoskeletal and connective tissue disorders</w:t>
            </w:r>
          </w:p>
        </w:tc>
        <w:tc>
          <w:tcPr>
            <w:tcW w:w="2126" w:type="dxa"/>
            <w:tcBorders>
              <w:left w:val="nil"/>
              <w:right w:val="nil"/>
            </w:tcBorders>
          </w:tcPr>
          <w:p w14:paraId="5F6A7B4A"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b/>
                <w:color w:val="auto"/>
                <w:sz w:val="20"/>
                <w:szCs w:val="20"/>
                <w:lang w:val="en-AU" w:eastAsia="en-AU"/>
              </w:rPr>
            </w:pPr>
          </w:p>
        </w:tc>
        <w:tc>
          <w:tcPr>
            <w:tcW w:w="1843" w:type="dxa"/>
            <w:tcBorders>
              <w:left w:val="nil"/>
            </w:tcBorders>
            <w:vAlign w:val="bottom"/>
          </w:tcPr>
          <w:p w14:paraId="1308B7B4"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b/>
                <w:color w:val="auto"/>
                <w:sz w:val="20"/>
                <w:szCs w:val="20"/>
                <w:lang w:val="en-AU" w:eastAsia="en-AU"/>
              </w:rPr>
            </w:pPr>
          </w:p>
        </w:tc>
      </w:tr>
      <w:tr w:rsidR="001C65EF" w:rsidRPr="00204FB3" w14:paraId="4A7E22BD" w14:textId="77777777" w:rsidTr="004075F9">
        <w:trPr>
          <w:cantSplit/>
        </w:trPr>
        <w:tc>
          <w:tcPr>
            <w:tcW w:w="3544" w:type="dxa"/>
            <w:vAlign w:val="bottom"/>
          </w:tcPr>
          <w:p w14:paraId="4590E724" w14:textId="77777777" w:rsidR="001C65EF" w:rsidRPr="00204FB3" w:rsidRDefault="001C65EF" w:rsidP="00215881">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204FB3">
              <w:rPr>
                <w:rFonts w:eastAsia="Times New Roman"/>
                <w:color w:val="auto"/>
                <w:sz w:val="20"/>
                <w:szCs w:val="20"/>
                <w:lang w:val="en-AU" w:eastAsia="en-AU"/>
              </w:rPr>
              <w:t>Back pain</w:t>
            </w:r>
          </w:p>
        </w:tc>
        <w:tc>
          <w:tcPr>
            <w:tcW w:w="1985" w:type="dxa"/>
            <w:tcBorders>
              <w:left w:val="nil"/>
            </w:tcBorders>
            <w:vAlign w:val="bottom"/>
          </w:tcPr>
          <w:p w14:paraId="63002319" w14:textId="77777777" w:rsidR="001C65EF" w:rsidRPr="00204FB3" w:rsidRDefault="001C65EF" w:rsidP="00215881">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204FB3">
              <w:rPr>
                <w:rFonts w:eastAsia="Times New Roman"/>
                <w:color w:val="auto"/>
                <w:sz w:val="20"/>
                <w:szCs w:val="20"/>
                <w:lang w:val="en-AU" w:eastAsia="en-AU"/>
              </w:rPr>
              <w:tab/>
              <w:t>14</w:t>
            </w:r>
            <w:r w:rsidRPr="00204FB3">
              <w:rPr>
                <w:rFonts w:eastAsia="Times New Roman"/>
                <w:color w:val="auto"/>
                <w:sz w:val="20"/>
                <w:szCs w:val="20"/>
                <w:lang w:val="en-AU" w:eastAsia="en-AU"/>
              </w:rPr>
              <w:tab/>
              <w:t xml:space="preserve"> (6.1%)</w:t>
            </w:r>
          </w:p>
        </w:tc>
        <w:tc>
          <w:tcPr>
            <w:tcW w:w="2126" w:type="dxa"/>
            <w:tcBorders>
              <w:left w:val="nil"/>
              <w:right w:val="nil"/>
            </w:tcBorders>
          </w:tcPr>
          <w:p w14:paraId="174F59D0"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204FB3">
              <w:rPr>
                <w:rFonts w:eastAsia="Times New Roman"/>
                <w:color w:val="auto"/>
                <w:sz w:val="20"/>
                <w:szCs w:val="20"/>
                <w:lang w:val="en-AU" w:eastAsia="en-AU"/>
              </w:rPr>
              <w:tab/>
              <w:t>4</w:t>
            </w:r>
            <w:r w:rsidRPr="00204FB3">
              <w:rPr>
                <w:rFonts w:eastAsia="Times New Roman"/>
                <w:color w:val="auto"/>
                <w:sz w:val="20"/>
                <w:szCs w:val="20"/>
                <w:lang w:val="en-AU" w:eastAsia="en-AU"/>
              </w:rPr>
              <w:tab/>
              <w:t xml:space="preserve"> (3.5%)</w:t>
            </w:r>
          </w:p>
        </w:tc>
        <w:tc>
          <w:tcPr>
            <w:tcW w:w="1843" w:type="dxa"/>
            <w:tcBorders>
              <w:left w:val="nil"/>
            </w:tcBorders>
            <w:vAlign w:val="bottom"/>
          </w:tcPr>
          <w:p w14:paraId="5A355155"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204FB3">
              <w:rPr>
                <w:rFonts w:eastAsia="Times New Roman"/>
                <w:color w:val="auto"/>
                <w:sz w:val="20"/>
                <w:szCs w:val="20"/>
                <w:lang w:val="en-AU" w:eastAsia="en-AU"/>
              </w:rPr>
              <w:tab/>
              <w:t>29</w:t>
            </w:r>
            <w:r w:rsidRPr="00204FB3">
              <w:rPr>
                <w:rFonts w:eastAsia="Times New Roman"/>
                <w:color w:val="auto"/>
                <w:sz w:val="20"/>
                <w:szCs w:val="20"/>
                <w:lang w:val="en-AU" w:eastAsia="en-AU"/>
              </w:rPr>
              <w:tab/>
              <w:t xml:space="preserve"> (6.3%)</w:t>
            </w:r>
          </w:p>
        </w:tc>
      </w:tr>
      <w:tr w:rsidR="001C65EF" w:rsidRPr="00204FB3" w14:paraId="3330B99E" w14:textId="77777777" w:rsidTr="004075F9">
        <w:trPr>
          <w:cantSplit/>
        </w:trPr>
        <w:tc>
          <w:tcPr>
            <w:tcW w:w="3544" w:type="dxa"/>
            <w:vAlign w:val="bottom"/>
          </w:tcPr>
          <w:p w14:paraId="640785F9" w14:textId="77777777" w:rsidR="001C65EF" w:rsidRPr="00204FB3" w:rsidRDefault="001C65EF" w:rsidP="00215881">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204FB3">
              <w:rPr>
                <w:rFonts w:eastAsia="Times New Roman"/>
                <w:color w:val="auto"/>
                <w:sz w:val="20"/>
                <w:szCs w:val="20"/>
                <w:lang w:val="en-AU" w:eastAsia="en-AU"/>
              </w:rPr>
              <w:t>Pain in extremity</w:t>
            </w:r>
          </w:p>
        </w:tc>
        <w:tc>
          <w:tcPr>
            <w:tcW w:w="1985" w:type="dxa"/>
            <w:tcBorders>
              <w:left w:val="nil"/>
            </w:tcBorders>
            <w:vAlign w:val="bottom"/>
          </w:tcPr>
          <w:p w14:paraId="0FAB8F15" w14:textId="77777777" w:rsidR="001C65EF" w:rsidRPr="00204FB3" w:rsidRDefault="001C65EF" w:rsidP="00215881">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204FB3">
              <w:rPr>
                <w:rFonts w:eastAsia="Times New Roman"/>
                <w:color w:val="auto"/>
                <w:sz w:val="20"/>
                <w:szCs w:val="20"/>
                <w:lang w:val="en-AU" w:eastAsia="en-AU"/>
              </w:rPr>
              <w:tab/>
              <w:t>2</w:t>
            </w:r>
            <w:r w:rsidRPr="00204FB3">
              <w:rPr>
                <w:rFonts w:eastAsia="Times New Roman"/>
                <w:color w:val="auto"/>
                <w:sz w:val="20"/>
                <w:szCs w:val="20"/>
                <w:lang w:val="en-AU" w:eastAsia="en-AU"/>
              </w:rPr>
              <w:tab/>
              <w:t xml:space="preserve"> (0.9%)</w:t>
            </w:r>
          </w:p>
        </w:tc>
        <w:tc>
          <w:tcPr>
            <w:tcW w:w="2126" w:type="dxa"/>
            <w:tcBorders>
              <w:left w:val="nil"/>
              <w:right w:val="nil"/>
            </w:tcBorders>
          </w:tcPr>
          <w:p w14:paraId="439CC224"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204FB3">
              <w:rPr>
                <w:rFonts w:eastAsia="Times New Roman"/>
                <w:color w:val="auto"/>
                <w:sz w:val="20"/>
                <w:szCs w:val="20"/>
                <w:lang w:val="en-AU" w:eastAsia="en-AU"/>
              </w:rPr>
              <w:tab/>
              <w:t>4</w:t>
            </w:r>
            <w:r w:rsidRPr="00204FB3">
              <w:rPr>
                <w:rFonts w:eastAsia="Times New Roman"/>
                <w:color w:val="auto"/>
                <w:sz w:val="20"/>
                <w:szCs w:val="20"/>
                <w:lang w:val="en-AU" w:eastAsia="en-AU"/>
              </w:rPr>
              <w:tab/>
              <w:t xml:space="preserve"> (3.5%)</w:t>
            </w:r>
          </w:p>
        </w:tc>
        <w:tc>
          <w:tcPr>
            <w:tcW w:w="1843" w:type="dxa"/>
            <w:tcBorders>
              <w:left w:val="nil"/>
            </w:tcBorders>
            <w:vAlign w:val="bottom"/>
          </w:tcPr>
          <w:p w14:paraId="6FD0AAAE"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204FB3">
              <w:rPr>
                <w:rFonts w:eastAsia="Times New Roman"/>
                <w:color w:val="auto"/>
                <w:sz w:val="20"/>
                <w:szCs w:val="20"/>
                <w:lang w:val="en-AU" w:eastAsia="en-AU"/>
              </w:rPr>
              <w:tab/>
              <w:t>21</w:t>
            </w:r>
            <w:r w:rsidRPr="00204FB3">
              <w:rPr>
                <w:rFonts w:eastAsia="Times New Roman"/>
                <w:color w:val="auto"/>
                <w:sz w:val="20"/>
                <w:szCs w:val="20"/>
                <w:lang w:val="en-AU" w:eastAsia="en-AU"/>
              </w:rPr>
              <w:tab/>
              <w:t xml:space="preserve"> (4.6%)</w:t>
            </w:r>
          </w:p>
        </w:tc>
      </w:tr>
      <w:tr w:rsidR="001C65EF" w:rsidRPr="00204FB3" w14:paraId="06B13DA2" w14:textId="77777777" w:rsidTr="004075F9">
        <w:trPr>
          <w:cantSplit/>
        </w:trPr>
        <w:tc>
          <w:tcPr>
            <w:tcW w:w="3544" w:type="dxa"/>
            <w:vAlign w:val="bottom"/>
          </w:tcPr>
          <w:p w14:paraId="6F4DA528" w14:textId="77777777" w:rsidR="001C65EF" w:rsidRPr="00204FB3" w:rsidRDefault="001C65EF" w:rsidP="00215881">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204FB3">
              <w:rPr>
                <w:rFonts w:eastAsia="Times New Roman"/>
                <w:color w:val="auto"/>
                <w:sz w:val="20"/>
                <w:szCs w:val="20"/>
                <w:lang w:val="en-AU" w:eastAsia="en-AU"/>
              </w:rPr>
              <w:t>Osteoarthritis</w:t>
            </w:r>
          </w:p>
        </w:tc>
        <w:tc>
          <w:tcPr>
            <w:tcW w:w="1985" w:type="dxa"/>
            <w:tcBorders>
              <w:left w:val="nil"/>
            </w:tcBorders>
            <w:vAlign w:val="bottom"/>
          </w:tcPr>
          <w:p w14:paraId="10C5E9AB" w14:textId="77777777" w:rsidR="001C65EF" w:rsidRPr="00204FB3" w:rsidRDefault="001C65EF" w:rsidP="00215881">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204FB3">
              <w:rPr>
                <w:rFonts w:eastAsia="Times New Roman"/>
                <w:color w:val="auto"/>
                <w:sz w:val="20"/>
                <w:szCs w:val="20"/>
                <w:lang w:val="en-AU" w:eastAsia="en-AU"/>
              </w:rPr>
              <w:tab/>
              <w:t>6</w:t>
            </w:r>
            <w:r w:rsidRPr="00204FB3">
              <w:rPr>
                <w:rFonts w:eastAsia="Times New Roman"/>
                <w:color w:val="auto"/>
                <w:sz w:val="20"/>
                <w:szCs w:val="20"/>
                <w:lang w:val="en-AU" w:eastAsia="en-AU"/>
              </w:rPr>
              <w:tab/>
              <w:t xml:space="preserve"> (2.6%)</w:t>
            </w:r>
          </w:p>
        </w:tc>
        <w:tc>
          <w:tcPr>
            <w:tcW w:w="2126" w:type="dxa"/>
            <w:tcBorders>
              <w:left w:val="nil"/>
              <w:right w:val="nil"/>
            </w:tcBorders>
          </w:tcPr>
          <w:p w14:paraId="13A1FB99"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204FB3">
              <w:rPr>
                <w:rFonts w:eastAsia="Times New Roman"/>
                <w:color w:val="auto"/>
                <w:sz w:val="20"/>
                <w:szCs w:val="20"/>
                <w:lang w:val="en-AU" w:eastAsia="en-AU"/>
              </w:rPr>
              <w:tab/>
              <w:t>3</w:t>
            </w:r>
            <w:r w:rsidRPr="00204FB3">
              <w:rPr>
                <w:rFonts w:eastAsia="Times New Roman"/>
                <w:color w:val="auto"/>
                <w:sz w:val="20"/>
                <w:szCs w:val="20"/>
                <w:lang w:val="en-AU" w:eastAsia="en-AU"/>
              </w:rPr>
              <w:tab/>
              <w:t xml:space="preserve"> (2.6%)</w:t>
            </w:r>
          </w:p>
        </w:tc>
        <w:tc>
          <w:tcPr>
            <w:tcW w:w="1843" w:type="dxa"/>
            <w:tcBorders>
              <w:left w:val="nil"/>
            </w:tcBorders>
            <w:vAlign w:val="bottom"/>
          </w:tcPr>
          <w:p w14:paraId="483DD215"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204FB3">
              <w:rPr>
                <w:rFonts w:eastAsia="Times New Roman"/>
                <w:color w:val="auto"/>
                <w:sz w:val="20"/>
                <w:szCs w:val="20"/>
                <w:lang w:val="en-AU" w:eastAsia="en-AU"/>
              </w:rPr>
              <w:tab/>
              <w:t>20</w:t>
            </w:r>
            <w:r w:rsidRPr="00204FB3">
              <w:rPr>
                <w:rFonts w:eastAsia="Times New Roman"/>
                <w:color w:val="auto"/>
                <w:sz w:val="20"/>
                <w:szCs w:val="20"/>
                <w:lang w:val="en-AU" w:eastAsia="en-AU"/>
              </w:rPr>
              <w:tab/>
              <w:t xml:space="preserve"> (4.4%)</w:t>
            </w:r>
          </w:p>
        </w:tc>
      </w:tr>
      <w:tr w:rsidR="001C65EF" w:rsidRPr="00204FB3" w14:paraId="79E3CDE1" w14:textId="77777777" w:rsidTr="004075F9">
        <w:trPr>
          <w:cantSplit/>
        </w:trPr>
        <w:tc>
          <w:tcPr>
            <w:tcW w:w="3544" w:type="dxa"/>
            <w:vAlign w:val="bottom"/>
          </w:tcPr>
          <w:p w14:paraId="589626B3" w14:textId="77777777" w:rsidR="001C65EF" w:rsidRPr="00204FB3" w:rsidRDefault="001C65EF" w:rsidP="00215881">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204FB3">
              <w:rPr>
                <w:rFonts w:eastAsia="Times New Roman"/>
                <w:color w:val="auto"/>
                <w:sz w:val="20"/>
                <w:szCs w:val="20"/>
                <w:lang w:val="en-AU" w:eastAsia="en-AU"/>
              </w:rPr>
              <w:t>Myalgia</w:t>
            </w:r>
          </w:p>
        </w:tc>
        <w:tc>
          <w:tcPr>
            <w:tcW w:w="1985" w:type="dxa"/>
            <w:tcBorders>
              <w:left w:val="nil"/>
            </w:tcBorders>
            <w:vAlign w:val="bottom"/>
          </w:tcPr>
          <w:p w14:paraId="1357795F" w14:textId="77777777" w:rsidR="001C65EF" w:rsidRPr="00204FB3" w:rsidRDefault="001C65EF" w:rsidP="00215881">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204FB3">
              <w:rPr>
                <w:rFonts w:eastAsia="Times New Roman"/>
                <w:color w:val="auto"/>
                <w:sz w:val="20"/>
                <w:szCs w:val="20"/>
                <w:lang w:val="en-AU" w:eastAsia="en-AU"/>
              </w:rPr>
              <w:tab/>
              <w:t>8</w:t>
            </w:r>
            <w:r w:rsidRPr="00204FB3">
              <w:rPr>
                <w:rFonts w:eastAsia="Times New Roman"/>
                <w:color w:val="auto"/>
                <w:sz w:val="20"/>
                <w:szCs w:val="20"/>
                <w:lang w:val="en-AU" w:eastAsia="en-AU"/>
              </w:rPr>
              <w:tab/>
              <w:t xml:space="preserve"> (3.5%)</w:t>
            </w:r>
          </w:p>
        </w:tc>
        <w:tc>
          <w:tcPr>
            <w:tcW w:w="2126" w:type="dxa"/>
            <w:tcBorders>
              <w:left w:val="nil"/>
              <w:right w:val="nil"/>
            </w:tcBorders>
          </w:tcPr>
          <w:p w14:paraId="1DD7EAE9"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204FB3">
              <w:rPr>
                <w:rFonts w:eastAsia="Times New Roman"/>
                <w:color w:val="auto"/>
                <w:sz w:val="20"/>
                <w:szCs w:val="20"/>
                <w:lang w:val="en-AU" w:eastAsia="en-AU"/>
              </w:rPr>
              <w:tab/>
              <w:t>2</w:t>
            </w:r>
            <w:r w:rsidRPr="00204FB3">
              <w:rPr>
                <w:rFonts w:eastAsia="Times New Roman"/>
                <w:color w:val="auto"/>
                <w:sz w:val="20"/>
                <w:szCs w:val="20"/>
                <w:lang w:val="en-AU" w:eastAsia="en-AU"/>
              </w:rPr>
              <w:tab/>
              <w:t xml:space="preserve"> (1.7%)</w:t>
            </w:r>
          </w:p>
        </w:tc>
        <w:tc>
          <w:tcPr>
            <w:tcW w:w="1843" w:type="dxa"/>
            <w:tcBorders>
              <w:left w:val="nil"/>
            </w:tcBorders>
            <w:vAlign w:val="bottom"/>
          </w:tcPr>
          <w:p w14:paraId="7F5BA55D"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204FB3">
              <w:rPr>
                <w:rFonts w:eastAsia="Times New Roman"/>
                <w:color w:val="auto"/>
                <w:sz w:val="20"/>
                <w:szCs w:val="20"/>
                <w:lang w:val="en-AU" w:eastAsia="en-AU"/>
              </w:rPr>
              <w:tab/>
              <w:t>17</w:t>
            </w:r>
            <w:r w:rsidRPr="00204FB3">
              <w:rPr>
                <w:rFonts w:eastAsia="Times New Roman"/>
                <w:color w:val="auto"/>
                <w:sz w:val="20"/>
                <w:szCs w:val="20"/>
                <w:lang w:val="en-AU" w:eastAsia="en-AU"/>
              </w:rPr>
              <w:tab/>
              <w:t xml:space="preserve"> (3.7%)</w:t>
            </w:r>
          </w:p>
        </w:tc>
      </w:tr>
      <w:tr w:rsidR="001C65EF" w:rsidRPr="00204FB3" w14:paraId="1CF2B64A" w14:textId="77777777" w:rsidTr="004075F9">
        <w:trPr>
          <w:cantSplit/>
        </w:trPr>
        <w:tc>
          <w:tcPr>
            <w:tcW w:w="3544" w:type="dxa"/>
            <w:vAlign w:val="bottom"/>
          </w:tcPr>
          <w:p w14:paraId="335E1C90" w14:textId="77777777" w:rsidR="001C65EF" w:rsidRPr="00204FB3" w:rsidRDefault="001C65EF" w:rsidP="00215881">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204FB3">
              <w:rPr>
                <w:rFonts w:eastAsia="Times New Roman"/>
                <w:color w:val="auto"/>
                <w:sz w:val="20"/>
                <w:szCs w:val="20"/>
                <w:lang w:val="en-AU" w:eastAsia="en-AU"/>
              </w:rPr>
              <w:t>Musculoskeletal pain</w:t>
            </w:r>
          </w:p>
        </w:tc>
        <w:tc>
          <w:tcPr>
            <w:tcW w:w="1985" w:type="dxa"/>
            <w:tcBorders>
              <w:left w:val="nil"/>
            </w:tcBorders>
            <w:vAlign w:val="bottom"/>
          </w:tcPr>
          <w:p w14:paraId="3C7A827A" w14:textId="77777777" w:rsidR="001C65EF" w:rsidRPr="00204FB3" w:rsidRDefault="001C65EF" w:rsidP="00215881">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204FB3">
              <w:rPr>
                <w:rFonts w:eastAsia="Times New Roman"/>
                <w:color w:val="auto"/>
                <w:sz w:val="20"/>
                <w:szCs w:val="20"/>
                <w:lang w:val="en-AU" w:eastAsia="en-AU"/>
              </w:rPr>
              <w:tab/>
              <w:t>5</w:t>
            </w:r>
            <w:r w:rsidRPr="00204FB3">
              <w:rPr>
                <w:rFonts w:eastAsia="Times New Roman"/>
                <w:color w:val="auto"/>
                <w:sz w:val="20"/>
                <w:szCs w:val="20"/>
                <w:lang w:val="en-AU" w:eastAsia="en-AU"/>
              </w:rPr>
              <w:tab/>
              <w:t xml:space="preserve"> (2.2%)</w:t>
            </w:r>
          </w:p>
        </w:tc>
        <w:tc>
          <w:tcPr>
            <w:tcW w:w="2126" w:type="dxa"/>
            <w:tcBorders>
              <w:left w:val="nil"/>
              <w:right w:val="nil"/>
            </w:tcBorders>
          </w:tcPr>
          <w:p w14:paraId="42EC44B5"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204FB3">
              <w:rPr>
                <w:rFonts w:eastAsia="Times New Roman"/>
                <w:color w:val="auto"/>
                <w:sz w:val="20"/>
                <w:szCs w:val="20"/>
                <w:lang w:val="en-AU" w:eastAsia="en-AU"/>
              </w:rPr>
              <w:tab/>
              <w:t>4</w:t>
            </w:r>
            <w:r w:rsidRPr="00204FB3">
              <w:rPr>
                <w:rFonts w:eastAsia="Times New Roman"/>
                <w:color w:val="auto"/>
                <w:sz w:val="20"/>
                <w:szCs w:val="20"/>
                <w:lang w:val="en-AU" w:eastAsia="en-AU"/>
              </w:rPr>
              <w:tab/>
              <w:t xml:space="preserve"> (3.5%)</w:t>
            </w:r>
          </w:p>
        </w:tc>
        <w:tc>
          <w:tcPr>
            <w:tcW w:w="1843" w:type="dxa"/>
            <w:tcBorders>
              <w:left w:val="nil"/>
            </w:tcBorders>
            <w:vAlign w:val="bottom"/>
          </w:tcPr>
          <w:p w14:paraId="7D14AB0B"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204FB3">
              <w:rPr>
                <w:rFonts w:eastAsia="Times New Roman"/>
                <w:color w:val="auto"/>
                <w:sz w:val="20"/>
                <w:szCs w:val="20"/>
                <w:lang w:val="en-AU" w:eastAsia="en-AU"/>
              </w:rPr>
              <w:tab/>
              <w:t>16</w:t>
            </w:r>
            <w:r w:rsidRPr="00204FB3">
              <w:rPr>
                <w:rFonts w:eastAsia="Times New Roman"/>
                <w:color w:val="auto"/>
                <w:sz w:val="20"/>
                <w:szCs w:val="20"/>
                <w:lang w:val="en-AU" w:eastAsia="en-AU"/>
              </w:rPr>
              <w:tab/>
              <w:t xml:space="preserve"> (3.5%)</w:t>
            </w:r>
          </w:p>
        </w:tc>
      </w:tr>
      <w:tr w:rsidR="001C65EF" w:rsidRPr="00204FB3" w14:paraId="2719F6D7" w14:textId="77777777" w:rsidTr="004075F9">
        <w:trPr>
          <w:cantSplit/>
        </w:trPr>
        <w:tc>
          <w:tcPr>
            <w:tcW w:w="3544" w:type="dxa"/>
            <w:vAlign w:val="bottom"/>
          </w:tcPr>
          <w:p w14:paraId="264800F0"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1985" w:type="dxa"/>
            <w:tcBorders>
              <w:left w:val="nil"/>
            </w:tcBorders>
            <w:vAlign w:val="bottom"/>
          </w:tcPr>
          <w:p w14:paraId="3358B8AD"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2126" w:type="dxa"/>
            <w:tcBorders>
              <w:left w:val="nil"/>
              <w:right w:val="nil"/>
            </w:tcBorders>
          </w:tcPr>
          <w:p w14:paraId="6DB1953E"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1843" w:type="dxa"/>
            <w:tcBorders>
              <w:left w:val="nil"/>
            </w:tcBorders>
            <w:vAlign w:val="bottom"/>
          </w:tcPr>
          <w:p w14:paraId="50B767E7"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r>
      <w:tr w:rsidR="001C65EF" w:rsidRPr="00204FB3" w14:paraId="5053F3F9" w14:textId="77777777" w:rsidTr="004075F9">
        <w:trPr>
          <w:cantSplit/>
        </w:trPr>
        <w:tc>
          <w:tcPr>
            <w:tcW w:w="5529" w:type="dxa"/>
            <w:gridSpan w:val="2"/>
            <w:vAlign w:val="bottom"/>
          </w:tcPr>
          <w:p w14:paraId="2A1F5B7E" w14:textId="77777777" w:rsidR="001C65EF" w:rsidRPr="00204FB3" w:rsidRDefault="001C65EF" w:rsidP="00215881">
            <w:pPr>
              <w:keepLines/>
              <w:tabs>
                <w:tab w:val="right" w:pos="519"/>
                <w:tab w:val="decimal" w:pos="839"/>
              </w:tabs>
              <w:autoSpaceDE w:val="0"/>
              <w:autoSpaceDN w:val="0"/>
              <w:adjustRightInd w:val="0"/>
              <w:spacing w:before="30" w:after="30"/>
              <w:rPr>
                <w:rFonts w:eastAsia="Times New Roman"/>
                <w:b/>
                <w:color w:val="auto"/>
                <w:sz w:val="20"/>
                <w:szCs w:val="20"/>
                <w:lang w:val="en-AU" w:eastAsia="en-AU"/>
              </w:rPr>
            </w:pPr>
            <w:r w:rsidRPr="00204FB3">
              <w:rPr>
                <w:rFonts w:eastAsia="Times New Roman"/>
                <w:b/>
                <w:color w:val="auto"/>
                <w:sz w:val="20"/>
                <w:szCs w:val="20"/>
                <w:lang w:val="en-AU" w:eastAsia="en-AU"/>
              </w:rPr>
              <w:t>General disorders and administration site conditions</w:t>
            </w:r>
          </w:p>
        </w:tc>
        <w:tc>
          <w:tcPr>
            <w:tcW w:w="2126" w:type="dxa"/>
            <w:tcBorders>
              <w:left w:val="nil"/>
              <w:right w:val="nil"/>
            </w:tcBorders>
          </w:tcPr>
          <w:p w14:paraId="1005ABE5"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1843" w:type="dxa"/>
            <w:tcBorders>
              <w:left w:val="nil"/>
            </w:tcBorders>
            <w:vAlign w:val="bottom"/>
          </w:tcPr>
          <w:p w14:paraId="44A02FBB"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r>
      <w:tr w:rsidR="001C65EF" w:rsidRPr="00204FB3" w14:paraId="30554CD0" w14:textId="77777777" w:rsidTr="004075F9">
        <w:trPr>
          <w:cantSplit/>
        </w:trPr>
        <w:tc>
          <w:tcPr>
            <w:tcW w:w="3544" w:type="dxa"/>
            <w:vAlign w:val="bottom"/>
          </w:tcPr>
          <w:p w14:paraId="3FC36588" w14:textId="77777777" w:rsidR="001C65EF" w:rsidRPr="00204FB3" w:rsidRDefault="001C65EF" w:rsidP="00215881">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204FB3">
              <w:rPr>
                <w:rFonts w:eastAsia="Times New Roman"/>
                <w:color w:val="auto"/>
                <w:sz w:val="20"/>
                <w:szCs w:val="20"/>
                <w:lang w:val="en-AU" w:eastAsia="en-AU"/>
              </w:rPr>
              <w:t>Injection site reaction</w:t>
            </w:r>
          </w:p>
        </w:tc>
        <w:tc>
          <w:tcPr>
            <w:tcW w:w="1985" w:type="dxa"/>
            <w:tcBorders>
              <w:left w:val="nil"/>
            </w:tcBorders>
            <w:vAlign w:val="bottom"/>
          </w:tcPr>
          <w:p w14:paraId="461AF696" w14:textId="77777777" w:rsidR="001C65EF" w:rsidRPr="00204FB3" w:rsidRDefault="001C65EF" w:rsidP="00215881">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204FB3">
              <w:rPr>
                <w:rFonts w:eastAsia="Times New Roman"/>
                <w:color w:val="auto"/>
                <w:sz w:val="20"/>
                <w:szCs w:val="20"/>
                <w:lang w:val="en-AU" w:eastAsia="en-AU"/>
              </w:rPr>
              <w:tab/>
              <w:t>16</w:t>
            </w:r>
            <w:r w:rsidRPr="00204FB3">
              <w:rPr>
                <w:rFonts w:eastAsia="Times New Roman"/>
                <w:color w:val="auto"/>
                <w:sz w:val="20"/>
                <w:szCs w:val="20"/>
                <w:lang w:val="en-AU" w:eastAsia="en-AU"/>
              </w:rPr>
              <w:tab/>
              <w:t xml:space="preserve"> (7.0%)</w:t>
            </w:r>
          </w:p>
        </w:tc>
        <w:tc>
          <w:tcPr>
            <w:tcW w:w="2126" w:type="dxa"/>
            <w:tcBorders>
              <w:left w:val="nil"/>
              <w:right w:val="nil"/>
            </w:tcBorders>
          </w:tcPr>
          <w:p w14:paraId="1372ACB7"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204FB3">
              <w:rPr>
                <w:rFonts w:eastAsia="Times New Roman"/>
                <w:color w:val="auto"/>
                <w:sz w:val="20"/>
                <w:szCs w:val="20"/>
                <w:lang w:val="en-AU" w:eastAsia="en-AU"/>
              </w:rPr>
              <w:tab/>
              <w:t>10</w:t>
            </w:r>
            <w:r w:rsidRPr="00204FB3">
              <w:rPr>
                <w:rFonts w:eastAsia="Times New Roman"/>
                <w:color w:val="auto"/>
                <w:sz w:val="20"/>
                <w:szCs w:val="20"/>
                <w:lang w:val="en-AU" w:eastAsia="en-AU"/>
              </w:rPr>
              <w:tab/>
              <w:t xml:space="preserve"> (8.7%)</w:t>
            </w:r>
          </w:p>
        </w:tc>
        <w:tc>
          <w:tcPr>
            <w:tcW w:w="1843" w:type="dxa"/>
            <w:tcBorders>
              <w:left w:val="nil"/>
            </w:tcBorders>
            <w:vAlign w:val="bottom"/>
          </w:tcPr>
          <w:p w14:paraId="3158A240"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204FB3">
              <w:rPr>
                <w:rFonts w:eastAsia="Times New Roman"/>
                <w:color w:val="auto"/>
                <w:sz w:val="20"/>
                <w:szCs w:val="20"/>
                <w:lang w:val="en-AU" w:eastAsia="en-AU"/>
              </w:rPr>
              <w:tab/>
              <w:t>74</w:t>
            </w:r>
            <w:r w:rsidRPr="00204FB3">
              <w:rPr>
                <w:rFonts w:eastAsia="Times New Roman"/>
                <w:color w:val="auto"/>
                <w:sz w:val="20"/>
                <w:szCs w:val="20"/>
                <w:lang w:val="en-AU" w:eastAsia="en-AU"/>
              </w:rPr>
              <w:tab/>
              <w:t xml:space="preserve"> (16.2%)</w:t>
            </w:r>
          </w:p>
        </w:tc>
      </w:tr>
      <w:tr w:rsidR="001C65EF" w:rsidRPr="00204FB3" w14:paraId="21496026" w14:textId="77777777" w:rsidTr="004075F9">
        <w:trPr>
          <w:cantSplit/>
        </w:trPr>
        <w:tc>
          <w:tcPr>
            <w:tcW w:w="3544" w:type="dxa"/>
            <w:vAlign w:val="bottom"/>
          </w:tcPr>
          <w:p w14:paraId="5370A00D"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1985" w:type="dxa"/>
            <w:tcBorders>
              <w:left w:val="nil"/>
            </w:tcBorders>
            <w:vAlign w:val="bottom"/>
          </w:tcPr>
          <w:p w14:paraId="22B9006B"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2126" w:type="dxa"/>
            <w:tcBorders>
              <w:left w:val="nil"/>
              <w:right w:val="nil"/>
            </w:tcBorders>
          </w:tcPr>
          <w:p w14:paraId="2E51DFB7"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1843" w:type="dxa"/>
            <w:tcBorders>
              <w:left w:val="nil"/>
            </w:tcBorders>
            <w:vAlign w:val="bottom"/>
          </w:tcPr>
          <w:p w14:paraId="160036F7"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r>
      <w:tr w:rsidR="001C65EF" w:rsidRPr="00204FB3" w14:paraId="4F5605D7" w14:textId="77777777" w:rsidTr="004075F9">
        <w:trPr>
          <w:cantSplit/>
        </w:trPr>
        <w:tc>
          <w:tcPr>
            <w:tcW w:w="5529" w:type="dxa"/>
            <w:gridSpan w:val="2"/>
            <w:vAlign w:val="bottom"/>
          </w:tcPr>
          <w:p w14:paraId="16FA510C" w14:textId="77777777" w:rsidR="001C65EF" w:rsidRPr="00204FB3" w:rsidRDefault="001C65EF" w:rsidP="00215881">
            <w:pPr>
              <w:keepLines/>
              <w:tabs>
                <w:tab w:val="right" w:pos="519"/>
                <w:tab w:val="decimal" w:pos="839"/>
              </w:tabs>
              <w:autoSpaceDE w:val="0"/>
              <w:autoSpaceDN w:val="0"/>
              <w:adjustRightInd w:val="0"/>
              <w:spacing w:before="30" w:after="30"/>
              <w:rPr>
                <w:rFonts w:eastAsia="Times New Roman"/>
                <w:b/>
                <w:color w:val="auto"/>
                <w:sz w:val="20"/>
                <w:szCs w:val="20"/>
                <w:lang w:val="en-AU" w:eastAsia="en-AU"/>
              </w:rPr>
            </w:pPr>
            <w:r w:rsidRPr="00204FB3">
              <w:rPr>
                <w:rFonts w:eastAsia="Times New Roman"/>
                <w:b/>
                <w:color w:val="auto"/>
                <w:sz w:val="20"/>
                <w:szCs w:val="20"/>
                <w:lang w:val="en-AU" w:eastAsia="en-AU"/>
              </w:rPr>
              <w:t>Injury, poisoning and procedural complications</w:t>
            </w:r>
          </w:p>
        </w:tc>
        <w:tc>
          <w:tcPr>
            <w:tcW w:w="2126" w:type="dxa"/>
            <w:tcBorders>
              <w:left w:val="nil"/>
              <w:right w:val="nil"/>
            </w:tcBorders>
          </w:tcPr>
          <w:p w14:paraId="1C03F887"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1843" w:type="dxa"/>
            <w:tcBorders>
              <w:left w:val="nil"/>
            </w:tcBorders>
            <w:vAlign w:val="bottom"/>
          </w:tcPr>
          <w:p w14:paraId="5F620B3D"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r>
      <w:tr w:rsidR="001C65EF" w:rsidRPr="00204FB3" w14:paraId="4AE604F7" w14:textId="77777777" w:rsidTr="004075F9">
        <w:trPr>
          <w:cantSplit/>
        </w:trPr>
        <w:tc>
          <w:tcPr>
            <w:tcW w:w="3544" w:type="dxa"/>
            <w:tcBorders>
              <w:bottom w:val="single" w:sz="4" w:space="0" w:color="auto"/>
            </w:tcBorders>
            <w:vAlign w:val="bottom"/>
          </w:tcPr>
          <w:p w14:paraId="322AEB6A" w14:textId="77777777" w:rsidR="001C65EF" w:rsidRPr="00204FB3" w:rsidRDefault="001C65EF" w:rsidP="00215881">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204FB3">
              <w:rPr>
                <w:rFonts w:eastAsia="Times New Roman"/>
                <w:color w:val="auto"/>
                <w:sz w:val="20"/>
                <w:szCs w:val="20"/>
                <w:lang w:val="en-AU" w:eastAsia="en-AU"/>
              </w:rPr>
              <w:t>Fall</w:t>
            </w:r>
          </w:p>
        </w:tc>
        <w:tc>
          <w:tcPr>
            <w:tcW w:w="1985" w:type="dxa"/>
            <w:tcBorders>
              <w:left w:val="nil"/>
              <w:bottom w:val="single" w:sz="4" w:space="0" w:color="auto"/>
            </w:tcBorders>
            <w:vAlign w:val="bottom"/>
          </w:tcPr>
          <w:p w14:paraId="339600F9" w14:textId="77777777" w:rsidR="001C65EF" w:rsidRPr="00204FB3" w:rsidRDefault="001C65EF" w:rsidP="00215881">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204FB3">
              <w:rPr>
                <w:rFonts w:eastAsia="Times New Roman"/>
                <w:color w:val="auto"/>
                <w:sz w:val="20"/>
                <w:szCs w:val="20"/>
                <w:lang w:val="en-AU" w:eastAsia="en-AU"/>
              </w:rPr>
              <w:tab/>
              <w:t>6</w:t>
            </w:r>
            <w:r w:rsidRPr="00204FB3">
              <w:rPr>
                <w:rFonts w:eastAsia="Times New Roman"/>
                <w:color w:val="auto"/>
                <w:sz w:val="20"/>
                <w:szCs w:val="20"/>
                <w:lang w:val="en-AU" w:eastAsia="en-AU"/>
              </w:rPr>
              <w:tab/>
              <w:t xml:space="preserve"> (2.6%)</w:t>
            </w:r>
          </w:p>
        </w:tc>
        <w:tc>
          <w:tcPr>
            <w:tcW w:w="2126" w:type="dxa"/>
            <w:tcBorders>
              <w:left w:val="nil"/>
              <w:bottom w:val="single" w:sz="4" w:space="0" w:color="auto"/>
              <w:right w:val="nil"/>
            </w:tcBorders>
          </w:tcPr>
          <w:p w14:paraId="1CB02487"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204FB3">
              <w:rPr>
                <w:rFonts w:eastAsia="Times New Roman"/>
                <w:color w:val="auto"/>
                <w:sz w:val="20"/>
                <w:szCs w:val="20"/>
                <w:lang w:val="en-AU" w:eastAsia="en-AU"/>
              </w:rPr>
              <w:tab/>
              <w:t>1</w:t>
            </w:r>
            <w:r w:rsidRPr="00204FB3">
              <w:rPr>
                <w:rFonts w:eastAsia="Times New Roman"/>
                <w:color w:val="auto"/>
                <w:sz w:val="20"/>
                <w:szCs w:val="20"/>
                <w:lang w:val="en-AU" w:eastAsia="en-AU"/>
              </w:rPr>
              <w:tab/>
              <w:t xml:space="preserve"> (0.9%)</w:t>
            </w:r>
          </w:p>
        </w:tc>
        <w:tc>
          <w:tcPr>
            <w:tcW w:w="1843" w:type="dxa"/>
            <w:tcBorders>
              <w:left w:val="nil"/>
              <w:bottom w:val="single" w:sz="4" w:space="0" w:color="auto"/>
            </w:tcBorders>
            <w:vAlign w:val="bottom"/>
          </w:tcPr>
          <w:p w14:paraId="2C76213E" w14:textId="77777777" w:rsidR="001C65EF" w:rsidRPr="00204FB3" w:rsidRDefault="001C65EF" w:rsidP="00215881">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204FB3">
              <w:rPr>
                <w:rFonts w:eastAsia="Times New Roman"/>
                <w:color w:val="auto"/>
                <w:sz w:val="20"/>
                <w:szCs w:val="20"/>
                <w:lang w:val="en-AU" w:eastAsia="en-AU"/>
              </w:rPr>
              <w:tab/>
              <w:t>14</w:t>
            </w:r>
            <w:r w:rsidRPr="00204FB3">
              <w:rPr>
                <w:rFonts w:eastAsia="Times New Roman"/>
                <w:color w:val="auto"/>
                <w:sz w:val="20"/>
                <w:szCs w:val="20"/>
                <w:lang w:val="en-AU" w:eastAsia="en-AU"/>
              </w:rPr>
              <w:tab/>
              <w:t xml:space="preserve"> (3.1%)</w:t>
            </w:r>
          </w:p>
        </w:tc>
      </w:tr>
    </w:tbl>
    <w:p w14:paraId="28763BE1" w14:textId="77777777" w:rsidR="004075F9" w:rsidRPr="00204FB3" w:rsidRDefault="004075F9" w:rsidP="004075F9">
      <w:pPr>
        <w:pStyle w:val="Heading3"/>
        <w:numPr>
          <w:ilvl w:val="0"/>
          <w:numId w:val="0"/>
        </w:numPr>
      </w:pPr>
      <w:r w:rsidRPr="00204FB3">
        <w:t>Adverse Reactions in the Cardiovascular Outcomes Trial</w:t>
      </w:r>
    </w:p>
    <w:p w14:paraId="5AE3FB08" w14:textId="5553548B" w:rsidR="004075F9" w:rsidRPr="00204FB3" w:rsidRDefault="004075F9" w:rsidP="004075F9">
      <w:pPr>
        <w:rPr>
          <w:rFonts w:eastAsiaTheme="minorEastAsia"/>
          <w:color w:val="auto"/>
          <w:sz w:val="22"/>
          <w:szCs w:val="22"/>
        </w:rPr>
      </w:pPr>
      <w:r w:rsidRPr="00204FB3">
        <w:rPr>
          <w:color w:val="auto"/>
        </w:rPr>
        <w:t>In a double-blind, randomi</w:t>
      </w:r>
      <w:r w:rsidR="00016990" w:rsidRPr="00204FB3">
        <w:rPr>
          <w:color w:val="auto"/>
        </w:rPr>
        <w:t>s</w:t>
      </w:r>
      <w:r w:rsidRPr="00204FB3">
        <w:rPr>
          <w:color w:val="auto"/>
        </w:rPr>
        <w:t>ed, placebo-controlled cardiovascular outcomes trial (Study 1: ODYSSEY OUTCOMES, NCT01663402), 18,924 patients received at least one dose of PRALUENT or placebo [see Clinical Studies (14.1)]. The mean age was 58 years (range: 39 to 92 years), 25.2% women, 79.4% Caucasian, 2.5% Black, 13.2% Asian, and 16.6% Hispanic/Latino. Patients were exposed to PRALUENT for a median of 31 months; 87% of patients were exposed for ≥12 months, 78% were exposed for ≥24 months, 33% were exposed for ≥36 months, and 6% were exposed for ≥48 months.</w:t>
      </w:r>
    </w:p>
    <w:p w14:paraId="7EE8F8A0" w14:textId="4A97200A" w:rsidR="00312684" w:rsidRPr="00204FB3" w:rsidRDefault="004075F9" w:rsidP="006D3DF9">
      <w:pPr>
        <w:rPr>
          <w:color w:val="auto"/>
        </w:rPr>
      </w:pPr>
      <w:r w:rsidRPr="00204FB3">
        <w:rPr>
          <w:color w:val="auto"/>
        </w:rPr>
        <w:t xml:space="preserve">The safety profile of PRALUENT in this trial was consistent with the safety profile described above in the placebo-controlled trials involving patients with primary hyperlipidemia and mixed dyslipidemia. Serious adverse events occurred in 23.3% of PRALUENT-treated patients and 24.9% of placebo-treated patients. Adverse events led to discontinuation of study treatment in 3.8% of patients treated with PRALUENT and 3.7% treated with placebo. The only adverse reaction reported in at least 2% of PRALUENT-treated patients, and occurring more frequently than in placebo-treated patients, was local injection site reactions (3.8% PRALUENT, 2.1% </w:t>
      </w:r>
      <w:r w:rsidRPr="00204FB3">
        <w:rPr>
          <w:color w:val="auto"/>
        </w:rPr>
        <w:lastRenderedPageBreak/>
        <w:t>placebo). General allergic reactions were similar in PRALUENT-treated patients and placebo-treated patients (7.9% PRALUENT, 7.8% placebo). No difference was seen in the incidence of pruritus.</w:t>
      </w:r>
    </w:p>
    <w:p w14:paraId="7442FCAF" w14:textId="09B2071E" w:rsidR="007C3E49" w:rsidRPr="00204FB3" w:rsidRDefault="007C3E49" w:rsidP="006D3DF9">
      <w:pPr>
        <w:rPr>
          <w:color w:val="auto"/>
        </w:rPr>
      </w:pPr>
      <w:r w:rsidRPr="00204FB3">
        <w:rPr>
          <w:color w:val="auto"/>
        </w:rPr>
        <w:fldChar w:fldCharType="begin"/>
      </w:r>
      <w:r w:rsidRPr="00204FB3">
        <w:rPr>
          <w:color w:val="auto"/>
        </w:rPr>
        <w:instrText xml:space="preserve"> REF _Ref18054958 \h  \* MERGEFORMAT </w:instrText>
      </w:r>
      <w:r w:rsidRPr="00204FB3">
        <w:rPr>
          <w:color w:val="auto"/>
        </w:rPr>
      </w:r>
      <w:r w:rsidRPr="00204FB3">
        <w:rPr>
          <w:color w:val="auto"/>
        </w:rPr>
        <w:fldChar w:fldCharType="separate"/>
      </w:r>
      <w:r w:rsidR="0052180F" w:rsidRPr="0052180F">
        <w:rPr>
          <w:color w:val="auto"/>
        </w:rPr>
        <w:t>Table 5</w:t>
      </w:r>
      <w:r w:rsidRPr="00204FB3">
        <w:rPr>
          <w:color w:val="auto"/>
        </w:rPr>
        <w:fldChar w:fldCharType="end"/>
      </w:r>
      <w:r w:rsidR="00204FB3" w:rsidRPr="00204FB3">
        <w:rPr>
          <w:color w:val="auto"/>
        </w:rPr>
        <w:t xml:space="preserve"> </w:t>
      </w:r>
      <w:r w:rsidRPr="00204FB3">
        <w:rPr>
          <w:color w:val="auto"/>
        </w:rPr>
        <w:t>shows the adverse events reported in</w:t>
      </w:r>
      <w:r w:rsidR="00204FB3" w:rsidRPr="00204FB3">
        <w:rPr>
          <w:color w:val="auto"/>
        </w:rPr>
        <w:t xml:space="preserve"> </w:t>
      </w:r>
      <w:r w:rsidRPr="00204FB3">
        <w:rPr>
          <w:color w:val="auto"/>
        </w:rPr>
        <w:t>&gt;1% of patients treated with Praluent and more frequently than with placebo in the ODYSSEY OUTCOMES study.</w:t>
      </w:r>
    </w:p>
    <w:p w14:paraId="60F16ED6" w14:textId="0491D530" w:rsidR="00312684" w:rsidRPr="00204FB3" w:rsidRDefault="00312684" w:rsidP="00312684">
      <w:pPr>
        <w:pStyle w:val="Caption"/>
      </w:pPr>
      <w:bookmarkStart w:id="4" w:name="_Ref18054958"/>
      <w:r w:rsidRPr="00204FB3">
        <w:t>Table </w:t>
      </w:r>
      <w:r w:rsidRPr="00204FB3">
        <w:fldChar w:fldCharType="begin"/>
      </w:r>
      <w:r w:rsidRPr="00204FB3">
        <w:instrText xml:space="preserve"> SEQ Table \* ARABIC </w:instrText>
      </w:r>
      <w:r w:rsidRPr="00204FB3">
        <w:fldChar w:fldCharType="separate"/>
      </w:r>
      <w:r w:rsidR="0052180F">
        <w:rPr>
          <w:noProof/>
        </w:rPr>
        <w:t>5</w:t>
      </w:r>
      <w:r w:rsidRPr="00204FB3">
        <w:fldChar w:fldCharType="end"/>
      </w:r>
      <w:bookmarkEnd w:id="4"/>
      <w:r w:rsidRPr="00204FB3">
        <w:t xml:space="preserve"> ­ </w:t>
      </w:r>
      <w:r w:rsidRPr="00204FB3">
        <w:rPr>
          <w:lang w:val="en-AU"/>
        </w:rPr>
        <w:t>Adverse events occurring in &gt; 1% of patients treated with PRALUENT and more fre- quently than with placebo in the cardiovascular outcomes study (ODYSSEY OUTCOMES)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3119"/>
        <w:gridCol w:w="2943"/>
      </w:tblGrid>
      <w:tr w:rsidR="007C3E49" w:rsidRPr="00204FB3" w14:paraId="3443852D" w14:textId="77777777" w:rsidTr="007C3E49">
        <w:tc>
          <w:tcPr>
            <w:tcW w:w="3397" w:type="dxa"/>
            <w:tcBorders>
              <w:top w:val="single" w:sz="4" w:space="0" w:color="auto"/>
              <w:bottom w:val="single" w:sz="4" w:space="0" w:color="auto"/>
            </w:tcBorders>
          </w:tcPr>
          <w:p w14:paraId="52BFC4EF" w14:textId="38C5F212" w:rsidR="00312684" w:rsidRPr="00204FB3" w:rsidRDefault="00312684" w:rsidP="00312684">
            <w:pPr>
              <w:pStyle w:val="TblTextLeft"/>
              <w:jc w:val="center"/>
              <w:rPr>
                <w:b/>
                <w:lang w:val="en-AU" w:eastAsia="en-AU"/>
              </w:rPr>
            </w:pPr>
            <w:r w:rsidRPr="00204FB3">
              <w:rPr>
                <w:b/>
                <w:lang w:val="en-AU" w:eastAsia="en-AU"/>
              </w:rPr>
              <w:t>System Organ Class Preferred Term*</w:t>
            </w:r>
          </w:p>
        </w:tc>
        <w:tc>
          <w:tcPr>
            <w:tcW w:w="3119" w:type="dxa"/>
            <w:tcBorders>
              <w:top w:val="single" w:sz="4" w:space="0" w:color="auto"/>
              <w:bottom w:val="single" w:sz="4" w:space="0" w:color="auto"/>
            </w:tcBorders>
          </w:tcPr>
          <w:p w14:paraId="6A7BD274" w14:textId="55322B12" w:rsidR="00312684" w:rsidRPr="00204FB3" w:rsidRDefault="00312684" w:rsidP="00312684">
            <w:pPr>
              <w:pStyle w:val="TblTextLeft"/>
              <w:jc w:val="center"/>
              <w:rPr>
                <w:b/>
                <w:lang w:val="en-AU" w:eastAsia="en-AU"/>
              </w:rPr>
            </w:pPr>
            <w:r w:rsidRPr="00204FB3">
              <w:rPr>
                <w:b/>
                <w:lang w:val="en-AU" w:eastAsia="en-AU"/>
              </w:rPr>
              <w:t>Placebo</w:t>
            </w:r>
          </w:p>
          <w:p w14:paraId="21F2F824" w14:textId="33011128" w:rsidR="00312684" w:rsidRPr="00204FB3" w:rsidRDefault="00312684" w:rsidP="00312684">
            <w:pPr>
              <w:pStyle w:val="TblTextLeft"/>
              <w:jc w:val="center"/>
              <w:rPr>
                <w:b/>
                <w:lang w:val="en-AU" w:eastAsia="en-AU"/>
              </w:rPr>
            </w:pPr>
            <w:r w:rsidRPr="00204FB3">
              <w:rPr>
                <w:b/>
                <w:lang w:val="en-AU" w:eastAsia="en-AU"/>
              </w:rPr>
              <w:t>(N=9443</w:t>
            </w:r>
            <w:r w:rsidR="00E9655F" w:rsidRPr="00204FB3">
              <w:rPr>
                <w:b/>
                <w:lang w:val="en-AU" w:eastAsia="en-AU"/>
              </w:rPr>
              <w:t>)</w:t>
            </w:r>
          </w:p>
        </w:tc>
        <w:tc>
          <w:tcPr>
            <w:tcW w:w="2943" w:type="dxa"/>
            <w:tcBorders>
              <w:top w:val="single" w:sz="4" w:space="0" w:color="auto"/>
              <w:bottom w:val="single" w:sz="4" w:space="0" w:color="auto"/>
            </w:tcBorders>
          </w:tcPr>
          <w:p w14:paraId="277F0558" w14:textId="00AB2444" w:rsidR="00312684" w:rsidRPr="00204FB3" w:rsidRDefault="00312684" w:rsidP="00312684">
            <w:pPr>
              <w:pStyle w:val="TblTextLeft"/>
              <w:jc w:val="center"/>
              <w:rPr>
                <w:b/>
                <w:lang w:val="en-AU" w:eastAsia="en-AU"/>
              </w:rPr>
            </w:pPr>
            <w:r w:rsidRPr="00204FB3">
              <w:rPr>
                <w:b/>
                <w:lang w:val="en-AU" w:eastAsia="en-AU"/>
              </w:rPr>
              <w:t>Alirocumab</w:t>
            </w:r>
          </w:p>
          <w:p w14:paraId="01264577" w14:textId="4EFCD989" w:rsidR="00312684" w:rsidRPr="00204FB3" w:rsidRDefault="00312684" w:rsidP="00312684">
            <w:pPr>
              <w:pStyle w:val="TblTextLeft"/>
              <w:jc w:val="center"/>
              <w:rPr>
                <w:b/>
                <w:lang w:val="en-AU" w:eastAsia="en-AU"/>
              </w:rPr>
            </w:pPr>
            <w:r w:rsidRPr="00204FB3">
              <w:rPr>
                <w:b/>
                <w:lang w:val="en-AU" w:eastAsia="en-AU"/>
              </w:rPr>
              <w:t>(N=9451)</w:t>
            </w:r>
          </w:p>
        </w:tc>
      </w:tr>
      <w:tr w:rsidR="007C3E49" w:rsidRPr="00204FB3" w14:paraId="0E8E999F" w14:textId="77777777" w:rsidTr="007C3E49">
        <w:tc>
          <w:tcPr>
            <w:tcW w:w="3397" w:type="dxa"/>
            <w:tcBorders>
              <w:top w:val="single" w:sz="4" w:space="0" w:color="auto"/>
            </w:tcBorders>
          </w:tcPr>
          <w:p w14:paraId="1D58E9DD" w14:textId="00565DF7" w:rsidR="00312684" w:rsidRPr="00204FB3" w:rsidRDefault="00E9655F" w:rsidP="00312684">
            <w:pPr>
              <w:pStyle w:val="TblTextLeft"/>
              <w:rPr>
                <w:lang w:val="en-AU" w:eastAsia="en-AU"/>
              </w:rPr>
            </w:pPr>
            <w:r w:rsidRPr="00204FB3">
              <w:rPr>
                <w:b/>
                <w:bCs/>
                <w:sz w:val="22"/>
                <w:szCs w:val="22"/>
              </w:rPr>
              <w:t>Any</w:t>
            </w:r>
            <w:r w:rsidRPr="00204FB3">
              <w:rPr>
                <w:b/>
                <w:bCs/>
                <w:spacing w:val="-3"/>
                <w:sz w:val="22"/>
                <w:szCs w:val="22"/>
              </w:rPr>
              <w:t xml:space="preserve"> </w:t>
            </w:r>
            <w:r w:rsidRPr="00204FB3">
              <w:rPr>
                <w:b/>
                <w:bCs/>
                <w:sz w:val="22"/>
                <w:szCs w:val="22"/>
              </w:rPr>
              <w:t>class</w:t>
            </w:r>
          </w:p>
        </w:tc>
        <w:tc>
          <w:tcPr>
            <w:tcW w:w="3119" w:type="dxa"/>
            <w:tcBorders>
              <w:top w:val="single" w:sz="4" w:space="0" w:color="auto"/>
            </w:tcBorders>
          </w:tcPr>
          <w:p w14:paraId="77109272" w14:textId="0C5F6BE7" w:rsidR="00312684" w:rsidRPr="00204FB3" w:rsidRDefault="00E9655F" w:rsidP="007C3E49">
            <w:pPr>
              <w:pStyle w:val="TblTextLeft"/>
              <w:jc w:val="center"/>
              <w:rPr>
                <w:lang w:val="en-AU" w:eastAsia="en-AU"/>
              </w:rPr>
            </w:pPr>
            <w:r w:rsidRPr="00204FB3">
              <w:rPr>
                <w:lang w:val="en-AU" w:eastAsia="en-AU"/>
              </w:rPr>
              <w:t>77.1%</w:t>
            </w:r>
          </w:p>
        </w:tc>
        <w:tc>
          <w:tcPr>
            <w:tcW w:w="2943" w:type="dxa"/>
            <w:tcBorders>
              <w:top w:val="single" w:sz="4" w:space="0" w:color="auto"/>
            </w:tcBorders>
          </w:tcPr>
          <w:p w14:paraId="51CF08BA" w14:textId="27486C27" w:rsidR="00312684" w:rsidRPr="00204FB3" w:rsidRDefault="00E9655F" w:rsidP="007C3E49">
            <w:pPr>
              <w:pStyle w:val="TblTextLeft"/>
              <w:jc w:val="center"/>
              <w:rPr>
                <w:lang w:val="en-AU" w:eastAsia="en-AU"/>
              </w:rPr>
            </w:pPr>
            <w:r w:rsidRPr="00204FB3">
              <w:rPr>
                <w:lang w:val="en-AU" w:eastAsia="en-AU"/>
              </w:rPr>
              <w:t>75.8%</w:t>
            </w:r>
          </w:p>
        </w:tc>
      </w:tr>
      <w:tr w:rsidR="007C3E49" w:rsidRPr="00204FB3" w14:paraId="6DFFD60B" w14:textId="77777777" w:rsidTr="00257746">
        <w:tc>
          <w:tcPr>
            <w:tcW w:w="3397" w:type="dxa"/>
          </w:tcPr>
          <w:p w14:paraId="0FA81845" w14:textId="1F883EB4" w:rsidR="00312684" w:rsidRPr="00204FB3" w:rsidRDefault="00E9655F" w:rsidP="00312684">
            <w:pPr>
              <w:pStyle w:val="TblTextLeft"/>
              <w:rPr>
                <w:b/>
                <w:lang w:val="en-AU" w:eastAsia="en-AU"/>
              </w:rPr>
            </w:pPr>
            <w:r w:rsidRPr="00204FB3">
              <w:rPr>
                <w:b/>
                <w:lang w:val="en-AU" w:eastAsia="en-AU"/>
              </w:rPr>
              <w:t>Ear and labyrinth disorders</w:t>
            </w:r>
          </w:p>
        </w:tc>
        <w:tc>
          <w:tcPr>
            <w:tcW w:w="3119" w:type="dxa"/>
          </w:tcPr>
          <w:p w14:paraId="3EB7C8B0" w14:textId="77777777" w:rsidR="00312684" w:rsidRPr="00204FB3" w:rsidRDefault="00312684" w:rsidP="007C3E49">
            <w:pPr>
              <w:pStyle w:val="TblTextLeft"/>
              <w:jc w:val="center"/>
              <w:rPr>
                <w:lang w:val="en-AU" w:eastAsia="en-AU"/>
              </w:rPr>
            </w:pPr>
          </w:p>
        </w:tc>
        <w:tc>
          <w:tcPr>
            <w:tcW w:w="2943" w:type="dxa"/>
          </w:tcPr>
          <w:p w14:paraId="2B9AD591" w14:textId="77777777" w:rsidR="00312684" w:rsidRPr="00204FB3" w:rsidRDefault="00312684" w:rsidP="007C3E49">
            <w:pPr>
              <w:pStyle w:val="TblTextLeft"/>
              <w:jc w:val="center"/>
              <w:rPr>
                <w:lang w:val="en-AU" w:eastAsia="en-AU"/>
              </w:rPr>
            </w:pPr>
          </w:p>
        </w:tc>
      </w:tr>
      <w:tr w:rsidR="007C3E49" w:rsidRPr="00204FB3" w14:paraId="393F5845" w14:textId="77777777" w:rsidTr="00257746">
        <w:tc>
          <w:tcPr>
            <w:tcW w:w="3397" w:type="dxa"/>
          </w:tcPr>
          <w:p w14:paraId="0AC350F2" w14:textId="790E9B97" w:rsidR="00312684" w:rsidRPr="00204FB3" w:rsidRDefault="00E9655F" w:rsidP="00312684">
            <w:pPr>
              <w:pStyle w:val="TblTextLeft"/>
              <w:rPr>
                <w:lang w:val="en-AU" w:eastAsia="en-AU"/>
              </w:rPr>
            </w:pPr>
            <w:r w:rsidRPr="00204FB3">
              <w:rPr>
                <w:spacing w:val="-1"/>
                <w:sz w:val="22"/>
                <w:szCs w:val="22"/>
              </w:rPr>
              <w:t>Vertigo</w:t>
            </w:r>
          </w:p>
        </w:tc>
        <w:tc>
          <w:tcPr>
            <w:tcW w:w="3119" w:type="dxa"/>
          </w:tcPr>
          <w:p w14:paraId="02050B97" w14:textId="37D0A399" w:rsidR="00312684" w:rsidRPr="00204FB3" w:rsidRDefault="00E9655F" w:rsidP="007C3E49">
            <w:pPr>
              <w:pStyle w:val="TblTextLeft"/>
              <w:jc w:val="center"/>
              <w:rPr>
                <w:lang w:val="en-AU" w:eastAsia="en-AU"/>
              </w:rPr>
            </w:pPr>
            <w:r w:rsidRPr="00204FB3">
              <w:rPr>
                <w:lang w:val="en-AU" w:eastAsia="en-AU"/>
              </w:rPr>
              <w:t>1.3%</w:t>
            </w:r>
          </w:p>
        </w:tc>
        <w:tc>
          <w:tcPr>
            <w:tcW w:w="2943" w:type="dxa"/>
          </w:tcPr>
          <w:p w14:paraId="169A51C3" w14:textId="5A20F49B" w:rsidR="00312684" w:rsidRPr="00204FB3" w:rsidRDefault="00E9655F" w:rsidP="007C3E49">
            <w:pPr>
              <w:pStyle w:val="TblTextLeft"/>
              <w:jc w:val="center"/>
              <w:rPr>
                <w:lang w:val="en-AU" w:eastAsia="en-AU"/>
              </w:rPr>
            </w:pPr>
            <w:r w:rsidRPr="00204FB3">
              <w:rPr>
                <w:lang w:val="en-AU" w:eastAsia="en-AU"/>
              </w:rPr>
              <w:t>1.4%</w:t>
            </w:r>
          </w:p>
        </w:tc>
      </w:tr>
      <w:tr w:rsidR="007C3E49" w:rsidRPr="00204FB3" w14:paraId="5C5437E9" w14:textId="77777777" w:rsidTr="00257746">
        <w:tc>
          <w:tcPr>
            <w:tcW w:w="3397" w:type="dxa"/>
          </w:tcPr>
          <w:p w14:paraId="4E2A22E9" w14:textId="0C49EA28" w:rsidR="00312684" w:rsidRPr="00204FB3" w:rsidRDefault="00E9655F" w:rsidP="00312684">
            <w:pPr>
              <w:pStyle w:val="TblTextLeft"/>
              <w:rPr>
                <w:b/>
                <w:lang w:val="en-AU" w:eastAsia="en-AU"/>
              </w:rPr>
            </w:pPr>
            <w:r w:rsidRPr="00204FB3">
              <w:rPr>
                <w:b/>
                <w:lang w:val="en-AU" w:eastAsia="en-AU"/>
              </w:rPr>
              <w:t>Gastrointestinal disorders</w:t>
            </w:r>
          </w:p>
        </w:tc>
        <w:tc>
          <w:tcPr>
            <w:tcW w:w="3119" w:type="dxa"/>
          </w:tcPr>
          <w:p w14:paraId="418A284D" w14:textId="44022696" w:rsidR="00312684" w:rsidRPr="00204FB3" w:rsidRDefault="00312684" w:rsidP="00312684">
            <w:pPr>
              <w:pStyle w:val="TblTextLeft"/>
              <w:rPr>
                <w:lang w:val="en-AU" w:eastAsia="en-AU"/>
              </w:rPr>
            </w:pPr>
          </w:p>
        </w:tc>
        <w:tc>
          <w:tcPr>
            <w:tcW w:w="2943" w:type="dxa"/>
          </w:tcPr>
          <w:p w14:paraId="6C38DBC6" w14:textId="02A30BA3" w:rsidR="00312684" w:rsidRPr="00204FB3" w:rsidRDefault="00312684" w:rsidP="00312684">
            <w:pPr>
              <w:pStyle w:val="TblTextLeft"/>
              <w:rPr>
                <w:lang w:val="en-AU" w:eastAsia="en-AU"/>
              </w:rPr>
            </w:pPr>
          </w:p>
        </w:tc>
      </w:tr>
      <w:tr w:rsidR="007C3E49" w:rsidRPr="00204FB3" w14:paraId="6D1F1696" w14:textId="77777777" w:rsidTr="00257746">
        <w:tc>
          <w:tcPr>
            <w:tcW w:w="3397" w:type="dxa"/>
          </w:tcPr>
          <w:p w14:paraId="25F1BE96" w14:textId="735CED85" w:rsidR="00CF5A95" w:rsidRPr="00204FB3" w:rsidRDefault="00CF5A95" w:rsidP="00CF5A95">
            <w:pPr>
              <w:pStyle w:val="TblTextLeft"/>
              <w:rPr>
                <w:lang w:val="en-AU" w:eastAsia="en-AU"/>
              </w:rPr>
            </w:pPr>
            <w:r w:rsidRPr="00204FB3">
              <w:rPr>
                <w:lang w:val="en-AU" w:eastAsia="en-AU"/>
              </w:rPr>
              <w:t>Nausea</w:t>
            </w:r>
          </w:p>
        </w:tc>
        <w:tc>
          <w:tcPr>
            <w:tcW w:w="3119" w:type="dxa"/>
          </w:tcPr>
          <w:p w14:paraId="46294B45" w14:textId="70359AE8" w:rsidR="00CF5A95" w:rsidRPr="00204FB3" w:rsidRDefault="00CF5A95" w:rsidP="007C3E49">
            <w:pPr>
              <w:pStyle w:val="TblTextLeft"/>
              <w:jc w:val="center"/>
              <w:rPr>
                <w:lang w:val="en-AU" w:eastAsia="en-AU"/>
              </w:rPr>
            </w:pPr>
            <w:r w:rsidRPr="00204FB3">
              <w:rPr>
                <w:rFonts w:eastAsiaTheme="minorHAnsi"/>
                <w:lang w:val="en-AU"/>
              </w:rPr>
              <w:t>1.8%</w:t>
            </w:r>
          </w:p>
        </w:tc>
        <w:tc>
          <w:tcPr>
            <w:tcW w:w="2943" w:type="dxa"/>
          </w:tcPr>
          <w:p w14:paraId="39397A8C" w14:textId="5384AFF7" w:rsidR="00CF5A95" w:rsidRPr="00204FB3" w:rsidRDefault="00CF5A95" w:rsidP="007C3E49">
            <w:pPr>
              <w:pStyle w:val="TblTextLeft"/>
              <w:jc w:val="center"/>
              <w:rPr>
                <w:lang w:val="en-AU" w:eastAsia="en-AU"/>
              </w:rPr>
            </w:pPr>
            <w:r w:rsidRPr="00204FB3">
              <w:rPr>
                <w:rFonts w:eastAsiaTheme="minorHAnsi"/>
                <w:lang w:val="en-AU"/>
              </w:rPr>
              <w:t>2.1%</w:t>
            </w:r>
          </w:p>
        </w:tc>
      </w:tr>
      <w:tr w:rsidR="007C3E49" w:rsidRPr="00204FB3" w14:paraId="14667565" w14:textId="77777777" w:rsidTr="00257746">
        <w:tc>
          <w:tcPr>
            <w:tcW w:w="3397" w:type="dxa"/>
          </w:tcPr>
          <w:p w14:paraId="5CB26E81" w14:textId="13989DE8" w:rsidR="00CF5A95" w:rsidRPr="00204FB3" w:rsidRDefault="00CF5A95" w:rsidP="00CF5A95">
            <w:pPr>
              <w:pStyle w:val="TblTextLeft"/>
              <w:rPr>
                <w:lang w:val="en-AU" w:eastAsia="en-AU"/>
              </w:rPr>
            </w:pPr>
            <w:r w:rsidRPr="00204FB3">
              <w:rPr>
                <w:lang w:val="en-AU" w:eastAsia="en-AU"/>
              </w:rPr>
              <w:t>Gastrooesophageal reflux disease</w:t>
            </w:r>
          </w:p>
        </w:tc>
        <w:tc>
          <w:tcPr>
            <w:tcW w:w="3119" w:type="dxa"/>
          </w:tcPr>
          <w:p w14:paraId="44462800" w14:textId="3AC91B06" w:rsidR="00CF5A95" w:rsidRPr="00204FB3" w:rsidRDefault="00CF5A95" w:rsidP="007C3E49">
            <w:pPr>
              <w:pStyle w:val="TblTextLeft"/>
              <w:jc w:val="center"/>
              <w:rPr>
                <w:lang w:val="en-AU" w:eastAsia="en-AU"/>
              </w:rPr>
            </w:pPr>
            <w:r w:rsidRPr="00204FB3">
              <w:rPr>
                <w:rFonts w:eastAsiaTheme="minorHAnsi"/>
                <w:lang w:val="en-AU"/>
              </w:rPr>
              <w:t>1.4%</w:t>
            </w:r>
          </w:p>
        </w:tc>
        <w:tc>
          <w:tcPr>
            <w:tcW w:w="2943" w:type="dxa"/>
          </w:tcPr>
          <w:p w14:paraId="5279595F" w14:textId="7C5763BE" w:rsidR="00CF5A95" w:rsidRPr="00204FB3" w:rsidRDefault="00CF5A95" w:rsidP="007C3E49">
            <w:pPr>
              <w:pStyle w:val="TblTextLeft"/>
              <w:jc w:val="center"/>
              <w:rPr>
                <w:lang w:val="en-AU" w:eastAsia="en-AU"/>
              </w:rPr>
            </w:pPr>
            <w:r w:rsidRPr="00204FB3">
              <w:rPr>
                <w:rFonts w:eastAsiaTheme="minorHAnsi"/>
                <w:lang w:val="en-AU"/>
              </w:rPr>
              <w:t>1.7%</w:t>
            </w:r>
          </w:p>
        </w:tc>
      </w:tr>
      <w:tr w:rsidR="007C3E49" w:rsidRPr="00204FB3" w14:paraId="7D93E49E" w14:textId="77777777" w:rsidTr="00257746">
        <w:tc>
          <w:tcPr>
            <w:tcW w:w="3397" w:type="dxa"/>
          </w:tcPr>
          <w:p w14:paraId="39B25C0A" w14:textId="17B6B9D3" w:rsidR="00312684" w:rsidRPr="00204FB3" w:rsidRDefault="00E9655F" w:rsidP="00312684">
            <w:pPr>
              <w:pStyle w:val="TblTextLeft"/>
              <w:rPr>
                <w:lang w:val="en-AU" w:eastAsia="en-AU"/>
              </w:rPr>
            </w:pPr>
            <w:r w:rsidRPr="00204FB3">
              <w:rPr>
                <w:lang w:val="en-AU" w:eastAsia="en-AU"/>
              </w:rPr>
              <w:t>Abdominal pain upper</w:t>
            </w:r>
          </w:p>
        </w:tc>
        <w:tc>
          <w:tcPr>
            <w:tcW w:w="3119" w:type="dxa"/>
          </w:tcPr>
          <w:p w14:paraId="0A81B5E4" w14:textId="3F9A6A62" w:rsidR="00312684" w:rsidRPr="00204FB3" w:rsidRDefault="00CF5A95" w:rsidP="007C3E49">
            <w:pPr>
              <w:pStyle w:val="TblTextLeft"/>
              <w:jc w:val="center"/>
              <w:rPr>
                <w:lang w:val="en-AU" w:eastAsia="en-AU"/>
              </w:rPr>
            </w:pPr>
            <w:r w:rsidRPr="00204FB3">
              <w:rPr>
                <w:rFonts w:eastAsiaTheme="minorHAnsi"/>
                <w:lang w:val="en-AU"/>
              </w:rPr>
              <w:t>1.3%</w:t>
            </w:r>
          </w:p>
        </w:tc>
        <w:tc>
          <w:tcPr>
            <w:tcW w:w="2943" w:type="dxa"/>
          </w:tcPr>
          <w:p w14:paraId="2D2B9F88" w14:textId="431BF578" w:rsidR="00312684" w:rsidRPr="00204FB3" w:rsidRDefault="00CF5A95" w:rsidP="007C3E49">
            <w:pPr>
              <w:pStyle w:val="TblTextLeft"/>
              <w:jc w:val="center"/>
              <w:rPr>
                <w:lang w:val="en-AU" w:eastAsia="en-AU"/>
              </w:rPr>
            </w:pPr>
            <w:r w:rsidRPr="00204FB3">
              <w:rPr>
                <w:rFonts w:eastAsiaTheme="minorHAnsi"/>
                <w:lang w:val="en-AU"/>
              </w:rPr>
              <w:t>1.4%</w:t>
            </w:r>
          </w:p>
        </w:tc>
      </w:tr>
      <w:tr w:rsidR="007C3E49" w:rsidRPr="00204FB3" w14:paraId="3A1C85C6" w14:textId="77777777" w:rsidTr="00257746">
        <w:tc>
          <w:tcPr>
            <w:tcW w:w="3397" w:type="dxa"/>
          </w:tcPr>
          <w:p w14:paraId="69F1554E" w14:textId="2635B9A7" w:rsidR="00312684" w:rsidRPr="00204FB3" w:rsidRDefault="00E9655F" w:rsidP="00312684">
            <w:pPr>
              <w:pStyle w:val="TblTextLeft"/>
              <w:rPr>
                <w:b/>
                <w:lang w:val="en-AU" w:eastAsia="en-AU"/>
              </w:rPr>
            </w:pPr>
            <w:r w:rsidRPr="00204FB3">
              <w:rPr>
                <w:b/>
                <w:lang w:val="en-AU" w:eastAsia="en-AU"/>
              </w:rPr>
              <w:t>General disorders and administration site conditions</w:t>
            </w:r>
          </w:p>
        </w:tc>
        <w:tc>
          <w:tcPr>
            <w:tcW w:w="3119" w:type="dxa"/>
          </w:tcPr>
          <w:p w14:paraId="6A627510" w14:textId="77777777" w:rsidR="00312684" w:rsidRPr="00204FB3" w:rsidRDefault="00312684" w:rsidP="00312684">
            <w:pPr>
              <w:pStyle w:val="TblTextLeft"/>
              <w:rPr>
                <w:lang w:val="en-AU" w:eastAsia="en-AU"/>
              </w:rPr>
            </w:pPr>
          </w:p>
        </w:tc>
        <w:tc>
          <w:tcPr>
            <w:tcW w:w="2943" w:type="dxa"/>
          </w:tcPr>
          <w:p w14:paraId="5E31DDF2" w14:textId="77777777" w:rsidR="00312684" w:rsidRPr="00204FB3" w:rsidRDefault="00312684" w:rsidP="00312684">
            <w:pPr>
              <w:pStyle w:val="TblTextLeft"/>
              <w:rPr>
                <w:lang w:val="en-AU" w:eastAsia="en-AU"/>
              </w:rPr>
            </w:pPr>
          </w:p>
        </w:tc>
      </w:tr>
      <w:tr w:rsidR="007C3E49" w:rsidRPr="00204FB3" w14:paraId="37B34EFA" w14:textId="77777777" w:rsidTr="00257746">
        <w:tc>
          <w:tcPr>
            <w:tcW w:w="3397" w:type="dxa"/>
          </w:tcPr>
          <w:p w14:paraId="2D4CF554" w14:textId="78663E3E" w:rsidR="00312684" w:rsidRPr="00204FB3" w:rsidRDefault="00E9655F" w:rsidP="00312684">
            <w:pPr>
              <w:pStyle w:val="TblTextLeft"/>
              <w:rPr>
                <w:lang w:val="en-AU" w:eastAsia="en-AU"/>
              </w:rPr>
            </w:pPr>
            <w:r w:rsidRPr="00204FB3">
              <w:rPr>
                <w:lang w:val="en-AU" w:eastAsia="en-AU"/>
              </w:rPr>
              <w:t>Non-cardiac chest pain</w:t>
            </w:r>
          </w:p>
        </w:tc>
        <w:tc>
          <w:tcPr>
            <w:tcW w:w="3119" w:type="dxa"/>
          </w:tcPr>
          <w:p w14:paraId="7C6C6750" w14:textId="2B4CD4C5" w:rsidR="00312684" w:rsidRPr="00204FB3" w:rsidRDefault="00CF5A95" w:rsidP="007C3E49">
            <w:pPr>
              <w:pStyle w:val="TblTextLeft"/>
              <w:jc w:val="center"/>
              <w:rPr>
                <w:lang w:val="en-AU" w:eastAsia="en-AU"/>
              </w:rPr>
            </w:pPr>
            <w:r w:rsidRPr="00204FB3">
              <w:rPr>
                <w:rFonts w:eastAsiaTheme="minorHAnsi"/>
                <w:lang w:val="en-AU"/>
              </w:rPr>
              <w:t>6.8%</w:t>
            </w:r>
          </w:p>
        </w:tc>
        <w:tc>
          <w:tcPr>
            <w:tcW w:w="2943" w:type="dxa"/>
          </w:tcPr>
          <w:p w14:paraId="65C4530F" w14:textId="25C7F198" w:rsidR="00312684" w:rsidRPr="00204FB3" w:rsidRDefault="00CF5A95" w:rsidP="007C3E49">
            <w:pPr>
              <w:pStyle w:val="TblTextLeft"/>
              <w:jc w:val="center"/>
              <w:rPr>
                <w:lang w:val="en-AU" w:eastAsia="en-AU"/>
              </w:rPr>
            </w:pPr>
            <w:r w:rsidRPr="00204FB3">
              <w:rPr>
                <w:rFonts w:eastAsiaTheme="minorHAnsi"/>
                <w:lang w:val="en-AU"/>
              </w:rPr>
              <w:t>7.0%</w:t>
            </w:r>
          </w:p>
        </w:tc>
      </w:tr>
      <w:tr w:rsidR="007C3E49" w:rsidRPr="00204FB3" w14:paraId="5ACDAA67" w14:textId="77777777" w:rsidTr="00257746">
        <w:tc>
          <w:tcPr>
            <w:tcW w:w="3397" w:type="dxa"/>
          </w:tcPr>
          <w:p w14:paraId="7D0FEF8B" w14:textId="4CE9C167" w:rsidR="00312684" w:rsidRPr="00204FB3" w:rsidRDefault="00E9655F" w:rsidP="00312684">
            <w:pPr>
              <w:pStyle w:val="TblTextLeft"/>
              <w:rPr>
                <w:lang w:val="en-AU" w:eastAsia="en-AU"/>
              </w:rPr>
            </w:pPr>
            <w:r w:rsidRPr="00204FB3">
              <w:rPr>
                <w:sz w:val="22"/>
                <w:szCs w:val="22"/>
              </w:rPr>
              <w:t>Injection site</w:t>
            </w:r>
            <w:r w:rsidRPr="00204FB3">
              <w:rPr>
                <w:spacing w:val="-8"/>
                <w:sz w:val="22"/>
                <w:szCs w:val="22"/>
              </w:rPr>
              <w:t xml:space="preserve"> </w:t>
            </w:r>
            <w:r w:rsidRPr="00204FB3">
              <w:rPr>
                <w:sz w:val="22"/>
                <w:szCs w:val="22"/>
              </w:rPr>
              <w:t>reaction</w:t>
            </w:r>
          </w:p>
        </w:tc>
        <w:tc>
          <w:tcPr>
            <w:tcW w:w="3119" w:type="dxa"/>
          </w:tcPr>
          <w:p w14:paraId="6765951D" w14:textId="028C29B7" w:rsidR="00312684" w:rsidRPr="00204FB3" w:rsidRDefault="00CF5A95" w:rsidP="007C3E49">
            <w:pPr>
              <w:pStyle w:val="TblTextLeft"/>
              <w:jc w:val="center"/>
              <w:rPr>
                <w:lang w:val="en-AU" w:eastAsia="en-AU"/>
              </w:rPr>
            </w:pPr>
            <w:r w:rsidRPr="00204FB3">
              <w:rPr>
                <w:lang w:val="en-AU" w:eastAsia="en-AU"/>
              </w:rPr>
              <w:t>1.4%</w:t>
            </w:r>
          </w:p>
        </w:tc>
        <w:tc>
          <w:tcPr>
            <w:tcW w:w="2943" w:type="dxa"/>
          </w:tcPr>
          <w:p w14:paraId="3F166FD9" w14:textId="56290E9F" w:rsidR="00312684" w:rsidRPr="00204FB3" w:rsidRDefault="00CF5A95" w:rsidP="007C3E49">
            <w:pPr>
              <w:pStyle w:val="TblTextLeft"/>
              <w:jc w:val="center"/>
              <w:rPr>
                <w:lang w:val="en-AU" w:eastAsia="en-AU"/>
              </w:rPr>
            </w:pPr>
            <w:r w:rsidRPr="00204FB3">
              <w:rPr>
                <w:lang w:val="en-AU" w:eastAsia="en-AU"/>
              </w:rPr>
              <w:t>2.8%</w:t>
            </w:r>
          </w:p>
        </w:tc>
      </w:tr>
      <w:tr w:rsidR="007C3E49" w:rsidRPr="00204FB3" w14:paraId="3B4AE780" w14:textId="77777777" w:rsidTr="00257746">
        <w:tc>
          <w:tcPr>
            <w:tcW w:w="3397" w:type="dxa"/>
          </w:tcPr>
          <w:p w14:paraId="655BFB10" w14:textId="16339494" w:rsidR="00312684" w:rsidRPr="00204FB3" w:rsidRDefault="00E9655F" w:rsidP="00312684">
            <w:pPr>
              <w:pStyle w:val="TblTextLeft"/>
              <w:rPr>
                <w:b/>
                <w:lang w:val="en-AU" w:eastAsia="en-AU"/>
              </w:rPr>
            </w:pPr>
            <w:r w:rsidRPr="00204FB3">
              <w:rPr>
                <w:b/>
                <w:lang w:val="en-AU" w:eastAsia="en-AU"/>
              </w:rPr>
              <w:t>Infections and infestations</w:t>
            </w:r>
          </w:p>
        </w:tc>
        <w:tc>
          <w:tcPr>
            <w:tcW w:w="3119" w:type="dxa"/>
          </w:tcPr>
          <w:p w14:paraId="14BB7AA5" w14:textId="77777777" w:rsidR="00312684" w:rsidRPr="00204FB3" w:rsidRDefault="00312684" w:rsidP="007C3E49">
            <w:pPr>
              <w:pStyle w:val="TblTextLeft"/>
              <w:jc w:val="center"/>
              <w:rPr>
                <w:lang w:val="en-AU" w:eastAsia="en-AU"/>
              </w:rPr>
            </w:pPr>
          </w:p>
        </w:tc>
        <w:tc>
          <w:tcPr>
            <w:tcW w:w="2943" w:type="dxa"/>
          </w:tcPr>
          <w:p w14:paraId="775CB9A5" w14:textId="77777777" w:rsidR="00312684" w:rsidRPr="00204FB3" w:rsidRDefault="00312684" w:rsidP="007C3E49">
            <w:pPr>
              <w:pStyle w:val="TblTextLeft"/>
              <w:jc w:val="center"/>
              <w:rPr>
                <w:lang w:val="en-AU" w:eastAsia="en-AU"/>
              </w:rPr>
            </w:pPr>
          </w:p>
        </w:tc>
      </w:tr>
      <w:tr w:rsidR="007C3E49" w:rsidRPr="00204FB3" w14:paraId="52C6A55A" w14:textId="77777777" w:rsidTr="00257746">
        <w:tc>
          <w:tcPr>
            <w:tcW w:w="3397" w:type="dxa"/>
          </w:tcPr>
          <w:p w14:paraId="198BC2A8" w14:textId="1FA16760" w:rsidR="00312684" w:rsidRPr="00204FB3" w:rsidRDefault="00E9655F" w:rsidP="00312684">
            <w:pPr>
              <w:pStyle w:val="TblTextLeft"/>
              <w:rPr>
                <w:lang w:val="en-AU" w:eastAsia="en-AU"/>
              </w:rPr>
            </w:pPr>
            <w:r w:rsidRPr="00204FB3">
              <w:rPr>
                <w:lang w:val="en-AU" w:eastAsia="en-AU"/>
              </w:rPr>
              <w:t>Nasopharyngitis</w:t>
            </w:r>
          </w:p>
        </w:tc>
        <w:tc>
          <w:tcPr>
            <w:tcW w:w="3119" w:type="dxa"/>
          </w:tcPr>
          <w:p w14:paraId="21B75A70" w14:textId="51F8C523" w:rsidR="00312684" w:rsidRPr="00204FB3" w:rsidRDefault="00CF5A95" w:rsidP="007C3E49">
            <w:pPr>
              <w:pStyle w:val="TblTextLeft"/>
              <w:jc w:val="center"/>
              <w:rPr>
                <w:lang w:val="en-AU" w:eastAsia="en-AU"/>
              </w:rPr>
            </w:pPr>
            <w:r w:rsidRPr="00204FB3">
              <w:rPr>
                <w:lang w:val="en-AU" w:eastAsia="en-AU"/>
              </w:rPr>
              <w:t>5.6%</w:t>
            </w:r>
          </w:p>
        </w:tc>
        <w:tc>
          <w:tcPr>
            <w:tcW w:w="2943" w:type="dxa"/>
          </w:tcPr>
          <w:p w14:paraId="12153609" w14:textId="4FAF9ED7" w:rsidR="00312684" w:rsidRPr="00204FB3" w:rsidRDefault="00CF5A95" w:rsidP="007C3E49">
            <w:pPr>
              <w:pStyle w:val="TblTextLeft"/>
              <w:jc w:val="center"/>
              <w:rPr>
                <w:lang w:val="en-AU" w:eastAsia="en-AU"/>
              </w:rPr>
            </w:pPr>
            <w:r w:rsidRPr="00204FB3">
              <w:rPr>
                <w:lang w:val="en-AU" w:eastAsia="en-AU"/>
              </w:rPr>
              <w:t>6.0%</w:t>
            </w:r>
          </w:p>
        </w:tc>
      </w:tr>
      <w:tr w:rsidR="007C3E49" w:rsidRPr="00204FB3" w14:paraId="0FAA551D" w14:textId="77777777" w:rsidTr="00257746">
        <w:tc>
          <w:tcPr>
            <w:tcW w:w="3397" w:type="dxa"/>
          </w:tcPr>
          <w:p w14:paraId="064C491A" w14:textId="53AB853A" w:rsidR="00312684" w:rsidRPr="00204FB3" w:rsidRDefault="00E9655F" w:rsidP="00312684">
            <w:pPr>
              <w:pStyle w:val="TblTextLeft"/>
              <w:rPr>
                <w:lang w:val="en-AU" w:eastAsia="en-AU"/>
              </w:rPr>
            </w:pPr>
            <w:r w:rsidRPr="00204FB3">
              <w:rPr>
                <w:lang w:val="en-AU" w:eastAsia="en-AU"/>
              </w:rPr>
              <w:t>Sinusitis</w:t>
            </w:r>
          </w:p>
        </w:tc>
        <w:tc>
          <w:tcPr>
            <w:tcW w:w="3119" w:type="dxa"/>
          </w:tcPr>
          <w:p w14:paraId="379D24D1" w14:textId="1F6D7F24" w:rsidR="00312684" w:rsidRPr="00204FB3" w:rsidRDefault="00CF5A95" w:rsidP="007C3E49">
            <w:pPr>
              <w:pStyle w:val="TblTextLeft"/>
              <w:jc w:val="center"/>
              <w:rPr>
                <w:lang w:val="en-AU" w:eastAsia="en-AU"/>
              </w:rPr>
            </w:pPr>
            <w:r w:rsidRPr="00204FB3">
              <w:rPr>
                <w:lang w:val="en-AU" w:eastAsia="en-AU"/>
              </w:rPr>
              <w:t>1.3%</w:t>
            </w:r>
          </w:p>
        </w:tc>
        <w:tc>
          <w:tcPr>
            <w:tcW w:w="2943" w:type="dxa"/>
          </w:tcPr>
          <w:p w14:paraId="229A2C83" w14:textId="46B3442C" w:rsidR="00312684" w:rsidRPr="00204FB3" w:rsidRDefault="00CF5A95" w:rsidP="007C3E49">
            <w:pPr>
              <w:pStyle w:val="TblTextLeft"/>
              <w:jc w:val="center"/>
              <w:rPr>
                <w:lang w:val="en-AU" w:eastAsia="en-AU"/>
              </w:rPr>
            </w:pPr>
            <w:r w:rsidRPr="00204FB3">
              <w:rPr>
                <w:lang w:val="en-AU" w:eastAsia="en-AU"/>
              </w:rPr>
              <w:t>1.5%</w:t>
            </w:r>
          </w:p>
        </w:tc>
      </w:tr>
      <w:tr w:rsidR="007C3E49" w:rsidRPr="00204FB3" w14:paraId="458AEE2B" w14:textId="77777777" w:rsidTr="00257746">
        <w:tc>
          <w:tcPr>
            <w:tcW w:w="3397" w:type="dxa"/>
          </w:tcPr>
          <w:p w14:paraId="25F280F0" w14:textId="4EF7D947" w:rsidR="00312684" w:rsidRPr="00204FB3" w:rsidRDefault="00E9655F" w:rsidP="00312684">
            <w:pPr>
              <w:pStyle w:val="TblTextLeft"/>
              <w:rPr>
                <w:lang w:val="en-AU" w:eastAsia="en-AU"/>
              </w:rPr>
            </w:pPr>
            <w:r w:rsidRPr="00204FB3">
              <w:rPr>
                <w:lang w:val="en-AU" w:eastAsia="en-AU"/>
              </w:rPr>
              <w:t>Lower respiratory tract infection</w:t>
            </w:r>
          </w:p>
        </w:tc>
        <w:tc>
          <w:tcPr>
            <w:tcW w:w="3119" w:type="dxa"/>
          </w:tcPr>
          <w:p w14:paraId="63493754" w14:textId="664B1962" w:rsidR="00312684" w:rsidRPr="00204FB3" w:rsidRDefault="00CF5A95" w:rsidP="007C3E49">
            <w:pPr>
              <w:pStyle w:val="TblTextLeft"/>
              <w:jc w:val="center"/>
              <w:rPr>
                <w:lang w:val="en-AU" w:eastAsia="en-AU"/>
              </w:rPr>
            </w:pPr>
            <w:r w:rsidRPr="00204FB3">
              <w:rPr>
                <w:lang w:val="en-AU" w:eastAsia="en-AU"/>
              </w:rPr>
              <w:t>1.0%</w:t>
            </w:r>
          </w:p>
        </w:tc>
        <w:tc>
          <w:tcPr>
            <w:tcW w:w="2943" w:type="dxa"/>
          </w:tcPr>
          <w:p w14:paraId="32DBF625" w14:textId="6A19B6CA" w:rsidR="00312684" w:rsidRPr="00204FB3" w:rsidRDefault="00CF5A95" w:rsidP="007C3E49">
            <w:pPr>
              <w:pStyle w:val="TblTextLeft"/>
              <w:jc w:val="center"/>
              <w:rPr>
                <w:lang w:val="en-AU" w:eastAsia="en-AU"/>
              </w:rPr>
            </w:pPr>
            <w:r w:rsidRPr="00204FB3">
              <w:rPr>
                <w:lang w:val="en-AU" w:eastAsia="en-AU"/>
              </w:rPr>
              <w:t>1.1%</w:t>
            </w:r>
          </w:p>
          <w:p w14:paraId="0ADC6E95" w14:textId="5BE935A1" w:rsidR="00312684" w:rsidRPr="00204FB3" w:rsidRDefault="00312684" w:rsidP="007C3E49">
            <w:pPr>
              <w:pStyle w:val="TblTextLeft"/>
              <w:jc w:val="center"/>
              <w:rPr>
                <w:lang w:val="en-AU" w:eastAsia="en-AU"/>
              </w:rPr>
            </w:pPr>
          </w:p>
        </w:tc>
      </w:tr>
      <w:tr w:rsidR="007C3E49" w:rsidRPr="00204FB3" w14:paraId="3BCB76D8" w14:textId="77777777" w:rsidTr="00257746">
        <w:tc>
          <w:tcPr>
            <w:tcW w:w="3397" w:type="dxa"/>
          </w:tcPr>
          <w:p w14:paraId="710F0B4D" w14:textId="6FAC6F45" w:rsidR="00E9655F" w:rsidRPr="00204FB3" w:rsidRDefault="00CF5A95" w:rsidP="00312684">
            <w:pPr>
              <w:pStyle w:val="TblTextLeft"/>
              <w:rPr>
                <w:b/>
                <w:lang w:val="en-AU" w:eastAsia="en-AU"/>
              </w:rPr>
            </w:pPr>
            <w:r w:rsidRPr="00204FB3">
              <w:rPr>
                <w:b/>
                <w:lang w:val="en-AU" w:eastAsia="en-AU"/>
              </w:rPr>
              <w:t>Injury, poisoning and procedural complications</w:t>
            </w:r>
          </w:p>
        </w:tc>
        <w:tc>
          <w:tcPr>
            <w:tcW w:w="3119" w:type="dxa"/>
          </w:tcPr>
          <w:p w14:paraId="69317FB2" w14:textId="77777777" w:rsidR="00E9655F" w:rsidRPr="00204FB3" w:rsidRDefault="00E9655F" w:rsidP="007C3E49">
            <w:pPr>
              <w:pStyle w:val="TblTextLeft"/>
              <w:jc w:val="center"/>
              <w:rPr>
                <w:lang w:val="en-AU" w:eastAsia="en-AU"/>
              </w:rPr>
            </w:pPr>
          </w:p>
        </w:tc>
        <w:tc>
          <w:tcPr>
            <w:tcW w:w="2943" w:type="dxa"/>
          </w:tcPr>
          <w:p w14:paraId="2AFCB57E" w14:textId="77777777" w:rsidR="00E9655F" w:rsidRPr="00204FB3" w:rsidRDefault="00E9655F" w:rsidP="007C3E49">
            <w:pPr>
              <w:pStyle w:val="TblTextLeft"/>
              <w:jc w:val="center"/>
              <w:rPr>
                <w:lang w:val="en-AU" w:eastAsia="en-AU"/>
              </w:rPr>
            </w:pPr>
          </w:p>
        </w:tc>
      </w:tr>
      <w:tr w:rsidR="007C3E49" w:rsidRPr="00204FB3" w14:paraId="5F88084F" w14:textId="77777777" w:rsidTr="00257746">
        <w:tc>
          <w:tcPr>
            <w:tcW w:w="3397" w:type="dxa"/>
          </w:tcPr>
          <w:p w14:paraId="49A54922" w14:textId="018449CF" w:rsidR="00E9655F" w:rsidRPr="00204FB3" w:rsidRDefault="00CF5A95" w:rsidP="00312684">
            <w:pPr>
              <w:pStyle w:val="TblTextLeft"/>
              <w:rPr>
                <w:lang w:val="en-AU" w:eastAsia="en-AU"/>
              </w:rPr>
            </w:pPr>
            <w:r w:rsidRPr="00204FB3">
              <w:rPr>
                <w:lang w:val="en-AU" w:eastAsia="en-AU"/>
              </w:rPr>
              <w:t>Contusion</w:t>
            </w:r>
          </w:p>
        </w:tc>
        <w:tc>
          <w:tcPr>
            <w:tcW w:w="3119" w:type="dxa"/>
          </w:tcPr>
          <w:p w14:paraId="64F38859" w14:textId="77865CB0" w:rsidR="00E9655F" w:rsidRPr="00204FB3" w:rsidRDefault="00CF5A95" w:rsidP="007C3E49">
            <w:pPr>
              <w:pStyle w:val="TblTextLeft"/>
              <w:jc w:val="center"/>
              <w:rPr>
                <w:lang w:val="en-AU" w:eastAsia="en-AU"/>
              </w:rPr>
            </w:pPr>
            <w:r w:rsidRPr="00204FB3">
              <w:rPr>
                <w:lang w:val="en-AU" w:eastAsia="en-AU"/>
              </w:rPr>
              <w:t>1.7%</w:t>
            </w:r>
          </w:p>
        </w:tc>
        <w:tc>
          <w:tcPr>
            <w:tcW w:w="2943" w:type="dxa"/>
          </w:tcPr>
          <w:p w14:paraId="6DC2A6DB" w14:textId="789ECF0F" w:rsidR="00E9655F" w:rsidRPr="00204FB3" w:rsidRDefault="00CF5A95" w:rsidP="007C3E49">
            <w:pPr>
              <w:pStyle w:val="TblTextLeft"/>
              <w:jc w:val="center"/>
              <w:rPr>
                <w:lang w:val="en-AU" w:eastAsia="en-AU"/>
              </w:rPr>
            </w:pPr>
            <w:r w:rsidRPr="00204FB3">
              <w:rPr>
                <w:lang w:val="en-AU" w:eastAsia="en-AU"/>
              </w:rPr>
              <w:t>1.8%</w:t>
            </w:r>
          </w:p>
        </w:tc>
      </w:tr>
      <w:tr w:rsidR="007C3E49" w:rsidRPr="00204FB3" w14:paraId="5DDBBCE5" w14:textId="77777777" w:rsidTr="00257746">
        <w:tc>
          <w:tcPr>
            <w:tcW w:w="3397" w:type="dxa"/>
          </w:tcPr>
          <w:p w14:paraId="540EF428" w14:textId="5E2EC21D" w:rsidR="00E9655F" w:rsidRPr="00204FB3" w:rsidRDefault="00CF5A95" w:rsidP="00312684">
            <w:pPr>
              <w:pStyle w:val="TblTextLeft"/>
              <w:rPr>
                <w:b/>
                <w:lang w:val="en-AU" w:eastAsia="en-AU"/>
              </w:rPr>
            </w:pPr>
            <w:r w:rsidRPr="00204FB3">
              <w:rPr>
                <w:b/>
                <w:lang w:val="en-AU" w:eastAsia="en-AU"/>
              </w:rPr>
              <w:t>Musculoskeletal and connective tissue disorders</w:t>
            </w:r>
          </w:p>
        </w:tc>
        <w:tc>
          <w:tcPr>
            <w:tcW w:w="3119" w:type="dxa"/>
          </w:tcPr>
          <w:p w14:paraId="5CB9727A" w14:textId="77777777" w:rsidR="00E9655F" w:rsidRPr="00204FB3" w:rsidRDefault="00E9655F" w:rsidP="007C3E49">
            <w:pPr>
              <w:pStyle w:val="TblTextLeft"/>
              <w:jc w:val="center"/>
              <w:rPr>
                <w:lang w:val="en-AU" w:eastAsia="en-AU"/>
              </w:rPr>
            </w:pPr>
          </w:p>
        </w:tc>
        <w:tc>
          <w:tcPr>
            <w:tcW w:w="2943" w:type="dxa"/>
          </w:tcPr>
          <w:p w14:paraId="5169AB41" w14:textId="77777777" w:rsidR="00E9655F" w:rsidRPr="00204FB3" w:rsidRDefault="00E9655F" w:rsidP="007C3E49">
            <w:pPr>
              <w:pStyle w:val="TblTextLeft"/>
              <w:jc w:val="center"/>
              <w:rPr>
                <w:lang w:val="en-AU" w:eastAsia="en-AU"/>
              </w:rPr>
            </w:pPr>
          </w:p>
        </w:tc>
      </w:tr>
      <w:tr w:rsidR="007C3E49" w:rsidRPr="00204FB3" w14:paraId="38A9FAD6" w14:textId="77777777" w:rsidTr="00257746">
        <w:tc>
          <w:tcPr>
            <w:tcW w:w="3397" w:type="dxa"/>
          </w:tcPr>
          <w:p w14:paraId="5EA1C390" w14:textId="68D898AB" w:rsidR="00E9655F" w:rsidRPr="00204FB3" w:rsidRDefault="00CF5A95" w:rsidP="00312684">
            <w:pPr>
              <w:pStyle w:val="TblTextLeft"/>
              <w:rPr>
                <w:lang w:val="en-AU" w:eastAsia="en-AU"/>
              </w:rPr>
            </w:pPr>
            <w:r w:rsidRPr="00204FB3">
              <w:rPr>
                <w:lang w:val="en-AU" w:eastAsia="en-AU"/>
              </w:rPr>
              <w:t>Myalgia</w:t>
            </w:r>
          </w:p>
        </w:tc>
        <w:tc>
          <w:tcPr>
            <w:tcW w:w="3119" w:type="dxa"/>
          </w:tcPr>
          <w:p w14:paraId="7ED84705" w14:textId="7F7A6DDA" w:rsidR="00E9655F" w:rsidRPr="00204FB3" w:rsidRDefault="00CF5A95" w:rsidP="007C3E49">
            <w:pPr>
              <w:pStyle w:val="TblTextLeft"/>
              <w:jc w:val="center"/>
              <w:rPr>
                <w:lang w:val="en-AU" w:eastAsia="en-AU"/>
              </w:rPr>
            </w:pPr>
            <w:r w:rsidRPr="00204FB3">
              <w:rPr>
                <w:lang w:val="en-AU" w:eastAsia="en-AU"/>
              </w:rPr>
              <w:t>5.3%</w:t>
            </w:r>
          </w:p>
        </w:tc>
        <w:tc>
          <w:tcPr>
            <w:tcW w:w="2943" w:type="dxa"/>
          </w:tcPr>
          <w:p w14:paraId="4A29979B" w14:textId="2C62EBD2" w:rsidR="00E9655F" w:rsidRPr="00204FB3" w:rsidRDefault="00CF5A95" w:rsidP="007C3E49">
            <w:pPr>
              <w:pStyle w:val="TblTextLeft"/>
              <w:jc w:val="center"/>
              <w:rPr>
                <w:lang w:val="en-AU" w:eastAsia="en-AU"/>
              </w:rPr>
            </w:pPr>
            <w:r w:rsidRPr="00204FB3">
              <w:rPr>
                <w:lang w:val="en-AU" w:eastAsia="en-AU"/>
              </w:rPr>
              <w:t>5.6%</w:t>
            </w:r>
          </w:p>
        </w:tc>
      </w:tr>
      <w:tr w:rsidR="007C3E49" w:rsidRPr="00204FB3" w14:paraId="2BCEA79A" w14:textId="77777777" w:rsidTr="00257746">
        <w:tc>
          <w:tcPr>
            <w:tcW w:w="3397" w:type="dxa"/>
          </w:tcPr>
          <w:p w14:paraId="09F20E16" w14:textId="36E9CE0B" w:rsidR="00E9655F" w:rsidRPr="00204FB3" w:rsidRDefault="00CF5A95" w:rsidP="00312684">
            <w:pPr>
              <w:pStyle w:val="TblTextLeft"/>
              <w:rPr>
                <w:lang w:val="en-AU" w:eastAsia="en-AU"/>
              </w:rPr>
            </w:pPr>
            <w:r w:rsidRPr="00204FB3">
              <w:rPr>
                <w:lang w:val="en-AU" w:eastAsia="en-AU"/>
              </w:rPr>
              <w:t>Back pain</w:t>
            </w:r>
          </w:p>
        </w:tc>
        <w:tc>
          <w:tcPr>
            <w:tcW w:w="3119" w:type="dxa"/>
          </w:tcPr>
          <w:p w14:paraId="26132641" w14:textId="16D54AB2" w:rsidR="00E9655F" w:rsidRPr="00204FB3" w:rsidRDefault="00CF5A95" w:rsidP="007C3E49">
            <w:pPr>
              <w:pStyle w:val="TblTextLeft"/>
              <w:jc w:val="center"/>
              <w:rPr>
                <w:lang w:val="en-AU" w:eastAsia="en-AU"/>
              </w:rPr>
            </w:pPr>
            <w:r w:rsidRPr="00204FB3">
              <w:rPr>
                <w:lang w:val="en-AU" w:eastAsia="en-AU"/>
              </w:rPr>
              <w:t>4.2%</w:t>
            </w:r>
          </w:p>
        </w:tc>
        <w:tc>
          <w:tcPr>
            <w:tcW w:w="2943" w:type="dxa"/>
          </w:tcPr>
          <w:p w14:paraId="47AF514C" w14:textId="69FD9CAC" w:rsidR="00E9655F" w:rsidRPr="00204FB3" w:rsidRDefault="00CF5A95" w:rsidP="007C3E49">
            <w:pPr>
              <w:pStyle w:val="TblTextLeft"/>
              <w:jc w:val="center"/>
              <w:rPr>
                <w:lang w:val="en-AU" w:eastAsia="en-AU"/>
              </w:rPr>
            </w:pPr>
            <w:r w:rsidRPr="00204FB3">
              <w:rPr>
                <w:lang w:val="en-AU" w:eastAsia="en-AU"/>
              </w:rPr>
              <w:t>4.3%</w:t>
            </w:r>
          </w:p>
        </w:tc>
      </w:tr>
      <w:tr w:rsidR="007C3E49" w:rsidRPr="00204FB3" w14:paraId="01D12203" w14:textId="77777777" w:rsidTr="00257746">
        <w:tc>
          <w:tcPr>
            <w:tcW w:w="3397" w:type="dxa"/>
          </w:tcPr>
          <w:p w14:paraId="172C9929" w14:textId="775266DB" w:rsidR="00E9655F" w:rsidRPr="00204FB3" w:rsidRDefault="00CF5A95" w:rsidP="00312684">
            <w:pPr>
              <w:pStyle w:val="TblTextLeft"/>
              <w:rPr>
                <w:lang w:val="en-AU" w:eastAsia="en-AU"/>
              </w:rPr>
            </w:pPr>
            <w:r w:rsidRPr="00204FB3">
              <w:rPr>
                <w:lang w:val="en-AU" w:eastAsia="en-AU"/>
              </w:rPr>
              <w:t>Arthralgia</w:t>
            </w:r>
          </w:p>
        </w:tc>
        <w:tc>
          <w:tcPr>
            <w:tcW w:w="3119" w:type="dxa"/>
          </w:tcPr>
          <w:p w14:paraId="24FC844D" w14:textId="0F9F43F1" w:rsidR="00E9655F" w:rsidRPr="00204FB3" w:rsidRDefault="00CF5A95" w:rsidP="007C3E49">
            <w:pPr>
              <w:pStyle w:val="TblTextLeft"/>
              <w:jc w:val="center"/>
              <w:rPr>
                <w:lang w:val="en-AU" w:eastAsia="en-AU"/>
              </w:rPr>
            </w:pPr>
            <w:r w:rsidRPr="00204FB3">
              <w:rPr>
                <w:lang w:val="en-AU" w:eastAsia="en-AU"/>
              </w:rPr>
              <w:t>3.7%</w:t>
            </w:r>
          </w:p>
        </w:tc>
        <w:tc>
          <w:tcPr>
            <w:tcW w:w="2943" w:type="dxa"/>
          </w:tcPr>
          <w:p w14:paraId="066C3F9D" w14:textId="417053F7" w:rsidR="00E9655F" w:rsidRPr="00204FB3" w:rsidRDefault="00CF5A95" w:rsidP="007C3E49">
            <w:pPr>
              <w:pStyle w:val="TblTextLeft"/>
              <w:jc w:val="center"/>
              <w:rPr>
                <w:lang w:val="en-AU" w:eastAsia="en-AU"/>
              </w:rPr>
            </w:pPr>
            <w:r w:rsidRPr="00204FB3">
              <w:rPr>
                <w:lang w:val="en-AU" w:eastAsia="en-AU"/>
              </w:rPr>
              <w:t>3.9%</w:t>
            </w:r>
          </w:p>
        </w:tc>
      </w:tr>
      <w:tr w:rsidR="007C3E49" w:rsidRPr="00204FB3" w14:paraId="1DCCF3C2" w14:textId="77777777" w:rsidTr="00257746">
        <w:tc>
          <w:tcPr>
            <w:tcW w:w="3397" w:type="dxa"/>
          </w:tcPr>
          <w:p w14:paraId="786DD534" w14:textId="46627AE3" w:rsidR="00E9655F" w:rsidRPr="00204FB3" w:rsidRDefault="00CF5A95" w:rsidP="00312684">
            <w:pPr>
              <w:pStyle w:val="TblTextLeft"/>
              <w:rPr>
                <w:lang w:val="en-AU" w:eastAsia="en-AU"/>
              </w:rPr>
            </w:pPr>
            <w:r w:rsidRPr="00204FB3">
              <w:rPr>
                <w:lang w:val="en-AU" w:eastAsia="en-AU"/>
              </w:rPr>
              <w:t>Muscle spasms</w:t>
            </w:r>
          </w:p>
        </w:tc>
        <w:tc>
          <w:tcPr>
            <w:tcW w:w="3119" w:type="dxa"/>
          </w:tcPr>
          <w:p w14:paraId="28992A85" w14:textId="0CA18B1F" w:rsidR="00E9655F" w:rsidRPr="00204FB3" w:rsidRDefault="00CF5A95" w:rsidP="007C3E49">
            <w:pPr>
              <w:pStyle w:val="TblTextLeft"/>
              <w:jc w:val="center"/>
              <w:rPr>
                <w:lang w:val="en-AU" w:eastAsia="en-AU"/>
              </w:rPr>
            </w:pPr>
            <w:r w:rsidRPr="00204FB3">
              <w:rPr>
                <w:lang w:val="en-AU" w:eastAsia="en-AU"/>
              </w:rPr>
              <w:t>2.1%</w:t>
            </w:r>
          </w:p>
        </w:tc>
        <w:tc>
          <w:tcPr>
            <w:tcW w:w="2943" w:type="dxa"/>
          </w:tcPr>
          <w:p w14:paraId="17010942" w14:textId="0D5210A3" w:rsidR="00E9655F" w:rsidRPr="00204FB3" w:rsidRDefault="00CF5A95" w:rsidP="007C3E49">
            <w:pPr>
              <w:pStyle w:val="TblTextLeft"/>
              <w:jc w:val="center"/>
              <w:rPr>
                <w:lang w:val="en-AU" w:eastAsia="en-AU"/>
              </w:rPr>
            </w:pPr>
            <w:r w:rsidRPr="00204FB3">
              <w:rPr>
                <w:lang w:val="en-AU" w:eastAsia="en-AU"/>
              </w:rPr>
              <w:t>2.3%</w:t>
            </w:r>
          </w:p>
        </w:tc>
      </w:tr>
      <w:tr w:rsidR="007C3E49" w:rsidRPr="00204FB3" w14:paraId="084AF0E4" w14:textId="77777777" w:rsidTr="00257746">
        <w:tc>
          <w:tcPr>
            <w:tcW w:w="3397" w:type="dxa"/>
          </w:tcPr>
          <w:p w14:paraId="1FC0F02A" w14:textId="7E963071" w:rsidR="00E9655F" w:rsidRPr="00204FB3" w:rsidRDefault="00CF5A95" w:rsidP="00312684">
            <w:pPr>
              <w:pStyle w:val="TblTextLeft"/>
              <w:rPr>
                <w:b/>
                <w:lang w:val="en-AU" w:eastAsia="en-AU"/>
              </w:rPr>
            </w:pPr>
            <w:r w:rsidRPr="00204FB3">
              <w:rPr>
                <w:b/>
                <w:lang w:val="en-AU" w:eastAsia="en-AU"/>
              </w:rPr>
              <w:t>Nervous system disorders</w:t>
            </w:r>
          </w:p>
        </w:tc>
        <w:tc>
          <w:tcPr>
            <w:tcW w:w="3119" w:type="dxa"/>
          </w:tcPr>
          <w:p w14:paraId="47CA2D16" w14:textId="77777777" w:rsidR="00E9655F" w:rsidRPr="00204FB3" w:rsidRDefault="00E9655F" w:rsidP="007C3E49">
            <w:pPr>
              <w:pStyle w:val="TblTextLeft"/>
              <w:jc w:val="center"/>
              <w:rPr>
                <w:lang w:val="en-AU" w:eastAsia="en-AU"/>
              </w:rPr>
            </w:pPr>
          </w:p>
        </w:tc>
        <w:tc>
          <w:tcPr>
            <w:tcW w:w="2943" w:type="dxa"/>
          </w:tcPr>
          <w:p w14:paraId="323076D1" w14:textId="77777777" w:rsidR="00E9655F" w:rsidRPr="00204FB3" w:rsidRDefault="00E9655F" w:rsidP="007C3E49">
            <w:pPr>
              <w:pStyle w:val="TblTextLeft"/>
              <w:jc w:val="center"/>
              <w:rPr>
                <w:lang w:val="en-AU" w:eastAsia="en-AU"/>
              </w:rPr>
            </w:pPr>
          </w:p>
        </w:tc>
      </w:tr>
      <w:tr w:rsidR="007C3E49" w:rsidRPr="00204FB3" w14:paraId="3315CBEF" w14:textId="77777777" w:rsidTr="00257746">
        <w:tc>
          <w:tcPr>
            <w:tcW w:w="3397" w:type="dxa"/>
          </w:tcPr>
          <w:p w14:paraId="76146A19" w14:textId="199872E9" w:rsidR="00E9655F" w:rsidRPr="00204FB3" w:rsidRDefault="00CF5A95" w:rsidP="00312684">
            <w:pPr>
              <w:pStyle w:val="TblTextLeft"/>
              <w:rPr>
                <w:lang w:val="en-AU" w:eastAsia="en-AU"/>
              </w:rPr>
            </w:pPr>
            <w:r w:rsidRPr="00204FB3">
              <w:rPr>
                <w:lang w:val="en-AU" w:eastAsia="en-AU"/>
              </w:rPr>
              <w:t>Hypoaesthesia</w:t>
            </w:r>
          </w:p>
        </w:tc>
        <w:tc>
          <w:tcPr>
            <w:tcW w:w="3119" w:type="dxa"/>
          </w:tcPr>
          <w:p w14:paraId="08373BE5" w14:textId="20219F33" w:rsidR="00E9655F" w:rsidRPr="00204FB3" w:rsidRDefault="00417EF7" w:rsidP="007C3E49">
            <w:pPr>
              <w:pStyle w:val="TblTextLeft"/>
              <w:jc w:val="center"/>
              <w:rPr>
                <w:lang w:val="en-AU" w:eastAsia="en-AU"/>
              </w:rPr>
            </w:pPr>
            <w:r w:rsidRPr="00204FB3">
              <w:rPr>
                <w:lang w:val="en-AU" w:eastAsia="en-AU"/>
              </w:rPr>
              <w:t>0.9%</w:t>
            </w:r>
          </w:p>
        </w:tc>
        <w:tc>
          <w:tcPr>
            <w:tcW w:w="2943" w:type="dxa"/>
          </w:tcPr>
          <w:p w14:paraId="4A016894" w14:textId="44E51E4D" w:rsidR="00E9655F" w:rsidRPr="00204FB3" w:rsidRDefault="00417EF7" w:rsidP="007C3E49">
            <w:pPr>
              <w:pStyle w:val="TblTextLeft"/>
              <w:jc w:val="center"/>
              <w:rPr>
                <w:lang w:val="en-AU" w:eastAsia="en-AU"/>
              </w:rPr>
            </w:pPr>
            <w:r w:rsidRPr="00204FB3">
              <w:rPr>
                <w:lang w:val="en-AU" w:eastAsia="en-AU"/>
              </w:rPr>
              <w:t>1.0%</w:t>
            </w:r>
          </w:p>
        </w:tc>
      </w:tr>
      <w:tr w:rsidR="007C3E49" w:rsidRPr="00204FB3" w14:paraId="505F1122" w14:textId="77777777" w:rsidTr="00257746">
        <w:tc>
          <w:tcPr>
            <w:tcW w:w="3397" w:type="dxa"/>
          </w:tcPr>
          <w:p w14:paraId="282AF228" w14:textId="5E9C571B" w:rsidR="00E9655F" w:rsidRPr="00204FB3" w:rsidRDefault="00CF5A95" w:rsidP="00312684">
            <w:pPr>
              <w:pStyle w:val="TblTextLeft"/>
              <w:rPr>
                <w:b/>
                <w:lang w:val="en-AU" w:eastAsia="en-AU"/>
              </w:rPr>
            </w:pPr>
            <w:r w:rsidRPr="00204FB3">
              <w:rPr>
                <w:b/>
                <w:lang w:val="en-AU" w:eastAsia="en-AU"/>
              </w:rPr>
              <w:t>Psychiatric disorders</w:t>
            </w:r>
          </w:p>
        </w:tc>
        <w:tc>
          <w:tcPr>
            <w:tcW w:w="3119" w:type="dxa"/>
          </w:tcPr>
          <w:p w14:paraId="1298BDCE" w14:textId="77777777" w:rsidR="00E9655F" w:rsidRPr="00204FB3" w:rsidRDefault="00E9655F" w:rsidP="007C3E49">
            <w:pPr>
              <w:pStyle w:val="TblTextLeft"/>
              <w:jc w:val="center"/>
              <w:rPr>
                <w:lang w:val="en-AU" w:eastAsia="en-AU"/>
              </w:rPr>
            </w:pPr>
          </w:p>
        </w:tc>
        <w:tc>
          <w:tcPr>
            <w:tcW w:w="2943" w:type="dxa"/>
          </w:tcPr>
          <w:p w14:paraId="08B63013" w14:textId="77777777" w:rsidR="00E9655F" w:rsidRPr="00204FB3" w:rsidRDefault="00E9655F" w:rsidP="007C3E49">
            <w:pPr>
              <w:pStyle w:val="TblTextLeft"/>
              <w:jc w:val="center"/>
              <w:rPr>
                <w:lang w:val="en-AU" w:eastAsia="en-AU"/>
              </w:rPr>
            </w:pPr>
          </w:p>
        </w:tc>
      </w:tr>
      <w:tr w:rsidR="007C3E49" w:rsidRPr="00204FB3" w14:paraId="5B8EDA4A" w14:textId="77777777" w:rsidTr="00257746">
        <w:tc>
          <w:tcPr>
            <w:tcW w:w="3397" w:type="dxa"/>
          </w:tcPr>
          <w:p w14:paraId="2D7756DF" w14:textId="539E5E43" w:rsidR="00E9655F" w:rsidRPr="00204FB3" w:rsidRDefault="00CF5A95" w:rsidP="00312684">
            <w:pPr>
              <w:pStyle w:val="TblTextLeft"/>
              <w:rPr>
                <w:lang w:val="en-AU" w:eastAsia="en-AU"/>
              </w:rPr>
            </w:pPr>
            <w:r w:rsidRPr="00204FB3">
              <w:rPr>
                <w:lang w:val="en-AU" w:eastAsia="en-AU"/>
              </w:rPr>
              <w:lastRenderedPageBreak/>
              <w:t>Insomnia</w:t>
            </w:r>
          </w:p>
        </w:tc>
        <w:tc>
          <w:tcPr>
            <w:tcW w:w="3119" w:type="dxa"/>
          </w:tcPr>
          <w:p w14:paraId="564C840C" w14:textId="24C84159" w:rsidR="00E9655F" w:rsidRPr="00204FB3" w:rsidRDefault="00417EF7" w:rsidP="007C3E49">
            <w:pPr>
              <w:pStyle w:val="TblTextLeft"/>
              <w:jc w:val="center"/>
              <w:rPr>
                <w:lang w:val="en-AU" w:eastAsia="en-AU"/>
              </w:rPr>
            </w:pPr>
            <w:r w:rsidRPr="00204FB3">
              <w:rPr>
                <w:lang w:val="en-AU" w:eastAsia="en-AU"/>
              </w:rPr>
              <w:t>1.3%</w:t>
            </w:r>
          </w:p>
        </w:tc>
        <w:tc>
          <w:tcPr>
            <w:tcW w:w="2943" w:type="dxa"/>
          </w:tcPr>
          <w:p w14:paraId="5072B4CC" w14:textId="317FB0D9" w:rsidR="00E9655F" w:rsidRPr="00204FB3" w:rsidRDefault="00417EF7" w:rsidP="007C3E49">
            <w:pPr>
              <w:pStyle w:val="TblTextLeft"/>
              <w:jc w:val="center"/>
              <w:rPr>
                <w:lang w:val="en-AU" w:eastAsia="en-AU"/>
              </w:rPr>
            </w:pPr>
            <w:r w:rsidRPr="00204FB3">
              <w:rPr>
                <w:lang w:val="en-AU" w:eastAsia="en-AU"/>
              </w:rPr>
              <w:t>1.5%</w:t>
            </w:r>
          </w:p>
        </w:tc>
      </w:tr>
      <w:tr w:rsidR="007C3E49" w:rsidRPr="00204FB3" w14:paraId="04EC2B8F" w14:textId="77777777" w:rsidTr="00257746">
        <w:tc>
          <w:tcPr>
            <w:tcW w:w="3397" w:type="dxa"/>
          </w:tcPr>
          <w:p w14:paraId="4B77DCFA" w14:textId="6FD97017" w:rsidR="00E9655F" w:rsidRPr="00204FB3" w:rsidRDefault="00CF5A95" w:rsidP="00312684">
            <w:pPr>
              <w:pStyle w:val="TblTextLeft"/>
              <w:rPr>
                <w:b/>
                <w:lang w:val="en-AU" w:eastAsia="en-AU"/>
              </w:rPr>
            </w:pPr>
            <w:r w:rsidRPr="00204FB3">
              <w:rPr>
                <w:b/>
                <w:lang w:val="en-AU" w:eastAsia="en-AU"/>
              </w:rPr>
              <w:t>Reproductive system and breast disorders</w:t>
            </w:r>
          </w:p>
        </w:tc>
        <w:tc>
          <w:tcPr>
            <w:tcW w:w="3119" w:type="dxa"/>
          </w:tcPr>
          <w:p w14:paraId="50654593" w14:textId="77777777" w:rsidR="00E9655F" w:rsidRPr="00204FB3" w:rsidRDefault="00E9655F" w:rsidP="00312684">
            <w:pPr>
              <w:pStyle w:val="TblTextLeft"/>
              <w:rPr>
                <w:lang w:val="en-AU" w:eastAsia="en-AU"/>
              </w:rPr>
            </w:pPr>
          </w:p>
        </w:tc>
        <w:tc>
          <w:tcPr>
            <w:tcW w:w="2943" w:type="dxa"/>
          </w:tcPr>
          <w:p w14:paraId="582B01AD" w14:textId="77777777" w:rsidR="00E9655F" w:rsidRPr="00204FB3" w:rsidRDefault="00E9655F" w:rsidP="00312684">
            <w:pPr>
              <w:pStyle w:val="TblTextLeft"/>
              <w:rPr>
                <w:lang w:val="en-AU" w:eastAsia="en-AU"/>
              </w:rPr>
            </w:pPr>
          </w:p>
        </w:tc>
      </w:tr>
      <w:tr w:rsidR="007C3E49" w:rsidRPr="00204FB3" w14:paraId="4C41AACC" w14:textId="77777777" w:rsidTr="00257746">
        <w:tc>
          <w:tcPr>
            <w:tcW w:w="3397" w:type="dxa"/>
          </w:tcPr>
          <w:p w14:paraId="6053A35A" w14:textId="303E61D4" w:rsidR="00E9655F" w:rsidRPr="00204FB3" w:rsidRDefault="00CF5A95" w:rsidP="00312684">
            <w:pPr>
              <w:pStyle w:val="TblTextLeft"/>
              <w:rPr>
                <w:lang w:val="en-AU" w:eastAsia="en-AU"/>
              </w:rPr>
            </w:pPr>
            <w:r w:rsidRPr="00204FB3">
              <w:rPr>
                <w:lang w:val="en-AU" w:eastAsia="en-AU"/>
              </w:rPr>
              <w:t>Benign prostatic hyperplasia</w:t>
            </w:r>
          </w:p>
        </w:tc>
        <w:tc>
          <w:tcPr>
            <w:tcW w:w="3119" w:type="dxa"/>
          </w:tcPr>
          <w:p w14:paraId="03AEA5F7" w14:textId="0AB0538C" w:rsidR="00E9655F" w:rsidRPr="00204FB3" w:rsidRDefault="00417EF7" w:rsidP="007C3E49">
            <w:pPr>
              <w:pStyle w:val="TblTextLeft"/>
              <w:jc w:val="center"/>
              <w:rPr>
                <w:lang w:val="en-AU" w:eastAsia="en-AU"/>
              </w:rPr>
            </w:pPr>
            <w:r w:rsidRPr="00204FB3">
              <w:rPr>
                <w:lang w:val="en-AU" w:eastAsia="en-AU"/>
              </w:rPr>
              <w:t>1.2%</w:t>
            </w:r>
          </w:p>
        </w:tc>
        <w:tc>
          <w:tcPr>
            <w:tcW w:w="2943" w:type="dxa"/>
          </w:tcPr>
          <w:p w14:paraId="5E21A848" w14:textId="2981C5C0" w:rsidR="00E9655F" w:rsidRPr="00204FB3" w:rsidRDefault="00417EF7" w:rsidP="007C3E49">
            <w:pPr>
              <w:pStyle w:val="TblTextLeft"/>
              <w:jc w:val="center"/>
              <w:rPr>
                <w:lang w:val="en-AU" w:eastAsia="en-AU"/>
              </w:rPr>
            </w:pPr>
            <w:r w:rsidRPr="00204FB3">
              <w:rPr>
                <w:lang w:val="en-AU" w:eastAsia="en-AU"/>
              </w:rPr>
              <w:t>1.3%</w:t>
            </w:r>
          </w:p>
        </w:tc>
      </w:tr>
      <w:tr w:rsidR="007C3E49" w:rsidRPr="00204FB3" w14:paraId="1258BF94" w14:textId="77777777" w:rsidTr="00257746">
        <w:tc>
          <w:tcPr>
            <w:tcW w:w="3397" w:type="dxa"/>
          </w:tcPr>
          <w:p w14:paraId="2309F94F" w14:textId="653CD4D9" w:rsidR="00E9655F" w:rsidRPr="00204FB3" w:rsidRDefault="00CF5A95" w:rsidP="00312684">
            <w:pPr>
              <w:pStyle w:val="TblTextLeft"/>
              <w:rPr>
                <w:lang w:val="en-AU" w:eastAsia="en-AU"/>
              </w:rPr>
            </w:pPr>
            <w:r w:rsidRPr="00204FB3">
              <w:rPr>
                <w:lang w:val="en-AU" w:eastAsia="en-AU"/>
              </w:rPr>
              <w:t>Erectile dysfunction</w:t>
            </w:r>
          </w:p>
        </w:tc>
        <w:tc>
          <w:tcPr>
            <w:tcW w:w="3119" w:type="dxa"/>
          </w:tcPr>
          <w:p w14:paraId="50AE0EAF" w14:textId="07398225" w:rsidR="00E9655F" w:rsidRPr="00204FB3" w:rsidRDefault="00417EF7" w:rsidP="007C3E49">
            <w:pPr>
              <w:pStyle w:val="TblTextLeft"/>
              <w:jc w:val="center"/>
              <w:rPr>
                <w:lang w:val="en-AU" w:eastAsia="en-AU"/>
              </w:rPr>
            </w:pPr>
            <w:r w:rsidRPr="00204FB3">
              <w:rPr>
                <w:lang w:val="en-AU" w:eastAsia="en-AU"/>
              </w:rPr>
              <w:t>0.9%</w:t>
            </w:r>
          </w:p>
        </w:tc>
        <w:tc>
          <w:tcPr>
            <w:tcW w:w="2943" w:type="dxa"/>
          </w:tcPr>
          <w:p w14:paraId="40763840" w14:textId="44426C2E" w:rsidR="00E9655F" w:rsidRPr="00204FB3" w:rsidRDefault="00417EF7" w:rsidP="007C3E49">
            <w:pPr>
              <w:pStyle w:val="TblTextLeft"/>
              <w:jc w:val="center"/>
              <w:rPr>
                <w:lang w:val="en-AU" w:eastAsia="en-AU"/>
              </w:rPr>
            </w:pPr>
            <w:r w:rsidRPr="00204FB3">
              <w:rPr>
                <w:lang w:val="en-AU" w:eastAsia="en-AU"/>
              </w:rPr>
              <w:t>1.0%</w:t>
            </w:r>
          </w:p>
        </w:tc>
      </w:tr>
      <w:tr w:rsidR="007C3E49" w:rsidRPr="00204FB3" w14:paraId="18300C7A" w14:textId="77777777" w:rsidTr="00257746">
        <w:tc>
          <w:tcPr>
            <w:tcW w:w="3397" w:type="dxa"/>
          </w:tcPr>
          <w:p w14:paraId="7DD9AF2F" w14:textId="4DF55652" w:rsidR="00E9655F" w:rsidRPr="00204FB3" w:rsidRDefault="00CF5A95" w:rsidP="00312684">
            <w:pPr>
              <w:pStyle w:val="TblTextLeft"/>
              <w:rPr>
                <w:b/>
                <w:lang w:val="en-AU" w:eastAsia="en-AU"/>
              </w:rPr>
            </w:pPr>
            <w:r w:rsidRPr="00204FB3">
              <w:rPr>
                <w:b/>
                <w:lang w:val="en-AU" w:eastAsia="en-AU"/>
              </w:rPr>
              <w:t>Skin and subcutaneous tissue disorders</w:t>
            </w:r>
          </w:p>
        </w:tc>
        <w:tc>
          <w:tcPr>
            <w:tcW w:w="3119" w:type="dxa"/>
          </w:tcPr>
          <w:p w14:paraId="2322A300" w14:textId="77777777" w:rsidR="00E9655F" w:rsidRPr="00204FB3" w:rsidRDefault="00E9655F" w:rsidP="007C3E49">
            <w:pPr>
              <w:pStyle w:val="TblTextLeft"/>
              <w:jc w:val="center"/>
              <w:rPr>
                <w:lang w:val="en-AU" w:eastAsia="en-AU"/>
              </w:rPr>
            </w:pPr>
          </w:p>
        </w:tc>
        <w:tc>
          <w:tcPr>
            <w:tcW w:w="2943" w:type="dxa"/>
          </w:tcPr>
          <w:p w14:paraId="02D3F379" w14:textId="77777777" w:rsidR="00E9655F" w:rsidRPr="00204FB3" w:rsidRDefault="00E9655F" w:rsidP="007C3E49">
            <w:pPr>
              <w:pStyle w:val="TblTextLeft"/>
              <w:jc w:val="center"/>
              <w:rPr>
                <w:lang w:val="en-AU" w:eastAsia="en-AU"/>
              </w:rPr>
            </w:pPr>
          </w:p>
        </w:tc>
      </w:tr>
      <w:tr w:rsidR="007C3E49" w:rsidRPr="00204FB3" w14:paraId="44834C1D" w14:textId="77777777" w:rsidTr="00257746">
        <w:tc>
          <w:tcPr>
            <w:tcW w:w="3397" w:type="dxa"/>
          </w:tcPr>
          <w:p w14:paraId="458E502B" w14:textId="53452D0C" w:rsidR="00CF5A95" w:rsidRPr="00204FB3" w:rsidRDefault="00CF5A95" w:rsidP="00312684">
            <w:pPr>
              <w:pStyle w:val="TblTextLeft"/>
              <w:rPr>
                <w:lang w:val="en-AU" w:eastAsia="en-AU"/>
              </w:rPr>
            </w:pPr>
            <w:r w:rsidRPr="00204FB3">
              <w:rPr>
                <w:lang w:val="en-AU" w:eastAsia="en-AU"/>
              </w:rPr>
              <w:t>Rash</w:t>
            </w:r>
          </w:p>
        </w:tc>
        <w:tc>
          <w:tcPr>
            <w:tcW w:w="3119" w:type="dxa"/>
          </w:tcPr>
          <w:p w14:paraId="7FA65FF4" w14:textId="433CF707" w:rsidR="00CF5A95" w:rsidRPr="00204FB3" w:rsidRDefault="00417EF7" w:rsidP="007C3E49">
            <w:pPr>
              <w:pStyle w:val="TblTextLeft"/>
              <w:jc w:val="center"/>
              <w:rPr>
                <w:lang w:val="en-AU" w:eastAsia="en-AU"/>
              </w:rPr>
            </w:pPr>
            <w:r w:rsidRPr="00204FB3">
              <w:rPr>
                <w:lang w:val="en-AU" w:eastAsia="en-AU"/>
              </w:rPr>
              <w:t>1.1%</w:t>
            </w:r>
          </w:p>
        </w:tc>
        <w:tc>
          <w:tcPr>
            <w:tcW w:w="2943" w:type="dxa"/>
          </w:tcPr>
          <w:p w14:paraId="2CBC07C8" w14:textId="14DDAAFA" w:rsidR="00CF5A95" w:rsidRPr="00204FB3" w:rsidRDefault="00417EF7" w:rsidP="007C3E49">
            <w:pPr>
              <w:pStyle w:val="TblTextLeft"/>
              <w:jc w:val="center"/>
              <w:rPr>
                <w:lang w:val="en-AU" w:eastAsia="en-AU"/>
              </w:rPr>
            </w:pPr>
            <w:r w:rsidRPr="00204FB3">
              <w:rPr>
                <w:lang w:val="en-AU" w:eastAsia="en-AU"/>
              </w:rPr>
              <w:t>1.2%</w:t>
            </w:r>
          </w:p>
        </w:tc>
      </w:tr>
      <w:tr w:rsidR="007C3E49" w:rsidRPr="00204FB3" w14:paraId="5B9394CD" w14:textId="77777777" w:rsidTr="00257746">
        <w:tc>
          <w:tcPr>
            <w:tcW w:w="3397" w:type="dxa"/>
          </w:tcPr>
          <w:p w14:paraId="7C71E7C4" w14:textId="15EA00B8" w:rsidR="00CF5A95" w:rsidRPr="00204FB3" w:rsidRDefault="00CF5A95" w:rsidP="00312684">
            <w:pPr>
              <w:pStyle w:val="TblTextLeft"/>
              <w:rPr>
                <w:b/>
                <w:lang w:val="en-AU" w:eastAsia="en-AU"/>
              </w:rPr>
            </w:pPr>
            <w:r w:rsidRPr="00204FB3">
              <w:rPr>
                <w:b/>
                <w:lang w:val="en-AU" w:eastAsia="en-AU"/>
              </w:rPr>
              <w:t>Vascular disorders</w:t>
            </w:r>
          </w:p>
        </w:tc>
        <w:tc>
          <w:tcPr>
            <w:tcW w:w="3119" w:type="dxa"/>
          </w:tcPr>
          <w:p w14:paraId="38D53F2B" w14:textId="77777777" w:rsidR="00CF5A95" w:rsidRPr="00204FB3" w:rsidRDefault="00CF5A95" w:rsidP="007C3E49">
            <w:pPr>
              <w:pStyle w:val="TblTextLeft"/>
              <w:jc w:val="center"/>
              <w:rPr>
                <w:lang w:val="en-AU" w:eastAsia="en-AU"/>
              </w:rPr>
            </w:pPr>
          </w:p>
        </w:tc>
        <w:tc>
          <w:tcPr>
            <w:tcW w:w="2943" w:type="dxa"/>
          </w:tcPr>
          <w:p w14:paraId="67E51CED" w14:textId="77777777" w:rsidR="00CF5A95" w:rsidRPr="00204FB3" w:rsidRDefault="00CF5A95" w:rsidP="007C3E49">
            <w:pPr>
              <w:pStyle w:val="TblTextLeft"/>
              <w:jc w:val="center"/>
              <w:rPr>
                <w:lang w:val="en-AU" w:eastAsia="en-AU"/>
              </w:rPr>
            </w:pPr>
          </w:p>
        </w:tc>
      </w:tr>
      <w:tr w:rsidR="007C3E49" w:rsidRPr="00204FB3" w14:paraId="197D2B09" w14:textId="77777777" w:rsidTr="00257746">
        <w:tc>
          <w:tcPr>
            <w:tcW w:w="3397" w:type="dxa"/>
          </w:tcPr>
          <w:p w14:paraId="3FD16EA5" w14:textId="24491DC0" w:rsidR="00CF5A95" w:rsidRPr="00204FB3" w:rsidRDefault="00CF5A95" w:rsidP="00312684">
            <w:pPr>
              <w:pStyle w:val="TblTextLeft"/>
              <w:rPr>
                <w:lang w:val="en-AU" w:eastAsia="en-AU"/>
              </w:rPr>
            </w:pPr>
            <w:r w:rsidRPr="00204FB3">
              <w:rPr>
                <w:lang w:val="en-AU" w:eastAsia="en-AU"/>
              </w:rPr>
              <w:t>Hypotension</w:t>
            </w:r>
          </w:p>
        </w:tc>
        <w:tc>
          <w:tcPr>
            <w:tcW w:w="3119" w:type="dxa"/>
          </w:tcPr>
          <w:p w14:paraId="608E8F2C" w14:textId="16F4EDB9" w:rsidR="00CF5A95" w:rsidRPr="00204FB3" w:rsidRDefault="00417EF7" w:rsidP="007C3E49">
            <w:pPr>
              <w:pStyle w:val="TblTextLeft"/>
              <w:jc w:val="center"/>
              <w:rPr>
                <w:lang w:val="en-AU" w:eastAsia="en-AU"/>
              </w:rPr>
            </w:pPr>
            <w:r w:rsidRPr="00204FB3">
              <w:rPr>
                <w:lang w:val="en-AU" w:eastAsia="en-AU"/>
              </w:rPr>
              <w:t>1.8%</w:t>
            </w:r>
          </w:p>
        </w:tc>
        <w:tc>
          <w:tcPr>
            <w:tcW w:w="2943" w:type="dxa"/>
          </w:tcPr>
          <w:p w14:paraId="58178604" w14:textId="4D508ED3" w:rsidR="00CF5A95" w:rsidRPr="00204FB3" w:rsidRDefault="00417EF7" w:rsidP="007C3E49">
            <w:pPr>
              <w:pStyle w:val="TblTextLeft"/>
              <w:jc w:val="center"/>
              <w:rPr>
                <w:lang w:val="en-AU" w:eastAsia="en-AU"/>
              </w:rPr>
            </w:pPr>
            <w:r w:rsidRPr="00204FB3">
              <w:rPr>
                <w:lang w:val="en-AU" w:eastAsia="en-AU"/>
              </w:rPr>
              <w:t>1.9%</w:t>
            </w:r>
          </w:p>
        </w:tc>
      </w:tr>
    </w:tbl>
    <w:p w14:paraId="668F9BF5" w14:textId="5023C7B4" w:rsidR="006D3DF9" w:rsidRPr="00204FB3" w:rsidRDefault="00CF5A95" w:rsidP="00CF5A95">
      <w:pPr>
        <w:pStyle w:val="TblFigFootnote"/>
        <w:rPr>
          <w:lang w:val="en-AU" w:eastAsia="en-AU"/>
        </w:rPr>
      </w:pPr>
      <w:r w:rsidRPr="00204FB3">
        <w:rPr>
          <w:lang w:val="en-AU" w:eastAsia="en-AU"/>
        </w:rPr>
        <w:t>* coded using MedDRA version 20.1</w:t>
      </w:r>
    </w:p>
    <w:p w14:paraId="1F7F9E14" w14:textId="77777777" w:rsidR="007C3E49" w:rsidRPr="00204FB3" w:rsidRDefault="007C3E49" w:rsidP="00CF5A95">
      <w:pPr>
        <w:pStyle w:val="TblFigFootnote"/>
        <w:rPr>
          <w:lang w:val="en-AU" w:eastAsia="en-AU"/>
        </w:rPr>
      </w:pPr>
    </w:p>
    <w:p w14:paraId="75594F78" w14:textId="77777777" w:rsidR="001C65EF" w:rsidRPr="00204FB3" w:rsidRDefault="001C65EF" w:rsidP="007A2EF7">
      <w:pPr>
        <w:pStyle w:val="Heading3"/>
        <w:numPr>
          <w:ilvl w:val="0"/>
          <w:numId w:val="0"/>
        </w:numPr>
      </w:pPr>
      <w:r w:rsidRPr="00204FB3">
        <w:t>Local injection site reactions</w:t>
      </w:r>
    </w:p>
    <w:p w14:paraId="7E4AA354" w14:textId="77777777" w:rsidR="001C65EF" w:rsidRPr="00204FB3" w:rsidRDefault="001C65EF" w:rsidP="001C65EF">
      <w:pPr>
        <w:rPr>
          <w:color w:val="auto"/>
        </w:rPr>
      </w:pPr>
      <w:r w:rsidRPr="00204FB3">
        <w:rPr>
          <w:color w:val="auto"/>
        </w:rPr>
        <w:t>Local injection site reactions, including erythema/redness, swelling, and pain/tenderness were reported in 6.1% of patients treated with alirocumab versus 4.1% in the control group with Q2W dosing and in 16.6% of patients treated with alirocumab compared to 7.9% in the placebo arm in the Q4W dose regimen. Patients in the alirocumab 300 mg every 4 weeks treatment group received alternating placebo injections to maintain blinding in regard to injection frequency. Excluding injection site reactions (ISRs) that occurred after these placebo injections, the frequency of ISRs was 11.8% in the alirocumab group. Most injection site reactions were transient and of mild intensity. The discontinuation rate due to local injection site reactions was comparable between the two groups (0.2% in the alirocumab group versus 0.3% in the control group) with the Q2W dose regimen, and 0.7% in the alirocumab group versus 0% in the placebo group with the Q4W dose regimen.</w:t>
      </w:r>
      <w:r w:rsidR="00B80B69" w:rsidRPr="00204FB3">
        <w:rPr>
          <w:color w:val="auto"/>
        </w:rPr>
        <w:t xml:space="preserve"> In the cardiovascular outcomes study (ODYSSEY OUTCOMES), injection site reactions also occurred more frequently in alirocumab-treated patients than in placebo-treated patients (3.8% alirocumab 2.1% placebo).</w:t>
      </w:r>
    </w:p>
    <w:p w14:paraId="1068CDB9" w14:textId="77777777" w:rsidR="001C65EF" w:rsidRPr="00204FB3" w:rsidRDefault="001C65EF" w:rsidP="003D3751">
      <w:pPr>
        <w:pStyle w:val="Heading3"/>
        <w:numPr>
          <w:ilvl w:val="0"/>
          <w:numId w:val="0"/>
        </w:numPr>
        <w:ind w:left="680" w:hanging="680"/>
      </w:pPr>
      <w:r w:rsidRPr="00204FB3">
        <w:t>General allergic reactions</w:t>
      </w:r>
    </w:p>
    <w:p w14:paraId="1FA8DD98" w14:textId="46A87CBD" w:rsidR="001C65EF" w:rsidRPr="00204FB3" w:rsidRDefault="001C65EF" w:rsidP="001C65EF">
      <w:pPr>
        <w:rPr>
          <w:color w:val="auto"/>
        </w:rPr>
      </w:pPr>
      <w:r w:rsidRPr="00204FB3">
        <w:rPr>
          <w:color w:val="auto"/>
        </w:rPr>
        <w:t xml:space="preserve">General allergic reactions were reported more frequently in the alirocumab group than in the control group, mainly due to a difference in the incidence of pruritus. The observed cases of pruritus were typically mild and transient. In addition, rare and sometimes serious allergic reactions such as hypersensitivity, nummular eczema, urticaria, and hypersensitivity vasculitis have been reported in controlled clinical studies. (see </w:t>
      </w:r>
      <w:r w:rsidR="00B80B69" w:rsidRPr="00204FB3">
        <w:rPr>
          <w:color w:val="auto"/>
        </w:rPr>
        <w:t>Section 4.4</w:t>
      </w:r>
      <w:r w:rsidR="002F53BE" w:rsidRPr="00204FB3">
        <w:rPr>
          <w:color w:val="auto"/>
        </w:rPr>
        <w:t xml:space="preserve"> SPECIAL WARNINGS AND PRECAU</w:t>
      </w:r>
      <w:r w:rsidR="004C15B6" w:rsidRPr="00204FB3">
        <w:rPr>
          <w:color w:val="auto"/>
        </w:rPr>
        <w:t>TIONS FOR USE</w:t>
      </w:r>
      <w:r w:rsidRPr="00204FB3">
        <w:rPr>
          <w:color w:val="auto"/>
        </w:rPr>
        <w:t>).</w:t>
      </w:r>
      <w:r w:rsidR="00B80B69" w:rsidRPr="00204FB3">
        <w:rPr>
          <w:color w:val="auto"/>
        </w:rPr>
        <w:t xml:space="preserve"> In the cardiovascular outcomes study (ODYSSEY OUTCOMES), general allergic reactions were similar in alirocumab-treated patients and placebo-treated patients (7.9% alirocumab 7.8% placebo). No difference was seen in the incidence of pruritus.</w:t>
      </w:r>
    </w:p>
    <w:p w14:paraId="3632E21F" w14:textId="77777777" w:rsidR="00244276" w:rsidRPr="00204FB3" w:rsidRDefault="00244276" w:rsidP="003D3751">
      <w:pPr>
        <w:pStyle w:val="Heading3"/>
        <w:numPr>
          <w:ilvl w:val="0"/>
          <w:numId w:val="0"/>
        </w:numPr>
        <w:ind w:left="680" w:hanging="680"/>
      </w:pPr>
      <w:r w:rsidRPr="00204FB3">
        <w:lastRenderedPageBreak/>
        <w:t>Low LDL-C values</w:t>
      </w:r>
    </w:p>
    <w:p w14:paraId="096E2837" w14:textId="77777777" w:rsidR="00563A27" w:rsidRPr="00204FB3" w:rsidRDefault="00563A27" w:rsidP="00563A27">
      <w:pPr>
        <w:pStyle w:val="Heading5"/>
        <w:numPr>
          <w:ilvl w:val="0"/>
          <w:numId w:val="0"/>
        </w:numPr>
        <w:ind w:left="1009" w:hanging="1009"/>
      </w:pPr>
      <w:r w:rsidRPr="00204FB3">
        <w:t xml:space="preserve">LDL-C values &lt; 0.65 mmol/L </w:t>
      </w:r>
    </w:p>
    <w:p w14:paraId="62098020" w14:textId="77777777" w:rsidR="00563A27" w:rsidRPr="00204FB3" w:rsidRDefault="00563A27" w:rsidP="00563A27">
      <w:pPr>
        <w:rPr>
          <w:color w:val="auto"/>
          <w:lang w:val="en-AU"/>
        </w:rPr>
      </w:pPr>
      <w:r w:rsidRPr="00204FB3">
        <w:rPr>
          <w:color w:val="auto"/>
          <w:lang w:val="en-AU"/>
        </w:rPr>
        <w:t>In all clinical studies background lipid lowering therapies could not be adjusted by trial design. The percentage of patients who reached LDL-C values &lt;25 mg/dL (&lt;0.65 mmol/L) depended both on the baseline LDL-C and the dose of alirocumab.</w:t>
      </w:r>
    </w:p>
    <w:p w14:paraId="218523AB" w14:textId="77777777" w:rsidR="00563A27" w:rsidRPr="00204FB3" w:rsidRDefault="00563A27" w:rsidP="00563A27">
      <w:pPr>
        <w:rPr>
          <w:color w:val="auto"/>
          <w:lang w:val="en-AU"/>
        </w:rPr>
      </w:pPr>
      <w:r w:rsidRPr="00204FB3">
        <w:rPr>
          <w:color w:val="auto"/>
          <w:lang w:val="en-AU"/>
        </w:rPr>
        <w:t>In a pool of controlled studies using a 75 mg every 2 week (Q2W) starting dose and in which the dose was increased to 150 mg Q2W if the patient’s LDL-C was not &lt;70 mg/dL or &lt; 100 mg/dL (1.81 mmol/L or 2.59 mmol/L), 29.3% of patients with baseline LDL-C &lt;100 mg/dL and 5.0% of patients with baseline LDL-C ≥100 mg/dL treated with alirocumab had two consecutive values of LDL-C &lt;25 mg/dL (&lt;0.65 mmol/L). In the ODYSSEY OUTCOMES study, in which the starting alirocumab dose was 75 mg Q2W and the dose was increased to 150 mg Q2W if the patient’s LDL-C was not &lt;50 mg/dL (1.29 mmol/L), 54.8% of patients with baseline LDL-C &lt;100 mg/dL and 24.2% of patients with baseline LDL-C ≥100 mg/dL treated with alirocumab had two consecutive values of LDL-C &lt;25 mg/dL (&lt;0.65 mmol/L).</w:t>
      </w:r>
    </w:p>
    <w:p w14:paraId="6436E4EE" w14:textId="3C5E45DB" w:rsidR="00563A27" w:rsidRPr="00204FB3" w:rsidRDefault="00563A27" w:rsidP="00563A27">
      <w:pPr>
        <w:rPr>
          <w:color w:val="auto"/>
          <w:lang w:val="en-AU"/>
        </w:rPr>
      </w:pPr>
      <w:r w:rsidRPr="00204FB3">
        <w:rPr>
          <w:color w:val="auto"/>
          <w:lang w:val="en-AU"/>
        </w:rPr>
        <w:t>Although adverse consequences of very low LDL-C were not identified in alirocumab trials, the long-term effects of very low levels of LDL-C are unknown. In published genetic studies as well as clinical and observational trials with lipid lowering therapies an increased risk of new onset of diabetes has been associated with lower levels of LDL-C.</w:t>
      </w:r>
    </w:p>
    <w:p w14:paraId="591995A7" w14:textId="77777777" w:rsidR="00244276" w:rsidRPr="00204FB3" w:rsidRDefault="00244276" w:rsidP="001C65EF">
      <w:pPr>
        <w:rPr>
          <w:color w:val="auto"/>
        </w:rPr>
      </w:pPr>
      <w:r w:rsidRPr="00204FB3">
        <w:rPr>
          <w:color w:val="auto"/>
        </w:rPr>
        <w:t>Although adverse consequences of very low LDL-C were not identified in alirocumab trials, the long-term effects of very low levels of LDL-C are unknown. In published genetic studies as well as clinical and observational trials with lipid lowering therapies an increased risk of new onset of diabetes has been associated with lower levels of LDL-C.</w:t>
      </w:r>
    </w:p>
    <w:p w14:paraId="458F1211" w14:textId="10815E5B" w:rsidR="001C65EF" w:rsidRPr="00204FB3" w:rsidRDefault="001C65EF" w:rsidP="003D3751">
      <w:pPr>
        <w:pStyle w:val="Heading3"/>
        <w:numPr>
          <w:ilvl w:val="0"/>
          <w:numId w:val="0"/>
        </w:numPr>
        <w:ind w:left="680" w:hanging="680"/>
      </w:pPr>
      <w:r w:rsidRPr="00204FB3">
        <w:t xml:space="preserve">Cardiovascular (CV) events </w:t>
      </w:r>
    </w:p>
    <w:p w14:paraId="64011FC7" w14:textId="28EAD8C4" w:rsidR="001C65EF" w:rsidRPr="00204FB3" w:rsidRDefault="001C65EF" w:rsidP="001C65EF">
      <w:pPr>
        <w:rPr>
          <w:color w:val="auto"/>
        </w:rPr>
      </w:pPr>
      <w:r w:rsidRPr="00204FB3">
        <w:rPr>
          <w:color w:val="auto"/>
        </w:rPr>
        <w:t>In pre-specified analysis of</w:t>
      </w:r>
      <w:r w:rsidR="00D17A5A" w:rsidRPr="00204FB3">
        <w:rPr>
          <w:color w:val="auto"/>
        </w:rPr>
        <w:t xml:space="preserve"> </w:t>
      </w:r>
      <w:r w:rsidR="0056423A" w:rsidRPr="00204FB3">
        <w:rPr>
          <w:color w:val="auto"/>
        </w:rPr>
        <w:t xml:space="preserve">the ten pooled </w:t>
      </w:r>
      <w:r w:rsidRPr="00204FB3">
        <w:rPr>
          <w:color w:val="auto"/>
        </w:rPr>
        <w:t>phase 3 studies</w:t>
      </w:r>
      <w:r w:rsidR="0056423A" w:rsidRPr="00204FB3">
        <w:rPr>
          <w:color w:val="auto"/>
        </w:rPr>
        <w:t xml:space="preserve"> in the hypercholesterolemia program</w:t>
      </w:r>
      <w:r w:rsidRPr="00204FB3">
        <w:rPr>
          <w:color w:val="auto"/>
        </w:rPr>
        <w:t>, treatment-emergent CV events confirmed by adjudication, consisting of coronary heart disease (CHD) death, myocardial infarction, ischemic stroke, unstable angina requiring hospitalization, congestive heart failure hospitalization, and revascularization, were reported in 129 (4.1%) patients in the alirocumab group and 63 (3.5%) patients in the control group (placebo or active control) with HR=1.06 (95% CI, 0.79 to 1.44). MACE confirmed by adjudication were reported in 65 of 3182 (2.0%) patients in the alirocumab group and 39 of 1792 (2.2%) patients in the control group (placebo or active control); HR=0.85 (95% CI, 0.57 to 1.27).</w:t>
      </w:r>
    </w:p>
    <w:p w14:paraId="1A2D0FF4" w14:textId="77777777" w:rsidR="001C65EF" w:rsidRPr="00204FB3" w:rsidRDefault="001C65EF" w:rsidP="001C65EF">
      <w:pPr>
        <w:rPr>
          <w:color w:val="auto"/>
        </w:rPr>
      </w:pPr>
      <w:r w:rsidRPr="00204FB3">
        <w:rPr>
          <w:color w:val="auto"/>
        </w:rPr>
        <w:t>In pre-specified final analyses of the LONG TERM study, treatment-emergent CV events confirmed by adjudication occurred in 72 of 1550 (4.6%) patients in the alirocumab group and in 40 of 788 (5.1%) patients in the placebo group; MACE confirmed by adjudication were reported in 27 of 1550 (1.7%) patients in the alirocumab group and 26 of 788 (3.3%) patients in the placebo group. Hazard ratios were calculated post-hoc; for all CV events, HR=0.91 (95% CI, 0.62 to 1.34); for MACE, HR=0.52 (95% CI, 0.31 to 0.90).</w:t>
      </w:r>
    </w:p>
    <w:p w14:paraId="4DC9C461" w14:textId="77777777" w:rsidR="001C65EF" w:rsidRPr="00204FB3" w:rsidRDefault="001C65EF" w:rsidP="003D3751">
      <w:pPr>
        <w:pStyle w:val="Heading3"/>
        <w:numPr>
          <w:ilvl w:val="0"/>
          <w:numId w:val="0"/>
        </w:numPr>
        <w:ind w:left="680" w:hanging="680"/>
      </w:pPr>
      <w:r w:rsidRPr="00204FB3">
        <w:lastRenderedPageBreak/>
        <w:t xml:space="preserve">All-cause mortality </w:t>
      </w:r>
    </w:p>
    <w:p w14:paraId="507F94AE" w14:textId="2DAC5236" w:rsidR="001C65EF" w:rsidRPr="00204FB3" w:rsidRDefault="001C65EF" w:rsidP="001C65EF">
      <w:pPr>
        <w:rPr>
          <w:color w:val="auto"/>
        </w:rPr>
      </w:pPr>
      <w:r w:rsidRPr="00204FB3">
        <w:rPr>
          <w:color w:val="auto"/>
        </w:rPr>
        <w:t xml:space="preserve">All-cause mortality in </w:t>
      </w:r>
      <w:r w:rsidR="0056423A" w:rsidRPr="00204FB3">
        <w:rPr>
          <w:color w:val="auto"/>
        </w:rPr>
        <w:t xml:space="preserve">the ten pooled phase 3 studies in the hypercholesterolemia program </w:t>
      </w:r>
      <w:r w:rsidRPr="00204FB3">
        <w:rPr>
          <w:color w:val="auto"/>
        </w:rPr>
        <w:t>was 0.8% (26 of 3182 patients) in the alirocumab group and 1.1% (20 of 1792 patients) in the control group. The primary cause of death in the majority of these patients was CV events.</w:t>
      </w:r>
    </w:p>
    <w:p w14:paraId="4977B013" w14:textId="77777777" w:rsidR="001C65EF" w:rsidRPr="00204FB3" w:rsidRDefault="001C65EF" w:rsidP="003D3751">
      <w:pPr>
        <w:pStyle w:val="Heading3"/>
        <w:numPr>
          <w:ilvl w:val="0"/>
          <w:numId w:val="0"/>
        </w:numPr>
        <w:ind w:left="680" w:hanging="680"/>
      </w:pPr>
      <w:r w:rsidRPr="00204FB3">
        <w:t>Neurocognitive Events</w:t>
      </w:r>
    </w:p>
    <w:p w14:paraId="0FAAB314" w14:textId="77777777" w:rsidR="001C65EF" w:rsidRPr="00204FB3" w:rsidRDefault="001C65EF" w:rsidP="001C65EF">
      <w:pPr>
        <w:rPr>
          <w:color w:val="auto"/>
        </w:rPr>
      </w:pPr>
      <w:r w:rsidRPr="00204FB3">
        <w:rPr>
          <w:color w:val="auto"/>
        </w:rPr>
        <w:t>Neurocognitive events were reported in 0.8% of patients treated with alirocumab and 0.7% of patients treated with placebo. Confusion or memory impairment were each reported in 0.2% of patients treated with alirocumab and in &lt;0.1% (for each) in the placebo group patients. The majority of neurocognitive events were non-serious. The causal relationship between these events and alirocumab has not been established.</w:t>
      </w:r>
    </w:p>
    <w:p w14:paraId="22A4C881" w14:textId="77777777" w:rsidR="001C65EF" w:rsidRPr="00204FB3" w:rsidRDefault="001C65EF" w:rsidP="00606597">
      <w:pPr>
        <w:pStyle w:val="Heading3"/>
        <w:numPr>
          <w:ilvl w:val="0"/>
          <w:numId w:val="0"/>
        </w:numPr>
        <w:ind w:left="680" w:hanging="680"/>
      </w:pPr>
      <w:r w:rsidRPr="00204FB3">
        <w:t xml:space="preserve">Post-marketing experience </w:t>
      </w:r>
    </w:p>
    <w:p w14:paraId="3A15A9F1" w14:textId="77777777" w:rsidR="003336B8" w:rsidRPr="00204FB3" w:rsidRDefault="003336B8" w:rsidP="003336B8">
      <w:pPr>
        <w:rPr>
          <w:color w:val="auto"/>
        </w:rPr>
      </w:pPr>
      <w:r w:rsidRPr="00204FB3">
        <w:rPr>
          <w:color w:val="auto"/>
        </w:rPr>
        <w:t>The following adverse reactions have been reported during post-approval use of Praluent. The adverse reactions are derived from spontaneous reports and therefore, the frequency is “not known” (cannot be estimated from the available data).</w:t>
      </w:r>
    </w:p>
    <w:p w14:paraId="6C2549F4" w14:textId="590BF97D" w:rsidR="003336B8" w:rsidRPr="00204FB3" w:rsidRDefault="003336B8" w:rsidP="003336B8">
      <w:pPr>
        <w:spacing w:before="120"/>
        <w:rPr>
          <w:color w:val="auto"/>
        </w:rPr>
      </w:pPr>
      <w:r w:rsidRPr="00204FB3">
        <w:rPr>
          <w:color w:val="auto"/>
        </w:rPr>
        <w:t>General disorders and administration site conditions</w:t>
      </w:r>
    </w:p>
    <w:p w14:paraId="73C61D3B" w14:textId="36A90FE0" w:rsidR="003336B8" w:rsidRPr="00204FB3" w:rsidRDefault="003336B8" w:rsidP="003336B8">
      <w:pPr>
        <w:spacing w:before="120"/>
        <w:rPr>
          <w:color w:val="auto"/>
        </w:rPr>
      </w:pPr>
      <w:r w:rsidRPr="00204FB3">
        <w:rPr>
          <w:color w:val="auto"/>
        </w:rPr>
        <w:t xml:space="preserve">     -</w:t>
      </w:r>
      <w:r w:rsidRPr="00204FB3">
        <w:rPr>
          <w:color w:val="auto"/>
        </w:rPr>
        <w:tab/>
        <w:t>Flu-like illness</w:t>
      </w:r>
    </w:p>
    <w:p w14:paraId="4D3D2584" w14:textId="22CFCF22" w:rsidR="009E4A3A" w:rsidRPr="00204FB3" w:rsidRDefault="009E4A3A" w:rsidP="007C4C57">
      <w:pPr>
        <w:tabs>
          <w:tab w:val="left" w:pos="1440"/>
          <w:tab w:val="left" w:pos="2160"/>
        </w:tabs>
        <w:spacing w:before="120"/>
        <w:jc w:val="both"/>
        <w:rPr>
          <w:color w:val="auto"/>
          <w:lang w:val="en-AU"/>
        </w:rPr>
      </w:pPr>
      <w:r w:rsidRPr="00204FB3">
        <w:rPr>
          <w:color w:val="auto"/>
          <w:lang w:val="en-AU"/>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8" w:history="1">
        <w:r w:rsidRPr="00204FB3">
          <w:rPr>
            <w:color w:val="auto"/>
            <w:lang w:val="en-AU"/>
          </w:rPr>
          <w:t>www.tga.gov.au/reporting-problems</w:t>
        </w:r>
      </w:hyperlink>
      <w:r w:rsidRPr="00204FB3">
        <w:rPr>
          <w:color w:val="auto"/>
          <w:lang w:val="en-AU"/>
        </w:rPr>
        <w:t xml:space="preserve"> (Australia) or </w:t>
      </w:r>
      <w:hyperlink r:id="rId9" w:history="1">
        <w:r w:rsidRPr="00204FB3">
          <w:rPr>
            <w:color w:val="auto"/>
            <w:lang w:val="en-AU"/>
          </w:rPr>
          <w:t>https://nzphvc.otago.ac.nz/reporting/</w:t>
        </w:r>
      </w:hyperlink>
      <w:r w:rsidRPr="00204FB3">
        <w:rPr>
          <w:color w:val="auto"/>
          <w:lang w:val="en-AU"/>
        </w:rPr>
        <w:t xml:space="preserve"> (New Zealand).</w:t>
      </w:r>
    </w:p>
    <w:p w14:paraId="3DD50442" w14:textId="77777777" w:rsidR="009E4A3A" w:rsidRPr="00204FB3" w:rsidRDefault="009E4A3A" w:rsidP="000911AA">
      <w:pPr>
        <w:rPr>
          <w:color w:val="auto"/>
          <w:lang w:val="en-AU"/>
        </w:rPr>
      </w:pPr>
    </w:p>
    <w:p w14:paraId="30112082" w14:textId="77777777" w:rsidR="001A3992" w:rsidRPr="00204FB3" w:rsidRDefault="001A3992" w:rsidP="001A3992">
      <w:pPr>
        <w:pStyle w:val="Heading2"/>
        <w:keepLines/>
        <w:spacing w:before="0" w:after="120"/>
        <w:rPr>
          <w:lang w:val="en-AU"/>
        </w:rPr>
      </w:pPr>
      <w:r w:rsidRPr="00204FB3">
        <w:rPr>
          <w:lang w:val="en-AU"/>
        </w:rPr>
        <w:t>Overdose</w:t>
      </w:r>
    </w:p>
    <w:p w14:paraId="1C18EE79" w14:textId="77777777" w:rsidR="0086269F" w:rsidRPr="00204FB3" w:rsidRDefault="0086269F" w:rsidP="0086269F">
      <w:pPr>
        <w:rPr>
          <w:color w:val="auto"/>
        </w:rPr>
      </w:pPr>
      <w:r w:rsidRPr="00204FB3">
        <w:rPr>
          <w:color w:val="auto"/>
        </w:rPr>
        <w:t>In controlled clinical studies, no safety issues were identified with more frequent dosing than the recommended once every 2 weeks dosing schedule.</w:t>
      </w:r>
    </w:p>
    <w:p w14:paraId="03816A3B" w14:textId="54C0C9DF" w:rsidR="009E4A3A" w:rsidRPr="00204FB3" w:rsidRDefault="009E4A3A" w:rsidP="007C4C57">
      <w:pPr>
        <w:tabs>
          <w:tab w:val="left" w:pos="1440"/>
          <w:tab w:val="left" w:pos="2160"/>
        </w:tabs>
        <w:spacing w:before="120"/>
        <w:jc w:val="both"/>
        <w:rPr>
          <w:color w:val="auto"/>
          <w:lang w:val="en-AU"/>
        </w:rPr>
      </w:pPr>
      <w:r w:rsidRPr="00204FB3">
        <w:rPr>
          <w:color w:val="auto"/>
          <w:lang w:val="en-AU"/>
        </w:rPr>
        <w:t>For general advice on management</w:t>
      </w:r>
      <w:r w:rsidR="00363FF8" w:rsidRPr="00204FB3">
        <w:rPr>
          <w:color w:val="auto"/>
          <w:lang w:val="en-AU"/>
        </w:rPr>
        <w:t xml:space="preserve"> of overdose</w:t>
      </w:r>
      <w:r w:rsidRPr="00204FB3">
        <w:rPr>
          <w:color w:val="auto"/>
          <w:lang w:val="en-AU"/>
        </w:rPr>
        <w:t>, contact the Poisons Information Centre, telephone number 13 11 26 (Australia) or the National Poisons Centre, 0800 POISON or 0800 764 766 (New Zealand).</w:t>
      </w:r>
    </w:p>
    <w:p w14:paraId="16D51DD9" w14:textId="77777777" w:rsidR="00A62F6D" w:rsidRPr="00204FB3" w:rsidRDefault="00A62F6D" w:rsidP="00024098">
      <w:pPr>
        <w:rPr>
          <w:color w:val="auto"/>
          <w:lang w:val="en-AU"/>
        </w:rPr>
      </w:pPr>
    </w:p>
    <w:p w14:paraId="08E6BB18" w14:textId="77777777" w:rsidR="001A3992" w:rsidRPr="00204FB3" w:rsidRDefault="001A3992" w:rsidP="00024098">
      <w:pPr>
        <w:pStyle w:val="Heading1"/>
        <w:keepNext w:val="0"/>
        <w:pageBreakBefore w:val="0"/>
        <w:spacing w:before="0" w:after="120"/>
        <w:rPr>
          <w:lang w:val="en-AU"/>
        </w:rPr>
      </w:pPr>
      <w:r w:rsidRPr="00204FB3">
        <w:rPr>
          <w:lang w:val="en-AU"/>
        </w:rPr>
        <w:t>Pharmacological properties</w:t>
      </w:r>
    </w:p>
    <w:p w14:paraId="16A4301C" w14:textId="77777777" w:rsidR="001A3992" w:rsidRPr="00204FB3" w:rsidRDefault="001A3992" w:rsidP="001A3992">
      <w:pPr>
        <w:pStyle w:val="Heading2"/>
        <w:spacing w:before="0" w:after="120"/>
        <w:rPr>
          <w:lang w:val="en-AU"/>
        </w:rPr>
      </w:pPr>
      <w:r w:rsidRPr="00204FB3">
        <w:rPr>
          <w:lang w:val="en-AU"/>
        </w:rPr>
        <w:t xml:space="preserve">Pharmacodynamic properties </w:t>
      </w:r>
    </w:p>
    <w:p w14:paraId="33D651FA" w14:textId="77777777" w:rsidR="006300D9" w:rsidRPr="00204FB3" w:rsidRDefault="006300D9" w:rsidP="006300D9">
      <w:pPr>
        <w:rPr>
          <w:color w:val="auto"/>
          <w:lang w:val="en-AU"/>
        </w:rPr>
      </w:pPr>
      <w:r w:rsidRPr="00204FB3">
        <w:rPr>
          <w:color w:val="auto"/>
          <w:lang w:val="en-AU"/>
        </w:rPr>
        <w:t xml:space="preserve">Pharmacotherapeutic group: </w:t>
      </w:r>
      <w:r w:rsidR="00384473" w:rsidRPr="00204FB3">
        <w:rPr>
          <w:color w:val="auto"/>
        </w:rPr>
        <w:t>Other lipid modifying agents,</w:t>
      </w:r>
      <w:r w:rsidR="00384473" w:rsidRPr="00204FB3">
        <w:rPr>
          <w:color w:val="auto"/>
          <w:lang w:val="en-AU"/>
        </w:rPr>
        <w:t xml:space="preserve"> ATC code: </w:t>
      </w:r>
      <w:r w:rsidR="00384473" w:rsidRPr="00204FB3">
        <w:rPr>
          <w:color w:val="auto"/>
        </w:rPr>
        <w:t>C10AX14</w:t>
      </w:r>
    </w:p>
    <w:p w14:paraId="4013B950" w14:textId="77777777" w:rsidR="001C65EF" w:rsidRPr="00204FB3" w:rsidRDefault="001C65EF" w:rsidP="001C65EF">
      <w:pPr>
        <w:rPr>
          <w:color w:val="auto"/>
        </w:rPr>
      </w:pPr>
      <w:r w:rsidRPr="00204FB3">
        <w:rPr>
          <w:color w:val="auto"/>
        </w:rPr>
        <w:t xml:space="preserve">Alirocumab inhibits PCSK9 activity in both </w:t>
      </w:r>
      <w:r w:rsidRPr="00204FB3">
        <w:rPr>
          <w:i/>
          <w:color w:val="auto"/>
        </w:rPr>
        <w:t>in vitro</w:t>
      </w:r>
      <w:r w:rsidRPr="00204FB3">
        <w:rPr>
          <w:color w:val="auto"/>
        </w:rPr>
        <w:t xml:space="preserve"> assays and </w:t>
      </w:r>
      <w:r w:rsidRPr="00204FB3">
        <w:rPr>
          <w:i/>
          <w:color w:val="auto"/>
        </w:rPr>
        <w:t>in vivo</w:t>
      </w:r>
      <w:r w:rsidRPr="00204FB3">
        <w:rPr>
          <w:color w:val="auto"/>
        </w:rPr>
        <w:t xml:space="preserve"> model systems. Many studies in animals and humans have demonstrated the central role that elevated levels of LDL-C play in the initiation and progression of atherosclerosis.</w:t>
      </w:r>
    </w:p>
    <w:p w14:paraId="4FB91591" w14:textId="77777777" w:rsidR="006300D9" w:rsidRPr="00204FB3" w:rsidRDefault="006300D9" w:rsidP="006300D9">
      <w:pPr>
        <w:rPr>
          <w:color w:val="auto"/>
          <w:lang w:val="en-AU"/>
        </w:rPr>
      </w:pPr>
    </w:p>
    <w:p w14:paraId="0A7D3DE9" w14:textId="77777777" w:rsidR="0024632F" w:rsidRPr="00204FB3" w:rsidRDefault="0024632F" w:rsidP="00CA73C2">
      <w:pPr>
        <w:pStyle w:val="Heading3"/>
        <w:numPr>
          <w:ilvl w:val="0"/>
          <w:numId w:val="0"/>
        </w:numPr>
        <w:spacing w:before="0" w:after="120"/>
        <w:ind w:left="680" w:hanging="680"/>
        <w:rPr>
          <w:i/>
        </w:rPr>
      </w:pPr>
      <w:r w:rsidRPr="00204FB3">
        <w:rPr>
          <w:i/>
        </w:rPr>
        <w:t>Mechanism of action</w:t>
      </w:r>
    </w:p>
    <w:p w14:paraId="01BCCC25" w14:textId="77777777" w:rsidR="0086269F" w:rsidRPr="00204FB3" w:rsidRDefault="0086269F" w:rsidP="0086269F">
      <w:pPr>
        <w:rPr>
          <w:color w:val="auto"/>
        </w:rPr>
      </w:pPr>
      <w:r w:rsidRPr="00204FB3">
        <w:rPr>
          <w:color w:val="auto"/>
        </w:rPr>
        <w:t>Alirocumab binds with high affinity and specificity to PCSK9 which binds to the low-density lipoprotein receptors (LDLR) on the surface of hepatocytes to promote their degradation. LDLR is the primary receptor that clears circulating low-density lipoprotein (LDL), therefore the decrease in LDLR levels by PCSK9 results in higher blood levels of low-density lipoprotein cholesterol (LDL-C). By inhibiting the binding of PCSK9 to LDLR, alirocumab increases the number of LDLRs available to clear LDL, thereby lowering LDL-C levels.</w:t>
      </w:r>
    </w:p>
    <w:p w14:paraId="42F05945" w14:textId="77777777" w:rsidR="0086269F" w:rsidRPr="00204FB3" w:rsidRDefault="0086269F" w:rsidP="0086269F">
      <w:pPr>
        <w:rPr>
          <w:color w:val="auto"/>
        </w:rPr>
      </w:pPr>
      <w:r w:rsidRPr="00204FB3">
        <w:rPr>
          <w:color w:val="auto"/>
        </w:rPr>
        <w:t>In genetic studies in humans, PCSK9 variants with either loss-of-function or gain-of-function mutations have been identified. Individuals with single allele PCSK9 loss-of-function mutation have lower levels of LDL-C, which correlated with a significantly lower incidence of coronary heart disease. A few individuals have been reported, who carry PCSK9 loss-of-function mutations in two alleles and have profoundly low LDL-C levels, with HDL-C and triglyceride (TG) levels in the normal range. Conversely, gain-of-function mutations in the PCSK9 gene have been identified in patients with increased LDL-C levels and a clinical diagnosis of familial hypercholesterolaemia (FH).</w:t>
      </w:r>
    </w:p>
    <w:p w14:paraId="199D7DE5" w14:textId="0A70FE47" w:rsidR="0086269F" w:rsidRPr="00204FB3" w:rsidRDefault="0086269F" w:rsidP="0086269F">
      <w:pPr>
        <w:rPr>
          <w:color w:val="auto"/>
        </w:rPr>
      </w:pPr>
      <w:r w:rsidRPr="00204FB3">
        <w:rPr>
          <w:color w:val="auto"/>
        </w:rPr>
        <w:t>Observational analyses have demonstrated that the untreated LDL-C levels in patients with gain-of-function mutations in the PCSK9 gene are in a similar range to those observed in patients with the more traditional mutations that cause heterozygous FH (heFH) (such as in the LDLR gene) demonstrating a central role for PCSK9 in LDL-C metabolism and levels. In a multicentre, double-blind, placebo-controlled, 14</w:t>
      </w:r>
      <w:r w:rsidR="00D31DD6">
        <w:rPr>
          <w:color w:val="auto"/>
        </w:rPr>
        <w:t>-</w:t>
      </w:r>
      <w:r w:rsidRPr="00204FB3">
        <w:rPr>
          <w:color w:val="auto"/>
        </w:rPr>
        <w:t>week study, 13 patients with heFH due to gain-of-function mutations in the PCSK9 gene were randomised to receive either alirocumab 150 mg once every 2 weeks or placebo. Mean baseline LDL-C was 3.92 mmol/L. At week 2, the mean reduction from baseline in LDL-C was 62.5% in the alirocumab-treated patients as compared to 8.8% in the placebo patients. At week 8, the mean reduction in LDL-C from baseline with all patients treated with alirocumab was 72.4%.</w:t>
      </w:r>
    </w:p>
    <w:p w14:paraId="49F36BCB" w14:textId="77777777" w:rsidR="001C65EF" w:rsidRPr="00204FB3" w:rsidRDefault="001C65EF" w:rsidP="00606597">
      <w:pPr>
        <w:pStyle w:val="Heading4"/>
        <w:numPr>
          <w:ilvl w:val="0"/>
          <w:numId w:val="0"/>
        </w:numPr>
        <w:ind w:left="862" w:hanging="862"/>
      </w:pPr>
      <w:r w:rsidRPr="00204FB3">
        <w:t xml:space="preserve">Pharmacodynamic effects </w:t>
      </w:r>
    </w:p>
    <w:p w14:paraId="1A7B2E07" w14:textId="77777777" w:rsidR="001C65EF" w:rsidRPr="00204FB3" w:rsidRDefault="001C65EF" w:rsidP="001C65EF">
      <w:pPr>
        <w:rPr>
          <w:color w:val="auto"/>
        </w:rPr>
      </w:pPr>
      <w:r w:rsidRPr="00204FB3">
        <w:rPr>
          <w:color w:val="auto"/>
        </w:rPr>
        <w:t xml:space="preserve">In </w:t>
      </w:r>
      <w:r w:rsidRPr="00204FB3">
        <w:rPr>
          <w:i/>
          <w:color w:val="auto"/>
        </w:rPr>
        <w:t>in vitro</w:t>
      </w:r>
      <w:r w:rsidRPr="00204FB3">
        <w:rPr>
          <w:color w:val="auto"/>
        </w:rPr>
        <w:t xml:space="preserve"> assays, alirocumab did not induce Fc-mediated effector function activity (antibody-dependent cell-mediated cytotoxicity and complement-dependent cytotoxicity) either in the presence or absence of PCSK9 and no soluble immune complexes capable of binding complement proteins were observed for alirocumab when bound to PCSK9. </w:t>
      </w:r>
    </w:p>
    <w:p w14:paraId="02A18FDF" w14:textId="77777777" w:rsidR="001C65EF" w:rsidRPr="00204FB3" w:rsidRDefault="001C65EF" w:rsidP="001C65EF">
      <w:pPr>
        <w:rPr>
          <w:color w:val="auto"/>
        </w:rPr>
      </w:pPr>
      <w:r w:rsidRPr="00204FB3">
        <w:rPr>
          <w:color w:val="auto"/>
        </w:rPr>
        <w:t xml:space="preserve">The pharmacodynamic effect of alirocumab in lowering LDL-C is indirect, and mediated through the binding to PCSK9. A concentration-dependent reduction in free PCSK9 and LDL-C is observed until target saturation is achieved. Upon saturation of PCSK9 binding, further increases in alirocumab concentrations do not result in a further LDL-C reduction, however an extended duration of the LDL-C lowering effect is observed. </w:t>
      </w:r>
    </w:p>
    <w:p w14:paraId="5E5B9C14" w14:textId="77777777" w:rsidR="001A3992" w:rsidRPr="00204FB3" w:rsidRDefault="001A3992" w:rsidP="00CA73C2">
      <w:pPr>
        <w:pStyle w:val="Heading3"/>
        <w:numPr>
          <w:ilvl w:val="0"/>
          <w:numId w:val="0"/>
        </w:numPr>
        <w:spacing w:before="0" w:after="120"/>
        <w:ind w:left="680" w:hanging="680"/>
        <w:rPr>
          <w:i/>
          <w:lang w:val="en-AU"/>
        </w:rPr>
      </w:pPr>
      <w:r w:rsidRPr="00204FB3">
        <w:rPr>
          <w:i/>
          <w:lang w:val="en-AU"/>
        </w:rPr>
        <w:lastRenderedPageBreak/>
        <w:t>Clinical trials</w:t>
      </w:r>
    </w:p>
    <w:p w14:paraId="7B7F9EA4" w14:textId="77777777" w:rsidR="001C65EF" w:rsidRPr="00204FB3" w:rsidRDefault="00AA1DDE" w:rsidP="00606597">
      <w:pPr>
        <w:pStyle w:val="Heading4"/>
        <w:numPr>
          <w:ilvl w:val="0"/>
          <w:numId w:val="0"/>
        </w:numPr>
        <w:ind w:left="862" w:hanging="862"/>
      </w:pPr>
      <w:r w:rsidRPr="00204FB3">
        <w:t>EVERY 2 WEEKS (Q2W) DOSING REGIMEN</w:t>
      </w:r>
    </w:p>
    <w:p w14:paraId="69F6065E" w14:textId="77777777" w:rsidR="001C65EF" w:rsidRPr="00204FB3" w:rsidRDefault="001C65EF" w:rsidP="001C65EF">
      <w:pPr>
        <w:rPr>
          <w:color w:val="auto"/>
        </w:rPr>
      </w:pPr>
      <w:r w:rsidRPr="00204FB3">
        <w:rPr>
          <w:color w:val="auto"/>
        </w:rPr>
        <w:t>The efficacy of Praluent was investigated in ten phase 3 trials (five placebo-controlled and five ezetimibe-controlled studies), involving 5,296 randomised patients with 3,188 patients randomised to Praluent. The five placebo-controlled trials involved 3,499 patients of which 36% were patients with heterozygous familial hypercholesterolemia (heFH) and 54% were non-FH patients who had clinical atherosclerotic cardiovascular disease. Three of the ten studies were conducted exclusively in patients with heFH. The majority of patients in the phase 3 program were taking background lipid-modifying therapy (LMT) consisting of a maximally tolerated dose of statin, with or without other LMTs, and were at high or very high cardiovascular (CV) risk. Two studies were conducted in patients who were not concomitantly treated with a statin, including one study in patients with documented statin intolerance. Alirocumab has not been studied in patients with homozygous familial hypercholesterolaemia.</w:t>
      </w:r>
    </w:p>
    <w:p w14:paraId="1E5F29AE" w14:textId="77777777" w:rsidR="001C65EF" w:rsidRPr="00204FB3" w:rsidRDefault="001C65EF" w:rsidP="001C65EF">
      <w:pPr>
        <w:rPr>
          <w:color w:val="auto"/>
        </w:rPr>
      </w:pPr>
      <w:r w:rsidRPr="00204FB3">
        <w:rPr>
          <w:color w:val="auto"/>
        </w:rPr>
        <w:t>Eight studies were performed with a dose of 75 mg once every 2 weeks, and criteria-based up-titration to 150 mg once every 2 weeks at week 12 in patients who did not achieve their pre-defined target LDL-C based on their level of CV risk at week 8. Two studies (LONG TERM and HIGH FH), involving a total of 2,416 patients, were performed with a 150 mg once every 2 weeks dose only. Baseline demographic characteristics were well matched between the Praluent and control groups. The age of the patients ranged from 18 to 89 years across studies (mean age 60 years); 38% were women; the majority of patients were Caucasian (90%), 5% were Black, 2% were Asian; the mean body mass index (BMI) was 30 kg/m2. In the phase 3 studies, 31% of patients had type 2 diabetes mellitus, and 64% of patients had a history of coronary heart disease.</w:t>
      </w:r>
    </w:p>
    <w:p w14:paraId="43CEB068" w14:textId="77777777" w:rsidR="001C65EF" w:rsidRPr="00204FB3" w:rsidRDefault="001C65EF" w:rsidP="001C65EF">
      <w:pPr>
        <w:rPr>
          <w:color w:val="auto"/>
        </w:rPr>
      </w:pPr>
      <w:r w:rsidRPr="00204FB3">
        <w:rPr>
          <w:color w:val="auto"/>
        </w:rPr>
        <w:t xml:space="preserve">The primary efficacy endpoint in all of the phase 3 studies was the mean percent reduction from baseline in LDL-C at week 24 as compared to placebo or ezetimibe. All of the studies met their primary endpoint. The effect of Praluent on cardiovascular morbidity and mortality is currently being investigated in an ongoing clinical trial in 18,000 patients (OUTCOMES). </w:t>
      </w:r>
    </w:p>
    <w:p w14:paraId="6B526876" w14:textId="77777777" w:rsidR="001C65EF" w:rsidRPr="00204FB3" w:rsidRDefault="001C65EF" w:rsidP="001C65EF">
      <w:pPr>
        <w:rPr>
          <w:color w:val="auto"/>
        </w:rPr>
      </w:pPr>
      <w:r w:rsidRPr="00204FB3">
        <w:rPr>
          <w:color w:val="auto"/>
        </w:rPr>
        <w:t xml:space="preserve">In general, administration of Praluent also resulted in a statistically significant greater percent reduction in Total-C, non-HDL-C, Apo B, and Lp(a) as compared to placebo/ ezetimibe, whether or not patients were concomitantly being treated with a statin. Praluent also reduced triglycerides, and increased HDL-C and Apo A-1 as compared to placebo. </w:t>
      </w:r>
      <w:r w:rsidRPr="00204FB3">
        <w:rPr>
          <w:i/>
          <w:color w:val="auto"/>
        </w:rPr>
        <w:t xml:space="preserve"> </w:t>
      </w:r>
    </w:p>
    <w:p w14:paraId="537E592C" w14:textId="77777777" w:rsidR="001C65EF" w:rsidRPr="00204FB3" w:rsidRDefault="001C65EF" w:rsidP="001C65EF">
      <w:pPr>
        <w:rPr>
          <w:color w:val="auto"/>
        </w:rPr>
      </w:pPr>
      <w:r w:rsidRPr="00204FB3">
        <w:rPr>
          <w:color w:val="auto"/>
        </w:rPr>
        <w:t xml:space="preserve">Reduction in LDL-C was seen across age, gender, body mass index (BMI), race and baseline LDL-C levels. LDL-C reduction was consistent regardless of concomitantly used statins and doses. A significantly higher proportion of patients achieved an LDL-C of ˂1.81 mmol/L in the Praluent group as compared to placebo or ezetimibe at week 12 and week 24. In studies using the criteria-based up-titration regimen, a majority of patients achieved the pre-defined target LDL-C (based on their level of CV risk) on the 75 mg once every 2 weeks dose, and a majority of patients maintained treatment on the 75 mg once every 2 week dose. </w:t>
      </w:r>
    </w:p>
    <w:p w14:paraId="312FD2D0" w14:textId="77777777" w:rsidR="001C65EF" w:rsidRPr="00204FB3" w:rsidRDefault="001C65EF" w:rsidP="001C65EF">
      <w:pPr>
        <w:rPr>
          <w:color w:val="auto"/>
        </w:rPr>
      </w:pPr>
      <w:r w:rsidRPr="00204FB3">
        <w:rPr>
          <w:color w:val="auto"/>
        </w:rPr>
        <w:t xml:space="preserve">The lipid-lowering effect of Praluent was observed within 15 days of the first dose reaching maximum effect at approximately 4 weeks. Efficacy was sustained over the duration of study </w:t>
      </w:r>
      <w:r w:rsidRPr="00204FB3">
        <w:rPr>
          <w:color w:val="auto"/>
        </w:rPr>
        <w:lastRenderedPageBreak/>
        <w:t>treatment (up to 2 years). Following discontinuation of Praluent, no rebound in LDL-C was observed, and LDL-C levels gradually returned to baseline levels.</w:t>
      </w:r>
    </w:p>
    <w:p w14:paraId="12B749A3" w14:textId="2F8D6189" w:rsidR="001C65EF" w:rsidRPr="00204FB3" w:rsidRDefault="001C65EF" w:rsidP="001C65EF">
      <w:pPr>
        <w:rPr>
          <w:color w:val="auto"/>
        </w:rPr>
      </w:pPr>
      <w:r w:rsidRPr="00204FB3">
        <w:rPr>
          <w:color w:val="auto"/>
        </w:rPr>
        <w:fldChar w:fldCharType="begin"/>
      </w:r>
      <w:r w:rsidRPr="00204FB3">
        <w:rPr>
          <w:color w:val="auto"/>
        </w:rPr>
        <w:instrText xml:space="preserve"> REF _Ref409772709 \h  \* MERGEFORMAT </w:instrText>
      </w:r>
      <w:r w:rsidRPr="00204FB3">
        <w:rPr>
          <w:color w:val="auto"/>
        </w:rPr>
      </w:r>
      <w:r w:rsidRPr="00204FB3">
        <w:rPr>
          <w:color w:val="auto"/>
        </w:rPr>
        <w:fldChar w:fldCharType="separate"/>
      </w:r>
      <w:r w:rsidR="0052180F" w:rsidRPr="0052180F">
        <w:rPr>
          <w:color w:val="auto"/>
        </w:rPr>
        <w:t>Table 6</w:t>
      </w:r>
      <w:r w:rsidRPr="00204FB3">
        <w:rPr>
          <w:color w:val="auto"/>
        </w:rPr>
        <w:fldChar w:fldCharType="end"/>
      </w:r>
      <w:r w:rsidRPr="00204FB3">
        <w:rPr>
          <w:color w:val="auto"/>
        </w:rPr>
        <w:t xml:space="preserve"> </w:t>
      </w:r>
      <w:r w:rsidRPr="00204FB3">
        <w:rPr>
          <w:color w:val="auto"/>
          <w:lang w:val="en-AU"/>
        </w:rPr>
        <w:t>summarises</w:t>
      </w:r>
      <w:r w:rsidRPr="00204FB3">
        <w:rPr>
          <w:color w:val="auto"/>
        </w:rPr>
        <w:t xml:space="preserve"> the mean percent change from baseline in LDL-C with Praluent at week 12 (before up-titration) and at week 24 (primary endpoint) based on analyses across pooled phase 3 studies.</w:t>
      </w:r>
    </w:p>
    <w:p w14:paraId="1C909E0D" w14:textId="6E2D5471" w:rsidR="001C65EF" w:rsidRPr="00204FB3" w:rsidRDefault="001C65EF" w:rsidP="001C65EF">
      <w:pPr>
        <w:pStyle w:val="Caption"/>
        <w:rPr>
          <w:vertAlign w:val="superscript"/>
        </w:rPr>
      </w:pPr>
      <w:r w:rsidRPr="00204FB3">
        <w:t xml:space="preserve"> </w:t>
      </w:r>
      <w:bookmarkStart w:id="5" w:name="_Ref409772709"/>
      <w:r w:rsidRPr="00204FB3">
        <w:t>Table </w:t>
      </w:r>
      <w:r w:rsidRPr="00204FB3">
        <w:fldChar w:fldCharType="begin"/>
      </w:r>
      <w:r w:rsidRPr="00204FB3">
        <w:instrText xml:space="preserve"> SEQ Table \* ARABIC </w:instrText>
      </w:r>
      <w:r w:rsidRPr="00204FB3">
        <w:fldChar w:fldCharType="separate"/>
      </w:r>
      <w:r w:rsidR="0052180F">
        <w:rPr>
          <w:noProof/>
        </w:rPr>
        <w:t>6</w:t>
      </w:r>
      <w:r w:rsidRPr="00204FB3">
        <w:fldChar w:fldCharType="end"/>
      </w:r>
      <w:bookmarkEnd w:id="5"/>
      <w:r w:rsidRPr="00204FB3">
        <w:t xml:space="preserve"> ­ Mean percent change from baseline in LDL-C with alirocumab at week 12 (before up-titration) and week 24 (primary endpoint) in analyses of pooled phase 3 studies in patients on background statin</w:t>
      </w:r>
      <w:r w:rsidRPr="00204FB3">
        <w:rPr>
          <w:vertAlign w:val="superscript"/>
        </w:rPr>
        <w:t>a</w:t>
      </w:r>
    </w:p>
    <w:tbl>
      <w:tblPr>
        <w:tblW w:w="0" w:type="auto"/>
        <w:jc w:val="center"/>
        <w:tblBorders>
          <w:top w:val="single" w:sz="2" w:space="0" w:color="000000"/>
        </w:tblBorders>
        <w:tblLayout w:type="fixed"/>
        <w:tblLook w:val="04A0" w:firstRow="1" w:lastRow="0" w:firstColumn="1" w:lastColumn="0" w:noHBand="0" w:noVBand="1"/>
      </w:tblPr>
      <w:tblGrid>
        <w:gridCol w:w="1114"/>
        <w:gridCol w:w="1307"/>
        <w:gridCol w:w="1413"/>
        <w:gridCol w:w="990"/>
        <w:gridCol w:w="1184"/>
        <w:gridCol w:w="1696"/>
        <w:gridCol w:w="1873"/>
      </w:tblGrid>
      <w:tr w:rsidR="001C65EF" w:rsidRPr="00204FB3" w14:paraId="27A2DB70" w14:textId="77777777" w:rsidTr="00215881">
        <w:trPr>
          <w:cantSplit/>
          <w:trHeight w:val="360"/>
          <w:jc w:val="center"/>
        </w:trPr>
        <w:tc>
          <w:tcPr>
            <w:tcW w:w="1114" w:type="dxa"/>
            <w:vMerge w:val="restart"/>
            <w:tcBorders>
              <w:top w:val="single" w:sz="4" w:space="0" w:color="auto"/>
              <w:left w:val="single" w:sz="4" w:space="0" w:color="auto"/>
              <w:right w:val="single" w:sz="4" w:space="0" w:color="auto"/>
            </w:tcBorders>
            <w:shd w:val="clear" w:color="auto" w:fill="auto"/>
          </w:tcPr>
          <w:p w14:paraId="730C1629" w14:textId="77777777" w:rsidR="001C65EF" w:rsidRPr="00204FB3" w:rsidRDefault="001C65EF" w:rsidP="00215881">
            <w:pPr>
              <w:pStyle w:val="TblHeadingCenter"/>
              <w:jc w:val="left"/>
            </w:pPr>
            <w:r w:rsidRPr="00204FB3">
              <w:t xml:space="preserve">Week 12 </w:t>
            </w:r>
          </w:p>
        </w:tc>
        <w:tc>
          <w:tcPr>
            <w:tcW w:w="2720" w:type="dxa"/>
            <w:gridSpan w:val="2"/>
            <w:vMerge w:val="restart"/>
            <w:tcBorders>
              <w:top w:val="single" w:sz="4" w:space="0" w:color="auto"/>
              <w:left w:val="single" w:sz="4" w:space="0" w:color="auto"/>
              <w:right w:val="single" w:sz="4" w:space="0" w:color="auto"/>
            </w:tcBorders>
            <w:shd w:val="clear" w:color="auto" w:fill="auto"/>
          </w:tcPr>
          <w:p w14:paraId="31BB2100" w14:textId="77777777" w:rsidR="001C65EF" w:rsidRPr="00204FB3" w:rsidRDefault="001C65EF" w:rsidP="00215881">
            <w:pPr>
              <w:pStyle w:val="TblHeadingCenter"/>
            </w:pPr>
            <w:r w:rsidRPr="00204FB3">
              <w:t>Placebo controlled studies</w:t>
            </w:r>
          </w:p>
        </w:tc>
        <w:tc>
          <w:tcPr>
            <w:tcW w:w="5743" w:type="dxa"/>
            <w:gridSpan w:val="4"/>
            <w:tcBorders>
              <w:top w:val="single" w:sz="4" w:space="0" w:color="auto"/>
              <w:left w:val="single" w:sz="4" w:space="0" w:color="auto"/>
              <w:bottom w:val="single" w:sz="4" w:space="0" w:color="auto"/>
              <w:right w:val="single" w:sz="4" w:space="0" w:color="auto"/>
            </w:tcBorders>
          </w:tcPr>
          <w:p w14:paraId="72EDCB72" w14:textId="77777777" w:rsidR="001C65EF" w:rsidRPr="00204FB3" w:rsidRDefault="001C65EF" w:rsidP="00215881">
            <w:pPr>
              <w:pStyle w:val="TblHeadingCenter"/>
            </w:pPr>
            <w:r w:rsidRPr="00204FB3">
              <w:t>Ezetimibe controlled studies</w:t>
            </w:r>
          </w:p>
        </w:tc>
      </w:tr>
      <w:tr w:rsidR="001C65EF" w:rsidRPr="00204FB3" w14:paraId="0E3E4A82" w14:textId="77777777" w:rsidTr="00215881">
        <w:trPr>
          <w:cantSplit/>
          <w:trHeight w:val="360"/>
          <w:jc w:val="center"/>
        </w:trPr>
        <w:tc>
          <w:tcPr>
            <w:tcW w:w="1114" w:type="dxa"/>
            <w:vMerge/>
            <w:tcBorders>
              <w:left w:val="single" w:sz="4" w:space="0" w:color="auto"/>
              <w:bottom w:val="single" w:sz="4" w:space="0" w:color="auto"/>
              <w:right w:val="single" w:sz="4" w:space="0" w:color="auto"/>
            </w:tcBorders>
            <w:shd w:val="clear" w:color="auto" w:fill="auto"/>
          </w:tcPr>
          <w:p w14:paraId="2DC91774" w14:textId="77777777" w:rsidR="001C65EF" w:rsidRPr="00204FB3" w:rsidRDefault="001C65EF" w:rsidP="00215881">
            <w:pPr>
              <w:pStyle w:val="TblHeadingCenter"/>
              <w:jc w:val="left"/>
            </w:pPr>
          </w:p>
        </w:tc>
        <w:tc>
          <w:tcPr>
            <w:tcW w:w="2720" w:type="dxa"/>
            <w:gridSpan w:val="2"/>
            <w:vMerge/>
            <w:tcBorders>
              <w:left w:val="single" w:sz="4" w:space="0" w:color="auto"/>
              <w:bottom w:val="single" w:sz="4" w:space="0" w:color="auto"/>
              <w:right w:val="single" w:sz="4" w:space="0" w:color="auto"/>
            </w:tcBorders>
            <w:shd w:val="clear" w:color="auto" w:fill="auto"/>
          </w:tcPr>
          <w:p w14:paraId="169586B9" w14:textId="77777777" w:rsidR="001C65EF" w:rsidRPr="00204FB3" w:rsidRDefault="001C65EF" w:rsidP="00215881">
            <w:pPr>
              <w:pStyle w:val="TblHeadingCenter"/>
            </w:pPr>
          </w:p>
        </w:tc>
        <w:tc>
          <w:tcPr>
            <w:tcW w:w="2174" w:type="dxa"/>
            <w:gridSpan w:val="2"/>
            <w:tcBorders>
              <w:top w:val="single" w:sz="4" w:space="0" w:color="auto"/>
              <w:left w:val="single" w:sz="4" w:space="0" w:color="auto"/>
              <w:bottom w:val="single" w:sz="4" w:space="0" w:color="auto"/>
              <w:right w:val="single" w:sz="4" w:space="0" w:color="auto"/>
            </w:tcBorders>
          </w:tcPr>
          <w:p w14:paraId="015E28EC" w14:textId="77777777" w:rsidR="001C65EF" w:rsidRPr="00204FB3" w:rsidRDefault="001C65EF" w:rsidP="00215881">
            <w:pPr>
              <w:pStyle w:val="TblHeadingCenter"/>
            </w:pPr>
            <w:r w:rsidRPr="00204FB3">
              <w:t xml:space="preserve"> Without Background Statin</w:t>
            </w:r>
          </w:p>
        </w:tc>
        <w:tc>
          <w:tcPr>
            <w:tcW w:w="3569" w:type="dxa"/>
            <w:gridSpan w:val="2"/>
            <w:tcBorders>
              <w:top w:val="single" w:sz="4" w:space="0" w:color="auto"/>
              <w:left w:val="single" w:sz="4" w:space="0" w:color="auto"/>
              <w:bottom w:val="single" w:sz="4" w:space="0" w:color="auto"/>
              <w:right w:val="single" w:sz="4" w:space="0" w:color="auto"/>
            </w:tcBorders>
          </w:tcPr>
          <w:p w14:paraId="1454A4AD" w14:textId="77777777" w:rsidR="001C65EF" w:rsidRPr="00204FB3" w:rsidRDefault="001C65EF" w:rsidP="00215881">
            <w:pPr>
              <w:pStyle w:val="TblHeadingCenter"/>
            </w:pPr>
            <w:r w:rsidRPr="00204FB3">
              <w:t>With Background Statin</w:t>
            </w:r>
          </w:p>
        </w:tc>
      </w:tr>
      <w:tr w:rsidR="001C65EF" w:rsidRPr="00204FB3" w14:paraId="0A7A987B" w14:textId="77777777" w:rsidTr="00215881">
        <w:trPr>
          <w:cantSplit/>
          <w:jc w:val="center"/>
        </w:trPr>
        <w:tc>
          <w:tcPr>
            <w:tcW w:w="1114" w:type="dxa"/>
            <w:tcBorders>
              <w:top w:val="single" w:sz="4" w:space="0" w:color="auto"/>
              <w:left w:val="single" w:sz="4" w:space="0" w:color="auto"/>
              <w:bottom w:val="single" w:sz="4" w:space="0" w:color="auto"/>
              <w:right w:val="single" w:sz="4" w:space="0" w:color="auto"/>
            </w:tcBorders>
            <w:shd w:val="clear" w:color="auto" w:fill="auto"/>
          </w:tcPr>
          <w:p w14:paraId="06BD0B0D" w14:textId="77777777" w:rsidR="001C65EF" w:rsidRPr="00204FB3" w:rsidRDefault="001C65EF" w:rsidP="00215881">
            <w:pPr>
              <w:pStyle w:val="TblTextCenter"/>
              <w:jc w:val="left"/>
            </w:pPr>
            <w:r w:rsidRPr="00204FB3">
              <w:t>Dose</w:t>
            </w:r>
          </w:p>
        </w:tc>
        <w:tc>
          <w:tcPr>
            <w:tcW w:w="1307" w:type="dxa"/>
            <w:tcBorders>
              <w:top w:val="single" w:sz="4" w:space="0" w:color="auto"/>
              <w:left w:val="single" w:sz="4" w:space="0" w:color="auto"/>
              <w:bottom w:val="single" w:sz="4" w:space="0" w:color="auto"/>
              <w:right w:val="single" w:sz="4" w:space="0" w:color="auto"/>
            </w:tcBorders>
            <w:shd w:val="clear" w:color="auto" w:fill="auto"/>
          </w:tcPr>
          <w:p w14:paraId="1D5D94D4" w14:textId="77777777" w:rsidR="001C65EF" w:rsidRPr="00204FB3" w:rsidRDefault="001C65EF" w:rsidP="00215881">
            <w:pPr>
              <w:pStyle w:val="TblTextCenter"/>
            </w:pPr>
            <w:r w:rsidRPr="00204FB3">
              <w:t>Praluent (additive effect beyond statin)</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2A235375" w14:textId="77777777" w:rsidR="001C65EF" w:rsidRPr="00204FB3" w:rsidRDefault="001C65EF" w:rsidP="00215881">
            <w:pPr>
              <w:pStyle w:val="TblTextCenter"/>
            </w:pPr>
            <w:r w:rsidRPr="00204FB3">
              <w:t>Placebo (additive effect beyond statin)</w:t>
            </w:r>
          </w:p>
        </w:tc>
        <w:tc>
          <w:tcPr>
            <w:tcW w:w="990" w:type="dxa"/>
            <w:tcBorders>
              <w:top w:val="single" w:sz="4" w:space="0" w:color="auto"/>
              <w:left w:val="single" w:sz="4" w:space="0" w:color="auto"/>
              <w:bottom w:val="single" w:sz="4" w:space="0" w:color="auto"/>
              <w:right w:val="single" w:sz="4" w:space="0" w:color="auto"/>
            </w:tcBorders>
          </w:tcPr>
          <w:p w14:paraId="284587CF" w14:textId="77777777" w:rsidR="001C65EF" w:rsidRPr="00204FB3" w:rsidRDefault="001C65EF" w:rsidP="00215881">
            <w:pPr>
              <w:pStyle w:val="TblTextCenter"/>
            </w:pPr>
            <w:r w:rsidRPr="00204FB3">
              <w:t xml:space="preserve">Praluent </w:t>
            </w:r>
          </w:p>
        </w:tc>
        <w:tc>
          <w:tcPr>
            <w:tcW w:w="1184" w:type="dxa"/>
            <w:tcBorders>
              <w:top w:val="single" w:sz="4" w:space="0" w:color="auto"/>
              <w:left w:val="single" w:sz="4" w:space="0" w:color="auto"/>
              <w:bottom w:val="single" w:sz="4" w:space="0" w:color="auto"/>
              <w:right w:val="single" w:sz="4" w:space="0" w:color="auto"/>
            </w:tcBorders>
          </w:tcPr>
          <w:p w14:paraId="0E77D94C" w14:textId="77777777" w:rsidR="001C65EF" w:rsidRPr="00204FB3" w:rsidRDefault="001C65EF" w:rsidP="00215881">
            <w:pPr>
              <w:pStyle w:val="TblTextCenter"/>
            </w:pPr>
            <w:r w:rsidRPr="00204FB3">
              <w:t>Ezetimibe</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26D7E036" w14:textId="77777777" w:rsidR="001C65EF" w:rsidRPr="00204FB3" w:rsidRDefault="001C65EF" w:rsidP="00215881">
            <w:pPr>
              <w:pStyle w:val="TblTextCenter"/>
            </w:pPr>
            <w:r w:rsidRPr="00204FB3">
              <w:t>Praluent (additive effect beyond statin)</w:t>
            </w:r>
          </w:p>
        </w:tc>
        <w:tc>
          <w:tcPr>
            <w:tcW w:w="1873" w:type="dxa"/>
            <w:tcBorders>
              <w:top w:val="single" w:sz="4" w:space="0" w:color="auto"/>
              <w:left w:val="single" w:sz="4" w:space="0" w:color="auto"/>
              <w:bottom w:val="single" w:sz="4" w:space="0" w:color="auto"/>
              <w:right w:val="single" w:sz="4" w:space="0" w:color="auto"/>
            </w:tcBorders>
            <w:shd w:val="clear" w:color="auto" w:fill="auto"/>
          </w:tcPr>
          <w:p w14:paraId="42C13E2A" w14:textId="77777777" w:rsidR="001C65EF" w:rsidRPr="00204FB3" w:rsidRDefault="001C65EF" w:rsidP="00215881">
            <w:pPr>
              <w:pStyle w:val="TblTextCenter"/>
            </w:pPr>
            <w:r w:rsidRPr="00204FB3">
              <w:t>Ezetimibe (additive effect beyond statin)</w:t>
            </w:r>
          </w:p>
        </w:tc>
      </w:tr>
      <w:tr w:rsidR="001C65EF" w:rsidRPr="00204FB3" w14:paraId="47993CD9" w14:textId="77777777" w:rsidTr="00215881">
        <w:trPr>
          <w:cantSplit/>
          <w:jc w:val="center"/>
        </w:trPr>
        <w:tc>
          <w:tcPr>
            <w:tcW w:w="1114" w:type="dxa"/>
            <w:tcBorders>
              <w:top w:val="single" w:sz="4" w:space="0" w:color="auto"/>
              <w:left w:val="single" w:sz="4" w:space="0" w:color="auto"/>
              <w:bottom w:val="single" w:sz="4" w:space="0" w:color="auto"/>
              <w:right w:val="single" w:sz="4" w:space="0" w:color="auto"/>
            </w:tcBorders>
            <w:shd w:val="clear" w:color="auto" w:fill="auto"/>
          </w:tcPr>
          <w:p w14:paraId="1C385FEE" w14:textId="77777777" w:rsidR="001C65EF" w:rsidRPr="00204FB3" w:rsidRDefault="001C65EF" w:rsidP="00215881">
            <w:pPr>
              <w:pStyle w:val="TblTextCenter"/>
            </w:pPr>
            <w:r w:rsidRPr="00204FB3">
              <w:t>75 mg Q2W</w:t>
            </w:r>
          </w:p>
        </w:tc>
        <w:tc>
          <w:tcPr>
            <w:tcW w:w="1307" w:type="dxa"/>
            <w:tcBorders>
              <w:top w:val="single" w:sz="4" w:space="0" w:color="auto"/>
              <w:left w:val="single" w:sz="4" w:space="0" w:color="auto"/>
              <w:bottom w:val="single" w:sz="4" w:space="0" w:color="auto"/>
              <w:right w:val="single" w:sz="4" w:space="0" w:color="auto"/>
            </w:tcBorders>
            <w:shd w:val="clear" w:color="auto" w:fill="auto"/>
          </w:tcPr>
          <w:p w14:paraId="39C4FE9C" w14:textId="77777777" w:rsidR="001C65EF" w:rsidRPr="00204FB3" w:rsidRDefault="001C65EF" w:rsidP="00215881">
            <w:pPr>
              <w:pStyle w:val="TblTextCenter"/>
            </w:pPr>
            <w:r w:rsidRPr="00204FB3">
              <w:t>-44.5</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556875A5" w14:textId="77777777" w:rsidR="001C65EF" w:rsidRPr="00204FB3" w:rsidRDefault="001C65EF" w:rsidP="00215881">
            <w:pPr>
              <w:pStyle w:val="TblTextCenter"/>
            </w:pPr>
            <w:r w:rsidRPr="00204FB3">
              <w:t>4.1</w:t>
            </w:r>
          </w:p>
        </w:tc>
        <w:tc>
          <w:tcPr>
            <w:tcW w:w="990" w:type="dxa"/>
            <w:tcBorders>
              <w:top w:val="single" w:sz="4" w:space="0" w:color="auto"/>
              <w:left w:val="single" w:sz="4" w:space="0" w:color="auto"/>
              <w:bottom w:val="single" w:sz="4" w:space="0" w:color="auto"/>
              <w:right w:val="single" w:sz="4" w:space="0" w:color="auto"/>
            </w:tcBorders>
          </w:tcPr>
          <w:p w14:paraId="23762604" w14:textId="77777777" w:rsidR="001C65EF" w:rsidRPr="00204FB3" w:rsidRDefault="001C65EF" w:rsidP="00215881">
            <w:pPr>
              <w:pStyle w:val="TblTextCenter"/>
            </w:pPr>
            <w:r w:rsidRPr="00204FB3">
              <w:t>-47.0</w:t>
            </w:r>
          </w:p>
        </w:tc>
        <w:tc>
          <w:tcPr>
            <w:tcW w:w="1184" w:type="dxa"/>
            <w:tcBorders>
              <w:top w:val="single" w:sz="4" w:space="0" w:color="auto"/>
              <w:left w:val="single" w:sz="4" w:space="0" w:color="auto"/>
              <w:bottom w:val="single" w:sz="4" w:space="0" w:color="auto"/>
              <w:right w:val="single" w:sz="4" w:space="0" w:color="auto"/>
            </w:tcBorders>
          </w:tcPr>
          <w:p w14:paraId="069D3096" w14:textId="77777777" w:rsidR="001C65EF" w:rsidRPr="00204FB3" w:rsidRDefault="001C65EF" w:rsidP="00215881">
            <w:pPr>
              <w:pStyle w:val="TblTextCenter"/>
            </w:pPr>
            <w:r w:rsidRPr="00204FB3">
              <w:t>-15.6</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575DA8C2" w14:textId="77777777" w:rsidR="001C65EF" w:rsidRPr="00204FB3" w:rsidRDefault="001C65EF" w:rsidP="00215881">
            <w:pPr>
              <w:pStyle w:val="TblTextCenter"/>
            </w:pPr>
            <w:r w:rsidRPr="00204FB3">
              <w:t>-49.2</w:t>
            </w:r>
          </w:p>
        </w:tc>
        <w:tc>
          <w:tcPr>
            <w:tcW w:w="1873" w:type="dxa"/>
            <w:tcBorders>
              <w:top w:val="single" w:sz="4" w:space="0" w:color="auto"/>
              <w:left w:val="single" w:sz="4" w:space="0" w:color="auto"/>
              <w:bottom w:val="single" w:sz="4" w:space="0" w:color="auto"/>
              <w:right w:val="single" w:sz="4" w:space="0" w:color="auto"/>
            </w:tcBorders>
            <w:shd w:val="clear" w:color="auto" w:fill="auto"/>
          </w:tcPr>
          <w:p w14:paraId="3F1FF225" w14:textId="77777777" w:rsidR="001C65EF" w:rsidRPr="00204FB3" w:rsidRDefault="001C65EF" w:rsidP="00215881">
            <w:pPr>
              <w:pStyle w:val="TblTextCenter"/>
            </w:pPr>
            <w:r w:rsidRPr="00204FB3">
              <w:t>-22.3</w:t>
            </w:r>
          </w:p>
        </w:tc>
      </w:tr>
      <w:tr w:rsidR="001C65EF" w:rsidRPr="00204FB3" w14:paraId="2F1D8E71" w14:textId="77777777" w:rsidTr="00215881">
        <w:trPr>
          <w:cantSplit/>
          <w:jc w:val="center"/>
        </w:trPr>
        <w:tc>
          <w:tcPr>
            <w:tcW w:w="1114" w:type="dxa"/>
            <w:tcBorders>
              <w:top w:val="single" w:sz="4" w:space="0" w:color="auto"/>
              <w:left w:val="single" w:sz="4" w:space="0" w:color="auto"/>
              <w:bottom w:val="single" w:sz="4" w:space="0" w:color="auto"/>
              <w:right w:val="single" w:sz="4" w:space="0" w:color="auto"/>
            </w:tcBorders>
            <w:shd w:val="clear" w:color="auto" w:fill="auto"/>
          </w:tcPr>
          <w:p w14:paraId="5CC02EA4" w14:textId="77777777" w:rsidR="001C65EF" w:rsidRPr="00204FB3" w:rsidRDefault="001C65EF" w:rsidP="00215881">
            <w:pPr>
              <w:pStyle w:val="TblTextCenter"/>
            </w:pPr>
            <w:r w:rsidRPr="00204FB3">
              <w:t>150 mg Q2W</w:t>
            </w:r>
          </w:p>
        </w:tc>
        <w:tc>
          <w:tcPr>
            <w:tcW w:w="1307" w:type="dxa"/>
            <w:tcBorders>
              <w:top w:val="single" w:sz="4" w:space="0" w:color="auto"/>
              <w:left w:val="single" w:sz="4" w:space="0" w:color="auto"/>
              <w:bottom w:val="single" w:sz="4" w:space="0" w:color="auto"/>
              <w:right w:val="single" w:sz="4" w:space="0" w:color="auto"/>
            </w:tcBorders>
            <w:shd w:val="clear" w:color="auto" w:fill="auto"/>
          </w:tcPr>
          <w:p w14:paraId="53CA334D" w14:textId="77777777" w:rsidR="001C65EF" w:rsidRPr="00204FB3" w:rsidRDefault="001C65EF" w:rsidP="00215881">
            <w:pPr>
              <w:pStyle w:val="TblTextCenter"/>
            </w:pPr>
            <w:r w:rsidRPr="00204FB3">
              <w:t>-62.6</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0F1EF621" w14:textId="77777777" w:rsidR="001C65EF" w:rsidRPr="00204FB3" w:rsidRDefault="001C65EF" w:rsidP="00215881">
            <w:pPr>
              <w:pStyle w:val="TblTextCenter"/>
            </w:pPr>
            <w:r w:rsidRPr="00204FB3">
              <w:t>1.1</w:t>
            </w:r>
          </w:p>
        </w:tc>
        <w:tc>
          <w:tcPr>
            <w:tcW w:w="990" w:type="dxa"/>
            <w:tcBorders>
              <w:top w:val="single" w:sz="4" w:space="0" w:color="auto"/>
              <w:left w:val="single" w:sz="4" w:space="0" w:color="auto"/>
              <w:bottom w:val="single" w:sz="4" w:space="0" w:color="auto"/>
              <w:right w:val="single" w:sz="4" w:space="0" w:color="auto"/>
            </w:tcBorders>
          </w:tcPr>
          <w:p w14:paraId="31D50BB5" w14:textId="77777777" w:rsidR="001C65EF" w:rsidRPr="00204FB3" w:rsidRDefault="001C65EF" w:rsidP="00215881">
            <w:pPr>
              <w:pStyle w:val="TblTextCenter"/>
            </w:pPr>
            <w:r w:rsidRPr="00204FB3">
              <w:t>-</w:t>
            </w:r>
          </w:p>
        </w:tc>
        <w:tc>
          <w:tcPr>
            <w:tcW w:w="1184" w:type="dxa"/>
            <w:tcBorders>
              <w:top w:val="single" w:sz="4" w:space="0" w:color="auto"/>
              <w:left w:val="single" w:sz="4" w:space="0" w:color="auto"/>
              <w:bottom w:val="single" w:sz="4" w:space="0" w:color="auto"/>
              <w:right w:val="single" w:sz="4" w:space="0" w:color="auto"/>
            </w:tcBorders>
          </w:tcPr>
          <w:p w14:paraId="552EEFAD" w14:textId="77777777" w:rsidR="001C65EF" w:rsidRPr="00204FB3" w:rsidRDefault="001C65EF" w:rsidP="00215881">
            <w:pPr>
              <w:pStyle w:val="TblTextCenter"/>
            </w:pPr>
            <w:r w:rsidRPr="00204FB3">
              <w:t>-</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04ADA049" w14:textId="77777777" w:rsidR="001C65EF" w:rsidRPr="00204FB3" w:rsidRDefault="001C65EF" w:rsidP="00215881">
            <w:pPr>
              <w:pStyle w:val="TblTextCenter"/>
            </w:pPr>
            <w:r w:rsidRPr="00204FB3">
              <w:t>-</w:t>
            </w:r>
          </w:p>
        </w:tc>
        <w:tc>
          <w:tcPr>
            <w:tcW w:w="1873" w:type="dxa"/>
            <w:tcBorders>
              <w:top w:val="single" w:sz="4" w:space="0" w:color="auto"/>
              <w:left w:val="single" w:sz="4" w:space="0" w:color="auto"/>
              <w:bottom w:val="single" w:sz="4" w:space="0" w:color="auto"/>
              <w:right w:val="single" w:sz="4" w:space="0" w:color="auto"/>
            </w:tcBorders>
            <w:shd w:val="clear" w:color="auto" w:fill="auto"/>
          </w:tcPr>
          <w:p w14:paraId="13EABB3B" w14:textId="77777777" w:rsidR="001C65EF" w:rsidRPr="00204FB3" w:rsidRDefault="001C65EF" w:rsidP="00215881">
            <w:pPr>
              <w:pStyle w:val="TblTextCenter"/>
            </w:pPr>
            <w:r w:rsidRPr="00204FB3">
              <w:t>-</w:t>
            </w:r>
          </w:p>
        </w:tc>
      </w:tr>
      <w:tr w:rsidR="001C65EF" w:rsidRPr="00204FB3" w14:paraId="1ADFFCB8" w14:textId="77777777" w:rsidTr="00215881">
        <w:trPr>
          <w:cantSplit/>
          <w:jc w:val="center"/>
        </w:trPr>
        <w:tc>
          <w:tcPr>
            <w:tcW w:w="1114" w:type="dxa"/>
            <w:tcBorders>
              <w:top w:val="single" w:sz="4" w:space="0" w:color="auto"/>
              <w:left w:val="single" w:sz="4" w:space="0" w:color="auto"/>
              <w:bottom w:val="single" w:sz="4" w:space="0" w:color="auto"/>
              <w:right w:val="nil"/>
            </w:tcBorders>
            <w:shd w:val="clear" w:color="auto" w:fill="auto"/>
          </w:tcPr>
          <w:p w14:paraId="1BEE4DE2" w14:textId="77777777" w:rsidR="001C65EF" w:rsidRPr="00204FB3" w:rsidRDefault="001C65EF" w:rsidP="00215881">
            <w:pPr>
              <w:pStyle w:val="TblTextCenter"/>
              <w:jc w:val="left"/>
              <w:rPr>
                <w:rFonts w:ascii="Arial" w:hAnsi="Arial" w:cs="Arial"/>
                <w:b/>
              </w:rPr>
            </w:pPr>
            <w:r w:rsidRPr="00204FB3">
              <w:rPr>
                <w:rFonts w:ascii="Arial" w:hAnsi="Arial" w:cs="Arial"/>
                <w:b/>
              </w:rPr>
              <w:t>Week 24</w:t>
            </w:r>
          </w:p>
        </w:tc>
        <w:tc>
          <w:tcPr>
            <w:tcW w:w="1307" w:type="dxa"/>
            <w:tcBorders>
              <w:top w:val="single" w:sz="4" w:space="0" w:color="auto"/>
              <w:left w:val="nil"/>
              <w:bottom w:val="single" w:sz="4" w:space="0" w:color="auto"/>
              <w:right w:val="nil"/>
            </w:tcBorders>
            <w:shd w:val="clear" w:color="auto" w:fill="auto"/>
          </w:tcPr>
          <w:p w14:paraId="202E9FDC" w14:textId="77777777" w:rsidR="001C65EF" w:rsidRPr="00204FB3" w:rsidRDefault="001C65EF" w:rsidP="00215881">
            <w:pPr>
              <w:pStyle w:val="TblTextCenter"/>
            </w:pPr>
          </w:p>
        </w:tc>
        <w:tc>
          <w:tcPr>
            <w:tcW w:w="1413" w:type="dxa"/>
            <w:tcBorders>
              <w:top w:val="single" w:sz="4" w:space="0" w:color="auto"/>
              <w:left w:val="nil"/>
              <w:bottom w:val="single" w:sz="4" w:space="0" w:color="auto"/>
              <w:right w:val="nil"/>
            </w:tcBorders>
            <w:shd w:val="clear" w:color="auto" w:fill="auto"/>
          </w:tcPr>
          <w:p w14:paraId="37B77CB6" w14:textId="77777777" w:rsidR="001C65EF" w:rsidRPr="00204FB3" w:rsidRDefault="001C65EF" w:rsidP="00215881">
            <w:pPr>
              <w:pStyle w:val="TblTextCenter"/>
            </w:pPr>
          </w:p>
        </w:tc>
        <w:tc>
          <w:tcPr>
            <w:tcW w:w="990" w:type="dxa"/>
            <w:tcBorders>
              <w:top w:val="single" w:sz="4" w:space="0" w:color="auto"/>
              <w:left w:val="nil"/>
              <w:bottom w:val="single" w:sz="4" w:space="0" w:color="auto"/>
              <w:right w:val="nil"/>
            </w:tcBorders>
          </w:tcPr>
          <w:p w14:paraId="15381807" w14:textId="77777777" w:rsidR="001C65EF" w:rsidRPr="00204FB3" w:rsidRDefault="001C65EF" w:rsidP="00215881">
            <w:pPr>
              <w:pStyle w:val="TblTextCenter"/>
            </w:pPr>
          </w:p>
        </w:tc>
        <w:tc>
          <w:tcPr>
            <w:tcW w:w="1184" w:type="dxa"/>
            <w:tcBorders>
              <w:top w:val="single" w:sz="4" w:space="0" w:color="auto"/>
              <w:left w:val="nil"/>
              <w:bottom w:val="single" w:sz="4" w:space="0" w:color="auto"/>
              <w:right w:val="nil"/>
            </w:tcBorders>
          </w:tcPr>
          <w:p w14:paraId="23FE8A14" w14:textId="77777777" w:rsidR="001C65EF" w:rsidRPr="00204FB3" w:rsidRDefault="001C65EF" w:rsidP="00215881">
            <w:pPr>
              <w:pStyle w:val="TblTextCenter"/>
            </w:pPr>
          </w:p>
        </w:tc>
        <w:tc>
          <w:tcPr>
            <w:tcW w:w="1696" w:type="dxa"/>
            <w:tcBorders>
              <w:top w:val="single" w:sz="4" w:space="0" w:color="auto"/>
              <w:left w:val="nil"/>
              <w:bottom w:val="single" w:sz="4" w:space="0" w:color="auto"/>
              <w:right w:val="nil"/>
            </w:tcBorders>
            <w:shd w:val="clear" w:color="auto" w:fill="auto"/>
          </w:tcPr>
          <w:p w14:paraId="7703EA51" w14:textId="77777777" w:rsidR="001C65EF" w:rsidRPr="00204FB3" w:rsidRDefault="001C65EF" w:rsidP="00215881">
            <w:pPr>
              <w:pStyle w:val="TblTextCenter"/>
            </w:pPr>
          </w:p>
        </w:tc>
        <w:tc>
          <w:tcPr>
            <w:tcW w:w="1873" w:type="dxa"/>
            <w:tcBorders>
              <w:top w:val="single" w:sz="4" w:space="0" w:color="auto"/>
              <w:left w:val="nil"/>
              <w:bottom w:val="single" w:sz="4" w:space="0" w:color="auto"/>
              <w:right w:val="single" w:sz="4" w:space="0" w:color="auto"/>
            </w:tcBorders>
            <w:shd w:val="clear" w:color="auto" w:fill="auto"/>
          </w:tcPr>
          <w:p w14:paraId="6C412972" w14:textId="77777777" w:rsidR="001C65EF" w:rsidRPr="00204FB3" w:rsidRDefault="001C65EF" w:rsidP="00215881">
            <w:pPr>
              <w:pStyle w:val="TblTextCenter"/>
            </w:pPr>
          </w:p>
        </w:tc>
      </w:tr>
      <w:tr w:rsidR="001C65EF" w:rsidRPr="00204FB3" w14:paraId="0F24586D" w14:textId="77777777" w:rsidTr="00215881">
        <w:trPr>
          <w:cantSplit/>
          <w:jc w:val="center"/>
        </w:trPr>
        <w:tc>
          <w:tcPr>
            <w:tcW w:w="1114" w:type="dxa"/>
            <w:tcBorders>
              <w:top w:val="single" w:sz="4" w:space="0" w:color="auto"/>
              <w:left w:val="single" w:sz="4" w:space="0" w:color="auto"/>
              <w:bottom w:val="single" w:sz="4" w:space="0" w:color="auto"/>
              <w:right w:val="single" w:sz="4" w:space="0" w:color="auto"/>
            </w:tcBorders>
            <w:shd w:val="clear" w:color="auto" w:fill="auto"/>
          </w:tcPr>
          <w:p w14:paraId="1DEECD87" w14:textId="77777777" w:rsidR="001C65EF" w:rsidRPr="00204FB3" w:rsidRDefault="001C65EF" w:rsidP="00215881">
            <w:pPr>
              <w:pStyle w:val="TblTextCenter"/>
              <w:jc w:val="left"/>
            </w:pPr>
            <w:r w:rsidRPr="00204FB3">
              <w:t>Dose</w:t>
            </w:r>
          </w:p>
        </w:tc>
        <w:tc>
          <w:tcPr>
            <w:tcW w:w="1307" w:type="dxa"/>
            <w:tcBorders>
              <w:top w:val="single" w:sz="4" w:space="0" w:color="auto"/>
              <w:left w:val="single" w:sz="4" w:space="0" w:color="auto"/>
              <w:bottom w:val="single" w:sz="4" w:space="0" w:color="auto"/>
              <w:right w:val="single" w:sz="4" w:space="0" w:color="auto"/>
            </w:tcBorders>
            <w:shd w:val="clear" w:color="auto" w:fill="auto"/>
          </w:tcPr>
          <w:p w14:paraId="6D4F6DBC" w14:textId="77777777" w:rsidR="001C65EF" w:rsidRPr="00204FB3" w:rsidRDefault="001C65EF" w:rsidP="00215881">
            <w:pPr>
              <w:pStyle w:val="TblTextCenter"/>
            </w:pPr>
            <w:r w:rsidRPr="00204FB3">
              <w:t>Praluent (additive effect beyond statin)</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1B31C042" w14:textId="77777777" w:rsidR="001C65EF" w:rsidRPr="00204FB3" w:rsidRDefault="001C65EF" w:rsidP="00215881">
            <w:pPr>
              <w:pStyle w:val="TblTextCenter"/>
            </w:pPr>
            <w:r w:rsidRPr="00204FB3">
              <w:t>Placebo (additive effect beyond statin)</w:t>
            </w:r>
          </w:p>
        </w:tc>
        <w:tc>
          <w:tcPr>
            <w:tcW w:w="990" w:type="dxa"/>
            <w:tcBorders>
              <w:top w:val="single" w:sz="4" w:space="0" w:color="auto"/>
              <w:left w:val="single" w:sz="4" w:space="0" w:color="auto"/>
              <w:bottom w:val="single" w:sz="4" w:space="0" w:color="auto"/>
              <w:right w:val="single" w:sz="4" w:space="0" w:color="auto"/>
            </w:tcBorders>
          </w:tcPr>
          <w:p w14:paraId="5EA95A4C" w14:textId="77777777" w:rsidR="001C65EF" w:rsidRPr="00204FB3" w:rsidRDefault="001C65EF" w:rsidP="00215881">
            <w:pPr>
              <w:pStyle w:val="TblTextCenter"/>
            </w:pPr>
            <w:r w:rsidRPr="00204FB3">
              <w:t>Praluent</w:t>
            </w:r>
          </w:p>
        </w:tc>
        <w:tc>
          <w:tcPr>
            <w:tcW w:w="1184" w:type="dxa"/>
            <w:tcBorders>
              <w:top w:val="single" w:sz="4" w:space="0" w:color="auto"/>
              <w:left w:val="single" w:sz="4" w:space="0" w:color="auto"/>
              <w:bottom w:val="single" w:sz="4" w:space="0" w:color="auto"/>
              <w:right w:val="single" w:sz="4" w:space="0" w:color="auto"/>
            </w:tcBorders>
          </w:tcPr>
          <w:p w14:paraId="21FA09E6" w14:textId="77777777" w:rsidR="001C65EF" w:rsidRPr="00204FB3" w:rsidRDefault="001C65EF" w:rsidP="00215881">
            <w:pPr>
              <w:pStyle w:val="TblTextCenter"/>
            </w:pPr>
            <w:r w:rsidRPr="00204FB3">
              <w:t>Ezetimibe</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105A92CD" w14:textId="77777777" w:rsidR="001C65EF" w:rsidRPr="00204FB3" w:rsidRDefault="001C65EF" w:rsidP="00215881">
            <w:pPr>
              <w:pStyle w:val="TblTextCenter"/>
            </w:pPr>
            <w:r w:rsidRPr="00204FB3">
              <w:t>Praluent (additive effect beyond statin)</w:t>
            </w:r>
          </w:p>
        </w:tc>
        <w:tc>
          <w:tcPr>
            <w:tcW w:w="1873" w:type="dxa"/>
            <w:tcBorders>
              <w:top w:val="single" w:sz="4" w:space="0" w:color="auto"/>
              <w:left w:val="single" w:sz="4" w:space="0" w:color="auto"/>
              <w:bottom w:val="single" w:sz="4" w:space="0" w:color="auto"/>
              <w:right w:val="single" w:sz="4" w:space="0" w:color="auto"/>
            </w:tcBorders>
            <w:shd w:val="clear" w:color="auto" w:fill="auto"/>
          </w:tcPr>
          <w:p w14:paraId="7DBE7891" w14:textId="77777777" w:rsidR="001C65EF" w:rsidRPr="00204FB3" w:rsidRDefault="001C65EF" w:rsidP="00215881">
            <w:pPr>
              <w:pStyle w:val="TblTextCenter"/>
            </w:pPr>
            <w:r w:rsidRPr="00204FB3">
              <w:t>Ezetimibe (additive effect beyond statin)</w:t>
            </w:r>
          </w:p>
        </w:tc>
      </w:tr>
      <w:tr w:rsidR="001C65EF" w:rsidRPr="00204FB3" w14:paraId="65DEA67F" w14:textId="77777777" w:rsidTr="00215881">
        <w:trPr>
          <w:cantSplit/>
          <w:jc w:val="center"/>
        </w:trPr>
        <w:tc>
          <w:tcPr>
            <w:tcW w:w="1114" w:type="dxa"/>
            <w:tcBorders>
              <w:top w:val="single" w:sz="4" w:space="0" w:color="auto"/>
              <w:left w:val="single" w:sz="4" w:space="0" w:color="auto"/>
              <w:bottom w:val="single" w:sz="4" w:space="0" w:color="auto"/>
              <w:right w:val="single" w:sz="4" w:space="0" w:color="auto"/>
            </w:tcBorders>
            <w:shd w:val="clear" w:color="auto" w:fill="auto"/>
          </w:tcPr>
          <w:p w14:paraId="006109EB" w14:textId="77777777" w:rsidR="001C65EF" w:rsidRPr="00204FB3" w:rsidRDefault="001C65EF" w:rsidP="00215881">
            <w:pPr>
              <w:pStyle w:val="TblTextCenter"/>
            </w:pPr>
            <w:r w:rsidRPr="00204FB3">
              <w:t>75/150 mg  Q2W (up-titration studies)</w:t>
            </w:r>
            <w:r w:rsidRPr="00204FB3">
              <w:rPr>
                <w:vertAlign w:val="superscript"/>
              </w:rPr>
              <w:t>b</w:t>
            </w:r>
          </w:p>
        </w:tc>
        <w:tc>
          <w:tcPr>
            <w:tcW w:w="1307" w:type="dxa"/>
            <w:tcBorders>
              <w:top w:val="single" w:sz="4" w:space="0" w:color="auto"/>
              <w:left w:val="single" w:sz="4" w:space="0" w:color="auto"/>
              <w:bottom w:val="single" w:sz="4" w:space="0" w:color="auto"/>
              <w:right w:val="single" w:sz="4" w:space="0" w:color="auto"/>
            </w:tcBorders>
            <w:shd w:val="clear" w:color="auto" w:fill="auto"/>
          </w:tcPr>
          <w:p w14:paraId="25C63851" w14:textId="77777777" w:rsidR="001C65EF" w:rsidRPr="00204FB3" w:rsidRDefault="001C65EF" w:rsidP="00215881">
            <w:pPr>
              <w:pStyle w:val="TblTextCenter"/>
            </w:pPr>
            <w:r w:rsidRPr="00204FB3">
              <w:t>-48.6</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406B3AE4" w14:textId="77777777" w:rsidR="001C65EF" w:rsidRPr="00204FB3" w:rsidRDefault="001C65EF" w:rsidP="00215881">
            <w:pPr>
              <w:pStyle w:val="TblTextCenter"/>
            </w:pPr>
            <w:r w:rsidRPr="00204FB3">
              <w:t>4.2</w:t>
            </w:r>
          </w:p>
        </w:tc>
        <w:tc>
          <w:tcPr>
            <w:tcW w:w="990" w:type="dxa"/>
            <w:tcBorders>
              <w:top w:val="single" w:sz="4" w:space="0" w:color="auto"/>
              <w:left w:val="single" w:sz="4" w:space="0" w:color="auto"/>
              <w:bottom w:val="single" w:sz="4" w:space="0" w:color="auto"/>
              <w:right w:val="single" w:sz="4" w:space="0" w:color="auto"/>
            </w:tcBorders>
          </w:tcPr>
          <w:p w14:paraId="6CBF1F48" w14:textId="77777777" w:rsidR="001C65EF" w:rsidRPr="00204FB3" w:rsidRDefault="001C65EF" w:rsidP="00215881">
            <w:pPr>
              <w:pStyle w:val="TblTextCenter"/>
            </w:pPr>
            <w:r w:rsidRPr="00204FB3">
              <w:t>-45.0</w:t>
            </w:r>
          </w:p>
        </w:tc>
        <w:tc>
          <w:tcPr>
            <w:tcW w:w="1184" w:type="dxa"/>
            <w:tcBorders>
              <w:top w:val="single" w:sz="4" w:space="0" w:color="auto"/>
              <w:left w:val="single" w:sz="4" w:space="0" w:color="auto"/>
              <w:bottom w:val="single" w:sz="4" w:space="0" w:color="auto"/>
              <w:right w:val="single" w:sz="4" w:space="0" w:color="auto"/>
            </w:tcBorders>
          </w:tcPr>
          <w:p w14:paraId="7B2000EB" w14:textId="77777777" w:rsidR="001C65EF" w:rsidRPr="00204FB3" w:rsidRDefault="001C65EF" w:rsidP="00215881">
            <w:pPr>
              <w:pStyle w:val="TblTextCenter"/>
            </w:pPr>
            <w:r w:rsidRPr="00204FB3">
              <w:t>-14.6</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15D029A4" w14:textId="77777777" w:rsidR="001C65EF" w:rsidRPr="00204FB3" w:rsidRDefault="001C65EF" w:rsidP="00215881">
            <w:pPr>
              <w:pStyle w:val="TblTextCenter"/>
            </w:pPr>
            <w:r w:rsidRPr="00204FB3">
              <w:t>-48.9</w:t>
            </w:r>
          </w:p>
        </w:tc>
        <w:tc>
          <w:tcPr>
            <w:tcW w:w="1873" w:type="dxa"/>
            <w:tcBorders>
              <w:top w:val="single" w:sz="4" w:space="0" w:color="auto"/>
              <w:left w:val="single" w:sz="4" w:space="0" w:color="auto"/>
              <w:bottom w:val="single" w:sz="4" w:space="0" w:color="auto"/>
              <w:right w:val="single" w:sz="4" w:space="0" w:color="auto"/>
            </w:tcBorders>
            <w:shd w:val="clear" w:color="auto" w:fill="auto"/>
          </w:tcPr>
          <w:p w14:paraId="6DDA2C34" w14:textId="77777777" w:rsidR="001C65EF" w:rsidRPr="00204FB3" w:rsidRDefault="001C65EF" w:rsidP="00215881">
            <w:pPr>
              <w:pStyle w:val="TblTextCenter"/>
            </w:pPr>
            <w:r w:rsidRPr="00204FB3">
              <w:t>-19.3</w:t>
            </w:r>
          </w:p>
        </w:tc>
      </w:tr>
      <w:tr w:rsidR="001C65EF" w:rsidRPr="00204FB3" w14:paraId="3A8CE81C" w14:textId="77777777" w:rsidTr="00215881">
        <w:trPr>
          <w:cantSplit/>
          <w:jc w:val="center"/>
        </w:trPr>
        <w:tc>
          <w:tcPr>
            <w:tcW w:w="1114" w:type="dxa"/>
            <w:tcBorders>
              <w:top w:val="single" w:sz="4" w:space="0" w:color="auto"/>
              <w:left w:val="single" w:sz="4" w:space="0" w:color="auto"/>
              <w:bottom w:val="single" w:sz="4" w:space="0" w:color="auto"/>
              <w:right w:val="single" w:sz="4" w:space="0" w:color="auto"/>
            </w:tcBorders>
            <w:shd w:val="clear" w:color="auto" w:fill="auto"/>
          </w:tcPr>
          <w:p w14:paraId="29A64DA6" w14:textId="77777777" w:rsidR="001C65EF" w:rsidRPr="00204FB3" w:rsidRDefault="001C65EF" w:rsidP="00215881">
            <w:pPr>
              <w:pStyle w:val="TblTextCenter"/>
            </w:pPr>
            <w:r w:rsidRPr="00204FB3">
              <w:t>150 mg Q2W</w:t>
            </w:r>
          </w:p>
        </w:tc>
        <w:tc>
          <w:tcPr>
            <w:tcW w:w="1307" w:type="dxa"/>
            <w:tcBorders>
              <w:top w:val="single" w:sz="4" w:space="0" w:color="auto"/>
              <w:left w:val="single" w:sz="4" w:space="0" w:color="auto"/>
              <w:bottom w:val="single" w:sz="4" w:space="0" w:color="auto"/>
              <w:right w:val="single" w:sz="4" w:space="0" w:color="auto"/>
            </w:tcBorders>
            <w:shd w:val="clear" w:color="auto" w:fill="auto"/>
          </w:tcPr>
          <w:p w14:paraId="6BFDA847" w14:textId="77777777" w:rsidR="001C65EF" w:rsidRPr="00204FB3" w:rsidRDefault="001C65EF" w:rsidP="00215881">
            <w:pPr>
              <w:pStyle w:val="TblTextCenter"/>
            </w:pPr>
            <w:r w:rsidRPr="00204FB3">
              <w:t>-60.4</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7D2D96DD" w14:textId="77777777" w:rsidR="001C65EF" w:rsidRPr="00204FB3" w:rsidRDefault="001C65EF" w:rsidP="00215881">
            <w:pPr>
              <w:pStyle w:val="TblTextCenter"/>
            </w:pPr>
            <w:r w:rsidRPr="00204FB3">
              <w:t>0.5</w:t>
            </w:r>
          </w:p>
        </w:tc>
        <w:tc>
          <w:tcPr>
            <w:tcW w:w="990" w:type="dxa"/>
            <w:tcBorders>
              <w:top w:val="single" w:sz="4" w:space="0" w:color="auto"/>
              <w:left w:val="single" w:sz="4" w:space="0" w:color="auto"/>
              <w:bottom w:val="single" w:sz="4" w:space="0" w:color="auto"/>
              <w:right w:val="single" w:sz="4" w:space="0" w:color="auto"/>
            </w:tcBorders>
          </w:tcPr>
          <w:p w14:paraId="59018BDA" w14:textId="77777777" w:rsidR="001C65EF" w:rsidRPr="00204FB3" w:rsidRDefault="001C65EF" w:rsidP="00215881">
            <w:pPr>
              <w:pStyle w:val="TblTextCenter"/>
            </w:pPr>
            <w:r w:rsidRPr="00204FB3">
              <w:t>-</w:t>
            </w:r>
          </w:p>
        </w:tc>
        <w:tc>
          <w:tcPr>
            <w:tcW w:w="1184" w:type="dxa"/>
            <w:tcBorders>
              <w:top w:val="single" w:sz="4" w:space="0" w:color="auto"/>
              <w:left w:val="single" w:sz="4" w:space="0" w:color="auto"/>
              <w:bottom w:val="single" w:sz="4" w:space="0" w:color="auto"/>
              <w:right w:val="single" w:sz="4" w:space="0" w:color="auto"/>
            </w:tcBorders>
          </w:tcPr>
          <w:p w14:paraId="2B5F15DE" w14:textId="77777777" w:rsidR="001C65EF" w:rsidRPr="00204FB3" w:rsidRDefault="001C65EF" w:rsidP="00215881">
            <w:pPr>
              <w:pStyle w:val="TblTextCenter"/>
            </w:pPr>
            <w:r w:rsidRPr="00204FB3">
              <w:t>-</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79D6C029" w14:textId="77777777" w:rsidR="001C65EF" w:rsidRPr="00204FB3" w:rsidRDefault="001C65EF" w:rsidP="00215881">
            <w:pPr>
              <w:pStyle w:val="TblTextCenter"/>
            </w:pPr>
            <w:r w:rsidRPr="00204FB3">
              <w:t>-</w:t>
            </w:r>
          </w:p>
        </w:tc>
        <w:tc>
          <w:tcPr>
            <w:tcW w:w="1873" w:type="dxa"/>
            <w:tcBorders>
              <w:top w:val="single" w:sz="4" w:space="0" w:color="auto"/>
              <w:left w:val="single" w:sz="4" w:space="0" w:color="auto"/>
              <w:bottom w:val="single" w:sz="4" w:space="0" w:color="auto"/>
              <w:right w:val="single" w:sz="4" w:space="0" w:color="auto"/>
            </w:tcBorders>
            <w:shd w:val="clear" w:color="auto" w:fill="auto"/>
          </w:tcPr>
          <w:p w14:paraId="3E96CEEB" w14:textId="77777777" w:rsidR="001C65EF" w:rsidRPr="00204FB3" w:rsidRDefault="001C65EF" w:rsidP="00215881">
            <w:pPr>
              <w:pStyle w:val="TblTextCenter"/>
            </w:pPr>
            <w:r w:rsidRPr="00204FB3">
              <w:t>-</w:t>
            </w:r>
          </w:p>
        </w:tc>
      </w:tr>
      <w:tr w:rsidR="001C65EF" w:rsidRPr="00204FB3" w14:paraId="106B56BE" w14:textId="77777777" w:rsidTr="00215881">
        <w:trPr>
          <w:cantSplit/>
          <w:jc w:val="center"/>
        </w:trPr>
        <w:tc>
          <w:tcPr>
            <w:tcW w:w="9577" w:type="dxa"/>
            <w:gridSpan w:val="7"/>
            <w:tcBorders>
              <w:top w:val="single" w:sz="4" w:space="0" w:color="auto"/>
            </w:tcBorders>
          </w:tcPr>
          <w:p w14:paraId="4AB152BD" w14:textId="77777777" w:rsidR="001C65EF" w:rsidRPr="00204FB3" w:rsidRDefault="001C65EF" w:rsidP="00215881">
            <w:pPr>
              <w:pStyle w:val="TblFigFootnote"/>
            </w:pPr>
            <w:r w:rsidRPr="00204FB3">
              <w:rPr>
                <w:vertAlign w:val="superscript"/>
              </w:rPr>
              <w:t>a</w:t>
            </w:r>
            <w:r w:rsidRPr="00204FB3">
              <w:t xml:space="preserve"> Based on ITT analysis - intent-to-treat population, includes all lipid data throughout the duration of the study irrespective of adherence to the study treatment.</w:t>
            </w:r>
          </w:p>
          <w:p w14:paraId="0FBFEAF7" w14:textId="77777777" w:rsidR="001C65EF" w:rsidRPr="00204FB3" w:rsidRDefault="001C65EF" w:rsidP="00215881">
            <w:pPr>
              <w:pStyle w:val="TblFigFootnote"/>
            </w:pPr>
            <w:r w:rsidRPr="00204FB3">
              <w:rPr>
                <w:vertAlign w:val="superscript"/>
              </w:rPr>
              <w:t xml:space="preserve">b </w:t>
            </w:r>
            <w:r w:rsidRPr="00204FB3">
              <w:t>Dose was up-titrated to 150 mg once every 2 weeks in 228 (34.5%) patients treated beyond 12 weeks in the placebo-controlled studies and in 180 (22.9%) patients treated beyond 12 weeks in the ezetimibe-controlled studies.</w:t>
            </w:r>
          </w:p>
          <w:p w14:paraId="50A5B216" w14:textId="77777777" w:rsidR="001C65EF" w:rsidRPr="00204FB3" w:rsidRDefault="001C65EF" w:rsidP="00215881">
            <w:pPr>
              <w:pStyle w:val="TblFigFootnote"/>
            </w:pPr>
            <w:r w:rsidRPr="00204FB3">
              <w:t>Baseline LDL-C in analyses of pooled up-titration studies (COMBO I, FH I and FH II) was 3.33 mmol/L in the Praluent group and 3.36 mmol/L in the placebo group.</w:t>
            </w:r>
          </w:p>
          <w:p w14:paraId="7FADE435" w14:textId="77777777" w:rsidR="001C65EF" w:rsidRPr="00204FB3" w:rsidRDefault="001C65EF" w:rsidP="00215881">
            <w:pPr>
              <w:pStyle w:val="TblFigFootnote"/>
            </w:pPr>
            <w:r w:rsidRPr="00204FB3">
              <w:t>Baseline LDL-C in analyses of pooled studies using the 150 mg once every 2 weeks dose (LONG TERM, HIGH FH) was 3.26 mmol/L in the Praluent group and 3.24 mmol/L in the placebo group.</w:t>
            </w:r>
          </w:p>
          <w:p w14:paraId="4D18CCE0" w14:textId="77777777" w:rsidR="001C65EF" w:rsidRPr="00204FB3" w:rsidRDefault="001C65EF" w:rsidP="00215881">
            <w:pPr>
              <w:pStyle w:val="TblFigFootnote"/>
            </w:pPr>
            <w:r w:rsidRPr="00204FB3">
              <w:t>Baseline LDL-C in analyses of ezetimibe controlled study not on background statin (ALTERNATIVE) was 5.0 mmol/L in the alirocumab group and 5.03 mmol/L in the ezetimibe group.</w:t>
            </w:r>
          </w:p>
          <w:p w14:paraId="4B787E86" w14:textId="77777777" w:rsidR="001C65EF" w:rsidRPr="00204FB3" w:rsidRDefault="001C65EF" w:rsidP="00215881">
            <w:pPr>
              <w:pStyle w:val="TblFigFootnote"/>
            </w:pPr>
            <w:r w:rsidRPr="00204FB3">
              <w:t>Baseline LDL-C in analyses of pooled studies on background statin (COMBO II, OPTIONS I and II) was 2.83 mmol/L in the Praluent group and 2.71 mmol/L in the ezetimibe group.</w:t>
            </w:r>
          </w:p>
          <w:p w14:paraId="689AA9A7" w14:textId="77777777" w:rsidR="001C65EF" w:rsidRPr="00204FB3" w:rsidRDefault="001C65EF" w:rsidP="00215881">
            <w:pPr>
              <w:pStyle w:val="TblFigFootnote"/>
              <w:rPr>
                <w:vertAlign w:val="superscript"/>
              </w:rPr>
            </w:pPr>
          </w:p>
        </w:tc>
      </w:tr>
    </w:tbl>
    <w:p w14:paraId="00EB8028" w14:textId="77777777" w:rsidR="001C65EF" w:rsidRPr="00204FB3" w:rsidRDefault="001C65EF" w:rsidP="001C65EF">
      <w:pPr>
        <w:rPr>
          <w:color w:val="auto"/>
        </w:rPr>
      </w:pPr>
      <w:r w:rsidRPr="00204FB3">
        <w:rPr>
          <w:color w:val="auto"/>
        </w:rPr>
        <w:t xml:space="preserve">In analyses of pooled phase 3 studies that allowed up-titration, among the subgroup of patients up-titrated, an increase from 75 mg once every 2 weeks to 150 mg once every 2 weeks Praluent at week 12 resulted in an additional 14% mean reduction in LDL-C in patients on a background statin. In patients not on a background statin, up-titration of Praluent resulted in an additional 3% </w:t>
      </w:r>
      <w:r w:rsidRPr="00204FB3">
        <w:rPr>
          <w:color w:val="auto"/>
        </w:rPr>
        <w:lastRenderedPageBreak/>
        <w:t>mean reduction in LDL-C, with the majority of the effect seen in approximately 25% of patients who achieved at least an additional 10% LDL-C lowering after up-titration. Patients up-titrated to 150 mg once every 2 weeks had a higher mean baseline LDL-C.</w:t>
      </w:r>
    </w:p>
    <w:p w14:paraId="65A03CCB" w14:textId="01765143" w:rsidR="001C65EF" w:rsidRPr="00204FB3" w:rsidRDefault="001C65EF" w:rsidP="001C65EF">
      <w:pPr>
        <w:rPr>
          <w:color w:val="auto"/>
        </w:rPr>
      </w:pPr>
      <w:r w:rsidRPr="00204FB3">
        <w:rPr>
          <w:color w:val="auto"/>
        </w:rPr>
        <w:fldChar w:fldCharType="begin"/>
      </w:r>
      <w:r w:rsidRPr="00204FB3">
        <w:rPr>
          <w:color w:val="auto"/>
        </w:rPr>
        <w:instrText xml:space="preserve"> REF _Ref409772781 \h  \* MERGEFORMAT </w:instrText>
      </w:r>
      <w:r w:rsidRPr="00204FB3">
        <w:rPr>
          <w:color w:val="auto"/>
        </w:rPr>
      </w:r>
      <w:r w:rsidRPr="00204FB3">
        <w:rPr>
          <w:color w:val="auto"/>
        </w:rPr>
        <w:fldChar w:fldCharType="separate"/>
      </w:r>
      <w:r w:rsidR="0052180F" w:rsidRPr="0052180F">
        <w:rPr>
          <w:color w:val="auto"/>
        </w:rPr>
        <w:t>Figure 1</w:t>
      </w:r>
      <w:r w:rsidRPr="00204FB3">
        <w:rPr>
          <w:color w:val="auto"/>
        </w:rPr>
        <w:fldChar w:fldCharType="end"/>
      </w:r>
      <w:r w:rsidRPr="00204FB3">
        <w:rPr>
          <w:color w:val="auto"/>
        </w:rPr>
        <w:t xml:space="preserve"> </w:t>
      </w:r>
      <w:r w:rsidRPr="00204FB3">
        <w:rPr>
          <w:color w:val="auto"/>
          <w:lang w:val="en-AU"/>
        </w:rPr>
        <w:t>summarises</w:t>
      </w:r>
      <w:r w:rsidRPr="00204FB3">
        <w:rPr>
          <w:color w:val="auto"/>
        </w:rPr>
        <w:t xml:space="preserve"> the mean reduction from baseline in LDL-C with Praluent at week 12 (before up-titration) across phase 3 studies. This figure shows the efficacy of the 75 mg once every 2 week and 150 mg once every 2 week doses. Week 24 results are provided in the description of the individual studies.</w:t>
      </w:r>
    </w:p>
    <w:p w14:paraId="4F4935C7" w14:textId="6130765B" w:rsidR="001C65EF" w:rsidRPr="00204FB3" w:rsidRDefault="001C65EF" w:rsidP="001C65EF">
      <w:pPr>
        <w:pStyle w:val="Caption"/>
      </w:pPr>
      <w:r w:rsidRPr="00204FB3">
        <w:t xml:space="preserve"> </w:t>
      </w:r>
      <w:bookmarkStart w:id="6" w:name="_Ref409772781"/>
      <w:r w:rsidRPr="00204FB3">
        <w:t>Figure </w:t>
      </w:r>
      <w:r w:rsidRPr="00204FB3">
        <w:fldChar w:fldCharType="begin"/>
      </w:r>
      <w:r w:rsidRPr="00204FB3">
        <w:instrText xml:space="preserve"> SEQ Figure \* ARABIC </w:instrText>
      </w:r>
      <w:r w:rsidRPr="00204FB3">
        <w:fldChar w:fldCharType="separate"/>
      </w:r>
      <w:r w:rsidR="0052180F">
        <w:rPr>
          <w:noProof/>
        </w:rPr>
        <w:t>1</w:t>
      </w:r>
      <w:r w:rsidRPr="00204FB3">
        <w:fldChar w:fldCharType="end"/>
      </w:r>
      <w:bookmarkEnd w:id="6"/>
      <w:r w:rsidRPr="00204FB3">
        <w:t xml:space="preserve"> ­ Summary of mean reduction from baseline in LDL-C with Praluent at week 12 (before up-titration) across phase 3 studies. </w:t>
      </w:r>
    </w:p>
    <w:p w14:paraId="46A0E62A" w14:textId="77777777" w:rsidR="001C65EF" w:rsidRPr="00204FB3" w:rsidRDefault="001C65EF" w:rsidP="001C65EF">
      <w:pPr>
        <w:autoSpaceDE w:val="0"/>
        <w:autoSpaceDN w:val="0"/>
        <w:adjustRightInd w:val="0"/>
        <w:spacing w:before="8"/>
        <w:ind w:left="118" w:right="-20"/>
        <w:rPr>
          <w:rFonts w:eastAsia="Times New Roman"/>
          <w:color w:val="auto"/>
          <w:sz w:val="26"/>
          <w:szCs w:val="26"/>
          <w:lang w:val="en-AU" w:eastAsia="en-AU"/>
        </w:rPr>
      </w:pPr>
      <w:r w:rsidRPr="00204FB3">
        <w:rPr>
          <w:noProof/>
          <w:color w:val="auto"/>
          <w:lang w:val="en-AU" w:eastAsia="en-AU"/>
        </w:rPr>
        <w:drawing>
          <wp:inline distT="0" distB="0" distL="0" distR="0" wp14:anchorId="43A60E83" wp14:editId="54878FC8">
            <wp:extent cx="5939790" cy="387223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9790" cy="3872230"/>
                    </a:xfrm>
                    <a:prstGeom prst="rect">
                      <a:avLst/>
                    </a:prstGeom>
                    <a:noFill/>
                    <a:ln>
                      <a:noFill/>
                    </a:ln>
                  </pic:spPr>
                </pic:pic>
              </a:graphicData>
            </a:graphic>
          </wp:inline>
        </w:drawing>
      </w:r>
    </w:p>
    <w:p w14:paraId="25AAAF0D" w14:textId="77777777" w:rsidR="001C65EF" w:rsidRPr="00204FB3" w:rsidRDefault="00606597" w:rsidP="00606597">
      <w:pPr>
        <w:pStyle w:val="Heading4"/>
        <w:numPr>
          <w:ilvl w:val="0"/>
          <w:numId w:val="0"/>
        </w:numPr>
        <w:ind w:left="862" w:hanging="862"/>
      </w:pPr>
      <w:r w:rsidRPr="00204FB3">
        <w:t>COMBINATION THERAPY WITH A STATIN</w:t>
      </w:r>
    </w:p>
    <w:p w14:paraId="200A5EBD" w14:textId="77777777" w:rsidR="001C65EF" w:rsidRPr="00204FB3" w:rsidRDefault="001C65EF" w:rsidP="00606597">
      <w:pPr>
        <w:pStyle w:val="Heading4"/>
        <w:numPr>
          <w:ilvl w:val="0"/>
          <w:numId w:val="0"/>
        </w:numPr>
        <w:ind w:left="862" w:hanging="862"/>
      </w:pPr>
      <w:r w:rsidRPr="00204FB3">
        <w:t>Placebo-controlled phase 3 studies</w:t>
      </w:r>
    </w:p>
    <w:p w14:paraId="48E14A68" w14:textId="77777777" w:rsidR="001C65EF" w:rsidRPr="00204FB3" w:rsidRDefault="001C65EF" w:rsidP="00606597">
      <w:pPr>
        <w:pStyle w:val="Heading5"/>
        <w:numPr>
          <w:ilvl w:val="0"/>
          <w:numId w:val="0"/>
        </w:numPr>
        <w:ind w:left="1009" w:hanging="1009"/>
      </w:pPr>
      <w:r w:rsidRPr="00204FB3">
        <w:t xml:space="preserve">FH I and FH II studies </w:t>
      </w:r>
    </w:p>
    <w:p w14:paraId="05F05825" w14:textId="1744DFA2" w:rsidR="001C65EF" w:rsidRPr="00204FB3" w:rsidRDefault="001C65EF" w:rsidP="001C65EF">
      <w:pPr>
        <w:rPr>
          <w:color w:val="auto"/>
        </w:rPr>
      </w:pPr>
      <w:r w:rsidRPr="00204FB3">
        <w:rPr>
          <w:color w:val="auto"/>
        </w:rPr>
        <w:t xml:space="preserve">Two multicentre, placebo-controlled, double-blind 18-month studies included 732 patients (488 in the Praluent group and 244 patients in the placebo group, with a majority of patients treated for a minimum of 52 weeks) with heFH receiving a maximally tolerated dose of statin, with or without other lipid-modifying therapy. Patients received either Praluent 75 mg once every 2 weeks or placebo in addition to their existing lipid modifying therapy. Dose up-titration of Praluent to 150 </w:t>
      </w:r>
      <w:r w:rsidRPr="00204FB3">
        <w:rPr>
          <w:color w:val="auto"/>
        </w:rPr>
        <w:lastRenderedPageBreak/>
        <w:t xml:space="preserve">mg once every 2 weeks occurred at week 12 in patients with LDL-C ≥ 1.81 mmol/L. At week 24, the mean treatment difference from placebo in LDL-C percent change from baseline was -55.8% (95% CI: -60.0%, -51.6%; p-value: ˂ 0.0001). At week 12 (before up-titration), 50.2% of patients reached an LDL-C of ˂1.81 mmol/L as compared to 0.6% in the placebo group. Among the subgroup of patients up-titrated at week 12, an additional 15.7% mean reduction in LDL-C was achieved at week 24. See </w:t>
      </w:r>
      <w:r w:rsidRPr="00204FB3">
        <w:rPr>
          <w:color w:val="auto"/>
        </w:rPr>
        <w:fldChar w:fldCharType="begin"/>
      </w:r>
      <w:r w:rsidRPr="00204FB3">
        <w:rPr>
          <w:color w:val="auto"/>
        </w:rPr>
        <w:instrText xml:space="preserve"> REF _Ref450031224 \h  \* MERGEFORMAT </w:instrText>
      </w:r>
      <w:r w:rsidRPr="00204FB3">
        <w:rPr>
          <w:color w:val="auto"/>
        </w:rPr>
      </w:r>
      <w:r w:rsidRPr="00204FB3">
        <w:rPr>
          <w:color w:val="auto"/>
        </w:rPr>
        <w:fldChar w:fldCharType="separate"/>
      </w:r>
      <w:r w:rsidR="0052180F" w:rsidRPr="0052180F">
        <w:rPr>
          <w:color w:val="auto"/>
        </w:rPr>
        <w:t>Table 7</w:t>
      </w:r>
      <w:r w:rsidRPr="00204FB3">
        <w:rPr>
          <w:color w:val="auto"/>
        </w:rPr>
        <w:fldChar w:fldCharType="end"/>
      </w:r>
      <w:r w:rsidRPr="00204FB3">
        <w:rPr>
          <w:color w:val="auto"/>
        </w:rPr>
        <w:t xml:space="preserve"> and </w:t>
      </w:r>
      <w:r w:rsidRPr="00204FB3">
        <w:rPr>
          <w:color w:val="auto"/>
        </w:rPr>
        <w:fldChar w:fldCharType="begin"/>
      </w:r>
      <w:r w:rsidRPr="00204FB3">
        <w:rPr>
          <w:color w:val="auto"/>
        </w:rPr>
        <w:instrText xml:space="preserve"> REF _Ref450292568 \h  \* MERGEFORMAT </w:instrText>
      </w:r>
      <w:r w:rsidRPr="00204FB3">
        <w:rPr>
          <w:color w:val="auto"/>
        </w:rPr>
      </w:r>
      <w:r w:rsidRPr="00204FB3">
        <w:rPr>
          <w:color w:val="auto"/>
        </w:rPr>
        <w:fldChar w:fldCharType="separate"/>
      </w:r>
      <w:r w:rsidR="0052180F" w:rsidRPr="0052180F">
        <w:rPr>
          <w:color w:val="auto"/>
        </w:rPr>
        <w:t>Figure 2</w:t>
      </w:r>
      <w:r w:rsidRPr="00204FB3">
        <w:rPr>
          <w:color w:val="auto"/>
        </w:rPr>
        <w:fldChar w:fldCharType="end"/>
      </w:r>
      <w:r w:rsidRPr="00204FB3">
        <w:rPr>
          <w:color w:val="auto"/>
        </w:rPr>
        <w:t xml:space="preserve"> for details. </w:t>
      </w:r>
    </w:p>
    <w:p w14:paraId="7072272E" w14:textId="68A10026" w:rsidR="001C65EF" w:rsidRPr="00204FB3" w:rsidRDefault="001C65EF" w:rsidP="001C65EF">
      <w:pPr>
        <w:pStyle w:val="Caption"/>
        <w:rPr>
          <w:rFonts w:eastAsia="Times New Roman"/>
          <w:lang w:val="en-AU" w:eastAsia="en-AU"/>
        </w:rPr>
      </w:pPr>
      <w:bookmarkStart w:id="7" w:name="_Ref450292568"/>
      <w:r w:rsidRPr="00204FB3">
        <w:t>Figure </w:t>
      </w:r>
      <w:r w:rsidRPr="00204FB3">
        <w:fldChar w:fldCharType="begin"/>
      </w:r>
      <w:r w:rsidRPr="00204FB3">
        <w:instrText xml:space="preserve"> SEQ Figure \* ARABIC </w:instrText>
      </w:r>
      <w:r w:rsidRPr="00204FB3">
        <w:fldChar w:fldCharType="separate"/>
      </w:r>
      <w:r w:rsidR="0052180F">
        <w:rPr>
          <w:noProof/>
        </w:rPr>
        <w:t>2</w:t>
      </w:r>
      <w:r w:rsidRPr="00204FB3">
        <w:fldChar w:fldCharType="end"/>
      </w:r>
      <w:bookmarkEnd w:id="7"/>
      <w:r w:rsidRPr="00204FB3">
        <w:t xml:space="preserve"> ­ </w:t>
      </w:r>
      <w:r w:rsidRPr="00204FB3">
        <w:rPr>
          <w:lang w:val="en-AU"/>
        </w:rPr>
        <w:t>LDL-C over time: Mean percent change from baseline up to 52 weeks – pool of FH studies (FH I and FH II) (ITT analysis)</w:t>
      </w:r>
    </w:p>
    <w:p w14:paraId="66560233" w14:textId="77777777" w:rsidR="001C65EF" w:rsidRPr="00204FB3" w:rsidRDefault="001C65EF" w:rsidP="001C65EF">
      <w:pPr>
        <w:autoSpaceDE w:val="0"/>
        <w:autoSpaceDN w:val="0"/>
        <w:adjustRightInd w:val="0"/>
        <w:spacing w:before="0"/>
        <w:ind w:left="689" w:right="-20"/>
        <w:rPr>
          <w:rFonts w:eastAsia="Times New Roman"/>
          <w:color w:val="auto"/>
          <w:sz w:val="20"/>
          <w:szCs w:val="20"/>
          <w:lang w:val="en-AU" w:eastAsia="en-AU"/>
        </w:rPr>
      </w:pPr>
      <w:r w:rsidRPr="00204FB3">
        <w:rPr>
          <w:rFonts w:eastAsia="Times New Roman"/>
          <w:noProof/>
          <w:color w:val="auto"/>
          <w:sz w:val="20"/>
          <w:szCs w:val="20"/>
          <w:lang w:val="en-AU" w:eastAsia="en-AU"/>
        </w:rPr>
        <w:drawing>
          <wp:inline distT="0" distB="0" distL="0" distR="0" wp14:anchorId="6FA3BD7A" wp14:editId="77A8D8A5">
            <wp:extent cx="4500245" cy="2934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00245" cy="2934335"/>
                    </a:xfrm>
                    <a:prstGeom prst="rect">
                      <a:avLst/>
                    </a:prstGeom>
                    <a:noFill/>
                    <a:ln>
                      <a:noFill/>
                    </a:ln>
                  </pic:spPr>
                </pic:pic>
              </a:graphicData>
            </a:graphic>
          </wp:inline>
        </w:drawing>
      </w:r>
    </w:p>
    <w:p w14:paraId="0C9F4D5A" w14:textId="77777777" w:rsidR="001C65EF" w:rsidRPr="00204FB3" w:rsidRDefault="001C65EF" w:rsidP="001C65EF">
      <w:pPr>
        <w:pStyle w:val="Heading5"/>
        <w:numPr>
          <w:ilvl w:val="0"/>
          <w:numId w:val="0"/>
        </w:numPr>
        <w:ind w:left="1009" w:hanging="1009"/>
      </w:pPr>
      <w:r w:rsidRPr="00204FB3">
        <w:t>HIGH FH study</w:t>
      </w:r>
    </w:p>
    <w:p w14:paraId="56671B9C" w14:textId="05F454E8" w:rsidR="001C65EF" w:rsidRPr="00204FB3" w:rsidRDefault="001C65EF" w:rsidP="001C65EF">
      <w:pPr>
        <w:rPr>
          <w:color w:val="auto"/>
        </w:rPr>
      </w:pPr>
      <w:r w:rsidRPr="00204FB3">
        <w:rPr>
          <w:color w:val="auto"/>
        </w:rPr>
        <w:t xml:space="preserve">A third multicentre, double-blind, placebo-controlled 18-month study included 106 heFH patients (71 patients in the Praluent group and 35 patients in the placebo group with a majority of patients treated for a minimum of 52 weeks) on a maximally tolerated dose of statin, with or without other lipid-modifying therapies, and a baseline LDL-C ≥ 4.14 mmol/L. Patients received either Praluent at a dose of 150 mg once every 2 weeks or placebo in addition to their existing lipid-modifying therapy. Mean baseline LDL-C was 5.08 mmol/L in the Praluent group and 5.20 mmol/L in the placebo group. The mean percent change from baseline with Praluent in LDL-C (ITT analysis) was -46.9% at week 12 and -45.7% at week 24 compared to -6.6% at week 12 and -6.6% at week 24 for placebo. This corresponded to a mean absolute change from baseline at week 24 of -2.35 mmol/L. At week 24, the mean treatment difference from placebo in LDL-C percent change from baseline was -39.1% (95% CI: -51.1%, -27.1%; p-value: ˂0.0001). Mean changes for all other lipids/lipoproteins were similar to the FH I and FH II studies, however statistical significance was not reached for TG, HDL-C and Apo A-1. See </w:t>
      </w:r>
      <w:r w:rsidRPr="00204FB3">
        <w:rPr>
          <w:color w:val="auto"/>
        </w:rPr>
        <w:fldChar w:fldCharType="begin"/>
      </w:r>
      <w:r w:rsidRPr="00204FB3">
        <w:rPr>
          <w:color w:val="auto"/>
        </w:rPr>
        <w:instrText xml:space="preserve"> REF _Ref450031224 \h  \* MERGEFORMAT </w:instrText>
      </w:r>
      <w:r w:rsidRPr="00204FB3">
        <w:rPr>
          <w:color w:val="auto"/>
        </w:rPr>
      </w:r>
      <w:r w:rsidRPr="00204FB3">
        <w:rPr>
          <w:color w:val="auto"/>
        </w:rPr>
        <w:fldChar w:fldCharType="separate"/>
      </w:r>
      <w:r w:rsidR="0052180F" w:rsidRPr="0052180F">
        <w:rPr>
          <w:color w:val="auto"/>
        </w:rPr>
        <w:t>Table 7</w:t>
      </w:r>
      <w:r w:rsidRPr="00204FB3">
        <w:rPr>
          <w:color w:val="auto"/>
        </w:rPr>
        <w:fldChar w:fldCharType="end"/>
      </w:r>
      <w:r w:rsidRPr="00204FB3">
        <w:rPr>
          <w:color w:val="auto"/>
        </w:rPr>
        <w:t xml:space="preserve"> for details.</w:t>
      </w:r>
    </w:p>
    <w:p w14:paraId="4C9B0610" w14:textId="77777777" w:rsidR="001C65EF" w:rsidRPr="00204FB3" w:rsidRDefault="001C65EF" w:rsidP="001C65EF">
      <w:pPr>
        <w:pStyle w:val="Heading5"/>
        <w:numPr>
          <w:ilvl w:val="0"/>
          <w:numId w:val="0"/>
        </w:numPr>
        <w:ind w:left="1009" w:hanging="1009"/>
      </w:pPr>
      <w:r w:rsidRPr="00204FB3">
        <w:lastRenderedPageBreak/>
        <w:t xml:space="preserve">COMBO I study </w:t>
      </w:r>
    </w:p>
    <w:p w14:paraId="72447E35" w14:textId="31968AFA" w:rsidR="001C65EF" w:rsidRPr="00204FB3" w:rsidRDefault="001C65EF" w:rsidP="001C65EF">
      <w:pPr>
        <w:rPr>
          <w:color w:val="auto"/>
        </w:rPr>
      </w:pPr>
      <w:r w:rsidRPr="00204FB3">
        <w:rPr>
          <w:color w:val="auto"/>
        </w:rPr>
        <w:t>A multicentre, double-blind, placebo-controlled, 52</w:t>
      </w:r>
      <w:r w:rsidR="00D31DD6">
        <w:rPr>
          <w:color w:val="auto"/>
        </w:rPr>
        <w:t>-</w:t>
      </w:r>
      <w:r w:rsidRPr="00204FB3">
        <w:rPr>
          <w:color w:val="auto"/>
        </w:rPr>
        <w:t xml:space="preserve">week study included 311 patients (205 in the Praluent group and 106 in placebo group) categorised as very high CV risk and not at their pre-defined target LDL-C on a maximally tolerated dose of statin, with or without other lipid-modifying therapy. Patients received either 75 mg Praluent once every 2 weeks or placebo in addition to their existing lipid-modifying therapy. Dose up-titration of Praluent to 150 mg once every 2 weeks occurred at week 12 in patients with LDL-C ≥ 1.81 mmol/L. Mean baseline LDL-C was 2.60 mmol/L in the Praluent group and 2.71 mmol/L in the placebo group. The mean percent change from baseline with Praluent in LDL-C (ITT analysis) was -46.3% at week 12 and -48.2% at week 24 compared to 1.1% at week 12 and -2.3% at week 24 for placebo. This corresponded to a mean absolute change from baseline at week 24 of -1.30 mmol/L. At week 24, the mean treatment difference from placebo in LDL-C percent change from baseline was -45.9% (95% CI: -52.5%, -39.3%; p-value: ˂0.0001). At week 12 (before up-titration), 76.0% of patients in the Praluent group reached an LDL-C of ˂ 1.81 mmol/L as compared to 11.3% in the placebo group. The dose was up-titrated to 150 mg once every 2 weeks in 32 (16.8%) patients treated beyond 12 weeks. Among the subgroup of patients up-titrated at week 12, an additional 22.8% mean reduction in LDL-C was achieved at week 24. The difference versus placebo was statistically significant at week 24 for all lipids/ lipoproteins except TG and Apo A-1. See </w:t>
      </w:r>
      <w:r w:rsidRPr="00204FB3">
        <w:rPr>
          <w:color w:val="auto"/>
        </w:rPr>
        <w:fldChar w:fldCharType="begin"/>
      </w:r>
      <w:r w:rsidRPr="00204FB3">
        <w:rPr>
          <w:color w:val="auto"/>
        </w:rPr>
        <w:instrText xml:space="preserve"> REF _Ref450031224 \h  \* MERGEFORMAT </w:instrText>
      </w:r>
      <w:r w:rsidRPr="00204FB3">
        <w:rPr>
          <w:color w:val="auto"/>
        </w:rPr>
      </w:r>
      <w:r w:rsidRPr="00204FB3">
        <w:rPr>
          <w:color w:val="auto"/>
        </w:rPr>
        <w:fldChar w:fldCharType="separate"/>
      </w:r>
      <w:r w:rsidR="0052180F" w:rsidRPr="0052180F">
        <w:rPr>
          <w:color w:val="auto"/>
        </w:rPr>
        <w:t>Table 7</w:t>
      </w:r>
      <w:r w:rsidRPr="00204FB3">
        <w:rPr>
          <w:color w:val="auto"/>
        </w:rPr>
        <w:fldChar w:fldCharType="end"/>
      </w:r>
      <w:r w:rsidRPr="00204FB3">
        <w:rPr>
          <w:color w:val="auto"/>
        </w:rPr>
        <w:t xml:space="preserve"> for details.</w:t>
      </w:r>
    </w:p>
    <w:p w14:paraId="48AAB4C2" w14:textId="77777777" w:rsidR="001C65EF" w:rsidRPr="00204FB3" w:rsidRDefault="001C65EF" w:rsidP="001C65EF">
      <w:pPr>
        <w:pStyle w:val="Heading4"/>
        <w:numPr>
          <w:ilvl w:val="0"/>
          <w:numId w:val="0"/>
        </w:numPr>
      </w:pPr>
      <w:r w:rsidRPr="00204FB3">
        <w:t>Ezetimibe-controlled phase 3 study (on background statin)</w:t>
      </w:r>
    </w:p>
    <w:p w14:paraId="57E559E8" w14:textId="77777777" w:rsidR="001C65EF" w:rsidRPr="00204FB3" w:rsidRDefault="001C65EF" w:rsidP="001C65EF">
      <w:pPr>
        <w:pStyle w:val="Heading5"/>
        <w:numPr>
          <w:ilvl w:val="0"/>
          <w:numId w:val="0"/>
        </w:numPr>
        <w:ind w:left="1009" w:hanging="1009"/>
      </w:pPr>
      <w:r w:rsidRPr="00204FB3">
        <w:t xml:space="preserve">COMBO II study </w:t>
      </w:r>
    </w:p>
    <w:p w14:paraId="14B6F48C" w14:textId="0C759E43" w:rsidR="001C65EF" w:rsidRPr="00204FB3" w:rsidRDefault="001C65EF" w:rsidP="001C65EF">
      <w:pPr>
        <w:rPr>
          <w:color w:val="auto"/>
        </w:rPr>
      </w:pPr>
      <w:r w:rsidRPr="00204FB3">
        <w:rPr>
          <w:color w:val="auto"/>
        </w:rPr>
        <w:t>A multicentre, double-blind, ezetimibe-controlled 2</w:t>
      </w:r>
      <w:r w:rsidR="00494113">
        <w:rPr>
          <w:color w:val="auto"/>
        </w:rPr>
        <w:t>-</w:t>
      </w:r>
      <w:r w:rsidRPr="00204FB3">
        <w:rPr>
          <w:color w:val="auto"/>
        </w:rPr>
        <w:t xml:space="preserve">year study included 707 patients (467 patients in the Praluent group and 240 patients in the ezetimibe group, with a majority of patients treated for a minimum of 52 weeks) categorised as very high CV risk and not at their pre-defined target LDL-C on a maximally tolerated dose of statin. Patients received either Praluent 75 mg once every 2 weeks or ezetimibe 10 mg once daily in addition to their existing statin therapy. Dose up-titration of Praluent to 150 mg once every 2 weeks occurred at week 12 in patients with LDL-C ≥ 1.81 mmol/L. At week 24, the mean treatment difference from ezetimibe in LDL-C percent change from baseline was -29.8% (95% CI: -34.4%, -25.3%; p-value: ˂0.0001). At week 12 (before up-titration), 77.2% of patients reached an LDL-C of ˂ 1.81 mmol/L as compared to 46.2% in the ezetimibe group. Among the subgroup of patients up-titrated at week 12, an additional 10.5% mean reduction in LDL-C was achieved at week 24. See </w:t>
      </w:r>
      <w:r w:rsidRPr="00204FB3">
        <w:rPr>
          <w:color w:val="auto"/>
        </w:rPr>
        <w:fldChar w:fldCharType="begin"/>
      </w:r>
      <w:r w:rsidRPr="00204FB3">
        <w:rPr>
          <w:color w:val="auto"/>
        </w:rPr>
        <w:instrText xml:space="preserve"> REF _Ref450031224 \h  \* MERGEFORMAT </w:instrText>
      </w:r>
      <w:r w:rsidRPr="00204FB3">
        <w:rPr>
          <w:color w:val="auto"/>
        </w:rPr>
      </w:r>
      <w:r w:rsidRPr="00204FB3">
        <w:rPr>
          <w:color w:val="auto"/>
        </w:rPr>
        <w:fldChar w:fldCharType="separate"/>
      </w:r>
      <w:r w:rsidR="0052180F" w:rsidRPr="0052180F">
        <w:rPr>
          <w:color w:val="auto"/>
        </w:rPr>
        <w:t>Table 7</w:t>
      </w:r>
      <w:r w:rsidRPr="00204FB3">
        <w:rPr>
          <w:color w:val="auto"/>
        </w:rPr>
        <w:fldChar w:fldCharType="end"/>
      </w:r>
      <w:r w:rsidRPr="00204FB3">
        <w:rPr>
          <w:color w:val="auto"/>
        </w:rPr>
        <w:t xml:space="preserve"> for details.  </w:t>
      </w:r>
    </w:p>
    <w:p w14:paraId="49D05B7A" w14:textId="77777777" w:rsidR="001C65EF" w:rsidRPr="00204FB3" w:rsidRDefault="001C65EF" w:rsidP="00606597">
      <w:pPr>
        <w:pStyle w:val="Heading4"/>
        <w:numPr>
          <w:ilvl w:val="0"/>
          <w:numId w:val="0"/>
        </w:numPr>
      </w:pPr>
      <w:r w:rsidRPr="00204FB3">
        <w:t>STATIN INTOLERANT THERAPY (ADD-ON TO NON-STATIN LIPID MODIFYING THERAPY)</w:t>
      </w:r>
    </w:p>
    <w:p w14:paraId="59522F23" w14:textId="77777777" w:rsidR="001C65EF" w:rsidRPr="00204FB3" w:rsidRDefault="001C65EF" w:rsidP="001C65EF">
      <w:pPr>
        <w:pStyle w:val="Heading5"/>
        <w:numPr>
          <w:ilvl w:val="0"/>
          <w:numId w:val="0"/>
        </w:numPr>
        <w:ind w:left="1009" w:hanging="1009"/>
      </w:pPr>
      <w:r w:rsidRPr="00204FB3">
        <w:t>ALTERNATIVE study</w:t>
      </w:r>
    </w:p>
    <w:p w14:paraId="40E7270F" w14:textId="7B683D43" w:rsidR="001C65EF" w:rsidRPr="00204FB3" w:rsidRDefault="001C65EF" w:rsidP="001C65EF">
      <w:pPr>
        <w:rPr>
          <w:color w:val="auto"/>
        </w:rPr>
      </w:pPr>
      <w:r w:rsidRPr="00204FB3">
        <w:rPr>
          <w:color w:val="auto"/>
        </w:rPr>
        <w:t>A multicentre, double-blind, ezetimibe-controlled, 24</w:t>
      </w:r>
      <w:r w:rsidR="00D31DD6">
        <w:rPr>
          <w:color w:val="auto"/>
        </w:rPr>
        <w:t>-</w:t>
      </w:r>
      <w:r w:rsidRPr="00204FB3">
        <w:rPr>
          <w:color w:val="auto"/>
        </w:rPr>
        <w:t xml:space="preserve">week study included 248 patients (126 patients in the Praluent group and 122 in the ezetimibe group) with documented statin intolerance due to skeletal muscle-related symptoms. Patients received either Praluent 75 mg once every 2 weeks or ezetimibe 10 mg once daily, or atorvastatin 20 mg once daily (as a re-challenge arm). Dose up-titration of Praluent to 150 mg once every 2 weeks occurred at week 12 in patients with </w:t>
      </w:r>
      <w:r w:rsidRPr="00204FB3">
        <w:rPr>
          <w:color w:val="auto"/>
        </w:rPr>
        <w:lastRenderedPageBreak/>
        <w:t>LDL-C ≥ 1.81 mmol/L or ≥ 2.59 mmol/L, depending on their level of CV risk. At week 24, the mean treatment difference from ezetimibe in LDL-C percent change from baseline was -30.4% (95% CI: -36.6%, -24.2%; p-value: ˂0.0001). At week 12 (before up-titration), 34.9% of patients achieved an LDL-C of ˂ 1.81 mmol/L as compared to 0% in the ezetimibe group. Among the subgroup of patients up-titrated at week 12, an additional 3.6% mean reduction in LDL-C was achieved at week 24.</w:t>
      </w:r>
    </w:p>
    <w:p w14:paraId="7ED24004" w14:textId="766B3022" w:rsidR="001C65EF" w:rsidRPr="00204FB3" w:rsidRDefault="001C65EF" w:rsidP="001C65EF">
      <w:pPr>
        <w:rPr>
          <w:color w:val="auto"/>
        </w:rPr>
      </w:pPr>
      <w:r w:rsidRPr="00204FB3">
        <w:rPr>
          <w:color w:val="auto"/>
        </w:rPr>
        <w:t xml:space="preserve">This trial evaluated patients who did not tolerate at least two statins (at least one at the lowest approved dose), and enrolled only patients willing to be re-challenged with a statin. The statin re-challenge arm was included to further validate the diagnosis of statin intolerance in a blinded manner. In these patients with a history of statin intolerance, musculoskeletal adverse events occurred at a lower rate in the Praluent group (32.5%) as compared to the atorvastatin group (46.0%) (HR= 0.61 [95% CI, 0.38 to 0.99]), and a lower percentage of patients in the Praluent group (15.9%) discontinued study treatment due to musculoskeletal adverse events as compared to the atorvastatin group (22.2%). These discontinuation rates due to musculoskeletal adverse events in the ALTERNATIVE study were higher than in other phase 3 studies. In the five placebo-controlled trials in patients on a maximally tolerated dose of statin (n=3752), the discontinuation rate due to musculoskeletal adverse events was 0.4% in the Praluent group and 0.5% in the placebo group. See </w:t>
      </w:r>
      <w:r w:rsidRPr="00204FB3">
        <w:rPr>
          <w:color w:val="auto"/>
        </w:rPr>
        <w:fldChar w:fldCharType="begin"/>
      </w:r>
      <w:r w:rsidRPr="00204FB3">
        <w:rPr>
          <w:color w:val="auto"/>
        </w:rPr>
        <w:instrText xml:space="preserve"> REF _Ref450031224 \h  \* MERGEFORMAT </w:instrText>
      </w:r>
      <w:r w:rsidRPr="00204FB3">
        <w:rPr>
          <w:color w:val="auto"/>
        </w:rPr>
      </w:r>
      <w:r w:rsidRPr="00204FB3">
        <w:rPr>
          <w:color w:val="auto"/>
        </w:rPr>
        <w:fldChar w:fldCharType="separate"/>
      </w:r>
      <w:r w:rsidR="0052180F" w:rsidRPr="0052180F">
        <w:rPr>
          <w:color w:val="auto"/>
        </w:rPr>
        <w:t>Table 7</w:t>
      </w:r>
      <w:r w:rsidRPr="00204FB3">
        <w:rPr>
          <w:color w:val="auto"/>
        </w:rPr>
        <w:fldChar w:fldCharType="end"/>
      </w:r>
      <w:r w:rsidRPr="00204FB3">
        <w:rPr>
          <w:color w:val="auto"/>
        </w:rPr>
        <w:t xml:space="preserve"> for details.</w:t>
      </w:r>
    </w:p>
    <w:p w14:paraId="62EEC3ED" w14:textId="77777777" w:rsidR="001C65EF" w:rsidRPr="00204FB3" w:rsidRDefault="00AA1DDE" w:rsidP="00AA1DDE">
      <w:pPr>
        <w:pStyle w:val="Heading4"/>
        <w:numPr>
          <w:ilvl w:val="0"/>
          <w:numId w:val="0"/>
        </w:numPr>
        <w:ind w:left="862" w:hanging="862"/>
      </w:pPr>
      <w:r w:rsidRPr="00204FB3">
        <w:t>LONG-TERM EFFICACY IN PRIMARY HYPERCHOLESTEROLAEMIA</w:t>
      </w:r>
    </w:p>
    <w:p w14:paraId="7CDF3947" w14:textId="77777777" w:rsidR="001C65EF" w:rsidRPr="00204FB3" w:rsidRDefault="001C65EF" w:rsidP="00AA1DDE">
      <w:pPr>
        <w:pStyle w:val="Heading5"/>
        <w:numPr>
          <w:ilvl w:val="0"/>
          <w:numId w:val="0"/>
        </w:numPr>
        <w:ind w:left="1009" w:hanging="1009"/>
      </w:pPr>
      <w:r w:rsidRPr="00204FB3">
        <w:t>LONG TERM study</w:t>
      </w:r>
    </w:p>
    <w:p w14:paraId="1AA5655C" w14:textId="572B0E7B" w:rsidR="001C65EF" w:rsidRPr="00204FB3" w:rsidRDefault="001C65EF" w:rsidP="001C65EF">
      <w:pPr>
        <w:rPr>
          <w:color w:val="auto"/>
        </w:rPr>
      </w:pPr>
      <w:r w:rsidRPr="00204FB3">
        <w:rPr>
          <w:color w:val="auto"/>
        </w:rPr>
        <w:t xml:space="preserve">This multicentre, double-blind, placebo-controlled, 18-month study included 2,310 patients (1,530 patients in the Praluent group and 780 patients in the placebo group) with primary hypercholesterolaemia at high or very high CV risk and on a maximally tolerated dose of statin, with or without other lipid-modifying therapy. Patients received either Praluent at a dose of 150 mg once every 2 weeks or placebo in addition to their existing lipid-modifying therapy. The LONG TERM study included 17.7% heFH patients, 34.6% with type 2 diabetes mellitus, and 68.6% with a history of coronary heart disease. Mean treatment duration was 64.6 weeks, with a majority of patients treated for a minimum of 52 weeks, and 607 patients with 18-month data analysed. At week 24, the mean treatment difference from placebo in LDL-C percent change from baseline was -61.9% (95% CI: -64.3%, -59.4%; p-value: ˂0.0001). For detailed results see </w:t>
      </w:r>
      <w:r w:rsidRPr="00204FB3">
        <w:rPr>
          <w:color w:val="auto"/>
        </w:rPr>
        <w:fldChar w:fldCharType="begin"/>
      </w:r>
      <w:r w:rsidRPr="00204FB3">
        <w:rPr>
          <w:color w:val="auto"/>
        </w:rPr>
        <w:instrText xml:space="preserve"> REF _Ref450031224 \h  \* MERGEFORMAT </w:instrText>
      </w:r>
      <w:r w:rsidRPr="00204FB3">
        <w:rPr>
          <w:color w:val="auto"/>
        </w:rPr>
      </w:r>
      <w:r w:rsidRPr="00204FB3">
        <w:rPr>
          <w:color w:val="auto"/>
        </w:rPr>
        <w:fldChar w:fldCharType="separate"/>
      </w:r>
      <w:r w:rsidR="0052180F" w:rsidRPr="0052180F">
        <w:rPr>
          <w:color w:val="auto"/>
        </w:rPr>
        <w:t>Table 7</w:t>
      </w:r>
      <w:r w:rsidRPr="00204FB3">
        <w:rPr>
          <w:color w:val="auto"/>
        </w:rPr>
        <w:fldChar w:fldCharType="end"/>
      </w:r>
      <w:r w:rsidRPr="00204FB3">
        <w:rPr>
          <w:color w:val="auto"/>
        </w:rPr>
        <w:t>. At week 12, 82.1% of patients in the Praluent group reached an LDL-C ˂ 1.81 mmol/L compared to 7.2% of patients in the placebo group. Reduction in LDL-C was seen across age, gender, body mass index (BMI), race, and baseline LDL-C levels. Efficacy results were consistent in patients with heFH and non-heFH, patients with mixed dyslipidaemia, and diabetic patients. LDL-C reduction was consistent regardless of concomitantly used statins and doses.</w:t>
      </w:r>
    </w:p>
    <w:p w14:paraId="562E4AF8" w14:textId="41078046" w:rsidR="001C65EF" w:rsidRPr="00204FB3" w:rsidRDefault="001C65EF" w:rsidP="00B71099">
      <w:pPr>
        <w:pStyle w:val="Caption"/>
        <w:pageBreakBefore/>
        <w:rPr>
          <w:vertAlign w:val="superscript"/>
        </w:rPr>
      </w:pPr>
      <w:bookmarkStart w:id="8" w:name="_Ref450031224"/>
      <w:r w:rsidRPr="00204FB3">
        <w:lastRenderedPageBreak/>
        <w:t>Table </w:t>
      </w:r>
      <w:r w:rsidRPr="00204FB3">
        <w:fldChar w:fldCharType="begin"/>
      </w:r>
      <w:r w:rsidRPr="00204FB3">
        <w:instrText xml:space="preserve"> SEQ Table \* ARABIC </w:instrText>
      </w:r>
      <w:r w:rsidRPr="00204FB3">
        <w:fldChar w:fldCharType="separate"/>
      </w:r>
      <w:r w:rsidR="0052180F">
        <w:rPr>
          <w:noProof/>
        </w:rPr>
        <w:t>7</w:t>
      </w:r>
      <w:r w:rsidRPr="00204FB3">
        <w:fldChar w:fldCharType="end"/>
      </w:r>
      <w:bookmarkEnd w:id="8"/>
      <w:r w:rsidRPr="00204FB3">
        <w:t xml:space="preserve"> ­ Mean percent change in LDL-C from baseline in LDL-C and other lipids/lipoproteins in placebo-controlled and ezetimibe-controlled studies </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935"/>
        <w:gridCol w:w="513"/>
        <w:gridCol w:w="757"/>
        <w:gridCol w:w="863"/>
        <w:gridCol w:w="72"/>
        <w:gridCol w:w="1270"/>
        <w:gridCol w:w="638"/>
        <w:gridCol w:w="297"/>
        <w:gridCol w:w="1270"/>
        <w:gridCol w:w="293"/>
        <w:gridCol w:w="642"/>
        <w:gridCol w:w="1278"/>
      </w:tblGrid>
      <w:tr w:rsidR="001C65EF" w:rsidRPr="00204FB3" w14:paraId="774BE209" w14:textId="77777777" w:rsidTr="00215881">
        <w:tc>
          <w:tcPr>
            <w:tcW w:w="10090" w:type="dxa"/>
            <w:gridSpan w:val="13"/>
            <w:tcBorders>
              <w:top w:val="single" w:sz="4" w:space="0" w:color="auto"/>
              <w:left w:val="single" w:sz="4" w:space="0" w:color="auto"/>
              <w:bottom w:val="single" w:sz="4" w:space="0" w:color="auto"/>
              <w:right w:val="single" w:sz="4" w:space="0" w:color="auto"/>
            </w:tcBorders>
            <w:shd w:val="clear" w:color="auto" w:fill="auto"/>
            <w:hideMark/>
          </w:tcPr>
          <w:p w14:paraId="48FEF00C" w14:textId="77777777" w:rsidR="001C65EF" w:rsidRPr="00204FB3" w:rsidRDefault="001C65EF" w:rsidP="00215881">
            <w:pPr>
              <w:tabs>
                <w:tab w:val="left" w:pos="567"/>
              </w:tabs>
              <w:spacing w:before="0"/>
              <w:jc w:val="center"/>
              <w:rPr>
                <w:rFonts w:ascii="Calibri" w:eastAsia="Calibri" w:hAnsi="Calibri"/>
                <w:b/>
                <w:color w:val="auto"/>
                <w:sz w:val="22"/>
                <w:szCs w:val="22"/>
              </w:rPr>
            </w:pPr>
            <w:r w:rsidRPr="00204FB3">
              <w:rPr>
                <w:rFonts w:ascii="Calibri" w:eastAsia="Calibri" w:hAnsi="Calibri"/>
                <w:b/>
                <w:color w:val="auto"/>
                <w:sz w:val="22"/>
                <w:szCs w:val="22"/>
              </w:rPr>
              <w:t>Mean Percent Change from Baseline</w:t>
            </w:r>
            <w:r w:rsidRPr="00204FB3">
              <w:rPr>
                <w:rFonts w:ascii="Calibri" w:eastAsia="Calibri" w:hAnsi="Calibri"/>
                <w:b/>
                <w:bCs/>
                <w:color w:val="auto"/>
                <w:kern w:val="24"/>
                <w:sz w:val="22"/>
                <w:szCs w:val="22"/>
              </w:rPr>
              <w:t xml:space="preserve"> in </w:t>
            </w:r>
            <w:r w:rsidRPr="00204FB3">
              <w:rPr>
                <w:rFonts w:ascii="Calibri" w:eastAsia="Calibri" w:hAnsi="Calibri"/>
                <w:b/>
                <w:bCs/>
                <w:color w:val="auto"/>
                <w:sz w:val="22"/>
                <w:szCs w:val="22"/>
                <w:lang w:val="en-GB"/>
              </w:rPr>
              <w:t>Placebo-Controlled Studies on Background Statin</w:t>
            </w:r>
          </w:p>
        </w:tc>
      </w:tr>
      <w:tr w:rsidR="001C65EF" w:rsidRPr="00204FB3" w14:paraId="5391FBA1" w14:textId="77777777" w:rsidTr="00215881">
        <w:tc>
          <w:tcPr>
            <w:tcW w:w="1270" w:type="dxa"/>
            <w:tcBorders>
              <w:top w:val="single" w:sz="4" w:space="0" w:color="auto"/>
              <w:left w:val="single" w:sz="4" w:space="0" w:color="auto"/>
              <w:bottom w:val="single" w:sz="4" w:space="0" w:color="auto"/>
              <w:right w:val="single" w:sz="4" w:space="0" w:color="auto"/>
            </w:tcBorders>
            <w:shd w:val="clear" w:color="auto" w:fill="auto"/>
          </w:tcPr>
          <w:p w14:paraId="352B5FC4" w14:textId="77777777" w:rsidR="001C65EF" w:rsidRPr="00204FB3" w:rsidRDefault="001C65EF" w:rsidP="00215881">
            <w:pPr>
              <w:spacing w:before="0"/>
              <w:rPr>
                <w:rFonts w:ascii="Calibri" w:eastAsia="Calibri" w:hAnsi="Calibri"/>
                <w:b/>
                <w:color w:val="auto"/>
                <w:sz w:val="22"/>
                <w:szCs w:val="22"/>
              </w:rPr>
            </w:pPr>
          </w:p>
        </w:tc>
        <w:tc>
          <w:tcPr>
            <w:tcW w:w="2205" w:type="dxa"/>
            <w:gridSpan w:val="3"/>
            <w:tcBorders>
              <w:top w:val="single" w:sz="4" w:space="0" w:color="auto"/>
              <w:left w:val="single" w:sz="4" w:space="0" w:color="auto"/>
              <w:bottom w:val="single" w:sz="4" w:space="0" w:color="auto"/>
              <w:right w:val="single" w:sz="4" w:space="0" w:color="auto"/>
            </w:tcBorders>
            <w:shd w:val="clear" w:color="auto" w:fill="auto"/>
            <w:hideMark/>
          </w:tcPr>
          <w:p w14:paraId="5C05BCA4" w14:textId="77777777" w:rsidR="001C65EF" w:rsidRPr="00204FB3" w:rsidRDefault="001C65EF" w:rsidP="00215881">
            <w:pPr>
              <w:spacing w:before="0"/>
              <w:jc w:val="center"/>
              <w:rPr>
                <w:rFonts w:ascii="Calibri" w:eastAsia="Calibri" w:hAnsi="Calibri"/>
                <w:b/>
                <w:color w:val="auto"/>
                <w:sz w:val="22"/>
                <w:szCs w:val="22"/>
              </w:rPr>
            </w:pPr>
            <w:r w:rsidRPr="00204FB3">
              <w:rPr>
                <w:rFonts w:ascii="Calibri" w:eastAsia="Calibri" w:hAnsi="Calibri"/>
                <w:b/>
                <w:color w:val="auto"/>
                <w:sz w:val="22"/>
                <w:szCs w:val="22"/>
              </w:rPr>
              <w:t>LONG TERM (N=2310)</w:t>
            </w:r>
          </w:p>
        </w:tc>
        <w:tc>
          <w:tcPr>
            <w:tcW w:w="2205" w:type="dxa"/>
            <w:gridSpan w:val="3"/>
            <w:tcBorders>
              <w:top w:val="single" w:sz="4" w:space="0" w:color="auto"/>
              <w:left w:val="single" w:sz="4" w:space="0" w:color="auto"/>
              <w:bottom w:val="single" w:sz="4" w:space="0" w:color="auto"/>
              <w:right w:val="single" w:sz="4" w:space="0" w:color="auto"/>
            </w:tcBorders>
            <w:shd w:val="clear" w:color="auto" w:fill="auto"/>
            <w:hideMark/>
          </w:tcPr>
          <w:p w14:paraId="6322C2A2" w14:textId="77777777" w:rsidR="001C65EF" w:rsidRPr="00204FB3" w:rsidRDefault="001C65EF" w:rsidP="00215881">
            <w:pPr>
              <w:spacing w:before="0"/>
              <w:jc w:val="center"/>
              <w:rPr>
                <w:rFonts w:ascii="Calibri" w:eastAsia="Calibri" w:hAnsi="Calibri"/>
                <w:b/>
                <w:color w:val="auto"/>
                <w:sz w:val="22"/>
                <w:szCs w:val="22"/>
              </w:rPr>
            </w:pPr>
            <w:r w:rsidRPr="00204FB3">
              <w:rPr>
                <w:rFonts w:ascii="Calibri" w:eastAsia="Calibri" w:hAnsi="Calibri"/>
                <w:b/>
                <w:color w:val="auto"/>
                <w:sz w:val="22"/>
                <w:szCs w:val="22"/>
              </w:rPr>
              <w:t>FHI and FHII (N=732)</w:t>
            </w:r>
          </w:p>
        </w:tc>
        <w:tc>
          <w:tcPr>
            <w:tcW w:w="2205" w:type="dxa"/>
            <w:gridSpan w:val="3"/>
            <w:tcBorders>
              <w:top w:val="single" w:sz="4" w:space="0" w:color="auto"/>
              <w:left w:val="single" w:sz="4" w:space="0" w:color="auto"/>
              <w:bottom w:val="single" w:sz="4" w:space="0" w:color="auto"/>
              <w:right w:val="single" w:sz="4" w:space="0" w:color="auto"/>
            </w:tcBorders>
            <w:shd w:val="clear" w:color="auto" w:fill="auto"/>
            <w:hideMark/>
          </w:tcPr>
          <w:p w14:paraId="47919FA3" w14:textId="77777777" w:rsidR="001C65EF" w:rsidRPr="00204FB3" w:rsidRDefault="001C65EF" w:rsidP="00215881">
            <w:pPr>
              <w:spacing w:before="0"/>
              <w:jc w:val="center"/>
              <w:rPr>
                <w:rFonts w:ascii="Calibri" w:eastAsia="Calibri" w:hAnsi="Calibri"/>
                <w:b/>
                <w:color w:val="auto"/>
                <w:sz w:val="22"/>
                <w:szCs w:val="22"/>
              </w:rPr>
            </w:pPr>
            <w:r w:rsidRPr="00204FB3">
              <w:rPr>
                <w:rFonts w:ascii="Calibri" w:eastAsia="Calibri" w:hAnsi="Calibri"/>
                <w:b/>
                <w:color w:val="auto"/>
                <w:sz w:val="22"/>
                <w:szCs w:val="22"/>
              </w:rPr>
              <w:t>High FH (N=106)</w:t>
            </w:r>
          </w:p>
        </w:tc>
        <w:tc>
          <w:tcPr>
            <w:tcW w:w="2205" w:type="dxa"/>
            <w:gridSpan w:val="3"/>
            <w:tcBorders>
              <w:top w:val="single" w:sz="4" w:space="0" w:color="auto"/>
              <w:left w:val="single" w:sz="4" w:space="0" w:color="auto"/>
              <w:bottom w:val="single" w:sz="4" w:space="0" w:color="auto"/>
              <w:right w:val="single" w:sz="4" w:space="0" w:color="auto"/>
            </w:tcBorders>
            <w:shd w:val="clear" w:color="auto" w:fill="auto"/>
            <w:hideMark/>
          </w:tcPr>
          <w:p w14:paraId="38A60170" w14:textId="77777777" w:rsidR="001C65EF" w:rsidRPr="00204FB3" w:rsidRDefault="001C65EF" w:rsidP="00215881">
            <w:pPr>
              <w:spacing w:before="0"/>
              <w:jc w:val="center"/>
              <w:rPr>
                <w:rFonts w:ascii="Calibri" w:eastAsia="Calibri" w:hAnsi="Calibri"/>
                <w:b/>
                <w:color w:val="auto"/>
                <w:sz w:val="22"/>
                <w:szCs w:val="22"/>
              </w:rPr>
            </w:pPr>
            <w:r w:rsidRPr="00204FB3">
              <w:rPr>
                <w:rFonts w:ascii="Calibri" w:eastAsia="Calibri" w:hAnsi="Calibri"/>
                <w:b/>
                <w:color w:val="auto"/>
                <w:sz w:val="22"/>
                <w:szCs w:val="22"/>
              </w:rPr>
              <w:t>COMBO I (N=311)</w:t>
            </w:r>
          </w:p>
        </w:tc>
      </w:tr>
      <w:tr w:rsidR="001C65EF" w:rsidRPr="00204FB3" w14:paraId="7BCC29E3" w14:textId="77777777" w:rsidTr="00215881">
        <w:tc>
          <w:tcPr>
            <w:tcW w:w="1270" w:type="dxa"/>
            <w:tcBorders>
              <w:top w:val="single" w:sz="4" w:space="0" w:color="auto"/>
              <w:left w:val="single" w:sz="4" w:space="0" w:color="auto"/>
              <w:bottom w:val="single" w:sz="4" w:space="0" w:color="auto"/>
              <w:right w:val="single" w:sz="4" w:space="0" w:color="auto"/>
            </w:tcBorders>
            <w:shd w:val="clear" w:color="auto" w:fill="auto"/>
          </w:tcPr>
          <w:p w14:paraId="226F3671" w14:textId="77777777" w:rsidR="001C65EF" w:rsidRPr="00204FB3" w:rsidRDefault="001C65EF" w:rsidP="00215881">
            <w:pPr>
              <w:spacing w:before="0"/>
              <w:rPr>
                <w:rFonts w:ascii="Calibri" w:eastAsia="Calibri" w:hAnsi="Calibri"/>
                <w:b/>
                <w:color w:val="auto"/>
                <w:sz w:val="22"/>
                <w:szCs w:val="22"/>
              </w:rPr>
            </w:pPr>
          </w:p>
        </w:tc>
        <w:tc>
          <w:tcPr>
            <w:tcW w:w="935" w:type="dxa"/>
            <w:tcBorders>
              <w:top w:val="single" w:sz="4" w:space="0" w:color="auto"/>
              <w:left w:val="single" w:sz="4" w:space="0" w:color="auto"/>
              <w:bottom w:val="single" w:sz="4" w:space="0" w:color="auto"/>
              <w:right w:val="single" w:sz="4" w:space="0" w:color="auto"/>
            </w:tcBorders>
            <w:shd w:val="clear" w:color="auto" w:fill="auto"/>
            <w:hideMark/>
          </w:tcPr>
          <w:p w14:paraId="1F88568F" w14:textId="77777777" w:rsidR="001C65EF" w:rsidRPr="00204FB3" w:rsidRDefault="001C65EF" w:rsidP="00215881">
            <w:pPr>
              <w:spacing w:before="0"/>
              <w:jc w:val="center"/>
              <w:rPr>
                <w:rFonts w:ascii="Calibri" w:eastAsia="Calibri" w:hAnsi="Calibri"/>
                <w:b/>
                <w:color w:val="auto"/>
                <w:sz w:val="22"/>
                <w:szCs w:val="22"/>
              </w:rPr>
            </w:pPr>
            <w:r w:rsidRPr="00204FB3">
              <w:rPr>
                <w:rFonts w:ascii="Calibri" w:eastAsia="Calibri" w:hAnsi="Calibri"/>
                <w:b/>
                <w:color w:val="auto"/>
                <w:sz w:val="22"/>
                <w:szCs w:val="22"/>
              </w:rPr>
              <w:t xml:space="preserve">Placebo </w:t>
            </w:r>
          </w:p>
        </w:tc>
        <w:tc>
          <w:tcPr>
            <w:tcW w:w="127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C6D66B1" w14:textId="77777777" w:rsidR="001C65EF" w:rsidRPr="00204FB3" w:rsidRDefault="001C65EF" w:rsidP="00215881">
            <w:pPr>
              <w:spacing w:before="0"/>
              <w:jc w:val="center"/>
              <w:rPr>
                <w:rFonts w:ascii="Calibri" w:eastAsia="Calibri" w:hAnsi="Calibri"/>
                <w:b/>
                <w:color w:val="auto"/>
                <w:sz w:val="22"/>
                <w:szCs w:val="22"/>
              </w:rPr>
            </w:pPr>
            <w:r w:rsidRPr="00204FB3">
              <w:rPr>
                <w:rFonts w:ascii="Calibri" w:eastAsia="Calibri" w:hAnsi="Calibri"/>
                <w:b/>
                <w:color w:val="auto"/>
                <w:sz w:val="22"/>
                <w:szCs w:val="22"/>
              </w:rPr>
              <w:t>Alirocumab</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1C097DBA" w14:textId="77777777" w:rsidR="001C65EF" w:rsidRPr="00204FB3" w:rsidRDefault="001C65EF" w:rsidP="00215881">
            <w:pPr>
              <w:spacing w:before="0"/>
              <w:jc w:val="center"/>
              <w:rPr>
                <w:rFonts w:ascii="Calibri" w:eastAsia="Calibri" w:hAnsi="Calibri"/>
                <w:b/>
                <w:color w:val="auto"/>
                <w:sz w:val="22"/>
                <w:szCs w:val="22"/>
              </w:rPr>
            </w:pPr>
            <w:r w:rsidRPr="00204FB3">
              <w:rPr>
                <w:rFonts w:ascii="Calibri" w:eastAsia="Calibri" w:hAnsi="Calibri"/>
                <w:b/>
                <w:color w:val="auto"/>
                <w:sz w:val="22"/>
                <w:szCs w:val="22"/>
              </w:rPr>
              <w:t>Placebo</w:t>
            </w:r>
          </w:p>
        </w:tc>
        <w:tc>
          <w:tcPr>
            <w:tcW w:w="1270" w:type="dxa"/>
            <w:tcBorders>
              <w:top w:val="single" w:sz="4" w:space="0" w:color="auto"/>
              <w:left w:val="single" w:sz="4" w:space="0" w:color="auto"/>
              <w:bottom w:val="single" w:sz="4" w:space="0" w:color="auto"/>
              <w:right w:val="single" w:sz="4" w:space="0" w:color="auto"/>
            </w:tcBorders>
            <w:shd w:val="clear" w:color="auto" w:fill="auto"/>
            <w:hideMark/>
          </w:tcPr>
          <w:p w14:paraId="332911DA" w14:textId="77777777" w:rsidR="001C65EF" w:rsidRPr="00204FB3" w:rsidRDefault="001C65EF" w:rsidP="00215881">
            <w:pPr>
              <w:spacing w:before="0"/>
              <w:jc w:val="center"/>
              <w:rPr>
                <w:rFonts w:ascii="Calibri" w:eastAsia="Calibri" w:hAnsi="Calibri"/>
                <w:b/>
                <w:color w:val="auto"/>
                <w:sz w:val="22"/>
                <w:szCs w:val="22"/>
              </w:rPr>
            </w:pPr>
            <w:r w:rsidRPr="00204FB3">
              <w:rPr>
                <w:rFonts w:ascii="Calibri" w:eastAsia="Calibri" w:hAnsi="Calibri"/>
                <w:b/>
                <w:color w:val="auto"/>
                <w:sz w:val="22"/>
                <w:szCs w:val="22"/>
              </w:rPr>
              <w:t>Alirocumab</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99EA466" w14:textId="77777777" w:rsidR="001C65EF" w:rsidRPr="00204FB3" w:rsidRDefault="001C65EF" w:rsidP="00215881">
            <w:pPr>
              <w:spacing w:before="0"/>
              <w:jc w:val="center"/>
              <w:rPr>
                <w:rFonts w:ascii="Calibri" w:eastAsia="Calibri" w:hAnsi="Calibri"/>
                <w:b/>
                <w:color w:val="auto"/>
                <w:sz w:val="22"/>
                <w:szCs w:val="22"/>
              </w:rPr>
            </w:pPr>
            <w:r w:rsidRPr="00204FB3">
              <w:rPr>
                <w:rFonts w:ascii="Calibri" w:eastAsia="Calibri" w:hAnsi="Calibri"/>
                <w:b/>
                <w:color w:val="auto"/>
                <w:sz w:val="22"/>
                <w:szCs w:val="22"/>
              </w:rPr>
              <w:t>Placebo</w:t>
            </w:r>
          </w:p>
        </w:tc>
        <w:tc>
          <w:tcPr>
            <w:tcW w:w="1270" w:type="dxa"/>
            <w:tcBorders>
              <w:top w:val="single" w:sz="4" w:space="0" w:color="auto"/>
              <w:left w:val="single" w:sz="4" w:space="0" w:color="auto"/>
              <w:bottom w:val="single" w:sz="4" w:space="0" w:color="auto"/>
              <w:right w:val="single" w:sz="4" w:space="0" w:color="auto"/>
            </w:tcBorders>
            <w:shd w:val="clear" w:color="auto" w:fill="auto"/>
            <w:hideMark/>
          </w:tcPr>
          <w:p w14:paraId="6615AC7A" w14:textId="77777777" w:rsidR="001C65EF" w:rsidRPr="00204FB3" w:rsidRDefault="001C65EF" w:rsidP="00215881">
            <w:pPr>
              <w:spacing w:before="0"/>
              <w:jc w:val="center"/>
              <w:rPr>
                <w:rFonts w:ascii="Calibri" w:eastAsia="Calibri" w:hAnsi="Calibri"/>
                <w:b/>
                <w:color w:val="auto"/>
                <w:sz w:val="22"/>
                <w:szCs w:val="22"/>
              </w:rPr>
            </w:pPr>
            <w:r w:rsidRPr="00204FB3">
              <w:rPr>
                <w:rFonts w:ascii="Calibri" w:eastAsia="Calibri" w:hAnsi="Calibri"/>
                <w:b/>
                <w:color w:val="auto"/>
                <w:sz w:val="22"/>
                <w:szCs w:val="22"/>
              </w:rPr>
              <w:t>Alirocumab</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6886B2D6" w14:textId="77777777" w:rsidR="001C65EF" w:rsidRPr="00204FB3" w:rsidRDefault="001C65EF" w:rsidP="00215881">
            <w:pPr>
              <w:spacing w:before="0"/>
              <w:jc w:val="center"/>
              <w:rPr>
                <w:rFonts w:ascii="Calibri" w:eastAsia="Calibri" w:hAnsi="Calibri"/>
                <w:b/>
                <w:color w:val="auto"/>
                <w:sz w:val="22"/>
                <w:szCs w:val="22"/>
              </w:rPr>
            </w:pPr>
            <w:r w:rsidRPr="00204FB3">
              <w:rPr>
                <w:rFonts w:ascii="Calibri" w:eastAsia="Calibri" w:hAnsi="Calibri"/>
                <w:b/>
                <w:color w:val="auto"/>
                <w:sz w:val="22"/>
                <w:szCs w:val="22"/>
              </w:rPr>
              <w:t>Placebo</w:t>
            </w:r>
          </w:p>
        </w:tc>
        <w:tc>
          <w:tcPr>
            <w:tcW w:w="1270" w:type="dxa"/>
            <w:tcBorders>
              <w:top w:val="single" w:sz="4" w:space="0" w:color="auto"/>
              <w:left w:val="single" w:sz="4" w:space="0" w:color="auto"/>
              <w:bottom w:val="single" w:sz="4" w:space="0" w:color="auto"/>
              <w:right w:val="single" w:sz="4" w:space="0" w:color="auto"/>
            </w:tcBorders>
            <w:shd w:val="clear" w:color="auto" w:fill="auto"/>
            <w:hideMark/>
          </w:tcPr>
          <w:p w14:paraId="1287B8E0" w14:textId="77777777" w:rsidR="001C65EF" w:rsidRPr="00204FB3" w:rsidRDefault="001C65EF" w:rsidP="00215881">
            <w:pPr>
              <w:spacing w:before="0"/>
              <w:jc w:val="center"/>
              <w:rPr>
                <w:rFonts w:ascii="Calibri" w:eastAsia="Calibri" w:hAnsi="Calibri"/>
                <w:b/>
                <w:color w:val="auto"/>
                <w:sz w:val="22"/>
                <w:szCs w:val="22"/>
              </w:rPr>
            </w:pPr>
            <w:r w:rsidRPr="00204FB3">
              <w:rPr>
                <w:rFonts w:ascii="Calibri" w:eastAsia="Calibri" w:hAnsi="Calibri"/>
                <w:b/>
                <w:color w:val="auto"/>
                <w:sz w:val="22"/>
                <w:szCs w:val="22"/>
              </w:rPr>
              <w:t>Alirocumab</w:t>
            </w:r>
          </w:p>
        </w:tc>
      </w:tr>
      <w:tr w:rsidR="001C65EF" w:rsidRPr="00204FB3" w14:paraId="3DA45089" w14:textId="77777777" w:rsidTr="00215881">
        <w:tc>
          <w:tcPr>
            <w:tcW w:w="1270" w:type="dxa"/>
            <w:tcBorders>
              <w:top w:val="single" w:sz="4" w:space="0" w:color="auto"/>
              <w:left w:val="single" w:sz="4" w:space="0" w:color="auto"/>
              <w:bottom w:val="single" w:sz="4" w:space="0" w:color="auto"/>
              <w:right w:val="single" w:sz="4" w:space="0" w:color="auto"/>
            </w:tcBorders>
            <w:shd w:val="clear" w:color="auto" w:fill="auto"/>
          </w:tcPr>
          <w:p w14:paraId="626FD25D" w14:textId="77777777" w:rsidR="001C65EF" w:rsidRPr="00204FB3" w:rsidRDefault="001C65EF" w:rsidP="00215881">
            <w:pPr>
              <w:spacing w:before="0"/>
              <w:rPr>
                <w:rFonts w:ascii="Calibri" w:eastAsia="Calibri" w:hAnsi="Calibri"/>
                <w:color w:val="auto"/>
                <w:sz w:val="22"/>
                <w:szCs w:val="22"/>
              </w:rPr>
            </w:pPr>
            <w:r w:rsidRPr="00204FB3">
              <w:rPr>
                <w:rFonts w:ascii="Calibri" w:eastAsia="Calibri" w:hAnsi="Calibri"/>
                <w:color w:val="auto"/>
                <w:sz w:val="22"/>
                <w:szCs w:val="22"/>
              </w:rPr>
              <w:t>Number of patients</w:t>
            </w: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76E61F03"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780</w:t>
            </w:r>
          </w:p>
        </w:tc>
        <w:tc>
          <w:tcPr>
            <w:tcW w:w="1270" w:type="dxa"/>
            <w:gridSpan w:val="2"/>
            <w:tcBorders>
              <w:top w:val="single" w:sz="4" w:space="0" w:color="auto"/>
              <w:left w:val="single" w:sz="4" w:space="0" w:color="auto"/>
              <w:bottom w:val="single" w:sz="4" w:space="0" w:color="auto"/>
              <w:right w:val="single" w:sz="4" w:space="0" w:color="auto"/>
            </w:tcBorders>
            <w:shd w:val="clear" w:color="auto" w:fill="auto"/>
          </w:tcPr>
          <w:p w14:paraId="75409F23"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1530</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14:paraId="4B25F507"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244</w:t>
            </w: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0A35FC5E"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488</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14:paraId="541F4810"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35</w:t>
            </w: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4F1C6434"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71</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14:paraId="0F3D094B"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106</w:t>
            </w: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339A3307"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205</w:t>
            </w:r>
          </w:p>
        </w:tc>
      </w:tr>
      <w:tr w:rsidR="001C65EF" w:rsidRPr="00204FB3" w14:paraId="08772191" w14:textId="77777777" w:rsidTr="00215881">
        <w:tc>
          <w:tcPr>
            <w:tcW w:w="1270" w:type="dxa"/>
            <w:tcBorders>
              <w:top w:val="single" w:sz="4" w:space="0" w:color="auto"/>
              <w:left w:val="single" w:sz="4" w:space="0" w:color="auto"/>
              <w:bottom w:val="single" w:sz="4" w:space="0" w:color="auto"/>
              <w:right w:val="single" w:sz="4" w:space="0" w:color="auto"/>
            </w:tcBorders>
            <w:shd w:val="clear" w:color="auto" w:fill="auto"/>
            <w:hideMark/>
          </w:tcPr>
          <w:p w14:paraId="63B26C10" w14:textId="77777777" w:rsidR="001C65EF" w:rsidRPr="00204FB3" w:rsidRDefault="001C65EF" w:rsidP="00215881">
            <w:pPr>
              <w:spacing w:before="0"/>
              <w:rPr>
                <w:rFonts w:ascii="Calibri" w:eastAsia="Calibri" w:hAnsi="Calibri"/>
                <w:color w:val="auto"/>
                <w:sz w:val="22"/>
                <w:szCs w:val="22"/>
              </w:rPr>
            </w:pPr>
            <w:r w:rsidRPr="00204FB3">
              <w:rPr>
                <w:rFonts w:ascii="Calibri" w:eastAsia="Calibri" w:hAnsi="Calibri"/>
                <w:color w:val="auto"/>
                <w:sz w:val="22"/>
                <w:szCs w:val="22"/>
              </w:rPr>
              <w:t>Mean Baseline LDL-C in mg/dL</w:t>
            </w:r>
          </w:p>
          <w:p w14:paraId="4EE888EA" w14:textId="77777777" w:rsidR="001C65EF" w:rsidRPr="00204FB3" w:rsidRDefault="001C65EF" w:rsidP="00215881">
            <w:pPr>
              <w:spacing w:before="0"/>
              <w:rPr>
                <w:rFonts w:ascii="Calibri" w:eastAsia="Calibri" w:hAnsi="Calibri"/>
                <w:color w:val="auto"/>
                <w:sz w:val="22"/>
                <w:szCs w:val="22"/>
              </w:rPr>
            </w:pPr>
            <w:r w:rsidRPr="00204FB3">
              <w:rPr>
                <w:rFonts w:ascii="Calibri" w:eastAsia="Calibri" w:hAnsi="Calibri"/>
                <w:color w:val="auto"/>
                <w:sz w:val="22"/>
                <w:szCs w:val="22"/>
              </w:rPr>
              <w:t>(mmol/L)</w:t>
            </w: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49D95073"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122.0</w:t>
            </w:r>
          </w:p>
          <w:p w14:paraId="30F024A5"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(3.16)</w:t>
            </w:r>
          </w:p>
        </w:tc>
        <w:tc>
          <w:tcPr>
            <w:tcW w:w="1270" w:type="dxa"/>
            <w:gridSpan w:val="2"/>
            <w:tcBorders>
              <w:top w:val="single" w:sz="4" w:space="0" w:color="auto"/>
              <w:left w:val="single" w:sz="4" w:space="0" w:color="auto"/>
              <w:bottom w:val="single" w:sz="4" w:space="0" w:color="auto"/>
              <w:right w:val="single" w:sz="4" w:space="0" w:color="auto"/>
            </w:tcBorders>
            <w:shd w:val="clear" w:color="auto" w:fill="auto"/>
          </w:tcPr>
          <w:p w14:paraId="07BA91C1"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122.8</w:t>
            </w:r>
          </w:p>
          <w:p w14:paraId="1B765B5A"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(3.18)</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14:paraId="269B550D"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140.9</w:t>
            </w:r>
          </w:p>
          <w:p w14:paraId="301AA6E5"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(3.65)</w:t>
            </w: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09816A7F"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141.3</w:t>
            </w:r>
          </w:p>
          <w:p w14:paraId="44DF52AB"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(3.66)</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14:paraId="46733D5E"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201.0</w:t>
            </w:r>
          </w:p>
          <w:p w14:paraId="4E06116B"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(5.21)</w:t>
            </w: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59D720A5"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196.3</w:t>
            </w:r>
          </w:p>
          <w:p w14:paraId="2D0C2D90"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(5.10)</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14:paraId="473CBC10"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104.6</w:t>
            </w:r>
          </w:p>
          <w:p w14:paraId="000787FC"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(2.71)</w:t>
            </w: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3BF87DAD"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100.3</w:t>
            </w:r>
          </w:p>
          <w:p w14:paraId="46FA395B"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(2.60)</w:t>
            </w:r>
          </w:p>
        </w:tc>
      </w:tr>
      <w:tr w:rsidR="001C65EF" w:rsidRPr="00204FB3" w14:paraId="4BE55C4B" w14:textId="77777777" w:rsidTr="00215881">
        <w:tc>
          <w:tcPr>
            <w:tcW w:w="10090" w:type="dxa"/>
            <w:gridSpan w:val="13"/>
            <w:tcBorders>
              <w:top w:val="single" w:sz="4" w:space="0" w:color="auto"/>
              <w:left w:val="single" w:sz="4" w:space="0" w:color="auto"/>
              <w:bottom w:val="single" w:sz="4" w:space="0" w:color="auto"/>
              <w:right w:val="single" w:sz="4" w:space="0" w:color="auto"/>
            </w:tcBorders>
            <w:shd w:val="clear" w:color="auto" w:fill="auto"/>
            <w:hideMark/>
          </w:tcPr>
          <w:p w14:paraId="5D4F726B" w14:textId="77777777" w:rsidR="001C65EF" w:rsidRPr="00204FB3" w:rsidRDefault="001C65EF" w:rsidP="00215881">
            <w:pPr>
              <w:spacing w:before="0"/>
              <w:rPr>
                <w:rFonts w:ascii="Calibri" w:eastAsia="Calibri" w:hAnsi="Calibri"/>
                <w:b/>
                <w:color w:val="auto"/>
                <w:sz w:val="22"/>
                <w:szCs w:val="22"/>
              </w:rPr>
            </w:pPr>
            <w:r w:rsidRPr="00204FB3">
              <w:rPr>
                <w:rFonts w:ascii="Calibri" w:eastAsia="Calibri" w:hAnsi="Calibri"/>
                <w:b/>
                <w:color w:val="auto"/>
                <w:sz w:val="22"/>
                <w:szCs w:val="22"/>
              </w:rPr>
              <w:t xml:space="preserve">Week 12 </w:t>
            </w:r>
          </w:p>
        </w:tc>
      </w:tr>
      <w:tr w:rsidR="001C65EF" w:rsidRPr="00204FB3" w14:paraId="2548D4C4" w14:textId="77777777" w:rsidTr="00215881">
        <w:tc>
          <w:tcPr>
            <w:tcW w:w="1270" w:type="dxa"/>
            <w:tcBorders>
              <w:top w:val="single" w:sz="4" w:space="0" w:color="auto"/>
              <w:left w:val="single" w:sz="4" w:space="0" w:color="auto"/>
              <w:bottom w:val="single" w:sz="4" w:space="0" w:color="auto"/>
              <w:right w:val="single" w:sz="4" w:space="0" w:color="auto"/>
            </w:tcBorders>
            <w:shd w:val="clear" w:color="auto" w:fill="auto"/>
            <w:hideMark/>
          </w:tcPr>
          <w:p w14:paraId="391298E4" w14:textId="77777777" w:rsidR="001C65EF" w:rsidRPr="00204FB3" w:rsidRDefault="001C65EF" w:rsidP="00215881">
            <w:pPr>
              <w:spacing w:before="0"/>
              <w:rPr>
                <w:rFonts w:ascii="Calibri" w:eastAsia="Calibri" w:hAnsi="Calibri"/>
                <w:color w:val="auto"/>
                <w:sz w:val="22"/>
                <w:szCs w:val="22"/>
              </w:rPr>
            </w:pPr>
            <w:r w:rsidRPr="00204FB3">
              <w:rPr>
                <w:rFonts w:ascii="Calibri" w:eastAsia="Calibri" w:hAnsi="Calibri"/>
                <w:color w:val="auto"/>
                <w:sz w:val="22"/>
                <w:szCs w:val="22"/>
              </w:rPr>
              <w:t>LDL-C (ITT)</w:t>
            </w:r>
            <w:r w:rsidRPr="00204FB3">
              <w:rPr>
                <w:rFonts w:ascii="Calibri" w:eastAsia="Calibri" w:hAnsi="Calibri"/>
                <w:color w:val="auto"/>
                <w:sz w:val="22"/>
                <w:szCs w:val="22"/>
                <w:vertAlign w:val="superscript"/>
              </w:rPr>
              <w:t>a</w:t>
            </w: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19802F08"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1.5</w:t>
            </w:r>
          </w:p>
        </w:tc>
        <w:tc>
          <w:tcPr>
            <w:tcW w:w="1270" w:type="dxa"/>
            <w:gridSpan w:val="2"/>
            <w:tcBorders>
              <w:top w:val="single" w:sz="4" w:space="0" w:color="auto"/>
              <w:left w:val="single" w:sz="4" w:space="0" w:color="auto"/>
              <w:bottom w:val="single" w:sz="4" w:space="0" w:color="auto"/>
              <w:right w:val="single" w:sz="4" w:space="0" w:color="auto"/>
            </w:tcBorders>
            <w:shd w:val="clear" w:color="auto" w:fill="auto"/>
          </w:tcPr>
          <w:p w14:paraId="65991554"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-63.3</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14:paraId="3CD42609"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5.4</w:t>
            </w: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31C3FE0A"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-43.6</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14:paraId="46F58625"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-6.6</w:t>
            </w: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54282257"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-46.9</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14:paraId="22BA48D6"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1.1</w:t>
            </w: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5F88FC6D"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-46.3</w:t>
            </w:r>
          </w:p>
        </w:tc>
      </w:tr>
      <w:tr w:rsidR="001C65EF" w:rsidRPr="00204FB3" w14:paraId="4A8019B9" w14:textId="77777777" w:rsidTr="00215881">
        <w:tc>
          <w:tcPr>
            <w:tcW w:w="1270" w:type="dxa"/>
            <w:tcBorders>
              <w:top w:val="single" w:sz="4" w:space="0" w:color="auto"/>
              <w:left w:val="single" w:sz="4" w:space="0" w:color="auto"/>
              <w:bottom w:val="single" w:sz="4" w:space="0" w:color="auto"/>
              <w:right w:val="single" w:sz="4" w:space="0" w:color="auto"/>
            </w:tcBorders>
            <w:shd w:val="clear" w:color="auto" w:fill="auto"/>
            <w:hideMark/>
          </w:tcPr>
          <w:p w14:paraId="76171DA5" w14:textId="77777777" w:rsidR="001C65EF" w:rsidRPr="00204FB3" w:rsidRDefault="001C65EF" w:rsidP="00215881">
            <w:pPr>
              <w:spacing w:before="0"/>
              <w:rPr>
                <w:rFonts w:ascii="Calibri" w:eastAsia="Calibri" w:hAnsi="Calibri"/>
                <w:color w:val="auto"/>
                <w:sz w:val="22"/>
                <w:szCs w:val="22"/>
                <w:vertAlign w:val="superscript"/>
              </w:rPr>
            </w:pPr>
            <w:r w:rsidRPr="00204FB3">
              <w:rPr>
                <w:rFonts w:ascii="Calibri" w:eastAsia="Calibri" w:hAnsi="Calibri"/>
                <w:color w:val="auto"/>
                <w:sz w:val="22"/>
                <w:szCs w:val="22"/>
              </w:rPr>
              <w:t>LDL-C (on treatment)</w:t>
            </w:r>
            <w:r w:rsidRPr="00204FB3">
              <w:rPr>
                <w:rFonts w:ascii="Calibri" w:eastAsia="Calibri" w:hAnsi="Calibri"/>
                <w:color w:val="auto"/>
                <w:sz w:val="22"/>
                <w:szCs w:val="22"/>
                <w:vertAlign w:val="superscript"/>
              </w:rPr>
              <w:t>b</w:t>
            </w: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6FD936DA"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1.4</w:t>
            </w:r>
          </w:p>
        </w:tc>
        <w:tc>
          <w:tcPr>
            <w:tcW w:w="1270" w:type="dxa"/>
            <w:gridSpan w:val="2"/>
            <w:tcBorders>
              <w:top w:val="single" w:sz="4" w:space="0" w:color="auto"/>
              <w:left w:val="single" w:sz="4" w:space="0" w:color="auto"/>
              <w:bottom w:val="single" w:sz="4" w:space="0" w:color="auto"/>
              <w:right w:val="single" w:sz="4" w:space="0" w:color="auto"/>
            </w:tcBorders>
            <w:shd w:val="clear" w:color="auto" w:fill="auto"/>
          </w:tcPr>
          <w:p w14:paraId="7B1A4965"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-64.2</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14:paraId="3A7E9FCD"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5.3</w:t>
            </w: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26C55BE8"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-44.0</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14:paraId="7C63A45A"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-6.6</w:t>
            </w: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15A4FF11"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-46.9</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14:paraId="75D9F814"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1.7</w:t>
            </w: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460F0D5A"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-47.6</w:t>
            </w:r>
          </w:p>
        </w:tc>
      </w:tr>
      <w:tr w:rsidR="001C65EF" w:rsidRPr="00204FB3" w14:paraId="39782592" w14:textId="77777777" w:rsidTr="00215881">
        <w:tc>
          <w:tcPr>
            <w:tcW w:w="10090" w:type="dxa"/>
            <w:gridSpan w:val="13"/>
            <w:tcBorders>
              <w:top w:val="single" w:sz="4" w:space="0" w:color="auto"/>
              <w:left w:val="single" w:sz="4" w:space="0" w:color="auto"/>
              <w:bottom w:val="single" w:sz="4" w:space="0" w:color="auto"/>
              <w:right w:val="single" w:sz="4" w:space="0" w:color="auto"/>
            </w:tcBorders>
            <w:shd w:val="clear" w:color="auto" w:fill="auto"/>
            <w:hideMark/>
          </w:tcPr>
          <w:p w14:paraId="2F67BADB" w14:textId="77777777" w:rsidR="001C65EF" w:rsidRPr="00204FB3" w:rsidRDefault="001C65EF" w:rsidP="00215881">
            <w:pPr>
              <w:spacing w:before="0"/>
              <w:rPr>
                <w:rFonts w:ascii="Calibri" w:eastAsia="Calibri" w:hAnsi="Calibri"/>
                <w:b/>
                <w:color w:val="auto"/>
                <w:sz w:val="22"/>
                <w:szCs w:val="22"/>
              </w:rPr>
            </w:pPr>
            <w:r w:rsidRPr="00204FB3">
              <w:rPr>
                <w:rFonts w:ascii="Calibri" w:eastAsia="Calibri" w:hAnsi="Calibri"/>
                <w:b/>
                <w:color w:val="auto"/>
                <w:sz w:val="22"/>
                <w:szCs w:val="22"/>
              </w:rPr>
              <w:t>Week 24</w:t>
            </w:r>
          </w:p>
        </w:tc>
      </w:tr>
      <w:tr w:rsidR="001C65EF" w:rsidRPr="00204FB3" w14:paraId="3E069BAA" w14:textId="77777777" w:rsidTr="00215881">
        <w:tc>
          <w:tcPr>
            <w:tcW w:w="1270" w:type="dxa"/>
            <w:tcBorders>
              <w:top w:val="single" w:sz="4" w:space="0" w:color="auto"/>
              <w:left w:val="single" w:sz="4" w:space="0" w:color="auto"/>
              <w:bottom w:val="single" w:sz="4" w:space="0" w:color="auto"/>
              <w:right w:val="single" w:sz="4" w:space="0" w:color="auto"/>
            </w:tcBorders>
            <w:shd w:val="clear" w:color="auto" w:fill="auto"/>
            <w:hideMark/>
          </w:tcPr>
          <w:p w14:paraId="51462CDA" w14:textId="77777777" w:rsidR="001C65EF" w:rsidRPr="00204FB3" w:rsidRDefault="001C65EF" w:rsidP="00215881">
            <w:pPr>
              <w:spacing w:before="0"/>
              <w:rPr>
                <w:rFonts w:ascii="Calibri" w:eastAsia="Calibri" w:hAnsi="Calibri"/>
                <w:color w:val="auto"/>
                <w:sz w:val="22"/>
                <w:szCs w:val="22"/>
              </w:rPr>
            </w:pPr>
            <w:r w:rsidRPr="00204FB3">
              <w:rPr>
                <w:rFonts w:ascii="Calibri" w:eastAsia="Calibri" w:hAnsi="Calibri"/>
                <w:color w:val="auto"/>
                <w:sz w:val="22"/>
                <w:szCs w:val="22"/>
              </w:rPr>
              <w:t>LDL-C (ITT)</w:t>
            </w:r>
            <w:r w:rsidRPr="00204FB3">
              <w:rPr>
                <w:rFonts w:ascii="Calibri" w:eastAsia="Calibri" w:hAnsi="Calibri"/>
                <w:color w:val="auto"/>
                <w:sz w:val="22"/>
                <w:szCs w:val="22"/>
                <w:vertAlign w:val="superscript"/>
              </w:rPr>
              <w:t>a</w:t>
            </w: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0C3386BB"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0.8</w:t>
            </w:r>
          </w:p>
        </w:tc>
        <w:tc>
          <w:tcPr>
            <w:tcW w:w="1270" w:type="dxa"/>
            <w:gridSpan w:val="2"/>
            <w:tcBorders>
              <w:top w:val="single" w:sz="4" w:space="0" w:color="auto"/>
              <w:left w:val="single" w:sz="4" w:space="0" w:color="auto"/>
              <w:bottom w:val="single" w:sz="4" w:space="0" w:color="auto"/>
              <w:right w:val="single" w:sz="4" w:space="0" w:color="auto"/>
            </w:tcBorders>
            <w:shd w:val="clear" w:color="auto" w:fill="auto"/>
          </w:tcPr>
          <w:p w14:paraId="2FC47E1D" w14:textId="77777777" w:rsidR="001C65EF" w:rsidRPr="00204FB3" w:rsidRDefault="001C65EF" w:rsidP="00215881">
            <w:pPr>
              <w:spacing w:before="0"/>
              <w:jc w:val="center"/>
              <w:rPr>
                <w:rFonts w:ascii="Calibri" w:eastAsia="Calibri" w:hAnsi="Calibri"/>
                <w:color w:val="auto"/>
                <w:sz w:val="22"/>
                <w:szCs w:val="22"/>
                <w:vertAlign w:val="superscript"/>
              </w:rPr>
            </w:pPr>
            <w:r w:rsidRPr="00204FB3">
              <w:rPr>
                <w:rFonts w:ascii="Calibri" w:eastAsia="Calibri" w:hAnsi="Calibri"/>
                <w:color w:val="auto"/>
                <w:sz w:val="22"/>
                <w:szCs w:val="22"/>
              </w:rPr>
              <w:t>-61.0</w:t>
            </w:r>
            <w:r w:rsidRPr="00204FB3">
              <w:rPr>
                <w:rFonts w:ascii="Calibri" w:eastAsia="Calibri" w:hAnsi="Calibri"/>
                <w:color w:val="auto"/>
                <w:sz w:val="22"/>
                <w:szCs w:val="22"/>
                <w:vertAlign w:val="superscript"/>
              </w:rPr>
              <w:t>c</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14:paraId="2026F1A2"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7.1</w:t>
            </w: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11109830" w14:textId="77777777" w:rsidR="001C65EF" w:rsidRPr="00204FB3" w:rsidRDefault="001C65EF" w:rsidP="00215881">
            <w:pPr>
              <w:spacing w:before="0"/>
              <w:jc w:val="center"/>
              <w:rPr>
                <w:rFonts w:ascii="Calibri" w:eastAsia="Calibri" w:hAnsi="Calibri"/>
                <w:color w:val="auto"/>
                <w:sz w:val="22"/>
                <w:szCs w:val="22"/>
                <w:vertAlign w:val="superscript"/>
              </w:rPr>
            </w:pPr>
            <w:r w:rsidRPr="00204FB3">
              <w:rPr>
                <w:rFonts w:ascii="Calibri" w:eastAsia="Calibri" w:hAnsi="Calibri"/>
                <w:color w:val="auto"/>
                <w:sz w:val="22"/>
                <w:szCs w:val="22"/>
              </w:rPr>
              <w:t>-48.8</w:t>
            </w:r>
            <w:r w:rsidRPr="00204FB3">
              <w:rPr>
                <w:rFonts w:ascii="Calibri" w:eastAsia="Calibri" w:hAnsi="Calibri"/>
                <w:color w:val="auto"/>
                <w:sz w:val="22"/>
                <w:szCs w:val="22"/>
                <w:vertAlign w:val="superscript"/>
              </w:rPr>
              <w:t>d</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14:paraId="44AB3617"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-6.6</w:t>
            </w: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7746E339" w14:textId="77777777" w:rsidR="001C65EF" w:rsidRPr="00204FB3" w:rsidRDefault="001C65EF" w:rsidP="00215881">
            <w:pPr>
              <w:spacing w:before="0"/>
              <w:jc w:val="center"/>
              <w:rPr>
                <w:rFonts w:ascii="Calibri" w:eastAsia="Calibri" w:hAnsi="Calibri"/>
                <w:color w:val="auto"/>
                <w:sz w:val="22"/>
                <w:szCs w:val="22"/>
                <w:vertAlign w:val="superscript"/>
              </w:rPr>
            </w:pPr>
            <w:r w:rsidRPr="00204FB3">
              <w:rPr>
                <w:rFonts w:ascii="Calibri" w:eastAsia="Calibri" w:hAnsi="Calibri"/>
                <w:color w:val="auto"/>
                <w:sz w:val="22"/>
                <w:szCs w:val="22"/>
              </w:rPr>
              <w:t>-45.7</w:t>
            </w:r>
            <w:r w:rsidRPr="00204FB3">
              <w:rPr>
                <w:rFonts w:ascii="Calibri" w:eastAsia="Calibri" w:hAnsi="Calibri"/>
                <w:color w:val="auto"/>
                <w:sz w:val="22"/>
                <w:szCs w:val="22"/>
                <w:vertAlign w:val="superscript"/>
              </w:rPr>
              <w:t>e</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14:paraId="7587FDDC"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-2.3</w:t>
            </w: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7D22E05F" w14:textId="77777777" w:rsidR="001C65EF" w:rsidRPr="00204FB3" w:rsidRDefault="001C65EF" w:rsidP="00215881">
            <w:pPr>
              <w:spacing w:before="0"/>
              <w:jc w:val="center"/>
              <w:rPr>
                <w:rFonts w:ascii="Calibri" w:eastAsia="Calibri" w:hAnsi="Calibri"/>
                <w:color w:val="auto"/>
                <w:sz w:val="22"/>
                <w:szCs w:val="22"/>
                <w:vertAlign w:val="superscript"/>
              </w:rPr>
            </w:pPr>
            <w:r w:rsidRPr="00204FB3">
              <w:rPr>
                <w:rFonts w:ascii="Calibri" w:eastAsia="Calibri" w:hAnsi="Calibri"/>
                <w:color w:val="auto"/>
                <w:sz w:val="22"/>
                <w:szCs w:val="22"/>
              </w:rPr>
              <w:t>-48.2</w:t>
            </w:r>
            <w:r w:rsidRPr="00204FB3">
              <w:rPr>
                <w:rFonts w:ascii="Calibri" w:eastAsia="Calibri" w:hAnsi="Calibri"/>
                <w:color w:val="auto"/>
                <w:sz w:val="22"/>
                <w:szCs w:val="22"/>
                <w:vertAlign w:val="superscript"/>
              </w:rPr>
              <w:t>f</w:t>
            </w:r>
          </w:p>
        </w:tc>
      </w:tr>
      <w:tr w:rsidR="001C65EF" w:rsidRPr="00204FB3" w14:paraId="70D03548" w14:textId="77777777" w:rsidTr="00215881">
        <w:tc>
          <w:tcPr>
            <w:tcW w:w="1270" w:type="dxa"/>
            <w:tcBorders>
              <w:top w:val="single" w:sz="4" w:space="0" w:color="auto"/>
              <w:left w:val="single" w:sz="4" w:space="0" w:color="auto"/>
              <w:bottom w:val="single" w:sz="4" w:space="0" w:color="auto"/>
              <w:right w:val="single" w:sz="4" w:space="0" w:color="auto"/>
            </w:tcBorders>
            <w:shd w:val="clear" w:color="auto" w:fill="auto"/>
            <w:hideMark/>
          </w:tcPr>
          <w:p w14:paraId="1E8EAC0A" w14:textId="77777777" w:rsidR="001C65EF" w:rsidRPr="00204FB3" w:rsidRDefault="001C65EF" w:rsidP="00215881">
            <w:pPr>
              <w:spacing w:before="0"/>
              <w:rPr>
                <w:rFonts w:ascii="Calibri" w:eastAsia="Calibri" w:hAnsi="Calibri"/>
                <w:color w:val="auto"/>
                <w:sz w:val="22"/>
                <w:szCs w:val="22"/>
                <w:vertAlign w:val="superscript"/>
              </w:rPr>
            </w:pPr>
            <w:r w:rsidRPr="00204FB3">
              <w:rPr>
                <w:rFonts w:ascii="Calibri" w:eastAsia="Calibri" w:hAnsi="Calibri"/>
                <w:color w:val="auto"/>
                <w:sz w:val="22"/>
                <w:szCs w:val="22"/>
              </w:rPr>
              <w:t>LDL-C (on treatment)</w:t>
            </w:r>
            <w:r w:rsidRPr="00204FB3">
              <w:rPr>
                <w:rFonts w:ascii="Calibri" w:eastAsia="Calibri" w:hAnsi="Calibri"/>
                <w:color w:val="auto"/>
                <w:sz w:val="22"/>
                <w:szCs w:val="22"/>
                <w:vertAlign w:val="superscript"/>
              </w:rPr>
              <w:t>b</w:t>
            </w: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626AC8F5"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0.7</w:t>
            </w:r>
          </w:p>
        </w:tc>
        <w:tc>
          <w:tcPr>
            <w:tcW w:w="1270" w:type="dxa"/>
            <w:gridSpan w:val="2"/>
            <w:tcBorders>
              <w:top w:val="single" w:sz="4" w:space="0" w:color="auto"/>
              <w:left w:val="single" w:sz="4" w:space="0" w:color="auto"/>
              <w:bottom w:val="single" w:sz="4" w:space="0" w:color="auto"/>
              <w:right w:val="single" w:sz="4" w:space="0" w:color="auto"/>
            </w:tcBorders>
            <w:shd w:val="clear" w:color="auto" w:fill="auto"/>
          </w:tcPr>
          <w:p w14:paraId="35AC4A3A"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-62.8</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14:paraId="2DA86A23"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6.8</w:t>
            </w: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30FC9D1A"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-49.3</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14:paraId="6623C6DC"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-6.6</w:t>
            </w: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0590CCA7"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-45.5</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14:paraId="1F07D745"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-0.8</w:t>
            </w: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0ADA392D"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-50.7</w:t>
            </w:r>
          </w:p>
        </w:tc>
      </w:tr>
      <w:tr w:rsidR="001C65EF" w:rsidRPr="00204FB3" w14:paraId="10EBE487" w14:textId="77777777" w:rsidTr="00215881">
        <w:tc>
          <w:tcPr>
            <w:tcW w:w="1270" w:type="dxa"/>
            <w:tcBorders>
              <w:top w:val="single" w:sz="4" w:space="0" w:color="auto"/>
              <w:left w:val="single" w:sz="4" w:space="0" w:color="auto"/>
              <w:bottom w:val="single" w:sz="4" w:space="0" w:color="auto"/>
              <w:right w:val="single" w:sz="4" w:space="0" w:color="auto"/>
            </w:tcBorders>
            <w:shd w:val="clear" w:color="auto" w:fill="auto"/>
            <w:hideMark/>
          </w:tcPr>
          <w:p w14:paraId="7E99055C" w14:textId="77777777" w:rsidR="001C65EF" w:rsidRPr="00204FB3" w:rsidRDefault="001C65EF" w:rsidP="00215881">
            <w:pPr>
              <w:spacing w:before="0"/>
              <w:rPr>
                <w:rFonts w:ascii="Calibri" w:eastAsia="Calibri" w:hAnsi="Calibri"/>
                <w:color w:val="auto"/>
                <w:sz w:val="22"/>
                <w:szCs w:val="22"/>
              </w:rPr>
            </w:pPr>
            <w:r w:rsidRPr="00204FB3">
              <w:rPr>
                <w:rFonts w:ascii="Calibri" w:eastAsia="Calibri" w:hAnsi="Calibri"/>
                <w:color w:val="auto"/>
                <w:sz w:val="22"/>
                <w:szCs w:val="22"/>
              </w:rPr>
              <w:t>Non-HDL-C</w:t>
            </w: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4F6FA484"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0.7</w:t>
            </w:r>
          </w:p>
        </w:tc>
        <w:tc>
          <w:tcPr>
            <w:tcW w:w="1270" w:type="dxa"/>
            <w:gridSpan w:val="2"/>
            <w:tcBorders>
              <w:top w:val="single" w:sz="4" w:space="0" w:color="auto"/>
              <w:left w:val="single" w:sz="4" w:space="0" w:color="auto"/>
              <w:bottom w:val="single" w:sz="4" w:space="0" w:color="auto"/>
              <w:right w:val="single" w:sz="4" w:space="0" w:color="auto"/>
            </w:tcBorders>
            <w:shd w:val="clear" w:color="auto" w:fill="auto"/>
          </w:tcPr>
          <w:p w14:paraId="09072CCE"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-51.6</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14:paraId="734E8DEF"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7.4</w:t>
            </w: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27A80562"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-42.8</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14:paraId="73E3484E"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-6.2</w:t>
            </w: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7159D204"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-41.9</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14:paraId="1DDAE30F"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-1.6</w:t>
            </w: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714576CF"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-39.1</w:t>
            </w:r>
          </w:p>
        </w:tc>
      </w:tr>
      <w:tr w:rsidR="001C65EF" w:rsidRPr="00204FB3" w14:paraId="5E668F04" w14:textId="77777777" w:rsidTr="00215881">
        <w:tc>
          <w:tcPr>
            <w:tcW w:w="1270" w:type="dxa"/>
            <w:tcBorders>
              <w:top w:val="single" w:sz="4" w:space="0" w:color="auto"/>
              <w:left w:val="single" w:sz="4" w:space="0" w:color="auto"/>
              <w:bottom w:val="single" w:sz="4" w:space="0" w:color="auto"/>
              <w:right w:val="single" w:sz="4" w:space="0" w:color="auto"/>
            </w:tcBorders>
            <w:shd w:val="clear" w:color="auto" w:fill="auto"/>
            <w:hideMark/>
          </w:tcPr>
          <w:p w14:paraId="44AAD64D" w14:textId="77777777" w:rsidR="001C65EF" w:rsidRPr="00204FB3" w:rsidRDefault="001C65EF" w:rsidP="00215881">
            <w:pPr>
              <w:spacing w:before="0"/>
              <w:rPr>
                <w:rFonts w:ascii="Calibri" w:eastAsia="Calibri" w:hAnsi="Calibri"/>
                <w:color w:val="auto"/>
                <w:sz w:val="22"/>
                <w:szCs w:val="22"/>
              </w:rPr>
            </w:pPr>
            <w:r w:rsidRPr="00204FB3">
              <w:rPr>
                <w:rFonts w:ascii="Calibri" w:eastAsia="Calibri" w:hAnsi="Calibri"/>
                <w:color w:val="auto"/>
                <w:sz w:val="22"/>
                <w:szCs w:val="22"/>
              </w:rPr>
              <w:t>Apo B</w:t>
            </w: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68EC17D8"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1.2</w:t>
            </w:r>
          </w:p>
        </w:tc>
        <w:tc>
          <w:tcPr>
            <w:tcW w:w="1270" w:type="dxa"/>
            <w:gridSpan w:val="2"/>
            <w:tcBorders>
              <w:top w:val="single" w:sz="4" w:space="0" w:color="auto"/>
              <w:left w:val="single" w:sz="4" w:space="0" w:color="auto"/>
              <w:bottom w:val="single" w:sz="4" w:space="0" w:color="auto"/>
              <w:right w:val="single" w:sz="4" w:space="0" w:color="auto"/>
            </w:tcBorders>
            <w:shd w:val="clear" w:color="auto" w:fill="auto"/>
          </w:tcPr>
          <w:p w14:paraId="445BAB6F"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-52.8</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14:paraId="0BCCA5BB"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1.9</w:t>
            </w: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44FEB9B2"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-41.7</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14:paraId="7B26B56E"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-8.7</w:t>
            </w: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170B4003"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-39.0</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14:paraId="25A38118"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-0.9</w:t>
            </w: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0C9C2C92"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-36.7</w:t>
            </w:r>
          </w:p>
        </w:tc>
      </w:tr>
      <w:tr w:rsidR="001C65EF" w:rsidRPr="00204FB3" w14:paraId="0A3EE8DC" w14:textId="77777777" w:rsidTr="00215881">
        <w:tc>
          <w:tcPr>
            <w:tcW w:w="1270" w:type="dxa"/>
            <w:tcBorders>
              <w:top w:val="single" w:sz="4" w:space="0" w:color="auto"/>
              <w:left w:val="single" w:sz="4" w:space="0" w:color="auto"/>
              <w:bottom w:val="single" w:sz="4" w:space="0" w:color="auto"/>
              <w:right w:val="single" w:sz="4" w:space="0" w:color="auto"/>
            </w:tcBorders>
            <w:shd w:val="clear" w:color="auto" w:fill="auto"/>
            <w:hideMark/>
          </w:tcPr>
          <w:p w14:paraId="1F896C37" w14:textId="77777777" w:rsidR="001C65EF" w:rsidRPr="00204FB3" w:rsidRDefault="001C65EF" w:rsidP="00215881">
            <w:pPr>
              <w:spacing w:before="0"/>
              <w:rPr>
                <w:rFonts w:ascii="Calibri" w:eastAsia="Calibri" w:hAnsi="Calibri"/>
                <w:color w:val="auto"/>
                <w:sz w:val="22"/>
                <w:szCs w:val="22"/>
              </w:rPr>
            </w:pPr>
            <w:r w:rsidRPr="00204FB3">
              <w:rPr>
                <w:rFonts w:ascii="Calibri" w:eastAsia="Calibri" w:hAnsi="Calibri"/>
                <w:color w:val="auto"/>
                <w:sz w:val="22"/>
                <w:szCs w:val="22"/>
              </w:rPr>
              <w:t>Total-C</w:t>
            </w: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760932B3"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-0.3</w:t>
            </w:r>
          </w:p>
        </w:tc>
        <w:tc>
          <w:tcPr>
            <w:tcW w:w="1270" w:type="dxa"/>
            <w:gridSpan w:val="2"/>
            <w:tcBorders>
              <w:top w:val="single" w:sz="4" w:space="0" w:color="auto"/>
              <w:left w:val="single" w:sz="4" w:space="0" w:color="auto"/>
              <w:bottom w:val="single" w:sz="4" w:space="0" w:color="auto"/>
              <w:right w:val="single" w:sz="4" w:space="0" w:color="auto"/>
            </w:tcBorders>
            <w:shd w:val="clear" w:color="auto" w:fill="auto"/>
          </w:tcPr>
          <w:p w14:paraId="59EAEA1F"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-37.8</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14:paraId="24249316"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5.5</w:t>
            </w: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2A2B7515"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-31.2</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14:paraId="6037620C"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-4.8</w:t>
            </w: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47B941C6"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-33.2</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14:paraId="291D137C"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-2.9</w:t>
            </w: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5B814B9F"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-27.9</w:t>
            </w:r>
          </w:p>
        </w:tc>
      </w:tr>
      <w:tr w:rsidR="001C65EF" w:rsidRPr="00204FB3" w14:paraId="347121B2" w14:textId="77777777" w:rsidTr="00215881">
        <w:trPr>
          <w:trHeight w:val="314"/>
        </w:trPr>
        <w:tc>
          <w:tcPr>
            <w:tcW w:w="1270" w:type="dxa"/>
            <w:tcBorders>
              <w:top w:val="single" w:sz="4" w:space="0" w:color="auto"/>
              <w:left w:val="single" w:sz="4" w:space="0" w:color="auto"/>
              <w:bottom w:val="single" w:sz="4" w:space="0" w:color="auto"/>
              <w:right w:val="single" w:sz="4" w:space="0" w:color="auto"/>
            </w:tcBorders>
            <w:shd w:val="clear" w:color="auto" w:fill="auto"/>
            <w:hideMark/>
          </w:tcPr>
          <w:p w14:paraId="2A77E816" w14:textId="77777777" w:rsidR="001C65EF" w:rsidRPr="00204FB3" w:rsidRDefault="001C65EF" w:rsidP="00215881">
            <w:pPr>
              <w:spacing w:before="0"/>
              <w:rPr>
                <w:rFonts w:ascii="Calibri" w:eastAsia="Calibri" w:hAnsi="Calibri"/>
                <w:color w:val="auto"/>
                <w:sz w:val="22"/>
                <w:szCs w:val="22"/>
              </w:rPr>
            </w:pPr>
            <w:r w:rsidRPr="00204FB3">
              <w:rPr>
                <w:rFonts w:ascii="Calibri" w:eastAsia="Calibri" w:hAnsi="Calibri"/>
                <w:color w:val="auto"/>
                <w:sz w:val="22"/>
                <w:szCs w:val="22"/>
              </w:rPr>
              <w:t>Lp(a)</w:t>
            </w: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550F5541"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-3.7</w:t>
            </w:r>
          </w:p>
        </w:tc>
        <w:tc>
          <w:tcPr>
            <w:tcW w:w="1270" w:type="dxa"/>
            <w:gridSpan w:val="2"/>
            <w:tcBorders>
              <w:top w:val="single" w:sz="4" w:space="0" w:color="auto"/>
              <w:left w:val="single" w:sz="4" w:space="0" w:color="auto"/>
              <w:bottom w:val="single" w:sz="4" w:space="0" w:color="auto"/>
              <w:right w:val="single" w:sz="4" w:space="0" w:color="auto"/>
            </w:tcBorders>
            <w:shd w:val="clear" w:color="auto" w:fill="auto"/>
          </w:tcPr>
          <w:p w14:paraId="48468078"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-29.3</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14:paraId="53BB5DF9"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-8.5</w:t>
            </w: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56110640"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-26.9</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14:paraId="6629BB8F"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-8.7</w:t>
            </w: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6A0D55E2"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-23.5</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14:paraId="1CA49F63"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-5.9</w:t>
            </w: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72835C19"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-20.5</w:t>
            </w:r>
          </w:p>
        </w:tc>
      </w:tr>
      <w:tr w:rsidR="001C65EF" w:rsidRPr="00204FB3" w14:paraId="4DCAFC63" w14:textId="77777777" w:rsidTr="00215881">
        <w:tc>
          <w:tcPr>
            <w:tcW w:w="1270" w:type="dxa"/>
            <w:tcBorders>
              <w:top w:val="single" w:sz="4" w:space="0" w:color="auto"/>
              <w:left w:val="single" w:sz="4" w:space="0" w:color="auto"/>
              <w:bottom w:val="single" w:sz="4" w:space="0" w:color="auto"/>
              <w:right w:val="single" w:sz="4" w:space="0" w:color="auto"/>
            </w:tcBorders>
            <w:shd w:val="clear" w:color="auto" w:fill="auto"/>
            <w:hideMark/>
          </w:tcPr>
          <w:p w14:paraId="732671D1" w14:textId="77777777" w:rsidR="001C65EF" w:rsidRPr="00204FB3" w:rsidRDefault="001C65EF" w:rsidP="00215881">
            <w:pPr>
              <w:spacing w:before="0"/>
              <w:rPr>
                <w:rFonts w:ascii="Calibri" w:eastAsia="Calibri" w:hAnsi="Calibri"/>
                <w:color w:val="auto"/>
                <w:sz w:val="22"/>
                <w:szCs w:val="22"/>
              </w:rPr>
            </w:pPr>
            <w:r w:rsidRPr="00204FB3">
              <w:rPr>
                <w:rFonts w:ascii="Calibri" w:eastAsia="Calibri" w:hAnsi="Calibri"/>
                <w:color w:val="auto"/>
                <w:sz w:val="22"/>
                <w:szCs w:val="22"/>
              </w:rPr>
              <w:t>TG</w:t>
            </w: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24E95C0F"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1.8</w:t>
            </w:r>
          </w:p>
        </w:tc>
        <w:tc>
          <w:tcPr>
            <w:tcW w:w="1270" w:type="dxa"/>
            <w:gridSpan w:val="2"/>
            <w:tcBorders>
              <w:top w:val="single" w:sz="4" w:space="0" w:color="auto"/>
              <w:left w:val="single" w:sz="4" w:space="0" w:color="auto"/>
              <w:bottom w:val="single" w:sz="4" w:space="0" w:color="auto"/>
              <w:right w:val="single" w:sz="4" w:space="0" w:color="auto"/>
            </w:tcBorders>
            <w:shd w:val="clear" w:color="auto" w:fill="auto"/>
          </w:tcPr>
          <w:p w14:paraId="277D6C1D"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-15.6</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14:paraId="11A96503"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4.3</w:t>
            </w: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2A94DAB7"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-9.8</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14:paraId="2B9761EB"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-1.9</w:t>
            </w: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69943A21"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-10.5</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14:paraId="7686E1F2"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-5.4</w:t>
            </w: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2F96F893"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-6.0</w:t>
            </w:r>
          </w:p>
        </w:tc>
      </w:tr>
      <w:tr w:rsidR="001C65EF" w:rsidRPr="00204FB3" w14:paraId="7E667DF6" w14:textId="77777777" w:rsidTr="00215881">
        <w:tc>
          <w:tcPr>
            <w:tcW w:w="1270" w:type="dxa"/>
            <w:tcBorders>
              <w:top w:val="single" w:sz="4" w:space="0" w:color="auto"/>
              <w:left w:val="single" w:sz="4" w:space="0" w:color="auto"/>
              <w:bottom w:val="single" w:sz="4" w:space="0" w:color="auto"/>
              <w:right w:val="single" w:sz="4" w:space="0" w:color="auto"/>
            </w:tcBorders>
            <w:shd w:val="clear" w:color="auto" w:fill="auto"/>
            <w:hideMark/>
          </w:tcPr>
          <w:p w14:paraId="7F414BC3" w14:textId="77777777" w:rsidR="001C65EF" w:rsidRPr="00204FB3" w:rsidRDefault="001C65EF" w:rsidP="00215881">
            <w:pPr>
              <w:spacing w:before="0"/>
              <w:rPr>
                <w:rFonts w:ascii="Calibri" w:eastAsia="Calibri" w:hAnsi="Calibri"/>
                <w:color w:val="auto"/>
                <w:sz w:val="22"/>
                <w:szCs w:val="22"/>
              </w:rPr>
            </w:pPr>
            <w:r w:rsidRPr="00204FB3">
              <w:rPr>
                <w:rFonts w:ascii="Calibri" w:eastAsia="Calibri" w:hAnsi="Calibri"/>
                <w:color w:val="auto"/>
                <w:sz w:val="22"/>
                <w:szCs w:val="22"/>
              </w:rPr>
              <w:t>HDL-C</w:t>
            </w: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070463F7"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-0.6</w:t>
            </w:r>
          </w:p>
        </w:tc>
        <w:tc>
          <w:tcPr>
            <w:tcW w:w="1270" w:type="dxa"/>
            <w:gridSpan w:val="2"/>
            <w:tcBorders>
              <w:top w:val="single" w:sz="4" w:space="0" w:color="auto"/>
              <w:left w:val="single" w:sz="4" w:space="0" w:color="auto"/>
              <w:bottom w:val="single" w:sz="4" w:space="0" w:color="auto"/>
              <w:right w:val="single" w:sz="4" w:space="0" w:color="auto"/>
            </w:tcBorders>
            <w:shd w:val="clear" w:color="auto" w:fill="auto"/>
          </w:tcPr>
          <w:p w14:paraId="4E7BB267"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4.0</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14:paraId="7A77F1AE"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0.2</w:t>
            </w: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667F9F5D"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7.8</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14:paraId="49119611"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3.9</w:t>
            </w: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42B6D780"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7.5</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14:paraId="7B7634B8"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-3.8</w:t>
            </w: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00D17447"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3.5</w:t>
            </w:r>
          </w:p>
        </w:tc>
      </w:tr>
      <w:tr w:rsidR="001C65EF" w:rsidRPr="00204FB3" w14:paraId="2AC11A3A" w14:textId="77777777" w:rsidTr="00215881">
        <w:tc>
          <w:tcPr>
            <w:tcW w:w="1270" w:type="dxa"/>
            <w:tcBorders>
              <w:top w:val="single" w:sz="4" w:space="0" w:color="auto"/>
              <w:left w:val="single" w:sz="4" w:space="0" w:color="auto"/>
              <w:bottom w:val="single" w:sz="4" w:space="0" w:color="auto"/>
              <w:right w:val="single" w:sz="4" w:space="0" w:color="auto"/>
            </w:tcBorders>
            <w:shd w:val="clear" w:color="auto" w:fill="auto"/>
            <w:hideMark/>
          </w:tcPr>
          <w:p w14:paraId="3CFB5316" w14:textId="77777777" w:rsidR="001C65EF" w:rsidRPr="00204FB3" w:rsidRDefault="001C65EF" w:rsidP="00215881">
            <w:pPr>
              <w:spacing w:before="0"/>
              <w:rPr>
                <w:rFonts w:ascii="Calibri" w:eastAsia="Calibri" w:hAnsi="Calibri"/>
                <w:color w:val="auto"/>
                <w:sz w:val="22"/>
                <w:szCs w:val="22"/>
              </w:rPr>
            </w:pPr>
            <w:r w:rsidRPr="00204FB3">
              <w:rPr>
                <w:rFonts w:ascii="Calibri" w:eastAsia="Calibri" w:hAnsi="Calibri"/>
                <w:color w:val="auto"/>
                <w:sz w:val="22"/>
                <w:szCs w:val="22"/>
              </w:rPr>
              <w:t>Apo A-1</w:t>
            </w: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10AF36A8"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1.2</w:t>
            </w:r>
          </w:p>
        </w:tc>
        <w:tc>
          <w:tcPr>
            <w:tcW w:w="1270" w:type="dxa"/>
            <w:gridSpan w:val="2"/>
            <w:tcBorders>
              <w:top w:val="single" w:sz="4" w:space="0" w:color="auto"/>
              <w:left w:val="single" w:sz="4" w:space="0" w:color="auto"/>
              <w:bottom w:val="single" w:sz="4" w:space="0" w:color="auto"/>
              <w:right w:val="single" w:sz="4" w:space="0" w:color="auto"/>
            </w:tcBorders>
            <w:shd w:val="clear" w:color="auto" w:fill="auto"/>
          </w:tcPr>
          <w:p w14:paraId="2CD07F55"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4.0</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14:paraId="55B1B17A"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-0.4</w:t>
            </w: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1CF267BE"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4.2</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14:paraId="1A82B65F"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2.0</w:t>
            </w: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239B25E4"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5.6</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14:paraId="12096B55"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-2.5</w:t>
            </w: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0E6744A5"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3.3</w:t>
            </w:r>
          </w:p>
        </w:tc>
      </w:tr>
      <w:tr w:rsidR="001C65EF" w:rsidRPr="00204FB3" w14:paraId="28911362" w14:textId="77777777" w:rsidTr="00215881">
        <w:tc>
          <w:tcPr>
            <w:tcW w:w="10098" w:type="dxa"/>
            <w:gridSpan w:val="13"/>
            <w:tcBorders>
              <w:top w:val="single" w:sz="4" w:space="0" w:color="auto"/>
              <w:left w:val="single" w:sz="4" w:space="0" w:color="auto"/>
              <w:bottom w:val="single" w:sz="4" w:space="0" w:color="auto"/>
              <w:right w:val="single" w:sz="4" w:space="0" w:color="auto"/>
            </w:tcBorders>
            <w:shd w:val="clear" w:color="auto" w:fill="auto"/>
          </w:tcPr>
          <w:p w14:paraId="4D17E3F5" w14:textId="77777777" w:rsidR="001C65EF" w:rsidRPr="00204FB3" w:rsidRDefault="001C65EF" w:rsidP="00215881">
            <w:pPr>
              <w:spacing w:before="0"/>
              <w:jc w:val="center"/>
              <w:rPr>
                <w:rFonts w:ascii="Calibri" w:eastAsia="Calibri" w:hAnsi="Calibri"/>
                <w:b/>
                <w:color w:val="auto"/>
                <w:sz w:val="22"/>
                <w:szCs w:val="22"/>
              </w:rPr>
            </w:pPr>
            <w:r w:rsidRPr="00204FB3">
              <w:rPr>
                <w:rFonts w:ascii="Calibri" w:eastAsia="Calibri" w:hAnsi="Calibri"/>
                <w:b/>
                <w:color w:val="auto"/>
                <w:sz w:val="22"/>
                <w:szCs w:val="22"/>
              </w:rPr>
              <w:t>Mean Percent Change from Baseline</w:t>
            </w:r>
            <w:r w:rsidRPr="00204FB3">
              <w:rPr>
                <w:rFonts w:ascii="Calibri" w:eastAsia="Calibri" w:hAnsi="Calibri"/>
                <w:b/>
                <w:bCs/>
                <w:color w:val="auto"/>
                <w:kern w:val="24"/>
                <w:sz w:val="22"/>
                <w:szCs w:val="22"/>
              </w:rPr>
              <w:t xml:space="preserve"> in </w:t>
            </w:r>
            <w:r w:rsidRPr="00204FB3">
              <w:rPr>
                <w:rFonts w:ascii="Calibri" w:eastAsia="Calibri" w:hAnsi="Calibri"/>
                <w:b/>
                <w:bCs/>
                <w:color w:val="auto"/>
                <w:sz w:val="22"/>
                <w:szCs w:val="22"/>
                <w:lang w:val="en-GB"/>
              </w:rPr>
              <w:t>Ezetimibe-Controlled Studies</w:t>
            </w:r>
          </w:p>
        </w:tc>
      </w:tr>
      <w:tr w:rsidR="001C65EF" w:rsidRPr="00204FB3" w14:paraId="3CA52CDE" w14:textId="77777777" w:rsidTr="00215881">
        <w:tc>
          <w:tcPr>
            <w:tcW w:w="2718" w:type="dxa"/>
            <w:gridSpan w:val="3"/>
            <w:tcBorders>
              <w:top w:val="single" w:sz="4" w:space="0" w:color="auto"/>
              <w:left w:val="single" w:sz="4" w:space="0" w:color="auto"/>
              <w:bottom w:val="single" w:sz="4" w:space="0" w:color="auto"/>
              <w:right w:val="single" w:sz="4" w:space="0" w:color="auto"/>
            </w:tcBorders>
            <w:shd w:val="clear" w:color="auto" w:fill="auto"/>
          </w:tcPr>
          <w:p w14:paraId="60A16739" w14:textId="77777777" w:rsidR="001C65EF" w:rsidRPr="00204FB3" w:rsidRDefault="001C65EF" w:rsidP="00215881">
            <w:pPr>
              <w:spacing w:before="0"/>
              <w:jc w:val="center"/>
              <w:rPr>
                <w:rFonts w:ascii="Calibri" w:eastAsia="Calibri" w:hAnsi="Calibri"/>
                <w:b/>
                <w:color w:val="auto"/>
                <w:sz w:val="22"/>
                <w:szCs w:val="22"/>
              </w:rPr>
            </w:pPr>
          </w:p>
        </w:tc>
        <w:tc>
          <w:tcPr>
            <w:tcW w:w="3600" w:type="dxa"/>
            <w:gridSpan w:val="5"/>
            <w:tcBorders>
              <w:top w:val="single" w:sz="4" w:space="0" w:color="auto"/>
              <w:left w:val="single" w:sz="4" w:space="0" w:color="auto"/>
              <w:bottom w:val="single" w:sz="4" w:space="0" w:color="auto"/>
              <w:right w:val="single" w:sz="4" w:space="0" w:color="auto"/>
            </w:tcBorders>
            <w:shd w:val="clear" w:color="auto" w:fill="auto"/>
          </w:tcPr>
          <w:p w14:paraId="2B01E0A2" w14:textId="77777777" w:rsidR="001C65EF" w:rsidRPr="00204FB3" w:rsidRDefault="001C65EF" w:rsidP="00215881">
            <w:pPr>
              <w:spacing w:before="0"/>
              <w:jc w:val="center"/>
              <w:rPr>
                <w:rFonts w:ascii="Calibri" w:eastAsia="Calibri" w:hAnsi="Calibri"/>
                <w:b/>
                <w:color w:val="auto"/>
                <w:sz w:val="22"/>
                <w:szCs w:val="22"/>
              </w:rPr>
            </w:pPr>
            <w:r w:rsidRPr="00204FB3">
              <w:rPr>
                <w:rFonts w:ascii="Calibri" w:eastAsia="Calibri" w:hAnsi="Calibri"/>
                <w:b/>
                <w:color w:val="auto"/>
                <w:sz w:val="22"/>
                <w:szCs w:val="22"/>
              </w:rPr>
              <w:t>On Background Statin</w:t>
            </w:r>
          </w:p>
        </w:tc>
        <w:tc>
          <w:tcPr>
            <w:tcW w:w="3780" w:type="dxa"/>
            <w:gridSpan w:val="5"/>
            <w:tcBorders>
              <w:top w:val="single" w:sz="4" w:space="0" w:color="auto"/>
              <w:left w:val="single" w:sz="4" w:space="0" w:color="auto"/>
              <w:bottom w:val="single" w:sz="4" w:space="0" w:color="auto"/>
              <w:right w:val="single" w:sz="4" w:space="0" w:color="auto"/>
            </w:tcBorders>
            <w:shd w:val="clear" w:color="auto" w:fill="auto"/>
          </w:tcPr>
          <w:p w14:paraId="0213620D" w14:textId="77777777" w:rsidR="001C65EF" w:rsidRPr="00204FB3" w:rsidRDefault="001C65EF" w:rsidP="00215881">
            <w:pPr>
              <w:spacing w:before="0"/>
              <w:jc w:val="center"/>
              <w:rPr>
                <w:rFonts w:ascii="Calibri" w:eastAsia="Calibri" w:hAnsi="Calibri"/>
                <w:b/>
                <w:color w:val="auto"/>
                <w:sz w:val="22"/>
                <w:szCs w:val="22"/>
              </w:rPr>
            </w:pPr>
            <w:r w:rsidRPr="00204FB3">
              <w:rPr>
                <w:rFonts w:ascii="Calibri" w:eastAsia="Calibri" w:hAnsi="Calibri"/>
                <w:b/>
                <w:color w:val="auto"/>
                <w:sz w:val="22"/>
                <w:szCs w:val="22"/>
              </w:rPr>
              <w:t>Without Background Statin</w:t>
            </w:r>
          </w:p>
        </w:tc>
      </w:tr>
      <w:tr w:rsidR="001C65EF" w:rsidRPr="00204FB3" w14:paraId="184A2C92" w14:textId="77777777" w:rsidTr="00215881">
        <w:tc>
          <w:tcPr>
            <w:tcW w:w="2718" w:type="dxa"/>
            <w:gridSpan w:val="3"/>
            <w:tcBorders>
              <w:top w:val="single" w:sz="4" w:space="0" w:color="auto"/>
              <w:left w:val="single" w:sz="4" w:space="0" w:color="auto"/>
              <w:bottom w:val="single" w:sz="4" w:space="0" w:color="auto"/>
              <w:right w:val="single" w:sz="4" w:space="0" w:color="auto"/>
            </w:tcBorders>
            <w:shd w:val="clear" w:color="auto" w:fill="auto"/>
          </w:tcPr>
          <w:p w14:paraId="27B71792" w14:textId="77777777" w:rsidR="001C65EF" w:rsidRPr="00204FB3" w:rsidRDefault="001C65EF" w:rsidP="00215881">
            <w:pPr>
              <w:spacing w:before="0"/>
              <w:rPr>
                <w:rFonts w:ascii="Calibri" w:eastAsia="Calibri" w:hAnsi="Calibri"/>
                <w:b/>
                <w:color w:val="auto"/>
                <w:sz w:val="22"/>
                <w:szCs w:val="22"/>
              </w:rPr>
            </w:pPr>
          </w:p>
        </w:tc>
        <w:tc>
          <w:tcPr>
            <w:tcW w:w="3600" w:type="dxa"/>
            <w:gridSpan w:val="5"/>
            <w:tcBorders>
              <w:top w:val="single" w:sz="4" w:space="0" w:color="auto"/>
              <w:left w:val="single" w:sz="4" w:space="0" w:color="auto"/>
              <w:bottom w:val="single" w:sz="4" w:space="0" w:color="auto"/>
              <w:right w:val="single" w:sz="4" w:space="0" w:color="auto"/>
            </w:tcBorders>
            <w:shd w:val="clear" w:color="auto" w:fill="auto"/>
            <w:hideMark/>
          </w:tcPr>
          <w:p w14:paraId="360FFB21" w14:textId="77777777" w:rsidR="001C65EF" w:rsidRPr="00204FB3" w:rsidRDefault="001C65EF" w:rsidP="00215881">
            <w:pPr>
              <w:spacing w:before="0"/>
              <w:jc w:val="center"/>
              <w:rPr>
                <w:rFonts w:ascii="Calibri" w:eastAsia="Calibri" w:hAnsi="Calibri"/>
                <w:b/>
                <w:color w:val="auto"/>
                <w:sz w:val="22"/>
                <w:szCs w:val="22"/>
              </w:rPr>
            </w:pPr>
            <w:r w:rsidRPr="00204FB3">
              <w:rPr>
                <w:rFonts w:ascii="Calibri" w:eastAsia="Calibri" w:hAnsi="Calibri"/>
                <w:b/>
                <w:color w:val="auto"/>
                <w:sz w:val="22"/>
                <w:szCs w:val="22"/>
              </w:rPr>
              <w:t>COMBO II (N=707)</w:t>
            </w:r>
          </w:p>
        </w:tc>
        <w:tc>
          <w:tcPr>
            <w:tcW w:w="3780" w:type="dxa"/>
            <w:gridSpan w:val="5"/>
            <w:tcBorders>
              <w:top w:val="single" w:sz="4" w:space="0" w:color="auto"/>
              <w:left w:val="single" w:sz="4" w:space="0" w:color="auto"/>
              <w:bottom w:val="single" w:sz="4" w:space="0" w:color="auto"/>
              <w:right w:val="single" w:sz="4" w:space="0" w:color="auto"/>
            </w:tcBorders>
            <w:shd w:val="clear" w:color="auto" w:fill="auto"/>
          </w:tcPr>
          <w:p w14:paraId="1E21F895" w14:textId="77777777" w:rsidR="001C65EF" w:rsidRPr="00204FB3" w:rsidRDefault="001C65EF" w:rsidP="00215881">
            <w:pPr>
              <w:spacing w:before="0"/>
              <w:jc w:val="center"/>
              <w:rPr>
                <w:rFonts w:ascii="Calibri" w:eastAsia="Calibri" w:hAnsi="Calibri"/>
                <w:b/>
                <w:color w:val="auto"/>
                <w:sz w:val="22"/>
                <w:szCs w:val="22"/>
              </w:rPr>
            </w:pPr>
            <w:r w:rsidRPr="00204FB3">
              <w:rPr>
                <w:rFonts w:ascii="Calibri" w:eastAsia="Calibri" w:hAnsi="Calibri"/>
                <w:b/>
                <w:color w:val="auto"/>
                <w:sz w:val="22"/>
                <w:szCs w:val="22"/>
              </w:rPr>
              <w:t>ALTERNATIVE (N=248)</w:t>
            </w:r>
          </w:p>
        </w:tc>
      </w:tr>
      <w:tr w:rsidR="001C65EF" w:rsidRPr="00204FB3" w14:paraId="67E38982" w14:textId="77777777" w:rsidTr="00215881">
        <w:tc>
          <w:tcPr>
            <w:tcW w:w="2718" w:type="dxa"/>
            <w:gridSpan w:val="3"/>
            <w:tcBorders>
              <w:top w:val="single" w:sz="4" w:space="0" w:color="auto"/>
              <w:left w:val="single" w:sz="4" w:space="0" w:color="auto"/>
              <w:bottom w:val="single" w:sz="4" w:space="0" w:color="auto"/>
              <w:right w:val="single" w:sz="4" w:space="0" w:color="auto"/>
            </w:tcBorders>
            <w:shd w:val="clear" w:color="auto" w:fill="auto"/>
          </w:tcPr>
          <w:p w14:paraId="709C989B" w14:textId="77777777" w:rsidR="001C65EF" w:rsidRPr="00204FB3" w:rsidRDefault="001C65EF" w:rsidP="00215881">
            <w:pPr>
              <w:spacing w:before="0"/>
              <w:rPr>
                <w:rFonts w:ascii="Calibri" w:eastAsia="Calibri" w:hAnsi="Calibri"/>
                <w:b/>
                <w:color w:val="auto"/>
                <w:sz w:val="22"/>
                <w:szCs w:val="22"/>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2975BA8" w14:textId="77777777" w:rsidR="001C65EF" w:rsidRPr="00204FB3" w:rsidRDefault="001C65EF" w:rsidP="00215881">
            <w:pPr>
              <w:spacing w:before="0"/>
              <w:jc w:val="center"/>
              <w:rPr>
                <w:rFonts w:ascii="Calibri" w:eastAsia="Calibri" w:hAnsi="Calibri"/>
                <w:b/>
                <w:color w:val="auto"/>
                <w:sz w:val="22"/>
                <w:szCs w:val="22"/>
              </w:rPr>
            </w:pPr>
            <w:r w:rsidRPr="00204FB3">
              <w:rPr>
                <w:rFonts w:ascii="Calibri" w:eastAsia="Calibri" w:hAnsi="Calibri"/>
                <w:b/>
                <w:color w:val="auto"/>
                <w:sz w:val="22"/>
                <w:szCs w:val="22"/>
              </w:rPr>
              <w:t>Ezetimibe</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hideMark/>
          </w:tcPr>
          <w:p w14:paraId="43A424DB" w14:textId="77777777" w:rsidR="001C65EF" w:rsidRPr="00204FB3" w:rsidRDefault="001C65EF" w:rsidP="00215881">
            <w:pPr>
              <w:spacing w:before="0"/>
              <w:jc w:val="center"/>
              <w:rPr>
                <w:rFonts w:ascii="Calibri" w:eastAsia="Calibri" w:hAnsi="Calibri"/>
                <w:b/>
                <w:color w:val="auto"/>
                <w:sz w:val="22"/>
                <w:szCs w:val="22"/>
              </w:rPr>
            </w:pPr>
            <w:r w:rsidRPr="00204FB3">
              <w:rPr>
                <w:rFonts w:ascii="Calibri" w:eastAsia="Calibri" w:hAnsi="Calibri"/>
                <w:b/>
                <w:color w:val="auto"/>
                <w:sz w:val="22"/>
                <w:szCs w:val="22"/>
              </w:rPr>
              <w:t>Alirocumab</w:t>
            </w:r>
          </w:p>
        </w:tc>
        <w:tc>
          <w:tcPr>
            <w:tcW w:w="1860" w:type="dxa"/>
            <w:gridSpan w:val="3"/>
            <w:tcBorders>
              <w:top w:val="single" w:sz="4" w:space="0" w:color="auto"/>
              <w:left w:val="single" w:sz="4" w:space="0" w:color="auto"/>
              <w:bottom w:val="single" w:sz="4" w:space="0" w:color="auto"/>
              <w:right w:val="single" w:sz="4" w:space="0" w:color="auto"/>
            </w:tcBorders>
            <w:shd w:val="clear" w:color="auto" w:fill="auto"/>
          </w:tcPr>
          <w:p w14:paraId="0B26C3D2" w14:textId="77777777" w:rsidR="001C65EF" w:rsidRPr="00204FB3" w:rsidRDefault="001C65EF" w:rsidP="00215881">
            <w:pPr>
              <w:spacing w:before="0"/>
              <w:jc w:val="center"/>
              <w:rPr>
                <w:rFonts w:ascii="Calibri" w:eastAsia="Calibri" w:hAnsi="Calibri"/>
                <w:b/>
                <w:color w:val="auto"/>
                <w:sz w:val="22"/>
                <w:szCs w:val="22"/>
              </w:rPr>
            </w:pPr>
            <w:r w:rsidRPr="00204FB3">
              <w:rPr>
                <w:rFonts w:ascii="Calibri" w:eastAsia="Calibri" w:hAnsi="Calibri"/>
                <w:b/>
                <w:color w:val="auto"/>
                <w:sz w:val="22"/>
                <w:szCs w:val="22"/>
              </w:rPr>
              <w:t>Ezetimibe</w:t>
            </w:r>
          </w:p>
        </w:tc>
        <w:tc>
          <w:tcPr>
            <w:tcW w:w="1920" w:type="dxa"/>
            <w:gridSpan w:val="2"/>
            <w:tcBorders>
              <w:top w:val="single" w:sz="4" w:space="0" w:color="auto"/>
              <w:left w:val="single" w:sz="4" w:space="0" w:color="auto"/>
              <w:bottom w:val="single" w:sz="4" w:space="0" w:color="auto"/>
              <w:right w:val="single" w:sz="4" w:space="0" w:color="auto"/>
            </w:tcBorders>
            <w:shd w:val="clear" w:color="auto" w:fill="auto"/>
          </w:tcPr>
          <w:p w14:paraId="69331618" w14:textId="77777777" w:rsidR="001C65EF" w:rsidRPr="00204FB3" w:rsidRDefault="001C65EF" w:rsidP="00215881">
            <w:pPr>
              <w:spacing w:before="0"/>
              <w:jc w:val="center"/>
              <w:rPr>
                <w:rFonts w:ascii="Calibri" w:eastAsia="Calibri" w:hAnsi="Calibri"/>
                <w:b/>
                <w:color w:val="auto"/>
                <w:sz w:val="22"/>
                <w:szCs w:val="22"/>
              </w:rPr>
            </w:pPr>
            <w:r w:rsidRPr="00204FB3">
              <w:rPr>
                <w:rFonts w:ascii="Calibri" w:eastAsia="Calibri" w:hAnsi="Calibri"/>
                <w:b/>
                <w:color w:val="auto"/>
                <w:sz w:val="22"/>
                <w:szCs w:val="22"/>
              </w:rPr>
              <w:t>Alirocumab</w:t>
            </w:r>
          </w:p>
        </w:tc>
      </w:tr>
      <w:tr w:rsidR="001C65EF" w:rsidRPr="00204FB3" w14:paraId="24C629A6" w14:textId="77777777" w:rsidTr="00215881">
        <w:tc>
          <w:tcPr>
            <w:tcW w:w="2718" w:type="dxa"/>
            <w:gridSpan w:val="3"/>
            <w:tcBorders>
              <w:top w:val="single" w:sz="4" w:space="0" w:color="auto"/>
              <w:left w:val="single" w:sz="4" w:space="0" w:color="auto"/>
              <w:bottom w:val="single" w:sz="4" w:space="0" w:color="auto"/>
              <w:right w:val="single" w:sz="4" w:space="0" w:color="auto"/>
            </w:tcBorders>
            <w:shd w:val="clear" w:color="auto" w:fill="auto"/>
          </w:tcPr>
          <w:p w14:paraId="1F1F248F" w14:textId="77777777" w:rsidR="001C65EF" w:rsidRPr="00204FB3" w:rsidRDefault="001C65EF" w:rsidP="00215881">
            <w:pPr>
              <w:spacing w:before="0"/>
              <w:rPr>
                <w:rFonts w:ascii="Calibri" w:eastAsia="Calibri" w:hAnsi="Calibri"/>
                <w:color w:val="auto"/>
                <w:sz w:val="22"/>
                <w:szCs w:val="22"/>
              </w:rPr>
            </w:pPr>
            <w:r w:rsidRPr="00204FB3">
              <w:rPr>
                <w:rFonts w:ascii="Calibri" w:eastAsia="Calibri" w:hAnsi="Calibri"/>
                <w:color w:val="auto"/>
                <w:sz w:val="22"/>
                <w:szCs w:val="22"/>
              </w:rPr>
              <w:t>Number of patients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08CA3DBF"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240</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14:paraId="51AF79EA"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467</w:t>
            </w:r>
          </w:p>
        </w:tc>
        <w:tc>
          <w:tcPr>
            <w:tcW w:w="1860" w:type="dxa"/>
            <w:gridSpan w:val="3"/>
            <w:tcBorders>
              <w:top w:val="single" w:sz="4" w:space="0" w:color="auto"/>
              <w:left w:val="single" w:sz="4" w:space="0" w:color="auto"/>
              <w:bottom w:val="single" w:sz="4" w:space="0" w:color="auto"/>
              <w:right w:val="single" w:sz="4" w:space="0" w:color="auto"/>
            </w:tcBorders>
            <w:shd w:val="clear" w:color="auto" w:fill="auto"/>
          </w:tcPr>
          <w:p w14:paraId="53E4E252"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122</w:t>
            </w:r>
          </w:p>
        </w:tc>
        <w:tc>
          <w:tcPr>
            <w:tcW w:w="1920" w:type="dxa"/>
            <w:gridSpan w:val="2"/>
            <w:tcBorders>
              <w:top w:val="single" w:sz="4" w:space="0" w:color="auto"/>
              <w:left w:val="single" w:sz="4" w:space="0" w:color="auto"/>
              <w:bottom w:val="single" w:sz="4" w:space="0" w:color="auto"/>
              <w:right w:val="single" w:sz="4" w:space="0" w:color="auto"/>
            </w:tcBorders>
            <w:shd w:val="clear" w:color="auto" w:fill="auto"/>
          </w:tcPr>
          <w:p w14:paraId="0ECB353D"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126</w:t>
            </w:r>
          </w:p>
        </w:tc>
      </w:tr>
      <w:tr w:rsidR="001C65EF" w:rsidRPr="00204FB3" w14:paraId="6AC0FAB5" w14:textId="77777777" w:rsidTr="00215881">
        <w:tc>
          <w:tcPr>
            <w:tcW w:w="2718" w:type="dxa"/>
            <w:gridSpan w:val="3"/>
            <w:tcBorders>
              <w:top w:val="single" w:sz="4" w:space="0" w:color="auto"/>
              <w:left w:val="single" w:sz="4" w:space="0" w:color="auto"/>
              <w:bottom w:val="single" w:sz="4" w:space="0" w:color="auto"/>
              <w:right w:val="single" w:sz="4" w:space="0" w:color="auto"/>
            </w:tcBorders>
            <w:shd w:val="clear" w:color="auto" w:fill="auto"/>
            <w:hideMark/>
          </w:tcPr>
          <w:p w14:paraId="61387987" w14:textId="77777777" w:rsidR="001C65EF" w:rsidRPr="00204FB3" w:rsidRDefault="001C65EF" w:rsidP="00215881">
            <w:pPr>
              <w:spacing w:before="0"/>
              <w:rPr>
                <w:rFonts w:ascii="Calibri" w:eastAsia="Calibri" w:hAnsi="Calibri"/>
                <w:color w:val="auto"/>
                <w:sz w:val="22"/>
                <w:szCs w:val="22"/>
              </w:rPr>
            </w:pPr>
            <w:r w:rsidRPr="00204FB3">
              <w:rPr>
                <w:rFonts w:ascii="Calibri" w:eastAsia="Calibri" w:hAnsi="Calibri"/>
                <w:color w:val="auto"/>
                <w:sz w:val="22"/>
                <w:szCs w:val="22"/>
              </w:rPr>
              <w:t xml:space="preserve">Mean Baseline LDL-C in mg/dL </w:t>
            </w:r>
          </w:p>
          <w:p w14:paraId="4E9B2109" w14:textId="77777777" w:rsidR="001C65EF" w:rsidRPr="00204FB3" w:rsidRDefault="001C65EF" w:rsidP="00215881">
            <w:pPr>
              <w:spacing w:before="0"/>
              <w:rPr>
                <w:rFonts w:ascii="Calibri" w:eastAsia="Calibri" w:hAnsi="Calibri"/>
                <w:color w:val="auto"/>
                <w:sz w:val="22"/>
                <w:szCs w:val="22"/>
              </w:rPr>
            </w:pPr>
            <w:r w:rsidRPr="00204FB3">
              <w:rPr>
                <w:rFonts w:ascii="Calibri" w:eastAsia="Calibri" w:hAnsi="Calibri"/>
                <w:color w:val="auto"/>
                <w:sz w:val="22"/>
                <w:szCs w:val="22"/>
              </w:rPr>
              <w:t>(mmol/L)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304F2CD0"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 xml:space="preserve">104.5 </w:t>
            </w:r>
          </w:p>
          <w:p w14:paraId="6876F988"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(2.71)</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14:paraId="374FCBAB"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 xml:space="preserve">108.3 </w:t>
            </w:r>
          </w:p>
          <w:p w14:paraId="0B45433B"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(2.81)</w:t>
            </w:r>
          </w:p>
        </w:tc>
        <w:tc>
          <w:tcPr>
            <w:tcW w:w="1860" w:type="dxa"/>
            <w:gridSpan w:val="3"/>
            <w:tcBorders>
              <w:top w:val="single" w:sz="4" w:space="0" w:color="auto"/>
              <w:left w:val="single" w:sz="4" w:space="0" w:color="auto"/>
              <w:bottom w:val="single" w:sz="4" w:space="0" w:color="auto"/>
              <w:right w:val="single" w:sz="4" w:space="0" w:color="auto"/>
            </w:tcBorders>
            <w:shd w:val="clear" w:color="auto" w:fill="auto"/>
          </w:tcPr>
          <w:p w14:paraId="7B30D551"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194.2</w:t>
            </w:r>
          </w:p>
          <w:p w14:paraId="1B748F0C"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(5.03)</w:t>
            </w:r>
          </w:p>
        </w:tc>
        <w:tc>
          <w:tcPr>
            <w:tcW w:w="1920" w:type="dxa"/>
            <w:gridSpan w:val="2"/>
            <w:tcBorders>
              <w:top w:val="single" w:sz="4" w:space="0" w:color="auto"/>
              <w:left w:val="single" w:sz="4" w:space="0" w:color="auto"/>
              <w:bottom w:val="single" w:sz="4" w:space="0" w:color="auto"/>
              <w:right w:val="single" w:sz="4" w:space="0" w:color="auto"/>
            </w:tcBorders>
            <w:shd w:val="clear" w:color="auto" w:fill="auto"/>
          </w:tcPr>
          <w:p w14:paraId="61A07455"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191.1</w:t>
            </w:r>
          </w:p>
          <w:p w14:paraId="639BCAD3"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(5.0)</w:t>
            </w:r>
          </w:p>
        </w:tc>
      </w:tr>
      <w:tr w:rsidR="001C65EF" w:rsidRPr="00204FB3" w14:paraId="3CD6FCCA" w14:textId="77777777" w:rsidTr="00215881">
        <w:tc>
          <w:tcPr>
            <w:tcW w:w="10098" w:type="dxa"/>
            <w:gridSpan w:val="13"/>
            <w:tcBorders>
              <w:top w:val="single" w:sz="4" w:space="0" w:color="auto"/>
              <w:left w:val="single" w:sz="4" w:space="0" w:color="auto"/>
              <w:bottom w:val="single" w:sz="4" w:space="0" w:color="auto"/>
              <w:right w:val="single" w:sz="4" w:space="0" w:color="auto"/>
            </w:tcBorders>
            <w:shd w:val="clear" w:color="auto" w:fill="auto"/>
          </w:tcPr>
          <w:p w14:paraId="085EEDD7" w14:textId="77777777" w:rsidR="001C65EF" w:rsidRPr="00204FB3" w:rsidRDefault="001C65EF" w:rsidP="00215881">
            <w:pPr>
              <w:spacing w:before="0"/>
              <w:rPr>
                <w:rFonts w:ascii="Calibri" w:eastAsia="Calibri" w:hAnsi="Calibri"/>
                <w:b/>
                <w:color w:val="auto"/>
                <w:sz w:val="22"/>
                <w:szCs w:val="22"/>
              </w:rPr>
            </w:pPr>
            <w:r w:rsidRPr="00204FB3">
              <w:rPr>
                <w:rFonts w:ascii="Calibri" w:eastAsia="Calibri" w:hAnsi="Calibri"/>
                <w:b/>
                <w:color w:val="auto"/>
                <w:sz w:val="22"/>
                <w:szCs w:val="22"/>
              </w:rPr>
              <w:t>Week 12</w:t>
            </w:r>
          </w:p>
        </w:tc>
      </w:tr>
      <w:tr w:rsidR="001C65EF" w:rsidRPr="00204FB3" w14:paraId="6D895AAD" w14:textId="77777777" w:rsidTr="00215881">
        <w:tc>
          <w:tcPr>
            <w:tcW w:w="2718" w:type="dxa"/>
            <w:gridSpan w:val="3"/>
            <w:tcBorders>
              <w:top w:val="single" w:sz="4" w:space="0" w:color="auto"/>
              <w:left w:val="single" w:sz="4" w:space="0" w:color="auto"/>
              <w:bottom w:val="single" w:sz="4" w:space="0" w:color="auto"/>
              <w:right w:val="single" w:sz="4" w:space="0" w:color="auto"/>
            </w:tcBorders>
            <w:shd w:val="clear" w:color="auto" w:fill="auto"/>
            <w:hideMark/>
          </w:tcPr>
          <w:p w14:paraId="1EACA741" w14:textId="77777777" w:rsidR="001C65EF" w:rsidRPr="00204FB3" w:rsidRDefault="001C65EF" w:rsidP="00215881">
            <w:pPr>
              <w:spacing w:before="0"/>
              <w:rPr>
                <w:rFonts w:ascii="Calibri" w:eastAsia="Calibri" w:hAnsi="Calibri"/>
                <w:color w:val="auto"/>
                <w:sz w:val="22"/>
                <w:szCs w:val="22"/>
              </w:rPr>
            </w:pPr>
            <w:r w:rsidRPr="00204FB3">
              <w:rPr>
                <w:rFonts w:ascii="Calibri" w:eastAsia="Calibri" w:hAnsi="Calibri"/>
                <w:color w:val="auto"/>
                <w:sz w:val="22"/>
                <w:szCs w:val="22"/>
              </w:rPr>
              <w:t>LDL-C (ITT )</w:t>
            </w:r>
            <w:r w:rsidRPr="00204FB3">
              <w:rPr>
                <w:rFonts w:ascii="Calibri" w:eastAsia="Calibri" w:hAnsi="Calibri"/>
                <w:color w:val="auto"/>
                <w:sz w:val="22"/>
                <w:szCs w:val="22"/>
                <w:vertAlign w:val="superscript"/>
              </w:rPr>
              <w:t>a</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6099223B"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-21.8</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14:paraId="6DC3256C"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-51.2</w:t>
            </w:r>
          </w:p>
        </w:tc>
        <w:tc>
          <w:tcPr>
            <w:tcW w:w="1860" w:type="dxa"/>
            <w:gridSpan w:val="3"/>
            <w:tcBorders>
              <w:top w:val="single" w:sz="4" w:space="0" w:color="auto"/>
              <w:left w:val="single" w:sz="4" w:space="0" w:color="auto"/>
              <w:bottom w:val="single" w:sz="4" w:space="0" w:color="auto"/>
              <w:right w:val="single" w:sz="4" w:space="0" w:color="auto"/>
            </w:tcBorders>
            <w:shd w:val="clear" w:color="auto" w:fill="auto"/>
          </w:tcPr>
          <w:p w14:paraId="727F80F7"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-15.6</w:t>
            </w:r>
          </w:p>
        </w:tc>
        <w:tc>
          <w:tcPr>
            <w:tcW w:w="1920" w:type="dxa"/>
            <w:gridSpan w:val="2"/>
            <w:tcBorders>
              <w:top w:val="single" w:sz="4" w:space="0" w:color="auto"/>
              <w:left w:val="single" w:sz="4" w:space="0" w:color="auto"/>
              <w:bottom w:val="single" w:sz="4" w:space="0" w:color="auto"/>
              <w:right w:val="single" w:sz="4" w:space="0" w:color="auto"/>
            </w:tcBorders>
            <w:shd w:val="clear" w:color="auto" w:fill="auto"/>
          </w:tcPr>
          <w:p w14:paraId="208370C1"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-47.0</w:t>
            </w:r>
          </w:p>
        </w:tc>
      </w:tr>
      <w:tr w:rsidR="001C65EF" w:rsidRPr="00204FB3" w14:paraId="519A4397" w14:textId="77777777" w:rsidTr="00215881">
        <w:tc>
          <w:tcPr>
            <w:tcW w:w="2718" w:type="dxa"/>
            <w:gridSpan w:val="3"/>
            <w:tcBorders>
              <w:top w:val="single" w:sz="4" w:space="0" w:color="auto"/>
              <w:left w:val="single" w:sz="4" w:space="0" w:color="auto"/>
              <w:bottom w:val="single" w:sz="4" w:space="0" w:color="auto"/>
              <w:right w:val="single" w:sz="4" w:space="0" w:color="auto"/>
            </w:tcBorders>
            <w:shd w:val="clear" w:color="auto" w:fill="auto"/>
            <w:hideMark/>
          </w:tcPr>
          <w:p w14:paraId="49689263" w14:textId="77777777" w:rsidR="001C65EF" w:rsidRPr="00204FB3" w:rsidRDefault="001C65EF" w:rsidP="00215881">
            <w:pPr>
              <w:spacing w:before="0"/>
              <w:rPr>
                <w:rFonts w:ascii="Calibri" w:eastAsia="Calibri" w:hAnsi="Calibri"/>
                <w:color w:val="auto"/>
                <w:sz w:val="22"/>
                <w:szCs w:val="22"/>
              </w:rPr>
            </w:pPr>
            <w:r w:rsidRPr="00204FB3">
              <w:rPr>
                <w:rFonts w:ascii="Calibri" w:eastAsia="Calibri" w:hAnsi="Calibri"/>
                <w:color w:val="auto"/>
                <w:sz w:val="22"/>
                <w:szCs w:val="22"/>
              </w:rPr>
              <w:t>LDL-C (on treatment)</w:t>
            </w:r>
            <w:r w:rsidRPr="00204FB3">
              <w:rPr>
                <w:rFonts w:ascii="Calibri" w:eastAsia="Calibri" w:hAnsi="Calibri"/>
                <w:color w:val="auto"/>
                <w:sz w:val="22"/>
                <w:szCs w:val="22"/>
                <w:vertAlign w:val="superscript"/>
              </w:rPr>
              <w:t>b</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4BC4BD66"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-22.7</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14:paraId="55A2DF4D"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-52.4</w:t>
            </w:r>
          </w:p>
        </w:tc>
        <w:tc>
          <w:tcPr>
            <w:tcW w:w="1860" w:type="dxa"/>
            <w:gridSpan w:val="3"/>
            <w:tcBorders>
              <w:top w:val="single" w:sz="4" w:space="0" w:color="auto"/>
              <w:left w:val="single" w:sz="4" w:space="0" w:color="auto"/>
              <w:bottom w:val="single" w:sz="4" w:space="0" w:color="auto"/>
              <w:right w:val="single" w:sz="4" w:space="0" w:color="auto"/>
            </w:tcBorders>
            <w:shd w:val="clear" w:color="auto" w:fill="auto"/>
          </w:tcPr>
          <w:p w14:paraId="645D605E"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-18.0</w:t>
            </w:r>
          </w:p>
        </w:tc>
        <w:tc>
          <w:tcPr>
            <w:tcW w:w="1920" w:type="dxa"/>
            <w:gridSpan w:val="2"/>
            <w:tcBorders>
              <w:top w:val="single" w:sz="4" w:space="0" w:color="auto"/>
              <w:left w:val="single" w:sz="4" w:space="0" w:color="auto"/>
              <w:bottom w:val="single" w:sz="4" w:space="0" w:color="auto"/>
              <w:right w:val="single" w:sz="4" w:space="0" w:color="auto"/>
            </w:tcBorders>
            <w:shd w:val="clear" w:color="auto" w:fill="auto"/>
          </w:tcPr>
          <w:p w14:paraId="6D46D65B"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-51.2</w:t>
            </w:r>
          </w:p>
        </w:tc>
      </w:tr>
      <w:tr w:rsidR="001C65EF" w:rsidRPr="00204FB3" w14:paraId="2CED74A6" w14:textId="77777777" w:rsidTr="00215881">
        <w:tc>
          <w:tcPr>
            <w:tcW w:w="10098" w:type="dxa"/>
            <w:gridSpan w:val="13"/>
            <w:tcBorders>
              <w:top w:val="single" w:sz="4" w:space="0" w:color="auto"/>
              <w:left w:val="single" w:sz="4" w:space="0" w:color="auto"/>
              <w:bottom w:val="single" w:sz="4" w:space="0" w:color="auto"/>
              <w:right w:val="single" w:sz="4" w:space="0" w:color="auto"/>
            </w:tcBorders>
            <w:shd w:val="clear" w:color="auto" w:fill="auto"/>
          </w:tcPr>
          <w:p w14:paraId="261FCC4D" w14:textId="77777777" w:rsidR="001C65EF" w:rsidRPr="00204FB3" w:rsidRDefault="001C65EF" w:rsidP="00215881">
            <w:pPr>
              <w:spacing w:before="0"/>
              <w:rPr>
                <w:rFonts w:ascii="Calibri" w:eastAsia="Calibri" w:hAnsi="Calibri"/>
                <w:b/>
                <w:color w:val="auto"/>
                <w:sz w:val="22"/>
                <w:szCs w:val="22"/>
              </w:rPr>
            </w:pPr>
            <w:r w:rsidRPr="00204FB3">
              <w:rPr>
                <w:rFonts w:ascii="Calibri" w:eastAsia="Calibri" w:hAnsi="Calibri"/>
                <w:b/>
                <w:color w:val="auto"/>
                <w:sz w:val="22"/>
                <w:szCs w:val="22"/>
              </w:rPr>
              <w:t>Week24</w:t>
            </w:r>
          </w:p>
        </w:tc>
      </w:tr>
      <w:tr w:rsidR="001C65EF" w:rsidRPr="00204FB3" w14:paraId="0ADF6C4A" w14:textId="77777777" w:rsidTr="00215881">
        <w:tc>
          <w:tcPr>
            <w:tcW w:w="2718" w:type="dxa"/>
            <w:gridSpan w:val="3"/>
            <w:tcBorders>
              <w:top w:val="single" w:sz="4" w:space="0" w:color="auto"/>
              <w:left w:val="single" w:sz="4" w:space="0" w:color="auto"/>
              <w:bottom w:val="single" w:sz="4" w:space="0" w:color="auto"/>
              <w:right w:val="single" w:sz="4" w:space="0" w:color="auto"/>
            </w:tcBorders>
            <w:shd w:val="clear" w:color="auto" w:fill="auto"/>
            <w:hideMark/>
          </w:tcPr>
          <w:p w14:paraId="2CA0D381" w14:textId="77777777" w:rsidR="001C65EF" w:rsidRPr="00204FB3" w:rsidRDefault="001C65EF" w:rsidP="00215881">
            <w:pPr>
              <w:spacing w:before="0"/>
              <w:rPr>
                <w:rFonts w:ascii="Calibri" w:eastAsia="Calibri" w:hAnsi="Calibri"/>
                <w:color w:val="auto"/>
                <w:sz w:val="22"/>
                <w:szCs w:val="22"/>
              </w:rPr>
            </w:pPr>
            <w:r w:rsidRPr="00204FB3">
              <w:rPr>
                <w:rFonts w:ascii="Calibri" w:eastAsia="Calibri" w:hAnsi="Calibri"/>
                <w:color w:val="auto"/>
                <w:sz w:val="22"/>
                <w:szCs w:val="22"/>
              </w:rPr>
              <w:t>LDL-C (ITT)</w:t>
            </w:r>
            <w:r w:rsidRPr="00204FB3">
              <w:rPr>
                <w:rFonts w:ascii="Calibri" w:eastAsia="Calibri" w:hAnsi="Calibri"/>
                <w:color w:val="auto"/>
                <w:sz w:val="22"/>
                <w:szCs w:val="22"/>
                <w:vertAlign w:val="superscript"/>
              </w:rPr>
              <w:t>a</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30DED57B"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-20.7</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14:paraId="6FB08C73" w14:textId="77777777" w:rsidR="001C65EF" w:rsidRPr="00204FB3" w:rsidRDefault="001C65EF" w:rsidP="00215881">
            <w:pPr>
              <w:spacing w:before="0"/>
              <w:jc w:val="center"/>
              <w:rPr>
                <w:rFonts w:ascii="Calibri" w:eastAsia="Calibri" w:hAnsi="Calibri"/>
                <w:color w:val="auto"/>
                <w:sz w:val="22"/>
                <w:szCs w:val="22"/>
                <w:vertAlign w:val="superscript"/>
              </w:rPr>
            </w:pPr>
            <w:r w:rsidRPr="00204FB3">
              <w:rPr>
                <w:rFonts w:ascii="Calibri" w:eastAsia="Calibri" w:hAnsi="Calibri"/>
                <w:color w:val="auto"/>
                <w:sz w:val="22"/>
                <w:szCs w:val="22"/>
              </w:rPr>
              <w:t>-50.6</w:t>
            </w:r>
            <w:r w:rsidRPr="00204FB3">
              <w:rPr>
                <w:rFonts w:ascii="Calibri" w:eastAsia="Calibri" w:hAnsi="Calibri"/>
                <w:color w:val="auto"/>
                <w:sz w:val="22"/>
                <w:szCs w:val="22"/>
                <w:vertAlign w:val="superscript"/>
              </w:rPr>
              <w:t>g</w:t>
            </w:r>
          </w:p>
        </w:tc>
        <w:tc>
          <w:tcPr>
            <w:tcW w:w="1860" w:type="dxa"/>
            <w:gridSpan w:val="3"/>
            <w:tcBorders>
              <w:top w:val="single" w:sz="4" w:space="0" w:color="auto"/>
              <w:left w:val="single" w:sz="4" w:space="0" w:color="auto"/>
              <w:bottom w:val="single" w:sz="4" w:space="0" w:color="auto"/>
              <w:right w:val="single" w:sz="4" w:space="0" w:color="auto"/>
            </w:tcBorders>
            <w:shd w:val="clear" w:color="auto" w:fill="auto"/>
          </w:tcPr>
          <w:p w14:paraId="6308FD87"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-14.6</w:t>
            </w:r>
          </w:p>
        </w:tc>
        <w:tc>
          <w:tcPr>
            <w:tcW w:w="1920" w:type="dxa"/>
            <w:gridSpan w:val="2"/>
            <w:tcBorders>
              <w:top w:val="single" w:sz="4" w:space="0" w:color="auto"/>
              <w:left w:val="single" w:sz="4" w:space="0" w:color="auto"/>
              <w:bottom w:val="single" w:sz="4" w:space="0" w:color="auto"/>
              <w:right w:val="single" w:sz="4" w:space="0" w:color="auto"/>
            </w:tcBorders>
            <w:shd w:val="clear" w:color="auto" w:fill="auto"/>
          </w:tcPr>
          <w:p w14:paraId="6AF317A8"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-45.0</w:t>
            </w:r>
            <w:r w:rsidRPr="00204FB3">
              <w:rPr>
                <w:rFonts w:ascii="Calibri" w:eastAsia="Calibri" w:hAnsi="Calibri"/>
                <w:color w:val="auto"/>
                <w:sz w:val="22"/>
                <w:szCs w:val="22"/>
                <w:vertAlign w:val="superscript"/>
              </w:rPr>
              <w:t>h</w:t>
            </w:r>
          </w:p>
        </w:tc>
      </w:tr>
      <w:tr w:rsidR="001C65EF" w:rsidRPr="00204FB3" w14:paraId="2D14A24F" w14:textId="77777777" w:rsidTr="00215881">
        <w:tc>
          <w:tcPr>
            <w:tcW w:w="2718" w:type="dxa"/>
            <w:gridSpan w:val="3"/>
            <w:tcBorders>
              <w:top w:val="single" w:sz="4" w:space="0" w:color="auto"/>
              <w:left w:val="single" w:sz="4" w:space="0" w:color="auto"/>
              <w:bottom w:val="single" w:sz="4" w:space="0" w:color="auto"/>
              <w:right w:val="single" w:sz="4" w:space="0" w:color="auto"/>
            </w:tcBorders>
            <w:shd w:val="clear" w:color="auto" w:fill="auto"/>
            <w:hideMark/>
          </w:tcPr>
          <w:p w14:paraId="384A07DC" w14:textId="77777777" w:rsidR="001C65EF" w:rsidRPr="00204FB3" w:rsidRDefault="001C65EF" w:rsidP="00215881">
            <w:pPr>
              <w:spacing w:before="0"/>
              <w:rPr>
                <w:rFonts w:ascii="Calibri" w:eastAsia="Calibri" w:hAnsi="Calibri"/>
                <w:color w:val="auto"/>
                <w:sz w:val="22"/>
                <w:szCs w:val="22"/>
              </w:rPr>
            </w:pPr>
            <w:r w:rsidRPr="00204FB3">
              <w:rPr>
                <w:rFonts w:ascii="Calibri" w:eastAsia="Calibri" w:hAnsi="Calibri"/>
                <w:color w:val="auto"/>
                <w:sz w:val="22"/>
                <w:szCs w:val="22"/>
              </w:rPr>
              <w:t>LDL-C (on treatment)</w:t>
            </w:r>
            <w:r w:rsidRPr="00204FB3">
              <w:rPr>
                <w:rFonts w:ascii="Calibri" w:eastAsia="Calibri" w:hAnsi="Calibri"/>
                <w:color w:val="auto"/>
                <w:sz w:val="22"/>
                <w:szCs w:val="22"/>
                <w:vertAlign w:val="superscript"/>
              </w:rPr>
              <w:t>b</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0B1C4683"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-21.8</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14:paraId="56C9BCEC"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-52.4</w:t>
            </w:r>
          </w:p>
        </w:tc>
        <w:tc>
          <w:tcPr>
            <w:tcW w:w="1860" w:type="dxa"/>
            <w:gridSpan w:val="3"/>
            <w:tcBorders>
              <w:top w:val="single" w:sz="4" w:space="0" w:color="auto"/>
              <w:left w:val="single" w:sz="4" w:space="0" w:color="auto"/>
              <w:bottom w:val="single" w:sz="4" w:space="0" w:color="auto"/>
              <w:right w:val="single" w:sz="4" w:space="0" w:color="auto"/>
            </w:tcBorders>
            <w:shd w:val="clear" w:color="auto" w:fill="auto"/>
          </w:tcPr>
          <w:p w14:paraId="14617F75"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-17.1</w:t>
            </w:r>
          </w:p>
        </w:tc>
        <w:tc>
          <w:tcPr>
            <w:tcW w:w="1920" w:type="dxa"/>
            <w:gridSpan w:val="2"/>
            <w:tcBorders>
              <w:top w:val="single" w:sz="4" w:space="0" w:color="auto"/>
              <w:left w:val="single" w:sz="4" w:space="0" w:color="auto"/>
              <w:bottom w:val="single" w:sz="4" w:space="0" w:color="auto"/>
              <w:right w:val="single" w:sz="4" w:space="0" w:color="auto"/>
            </w:tcBorders>
            <w:shd w:val="clear" w:color="auto" w:fill="auto"/>
          </w:tcPr>
          <w:p w14:paraId="7B63572F"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-52.2</w:t>
            </w:r>
          </w:p>
        </w:tc>
      </w:tr>
      <w:tr w:rsidR="001C65EF" w:rsidRPr="00204FB3" w14:paraId="6654B2E1" w14:textId="77777777" w:rsidTr="00215881">
        <w:tc>
          <w:tcPr>
            <w:tcW w:w="2718" w:type="dxa"/>
            <w:gridSpan w:val="3"/>
            <w:tcBorders>
              <w:top w:val="single" w:sz="4" w:space="0" w:color="auto"/>
              <w:left w:val="single" w:sz="4" w:space="0" w:color="auto"/>
              <w:bottom w:val="single" w:sz="4" w:space="0" w:color="auto"/>
              <w:right w:val="single" w:sz="4" w:space="0" w:color="auto"/>
            </w:tcBorders>
            <w:shd w:val="clear" w:color="auto" w:fill="auto"/>
            <w:hideMark/>
          </w:tcPr>
          <w:p w14:paraId="0BA36A79" w14:textId="77777777" w:rsidR="001C65EF" w:rsidRPr="00204FB3" w:rsidRDefault="001C65EF" w:rsidP="00215881">
            <w:pPr>
              <w:spacing w:before="0"/>
              <w:rPr>
                <w:rFonts w:ascii="Calibri" w:eastAsia="Calibri" w:hAnsi="Calibri"/>
                <w:color w:val="auto"/>
                <w:sz w:val="22"/>
                <w:szCs w:val="22"/>
              </w:rPr>
            </w:pPr>
            <w:r w:rsidRPr="00204FB3">
              <w:rPr>
                <w:rFonts w:ascii="Calibri" w:eastAsia="Calibri" w:hAnsi="Calibri"/>
                <w:color w:val="auto"/>
                <w:sz w:val="22"/>
                <w:szCs w:val="22"/>
              </w:rPr>
              <w:t>Non-HDL-C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17385929"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-19.2</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14:paraId="67C12C05"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-42.1</w:t>
            </w:r>
          </w:p>
        </w:tc>
        <w:tc>
          <w:tcPr>
            <w:tcW w:w="1860" w:type="dxa"/>
            <w:gridSpan w:val="3"/>
            <w:tcBorders>
              <w:top w:val="single" w:sz="4" w:space="0" w:color="auto"/>
              <w:left w:val="single" w:sz="4" w:space="0" w:color="auto"/>
              <w:bottom w:val="single" w:sz="4" w:space="0" w:color="auto"/>
              <w:right w:val="single" w:sz="4" w:space="0" w:color="auto"/>
            </w:tcBorders>
            <w:shd w:val="clear" w:color="auto" w:fill="auto"/>
          </w:tcPr>
          <w:p w14:paraId="78C2A982"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-14.6</w:t>
            </w:r>
          </w:p>
        </w:tc>
        <w:tc>
          <w:tcPr>
            <w:tcW w:w="1920" w:type="dxa"/>
            <w:gridSpan w:val="2"/>
            <w:tcBorders>
              <w:top w:val="single" w:sz="4" w:space="0" w:color="auto"/>
              <w:left w:val="single" w:sz="4" w:space="0" w:color="auto"/>
              <w:bottom w:val="single" w:sz="4" w:space="0" w:color="auto"/>
              <w:right w:val="single" w:sz="4" w:space="0" w:color="auto"/>
            </w:tcBorders>
            <w:shd w:val="clear" w:color="auto" w:fill="auto"/>
          </w:tcPr>
          <w:p w14:paraId="5EEDDD6E"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-40.2</w:t>
            </w:r>
          </w:p>
        </w:tc>
      </w:tr>
      <w:tr w:rsidR="001C65EF" w:rsidRPr="00204FB3" w14:paraId="215743A9" w14:textId="77777777" w:rsidTr="00215881">
        <w:tc>
          <w:tcPr>
            <w:tcW w:w="2718" w:type="dxa"/>
            <w:gridSpan w:val="3"/>
            <w:tcBorders>
              <w:top w:val="single" w:sz="4" w:space="0" w:color="auto"/>
              <w:left w:val="single" w:sz="4" w:space="0" w:color="auto"/>
              <w:bottom w:val="single" w:sz="4" w:space="0" w:color="auto"/>
              <w:right w:val="single" w:sz="4" w:space="0" w:color="auto"/>
            </w:tcBorders>
            <w:shd w:val="clear" w:color="auto" w:fill="auto"/>
            <w:hideMark/>
          </w:tcPr>
          <w:p w14:paraId="5A5F4D7C" w14:textId="77777777" w:rsidR="001C65EF" w:rsidRPr="00204FB3" w:rsidRDefault="001C65EF" w:rsidP="00215881">
            <w:pPr>
              <w:spacing w:before="0"/>
              <w:rPr>
                <w:rFonts w:ascii="Calibri" w:eastAsia="Calibri" w:hAnsi="Calibri"/>
                <w:color w:val="auto"/>
                <w:sz w:val="22"/>
                <w:szCs w:val="22"/>
              </w:rPr>
            </w:pPr>
            <w:r w:rsidRPr="00204FB3">
              <w:rPr>
                <w:rFonts w:ascii="Calibri" w:eastAsia="Calibri" w:hAnsi="Calibri"/>
                <w:color w:val="auto"/>
                <w:sz w:val="22"/>
                <w:szCs w:val="22"/>
              </w:rPr>
              <w:t>Apo B</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152C6F88"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-18.3</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14:paraId="64BF73F2"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-40.7</w:t>
            </w:r>
          </w:p>
        </w:tc>
        <w:tc>
          <w:tcPr>
            <w:tcW w:w="1860" w:type="dxa"/>
            <w:gridSpan w:val="3"/>
            <w:tcBorders>
              <w:top w:val="single" w:sz="4" w:space="0" w:color="auto"/>
              <w:left w:val="single" w:sz="4" w:space="0" w:color="auto"/>
              <w:bottom w:val="single" w:sz="4" w:space="0" w:color="auto"/>
              <w:right w:val="single" w:sz="4" w:space="0" w:color="auto"/>
            </w:tcBorders>
            <w:shd w:val="clear" w:color="auto" w:fill="auto"/>
          </w:tcPr>
          <w:p w14:paraId="1FCFE5F4"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-11.2</w:t>
            </w:r>
          </w:p>
        </w:tc>
        <w:tc>
          <w:tcPr>
            <w:tcW w:w="1920" w:type="dxa"/>
            <w:gridSpan w:val="2"/>
            <w:tcBorders>
              <w:top w:val="single" w:sz="4" w:space="0" w:color="auto"/>
              <w:left w:val="single" w:sz="4" w:space="0" w:color="auto"/>
              <w:bottom w:val="single" w:sz="4" w:space="0" w:color="auto"/>
              <w:right w:val="single" w:sz="4" w:space="0" w:color="auto"/>
            </w:tcBorders>
            <w:shd w:val="clear" w:color="auto" w:fill="auto"/>
          </w:tcPr>
          <w:p w14:paraId="05B58FB8"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-36.3</w:t>
            </w:r>
          </w:p>
        </w:tc>
      </w:tr>
      <w:tr w:rsidR="001C65EF" w:rsidRPr="00204FB3" w14:paraId="44B6B670" w14:textId="77777777" w:rsidTr="00215881">
        <w:tc>
          <w:tcPr>
            <w:tcW w:w="2718" w:type="dxa"/>
            <w:gridSpan w:val="3"/>
            <w:tcBorders>
              <w:top w:val="single" w:sz="4" w:space="0" w:color="auto"/>
              <w:left w:val="single" w:sz="4" w:space="0" w:color="auto"/>
              <w:bottom w:val="single" w:sz="4" w:space="0" w:color="auto"/>
              <w:right w:val="single" w:sz="4" w:space="0" w:color="auto"/>
            </w:tcBorders>
            <w:shd w:val="clear" w:color="auto" w:fill="auto"/>
            <w:hideMark/>
          </w:tcPr>
          <w:p w14:paraId="2BCB7E9E" w14:textId="77777777" w:rsidR="001C65EF" w:rsidRPr="00204FB3" w:rsidRDefault="001C65EF" w:rsidP="00215881">
            <w:pPr>
              <w:spacing w:before="0"/>
              <w:rPr>
                <w:rFonts w:ascii="Calibri" w:eastAsia="Calibri" w:hAnsi="Calibri"/>
                <w:color w:val="auto"/>
                <w:sz w:val="22"/>
                <w:szCs w:val="22"/>
              </w:rPr>
            </w:pPr>
            <w:r w:rsidRPr="00204FB3">
              <w:rPr>
                <w:rFonts w:ascii="Calibri" w:eastAsia="Calibri" w:hAnsi="Calibri"/>
                <w:color w:val="auto"/>
                <w:sz w:val="22"/>
                <w:szCs w:val="22"/>
              </w:rPr>
              <w:t>Total-C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38C52D2B"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-14.6</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14:paraId="7F62A62E"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-29.3</w:t>
            </w:r>
          </w:p>
        </w:tc>
        <w:tc>
          <w:tcPr>
            <w:tcW w:w="1860" w:type="dxa"/>
            <w:gridSpan w:val="3"/>
            <w:tcBorders>
              <w:top w:val="single" w:sz="4" w:space="0" w:color="auto"/>
              <w:left w:val="single" w:sz="4" w:space="0" w:color="auto"/>
              <w:bottom w:val="single" w:sz="4" w:space="0" w:color="auto"/>
              <w:right w:val="single" w:sz="4" w:space="0" w:color="auto"/>
            </w:tcBorders>
            <w:shd w:val="clear" w:color="auto" w:fill="auto"/>
          </w:tcPr>
          <w:p w14:paraId="068E3192"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-10.9</w:t>
            </w:r>
          </w:p>
        </w:tc>
        <w:tc>
          <w:tcPr>
            <w:tcW w:w="1920" w:type="dxa"/>
            <w:gridSpan w:val="2"/>
            <w:tcBorders>
              <w:top w:val="single" w:sz="4" w:space="0" w:color="auto"/>
              <w:left w:val="single" w:sz="4" w:space="0" w:color="auto"/>
              <w:bottom w:val="single" w:sz="4" w:space="0" w:color="auto"/>
              <w:right w:val="single" w:sz="4" w:space="0" w:color="auto"/>
            </w:tcBorders>
            <w:shd w:val="clear" w:color="auto" w:fill="auto"/>
          </w:tcPr>
          <w:p w14:paraId="18104F16"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-31.8</w:t>
            </w:r>
          </w:p>
        </w:tc>
      </w:tr>
      <w:tr w:rsidR="001C65EF" w:rsidRPr="00204FB3" w14:paraId="1496280B" w14:textId="77777777" w:rsidTr="00215881">
        <w:tc>
          <w:tcPr>
            <w:tcW w:w="2718" w:type="dxa"/>
            <w:gridSpan w:val="3"/>
            <w:tcBorders>
              <w:top w:val="single" w:sz="4" w:space="0" w:color="auto"/>
              <w:left w:val="single" w:sz="4" w:space="0" w:color="auto"/>
              <w:bottom w:val="single" w:sz="4" w:space="0" w:color="auto"/>
              <w:right w:val="single" w:sz="4" w:space="0" w:color="auto"/>
            </w:tcBorders>
            <w:shd w:val="clear" w:color="auto" w:fill="auto"/>
            <w:hideMark/>
          </w:tcPr>
          <w:p w14:paraId="3081D06A" w14:textId="77777777" w:rsidR="001C65EF" w:rsidRPr="00204FB3" w:rsidRDefault="001C65EF" w:rsidP="00215881">
            <w:pPr>
              <w:spacing w:before="0"/>
              <w:rPr>
                <w:rFonts w:ascii="Calibri" w:eastAsia="Calibri" w:hAnsi="Calibri"/>
                <w:color w:val="auto"/>
                <w:sz w:val="22"/>
                <w:szCs w:val="22"/>
              </w:rPr>
            </w:pPr>
            <w:r w:rsidRPr="00204FB3">
              <w:rPr>
                <w:rFonts w:ascii="Calibri" w:eastAsia="Calibri" w:hAnsi="Calibri"/>
                <w:color w:val="auto"/>
                <w:sz w:val="22"/>
                <w:szCs w:val="22"/>
              </w:rPr>
              <w:lastRenderedPageBreak/>
              <w:t>Lp(a)</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7F25314B"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-6.1</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14:paraId="50E112B1"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-27.8</w:t>
            </w:r>
          </w:p>
        </w:tc>
        <w:tc>
          <w:tcPr>
            <w:tcW w:w="1860" w:type="dxa"/>
            <w:gridSpan w:val="3"/>
            <w:tcBorders>
              <w:top w:val="single" w:sz="4" w:space="0" w:color="auto"/>
              <w:left w:val="single" w:sz="4" w:space="0" w:color="auto"/>
              <w:bottom w:val="single" w:sz="4" w:space="0" w:color="auto"/>
              <w:right w:val="single" w:sz="4" w:space="0" w:color="auto"/>
            </w:tcBorders>
            <w:shd w:val="clear" w:color="auto" w:fill="auto"/>
          </w:tcPr>
          <w:p w14:paraId="6596E14C"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-7.3</w:t>
            </w:r>
          </w:p>
        </w:tc>
        <w:tc>
          <w:tcPr>
            <w:tcW w:w="1920" w:type="dxa"/>
            <w:gridSpan w:val="2"/>
            <w:tcBorders>
              <w:top w:val="single" w:sz="4" w:space="0" w:color="auto"/>
              <w:left w:val="single" w:sz="4" w:space="0" w:color="auto"/>
              <w:bottom w:val="single" w:sz="4" w:space="0" w:color="auto"/>
              <w:right w:val="single" w:sz="4" w:space="0" w:color="auto"/>
            </w:tcBorders>
            <w:shd w:val="clear" w:color="auto" w:fill="auto"/>
          </w:tcPr>
          <w:p w14:paraId="684E0802"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-25.9</w:t>
            </w:r>
          </w:p>
        </w:tc>
      </w:tr>
      <w:tr w:rsidR="001C65EF" w:rsidRPr="00204FB3" w14:paraId="2F3478EC" w14:textId="77777777" w:rsidTr="00215881">
        <w:tc>
          <w:tcPr>
            <w:tcW w:w="2718" w:type="dxa"/>
            <w:gridSpan w:val="3"/>
            <w:tcBorders>
              <w:top w:val="single" w:sz="4" w:space="0" w:color="auto"/>
              <w:left w:val="single" w:sz="4" w:space="0" w:color="auto"/>
              <w:bottom w:val="single" w:sz="4" w:space="0" w:color="auto"/>
              <w:right w:val="single" w:sz="4" w:space="0" w:color="auto"/>
            </w:tcBorders>
            <w:shd w:val="clear" w:color="auto" w:fill="auto"/>
            <w:hideMark/>
          </w:tcPr>
          <w:p w14:paraId="5F8AF660" w14:textId="77777777" w:rsidR="001C65EF" w:rsidRPr="00204FB3" w:rsidRDefault="001C65EF" w:rsidP="00215881">
            <w:pPr>
              <w:spacing w:before="0"/>
              <w:rPr>
                <w:rFonts w:ascii="Calibri" w:eastAsia="Calibri" w:hAnsi="Calibri"/>
                <w:color w:val="auto"/>
                <w:sz w:val="22"/>
                <w:szCs w:val="22"/>
              </w:rPr>
            </w:pPr>
            <w:r w:rsidRPr="00204FB3">
              <w:rPr>
                <w:rFonts w:ascii="Calibri" w:eastAsia="Calibri" w:hAnsi="Calibri"/>
                <w:color w:val="auto"/>
                <w:sz w:val="22"/>
                <w:szCs w:val="22"/>
              </w:rPr>
              <w:t>TG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711AAC8B"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-12.8</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14:paraId="275A5160"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-13.0</w:t>
            </w:r>
          </w:p>
        </w:tc>
        <w:tc>
          <w:tcPr>
            <w:tcW w:w="1860" w:type="dxa"/>
            <w:gridSpan w:val="3"/>
            <w:tcBorders>
              <w:top w:val="single" w:sz="4" w:space="0" w:color="auto"/>
              <w:left w:val="single" w:sz="4" w:space="0" w:color="auto"/>
              <w:bottom w:val="single" w:sz="4" w:space="0" w:color="auto"/>
              <w:right w:val="single" w:sz="4" w:space="0" w:color="auto"/>
            </w:tcBorders>
            <w:shd w:val="clear" w:color="auto" w:fill="auto"/>
          </w:tcPr>
          <w:p w14:paraId="4EF09389"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-3.6</w:t>
            </w:r>
          </w:p>
        </w:tc>
        <w:tc>
          <w:tcPr>
            <w:tcW w:w="1920" w:type="dxa"/>
            <w:gridSpan w:val="2"/>
            <w:tcBorders>
              <w:top w:val="single" w:sz="4" w:space="0" w:color="auto"/>
              <w:left w:val="single" w:sz="4" w:space="0" w:color="auto"/>
              <w:bottom w:val="single" w:sz="4" w:space="0" w:color="auto"/>
              <w:right w:val="single" w:sz="4" w:space="0" w:color="auto"/>
            </w:tcBorders>
            <w:shd w:val="clear" w:color="auto" w:fill="auto"/>
          </w:tcPr>
          <w:p w14:paraId="7E58C96E"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-9.3</w:t>
            </w:r>
          </w:p>
        </w:tc>
      </w:tr>
      <w:tr w:rsidR="001C65EF" w:rsidRPr="00204FB3" w14:paraId="5779E127" w14:textId="77777777" w:rsidTr="00215881">
        <w:tc>
          <w:tcPr>
            <w:tcW w:w="2718" w:type="dxa"/>
            <w:gridSpan w:val="3"/>
            <w:tcBorders>
              <w:top w:val="single" w:sz="4" w:space="0" w:color="auto"/>
              <w:left w:val="single" w:sz="4" w:space="0" w:color="auto"/>
              <w:bottom w:val="single" w:sz="4" w:space="0" w:color="auto"/>
              <w:right w:val="single" w:sz="4" w:space="0" w:color="auto"/>
            </w:tcBorders>
            <w:shd w:val="clear" w:color="auto" w:fill="auto"/>
            <w:hideMark/>
          </w:tcPr>
          <w:p w14:paraId="0B0FC83C" w14:textId="77777777" w:rsidR="001C65EF" w:rsidRPr="00204FB3" w:rsidRDefault="001C65EF" w:rsidP="00215881">
            <w:pPr>
              <w:spacing w:before="0"/>
              <w:rPr>
                <w:rFonts w:ascii="Calibri" w:eastAsia="Calibri" w:hAnsi="Calibri"/>
                <w:color w:val="auto"/>
                <w:sz w:val="22"/>
                <w:szCs w:val="22"/>
              </w:rPr>
            </w:pPr>
            <w:r w:rsidRPr="00204FB3">
              <w:rPr>
                <w:rFonts w:ascii="Calibri" w:eastAsia="Calibri" w:hAnsi="Calibri"/>
                <w:color w:val="auto"/>
                <w:sz w:val="22"/>
                <w:szCs w:val="22"/>
              </w:rPr>
              <w:t>HDL-C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778158BF"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0.5</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14:paraId="38368502"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8.6</w:t>
            </w:r>
          </w:p>
        </w:tc>
        <w:tc>
          <w:tcPr>
            <w:tcW w:w="1860" w:type="dxa"/>
            <w:gridSpan w:val="3"/>
            <w:tcBorders>
              <w:top w:val="single" w:sz="4" w:space="0" w:color="auto"/>
              <w:left w:val="single" w:sz="4" w:space="0" w:color="auto"/>
              <w:bottom w:val="single" w:sz="4" w:space="0" w:color="auto"/>
              <w:right w:val="single" w:sz="4" w:space="0" w:color="auto"/>
            </w:tcBorders>
            <w:shd w:val="clear" w:color="auto" w:fill="auto"/>
          </w:tcPr>
          <w:p w14:paraId="1E996DAD"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6.8</w:t>
            </w:r>
          </w:p>
        </w:tc>
        <w:tc>
          <w:tcPr>
            <w:tcW w:w="1920" w:type="dxa"/>
            <w:gridSpan w:val="2"/>
            <w:tcBorders>
              <w:top w:val="single" w:sz="4" w:space="0" w:color="auto"/>
              <w:left w:val="single" w:sz="4" w:space="0" w:color="auto"/>
              <w:bottom w:val="single" w:sz="4" w:space="0" w:color="auto"/>
              <w:right w:val="single" w:sz="4" w:space="0" w:color="auto"/>
            </w:tcBorders>
            <w:shd w:val="clear" w:color="auto" w:fill="auto"/>
          </w:tcPr>
          <w:p w14:paraId="7F11586A"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7.7</w:t>
            </w:r>
          </w:p>
        </w:tc>
      </w:tr>
      <w:tr w:rsidR="001C65EF" w:rsidRPr="00204FB3" w14:paraId="025A1436" w14:textId="77777777" w:rsidTr="00215881">
        <w:tc>
          <w:tcPr>
            <w:tcW w:w="2718" w:type="dxa"/>
            <w:gridSpan w:val="3"/>
            <w:tcBorders>
              <w:top w:val="single" w:sz="4" w:space="0" w:color="auto"/>
              <w:left w:val="single" w:sz="4" w:space="0" w:color="auto"/>
              <w:bottom w:val="single" w:sz="4" w:space="0" w:color="auto"/>
              <w:right w:val="single" w:sz="4" w:space="0" w:color="auto"/>
            </w:tcBorders>
            <w:shd w:val="clear" w:color="auto" w:fill="auto"/>
            <w:hideMark/>
          </w:tcPr>
          <w:p w14:paraId="79BF7EBD" w14:textId="77777777" w:rsidR="001C65EF" w:rsidRPr="00204FB3" w:rsidRDefault="001C65EF" w:rsidP="00215881">
            <w:pPr>
              <w:spacing w:before="0"/>
              <w:rPr>
                <w:rFonts w:ascii="Calibri" w:eastAsia="Calibri" w:hAnsi="Calibri"/>
                <w:color w:val="auto"/>
                <w:sz w:val="22"/>
                <w:szCs w:val="22"/>
              </w:rPr>
            </w:pPr>
            <w:r w:rsidRPr="00204FB3">
              <w:rPr>
                <w:rFonts w:ascii="Calibri" w:eastAsia="Calibri" w:hAnsi="Calibri"/>
                <w:color w:val="auto"/>
                <w:sz w:val="22"/>
                <w:szCs w:val="22"/>
              </w:rPr>
              <w:t>Apo A-1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426E163D"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-1.3</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14:paraId="14580C7D"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5.0</w:t>
            </w:r>
          </w:p>
        </w:tc>
        <w:tc>
          <w:tcPr>
            <w:tcW w:w="1860" w:type="dxa"/>
            <w:gridSpan w:val="3"/>
            <w:tcBorders>
              <w:top w:val="single" w:sz="4" w:space="0" w:color="auto"/>
              <w:left w:val="single" w:sz="4" w:space="0" w:color="auto"/>
              <w:bottom w:val="single" w:sz="4" w:space="0" w:color="auto"/>
              <w:right w:val="single" w:sz="4" w:space="0" w:color="auto"/>
            </w:tcBorders>
            <w:shd w:val="clear" w:color="auto" w:fill="auto"/>
          </w:tcPr>
          <w:p w14:paraId="10E3C139"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2.9</w:t>
            </w:r>
          </w:p>
        </w:tc>
        <w:tc>
          <w:tcPr>
            <w:tcW w:w="1920" w:type="dxa"/>
            <w:gridSpan w:val="2"/>
            <w:tcBorders>
              <w:top w:val="single" w:sz="4" w:space="0" w:color="auto"/>
              <w:left w:val="single" w:sz="4" w:space="0" w:color="auto"/>
              <w:bottom w:val="single" w:sz="4" w:space="0" w:color="auto"/>
              <w:right w:val="single" w:sz="4" w:space="0" w:color="auto"/>
            </w:tcBorders>
            <w:shd w:val="clear" w:color="auto" w:fill="auto"/>
          </w:tcPr>
          <w:p w14:paraId="0C7868D3" w14:textId="77777777" w:rsidR="001C65EF" w:rsidRPr="00204FB3" w:rsidRDefault="001C65EF" w:rsidP="00215881">
            <w:pPr>
              <w:spacing w:before="0"/>
              <w:jc w:val="center"/>
              <w:rPr>
                <w:rFonts w:ascii="Calibri" w:eastAsia="Calibri" w:hAnsi="Calibri"/>
                <w:color w:val="auto"/>
                <w:sz w:val="22"/>
                <w:szCs w:val="22"/>
              </w:rPr>
            </w:pPr>
            <w:r w:rsidRPr="00204FB3">
              <w:rPr>
                <w:rFonts w:ascii="Calibri" w:eastAsia="Calibri" w:hAnsi="Calibri"/>
                <w:color w:val="auto"/>
                <w:sz w:val="22"/>
                <w:szCs w:val="22"/>
              </w:rPr>
              <w:t>4.8</w:t>
            </w:r>
          </w:p>
        </w:tc>
      </w:tr>
    </w:tbl>
    <w:p w14:paraId="54C61FE0" w14:textId="77777777" w:rsidR="001C65EF" w:rsidRPr="00204FB3" w:rsidRDefault="001C65EF" w:rsidP="001C65EF">
      <w:pPr>
        <w:spacing w:before="0"/>
        <w:rPr>
          <w:color w:val="auto"/>
          <w:sz w:val="20"/>
          <w:szCs w:val="20"/>
        </w:rPr>
      </w:pPr>
      <w:r w:rsidRPr="00204FB3">
        <w:rPr>
          <w:color w:val="auto"/>
          <w:sz w:val="20"/>
          <w:szCs w:val="20"/>
          <w:vertAlign w:val="superscript"/>
        </w:rPr>
        <w:t>a</w:t>
      </w:r>
      <w:r w:rsidRPr="00204FB3">
        <w:rPr>
          <w:color w:val="auto"/>
          <w:sz w:val="20"/>
          <w:szCs w:val="20"/>
        </w:rPr>
        <w:t xml:space="preserve"> ITT analysis – intent-to-treat population, includes all lipid data throughout the duration of the study irrespective of adherence to the study treatment</w:t>
      </w:r>
    </w:p>
    <w:p w14:paraId="4FC1C06C" w14:textId="77777777" w:rsidR="001C65EF" w:rsidRPr="00204FB3" w:rsidRDefault="001C65EF" w:rsidP="001C65EF">
      <w:pPr>
        <w:spacing w:before="0"/>
        <w:rPr>
          <w:color w:val="auto"/>
          <w:sz w:val="20"/>
          <w:szCs w:val="20"/>
        </w:rPr>
      </w:pPr>
      <w:r w:rsidRPr="00204FB3">
        <w:rPr>
          <w:color w:val="auto"/>
          <w:sz w:val="20"/>
          <w:szCs w:val="20"/>
          <w:vertAlign w:val="superscript"/>
        </w:rPr>
        <w:t>b</w:t>
      </w:r>
      <w:r w:rsidRPr="00204FB3">
        <w:rPr>
          <w:color w:val="auto"/>
          <w:sz w:val="20"/>
          <w:szCs w:val="20"/>
        </w:rPr>
        <w:t xml:space="preserve"> On treatment analysis – analysis restricted to the time period that patients actually received treatment.  The % LDL-C reduction at week 24 corresponds to a mean absolute change of:</w:t>
      </w:r>
    </w:p>
    <w:p w14:paraId="56FFDD3A" w14:textId="77777777" w:rsidR="001C65EF" w:rsidRPr="00204FB3" w:rsidRDefault="001C65EF" w:rsidP="001C65EF">
      <w:pPr>
        <w:spacing w:before="0"/>
        <w:rPr>
          <w:color w:val="auto"/>
          <w:sz w:val="20"/>
          <w:szCs w:val="20"/>
        </w:rPr>
      </w:pPr>
      <w:r w:rsidRPr="00204FB3">
        <w:rPr>
          <w:color w:val="auto"/>
          <w:sz w:val="20"/>
          <w:szCs w:val="20"/>
          <w:vertAlign w:val="superscript"/>
        </w:rPr>
        <w:t>c</w:t>
      </w:r>
      <w:r w:rsidRPr="00204FB3">
        <w:rPr>
          <w:color w:val="auto"/>
          <w:sz w:val="20"/>
          <w:szCs w:val="20"/>
        </w:rPr>
        <w:t xml:space="preserve"> -74.2 mg/dL (-1.92 mmol/L); </w:t>
      </w:r>
      <w:r w:rsidRPr="00204FB3">
        <w:rPr>
          <w:color w:val="auto"/>
          <w:sz w:val="20"/>
          <w:szCs w:val="20"/>
          <w:vertAlign w:val="superscript"/>
        </w:rPr>
        <w:t>d</w:t>
      </w:r>
      <w:r w:rsidRPr="00204FB3">
        <w:rPr>
          <w:color w:val="auto"/>
          <w:sz w:val="20"/>
          <w:szCs w:val="20"/>
        </w:rPr>
        <w:t xml:space="preserve"> -71.1 mg/dL (-1.84 mmol/mL); </w:t>
      </w:r>
      <w:r w:rsidRPr="00204FB3">
        <w:rPr>
          <w:color w:val="auto"/>
          <w:sz w:val="20"/>
          <w:szCs w:val="20"/>
          <w:vertAlign w:val="superscript"/>
        </w:rPr>
        <w:t>e</w:t>
      </w:r>
      <w:r w:rsidRPr="00204FB3">
        <w:rPr>
          <w:color w:val="auto"/>
          <w:sz w:val="20"/>
          <w:szCs w:val="20"/>
        </w:rPr>
        <w:t xml:space="preserve"> -90.8 mg/dL (-2.35  mmol/L); </w:t>
      </w:r>
      <w:r w:rsidRPr="00204FB3">
        <w:rPr>
          <w:color w:val="auto"/>
          <w:sz w:val="20"/>
          <w:szCs w:val="20"/>
          <w:vertAlign w:val="superscript"/>
        </w:rPr>
        <w:t xml:space="preserve">f </w:t>
      </w:r>
      <w:r w:rsidRPr="00204FB3">
        <w:rPr>
          <w:color w:val="auto"/>
          <w:sz w:val="20"/>
          <w:szCs w:val="20"/>
        </w:rPr>
        <w:t xml:space="preserve">-50.3 mg/dL (-1.30 mmol/L); </w:t>
      </w:r>
      <w:r w:rsidRPr="00204FB3">
        <w:rPr>
          <w:color w:val="auto"/>
          <w:sz w:val="20"/>
          <w:szCs w:val="20"/>
          <w:vertAlign w:val="superscript"/>
        </w:rPr>
        <w:t>g</w:t>
      </w:r>
      <w:r w:rsidRPr="00204FB3">
        <w:rPr>
          <w:color w:val="auto"/>
          <w:sz w:val="20"/>
          <w:szCs w:val="20"/>
        </w:rPr>
        <w:t xml:space="preserve"> -55.4 mg/dL (1.44 mmol/L); </w:t>
      </w:r>
      <w:r w:rsidRPr="00204FB3">
        <w:rPr>
          <w:color w:val="auto"/>
          <w:sz w:val="20"/>
          <w:szCs w:val="20"/>
          <w:vertAlign w:val="superscript"/>
        </w:rPr>
        <w:t>h</w:t>
      </w:r>
      <w:r w:rsidRPr="00204FB3">
        <w:rPr>
          <w:color w:val="auto"/>
          <w:sz w:val="20"/>
          <w:szCs w:val="20"/>
        </w:rPr>
        <w:t xml:space="preserve"> -84.2 mg/dL (-2.18 mmol/L).</w:t>
      </w:r>
    </w:p>
    <w:p w14:paraId="30D6ECC9" w14:textId="77777777" w:rsidR="001C65EF" w:rsidRPr="00204FB3" w:rsidRDefault="001C65EF" w:rsidP="00AA1DDE">
      <w:pPr>
        <w:pStyle w:val="Heading4"/>
        <w:numPr>
          <w:ilvl w:val="0"/>
          <w:numId w:val="0"/>
        </w:numPr>
        <w:ind w:left="862" w:hanging="862"/>
      </w:pPr>
      <w:r w:rsidRPr="00204FB3">
        <w:t>OTHER STUDIES</w:t>
      </w:r>
    </w:p>
    <w:p w14:paraId="4046B861" w14:textId="77777777" w:rsidR="001C65EF" w:rsidRPr="00204FB3" w:rsidRDefault="001C65EF" w:rsidP="00AA1DDE">
      <w:pPr>
        <w:pStyle w:val="Heading5"/>
        <w:numPr>
          <w:ilvl w:val="0"/>
          <w:numId w:val="0"/>
        </w:numPr>
        <w:ind w:left="1009" w:hanging="1009"/>
      </w:pPr>
      <w:r w:rsidRPr="00204FB3">
        <w:t>OPTIONS I and OPTIONS II studies</w:t>
      </w:r>
    </w:p>
    <w:p w14:paraId="741C4783" w14:textId="27D5A5A6" w:rsidR="001C65EF" w:rsidRPr="00204FB3" w:rsidRDefault="001C65EF" w:rsidP="001C65EF">
      <w:pPr>
        <w:rPr>
          <w:color w:val="auto"/>
        </w:rPr>
      </w:pPr>
      <w:r w:rsidRPr="00204FB3">
        <w:rPr>
          <w:color w:val="auto"/>
        </w:rPr>
        <w:t>Two additional multicentre, double-blind, active-controlled 24</w:t>
      </w:r>
      <w:r w:rsidR="00204FB3">
        <w:rPr>
          <w:color w:val="auto"/>
        </w:rPr>
        <w:t>-</w:t>
      </w:r>
      <w:r w:rsidRPr="00204FB3">
        <w:rPr>
          <w:color w:val="auto"/>
        </w:rPr>
        <w:t>week studies were performed in 643 patients (combined) with primary hypercholesterolaemia at high or very high CV risk not adequately controlled on a moderate dose of atorvastatin (20 mg or 40 mg, OPTIONS I) or rosuvastatin (10 mg or 20 mg, OPTIONS II). Dose up-titration of Praluent from 75 mg once every 2 weeks to 150 mg once every 2 weeks occurred at week 12 in patients with LDL-C ≥ 1.81 mmol/l or 2.59 mmol/L, depending on their level of CV risk. Mean baseline LDL-C levels ranged from 2.72 mmol/L (OPTIONS I) to 2.88 mmol/L (OPTIONS II). At week 24, the mean percent change in LDL-C from baseline with Praluent added to moderate doses of atorvastatin was            -48.5% in OPTIONS I, and -42.7% when added to a moderate dose of rosuvastatin in OPTIONS II.</w:t>
      </w:r>
    </w:p>
    <w:p w14:paraId="7BF06A77" w14:textId="77777777" w:rsidR="002008C4" w:rsidRPr="00204FB3" w:rsidRDefault="002008C4" w:rsidP="002008C4">
      <w:pPr>
        <w:pStyle w:val="Heading5"/>
        <w:numPr>
          <w:ilvl w:val="0"/>
          <w:numId w:val="0"/>
        </w:numPr>
        <w:ind w:left="1009" w:hanging="1009"/>
      </w:pPr>
      <w:r w:rsidRPr="00204FB3">
        <w:t>MONO Study</w:t>
      </w:r>
    </w:p>
    <w:p w14:paraId="51315D6D" w14:textId="03DA5D8F" w:rsidR="00B06C4C" w:rsidRPr="00204FB3" w:rsidRDefault="00B06C4C" w:rsidP="00B06C4C">
      <w:pPr>
        <w:rPr>
          <w:color w:val="auto"/>
        </w:rPr>
      </w:pPr>
      <w:r w:rsidRPr="00204FB3">
        <w:rPr>
          <w:color w:val="auto"/>
        </w:rPr>
        <w:t>A multicentr</w:t>
      </w:r>
      <w:r w:rsidR="00204FB3" w:rsidRPr="00204FB3">
        <w:rPr>
          <w:color w:val="auto"/>
        </w:rPr>
        <w:t>e</w:t>
      </w:r>
      <w:r w:rsidRPr="00204FB3">
        <w:rPr>
          <w:color w:val="auto"/>
        </w:rPr>
        <w:t>, double-blind, ezetimibe-controlled, 24</w:t>
      </w:r>
      <w:r w:rsidR="00204FB3" w:rsidRPr="00204FB3">
        <w:rPr>
          <w:color w:val="auto"/>
        </w:rPr>
        <w:t>-</w:t>
      </w:r>
      <w:r w:rsidRPr="00204FB3">
        <w:rPr>
          <w:color w:val="auto"/>
        </w:rPr>
        <w:t xml:space="preserve">week study included 103 patients with a moderate CV risk, not taking statins or other lipid-modifying therapies, and a baseline LDL-C between 100 mg/dL (2.59 mmol/L) to 190 mg/dL (4.91 mmol/L). Patients received either alirocumab 75 mg Q2W or ezetimibe 10 mg once daily. Dose up-titration of alirocumab to 150 mg Q2W occurred at week 12 </w:t>
      </w:r>
      <w:r w:rsidR="009A2C0B" w:rsidRPr="00204FB3">
        <w:rPr>
          <w:color w:val="auto"/>
        </w:rPr>
        <w:t>in patients with LDL-C ≥70 mg/dL</w:t>
      </w:r>
      <w:r w:rsidRPr="00204FB3">
        <w:rPr>
          <w:color w:val="auto"/>
        </w:rPr>
        <w:t xml:space="preserve"> (≥1.81 mmol/L). At week 24, the mean treatment difference from ezetimibe in LDL-C percent change from baseline was -31.6% (95% CI: -40.2%, -23.0%; p-value: ˂0.0001).  At week 12 (before up-titration), 57.7% of patients reached an LDL-C of ˂70 mg/dL (˂1.81 mmol/L) as compared to 0% in the ezetimibe group. The dose was up-titrated to 150 mg Q2W in 14 (30.4%) patients treated beyond 12 weeks. Among the subgroup of patients up-titrated at week 12, an additional 1.4 % mean reduction in LDL-C was achieved at week 24. The difference versus ezetimibe was statistically significant at week 24 for LDL-C, Total-C, Non-HDL-C and Apo B.</w:t>
      </w:r>
    </w:p>
    <w:p w14:paraId="6DDA04B9" w14:textId="77777777" w:rsidR="001C65EF" w:rsidRPr="00204FB3" w:rsidRDefault="001C65EF" w:rsidP="00AA1DDE">
      <w:pPr>
        <w:pStyle w:val="Heading4"/>
        <w:numPr>
          <w:ilvl w:val="0"/>
          <w:numId w:val="0"/>
        </w:numPr>
        <w:ind w:left="862" w:hanging="862"/>
      </w:pPr>
      <w:r w:rsidRPr="00204FB3">
        <w:lastRenderedPageBreak/>
        <w:t>Every 4 Week (Q4W) Dosing Regimen</w:t>
      </w:r>
    </w:p>
    <w:p w14:paraId="5FF41D26" w14:textId="77777777" w:rsidR="001C65EF" w:rsidRPr="00204FB3" w:rsidRDefault="001C65EF" w:rsidP="00AA1DDE">
      <w:pPr>
        <w:pStyle w:val="Heading5"/>
        <w:numPr>
          <w:ilvl w:val="0"/>
          <w:numId w:val="0"/>
        </w:numPr>
        <w:ind w:left="1009" w:hanging="1009"/>
      </w:pPr>
      <w:r w:rsidRPr="00204FB3">
        <w:t>CHOICE I study</w:t>
      </w:r>
    </w:p>
    <w:p w14:paraId="330F2308" w14:textId="67929C4C" w:rsidR="001C65EF" w:rsidRPr="00204FB3" w:rsidRDefault="001C65EF" w:rsidP="001C65EF">
      <w:pPr>
        <w:rPr>
          <w:color w:val="auto"/>
        </w:rPr>
      </w:pPr>
      <w:r w:rsidRPr="00204FB3">
        <w:rPr>
          <w:color w:val="auto"/>
        </w:rPr>
        <w:t>A multicentre, double-blind, placebo-controlled, 48</w:t>
      </w:r>
      <w:r w:rsidR="00204FB3" w:rsidRPr="00204FB3">
        <w:rPr>
          <w:color w:val="auto"/>
        </w:rPr>
        <w:t>-</w:t>
      </w:r>
      <w:r w:rsidRPr="00204FB3">
        <w:rPr>
          <w:color w:val="auto"/>
        </w:rPr>
        <w:t>week</w:t>
      </w:r>
      <w:r w:rsidR="00204FB3" w:rsidRPr="00204FB3">
        <w:rPr>
          <w:color w:val="auto"/>
        </w:rPr>
        <w:t xml:space="preserve"> </w:t>
      </w:r>
      <w:r w:rsidRPr="00204FB3">
        <w:rPr>
          <w:color w:val="auto"/>
        </w:rPr>
        <w:t>study included 540 patients on a maximally tolerated dose of a statin, with or without other lipid-modifying therapy (308 in the Praluent 300 mg Q4W group, 76 in the Praluent 75 mg Q2W group, and 156 in the placebo group), and 252 patients not treated with a statin (144 in the Praluent 300 mg Q4W group, 37 in the Praluent 75 mg Q2W group, and 71 in the placebo group). Patients received either Praluent 300 mg Q4W, Praluent 75 mg Q2W, or placebo in addition to their existing lipid-modifying therapy (statin, non-statin therapy or diet alone). Overall, 71.6% of patients were categorized at high or very high CV risk and not at their LDL-C target. Dose adjustment in the Praluent arms to 150 mg Q2W occurred at week 12 in patients with LDL-C ≥70 mg/dL (≥1.81 mmol/L) or ≥100 mg/dL (≥2.59 mmol/L), depending on their level of CV risk, or in patients who did not have at least a 30% reduction of LDL-C from baseline.</w:t>
      </w:r>
    </w:p>
    <w:p w14:paraId="66BFB6C8" w14:textId="4A191B05" w:rsidR="001C65EF" w:rsidRPr="00204FB3" w:rsidRDefault="001C65EF" w:rsidP="001C65EF">
      <w:pPr>
        <w:rPr>
          <w:color w:val="auto"/>
        </w:rPr>
      </w:pPr>
      <w:r w:rsidRPr="00204FB3">
        <w:rPr>
          <w:color w:val="auto"/>
        </w:rPr>
        <w:t>In the cohort of patients on background statin, the mean baseline LDL-C was 112.7 mg/dL (2.91 mmol/L). At week 12, the mean percent change from baseline with Praluent 300 mg Q4W in LDL-C (ITT analysis) was -55.3% compared to +1.1% for placebo. At week 12 (before dose adjustment), 77.3% of patients treated with Praluent 300 mg Q4W reached an LDL-C of ˂70 mg/dL (&lt;1.81 mmol/L) as compared to 9.3% in the placebo group. At week 24, the mean percent change from baseline with Praluent 300 mg Q4W/150 mg Q2W in LDL-C (ITT analysis) was -58.8% compared to -0.1% for placebo. At week 24, the mean treatment difference for Praluent 300 mg Q4W/150 mg Q2W from placebo in LDL-C percent change from baseline was -58.7% (97.5% CI: -65.0%, -52.4%; p-value: ˂ 0.0001). In patients treated beyond 12 weeks, the dose was adjusted to 150 mg Q2W in 56 (19.3%) of 290 patients in the Praluent 300 mg Q4W arm. Among the subgroup of patients dose adjusted to 150 mg Q2W at week 12, an additional 25.4% reduction in LDL-C was achieved at week 24.</w:t>
      </w:r>
    </w:p>
    <w:p w14:paraId="63D3FE6E" w14:textId="20878A30" w:rsidR="001C65EF" w:rsidRPr="00204FB3" w:rsidRDefault="001C65EF" w:rsidP="001C65EF">
      <w:pPr>
        <w:rPr>
          <w:color w:val="auto"/>
        </w:rPr>
      </w:pPr>
      <w:r w:rsidRPr="00204FB3">
        <w:rPr>
          <w:color w:val="auto"/>
        </w:rPr>
        <w:t>In the cohort of patients not treated with a concomitant statin, the mean baseline LDL-C was 142.1 mg/dL (3.67 mmol/L). At week 12, the mean percent change from baseline with Praluent 300 mg Q4W in LDL-C (ITT analysis) was -58.4% compared to +0.3% for placebo. At week 12 (before dose adjustment), 65.2% of patients treated with Praluent 300 mg Q4W reached an LDL-C of ˂70 mg/dL (&lt;1.81 mmol/L) as compared to 2.8% in the placebo group. At week 24, the mean percent change from baseline with Praluent 300 mg Q4W/150 mg Q2W in LDL-C (ITT analysis) was -52.7% compared to -0.3% for placebo. At week 24, the mean treatment difference for Praluent 300 mg Q4W/150 mg Q2W from placebo in LDL-C percent change from baseline was -52.4% (97.5% CI: -59.8%, -45.0%; p-value: ˂ 0.0001). In patients treated beyond 12 weeks, the dose was adjusted to 150 mg Q2W in 19 (14.7%) of 129 patients in the Pral</w:t>
      </w:r>
      <w:r w:rsidR="00981662" w:rsidRPr="00204FB3">
        <w:rPr>
          <w:color w:val="auto"/>
        </w:rPr>
        <w:t xml:space="preserve">uent 300 mg Q4W arm. Among the </w:t>
      </w:r>
      <w:r w:rsidRPr="00204FB3">
        <w:rPr>
          <w:color w:val="auto"/>
        </w:rPr>
        <w:t>subgroup of patients dose adjusted to 150 mg Q2W at week 12, an additional 7.3% mean reduction in LDL-C was achieved at week 24.</w:t>
      </w:r>
    </w:p>
    <w:p w14:paraId="56D4B1C1" w14:textId="77777777" w:rsidR="001C65EF" w:rsidRPr="00204FB3" w:rsidRDefault="001C65EF" w:rsidP="001C65EF">
      <w:pPr>
        <w:rPr>
          <w:color w:val="auto"/>
        </w:rPr>
      </w:pPr>
      <w:r w:rsidRPr="00204FB3">
        <w:rPr>
          <w:color w:val="auto"/>
        </w:rPr>
        <w:t>In both cohorts, the difference vs placebo was statistically significant at week 24 for all lipid parameters, except for Apo A-1 in the subgroup of patients on background statin.</w:t>
      </w:r>
    </w:p>
    <w:p w14:paraId="38B41341" w14:textId="77777777" w:rsidR="000E1A58" w:rsidRPr="00204FB3" w:rsidRDefault="00124858" w:rsidP="00124858">
      <w:pPr>
        <w:pStyle w:val="Heading4"/>
        <w:numPr>
          <w:ilvl w:val="0"/>
          <w:numId w:val="0"/>
        </w:numPr>
        <w:ind w:left="862" w:hanging="862"/>
        <w:rPr>
          <w:lang w:val="en-AU"/>
        </w:rPr>
      </w:pPr>
      <w:r w:rsidRPr="00204FB3">
        <w:rPr>
          <w:lang w:val="en-AU"/>
        </w:rPr>
        <w:lastRenderedPageBreak/>
        <w:t>CLINICAL EFFICACY AND SAFETY IN PREVENTION OF CARDIOVASCULAR EVENTS</w:t>
      </w:r>
      <w:r w:rsidR="00244276" w:rsidRPr="00204FB3">
        <w:rPr>
          <w:lang w:val="en-AU"/>
        </w:rPr>
        <w:t xml:space="preserve">  </w:t>
      </w:r>
    </w:p>
    <w:p w14:paraId="6F536BCB" w14:textId="77777777" w:rsidR="00244276" w:rsidRPr="00204FB3" w:rsidRDefault="00244276" w:rsidP="00124858">
      <w:pPr>
        <w:pStyle w:val="Heading5"/>
        <w:numPr>
          <w:ilvl w:val="0"/>
          <w:numId w:val="0"/>
        </w:numPr>
        <w:ind w:left="1009" w:hanging="1009"/>
        <w:rPr>
          <w:lang w:val="en-AU"/>
        </w:rPr>
      </w:pPr>
      <w:r w:rsidRPr="00204FB3">
        <w:rPr>
          <w:lang w:val="en-AU"/>
        </w:rPr>
        <w:t>ODYSSEY OUTCOMES study</w:t>
      </w:r>
    </w:p>
    <w:p w14:paraId="6E5B3A03" w14:textId="63B1B2F7" w:rsidR="00244276" w:rsidRPr="00204FB3" w:rsidRDefault="00244276" w:rsidP="00244276">
      <w:pPr>
        <w:rPr>
          <w:color w:val="auto"/>
          <w:lang w:val="en-AU"/>
        </w:rPr>
      </w:pPr>
      <w:r w:rsidRPr="00204FB3">
        <w:rPr>
          <w:color w:val="auto"/>
          <w:lang w:val="en-AU"/>
        </w:rPr>
        <w:t>A multicentre, double-blind, placebo-controlled trial in 18,924 adult patients (9462 alirocumab; 9462 placebo) followed for up to 5 years. Patients had experienced an acute coronary syndrome (ACS) event 4 to 52 weeks prior to randomi</w:t>
      </w:r>
      <w:r w:rsidR="00FA4650" w:rsidRPr="00204FB3">
        <w:rPr>
          <w:color w:val="auto"/>
          <w:lang w:val="en-AU"/>
        </w:rPr>
        <w:t>s</w:t>
      </w:r>
      <w:r w:rsidRPr="00204FB3">
        <w:rPr>
          <w:color w:val="auto"/>
          <w:lang w:val="en-AU"/>
        </w:rPr>
        <w:t>ation and were treated with a lipid-modifying-therapy (LMT) regimen that was statin-intensive (defined as atorvastatin 40 or 80 mg, or rosuvastatin 20 or 40 mg) or at maximally tolerated dose of those statins, with or without other LMT. All patients were randomi</w:t>
      </w:r>
      <w:r w:rsidR="00016990" w:rsidRPr="00204FB3">
        <w:rPr>
          <w:color w:val="auto"/>
          <w:lang w:val="en-AU"/>
        </w:rPr>
        <w:t>s</w:t>
      </w:r>
      <w:r w:rsidRPr="00204FB3">
        <w:rPr>
          <w:color w:val="auto"/>
          <w:lang w:val="en-AU"/>
        </w:rPr>
        <w:t xml:space="preserve">ed 1:1 to receive either alirocumab 75 mg once every two weeks (Q2W) or placebo Q2W. At month 2, if additional LDL-C lowering was required based on pre-specified LDL-C criteria (LDL-C ≥50 mg/dL or </w:t>
      </w:r>
      <w:r w:rsidR="00D17C34" w:rsidRPr="00204FB3">
        <w:rPr>
          <w:color w:val="auto"/>
          <w:lang w:val="en-AU"/>
        </w:rPr>
        <w:t>1.29</w:t>
      </w:r>
      <w:r w:rsidRPr="00204FB3">
        <w:rPr>
          <w:color w:val="auto"/>
          <w:lang w:val="en-AU"/>
        </w:rPr>
        <w:t xml:space="preserve"> mmol/dL), alirocumab was adjusted to 150 mg Q2W. For patients who had their dose adjusted to 150 mg Q2W and who had two consecutive LDL-C values below 25 mg/dL (0.65 mmol/L), down-titration from 150 mg Q2W to 75 mg Q2W was performed. Patients on 75 mg Q2W who had two consecutive LDL-C values below 15 mg/dL </w:t>
      </w:r>
    </w:p>
    <w:p w14:paraId="3CCD7B41" w14:textId="77777777" w:rsidR="00244276" w:rsidRPr="00204FB3" w:rsidRDefault="00244276" w:rsidP="00244276">
      <w:pPr>
        <w:rPr>
          <w:color w:val="auto"/>
          <w:lang w:val="en-AU"/>
        </w:rPr>
      </w:pPr>
      <w:r w:rsidRPr="00204FB3">
        <w:rPr>
          <w:color w:val="auto"/>
          <w:lang w:val="en-AU"/>
        </w:rPr>
        <w:t xml:space="preserve">(0.39 mmol/L) were switched to placebo in a blinded fashion. Approximately 2615 (27.7%) of 9451 patients treated with alirocumab required dose adjustment to 150 mg Q2W. Of these 2615 patients, 805 (30.8%) were down-titrated to 75 mg Q2W. Overall, 730 (7.7%) of 9451 patients switched to placebo. A total of 99.5% of patients were followed for survival until the end of the trial. The median follow-up duration was 33 months. </w:t>
      </w:r>
    </w:p>
    <w:p w14:paraId="7FB70647" w14:textId="332B98A7" w:rsidR="00244276" w:rsidRPr="00204FB3" w:rsidRDefault="00244276" w:rsidP="00244276">
      <w:pPr>
        <w:rPr>
          <w:color w:val="auto"/>
          <w:lang w:val="en-AU"/>
        </w:rPr>
      </w:pPr>
      <w:r w:rsidRPr="00204FB3">
        <w:rPr>
          <w:color w:val="auto"/>
          <w:lang w:val="en-AU"/>
        </w:rPr>
        <w:t>The index ACS event was a myocardial infarction in 83.2% of patients (34.6% STEMI, 48.6% NSTEMI) and an episode of unstable angina in 16.8% of patients. Prior to the index ACS event, 19.2% had a myocardial infarction and 22.7% had coronary revascularization procedures (CABG/PCI). Most patients (88.8%) were receiving high intensity statin therapy with or without other LMT at randomi</w:t>
      </w:r>
      <w:r w:rsidR="00016990" w:rsidRPr="00204FB3">
        <w:rPr>
          <w:color w:val="auto"/>
          <w:lang w:val="en-AU"/>
        </w:rPr>
        <w:t>s</w:t>
      </w:r>
      <w:r w:rsidRPr="00204FB3">
        <w:rPr>
          <w:color w:val="auto"/>
          <w:lang w:val="en-AU"/>
        </w:rPr>
        <w:t>ation. The mean LDL-C value at baseline was 92.4 mg/dL (</w:t>
      </w:r>
      <w:r w:rsidR="00D17C34" w:rsidRPr="00204FB3">
        <w:rPr>
          <w:color w:val="auto"/>
          <w:lang w:val="en-AU"/>
        </w:rPr>
        <w:t xml:space="preserve">2.39 </w:t>
      </w:r>
      <w:r w:rsidRPr="00204FB3">
        <w:rPr>
          <w:color w:val="auto"/>
          <w:lang w:val="en-AU"/>
        </w:rPr>
        <w:t xml:space="preserve">mmo/L). </w:t>
      </w:r>
    </w:p>
    <w:p w14:paraId="2B78DCC9" w14:textId="0F8D1150" w:rsidR="00215881" w:rsidRPr="00204FB3" w:rsidRDefault="00244276" w:rsidP="00DE4B03">
      <w:pPr>
        <w:rPr>
          <w:color w:val="auto"/>
          <w:lang w:val="en-AU"/>
        </w:rPr>
      </w:pPr>
      <w:r w:rsidRPr="00204FB3">
        <w:rPr>
          <w:color w:val="auto"/>
          <w:lang w:val="en-AU"/>
        </w:rPr>
        <w:t xml:space="preserve">Alirocumab significantly reduced the risk for the primary composite endpoint of the time to first occurrence of Major Adverse Cardiovascular Events (MACE) consisting of coronary heart disease (CHD) death, non-fatal myocardial infarction (MI), fatal and non-fatal ischemic stroke, or unstable angina (UA) requiring hospitalization (HR 0.85, 95% CI: 0.78, 0.93; p-value=0.0003). Alirocumab also significantly reduced the following composite endpoints: risk of CHD event; major CHD event; cardiovascular event; and the composite of all-cause mortality, non-fatal MI, and non-fatal ischemic stroke. </w:t>
      </w:r>
      <w:r w:rsidR="00DD6AF2" w:rsidRPr="00204FB3">
        <w:rPr>
          <w:color w:val="auto"/>
          <w:lang w:val="en-AU"/>
        </w:rPr>
        <w:t xml:space="preserve">The results are presented in </w:t>
      </w:r>
      <w:r w:rsidR="00DD6AF2" w:rsidRPr="00204FB3">
        <w:rPr>
          <w:color w:val="auto"/>
          <w:lang w:val="en-AU"/>
        </w:rPr>
        <w:fldChar w:fldCharType="begin"/>
      </w:r>
      <w:r w:rsidR="00DD6AF2" w:rsidRPr="00204FB3">
        <w:rPr>
          <w:color w:val="auto"/>
          <w:lang w:val="en-AU"/>
        </w:rPr>
        <w:instrText xml:space="preserve"> REF _Ref517799365 \h  \* MERGEFORMAT </w:instrText>
      </w:r>
      <w:r w:rsidR="00DD6AF2" w:rsidRPr="00204FB3">
        <w:rPr>
          <w:color w:val="auto"/>
          <w:lang w:val="en-AU"/>
        </w:rPr>
      </w:r>
      <w:r w:rsidR="00DD6AF2" w:rsidRPr="00204FB3">
        <w:rPr>
          <w:color w:val="auto"/>
          <w:lang w:val="en-AU"/>
        </w:rPr>
        <w:fldChar w:fldCharType="separate"/>
      </w:r>
      <w:r w:rsidR="0052180F" w:rsidRPr="0052180F">
        <w:rPr>
          <w:color w:val="auto"/>
        </w:rPr>
        <w:t>Table 8</w:t>
      </w:r>
      <w:r w:rsidR="00DD6AF2" w:rsidRPr="00204FB3">
        <w:rPr>
          <w:color w:val="auto"/>
          <w:lang w:val="en-AU"/>
        </w:rPr>
        <w:fldChar w:fldCharType="end"/>
      </w:r>
      <w:r w:rsidR="00DD6AF2" w:rsidRPr="00204FB3">
        <w:rPr>
          <w:color w:val="auto"/>
          <w:lang w:val="en-AU"/>
        </w:rPr>
        <w:t xml:space="preserve">. </w:t>
      </w:r>
      <w:r w:rsidRPr="00204FB3">
        <w:rPr>
          <w:color w:val="auto"/>
          <w:lang w:val="en-AU"/>
        </w:rPr>
        <w:t xml:space="preserve">In the subgroup of high risk patients with baseline LDL-C ≥100 mg/dL </w:t>
      </w:r>
      <w:r w:rsidR="004E0609" w:rsidRPr="00204FB3">
        <w:rPr>
          <w:color w:val="auto"/>
          <w:lang w:val="en-AU"/>
        </w:rPr>
        <w:t>(</w:t>
      </w:r>
      <w:r w:rsidRPr="00204FB3">
        <w:rPr>
          <w:color w:val="auto"/>
          <w:lang w:val="en-AU"/>
        </w:rPr>
        <w:t>2.59 mmol/L), primary and all secondary endpoints were improved with alirocumab treatment including CHD death</w:t>
      </w:r>
      <w:r w:rsidR="00DD6AF2" w:rsidRPr="00204FB3">
        <w:rPr>
          <w:color w:val="auto"/>
          <w:lang w:val="en-AU"/>
        </w:rPr>
        <w:t xml:space="preserve"> (HR 0.72, 95% CI: 0.53, 0.98)</w:t>
      </w:r>
      <w:r w:rsidRPr="00204FB3">
        <w:rPr>
          <w:color w:val="auto"/>
          <w:lang w:val="en-AU"/>
        </w:rPr>
        <w:t xml:space="preserve">, CV death </w:t>
      </w:r>
      <w:r w:rsidR="00DD6AF2" w:rsidRPr="00204FB3">
        <w:rPr>
          <w:color w:val="auto"/>
          <w:lang w:val="en-AU"/>
        </w:rPr>
        <w:t xml:space="preserve">(HR 0.69, 95% CI:0.52, 0.92) </w:t>
      </w:r>
      <w:r w:rsidRPr="00204FB3">
        <w:rPr>
          <w:color w:val="auto"/>
          <w:lang w:val="en-AU"/>
        </w:rPr>
        <w:t>and all-cause mortality</w:t>
      </w:r>
      <w:r w:rsidR="00DD6AF2" w:rsidRPr="00204FB3">
        <w:rPr>
          <w:color w:val="auto"/>
          <w:lang w:val="en-AU"/>
        </w:rPr>
        <w:t xml:space="preserve"> (HR 0.71, 95% CI:0.56, 0.90).</w:t>
      </w:r>
      <w:r w:rsidRPr="00204FB3">
        <w:rPr>
          <w:color w:val="auto"/>
          <w:lang w:val="en-AU"/>
        </w:rPr>
        <w:t xml:space="preserve"> </w:t>
      </w:r>
    </w:p>
    <w:p w14:paraId="56BAE2C2" w14:textId="63FE5C9C" w:rsidR="00A44AD1" w:rsidRPr="00204FB3" w:rsidRDefault="00A44AD1" w:rsidP="00A44AD1">
      <w:pPr>
        <w:pStyle w:val="Caption"/>
        <w:rPr>
          <w:lang w:val="en-AU"/>
        </w:rPr>
      </w:pPr>
      <w:bookmarkStart w:id="9" w:name="_Ref517799365"/>
      <w:r w:rsidRPr="00204FB3">
        <w:lastRenderedPageBreak/>
        <w:t>Table </w:t>
      </w:r>
      <w:r w:rsidRPr="00204FB3">
        <w:fldChar w:fldCharType="begin"/>
      </w:r>
      <w:r w:rsidRPr="00204FB3">
        <w:instrText xml:space="preserve"> SEQ Table \* ARABIC </w:instrText>
      </w:r>
      <w:r w:rsidRPr="00204FB3">
        <w:fldChar w:fldCharType="separate"/>
      </w:r>
      <w:r w:rsidR="0052180F">
        <w:rPr>
          <w:noProof/>
        </w:rPr>
        <w:t>8</w:t>
      </w:r>
      <w:r w:rsidRPr="00204FB3">
        <w:fldChar w:fldCharType="end"/>
      </w:r>
      <w:bookmarkEnd w:id="9"/>
      <w:r w:rsidRPr="00204FB3">
        <w:t xml:space="preserve"> ­ Efficacy of Alirocumab in ODYSSEY OUTCOMES (Overall Population)</w:t>
      </w:r>
    </w:p>
    <w:p w14:paraId="5A9A2137" w14:textId="38996209" w:rsidR="00215881" w:rsidRPr="00204FB3" w:rsidRDefault="00A524AC" w:rsidP="00244276">
      <w:pPr>
        <w:rPr>
          <w:color w:val="auto"/>
          <w:lang w:val="en-AU"/>
        </w:rPr>
      </w:pPr>
      <w:r w:rsidRPr="00204FB3">
        <w:rPr>
          <w:noProof/>
          <w:lang w:val="en-AU" w:eastAsia="en-AU"/>
        </w:rPr>
        <w:drawing>
          <wp:inline distT="0" distB="0" distL="0" distR="0" wp14:anchorId="6F52D666" wp14:editId="37692C18">
            <wp:extent cx="6012815" cy="5166995"/>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12815" cy="5166995"/>
                    </a:xfrm>
                    <a:prstGeom prst="rect">
                      <a:avLst/>
                    </a:prstGeom>
                  </pic:spPr>
                </pic:pic>
              </a:graphicData>
            </a:graphic>
          </wp:inline>
        </w:drawing>
      </w:r>
    </w:p>
    <w:p w14:paraId="65F914AB" w14:textId="6FE55A77" w:rsidR="00D821C2" w:rsidRPr="00204FB3" w:rsidRDefault="00D17C34" w:rsidP="00215881">
      <w:pPr>
        <w:spacing w:before="0" w:line="243" w:lineRule="exact"/>
        <w:ind w:left="293"/>
        <w:rPr>
          <w:rFonts w:eastAsia="Times New Roman"/>
          <w:color w:val="auto"/>
          <w:sz w:val="20"/>
          <w:szCs w:val="20"/>
        </w:rPr>
      </w:pPr>
      <w:r w:rsidRPr="00204FB3">
        <w:rPr>
          <w:color w:val="auto"/>
          <w:position w:val="9"/>
          <w:sz w:val="13"/>
        </w:rPr>
        <w:t>a</w:t>
      </w:r>
      <w:r w:rsidR="00D821C2" w:rsidRPr="00204FB3">
        <w:rPr>
          <w:color w:val="auto"/>
          <w:sz w:val="20"/>
        </w:rPr>
        <w:t>Unstable angina requiring</w:t>
      </w:r>
      <w:r w:rsidR="00D821C2" w:rsidRPr="00204FB3">
        <w:rPr>
          <w:color w:val="auto"/>
          <w:spacing w:val="3"/>
          <w:sz w:val="20"/>
        </w:rPr>
        <w:t xml:space="preserve"> </w:t>
      </w:r>
      <w:r w:rsidR="00D821C2" w:rsidRPr="00204FB3">
        <w:rPr>
          <w:color w:val="auto"/>
          <w:sz w:val="20"/>
        </w:rPr>
        <w:t>hospitalization</w:t>
      </w:r>
    </w:p>
    <w:p w14:paraId="1F9ACE39" w14:textId="56F3A7F8" w:rsidR="00D821C2" w:rsidRPr="00204FB3" w:rsidRDefault="00D821C2" w:rsidP="00215881">
      <w:pPr>
        <w:spacing w:before="0" w:line="20" w:lineRule="exact"/>
        <w:ind w:left="288"/>
        <w:rPr>
          <w:rFonts w:eastAsia="Times New Roman"/>
          <w:color w:val="auto"/>
          <w:sz w:val="2"/>
          <w:szCs w:val="2"/>
        </w:rPr>
      </w:pPr>
    </w:p>
    <w:p w14:paraId="10E61BFA" w14:textId="5C7FCC3A" w:rsidR="00D821C2" w:rsidRPr="00204FB3" w:rsidRDefault="00D821C2" w:rsidP="00215881">
      <w:pPr>
        <w:spacing w:before="0" w:line="228" w:lineRule="exact"/>
        <w:ind w:left="293"/>
        <w:rPr>
          <w:rFonts w:eastAsia="Times New Roman"/>
          <w:color w:val="auto"/>
          <w:sz w:val="20"/>
          <w:szCs w:val="20"/>
        </w:rPr>
      </w:pPr>
      <w:r w:rsidRPr="00204FB3">
        <w:rPr>
          <w:color w:val="auto"/>
          <w:position w:val="9"/>
          <w:sz w:val="13"/>
        </w:rPr>
        <w:t>b</w:t>
      </w:r>
      <w:r w:rsidRPr="00204FB3">
        <w:rPr>
          <w:color w:val="auto"/>
          <w:sz w:val="20"/>
        </w:rPr>
        <w:t>CHD event defined as: major CHD event</w:t>
      </w:r>
      <w:r w:rsidRPr="00204FB3">
        <w:rPr>
          <w:color w:val="auto"/>
          <w:position w:val="9"/>
          <w:sz w:val="13"/>
        </w:rPr>
        <w:t>c</w:t>
      </w:r>
      <w:r w:rsidRPr="00204FB3">
        <w:rPr>
          <w:color w:val="auto"/>
          <w:sz w:val="20"/>
        </w:rPr>
        <w:t>, unstable angina requiring hospitalization, ischemia-driven</w:t>
      </w:r>
      <w:r w:rsidRPr="00204FB3">
        <w:rPr>
          <w:color w:val="auto"/>
          <w:spacing w:val="-27"/>
          <w:sz w:val="20"/>
        </w:rPr>
        <w:t xml:space="preserve"> </w:t>
      </w:r>
      <w:r w:rsidRPr="00204FB3">
        <w:rPr>
          <w:color w:val="auto"/>
          <w:sz w:val="20"/>
        </w:rPr>
        <w:t>coronary</w:t>
      </w:r>
      <w:r w:rsidRPr="00204FB3">
        <w:rPr>
          <w:color w:val="auto"/>
          <w:w w:val="99"/>
          <w:sz w:val="20"/>
        </w:rPr>
        <w:t xml:space="preserve"> </w:t>
      </w:r>
      <w:r w:rsidRPr="00204FB3">
        <w:rPr>
          <w:color w:val="auto"/>
          <w:sz w:val="20"/>
        </w:rPr>
        <w:t>revascularization</w:t>
      </w:r>
      <w:r w:rsidRPr="00204FB3">
        <w:rPr>
          <w:color w:val="auto"/>
          <w:spacing w:val="-9"/>
          <w:sz w:val="20"/>
        </w:rPr>
        <w:t xml:space="preserve"> </w:t>
      </w:r>
      <w:r w:rsidRPr="00204FB3">
        <w:rPr>
          <w:color w:val="auto"/>
          <w:sz w:val="20"/>
        </w:rPr>
        <w:t>procedure</w:t>
      </w:r>
    </w:p>
    <w:p w14:paraId="66CC134B" w14:textId="5B8EF542" w:rsidR="00D821C2" w:rsidRPr="00204FB3" w:rsidRDefault="00D17C34" w:rsidP="00215881">
      <w:pPr>
        <w:spacing w:before="0" w:line="216" w:lineRule="exact"/>
        <w:ind w:left="293"/>
        <w:rPr>
          <w:rFonts w:eastAsia="Times New Roman"/>
          <w:color w:val="auto"/>
          <w:sz w:val="20"/>
          <w:szCs w:val="20"/>
        </w:rPr>
      </w:pPr>
      <w:r w:rsidRPr="00204FB3">
        <w:rPr>
          <w:color w:val="auto"/>
          <w:position w:val="9"/>
          <w:sz w:val="13"/>
        </w:rPr>
        <w:t>c</w:t>
      </w:r>
      <w:r w:rsidR="00D821C2" w:rsidRPr="00204FB3">
        <w:rPr>
          <w:color w:val="auto"/>
          <w:sz w:val="20"/>
        </w:rPr>
        <w:t>Major CHD event defined as: CHD death, non-fatal</w:t>
      </w:r>
      <w:r w:rsidR="00D821C2" w:rsidRPr="00204FB3">
        <w:rPr>
          <w:color w:val="auto"/>
          <w:spacing w:val="1"/>
          <w:sz w:val="20"/>
        </w:rPr>
        <w:t xml:space="preserve"> </w:t>
      </w:r>
      <w:r w:rsidR="00D821C2" w:rsidRPr="00204FB3">
        <w:rPr>
          <w:color w:val="auto"/>
          <w:sz w:val="20"/>
        </w:rPr>
        <w:t>MI</w:t>
      </w:r>
    </w:p>
    <w:p w14:paraId="3E0D1D68" w14:textId="3AD664F2" w:rsidR="00D821C2" w:rsidRPr="00204FB3" w:rsidRDefault="00D17C34" w:rsidP="00215881">
      <w:pPr>
        <w:spacing w:before="0" w:line="230" w:lineRule="exact"/>
        <w:ind w:left="293"/>
        <w:rPr>
          <w:color w:val="auto"/>
          <w:sz w:val="20"/>
        </w:rPr>
      </w:pPr>
      <w:r w:rsidRPr="00204FB3">
        <w:rPr>
          <w:color w:val="auto"/>
          <w:position w:val="9"/>
          <w:sz w:val="13"/>
        </w:rPr>
        <w:t>d</w:t>
      </w:r>
      <w:r w:rsidR="00D821C2" w:rsidRPr="00204FB3">
        <w:rPr>
          <w:color w:val="auto"/>
          <w:sz w:val="20"/>
        </w:rPr>
        <w:t>Cardiovascular event defined as follows: CV death, any non-fatal CHD event, and non-fatal ischemic</w:t>
      </w:r>
      <w:r w:rsidR="00D821C2" w:rsidRPr="00204FB3">
        <w:rPr>
          <w:color w:val="auto"/>
          <w:spacing w:val="-13"/>
          <w:sz w:val="20"/>
        </w:rPr>
        <w:t xml:space="preserve"> </w:t>
      </w:r>
      <w:r w:rsidR="00D821C2" w:rsidRPr="00204FB3">
        <w:rPr>
          <w:color w:val="auto"/>
          <w:sz w:val="20"/>
        </w:rPr>
        <w:t>stroke</w:t>
      </w:r>
    </w:p>
    <w:p w14:paraId="44E1CBBE" w14:textId="77777777" w:rsidR="00C91D21" w:rsidRPr="00204FB3" w:rsidRDefault="00C91D21" w:rsidP="00C91D21">
      <w:pPr>
        <w:spacing w:before="0" w:line="243" w:lineRule="exact"/>
        <w:ind w:left="293"/>
        <w:rPr>
          <w:rFonts w:eastAsia="Times New Roman"/>
          <w:color w:val="auto"/>
          <w:sz w:val="20"/>
          <w:szCs w:val="20"/>
        </w:rPr>
      </w:pPr>
      <w:r w:rsidRPr="00204FB3">
        <w:rPr>
          <w:color w:val="auto"/>
          <w:position w:val="9"/>
          <w:sz w:val="13"/>
        </w:rPr>
        <w:t>e</w:t>
      </w:r>
      <w:r w:rsidRPr="00204FB3">
        <w:rPr>
          <w:color w:val="auto"/>
          <w:sz w:val="20"/>
        </w:rPr>
        <w:t>Nominal</w:t>
      </w:r>
      <w:r w:rsidRPr="00204FB3">
        <w:rPr>
          <w:color w:val="auto"/>
          <w:spacing w:val="5"/>
          <w:sz w:val="20"/>
        </w:rPr>
        <w:t xml:space="preserve"> </w:t>
      </w:r>
      <w:r w:rsidRPr="00204FB3">
        <w:rPr>
          <w:color w:val="auto"/>
          <w:sz w:val="20"/>
        </w:rPr>
        <w:t>significance</w:t>
      </w:r>
    </w:p>
    <w:p w14:paraId="0A863310" w14:textId="77777777" w:rsidR="00C91D21" w:rsidRPr="00204FB3" w:rsidRDefault="00C91D21" w:rsidP="00215881">
      <w:pPr>
        <w:spacing w:before="0" w:line="230" w:lineRule="exact"/>
        <w:ind w:left="293"/>
        <w:rPr>
          <w:rFonts w:eastAsia="Times New Roman"/>
          <w:color w:val="auto"/>
          <w:sz w:val="20"/>
          <w:szCs w:val="20"/>
        </w:rPr>
      </w:pPr>
    </w:p>
    <w:p w14:paraId="182DED9C" w14:textId="70A4598D" w:rsidR="00D821C2" w:rsidRPr="00204FB3" w:rsidRDefault="00D821C2" w:rsidP="00215881">
      <w:pPr>
        <w:spacing w:before="0" w:line="243" w:lineRule="exact"/>
        <w:ind w:left="293"/>
        <w:rPr>
          <w:rFonts w:eastAsia="Times New Roman"/>
          <w:color w:val="auto"/>
          <w:sz w:val="20"/>
          <w:szCs w:val="20"/>
        </w:rPr>
      </w:pPr>
    </w:p>
    <w:p w14:paraId="09AC56CA" w14:textId="77777777" w:rsidR="00215881" w:rsidRPr="00204FB3" w:rsidRDefault="00215881" w:rsidP="00215881">
      <w:pPr>
        <w:rPr>
          <w:color w:val="auto"/>
        </w:rPr>
      </w:pPr>
      <w:r w:rsidRPr="00204FB3">
        <w:rPr>
          <w:color w:val="auto"/>
        </w:rPr>
        <w:br/>
      </w:r>
    </w:p>
    <w:p w14:paraId="2EA90EDB" w14:textId="4D46CEAF" w:rsidR="00FF029B" w:rsidRPr="00204FB3" w:rsidRDefault="00FF029B" w:rsidP="007B1E93">
      <w:pPr>
        <w:pStyle w:val="Caption"/>
        <w:jc w:val="left"/>
      </w:pPr>
      <w:bookmarkStart w:id="10" w:name="_Ref517799407"/>
    </w:p>
    <w:bookmarkEnd w:id="10"/>
    <w:p w14:paraId="4AD978F5" w14:textId="77777777" w:rsidR="00D821C2" w:rsidRPr="00204FB3" w:rsidRDefault="00D821C2" w:rsidP="00D821C2">
      <w:pPr>
        <w:spacing w:before="2"/>
        <w:rPr>
          <w:rFonts w:eastAsia="Times New Roman"/>
          <w:b/>
          <w:bCs/>
          <w:color w:val="auto"/>
          <w:sz w:val="5"/>
          <w:szCs w:val="5"/>
        </w:rPr>
      </w:pPr>
    </w:p>
    <w:p w14:paraId="2AAEC5CE" w14:textId="77777777" w:rsidR="00D821C2" w:rsidRPr="00204FB3" w:rsidRDefault="00D821C2" w:rsidP="00D821C2">
      <w:pPr>
        <w:spacing w:before="5"/>
        <w:rPr>
          <w:rFonts w:eastAsia="Times New Roman"/>
          <w:color w:val="auto"/>
          <w:sz w:val="25"/>
          <w:szCs w:val="25"/>
        </w:rPr>
      </w:pPr>
    </w:p>
    <w:p w14:paraId="0DE735E6" w14:textId="77777777" w:rsidR="004C7960" w:rsidRPr="00204FB3" w:rsidRDefault="004C7960" w:rsidP="00D821C2">
      <w:pPr>
        <w:spacing w:before="5"/>
        <w:rPr>
          <w:rFonts w:eastAsia="Times New Roman"/>
          <w:color w:val="auto"/>
          <w:sz w:val="25"/>
          <w:szCs w:val="25"/>
        </w:rPr>
      </w:pPr>
    </w:p>
    <w:p w14:paraId="40B138FF" w14:textId="127A8B22" w:rsidR="00243E25" w:rsidRPr="00204FB3" w:rsidRDefault="00D821C2" w:rsidP="00CD5243">
      <w:pPr>
        <w:spacing w:before="69" w:line="244" w:lineRule="auto"/>
        <w:ind w:left="293" w:right="537"/>
        <w:jc w:val="both"/>
        <w:rPr>
          <w:rFonts w:eastAsia="Times New Roman"/>
          <w:color w:val="auto"/>
        </w:rPr>
      </w:pPr>
      <w:r w:rsidRPr="00204FB3">
        <w:rPr>
          <w:rFonts w:eastAsia="Times New Roman"/>
          <w:color w:val="auto"/>
          <w:u w:color="0000FF"/>
        </w:rPr>
        <w:lastRenderedPageBreak/>
        <w:t>The Kaplan-Meier estimates of the cumulative incidence of the primary endpoint and</w:t>
      </w:r>
      <w:r w:rsidRPr="00204FB3">
        <w:rPr>
          <w:rFonts w:eastAsia="Times New Roman"/>
          <w:color w:val="auto"/>
          <w:spacing w:val="-14"/>
          <w:u w:color="0000FF"/>
        </w:rPr>
        <w:t xml:space="preserve"> </w:t>
      </w:r>
      <w:r w:rsidRPr="00204FB3">
        <w:rPr>
          <w:rFonts w:eastAsia="Times New Roman"/>
          <w:color w:val="auto"/>
          <w:u w:color="0000FF"/>
        </w:rPr>
        <w:t>all-cause</w:t>
      </w:r>
      <w:r w:rsidRPr="00204FB3">
        <w:rPr>
          <w:rFonts w:eastAsia="Times New Roman"/>
          <w:color w:val="auto"/>
        </w:rPr>
        <w:t xml:space="preserve"> </w:t>
      </w:r>
      <w:r w:rsidRPr="00204FB3">
        <w:rPr>
          <w:rFonts w:eastAsia="Times New Roman"/>
          <w:color w:val="auto"/>
          <w:u w:color="0000FF"/>
        </w:rPr>
        <w:t>mortality</w:t>
      </w:r>
      <w:r w:rsidRPr="00204FB3">
        <w:rPr>
          <w:rFonts w:eastAsia="Times New Roman"/>
          <w:color w:val="auto"/>
          <w:spacing w:val="-6"/>
          <w:u w:color="0000FF"/>
        </w:rPr>
        <w:t xml:space="preserve"> </w:t>
      </w:r>
      <w:r w:rsidRPr="00204FB3">
        <w:rPr>
          <w:rFonts w:eastAsia="Times New Roman"/>
          <w:color w:val="auto"/>
          <w:u w:color="0000FF"/>
        </w:rPr>
        <w:t>endpoint</w:t>
      </w:r>
      <w:r w:rsidRPr="00204FB3">
        <w:rPr>
          <w:rFonts w:eastAsia="Times New Roman"/>
          <w:color w:val="auto"/>
          <w:spacing w:val="-1"/>
          <w:u w:color="0000FF"/>
        </w:rPr>
        <w:t xml:space="preserve"> </w:t>
      </w:r>
      <w:r w:rsidRPr="00204FB3">
        <w:rPr>
          <w:rFonts w:eastAsia="Times New Roman"/>
          <w:color w:val="auto"/>
          <w:u w:color="0000FF"/>
        </w:rPr>
        <w:t>for</w:t>
      </w:r>
      <w:r w:rsidRPr="00204FB3">
        <w:rPr>
          <w:rFonts w:eastAsia="Times New Roman"/>
          <w:color w:val="auto"/>
          <w:spacing w:val="-2"/>
          <w:u w:color="0000FF"/>
        </w:rPr>
        <w:t xml:space="preserve"> </w:t>
      </w:r>
      <w:r w:rsidRPr="00204FB3">
        <w:rPr>
          <w:rFonts w:eastAsia="Times New Roman"/>
          <w:color w:val="auto"/>
          <w:u w:color="0000FF"/>
        </w:rPr>
        <w:t>the</w:t>
      </w:r>
      <w:r w:rsidRPr="00204FB3">
        <w:rPr>
          <w:rFonts w:eastAsia="Times New Roman"/>
          <w:color w:val="auto"/>
          <w:spacing w:val="-2"/>
          <w:u w:color="0000FF"/>
        </w:rPr>
        <w:t xml:space="preserve"> </w:t>
      </w:r>
      <w:r w:rsidRPr="00204FB3">
        <w:rPr>
          <w:rFonts w:eastAsia="Times New Roman"/>
          <w:color w:val="auto"/>
          <w:u w:color="0000FF"/>
        </w:rPr>
        <w:t>overall</w:t>
      </w:r>
      <w:r w:rsidRPr="00204FB3">
        <w:rPr>
          <w:rFonts w:eastAsia="Times New Roman"/>
          <w:color w:val="auto"/>
          <w:spacing w:val="-1"/>
          <w:u w:color="0000FF"/>
        </w:rPr>
        <w:t xml:space="preserve"> </w:t>
      </w:r>
      <w:r w:rsidRPr="00204FB3">
        <w:rPr>
          <w:rFonts w:eastAsia="Times New Roman"/>
          <w:color w:val="auto"/>
          <w:u w:color="0000FF"/>
        </w:rPr>
        <w:t>patient</w:t>
      </w:r>
      <w:r w:rsidRPr="00204FB3">
        <w:rPr>
          <w:rFonts w:eastAsia="Times New Roman"/>
          <w:color w:val="auto"/>
          <w:spacing w:val="-1"/>
          <w:u w:color="0000FF"/>
        </w:rPr>
        <w:t xml:space="preserve"> </w:t>
      </w:r>
      <w:r w:rsidRPr="00204FB3">
        <w:rPr>
          <w:rFonts w:eastAsia="Times New Roman"/>
          <w:color w:val="auto"/>
          <w:u w:color="0000FF"/>
        </w:rPr>
        <w:t>population</w:t>
      </w:r>
      <w:r w:rsidRPr="00204FB3">
        <w:rPr>
          <w:rFonts w:eastAsia="Times New Roman"/>
          <w:color w:val="auto"/>
          <w:spacing w:val="1"/>
          <w:u w:color="0000FF"/>
        </w:rPr>
        <w:t xml:space="preserve"> </w:t>
      </w:r>
      <w:r w:rsidRPr="00204FB3">
        <w:rPr>
          <w:rFonts w:eastAsia="Times New Roman"/>
          <w:color w:val="auto"/>
          <w:u w:color="0000FF"/>
        </w:rPr>
        <w:t xml:space="preserve">over time are presented in </w:t>
      </w:r>
      <w:r w:rsidR="00A44AD1" w:rsidRPr="00204FB3">
        <w:rPr>
          <w:rFonts w:eastAsia="Times New Roman"/>
          <w:color w:val="auto"/>
          <w:u w:color="0000FF"/>
        </w:rPr>
        <w:fldChar w:fldCharType="begin"/>
      </w:r>
      <w:r w:rsidR="00A44AD1" w:rsidRPr="00204FB3">
        <w:rPr>
          <w:rFonts w:eastAsia="Times New Roman"/>
          <w:color w:val="auto"/>
          <w:u w:color="0000FF"/>
        </w:rPr>
        <w:instrText xml:space="preserve"> REF _Ref517799475 \h  \* MERGEFORMAT </w:instrText>
      </w:r>
      <w:r w:rsidR="00A44AD1" w:rsidRPr="00204FB3">
        <w:rPr>
          <w:rFonts w:eastAsia="Times New Roman"/>
          <w:color w:val="auto"/>
          <w:u w:color="0000FF"/>
        </w:rPr>
      </w:r>
      <w:r w:rsidR="00A44AD1" w:rsidRPr="00204FB3">
        <w:rPr>
          <w:rFonts w:eastAsia="Times New Roman"/>
          <w:color w:val="auto"/>
          <w:u w:color="0000FF"/>
        </w:rPr>
        <w:fldChar w:fldCharType="separate"/>
      </w:r>
      <w:r w:rsidR="0052180F" w:rsidRPr="0052180F">
        <w:rPr>
          <w:color w:val="auto"/>
        </w:rPr>
        <w:t>Figure 3</w:t>
      </w:r>
      <w:r w:rsidR="00A44AD1" w:rsidRPr="00204FB3">
        <w:rPr>
          <w:rFonts w:eastAsia="Times New Roman"/>
          <w:color w:val="auto"/>
          <w:u w:color="0000FF"/>
        </w:rPr>
        <w:fldChar w:fldCharType="end"/>
      </w:r>
      <w:r w:rsidR="00A44AD1" w:rsidRPr="00204FB3">
        <w:rPr>
          <w:rFonts w:eastAsia="Times New Roman"/>
          <w:color w:val="auto"/>
          <w:u w:color="0000FF"/>
        </w:rPr>
        <w:t xml:space="preserve"> and </w:t>
      </w:r>
      <w:r w:rsidR="00A44AD1" w:rsidRPr="00204FB3">
        <w:rPr>
          <w:rFonts w:eastAsia="Times New Roman"/>
          <w:color w:val="auto"/>
          <w:u w:color="0000FF"/>
        </w:rPr>
        <w:fldChar w:fldCharType="begin"/>
      </w:r>
      <w:r w:rsidR="00A44AD1" w:rsidRPr="00204FB3">
        <w:rPr>
          <w:rFonts w:eastAsia="Times New Roman"/>
          <w:color w:val="auto"/>
          <w:u w:color="0000FF"/>
        </w:rPr>
        <w:instrText xml:space="preserve"> REF _Ref517799484 \h  \* MERGEFORMAT </w:instrText>
      </w:r>
      <w:r w:rsidR="00A44AD1" w:rsidRPr="00204FB3">
        <w:rPr>
          <w:rFonts w:eastAsia="Times New Roman"/>
          <w:color w:val="auto"/>
          <w:u w:color="0000FF"/>
        </w:rPr>
      </w:r>
      <w:r w:rsidR="00A44AD1" w:rsidRPr="00204FB3">
        <w:rPr>
          <w:rFonts w:eastAsia="Times New Roman"/>
          <w:color w:val="auto"/>
          <w:u w:color="0000FF"/>
        </w:rPr>
        <w:fldChar w:fldCharType="separate"/>
      </w:r>
      <w:r w:rsidR="0052180F" w:rsidRPr="0052180F">
        <w:rPr>
          <w:color w:val="auto"/>
        </w:rPr>
        <w:t>Figure 4</w:t>
      </w:r>
      <w:r w:rsidR="00A44AD1" w:rsidRPr="00204FB3">
        <w:rPr>
          <w:rFonts w:eastAsia="Times New Roman"/>
          <w:color w:val="auto"/>
          <w:u w:color="0000FF"/>
        </w:rPr>
        <w:fldChar w:fldCharType="end"/>
      </w:r>
      <w:r w:rsidRPr="00204FB3">
        <w:rPr>
          <w:rFonts w:eastAsia="Times New Roman"/>
          <w:color w:val="auto"/>
          <w:u w:color="0000FF"/>
        </w:rPr>
        <w:t>.</w:t>
      </w:r>
    </w:p>
    <w:p w14:paraId="69E47476" w14:textId="76E59214" w:rsidR="00D821C2" w:rsidRPr="00204FB3" w:rsidRDefault="00A44AD1" w:rsidP="00A44AD1">
      <w:pPr>
        <w:pStyle w:val="Caption"/>
      </w:pPr>
      <w:r w:rsidRPr="00204FB3">
        <w:t xml:space="preserve"> </w:t>
      </w:r>
      <w:bookmarkStart w:id="11" w:name="_Ref517799475"/>
      <w:r w:rsidRPr="00204FB3">
        <w:t>Figure </w:t>
      </w:r>
      <w:r w:rsidRPr="00204FB3">
        <w:fldChar w:fldCharType="begin"/>
      </w:r>
      <w:r w:rsidRPr="00204FB3">
        <w:instrText xml:space="preserve"> SEQ Figure \* ARABIC </w:instrText>
      </w:r>
      <w:r w:rsidRPr="00204FB3">
        <w:fldChar w:fldCharType="separate"/>
      </w:r>
      <w:r w:rsidR="0052180F">
        <w:rPr>
          <w:noProof/>
        </w:rPr>
        <w:t>3</w:t>
      </w:r>
      <w:r w:rsidRPr="00204FB3">
        <w:fldChar w:fldCharType="end"/>
      </w:r>
      <w:bookmarkEnd w:id="11"/>
      <w:r w:rsidRPr="00204FB3">
        <w:t xml:space="preserve"> ­ Primary Composite Endpoint Cumulative Incidence Over 4 Years in ODYSSEY   OUTCOMES </w:t>
      </w:r>
      <w:r w:rsidR="00584682" w:rsidRPr="00204FB3">
        <w:t>– Overall Population</w:t>
      </w:r>
    </w:p>
    <w:p w14:paraId="7C54CD4C" w14:textId="5C8FF85A" w:rsidR="00D821C2" w:rsidRPr="00204FB3" w:rsidRDefault="005A4FC4" w:rsidP="00D821C2">
      <w:pPr>
        <w:spacing w:before="9"/>
        <w:rPr>
          <w:rFonts w:eastAsia="Times New Roman"/>
          <w:b/>
          <w:bCs/>
          <w:color w:val="auto"/>
          <w:sz w:val="11"/>
          <w:szCs w:val="11"/>
        </w:rPr>
      </w:pPr>
      <w:r w:rsidRPr="00204FB3">
        <w:rPr>
          <w:rFonts w:eastAsia="Times New Roman"/>
          <w:b/>
          <w:bCs/>
          <w:noProof/>
          <w:color w:val="auto"/>
          <w:sz w:val="20"/>
          <w:szCs w:val="20"/>
          <w:lang w:val="en-AU" w:eastAsia="en-AU"/>
        </w:rPr>
        <w:drawing>
          <wp:anchor distT="0" distB="0" distL="114300" distR="114300" simplePos="0" relativeHeight="251664384" behindDoc="1" locked="0" layoutInCell="1" allowOverlap="1" wp14:anchorId="0522E880" wp14:editId="6390F176">
            <wp:simplePos x="0" y="0"/>
            <wp:positionH relativeFrom="margin">
              <wp:align>center</wp:align>
            </wp:positionH>
            <wp:positionV relativeFrom="paragraph">
              <wp:posOffset>64153</wp:posOffset>
            </wp:positionV>
            <wp:extent cx="3148330" cy="1862455"/>
            <wp:effectExtent l="0" t="0" r="0" b="4445"/>
            <wp:wrapNone/>
            <wp:docPr id="21"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8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8330" cy="1862455"/>
                    </a:xfrm>
                    <a:prstGeom prst="rect">
                      <a:avLst/>
                    </a:prstGeom>
                    <a:noFill/>
                    <a:ln>
                      <a:noFill/>
                    </a:ln>
                    <a:extLst/>
                  </pic:spPr>
                </pic:pic>
              </a:graphicData>
            </a:graphic>
          </wp:anchor>
        </w:drawing>
      </w:r>
    </w:p>
    <w:p w14:paraId="4DA680DF" w14:textId="6D25C1FD" w:rsidR="00D821C2" w:rsidRPr="00204FB3" w:rsidRDefault="00D821C2" w:rsidP="005A4FC4">
      <w:pPr>
        <w:ind w:left="1440"/>
        <w:rPr>
          <w:rFonts w:eastAsia="Times New Roman"/>
          <w:b/>
          <w:bCs/>
          <w:color w:val="auto"/>
          <w:sz w:val="20"/>
          <w:szCs w:val="20"/>
        </w:rPr>
      </w:pPr>
    </w:p>
    <w:p w14:paraId="07AAC514" w14:textId="27A0C37D" w:rsidR="00D821C2" w:rsidRPr="00204FB3" w:rsidRDefault="00D821C2" w:rsidP="00D821C2">
      <w:pPr>
        <w:rPr>
          <w:rFonts w:eastAsia="Times New Roman"/>
          <w:b/>
          <w:bCs/>
          <w:color w:val="auto"/>
          <w:sz w:val="20"/>
          <w:szCs w:val="20"/>
        </w:rPr>
      </w:pPr>
    </w:p>
    <w:p w14:paraId="3D57507B" w14:textId="77777777" w:rsidR="00D821C2" w:rsidRPr="00204FB3" w:rsidRDefault="00D821C2" w:rsidP="00D821C2">
      <w:pPr>
        <w:rPr>
          <w:rFonts w:eastAsia="Times New Roman"/>
          <w:b/>
          <w:bCs/>
          <w:color w:val="auto"/>
          <w:sz w:val="20"/>
          <w:szCs w:val="20"/>
        </w:rPr>
      </w:pPr>
    </w:p>
    <w:p w14:paraId="59B74BB5" w14:textId="77777777" w:rsidR="00D821C2" w:rsidRPr="00204FB3" w:rsidRDefault="00D821C2" w:rsidP="00D821C2">
      <w:pPr>
        <w:rPr>
          <w:rFonts w:eastAsia="Times New Roman"/>
          <w:b/>
          <w:bCs/>
          <w:color w:val="auto"/>
          <w:sz w:val="20"/>
          <w:szCs w:val="20"/>
        </w:rPr>
      </w:pPr>
    </w:p>
    <w:p w14:paraId="67E05477" w14:textId="77777777" w:rsidR="00D821C2" w:rsidRPr="00204FB3" w:rsidRDefault="00D821C2" w:rsidP="00D821C2">
      <w:pPr>
        <w:rPr>
          <w:rFonts w:eastAsia="Times New Roman"/>
          <w:b/>
          <w:bCs/>
          <w:color w:val="auto"/>
          <w:sz w:val="20"/>
          <w:szCs w:val="20"/>
        </w:rPr>
      </w:pPr>
    </w:p>
    <w:p w14:paraId="241540C9" w14:textId="77777777" w:rsidR="00D821C2" w:rsidRPr="00204FB3" w:rsidRDefault="00D821C2" w:rsidP="00D821C2">
      <w:pPr>
        <w:rPr>
          <w:rFonts w:eastAsia="Times New Roman"/>
          <w:b/>
          <w:bCs/>
          <w:color w:val="auto"/>
          <w:sz w:val="20"/>
          <w:szCs w:val="20"/>
        </w:rPr>
      </w:pPr>
    </w:p>
    <w:p w14:paraId="5CF3F4C0" w14:textId="77777777" w:rsidR="005A4FC4" w:rsidRPr="00204FB3" w:rsidRDefault="005A4FC4" w:rsidP="00CD5243">
      <w:pPr>
        <w:spacing w:before="69"/>
        <w:ind w:right="45"/>
        <w:rPr>
          <w:rFonts w:eastAsia="Times New Roman"/>
          <w:color w:val="auto"/>
        </w:rPr>
      </w:pPr>
    </w:p>
    <w:p w14:paraId="65E0A00E" w14:textId="35BE6065" w:rsidR="004930CB" w:rsidRPr="00204FB3" w:rsidRDefault="00A44AD1" w:rsidP="00A44AD1">
      <w:pPr>
        <w:pStyle w:val="Caption"/>
        <w:rPr>
          <w:u w:color="0000FF"/>
        </w:rPr>
      </w:pPr>
      <w:r w:rsidRPr="00204FB3">
        <w:rPr>
          <w:b w:val="0"/>
          <w:u w:color="0000FF"/>
        </w:rPr>
        <w:t xml:space="preserve"> </w:t>
      </w:r>
      <w:bookmarkStart w:id="12" w:name="_Ref517799484"/>
      <w:r w:rsidRPr="00204FB3">
        <w:t>Figure </w:t>
      </w:r>
      <w:r w:rsidRPr="00204FB3">
        <w:fldChar w:fldCharType="begin"/>
      </w:r>
      <w:r w:rsidRPr="00204FB3">
        <w:instrText xml:space="preserve"> SEQ Figure \* ARABIC </w:instrText>
      </w:r>
      <w:r w:rsidRPr="00204FB3">
        <w:fldChar w:fldCharType="separate"/>
      </w:r>
      <w:r w:rsidR="0052180F">
        <w:rPr>
          <w:noProof/>
        </w:rPr>
        <w:t>4</w:t>
      </w:r>
      <w:r w:rsidRPr="00204FB3">
        <w:fldChar w:fldCharType="end"/>
      </w:r>
      <w:bookmarkEnd w:id="12"/>
      <w:r w:rsidRPr="00204FB3">
        <w:t xml:space="preserve"> ­ </w:t>
      </w:r>
      <w:r w:rsidR="004930CB" w:rsidRPr="00204FB3">
        <w:rPr>
          <w:u w:color="0000FF"/>
        </w:rPr>
        <w:t>Figure 2 All-cause Mortality Cumulative Incidence Over 4 Years in ODYSSEY</w:t>
      </w:r>
      <w:r w:rsidR="004930CB" w:rsidRPr="00204FB3">
        <w:rPr>
          <w:spacing w:val="-10"/>
          <w:u w:color="0000FF"/>
        </w:rPr>
        <w:t xml:space="preserve"> </w:t>
      </w:r>
      <w:r w:rsidR="004930CB" w:rsidRPr="00204FB3">
        <w:rPr>
          <w:u w:color="0000FF"/>
        </w:rPr>
        <w:t>OUTCOMES</w:t>
      </w:r>
      <w:r w:rsidR="00584682" w:rsidRPr="00204FB3">
        <w:rPr>
          <w:u w:color="0000FF"/>
        </w:rPr>
        <w:t xml:space="preserve"> – Overall Population</w:t>
      </w:r>
    </w:p>
    <w:p w14:paraId="2F29E0EF" w14:textId="74A6EEC9" w:rsidR="005A4FC4" w:rsidRPr="00204FB3" w:rsidRDefault="005A4FC4" w:rsidP="005A4FC4">
      <w:pPr>
        <w:rPr>
          <w:color w:val="auto"/>
        </w:rPr>
      </w:pPr>
      <w:r w:rsidRPr="00204FB3">
        <w:rPr>
          <w:rFonts w:eastAsia="Times New Roman"/>
          <w:b/>
          <w:bCs/>
          <w:noProof/>
          <w:color w:val="auto"/>
          <w:sz w:val="20"/>
          <w:szCs w:val="20"/>
          <w:lang w:val="en-AU" w:eastAsia="en-AU"/>
        </w:rPr>
        <w:drawing>
          <wp:anchor distT="0" distB="0" distL="114300" distR="114300" simplePos="0" relativeHeight="251666432" behindDoc="1" locked="0" layoutInCell="1" allowOverlap="1" wp14:anchorId="43239D8A" wp14:editId="7E89D7A3">
            <wp:simplePos x="0" y="0"/>
            <wp:positionH relativeFrom="margin">
              <wp:align>center</wp:align>
            </wp:positionH>
            <wp:positionV relativeFrom="paragraph">
              <wp:posOffset>79283</wp:posOffset>
            </wp:positionV>
            <wp:extent cx="3154680" cy="1912620"/>
            <wp:effectExtent l="0" t="0" r="7620" b="0"/>
            <wp:wrapNone/>
            <wp:docPr id="9"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54680" cy="1912620"/>
                    </a:xfrm>
                    <a:prstGeom prst="rect">
                      <a:avLst/>
                    </a:prstGeom>
                    <a:noFill/>
                    <a:ln>
                      <a:noFill/>
                    </a:ln>
                    <a:extLst/>
                  </pic:spPr>
                </pic:pic>
              </a:graphicData>
            </a:graphic>
          </wp:anchor>
        </w:drawing>
      </w:r>
    </w:p>
    <w:p w14:paraId="756932EB" w14:textId="77777777" w:rsidR="00D821C2" w:rsidRPr="00204FB3" w:rsidRDefault="00D821C2" w:rsidP="00D821C2">
      <w:pPr>
        <w:spacing w:before="6"/>
        <w:rPr>
          <w:rFonts w:eastAsia="Times New Roman"/>
          <w:b/>
          <w:bCs/>
          <w:color w:val="auto"/>
          <w:sz w:val="15"/>
          <w:szCs w:val="15"/>
        </w:rPr>
      </w:pPr>
    </w:p>
    <w:p w14:paraId="4A67C1A3" w14:textId="7D573955" w:rsidR="00D821C2" w:rsidRPr="00204FB3" w:rsidRDefault="00D821C2" w:rsidP="00D821C2">
      <w:pPr>
        <w:rPr>
          <w:rFonts w:eastAsia="Times New Roman"/>
          <w:b/>
          <w:bCs/>
          <w:color w:val="auto"/>
          <w:sz w:val="20"/>
          <w:szCs w:val="20"/>
        </w:rPr>
      </w:pPr>
    </w:p>
    <w:p w14:paraId="097C6FBF" w14:textId="77777777" w:rsidR="00D821C2" w:rsidRPr="00204FB3" w:rsidRDefault="00D821C2" w:rsidP="00D821C2">
      <w:pPr>
        <w:rPr>
          <w:rFonts w:eastAsia="Times New Roman"/>
          <w:b/>
          <w:bCs/>
          <w:color w:val="auto"/>
          <w:sz w:val="20"/>
          <w:szCs w:val="20"/>
        </w:rPr>
      </w:pPr>
    </w:p>
    <w:p w14:paraId="05D7AA96" w14:textId="77777777" w:rsidR="00D821C2" w:rsidRPr="00204FB3" w:rsidRDefault="00D821C2" w:rsidP="00D821C2">
      <w:pPr>
        <w:rPr>
          <w:rFonts w:eastAsia="Times New Roman"/>
          <w:b/>
          <w:bCs/>
          <w:color w:val="auto"/>
          <w:sz w:val="20"/>
          <w:szCs w:val="20"/>
        </w:rPr>
      </w:pPr>
    </w:p>
    <w:p w14:paraId="3DB7F8CF" w14:textId="77777777" w:rsidR="00D821C2" w:rsidRPr="00204FB3" w:rsidRDefault="00D821C2" w:rsidP="00D821C2">
      <w:pPr>
        <w:rPr>
          <w:rFonts w:eastAsia="Times New Roman"/>
          <w:b/>
          <w:bCs/>
          <w:color w:val="auto"/>
          <w:sz w:val="20"/>
          <w:szCs w:val="20"/>
        </w:rPr>
      </w:pPr>
    </w:p>
    <w:p w14:paraId="4DE6DDB1" w14:textId="77777777" w:rsidR="00D821C2" w:rsidRPr="00204FB3" w:rsidRDefault="00D821C2" w:rsidP="00D821C2">
      <w:pPr>
        <w:rPr>
          <w:rFonts w:eastAsia="Times New Roman"/>
          <w:b/>
          <w:bCs/>
          <w:color w:val="auto"/>
          <w:sz w:val="20"/>
          <w:szCs w:val="20"/>
        </w:rPr>
      </w:pPr>
    </w:p>
    <w:p w14:paraId="2CD3A35F" w14:textId="77777777" w:rsidR="00D821C2" w:rsidRPr="00204FB3" w:rsidRDefault="00D821C2" w:rsidP="00D821C2">
      <w:pPr>
        <w:rPr>
          <w:rFonts w:eastAsia="Times New Roman"/>
          <w:b/>
          <w:bCs/>
          <w:color w:val="auto"/>
          <w:sz w:val="20"/>
          <w:szCs w:val="20"/>
        </w:rPr>
      </w:pPr>
    </w:p>
    <w:p w14:paraId="4E2F45B5" w14:textId="77777777" w:rsidR="001A3992" w:rsidRPr="00204FB3" w:rsidRDefault="001A3992" w:rsidP="001A3992">
      <w:pPr>
        <w:pStyle w:val="Heading2"/>
        <w:spacing w:before="0" w:after="120"/>
        <w:rPr>
          <w:lang w:val="en-AU"/>
        </w:rPr>
      </w:pPr>
      <w:r w:rsidRPr="00204FB3">
        <w:rPr>
          <w:lang w:val="en-AU"/>
        </w:rPr>
        <w:t xml:space="preserve">Pharmacokinetic properties </w:t>
      </w:r>
    </w:p>
    <w:p w14:paraId="06921490" w14:textId="77777777" w:rsidR="0024632F" w:rsidRPr="00204FB3" w:rsidRDefault="0024632F" w:rsidP="00CA73C2">
      <w:pPr>
        <w:pStyle w:val="Heading3"/>
        <w:numPr>
          <w:ilvl w:val="0"/>
          <w:numId w:val="0"/>
        </w:numPr>
        <w:rPr>
          <w:i/>
        </w:rPr>
      </w:pPr>
      <w:r w:rsidRPr="00204FB3">
        <w:rPr>
          <w:i/>
        </w:rPr>
        <w:t>Absorption</w:t>
      </w:r>
    </w:p>
    <w:p w14:paraId="2D2B89B1" w14:textId="77777777" w:rsidR="00863657" w:rsidRPr="00204FB3" w:rsidRDefault="00863657" w:rsidP="00863657">
      <w:pPr>
        <w:rPr>
          <w:color w:val="auto"/>
        </w:rPr>
      </w:pPr>
      <w:r w:rsidRPr="00204FB3">
        <w:rPr>
          <w:color w:val="auto"/>
        </w:rPr>
        <w:t>After subcutaneous administration of 50 mg to 300 mg alirocumab, median times to maximum serum concentration (t</w:t>
      </w:r>
      <w:r w:rsidRPr="00204FB3">
        <w:rPr>
          <w:color w:val="auto"/>
          <w:vertAlign w:val="subscript"/>
        </w:rPr>
        <w:t>max</w:t>
      </w:r>
      <w:r w:rsidRPr="00204FB3">
        <w:rPr>
          <w:color w:val="auto"/>
        </w:rPr>
        <w:t xml:space="preserve">) were 3-7 days. The pharmacokinetics of alirocumab after single subcutaneous administration of 75 mg into the abdomen, upper arm or thigh were similar. The absolute bioavailability of alirocumab after subcutaneous administration was 85% as determined by population pharmacokinetic analysis. A slightly greater than dose proportional increase was observed, with a 2.1- to 2.7-fold increase in total alirocumab concentrations for a 2-fold increase </w:t>
      </w:r>
      <w:r w:rsidRPr="00204FB3">
        <w:rPr>
          <w:color w:val="auto"/>
        </w:rPr>
        <w:lastRenderedPageBreak/>
        <w:t>in dose. Steady state was reached after 2 to 3 doses with an accumulation ratio of up to a maximum of about 2-fold.</w:t>
      </w:r>
    </w:p>
    <w:p w14:paraId="7A4E19AC" w14:textId="77777777" w:rsidR="0024632F" w:rsidRPr="00204FB3" w:rsidRDefault="0024632F" w:rsidP="00CA73C2">
      <w:pPr>
        <w:pStyle w:val="Heading3"/>
        <w:numPr>
          <w:ilvl w:val="0"/>
          <w:numId w:val="0"/>
        </w:numPr>
        <w:ind w:left="680" w:hanging="680"/>
        <w:rPr>
          <w:i/>
        </w:rPr>
      </w:pPr>
      <w:r w:rsidRPr="00204FB3">
        <w:rPr>
          <w:i/>
        </w:rPr>
        <w:t>Distribution</w:t>
      </w:r>
    </w:p>
    <w:p w14:paraId="213BDB8A" w14:textId="77777777" w:rsidR="00863657" w:rsidRPr="00204FB3" w:rsidRDefault="00863657" w:rsidP="00863657">
      <w:pPr>
        <w:rPr>
          <w:color w:val="auto"/>
        </w:rPr>
      </w:pPr>
      <w:r w:rsidRPr="00204FB3">
        <w:rPr>
          <w:color w:val="auto"/>
        </w:rPr>
        <w:t>Following intravenous administration, the volume of distribution was about 0.04 to 0.05 L/kg indicating that alirocumab is distributed primarily in the circulatory system.</w:t>
      </w:r>
    </w:p>
    <w:p w14:paraId="106200F2" w14:textId="77777777" w:rsidR="0024632F" w:rsidRPr="00204FB3" w:rsidRDefault="0024632F" w:rsidP="00CA73C2">
      <w:pPr>
        <w:pStyle w:val="Heading3"/>
        <w:numPr>
          <w:ilvl w:val="0"/>
          <w:numId w:val="0"/>
        </w:numPr>
        <w:ind w:left="680" w:hanging="680"/>
        <w:rPr>
          <w:i/>
        </w:rPr>
      </w:pPr>
      <w:r w:rsidRPr="00204FB3">
        <w:rPr>
          <w:i/>
        </w:rPr>
        <w:t>Metabolism</w:t>
      </w:r>
    </w:p>
    <w:p w14:paraId="1ACB0627" w14:textId="77777777" w:rsidR="00863657" w:rsidRPr="00204FB3" w:rsidRDefault="00863657" w:rsidP="00863657">
      <w:pPr>
        <w:rPr>
          <w:color w:val="auto"/>
        </w:rPr>
      </w:pPr>
      <w:r w:rsidRPr="00204FB3">
        <w:rPr>
          <w:color w:val="auto"/>
        </w:rPr>
        <w:t>Specific metabolism studies were not conducted, because alirocumab is a protein. Alirocumab is expected to degrade to small peptides and individual amino acids.</w:t>
      </w:r>
    </w:p>
    <w:p w14:paraId="79B7CF85" w14:textId="77777777" w:rsidR="0024632F" w:rsidRPr="00204FB3" w:rsidRDefault="0024632F" w:rsidP="00CA73C2">
      <w:pPr>
        <w:pStyle w:val="Heading3"/>
        <w:numPr>
          <w:ilvl w:val="0"/>
          <w:numId w:val="0"/>
        </w:numPr>
        <w:ind w:left="680" w:hanging="680"/>
        <w:rPr>
          <w:i/>
        </w:rPr>
      </w:pPr>
      <w:r w:rsidRPr="00204FB3">
        <w:rPr>
          <w:i/>
        </w:rPr>
        <w:t>Excretion</w:t>
      </w:r>
    </w:p>
    <w:p w14:paraId="1BA11ADA" w14:textId="77777777" w:rsidR="00863657" w:rsidRPr="00204FB3" w:rsidRDefault="00863657" w:rsidP="00863657">
      <w:pPr>
        <w:rPr>
          <w:color w:val="auto"/>
        </w:rPr>
      </w:pPr>
      <w:r w:rsidRPr="00204FB3">
        <w:rPr>
          <w:color w:val="auto"/>
        </w:rPr>
        <w:t>Two elimination phases were observed for alirocumab. At low concentrations, the elimination is predominately through saturable binding to target (PCSK9), while at higher concentrations the elimination of alirocumab is largely through a non-saturable proteolytic pathway.</w:t>
      </w:r>
    </w:p>
    <w:p w14:paraId="0E8FE8A7" w14:textId="77777777" w:rsidR="00863657" w:rsidRPr="00204FB3" w:rsidRDefault="00863657" w:rsidP="00863657">
      <w:pPr>
        <w:rPr>
          <w:color w:val="auto"/>
        </w:rPr>
      </w:pPr>
      <w:r w:rsidRPr="00204FB3">
        <w:rPr>
          <w:color w:val="auto"/>
        </w:rPr>
        <w:t>Based on a population pharmacokinetic analysis, the median apparent half-life of alirocumab at steady state was 17 to 20 days in patients receiving alirocumab as monotherapy at subcutaneous doses of either 75 mg once every 2 weeks or 150 mg once every 2 weeks. When co-administered with a statin, the median apparent half-life of alirocumab was 12 days.</w:t>
      </w:r>
    </w:p>
    <w:p w14:paraId="41DCFEC6" w14:textId="77777777" w:rsidR="001C65EF" w:rsidRPr="00204FB3" w:rsidRDefault="001C65EF" w:rsidP="001C65EF">
      <w:pPr>
        <w:pStyle w:val="Heading3"/>
        <w:numPr>
          <w:ilvl w:val="0"/>
          <w:numId w:val="0"/>
        </w:numPr>
      </w:pPr>
      <w:bookmarkStart w:id="13" w:name="_Toc341259152"/>
      <w:r w:rsidRPr="00204FB3">
        <w:t>Special Populations</w:t>
      </w:r>
      <w:bookmarkEnd w:id="13"/>
    </w:p>
    <w:p w14:paraId="5626BCEF" w14:textId="77777777" w:rsidR="001C65EF" w:rsidRPr="00204FB3" w:rsidRDefault="001C65EF" w:rsidP="001C65EF">
      <w:pPr>
        <w:pStyle w:val="Heading4"/>
        <w:numPr>
          <w:ilvl w:val="0"/>
          <w:numId w:val="0"/>
        </w:numPr>
      </w:pPr>
      <w:bookmarkStart w:id="14" w:name="_Toc341259153"/>
      <w:r w:rsidRPr="00204FB3">
        <w:t>Gender</w:t>
      </w:r>
      <w:bookmarkEnd w:id="14"/>
    </w:p>
    <w:p w14:paraId="272AEFD9" w14:textId="77777777" w:rsidR="001C65EF" w:rsidRPr="00204FB3" w:rsidRDefault="001C65EF" w:rsidP="001C65EF">
      <w:pPr>
        <w:rPr>
          <w:color w:val="auto"/>
        </w:rPr>
      </w:pPr>
      <w:r w:rsidRPr="00204FB3">
        <w:rPr>
          <w:color w:val="auto"/>
        </w:rPr>
        <w:t>Based on a population pharmacokinetic analysis, gender has no impact on alirocumab pharmacokinetics.</w:t>
      </w:r>
    </w:p>
    <w:p w14:paraId="35401533" w14:textId="77777777" w:rsidR="001C65EF" w:rsidRPr="00204FB3" w:rsidRDefault="001C65EF" w:rsidP="001C65EF">
      <w:pPr>
        <w:pStyle w:val="Heading4"/>
        <w:numPr>
          <w:ilvl w:val="0"/>
          <w:numId w:val="0"/>
        </w:numPr>
      </w:pPr>
      <w:r w:rsidRPr="00204FB3">
        <w:t>Elderly</w:t>
      </w:r>
    </w:p>
    <w:p w14:paraId="767A164C" w14:textId="764BF152" w:rsidR="001C65EF" w:rsidRPr="00204FB3" w:rsidRDefault="001C65EF" w:rsidP="001C65EF">
      <w:pPr>
        <w:rPr>
          <w:color w:val="auto"/>
        </w:rPr>
      </w:pPr>
      <w:r w:rsidRPr="00204FB3">
        <w:rPr>
          <w:color w:val="auto"/>
        </w:rPr>
        <w:t xml:space="preserve">In </w:t>
      </w:r>
      <w:r w:rsidR="00B80B69" w:rsidRPr="00204FB3">
        <w:rPr>
          <w:color w:val="auto"/>
        </w:rPr>
        <w:t xml:space="preserve">the phase 3 primary hypercholesterolemia </w:t>
      </w:r>
      <w:r w:rsidRPr="00204FB3">
        <w:rPr>
          <w:color w:val="auto"/>
        </w:rPr>
        <w:t xml:space="preserve">controlled studies, 1158 patients (34.7%) treated with Praluent were ≥ 65 years of age and 241 patients (7.2%) were ≥ 75 years of age. </w:t>
      </w:r>
      <w:r w:rsidR="00B80B69" w:rsidRPr="00204FB3">
        <w:rPr>
          <w:color w:val="auto"/>
        </w:rPr>
        <w:t xml:space="preserve">In the cardiovascular outcomes controlled study, 2505 patients (26.5%) treated with Praluent were ≥65 years of age and 493 patients (5.2%) treated with Praluent were ≥75 years of age. </w:t>
      </w:r>
      <w:r w:rsidRPr="00204FB3">
        <w:rPr>
          <w:color w:val="auto"/>
        </w:rPr>
        <w:t>Based on a population pharmacokinetic analysis, age was associated with a small difference in alirocumab exposure at steady state, with no impact on efficacy or safety.</w:t>
      </w:r>
    </w:p>
    <w:p w14:paraId="44B65A78" w14:textId="77777777" w:rsidR="001C65EF" w:rsidRPr="00204FB3" w:rsidRDefault="001C65EF" w:rsidP="001C65EF">
      <w:pPr>
        <w:pStyle w:val="Heading4"/>
        <w:numPr>
          <w:ilvl w:val="0"/>
          <w:numId w:val="0"/>
        </w:numPr>
      </w:pPr>
      <w:r w:rsidRPr="00204FB3">
        <w:t>Paediatric</w:t>
      </w:r>
    </w:p>
    <w:p w14:paraId="22B986FC" w14:textId="77777777" w:rsidR="001C65EF" w:rsidRPr="00204FB3" w:rsidRDefault="001C65EF" w:rsidP="001C65EF">
      <w:pPr>
        <w:rPr>
          <w:color w:val="auto"/>
        </w:rPr>
      </w:pPr>
      <w:r w:rsidRPr="00204FB3">
        <w:rPr>
          <w:color w:val="auto"/>
        </w:rPr>
        <w:t xml:space="preserve">The pharmacokinetic effects of alirocumab administration in paediatric patients have not been studied. </w:t>
      </w:r>
    </w:p>
    <w:p w14:paraId="427C3FC6" w14:textId="77777777" w:rsidR="001C65EF" w:rsidRPr="00204FB3" w:rsidRDefault="001C65EF" w:rsidP="001C65EF">
      <w:pPr>
        <w:pStyle w:val="Heading4"/>
        <w:numPr>
          <w:ilvl w:val="0"/>
          <w:numId w:val="0"/>
        </w:numPr>
      </w:pPr>
      <w:r w:rsidRPr="00204FB3">
        <w:lastRenderedPageBreak/>
        <w:t>Race</w:t>
      </w:r>
    </w:p>
    <w:p w14:paraId="33A75AAF" w14:textId="77777777" w:rsidR="001C65EF" w:rsidRPr="00204FB3" w:rsidRDefault="001C65EF" w:rsidP="001C65EF">
      <w:pPr>
        <w:rPr>
          <w:color w:val="auto"/>
        </w:rPr>
      </w:pPr>
      <w:r w:rsidRPr="00204FB3">
        <w:rPr>
          <w:color w:val="auto"/>
        </w:rPr>
        <w:t>Based on a population pharmacokinetic analysis, race had no impact on alirocumab pharmacokinetics. Following single-dose subcutaneous administration of 100 mg to 300 mg alirocumab, there was no meaningful difference in exposure between Japanese and Caucasian healthy subjects.</w:t>
      </w:r>
    </w:p>
    <w:p w14:paraId="364EB78D" w14:textId="77777777" w:rsidR="001C65EF" w:rsidRPr="00204FB3" w:rsidRDefault="001C65EF" w:rsidP="001C65EF">
      <w:pPr>
        <w:pStyle w:val="Heading4"/>
        <w:numPr>
          <w:ilvl w:val="0"/>
          <w:numId w:val="0"/>
        </w:numPr>
      </w:pPr>
      <w:r w:rsidRPr="00204FB3">
        <w:t xml:space="preserve">Body weight </w:t>
      </w:r>
    </w:p>
    <w:p w14:paraId="04E47D1C" w14:textId="77777777" w:rsidR="001C65EF" w:rsidRPr="00204FB3" w:rsidRDefault="001C65EF" w:rsidP="001C65EF">
      <w:pPr>
        <w:rPr>
          <w:color w:val="auto"/>
        </w:rPr>
      </w:pPr>
      <w:r w:rsidRPr="00204FB3">
        <w:rPr>
          <w:color w:val="auto"/>
        </w:rPr>
        <w:t xml:space="preserve">Based on a population pharmacokinetic analysis, body weight had a small impact on alirocumab exposure, with no effect on efficacy or safety.  </w:t>
      </w:r>
    </w:p>
    <w:p w14:paraId="4CA04954" w14:textId="77777777" w:rsidR="001C65EF" w:rsidRPr="00204FB3" w:rsidRDefault="001C65EF" w:rsidP="001C65EF">
      <w:pPr>
        <w:pStyle w:val="Heading4"/>
        <w:numPr>
          <w:ilvl w:val="0"/>
          <w:numId w:val="0"/>
        </w:numPr>
      </w:pPr>
      <w:bookmarkStart w:id="15" w:name="_Toc341259154"/>
      <w:r w:rsidRPr="00204FB3">
        <w:t>Hepatic Impairment</w:t>
      </w:r>
      <w:bookmarkEnd w:id="15"/>
    </w:p>
    <w:p w14:paraId="3C29F129" w14:textId="77777777" w:rsidR="001C65EF" w:rsidRPr="00204FB3" w:rsidRDefault="001C65EF" w:rsidP="001C65EF">
      <w:pPr>
        <w:rPr>
          <w:color w:val="auto"/>
        </w:rPr>
      </w:pPr>
      <w:r w:rsidRPr="00204FB3">
        <w:rPr>
          <w:color w:val="auto"/>
        </w:rPr>
        <w:t>In a phase 1 study, after administration of a single 75 mg subcutaneous dose, alirocumab pharmacokinetic profiles in subjects with mild and moderate hepatic impairment were similar as compared to subjects with normal hepatic function. No data are available in patients with severe hepatic impairment.</w:t>
      </w:r>
    </w:p>
    <w:p w14:paraId="30157CF9" w14:textId="77777777" w:rsidR="001C65EF" w:rsidRPr="00204FB3" w:rsidRDefault="001C65EF" w:rsidP="001C65EF">
      <w:pPr>
        <w:pStyle w:val="Heading4"/>
        <w:numPr>
          <w:ilvl w:val="0"/>
          <w:numId w:val="0"/>
        </w:numPr>
      </w:pPr>
      <w:bookmarkStart w:id="16" w:name="_Toc341259155"/>
      <w:r w:rsidRPr="00204FB3">
        <w:t>Renal Impairment</w:t>
      </w:r>
      <w:bookmarkEnd w:id="16"/>
    </w:p>
    <w:p w14:paraId="0FFD9307" w14:textId="419B8AB8" w:rsidR="00194D6E" w:rsidRPr="00204FB3" w:rsidRDefault="001C65EF" w:rsidP="001C54F7">
      <w:pPr>
        <w:rPr>
          <w:color w:val="auto"/>
        </w:rPr>
      </w:pPr>
      <w:r w:rsidRPr="00204FB3">
        <w:rPr>
          <w:color w:val="auto"/>
        </w:rPr>
        <w:t>Since monoclonal antibodies are not known to be eliminated via renal pathways, renal function is not expected to impact the pharmacokinetics of alirocumab. Population pharmacokinetic analyses showed that mild and moderate renal impairment did not have a meaningful impact on alirocumab pharmacokinetics. No data are available in patients with severe renal impairment (defined as eGFR &lt; 30 mL/min/1.73m</w:t>
      </w:r>
      <w:r w:rsidRPr="00204FB3">
        <w:rPr>
          <w:color w:val="auto"/>
          <w:vertAlign w:val="superscript"/>
        </w:rPr>
        <w:t>2</w:t>
      </w:r>
      <w:r w:rsidRPr="00204FB3">
        <w:rPr>
          <w:color w:val="auto"/>
        </w:rPr>
        <w:t>).</w:t>
      </w:r>
    </w:p>
    <w:p w14:paraId="07259940" w14:textId="77777777" w:rsidR="001C54F7" w:rsidRPr="00204FB3" w:rsidRDefault="001C54F7" w:rsidP="001C54F7">
      <w:pPr>
        <w:rPr>
          <w:color w:val="auto"/>
        </w:rPr>
      </w:pPr>
    </w:p>
    <w:p w14:paraId="0DFE1E55" w14:textId="77777777" w:rsidR="001A3992" w:rsidRPr="00204FB3" w:rsidRDefault="001A3992" w:rsidP="001A3992">
      <w:pPr>
        <w:pStyle w:val="Heading2"/>
        <w:spacing w:before="0" w:after="120"/>
        <w:rPr>
          <w:lang w:val="en-AU"/>
        </w:rPr>
      </w:pPr>
      <w:r w:rsidRPr="00204FB3">
        <w:rPr>
          <w:lang w:val="en-AU"/>
        </w:rPr>
        <w:t>Preclinical safety data</w:t>
      </w:r>
    </w:p>
    <w:p w14:paraId="68DE4B7D" w14:textId="77777777" w:rsidR="001A3992" w:rsidRPr="00204FB3" w:rsidRDefault="001A3992" w:rsidP="00CA73C2">
      <w:pPr>
        <w:pStyle w:val="Heading3"/>
        <w:numPr>
          <w:ilvl w:val="0"/>
          <w:numId w:val="0"/>
        </w:numPr>
        <w:spacing w:before="0" w:after="120"/>
        <w:rPr>
          <w:i/>
          <w:lang w:val="en-AU"/>
        </w:rPr>
      </w:pPr>
      <w:r w:rsidRPr="00204FB3">
        <w:rPr>
          <w:i/>
          <w:lang w:val="en-AU"/>
        </w:rPr>
        <w:t>Genotoxicity</w:t>
      </w:r>
    </w:p>
    <w:p w14:paraId="3302E57C" w14:textId="77777777" w:rsidR="00632E56" w:rsidRPr="00204FB3" w:rsidRDefault="00632E56" w:rsidP="00632E56">
      <w:pPr>
        <w:rPr>
          <w:color w:val="auto"/>
        </w:rPr>
      </w:pPr>
      <w:r w:rsidRPr="00204FB3">
        <w:rPr>
          <w:color w:val="auto"/>
        </w:rPr>
        <w:t xml:space="preserve">Genotoxicity studies have not been conducted with alirocumab. As alirocumab is a monoclonal antibody it would not be expected to have genotoxic potential.  </w:t>
      </w:r>
    </w:p>
    <w:p w14:paraId="112A8F2E" w14:textId="77777777" w:rsidR="00BC364A" w:rsidRPr="00204FB3" w:rsidRDefault="00BC364A" w:rsidP="00BC364A">
      <w:pPr>
        <w:spacing w:before="120"/>
        <w:rPr>
          <w:color w:val="auto"/>
          <w:lang w:val="en-AU"/>
        </w:rPr>
      </w:pPr>
    </w:p>
    <w:p w14:paraId="28C395FA" w14:textId="77777777" w:rsidR="001A3992" w:rsidRPr="00204FB3" w:rsidRDefault="001A3992" w:rsidP="00CA73C2">
      <w:pPr>
        <w:pStyle w:val="Heading3"/>
        <w:numPr>
          <w:ilvl w:val="0"/>
          <w:numId w:val="0"/>
        </w:numPr>
        <w:spacing w:before="0" w:after="120"/>
        <w:ind w:left="680" w:hanging="680"/>
        <w:rPr>
          <w:i/>
          <w:lang w:val="en-AU"/>
        </w:rPr>
      </w:pPr>
      <w:r w:rsidRPr="00204FB3">
        <w:rPr>
          <w:i/>
          <w:lang w:val="en-AU"/>
        </w:rPr>
        <w:t>Carcinogenicity</w:t>
      </w:r>
    </w:p>
    <w:p w14:paraId="725D6F7C" w14:textId="77777777" w:rsidR="00632E56" w:rsidRPr="00204FB3" w:rsidRDefault="00632E56" w:rsidP="00632E56">
      <w:pPr>
        <w:rPr>
          <w:color w:val="auto"/>
        </w:rPr>
      </w:pPr>
      <w:r w:rsidRPr="00204FB3">
        <w:rPr>
          <w:color w:val="auto"/>
        </w:rPr>
        <w:t xml:space="preserve">Carcinogenicity studies have not been conducted with alirocumab. </w:t>
      </w:r>
    </w:p>
    <w:p w14:paraId="058AD5D2" w14:textId="77777777" w:rsidR="00024098" w:rsidRPr="00204FB3" w:rsidRDefault="00024098" w:rsidP="00024098">
      <w:pPr>
        <w:rPr>
          <w:color w:val="auto"/>
          <w:lang w:val="en-AU"/>
        </w:rPr>
      </w:pPr>
    </w:p>
    <w:p w14:paraId="3A3990D0" w14:textId="77777777" w:rsidR="001A3992" w:rsidRPr="00204FB3" w:rsidRDefault="001A3992" w:rsidP="00024098">
      <w:pPr>
        <w:pStyle w:val="Heading1"/>
        <w:keepNext w:val="0"/>
        <w:pageBreakBefore w:val="0"/>
        <w:spacing w:before="0" w:after="120"/>
        <w:rPr>
          <w:lang w:val="en-AU"/>
        </w:rPr>
      </w:pPr>
      <w:r w:rsidRPr="00204FB3">
        <w:rPr>
          <w:lang w:val="en-AU"/>
        </w:rPr>
        <w:t>Pharmaceutical particulars</w:t>
      </w:r>
    </w:p>
    <w:p w14:paraId="4D7545E4" w14:textId="77777777" w:rsidR="001A3992" w:rsidRPr="00204FB3" w:rsidRDefault="001A3992" w:rsidP="001A3992">
      <w:pPr>
        <w:pStyle w:val="Heading2"/>
        <w:spacing w:before="0" w:after="120"/>
        <w:rPr>
          <w:lang w:val="en-AU"/>
        </w:rPr>
      </w:pPr>
      <w:r w:rsidRPr="00204FB3">
        <w:rPr>
          <w:lang w:val="en-AU"/>
        </w:rPr>
        <w:t xml:space="preserve">List of excipients </w:t>
      </w:r>
    </w:p>
    <w:p w14:paraId="27071CDD" w14:textId="58AC1961" w:rsidR="00466BF1" w:rsidRPr="00204FB3" w:rsidRDefault="001C65EF" w:rsidP="007C4C57">
      <w:pPr>
        <w:rPr>
          <w:color w:val="auto"/>
        </w:rPr>
      </w:pPr>
      <w:r w:rsidRPr="00204FB3">
        <w:rPr>
          <w:color w:val="auto"/>
        </w:rPr>
        <w:t>Each 1.0 mL single-use pre-filled pen or pre-filled syringe contains 75 mg or 150 mg alirocumab and the following excipients: histidine, sucrose, polysorbate 20 and water for injection.</w:t>
      </w:r>
    </w:p>
    <w:p w14:paraId="56EB0660" w14:textId="77777777" w:rsidR="001C65EF" w:rsidRPr="00204FB3" w:rsidRDefault="001C65EF" w:rsidP="007C4C57">
      <w:pPr>
        <w:rPr>
          <w:color w:val="auto"/>
          <w:lang w:val="en-AU"/>
        </w:rPr>
      </w:pPr>
    </w:p>
    <w:p w14:paraId="116084A4" w14:textId="77777777" w:rsidR="001A3992" w:rsidRPr="00204FB3" w:rsidRDefault="001A3992" w:rsidP="001A3992">
      <w:pPr>
        <w:pStyle w:val="Heading2"/>
        <w:keepLines/>
        <w:spacing w:before="0" w:after="120"/>
        <w:rPr>
          <w:lang w:val="en-AU"/>
        </w:rPr>
      </w:pPr>
      <w:r w:rsidRPr="00204FB3">
        <w:rPr>
          <w:lang w:val="en-AU"/>
        </w:rPr>
        <w:t xml:space="preserve">Incompatibilities </w:t>
      </w:r>
    </w:p>
    <w:p w14:paraId="3ECD5368" w14:textId="77777777" w:rsidR="004C7960" w:rsidRPr="00204FB3" w:rsidRDefault="004C7960" w:rsidP="004C7960">
      <w:pPr>
        <w:pStyle w:val="BodyText"/>
        <w:spacing w:line="247" w:lineRule="auto"/>
        <w:ind w:right="109"/>
        <w:rPr>
          <w:color w:val="auto"/>
        </w:rPr>
      </w:pPr>
      <w:r w:rsidRPr="00204FB3">
        <w:rPr>
          <w:color w:val="auto"/>
        </w:rPr>
        <w:t>In the absence of compatibility studies, this medicinal product must not be mixed with other</w:t>
      </w:r>
      <w:r w:rsidRPr="00204FB3">
        <w:rPr>
          <w:color w:val="auto"/>
          <w:spacing w:val="-31"/>
        </w:rPr>
        <w:t xml:space="preserve"> </w:t>
      </w:r>
      <w:r w:rsidRPr="00204FB3">
        <w:rPr>
          <w:color w:val="auto"/>
        </w:rPr>
        <w:t>medicinal products.</w:t>
      </w:r>
    </w:p>
    <w:p w14:paraId="66058FBA" w14:textId="77777777" w:rsidR="00194D6E" w:rsidRPr="00204FB3" w:rsidRDefault="00194D6E" w:rsidP="00194D6E">
      <w:pPr>
        <w:rPr>
          <w:color w:val="auto"/>
          <w:lang w:val="en-AU"/>
        </w:rPr>
      </w:pPr>
    </w:p>
    <w:p w14:paraId="7E67AF54" w14:textId="77777777" w:rsidR="001A3992" w:rsidRPr="00204FB3" w:rsidRDefault="001A3992" w:rsidP="001A3992">
      <w:pPr>
        <w:pStyle w:val="Heading2"/>
        <w:spacing w:before="0" w:after="120"/>
        <w:rPr>
          <w:lang w:val="en-AU"/>
        </w:rPr>
      </w:pPr>
      <w:r w:rsidRPr="00204FB3">
        <w:rPr>
          <w:lang w:val="en-AU"/>
        </w:rPr>
        <w:t xml:space="preserve">Shelf life </w:t>
      </w:r>
    </w:p>
    <w:p w14:paraId="6ABE24C5" w14:textId="77777777" w:rsidR="00194D6E" w:rsidRPr="00204FB3" w:rsidRDefault="0024632F" w:rsidP="00194D6E">
      <w:pPr>
        <w:rPr>
          <w:color w:val="auto"/>
        </w:rPr>
      </w:pPr>
      <w:r w:rsidRPr="00204FB3">
        <w:rPr>
          <w:color w:val="auto"/>
        </w:rPr>
        <w:t>In Australia, information on the shelf life can be found on the public summary of the Australian Register of Therapeutic Goods (ARTG). The expiry dat</w:t>
      </w:r>
      <w:r w:rsidR="004C7960" w:rsidRPr="00204FB3">
        <w:rPr>
          <w:color w:val="auto"/>
        </w:rPr>
        <w:t>e can be found on the packaging.</w:t>
      </w:r>
    </w:p>
    <w:p w14:paraId="1B959221" w14:textId="77777777" w:rsidR="0024632F" w:rsidRPr="00204FB3" w:rsidRDefault="0024632F" w:rsidP="00194D6E">
      <w:pPr>
        <w:rPr>
          <w:color w:val="auto"/>
          <w:lang w:val="en-AU"/>
        </w:rPr>
      </w:pPr>
    </w:p>
    <w:p w14:paraId="5413B96E" w14:textId="77777777" w:rsidR="001A3992" w:rsidRPr="00204FB3" w:rsidRDefault="001A3992" w:rsidP="001A3992">
      <w:pPr>
        <w:pStyle w:val="Heading2"/>
        <w:keepLines/>
        <w:spacing w:before="0" w:after="120"/>
        <w:rPr>
          <w:lang w:val="en-AU"/>
        </w:rPr>
      </w:pPr>
      <w:r w:rsidRPr="00204FB3">
        <w:rPr>
          <w:lang w:val="en-AU"/>
        </w:rPr>
        <w:t xml:space="preserve">Special precautions for storage </w:t>
      </w:r>
    </w:p>
    <w:p w14:paraId="13BD88B4" w14:textId="77777777" w:rsidR="00807059" w:rsidRPr="00204FB3" w:rsidRDefault="00807059" w:rsidP="00807059">
      <w:pPr>
        <w:rPr>
          <w:color w:val="auto"/>
        </w:rPr>
      </w:pPr>
      <w:r w:rsidRPr="00204FB3">
        <w:rPr>
          <w:color w:val="auto"/>
        </w:rPr>
        <w:t xml:space="preserve">Store at 2°C to 8°C (Refrigerate. Do not freeze). Do not expose to extreme heat. Time out of refrigeration should not exceed a maximum of 30 days at temperatures below 25°C. Keep in the outer carton in order to protect from light. </w:t>
      </w:r>
    </w:p>
    <w:p w14:paraId="69322FC3" w14:textId="77777777" w:rsidR="00D70EC1" w:rsidRPr="00204FB3" w:rsidRDefault="00D70EC1" w:rsidP="00D70EC1">
      <w:pPr>
        <w:rPr>
          <w:color w:val="auto"/>
          <w:lang w:val="en-AU"/>
        </w:rPr>
      </w:pPr>
    </w:p>
    <w:p w14:paraId="455F4BE4" w14:textId="77777777" w:rsidR="001A3992" w:rsidRPr="00204FB3" w:rsidRDefault="001A3992" w:rsidP="001A3992">
      <w:pPr>
        <w:pStyle w:val="Heading2"/>
        <w:spacing w:before="0" w:after="120"/>
        <w:rPr>
          <w:lang w:val="en-AU"/>
        </w:rPr>
      </w:pPr>
      <w:r w:rsidRPr="00204FB3">
        <w:rPr>
          <w:lang w:val="en-AU"/>
        </w:rPr>
        <w:t xml:space="preserve">Nature and contents of container </w:t>
      </w:r>
    </w:p>
    <w:p w14:paraId="3F738CBB" w14:textId="3E3760A2" w:rsidR="001C65EF" w:rsidRPr="00204FB3" w:rsidRDefault="001C65EF" w:rsidP="001C65EF">
      <w:pPr>
        <w:rPr>
          <w:color w:val="auto"/>
        </w:rPr>
      </w:pPr>
      <w:r w:rsidRPr="00204FB3">
        <w:rPr>
          <w:color w:val="auto"/>
        </w:rPr>
        <w:t xml:space="preserve">Praluent 75 mg/mL and 150 mg/mL solution for injection is supplied in a siliconised 1 ml Type 1 clear glass syringe, equipped with a stainless steel needle, a styrene-butadiene rubber soft needle shield (does not contain natural latex), and a coated bromobutyl rubber plunger stopper. </w:t>
      </w:r>
    </w:p>
    <w:p w14:paraId="4EEAAF7C" w14:textId="77777777" w:rsidR="00807059" w:rsidRPr="00204FB3" w:rsidRDefault="00807059" w:rsidP="00807059">
      <w:pPr>
        <w:pStyle w:val="Heading5"/>
        <w:numPr>
          <w:ilvl w:val="0"/>
          <w:numId w:val="0"/>
        </w:numPr>
        <w:ind w:left="1009" w:hanging="1009"/>
      </w:pPr>
      <w:r w:rsidRPr="00204FB3">
        <w:t>Pre-filled pen</w:t>
      </w:r>
    </w:p>
    <w:p w14:paraId="1C5B01D0" w14:textId="77777777" w:rsidR="00807059" w:rsidRPr="00204FB3" w:rsidRDefault="00807059" w:rsidP="00807059">
      <w:pPr>
        <w:spacing w:before="120"/>
        <w:rPr>
          <w:color w:val="auto"/>
        </w:rPr>
      </w:pPr>
      <w:r w:rsidRPr="00204FB3">
        <w:rPr>
          <w:color w:val="auto"/>
        </w:rPr>
        <w:t>75 mg/mL pre-filled syringe components are assembled into a pen with a blue cap and a light green activation button. Available in pack sizes of 1, 2 or 6 per carton.</w:t>
      </w:r>
    </w:p>
    <w:p w14:paraId="6A615344" w14:textId="77777777" w:rsidR="00807059" w:rsidRPr="00204FB3" w:rsidRDefault="00807059" w:rsidP="00807059">
      <w:pPr>
        <w:spacing w:before="0"/>
        <w:rPr>
          <w:color w:val="auto"/>
        </w:rPr>
      </w:pPr>
      <w:r w:rsidRPr="00204FB3">
        <w:rPr>
          <w:color w:val="auto"/>
        </w:rPr>
        <w:br/>
        <w:t>150 mg/mL pre-filled syringe components are assembled into a pen with a blue cap and a dark grey activation button. Available in pack sizes of 1, 2 or 6 per carton.</w:t>
      </w:r>
    </w:p>
    <w:p w14:paraId="32C43537" w14:textId="77777777" w:rsidR="00807059" w:rsidRPr="00204FB3" w:rsidRDefault="00807059" w:rsidP="00807059">
      <w:pPr>
        <w:pStyle w:val="Heading5"/>
        <w:numPr>
          <w:ilvl w:val="0"/>
          <w:numId w:val="0"/>
        </w:numPr>
        <w:ind w:left="1009" w:hanging="1009"/>
      </w:pPr>
      <w:r w:rsidRPr="00204FB3">
        <w:t xml:space="preserve">Pre-filled syringe* </w:t>
      </w:r>
    </w:p>
    <w:p w14:paraId="2C3A4CD5" w14:textId="77777777" w:rsidR="00807059" w:rsidRPr="00204FB3" w:rsidRDefault="00807059" w:rsidP="00807059">
      <w:pPr>
        <w:spacing w:before="120"/>
        <w:rPr>
          <w:color w:val="auto"/>
        </w:rPr>
      </w:pPr>
      <w:r w:rsidRPr="00204FB3">
        <w:rPr>
          <w:color w:val="auto"/>
        </w:rPr>
        <w:t xml:space="preserve">75 mg/mL pre-filled syringe is equipped with a light green polypropylene plunger rod. Available in pack sizes of 1, 2 or 6 per carton. </w:t>
      </w:r>
    </w:p>
    <w:p w14:paraId="53A256A7" w14:textId="77777777" w:rsidR="00807059" w:rsidRPr="00204FB3" w:rsidRDefault="00807059" w:rsidP="00807059">
      <w:pPr>
        <w:rPr>
          <w:color w:val="auto"/>
        </w:rPr>
      </w:pPr>
      <w:r w:rsidRPr="00204FB3">
        <w:rPr>
          <w:color w:val="auto"/>
        </w:rPr>
        <w:t>150 mg/mL pre-filled syringe is equipped with a dark grey polypropylene plunger rod. Available in pack sizes of 1, 2 or 6 per carton.</w:t>
      </w:r>
    </w:p>
    <w:p w14:paraId="15E32541" w14:textId="77777777" w:rsidR="001C65EF" w:rsidRPr="00204FB3" w:rsidRDefault="001C65EF" w:rsidP="001C65EF">
      <w:pPr>
        <w:rPr>
          <w:color w:val="auto"/>
        </w:rPr>
      </w:pPr>
      <w:r w:rsidRPr="00204FB3">
        <w:rPr>
          <w:color w:val="auto"/>
          <w:vertAlign w:val="superscript"/>
        </w:rPr>
        <w:t>*</w:t>
      </w:r>
      <w:r w:rsidRPr="00204FB3">
        <w:rPr>
          <w:color w:val="auto"/>
        </w:rPr>
        <w:t xml:space="preserve"> Presentations currently not marketed </w:t>
      </w:r>
    </w:p>
    <w:p w14:paraId="4618E742" w14:textId="77777777" w:rsidR="007C4C57" w:rsidRPr="00204FB3" w:rsidRDefault="007C4C57" w:rsidP="004F0E4A">
      <w:pPr>
        <w:rPr>
          <w:snapToGrid w:val="0"/>
          <w:color w:val="auto"/>
          <w:lang w:val="en-AU"/>
        </w:rPr>
      </w:pPr>
    </w:p>
    <w:p w14:paraId="446CB51B" w14:textId="77777777" w:rsidR="001A3992" w:rsidRPr="00204FB3" w:rsidRDefault="001A3992" w:rsidP="001A3992">
      <w:pPr>
        <w:pStyle w:val="Heading2"/>
        <w:spacing w:before="0" w:after="120"/>
        <w:rPr>
          <w:lang w:val="en-AU"/>
        </w:rPr>
      </w:pPr>
      <w:r w:rsidRPr="00204FB3">
        <w:rPr>
          <w:lang w:val="en-AU"/>
        </w:rPr>
        <w:lastRenderedPageBreak/>
        <w:t xml:space="preserve">Special precautions for disposal </w:t>
      </w:r>
    </w:p>
    <w:p w14:paraId="196C9664" w14:textId="77777777" w:rsidR="00D70EC1" w:rsidRPr="00204FB3" w:rsidRDefault="00D70EC1" w:rsidP="00D70EC1">
      <w:pPr>
        <w:rPr>
          <w:color w:val="auto"/>
        </w:rPr>
      </w:pPr>
      <w:r w:rsidRPr="00204FB3">
        <w:rPr>
          <w:color w:val="auto"/>
        </w:rPr>
        <w:t>In Australia, any unused medicine or waste material should be disposed of by taking to your local pharmacy.</w:t>
      </w:r>
    </w:p>
    <w:p w14:paraId="75D23C0A" w14:textId="77777777" w:rsidR="00717E34" w:rsidRPr="00204FB3" w:rsidRDefault="00717E34" w:rsidP="00717E34">
      <w:pPr>
        <w:rPr>
          <w:color w:val="auto"/>
          <w:lang w:val="en-AU"/>
        </w:rPr>
      </w:pPr>
    </w:p>
    <w:p w14:paraId="1D5630F0" w14:textId="77777777" w:rsidR="001A3992" w:rsidRPr="00204FB3" w:rsidRDefault="001A3992" w:rsidP="001A3992">
      <w:pPr>
        <w:pStyle w:val="Heading2"/>
        <w:spacing w:before="0" w:after="120"/>
        <w:rPr>
          <w:lang w:val="en-AU"/>
        </w:rPr>
      </w:pPr>
      <w:r w:rsidRPr="00204FB3">
        <w:rPr>
          <w:lang w:val="en-AU"/>
        </w:rPr>
        <w:t>Physicochemical properties</w:t>
      </w:r>
    </w:p>
    <w:p w14:paraId="0EA030D8" w14:textId="77777777" w:rsidR="001C2DD6" w:rsidRPr="00204FB3" w:rsidRDefault="001C2DD6" w:rsidP="001C2DD6">
      <w:pPr>
        <w:rPr>
          <w:color w:val="auto"/>
        </w:rPr>
      </w:pPr>
      <w:r w:rsidRPr="00204FB3">
        <w:rPr>
          <w:color w:val="auto"/>
        </w:rPr>
        <w:t>Alirocumab consists of two disulfide-linked human heavy chains, each covalently linked through a disulfide bond to a fully human kappa light chain. A single N-linked glycosylation site is located in each heavy chain within the CH2 domain of the Fc constant region of the molecule. The variable domains of the heavy and light chains combine to form the proprotein convertase subtilisin kexin type 9 (PCSK9) binding site within the antibody. Alirocumab has an approximate molecular weight of 146 kDa.</w:t>
      </w:r>
    </w:p>
    <w:p w14:paraId="327E9726" w14:textId="37269374" w:rsidR="001C2DD6" w:rsidRPr="00204FB3" w:rsidRDefault="001C2DD6" w:rsidP="001C2DD6">
      <w:pPr>
        <w:pStyle w:val="Caption"/>
      </w:pPr>
      <w:r w:rsidRPr="00204FB3">
        <w:t xml:space="preserve"> Figure </w:t>
      </w:r>
      <w:r w:rsidRPr="00204FB3">
        <w:fldChar w:fldCharType="begin"/>
      </w:r>
      <w:r w:rsidRPr="00204FB3">
        <w:instrText xml:space="preserve"> SEQ Figure \* ARABIC </w:instrText>
      </w:r>
      <w:r w:rsidRPr="00204FB3">
        <w:fldChar w:fldCharType="separate"/>
      </w:r>
      <w:r w:rsidR="0052180F">
        <w:rPr>
          <w:noProof/>
        </w:rPr>
        <w:t>5</w:t>
      </w:r>
      <w:r w:rsidRPr="00204FB3">
        <w:fldChar w:fldCharType="end"/>
      </w:r>
      <w:r w:rsidRPr="00204FB3">
        <w:t xml:space="preserve"> ­ Schematic representative of the structure of alirocumab </w:t>
      </w:r>
    </w:p>
    <w:p w14:paraId="3D796DFD" w14:textId="77777777" w:rsidR="001C2DD6" w:rsidRPr="00204FB3" w:rsidRDefault="001C2DD6" w:rsidP="001C2DD6">
      <w:pPr>
        <w:ind w:left="5040"/>
        <w:rPr>
          <w:color w:val="auto"/>
        </w:rPr>
      </w:pPr>
      <w:r w:rsidRPr="00204FB3">
        <w:rPr>
          <w:noProof/>
          <w:color w:val="auto"/>
          <w:lang w:val="en-AU" w:eastAsia="en-AU"/>
        </w:rPr>
        <w:t xml:space="preserve">      </w:t>
      </w:r>
      <w:r w:rsidRPr="00204FB3">
        <w:rPr>
          <w:noProof/>
          <w:color w:val="auto"/>
          <w:lang w:val="en-AU" w:eastAsia="en-AU"/>
        </w:rPr>
        <w:drawing>
          <wp:inline distT="0" distB="0" distL="0" distR="0" wp14:anchorId="69139759" wp14:editId="2FA23342">
            <wp:extent cx="238760" cy="198755"/>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760" cy="198755"/>
                    </a:xfrm>
                    <a:prstGeom prst="rect">
                      <a:avLst/>
                    </a:prstGeom>
                    <a:noFill/>
                    <a:ln>
                      <a:noFill/>
                    </a:ln>
                  </pic:spPr>
                </pic:pic>
              </a:graphicData>
            </a:graphic>
          </wp:inline>
        </w:drawing>
      </w:r>
      <w:r w:rsidRPr="00204FB3">
        <w:rPr>
          <w:noProof/>
          <w:color w:val="auto"/>
          <w:lang w:val="en-AU" w:eastAsia="en-AU"/>
        </w:rPr>
        <w:t xml:space="preserve">   </w:t>
      </w:r>
      <w:r w:rsidRPr="00204FB3">
        <w:rPr>
          <w:noProof/>
          <w:color w:val="auto"/>
          <w:lang w:val="en-AU" w:eastAsia="en-AU"/>
        </w:rPr>
        <w:drawing>
          <wp:inline distT="0" distB="0" distL="0" distR="0" wp14:anchorId="7C954377" wp14:editId="054A19EE">
            <wp:extent cx="222885" cy="19113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2885" cy="191135"/>
                    </a:xfrm>
                    <a:prstGeom prst="rect">
                      <a:avLst/>
                    </a:prstGeom>
                    <a:noFill/>
                    <a:ln>
                      <a:noFill/>
                    </a:ln>
                  </pic:spPr>
                </pic:pic>
              </a:graphicData>
            </a:graphic>
          </wp:inline>
        </w:drawing>
      </w:r>
    </w:p>
    <w:p w14:paraId="767D4CF0" w14:textId="77777777" w:rsidR="001C2DD6" w:rsidRPr="00204FB3" w:rsidRDefault="001C2DD6" w:rsidP="001C2DD6">
      <w:pPr>
        <w:spacing w:before="0"/>
        <w:jc w:val="center"/>
        <w:rPr>
          <w:color w:val="auto"/>
          <w:lang w:val="en-GB"/>
        </w:rPr>
      </w:pPr>
      <w:r w:rsidRPr="00204FB3">
        <w:rPr>
          <w:noProof/>
          <w:color w:val="auto"/>
          <w:lang w:val="en-AU" w:eastAsia="en-AU"/>
        </w:rPr>
        <w:drawing>
          <wp:inline distT="0" distB="0" distL="0" distR="0" wp14:anchorId="06D16FF2" wp14:editId="2BC03809">
            <wp:extent cx="2003425" cy="18688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3425" cy="1868805"/>
                    </a:xfrm>
                    <a:prstGeom prst="rect">
                      <a:avLst/>
                    </a:prstGeom>
                    <a:noFill/>
                    <a:ln>
                      <a:noFill/>
                    </a:ln>
                  </pic:spPr>
                </pic:pic>
              </a:graphicData>
            </a:graphic>
          </wp:inline>
        </w:drawing>
      </w:r>
    </w:p>
    <w:p w14:paraId="3FFD7EB6" w14:textId="77777777" w:rsidR="001C2DD6" w:rsidRPr="00204FB3" w:rsidRDefault="001C2DD6" w:rsidP="001C2DD6">
      <w:pPr>
        <w:rPr>
          <w:rFonts w:ascii="Arial Narrow" w:hAnsi="Arial Narrow"/>
          <w:color w:val="auto"/>
          <w:sz w:val="20"/>
          <w:szCs w:val="20"/>
        </w:rPr>
      </w:pPr>
      <w:r w:rsidRPr="00204FB3">
        <w:rPr>
          <w:rFonts w:ascii="Arial Narrow" w:hAnsi="Arial Narrow"/>
          <w:color w:val="auto"/>
          <w:sz w:val="20"/>
          <w:szCs w:val="20"/>
        </w:rPr>
        <w:t>CH = constant region of the heavy chain; CL = constant region of the light chain; VH = variable region of the heavy chain; VL = variable region of the light chain.</w:t>
      </w:r>
    </w:p>
    <w:p w14:paraId="7AF2D8C4" w14:textId="77777777" w:rsidR="0024632F" w:rsidRPr="00204FB3" w:rsidRDefault="0024632F" w:rsidP="00CA73C2">
      <w:pPr>
        <w:pStyle w:val="Heading3"/>
        <w:numPr>
          <w:ilvl w:val="0"/>
          <w:numId w:val="0"/>
        </w:numPr>
        <w:ind w:left="680" w:hanging="680"/>
        <w:rPr>
          <w:i/>
        </w:rPr>
      </w:pPr>
      <w:r w:rsidRPr="00204FB3">
        <w:rPr>
          <w:i/>
        </w:rPr>
        <w:t>CAS number</w:t>
      </w:r>
    </w:p>
    <w:p w14:paraId="3CB32EA1" w14:textId="5718A9FE" w:rsidR="001A3992" w:rsidRDefault="001C2DD6" w:rsidP="0052180F">
      <w:pPr>
        <w:rPr>
          <w:color w:val="auto"/>
        </w:rPr>
      </w:pPr>
      <w:r w:rsidRPr="00204FB3">
        <w:rPr>
          <w:color w:val="auto"/>
        </w:rPr>
        <w:t>1245916-14-6</w:t>
      </w:r>
    </w:p>
    <w:p w14:paraId="683E63CA" w14:textId="77777777" w:rsidR="0052180F" w:rsidRPr="0052180F" w:rsidRDefault="0052180F" w:rsidP="0052180F">
      <w:pPr>
        <w:rPr>
          <w:color w:val="auto"/>
        </w:rPr>
      </w:pPr>
    </w:p>
    <w:p w14:paraId="4110BD71" w14:textId="77777777" w:rsidR="001A3992" w:rsidRPr="00204FB3" w:rsidRDefault="001A3992" w:rsidP="00024098">
      <w:pPr>
        <w:pStyle w:val="Heading1"/>
        <w:keepNext w:val="0"/>
        <w:pageBreakBefore w:val="0"/>
        <w:spacing w:before="0" w:after="120"/>
        <w:rPr>
          <w:lang w:val="en-AU"/>
        </w:rPr>
      </w:pPr>
      <w:r w:rsidRPr="00204FB3">
        <w:rPr>
          <w:lang w:val="en-AU"/>
        </w:rPr>
        <w:t>Medicine schedule (Poisons Standard)</w:t>
      </w:r>
    </w:p>
    <w:p w14:paraId="3A40618E" w14:textId="77777777" w:rsidR="0086269F" w:rsidRPr="00204FB3" w:rsidRDefault="0086269F" w:rsidP="0086269F">
      <w:pPr>
        <w:rPr>
          <w:color w:val="auto"/>
        </w:rPr>
      </w:pPr>
      <w:r w:rsidRPr="00204FB3">
        <w:rPr>
          <w:color w:val="auto"/>
        </w:rPr>
        <w:t>Schedule 4 (Prescription Only Medicine)</w:t>
      </w:r>
    </w:p>
    <w:p w14:paraId="52EB65B1" w14:textId="77777777" w:rsidR="00024098" w:rsidRPr="00204FB3" w:rsidRDefault="00024098" w:rsidP="00024098">
      <w:pPr>
        <w:rPr>
          <w:color w:val="auto"/>
          <w:lang w:val="en-AU"/>
        </w:rPr>
      </w:pPr>
    </w:p>
    <w:p w14:paraId="2BA920BA" w14:textId="77777777" w:rsidR="001A3992" w:rsidRPr="00204FB3" w:rsidRDefault="001A3992" w:rsidP="00B71099">
      <w:pPr>
        <w:pStyle w:val="Heading1"/>
        <w:keepNext w:val="0"/>
        <w:spacing w:before="0" w:after="120"/>
        <w:rPr>
          <w:lang w:val="en-AU"/>
        </w:rPr>
      </w:pPr>
      <w:bookmarkStart w:id="17" w:name="_GoBack"/>
      <w:bookmarkEnd w:id="17"/>
      <w:r w:rsidRPr="00204FB3">
        <w:rPr>
          <w:lang w:val="en-AU"/>
        </w:rPr>
        <w:lastRenderedPageBreak/>
        <w:t>Sponsor</w:t>
      </w:r>
    </w:p>
    <w:p w14:paraId="125948DA" w14:textId="77777777" w:rsidR="0086269F" w:rsidRPr="00204FB3" w:rsidRDefault="0086269F" w:rsidP="0086269F">
      <w:pPr>
        <w:rPr>
          <w:color w:val="auto"/>
          <w:lang w:val="it-IT"/>
        </w:rPr>
      </w:pPr>
      <w:r w:rsidRPr="00204FB3">
        <w:rPr>
          <w:color w:val="auto"/>
          <w:lang w:val="it-IT"/>
        </w:rPr>
        <w:t>Australia</w:t>
      </w:r>
    </w:p>
    <w:p w14:paraId="064C9F67" w14:textId="77777777" w:rsidR="0086269F" w:rsidRPr="00204FB3" w:rsidRDefault="0086269F" w:rsidP="0086269F">
      <w:pPr>
        <w:spacing w:before="120"/>
        <w:rPr>
          <w:color w:val="auto"/>
          <w:lang w:val="it-IT"/>
        </w:rPr>
      </w:pPr>
      <w:r w:rsidRPr="00204FB3">
        <w:rPr>
          <w:color w:val="auto"/>
          <w:lang w:val="it-IT"/>
        </w:rPr>
        <w:t>sanofi-aventis australia pty ltd</w:t>
      </w:r>
      <w:r w:rsidRPr="00204FB3">
        <w:rPr>
          <w:color w:val="auto"/>
          <w:lang w:val="it-IT"/>
        </w:rPr>
        <w:br/>
        <w:t>12-24 Talavera Road</w:t>
      </w:r>
      <w:r w:rsidRPr="00204FB3">
        <w:rPr>
          <w:color w:val="auto"/>
          <w:lang w:val="it-IT"/>
        </w:rPr>
        <w:br/>
        <w:t>Macquarie Park NSW 2113</w:t>
      </w:r>
    </w:p>
    <w:p w14:paraId="448BDB7B" w14:textId="77777777" w:rsidR="0086269F" w:rsidRPr="00204FB3" w:rsidRDefault="0086269F" w:rsidP="0086269F">
      <w:pPr>
        <w:spacing w:before="0"/>
        <w:rPr>
          <w:color w:val="auto"/>
          <w:lang w:val="it-IT"/>
        </w:rPr>
      </w:pPr>
      <w:r w:rsidRPr="00204FB3">
        <w:rPr>
          <w:color w:val="auto"/>
          <w:lang w:val="it-IT"/>
        </w:rPr>
        <w:t>Australia</w:t>
      </w:r>
    </w:p>
    <w:p w14:paraId="446FC5D7" w14:textId="77777777" w:rsidR="0086269F" w:rsidRPr="00204FB3" w:rsidRDefault="0086269F" w:rsidP="0086269F">
      <w:pPr>
        <w:spacing w:before="0"/>
        <w:rPr>
          <w:color w:val="auto"/>
          <w:lang w:val="it-IT"/>
        </w:rPr>
      </w:pPr>
      <w:r w:rsidRPr="00204FB3">
        <w:rPr>
          <w:color w:val="auto"/>
          <w:lang w:val="it-IT"/>
        </w:rPr>
        <w:t>Toll Free Number (medical information): 1800 818 806</w:t>
      </w:r>
    </w:p>
    <w:p w14:paraId="0F059FE0" w14:textId="77777777" w:rsidR="0086269F" w:rsidRPr="00204FB3" w:rsidRDefault="0086269F" w:rsidP="0086269F">
      <w:pPr>
        <w:spacing w:before="0"/>
        <w:rPr>
          <w:color w:val="auto"/>
          <w:lang w:val="it-IT"/>
        </w:rPr>
      </w:pPr>
      <w:r w:rsidRPr="00204FB3">
        <w:rPr>
          <w:color w:val="auto"/>
          <w:lang w:val="it-IT"/>
        </w:rPr>
        <w:t>E-mail: medinfo.australia@sanofi.com</w:t>
      </w:r>
    </w:p>
    <w:p w14:paraId="65D314E3" w14:textId="77777777" w:rsidR="0086269F" w:rsidRPr="00204FB3" w:rsidRDefault="0086269F" w:rsidP="0086269F">
      <w:pPr>
        <w:rPr>
          <w:color w:val="auto"/>
          <w:lang w:val="it-IT"/>
        </w:rPr>
      </w:pPr>
      <w:r w:rsidRPr="00204FB3">
        <w:rPr>
          <w:color w:val="auto"/>
          <w:lang w:val="it-IT"/>
        </w:rPr>
        <w:t>New Zealand</w:t>
      </w:r>
    </w:p>
    <w:p w14:paraId="6DD5315D" w14:textId="77777777" w:rsidR="0086269F" w:rsidRPr="00204FB3" w:rsidRDefault="0086269F" w:rsidP="0086269F">
      <w:pPr>
        <w:spacing w:before="120"/>
        <w:rPr>
          <w:color w:val="auto"/>
          <w:lang w:val="it-IT"/>
        </w:rPr>
      </w:pPr>
      <w:r w:rsidRPr="00204FB3">
        <w:rPr>
          <w:color w:val="auto"/>
          <w:lang w:val="it-IT"/>
        </w:rPr>
        <w:t>sanofi-aventis new zealand limited</w:t>
      </w:r>
    </w:p>
    <w:p w14:paraId="26D3A204" w14:textId="77777777" w:rsidR="0086269F" w:rsidRPr="00204FB3" w:rsidRDefault="0086269F" w:rsidP="0086269F">
      <w:pPr>
        <w:spacing w:before="0"/>
        <w:rPr>
          <w:color w:val="auto"/>
          <w:lang w:val="it-IT"/>
        </w:rPr>
      </w:pPr>
      <w:r w:rsidRPr="00204FB3">
        <w:rPr>
          <w:color w:val="auto"/>
          <w:lang w:val="it-IT"/>
        </w:rPr>
        <w:t>Level 8, 56 Cawley Street</w:t>
      </w:r>
    </w:p>
    <w:p w14:paraId="1FFB3637" w14:textId="77777777" w:rsidR="0086269F" w:rsidRPr="00204FB3" w:rsidRDefault="0086269F" w:rsidP="0086269F">
      <w:pPr>
        <w:spacing w:before="0"/>
        <w:rPr>
          <w:color w:val="auto"/>
          <w:lang w:val="it-IT"/>
        </w:rPr>
      </w:pPr>
      <w:r w:rsidRPr="00204FB3">
        <w:rPr>
          <w:color w:val="auto"/>
          <w:lang w:val="it-IT"/>
        </w:rPr>
        <w:t>Ellerslie</w:t>
      </w:r>
    </w:p>
    <w:p w14:paraId="035BAFC1" w14:textId="77777777" w:rsidR="0086269F" w:rsidRPr="00204FB3" w:rsidRDefault="0086269F" w:rsidP="0086269F">
      <w:pPr>
        <w:spacing w:before="0"/>
        <w:rPr>
          <w:color w:val="auto"/>
          <w:lang w:val="it-IT"/>
        </w:rPr>
      </w:pPr>
      <w:r w:rsidRPr="00204FB3">
        <w:rPr>
          <w:color w:val="auto"/>
          <w:lang w:val="it-IT"/>
        </w:rPr>
        <w:t>Auckland</w:t>
      </w:r>
    </w:p>
    <w:p w14:paraId="6F72356F" w14:textId="77777777" w:rsidR="0086269F" w:rsidRPr="00204FB3" w:rsidRDefault="0086269F" w:rsidP="0086269F">
      <w:pPr>
        <w:spacing w:before="0"/>
        <w:rPr>
          <w:color w:val="auto"/>
          <w:lang w:val="it-IT"/>
        </w:rPr>
      </w:pPr>
      <w:r w:rsidRPr="00204FB3">
        <w:rPr>
          <w:color w:val="auto"/>
          <w:lang w:val="it-IT"/>
        </w:rPr>
        <w:t>New Zealand</w:t>
      </w:r>
    </w:p>
    <w:p w14:paraId="0B78D79E" w14:textId="77777777" w:rsidR="0086269F" w:rsidRPr="00204FB3" w:rsidRDefault="0086269F" w:rsidP="0086269F">
      <w:pPr>
        <w:spacing w:before="0"/>
        <w:rPr>
          <w:color w:val="auto"/>
          <w:lang w:val="it-IT"/>
        </w:rPr>
      </w:pPr>
      <w:r w:rsidRPr="00204FB3">
        <w:rPr>
          <w:color w:val="auto"/>
          <w:lang w:val="it-IT"/>
        </w:rPr>
        <w:t>Toll Free Number (medical information): 0800 283 684</w:t>
      </w:r>
    </w:p>
    <w:p w14:paraId="35F47847" w14:textId="77777777" w:rsidR="0086269F" w:rsidRPr="00204FB3" w:rsidRDefault="0086269F" w:rsidP="0086269F">
      <w:pPr>
        <w:spacing w:before="0"/>
        <w:rPr>
          <w:color w:val="auto"/>
          <w:lang w:val="it-IT"/>
        </w:rPr>
      </w:pPr>
      <w:r w:rsidRPr="00204FB3">
        <w:rPr>
          <w:color w:val="auto"/>
          <w:lang w:val="it-IT"/>
        </w:rPr>
        <w:t>Email: medinfo.australia@sanofi.com</w:t>
      </w:r>
    </w:p>
    <w:p w14:paraId="7EB71840" w14:textId="77777777" w:rsidR="00024098" w:rsidRPr="00204FB3" w:rsidRDefault="00024098" w:rsidP="00024098">
      <w:pPr>
        <w:rPr>
          <w:color w:val="auto"/>
          <w:lang w:val="en-AU"/>
        </w:rPr>
      </w:pPr>
    </w:p>
    <w:p w14:paraId="512A54FF" w14:textId="77777777" w:rsidR="001A3992" w:rsidRPr="00204FB3" w:rsidRDefault="001A3992" w:rsidP="00024098">
      <w:pPr>
        <w:pStyle w:val="Heading1"/>
        <w:keepNext w:val="0"/>
        <w:pageBreakBefore w:val="0"/>
        <w:spacing w:before="0" w:after="120"/>
        <w:rPr>
          <w:lang w:val="en-AU"/>
        </w:rPr>
      </w:pPr>
      <w:r w:rsidRPr="00204FB3">
        <w:rPr>
          <w:lang w:val="en-AU"/>
        </w:rPr>
        <w:t xml:space="preserve">Date of first approval  </w:t>
      </w:r>
    </w:p>
    <w:p w14:paraId="600B9D51" w14:textId="77777777" w:rsidR="0086269F" w:rsidRPr="00204FB3" w:rsidRDefault="0086269F" w:rsidP="0086269F">
      <w:pPr>
        <w:rPr>
          <w:color w:val="auto"/>
        </w:rPr>
      </w:pPr>
      <w:r w:rsidRPr="00204FB3">
        <w:rPr>
          <w:color w:val="auto"/>
        </w:rPr>
        <w:t>17 May 2016</w:t>
      </w:r>
    </w:p>
    <w:p w14:paraId="389F0EBC" w14:textId="77777777" w:rsidR="00477BD3" w:rsidRPr="00204FB3" w:rsidRDefault="00477BD3" w:rsidP="00477BD3">
      <w:pPr>
        <w:rPr>
          <w:color w:val="auto"/>
          <w:lang w:val="en-AU"/>
        </w:rPr>
      </w:pPr>
    </w:p>
    <w:p w14:paraId="490501C3" w14:textId="3C873983" w:rsidR="001A3992" w:rsidRDefault="001A3992" w:rsidP="00024098">
      <w:pPr>
        <w:pStyle w:val="Heading1"/>
        <w:keepNext w:val="0"/>
        <w:pageBreakBefore w:val="0"/>
        <w:spacing w:before="0" w:after="120"/>
        <w:rPr>
          <w:lang w:val="en-AU"/>
        </w:rPr>
      </w:pPr>
      <w:r w:rsidRPr="00204FB3">
        <w:rPr>
          <w:lang w:val="en-AU"/>
        </w:rPr>
        <w:t xml:space="preserve">Date of revision </w:t>
      </w:r>
    </w:p>
    <w:p w14:paraId="2AB63D78" w14:textId="5F95F3E8" w:rsidR="0052180F" w:rsidRPr="0052180F" w:rsidRDefault="0052180F" w:rsidP="0052180F">
      <w:pPr>
        <w:rPr>
          <w:lang w:val="en-AU"/>
        </w:rPr>
      </w:pPr>
      <w:r>
        <w:rPr>
          <w:lang w:val="en-AU"/>
        </w:rPr>
        <w:t>29 October 2019</w:t>
      </w:r>
    </w:p>
    <w:p w14:paraId="602169E8" w14:textId="77777777" w:rsidR="0086269F" w:rsidRPr="00204FB3" w:rsidRDefault="0086269F" w:rsidP="0086269F">
      <w:pPr>
        <w:rPr>
          <w:color w:val="auto"/>
          <w:lang w:val="en-AU"/>
        </w:rPr>
      </w:pPr>
    </w:p>
    <w:p w14:paraId="7CE8E1D6" w14:textId="77777777" w:rsidR="001A3992" w:rsidRPr="00204FB3" w:rsidRDefault="001A3992" w:rsidP="001A3992">
      <w:pPr>
        <w:pStyle w:val="Heading2"/>
        <w:numPr>
          <w:ilvl w:val="0"/>
          <w:numId w:val="0"/>
        </w:numPr>
        <w:spacing w:before="0" w:after="120"/>
        <w:rPr>
          <w:lang w:val="en-AU"/>
        </w:rPr>
      </w:pPr>
      <w:r w:rsidRPr="00204FB3">
        <w:rPr>
          <w:lang w:val="en-AU"/>
        </w:rPr>
        <w:t>Summary table of changes</w:t>
      </w:r>
    </w:p>
    <w:tbl>
      <w:tblPr>
        <w:tblStyle w:val="LightGrid"/>
        <w:tblW w:w="0" w:type="auto"/>
        <w:tblCellMar>
          <w:top w:w="57" w:type="dxa"/>
          <w:bottom w:w="57" w:type="dxa"/>
        </w:tblCellMar>
        <w:tblLook w:val="06A0" w:firstRow="1" w:lastRow="0" w:firstColumn="1" w:lastColumn="0" w:noHBand="1" w:noVBand="1"/>
      </w:tblPr>
      <w:tblGrid>
        <w:gridCol w:w="1384"/>
        <w:gridCol w:w="7858"/>
      </w:tblGrid>
      <w:tr w:rsidR="00ED0937" w:rsidRPr="00204FB3" w14:paraId="2DEEB657" w14:textId="77777777" w:rsidTr="004D0F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vAlign w:val="center"/>
          </w:tcPr>
          <w:p w14:paraId="0D2CD8EA" w14:textId="77777777" w:rsidR="00ED0937" w:rsidRPr="00204FB3" w:rsidRDefault="00ED0937" w:rsidP="004D0FD8">
            <w:pPr>
              <w:rPr>
                <w:color w:val="auto"/>
                <w:sz w:val="20"/>
                <w:lang w:val="en-AU"/>
              </w:rPr>
            </w:pPr>
            <w:r w:rsidRPr="00204FB3">
              <w:rPr>
                <w:color w:val="auto"/>
                <w:sz w:val="20"/>
                <w:lang w:val="en-AU"/>
              </w:rPr>
              <w:t>Section Changed</w:t>
            </w:r>
          </w:p>
        </w:tc>
        <w:tc>
          <w:tcPr>
            <w:tcW w:w="7858" w:type="dxa"/>
            <w:shd w:val="clear" w:color="auto" w:fill="F2F2F2" w:themeFill="background1" w:themeFillShade="F2"/>
            <w:vAlign w:val="center"/>
          </w:tcPr>
          <w:p w14:paraId="0C8A3A64" w14:textId="77777777" w:rsidR="00ED0937" w:rsidRPr="00204FB3" w:rsidRDefault="00ED0937" w:rsidP="004D0FD8">
            <w:pPr>
              <w:cnfStyle w:val="100000000000" w:firstRow="1" w:lastRow="0" w:firstColumn="0" w:lastColumn="0" w:oddVBand="0" w:evenVBand="0" w:oddHBand="0" w:evenHBand="0" w:firstRowFirstColumn="0" w:firstRowLastColumn="0" w:lastRowFirstColumn="0" w:lastRowLastColumn="0"/>
              <w:rPr>
                <w:color w:val="auto"/>
                <w:sz w:val="20"/>
                <w:lang w:val="en-AU"/>
              </w:rPr>
            </w:pPr>
            <w:r w:rsidRPr="00204FB3">
              <w:rPr>
                <w:color w:val="auto"/>
                <w:sz w:val="20"/>
                <w:lang w:val="en-AU"/>
              </w:rPr>
              <w:t>Summary of new information</w:t>
            </w:r>
          </w:p>
        </w:tc>
      </w:tr>
      <w:tr w:rsidR="00ED0937" w:rsidRPr="00204FB3" w14:paraId="2F6E059A" w14:textId="77777777" w:rsidTr="00FE4D7E">
        <w:tc>
          <w:tcPr>
            <w:cnfStyle w:val="001000000000" w:firstRow="0" w:lastRow="0" w:firstColumn="1" w:lastColumn="0" w:oddVBand="0" w:evenVBand="0" w:oddHBand="0" w:evenHBand="0" w:firstRowFirstColumn="0" w:firstRowLastColumn="0" w:lastRowFirstColumn="0" w:lastRowLastColumn="0"/>
            <w:tcW w:w="1384" w:type="dxa"/>
          </w:tcPr>
          <w:p w14:paraId="39D6014C" w14:textId="77777777" w:rsidR="00ED0937" w:rsidRPr="00204FB3" w:rsidRDefault="00A93EA6" w:rsidP="00FE4D7E">
            <w:pPr>
              <w:spacing w:before="0"/>
              <w:rPr>
                <w:color w:val="auto"/>
                <w:lang w:val="en-AU"/>
              </w:rPr>
            </w:pPr>
            <w:r w:rsidRPr="00204FB3">
              <w:rPr>
                <w:color w:val="auto"/>
                <w:lang w:val="en-AU"/>
              </w:rPr>
              <w:t>All</w:t>
            </w:r>
          </w:p>
        </w:tc>
        <w:tc>
          <w:tcPr>
            <w:tcW w:w="7858" w:type="dxa"/>
          </w:tcPr>
          <w:p w14:paraId="61FC8458" w14:textId="77777777" w:rsidR="00ED0937" w:rsidRPr="00204FB3" w:rsidRDefault="00A93EA6" w:rsidP="00FE4D7E">
            <w:pPr>
              <w:spacing w:before="0"/>
              <w:cnfStyle w:val="000000000000" w:firstRow="0" w:lastRow="0" w:firstColumn="0" w:lastColumn="0" w:oddVBand="0" w:evenVBand="0" w:oddHBand="0" w:evenHBand="0" w:firstRowFirstColumn="0" w:firstRowLastColumn="0" w:lastRowFirstColumn="0" w:lastRowLastColumn="0"/>
              <w:rPr>
                <w:color w:val="auto"/>
                <w:lang w:val="en-AU"/>
              </w:rPr>
            </w:pPr>
            <w:r w:rsidRPr="00204FB3">
              <w:rPr>
                <w:color w:val="auto"/>
                <w:lang w:val="en-AU"/>
              </w:rPr>
              <w:t>Revision to new format</w:t>
            </w:r>
          </w:p>
        </w:tc>
      </w:tr>
      <w:tr w:rsidR="00ED0937" w:rsidRPr="00204FB3" w14:paraId="6E3A7DBA" w14:textId="77777777" w:rsidTr="00FE4D7E">
        <w:tc>
          <w:tcPr>
            <w:cnfStyle w:val="001000000000" w:firstRow="0" w:lastRow="0" w:firstColumn="1" w:lastColumn="0" w:oddVBand="0" w:evenVBand="0" w:oddHBand="0" w:evenHBand="0" w:firstRowFirstColumn="0" w:firstRowLastColumn="0" w:lastRowFirstColumn="0" w:lastRowLastColumn="0"/>
            <w:tcW w:w="1384" w:type="dxa"/>
          </w:tcPr>
          <w:p w14:paraId="2AD9B26C" w14:textId="39C2B3BF" w:rsidR="00ED0937" w:rsidRPr="00204FB3" w:rsidRDefault="00D17C34" w:rsidP="00FE4D7E">
            <w:pPr>
              <w:spacing w:before="0"/>
              <w:rPr>
                <w:color w:val="auto"/>
                <w:lang w:val="en-AU"/>
              </w:rPr>
            </w:pPr>
            <w:r w:rsidRPr="00204FB3">
              <w:rPr>
                <w:color w:val="auto"/>
                <w:lang w:val="en-AU"/>
              </w:rPr>
              <w:t xml:space="preserve">4.1, 4.4, 4.8,  </w:t>
            </w:r>
            <w:r w:rsidR="00A93EA6" w:rsidRPr="00204FB3">
              <w:rPr>
                <w:color w:val="auto"/>
                <w:lang w:val="en-AU"/>
              </w:rPr>
              <w:t>5.1</w:t>
            </w:r>
            <w:r w:rsidRPr="00204FB3">
              <w:rPr>
                <w:color w:val="auto"/>
                <w:lang w:val="en-AU"/>
              </w:rPr>
              <w:t>, 6.2</w:t>
            </w:r>
          </w:p>
        </w:tc>
        <w:tc>
          <w:tcPr>
            <w:tcW w:w="7858" w:type="dxa"/>
          </w:tcPr>
          <w:p w14:paraId="7C9EAC07" w14:textId="76A22CD7" w:rsidR="004075F9" w:rsidRPr="00204FB3" w:rsidRDefault="00D17C34" w:rsidP="00FE4D7E">
            <w:pPr>
              <w:spacing w:before="0"/>
              <w:cnfStyle w:val="000000000000" w:firstRow="0" w:lastRow="0" w:firstColumn="0" w:lastColumn="0" w:oddVBand="0" w:evenVBand="0" w:oddHBand="0" w:evenHBand="0" w:firstRowFirstColumn="0" w:firstRowLastColumn="0" w:lastRowFirstColumn="0" w:lastRowLastColumn="0"/>
              <w:rPr>
                <w:color w:val="auto"/>
                <w:lang w:val="en-AU"/>
              </w:rPr>
            </w:pPr>
            <w:r w:rsidRPr="00204FB3">
              <w:rPr>
                <w:color w:val="auto"/>
                <w:lang w:val="en-AU"/>
              </w:rPr>
              <w:t xml:space="preserve">Additional indication and clinical safety and efficacy </w:t>
            </w:r>
            <w:r w:rsidR="00A93EA6" w:rsidRPr="00204FB3">
              <w:rPr>
                <w:color w:val="auto"/>
                <w:lang w:val="en-AU"/>
              </w:rPr>
              <w:t xml:space="preserve">data </w:t>
            </w:r>
            <w:r w:rsidRPr="00204FB3">
              <w:rPr>
                <w:color w:val="auto"/>
                <w:lang w:val="en-AU"/>
              </w:rPr>
              <w:t>based on O</w:t>
            </w:r>
            <w:r w:rsidR="00A93EA6" w:rsidRPr="00204FB3">
              <w:rPr>
                <w:color w:val="auto"/>
                <w:lang w:val="en-AU"/>
              </w:rPr>
              <w:t xml:space="preserve">dyssey </w:t>
            </w:r>
            <w:r w:rsidR="00F37834" w:rsidRPr="00204FB3">
              <w:rPr>
                <w:color w:val="auto"/>
                <w:lang w:val="en-AU"/>
              </w:rPr>
              <w:t>OUTCOMES</w:t>
            </w:r>
            <w:r w:rsidRPr="00204FB3">
              <w:rPr>
                <w:color w:val="auto"/>
                <w:lang w:val="en-AU"/>
              </w:rPr>
              <w:t xml:space="preserve"> </w:t>
            </w:r>
            <w:r w:rsidR="00A93EA6" w:rsidRPr="00204FB3">
              <w:rPr>
                <w:color w:val="auto"/>
                <w:lang w:val="en-AU"/>
              </w:rPr>
              <w:t>study</w:t>
            </w:r>
            <w:r w:rsidR="00F37834" w:rsidRPr="00204FB3">
              <w:rPr>
                <w:color w:val="auto"/>
                <w:lang w:val="en-AU"/>
              </w:rPr>
              <w:t xml:space="preserve">  </w:t>
            </w:r>
          </w:p>
        </w:tc>
      </w:tr>
      <w:tr w:rsidR="00ED0937" w:rsidRPr="00204FB3" w14:paraId="7CC4F164" w14:textId="77777777" w:rsidTr="00FE4D7E">
        <w:tc>
          <w:tcPr>
            <w:cnfStyle w:val="001000000000" w:firstRow="0" w:lastRow="0" w:firstColumn="1" w:lastColumn="0" w:oddVBand="0" w:evenVBand="0" w:oddHBand="0" w:evenHBand="0" w:firstRowFirstColumn="0" w:firstRowLastColumn="0" w:lastRowFirstColumn="0" w:lastRowLastColumn="0"/>
            <w:tcW w:w="1384" w:type="dxa"/>
          </w:tcPr>
          <w:p w14:paraId="54F64C12" w14:textId="77777777" w:rsidR="00ED0937" w:rsidRPr="00204FB3" w:rsidRDefault="00ED0937" w:rsidP="00FE4D7E">
            <w:pPr>
              <w:spacing w:before="0"/>
              <w:rPr>
                <w:color w:val="auto"/>
                <w:lang w:val="en-AU"/>
              </w:rPr>
            </w:pPr>
          </w:p>
        </w:tc>
        <w:tc>
          <w:tcPr>
            <w:tcW w:w="7858" w:type="dxa"/>
          </w:tcPr>
          <w:p w14:paraId="07D11FFD" w14:textId="77777777" w:rsidR="00ED0937" w:rsidRPr="00204FB3" w:rsidRDefault="00ED0937" w:rsidP="00FE4D7E">
            <w:pPr>
              <w:spacing w:before="0"/>
              <w:cnfStyle w:val="000000000000" w:firstRow="0" w:lastRow="0" w:firstColumn="0" w:lastColumn="0" w:oddVBand="0" w:evenVBand="0" w:oddHBand="0" w:evenHBand="0" w:firstRowFirstColumn="0" w:firstRowLastColumn="0" w:lastRowFirstColumn="0" w:lastRowLastColumn="0"/>
              <w:rPr>
                <w:color w:val="auto"/>
                <w:lang w:val="en-AU"/>
              </w:rPr>
            </w:pPr>
          </w:p>
        </w:tc>
      </w:tr>
    </w:tbl>
    <w:p w14:paraId="475EB6DC" w14:textId="77777777" w:rsidR="00960CD5" w:rsidRPr="00204FB3" w:rsidRDefault="00960CD5" w:rsidP="001A3992">
      <w:pPr>
        <w:spacing w:after="120"/>
        <w:rPr>
          <w:color w:val="auto"/>
          <w:lang w:val="en-AU"/>
        </w:rPr>
      </w:pPr>
    </w:p>
    <w:sectPr w:rsidR="00960CD5" w:rsidRPr="00204FB3" w:rsidSect="00B71099">
      <w:headerReference w:type="even" r:id="rId18"/>
      <w:headerReference w:type="default" r:id="rId19"/>
      <w:footerReference w:type="even" r:id="rId20"/>
      <w:footerReference w:type="default" r:id="rId21"/>
      <w:headerReference w:type="first" r:id="rId22"/>
      <w:footerReference w:type="first" r:id="rId23"/>
      <w:pgSz w:w="11906" w:h="16838"/>
      <w:pgMar w:top="1814" w:right="850" w:bottom="2154" w:left="1587" w:header="1134" w:footer="6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9C9D8F" w14:textId="77777777" w:rsidR="00617B58" w:rsidRDefault="00617B58" w:rsidP="001A3992">
      <w:r>
        <w:separator/>
      </w:r>
    </w:p>
  </w:endnote>
  <w:endnote w:type="continuationSeparator" w:id="0">
    <w:p w14:paraId="72FA453E" w14:textId="77777777" w:rsidR="00617B58" w:rsidRDefault="00617B58" w:rsidP="001A3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25CC6" w14:textId="77777777" w:rsidR="00B71099" w:rsidRDefault="00B710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51EE1" w14:textId="02A20AD8" w:rsidR="00617B58" w:rsidRDefault="00617B58">
    <w:pPr>
      <w:pStyle w:val="Footer"/>
    </w:pPr>
    <w:r w:rsidRPr="00FE40D5">
      <w:t>praluent-ccdsv6-piv6-2</w:t>
    </w:r>
    <w:r w:rsidR="0052180F">
      <w:t>9</w:t>
    </w:r>
    <w:r>
      <w:t>oct</w:t>
    </w:r>
    <w:r w:rsidRPr="00FE40D5">
      <w:t>19</w:t>
    </w:r>
    <w:r>
      <w:tab/>
    </w:r>
    <w:sdt>
      <w:sdtPr>
        <w:id w:val="1997841100"/>
        <w:docPartObj>
          <w:docPartGallery w:val="Page Numbers (Bottom of Page)"/>
          <w:docPartUnique/>
        </w:docPartObj>
      </w:sdtPr>
      <w:sdtEndPr/>
      <w:sdtContent>
        <w:sdt>
          <w:sdtPr>
            <w:id w:val="-727539239"/>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774B26">
              <w:rPr>
                <w:b/>
                <w:bCs/>
                <w:noProof/>
              </w:rPr>
              <w:t>34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74B26">
              <w:rPr>
                <w:b/>
                <w:bCs/>
                <w:noProof/>
              </w:rPr>
              <w:t>34</w:t>
            </w:r>
            <w:r>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75B8A" w14:textId="77777777" w:rsidR="00B71099" w:rsidRDefault="00B71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D8C07" w14:textId="77777777" w:rsidR="00617B58" w:rsidRDefault="00617B58" w:rsidP="001A3992">
      <w:r>
        <w:separator/>
      </w:r>
    </w:p>
  </w:footnote>
  <w:footnote w:type="continuationSeparator" w:id="0">
    <w:p w14:paraId="31E0A450" w14:textId="77777777" w:rsidR="00617B58" w:rsidRDefault="00617B58" w:rsidP="001A3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02621" w14:textId="77777777" w:rsidR="00B71099" w:rsidRDefault="00B710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B71099" w:rsidRPr="001C184C" w14:paraId="43659FB0" w14:textId="77777777" w:rsidTr="003019AD">
      <w:tc>
        <w:tcPr>
          <w:tcW w:w="8720" w:type="dxa"/>
          <w:shd w:val="clear" w:color="auto" w:fill="E4F2E0"/>
        </w:tcPr>
        <w:p w14:paraId="6BDAC933" w14:textId="77777777" w:rsidR="00B71099" w:rsidRPr="001C184C" w:rsidRDefault="00B71099" w:rsidP="00B71099">
          <w:pPr>
            <w:pStyle w:val="Footer"/>
            <w:rPr>
              <w:b/>
              <w:szCs w:val="18"/>
            </w:rPr>
          </w:pPr>
          <w:r w:rsidRPr="001C184C">
            <w:rPr>
              <w:b/>
              <w:szCs w:val="18"/>
            </w:rPr>
            <w:t xml:space="preserve">Attachment 1: Product </w:t>
          </w:r>
          <w:r w:rsidRPr="001C1289">
            <w:rPr>
              <w:b/>
              <w:szCs w:val="18"/>
            </w:rPr>
            <w:t>AusPAR - Praluent - Alirocumab - Sanofi-Aventis Australia Pty Ltd - PM-2018-02973-1-3</w:t>
          </w:r>
          <w:r>
            <w:rPr>
              <w:b/>
              <w:szCs w:val="18"/>
            </w:rPr>
            <w:t xml:space="preserve"> </w:t>
          </w:r>
          <w:r w:rsidRPr="001C1289">
            <w:rPr>
              <w:b/>
              <w:szCs w:val="18"/>
            </w:rPr>
            <w:t>FINAL 9 December 2019</w:t>
          </w:r>
          <w:r w:rsidRPr="001C184C">
            <w:rPr>
              <w:b/>
              <w:szCs w:val="18"/>
            </w:rPr>
            <w:t>. This Product information was approved at the time this AusPAR was published.</w:t>
          </w:r>
        </w:p>
      </w:tc>
    </w:tr>
  </w:tbl>
  <w:p w14:paraId="3CD75741" w14:textId="77777777" w:rsidR="00B71099" w:rsidRDefault="00B710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E5991" w14:textId="77777777" w:rsidR="00B71099" w:rsidRDefault="00B71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3F3E"/>
    <w:multiLevelType w:val="hybridMultilevel"/>
    <w:tmpl w:val="5AB64ADE"/>
    <w:lvl w:ilvl="0" w:tplc="E608610A">
      <w:start w:val="1"/>
      <w:numFmt w:val="bullet"/>
      <w:pStyle w:val="ListAlphabeticalLevel1"/>
      <w:lvlText w:val=""/>
      <w:lvlJc w:val="left"/>
      <w:pPr>
        <w:ind w:left="720" w:hanging="360"/>
      </w:pPr>
      <w:rPr>
        <w:rFonts w:ascii="Symbol" w:hAnsi="Symbol" w:hint="default"/>
      </w:rPr>
    </w:lvl>
    <w:lvl w:ilvl="1" w:tplc="18C4810A">
      <w:start w:val="1"/>
      <w:numFmt w:val="bullet"/>
      <w:lvlText w:val="o"/>
      <w:lvlJc w:val="left"/>
      <w:pPr>
        <w:ind w:left="1440" w:hanging="360"/>
      </w:pPr>
      <w:rPr>
        <w:rFonts w:ascii="Courier New" w:hAnsi="Courier New" w:cs="Courier New" w:hint="default"/>
      </w:rPr>
    </w:lvl>
    <w:lvl w:ilvl="2" w:tplc="F6C0C8D8" w:tentative="1">
      <w:start w:val="1"/>
      <w:numFmt w:val="bullet"/>
      <w:lvlText w:val=""/>
      <w:lvlJc w:val="left"/>
      <w:pPr>
        <w:ind w:left="2160" w:hanging="360"/>
      </w:pPr>
      <w:rPr>
        <w:rFonts w:ascii="Wingdings" w:hAnsi="Wingdings" w:hint="default"/>
      </w:rPr>
    </w:lvl>
    <w:lvl w:ilvl="3" w:tplc="BCFC896E" w:tentative="1">
      <w:start w:val="1"/>
      <w:numFmt w:val="bullet"/>
      <w:lvlText w:val=""/>
      <w:lvlJc w:val="left"/>
      <w:pPr>
        <w:ind w:left="2880" w:hanging="360"/>
      </w:pPr>
      <w:rPr>
        <w:rFonts w:ascii="Symbol" w:hAnsi="Symbol" w:hint="default"/>
      </w:rPr>
    </w:lvl>
    <w:lvl w:ilvl="4" w:tplc="E2B0295A" w:tentative="1">
      <w:start w:val="1"/>
      <w:numFmt w:val="bullet"/>
      <w:lvlText w:val="o"/>
      <w:lvlJc w:val="left"/>
      <w:pPr>
        <w:ind w:left="3600" w:hanging="360"/>
      </w:pPr>
      <w:rPr>
        <w:rFonts w:ascii="Courier New" w:hAnsi="Courier New" w:cs="Courier New" w:hint="default"/>
      </w:rPr>
    </w:lvl>
    <w:lvl w:ilvl="5" w:tplc="D6E0109A" w:tentative="1">
      <w:start w:val="1"/>
      <w:numFmt w:val="bullet"/>
      <w:lvlText w:val=""/>
      <w:lvlJc w:val="left"/>
      <w:pPr>
        <w:ind w:left="4320" w:hanging="360"/>
      </w:pPr>
      <w:rPr>
        <w:rFonts w:ascii="Wingdings" w:hAnsi="Wingdings" w:hint="default"/>
      </w:rPr>
    </w:lvl>
    <w:lvl w:ilvl="6" w:tplc="572E1C80" w:tentative="1">
      <w:start w:val="1"/>
      <w:numFmt w:val="bullet"/>
      <w:lvlText w:val=""/>
      <w:lvlJc w:val="left"/>
      <w:pPr>
        <w:ind w:left="5040" w:hanging="360"/>
      </w:pPr>
      <w:rPr>
        <w:rFonts w:ascii="Symbol" w:hAnsi="Symbol" w:hint="default"/>
      </w:rPr>
    </w:lvl>
    <w:lvl w:ilvl="7" w:tplc="D4D4831C" w:tentative="1">
      <w:start w:val="1"/>
      <w:numFmt w:val="bullet"/>
      <w:lvlText w:val="o"/>
      <w:lvlJc w:val="left"/>
      <w:pPr>
        <w:ind w:left="5760" w:hanging="360"/>
      </w:pPr>
      <w:rPr>
        <w:rFonts w:ascii="Courier New" w:hAnsi="Courier New" w:cs="Courier New" w:hint="default"/>
      </w:rPr>
    </w:lvl>
    <w:lvl w:ilvl="8" w:tplc="3AD8C99E" w:tentative="1">
      <w:start w:val="1"/>
      <w:numFmt w:val="bullet"/>
      <w:lvlText w:val=""/>
      <w:lvlJc w:val="left"/>
      <w:pPr>
        <w:ind w:left="6480" w:hanging="360"/>
      </w:pPr>
      <w:rPr>
        <w:rFonts w:ascii="Wingdings" w:hAnsi="Wingdings" w:hint="default"/>
      </w:rPr>
    </w:lvl>
  </w:abstractNum>
  <w:abstractNum w:abstractNumId="1"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AD30BE"/>
    <w:multiLevelType w:val="multilevel"/>
    <w:tmpl w:val="7E646AFE"/>
    <w:lvl w:ilvl="0">
      <w:start w:val="1"/>
      <w:numFmt w:val="bullet"/>
      <w:lvlRestart w:val="0"/>
      <w:pStyle w:val="ListBulletLevel1"/>
      <w:lvlText w:val=""/>
      <w:lvlJc w:val="left"/>
      <w:pPr>
        <w:tabs>
          <w:tab w:val="num" w:pos="720"/>
        </w:tabs>
        <w:ind w:left="720" w:hanging="357"/>
      </w:pPr>
      <w:rPr>
        <w:rFonts w:ascii="Symbol" w:hAnsi="Symbol" w:hint="default"/>
      </w:rPr>
    </w:lvl>
    <w:lvl w:ilvl="1">
      <w:start w:val="1"/>
      <w:numFmt w:val="bullet"/>
      <w:lvlText w:val=""/>
      <w:lvlJc w:val="left"/>
      <w:pPr>
        <w:tabs>
          <w:tab w:val="num" w:pos="1083"/>
        </w:tabs>
        <w:ind w:left="1083" w:hanging="363"/>
      </w:pPr>
      <w:rPr>
        <w:rFonts w:ascii="Symbol" w:hAnsi="Symbol" w:hint="default"/>
      </w:rPr>
    </w:lvl>
    <w:lvl w:ilvl="2">
      <w:start w:val="1"/>
      <w:numFmt w:val="bullet"/>
      <w:lvlText w:val=""/>
      <w:lvlJc w:val="left"/>
      <w:pPr>
        <w:tabs>
          <w:tab w:val="num" w:pos="1440"/>
        </w:tabs>
        <w:ind w:left="1440" w:hanging="357"/>
      </w:pPr>
      <w:rPr>
        <w:rFonts w:ascii="Symbol" w:hAnsi="Symbol" w:hint="default"/>
      </w:rPr>
    </w:lvl>
    <w:lvl w:ilvl="3">
      <w:start w:val="1"/>
      <w:numFmt w:val="bullet"/>
      <w:lvlText w:val=""/>
      <w:lvlJc w:val="left"/>
      <w:pPr>
        <w:tabs>
          <w:tab w:val="num" w:pos="1803"/>
        </w:tabs>
        <w:ind w:left="1803" w:hanging="363"/>
      </w:pPr>
      <w:rPr>
        <w:rFonts w:ascii="Symbol" w:hAnsi="Symbol" w:hint="default"/>
      </w:rPr>
    </w:lvl>
    <w:lvl w:ilvl="4">
      <w:start w:val="1"/>
      <w:numFmt w:val="bullet"/>
      <w:lvlText w:val=""/>
      <w:lvlJc w:val="left"/>
      <w:pPr>
        <w:tabs>
          <w:tab w:val="num" w:pos="2160"/>
        </w:tabs>
        <w:ind w:left="2160" w:hanging="357"/>
      </w:pPr>
      <w:rPr>
        <w:rFonts w:ascii="Symbol" w:hAnsi="Symbol" w:hint="default"/>
      </w:rPr>
    </w:lvl>
    <w:lvl w:ilvl="5">
      <w:start w:val="1"/>
      <w:numFmt w:val="bullet"/>
      <w:lvlText w:val=""/>
      <w:lvlJc w:val="left"/>
      <w:pPr>
        <w:tabs>
          <w:tab w:val="num" w:pos="2523"/>
        </w:tabs>
        <w:ind w:left="2523" w:hanging="363"/>
      </w:pPr>
      <w:rPr>
        <w:rFonts w:ascii="Symbol" w:hAnsi="Symbol" w:hint="default"/>
      </w:rPr>
    </w:lvl>
    <w:lvl w:ilvl="6">
      <w:start w:val="1"/>
      <w:numFmt w:val="bullet"/>
      <w:lvlText w:val=""/>
      <w:lvlJc w:val="left"/>
      <w:pPr>
        <w:tabs>
          <w:tab w:val="num" w:pos="2880"/>
        </w:tabs>
        <w:ind w:left="2880" w:hanging="357"/>
      </w:pPr>
      <w:rPr>
        <w:rFonts w:ascii="Symbol" w:hAnsi="Symbol" w:hint="default"/>
      </w:rPr>
    </w:lvl>
    <w:lvl w:ilvl="7">
      <w:start w:val="1"/>
      <w:numFmt w:val="bullet"/>
      <w:lvlText w:val=""/>
      <w:lvlJc w:val="left"/>
      <w:pPr>
        <w:tabs>
          <w:tab w:val="num" w:pos="3243"/>
        </w:tabs>
        <w:ind w:left="3243" w:hanging="363"/>
      </w:pPr>
      <w:rPr>
        <w:rFonts w:ascii="Symbol" w:hAnsi="Symbol" w:hint="default"/>
      </w:rPr>
    </w:lvl>
    <w:lvl w:ilvl="8">
      <w:start w:val="1"/>
      <w:numFmt w:val="bullet"/>
      <w:lvlText w:val=""/>
      <w:lvlJc w:val="left"/>
      <w:pPr>
        <w:tabs>
          <w:tab w:val="num" w:pos="3600"/>
        </w:tabs>
        <w:ind w:left="3600" w:hanging="357"/>
      </w:pPr>
      <w:rPr>
        <w:rFonts w:ascii="Symbol" w:hAnsi="Symbol" w:hint="default"/>
      </w:rPr>
    </w:lvl>
  </w:abstractNum>
  <w:abstractNum w:abstractNumId="3" w15:restartNumberingAfterBreak="0">
    <w:nsid w:val="0C0268D4"/>
    <w:multiLevelType w:val="multilevel"/>
    <w:tmpl w:val="9F9CBB64"/>
    <w:name w:val="LT_Heading"/>
    <w:lvl w:ilvl="0">
      <w:start w:val="1"/>
      <w:numFmt w:val="decimal"/>
      <w:lvlRestart w:val="0"/>
      <w:pStyle w:val="Heading1"/>
      <w:lvlText w:val="%1"/>
      <w:lvlJc w:val="left"/>
      <w:pPr>
        <w:tabs>
          <w:tab w:val="num" w:pos="680"/>
        </w:tabs>
        <w:ind w:left="680" w:hanging="680"/>
      </w:pPr>
    </w:lvl>
    <w:lvl w:ilvl="1">
      <w:start w:val="1"/>
      <w:numFmt w:val="decimal"/>
      <w:pStyle w:val="Heading2"/>
      <w:lvlText w:val="%1.%2"/>
      <w:lvlJc w:val="left"/>
      <w:pPr>
        <w:tabs>
          <w:tab w:val="num" w:pos="680"/>
        </w:tabs>
        <w:ind w:left="680" w:hanging="680"/>
      </w:pPr>
    </w:lvl>
    <w:lvl w:ilvl="2">
      <w:start w:val="1"/>
      <w:numFmt w:val="decimal"/>
      <w:pStyle w:val="Heading3"/>
      <w:lvlText w:val="%1.%2.%3"/>
      <w:lvlJc w:val="left"/>
      <w:pPr>
        <w:tabs>
          <w:tab w:val="num" w:pos="680"/>
        </w:tabs>
        <w:ind w:left="680" w:hanging="680"/>
      </w:pPr>
    </w:lvl>
    <w:lvl w:ilvl="3">
      <w:start w:val="1"/>
      <w:numFmt w:val="decimal"/>
      <w:pStyle w:val="Heading4"/>
      <w:lvlText w:val="%1.%2.%3.%4"/>
      <w:lvlJc w:val="left"/>
      <w:pPr>
        <w:tabs>
          <w:tab w:val="num" w:pos="862"/>
        </w:tabs>
        <w:ind w:left="862" w:hanging="862"/>
      </w:pPr>
    </w:lvl>
    <w:lvl w:ilvl="4">
      <w:start w:val="1"/>
      <w:numFmt w:val="decimal"/>
      <w:pStyle w:val="Heading5"/>
      <w:lvlText w:val="%1.%2.%3.%4.%5"/>
      <w:lvlJc w:val="left"/>
      <w:pPr>
        <w:tabs>
          <w:tab w:val="num" w:pos="1009"/>
        </w:tabs>
        <w:ind w:left="1009" w:hanging="1009"/>
      </w:pPr>
    </w:lvl>
    <w:lvl w:ilvl="5">
      <w:start w:val="1"/>
      <w:numFmt w:val="decimal"/>
      <w:pStyle w:val="Heading6"/>
      <w:lvlText w:val="%1.%2.%3.%4.%5.%6"/>
      <w:lvlJc w:val="left"/>
      <w:pPr>
        <w:tabs>
          <w:tab w:val="num" w:pos="1151"/>
        </w:tabs>
        <w:ind w:left="1151" w:hanging="1151"/>
      </w:pPr>
    </w:lvl>
    <w:lvl w:ilvl="6">
      <w:start w:val="1"/>
      <w:numFmt w:val="decimal"/>
      <w:pStyle w:val="Heading7"/>
      <w:lvlText w:val="%1.%2.%3.%4.%5.%6.%7"/>
      <w:lvlJc w:val="left"/>
      <w:pPr>
        <w:tabs>
          <w:tab w:val="num" w:pos="1298"/>
        </w:tabs>
        <w:ind w:left="1298" w:hanging="1298"/>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2"/>
        </w:tabs>
        <w:ind w:left="1582" w:hanging="1582"/>
      </w:pPr>
    </w:lvl>
  </w:abstractNum>
  <w:abstractNum w:abstractNumId="4" w15:restartNumberingAfterBreak="0">
    <w:nsid w:val="0E563DE3"/>
    <w:multiLevelType w:val="multilevel"/>
    <w:tmpl w:val="EA961A4C"/>
    <w:lvl w:ilvl="0">
      <w:start w:val="1"/>
      <w:numFmt w:val="lowerLetter"/>
      <w:lvlRestart w:val="0"/>
      <w:lvlText w:val="%1)"/>
      <w:lvlJc w:val="left"/>
      <w:pPr>
        <w:tabs>
          <w:tab w:val="num" w:pos="1083"/>
        </w:tabs>
        <w:ind w:left="1083" w:hanging="363"/>
      </w:pPr>
    </w:lvl>
    <w:lvl w:ilvl="1">
      <w:start w:val="1"/>
      <w:numFmt w:val="lowerLetter"/>
      <w:lvlText w:val="%2)"/>
      <w:lvlJc w:val="left"/>
      <w:pPr>
        <w:tabs>
          <w:tab w:val="num" w:pos="1440"/>
        </w:tabs>
        <w:ind w:left="1440" w:hanging="357"/>
      </w:pPr>
    </w:lvl>
    <w:lvl w:ilvl="2">
      <w:start w:val="1"/>
      <w:numFmt w:val="lowerLetter"/>
      <w:lvlText w:val="%3)"/>
      <w:lvlJc w:val="left"/>
      <w:pPr>
        <w:tabs>
          <w:tab w:val="num" w:pos="1803"/>
        </w:tabs>
        <w:ind w:left="1803" w:hanging="363"/>
      </w:pPr>
    </w:lvl>
    <w:lvl w:ilvl="3">
      <w:start w:val="1"/>
      <w:numFmt w:val="lowerLetter"/>
      <w:lvlText w:val="%4)"/>
      <w:lvlJc w:val="left"/>
      <w:pPr>
        <w:tabs>
          <w:tab w:val="num" w:pos="2160"/>
        </w:tabs>
        <w:ind w:left="2160" w:hanging="357"/>
      </w:pPr>
    </w:lvl>
    <w:lvl w:ilvl="4">
      <w:start w:val="1"/>
      <w:numFmt w:val="lowerLetter"/>
      <w:lvlText w:val="%5)"/>
      <w:lvlJc w:val="left"/>
      <w:pPr>
        <w:tabs>
          <w:tab w:val="num" w:pos="2523"/>
        </w:tabs>
        <w:ind w:left="2523" w:hanging="363"/>
      </w:pPr>
    </w:lvl>
    <w:lvl w:ilvl="5">
      <w:start w:val="1"/>
      <w:numFmt w:val="lowerLetter"/>
      <w:lvlText w:val="%6)"/>
      <w:lvlJc w:val="left"/>
      <w:pPr>
        <w:tabs>
          <w:tab w:val="num" w:pos="2880"/>
        </w:tabs>
        <w:ind w:left="2880" w:hanging="357"/>
      </w:pPr>
    </w:lvl>
    <w:lvl w:ilvl="6">
      <w:start w:val="1"/>
      <w:numFmt w:val="lowerLetter"/>
      <w:lvlText w:val="%7)"/>
      <w:lvlJc w:val="left"/>
      <w:pPr>
        <w:tabs>
          <w:tab w:val="num" w:pos="3243"/>
        </w:tabs>
        <w:ind w:left="3243" w:hanging="363"/>
      </w:pPr>
    </w:lvl>
    <w:lvl w:ilvl="7">
      <w:start w:val="1"/>
      <w:numFmt w:val="lowerLetter"/>
      <w:lvlText w:val="%8)"/>
      <w:lvlJc w:val="left"/>
      <w:pPr>
        <w:tabs>
          <w:tab w:val="num" w:pos="3600"/>
        </w:tabs>
        <w:ind w:left="3600" w:hanging="357"/>
      </w:pPr>
    </w:lvl>
    <w:lvl w:ilvl="8">
      <w:start w:val="1"/>
      <w:numFmt w:val="lowerLetter"/>
      <w:lvlText w:val="%9)"/>
      <w:lvlJc w:val="left"/>
      <w:pPr>
        <w:tabs>
          <w:tab w:val="num" w:pos="3957"/>
        </w:tabs>
        <w:ind w:left="3957" w:hanging="357"/>
      </w:pPr>
    </w:lvl>
  </w:abstractNum>
  <w:abstractNum w:abstractNumId="5" w15:restartNumberingAfterBreak="0">
    <w:nsid w:val="13CF1C02"/>
    <w:multiLevelType w:val="multilevel"/>
    <w:tmpl w:val="EC448D7A"/>
    <w:lvl w:ilvl="0">
      <w:start w:val="1"/>
      <w:numFmt w:val="none"/>
      <w:lvlText w:val=""/>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C297F6B"/>
    <w:multiLevelType w:val="hybridMultilevel"/>
    <w:tmpl w:val="F642F21A"/>
    <w:lvl w:ilvl="0" w:tplc="05107E54">
      <w:start w:val="8"/>
      <w:numFmt w:val="decimal"/>
      <w:lvlText w:val="%1"/>
      <w:lvlJc w:val="left"/>
      <w:pPr>
        <w:ind w:left="720" w:hanging="360"/>
      </w:pPr>
      <w:rPr>
        <w:rFonts w:hint="default"/>
      </w:rPr>
    </w:lvl>
    <w:lvl w:ilvl="1" w:tplc="E2E6492C" w:tentative="1">
      <w:start w:val="1"/>
      <w:numFmt w:val="lowerLetter"/>
      <w:lvlText w:val="%2."/>
      <w:lvlJc w:val="left"/>
      <w:pPr>
        <w:ind w:left="1440" w:hanging="360"/>
      </w:pPr>
    </w:lvl>
    <w:lvl w:ilvl="2" w:tplc="89A641D8" w:tentative="1">
      <w:start w:val="1"/>
      <w:numFmt w:val="lowerRoman"/>
      <w:lvlText w:val="%3."/>
      <w:lvlJc w:val="right"/>
      <w:pPr>
        <w:ind w:left="2160" w:hanging="180"/>
      </w:pPr>
    </w:lvl>
    <w:lvl w:ilvl="3" w:tplc="7AFEFED4" w:tentative="1">
      <w:start w:val="1"/>
      <w:numFmt w:val="decimal"/>
      <w:lvlText w:val="%4."/>
      <w:lvlJc w:val="left"/>
      <w:pPr>
        <w:ind w:left="2880" w:hanging="360"/>
      </w:pPr>
    </w:lvl>
    <w:lvl w:ilvl="4" w:tplc="99A60EA6" w:tentative="1">
      <w:start w:val="1"/>
      <w:numFmt w:val="lowerLetter"/>
      <w:lvlText w:val="%5."/>
      <w:lvlJc w:val="left"/>
      <w:pPr>
        <w:ind w:left="3600" w:hanging="360"/>
      </w:pPr>
    </w:lvl>
    <w:lvl w:ilvl="5" w:tplc="7194A980" w:tentative="1">
      <w:start w:val="1"/>
      <w:numFmt w:val="lowerRoman"/>
      <w:lvlText w:val="%6."/>
      <w:lvlJc w:val="right"/>
      <w:pPr>
        <w:ind w:left="4320" w:hanging="180"/>
      </w:pPr>
    </w:lvl>
    <w:lvl w:ilvl="6" w:tplc="166A5B42" w:tentative="1">
      <w:start w:val="1"/>
      <w:numFmt w:val="decimal"/>
      <w:lvlText w:val="%7."/>
      <w:lvlJc w:val="left"/>
      <w:pPr>
        <w:ind w:left="5040" w:hanging="360"/>
      </w:pPr>
    </w:lvl>
    <w:lvl w:ilvl="7" w:tplc="4C2E03B6" w:tentative="1">
      <w:start w:val="1"/>
      <w:numFmt w:val="lowerLetter"/>
      <w:lvlText w:val="%8."/>
      <w:lvlJc w:val="left"/>
      <w:pPr>
        <w:ind w:left="5760" w:hanging="360"/>
      </w:pPr>
    </w:lvl>
    <w:lvl w:ilvl="8" w:tplc="9BBCE70C" w:tentative="1">
      <w:start w:val="1"/>
      <w:numFmt w:val="lowerRoman"/>
      <w:lvlText w:val="%9."/>
      <w:lvlJc w:val="right"/>
      <w:pPr>
        <w:ind w:left="6480" w:hanging="180"/>
      </w:pPr>
    </w:lvl>
  </w:abstractNum>
  <w:abstractNum w:abstractNumId="7" w15:restartNumberingAfterBreak="0">
    <w:nsid w:val="1DC41614"/>
    <w:multiLevelType w:val="multilevel"/>
    <w:tmpl w:val="56767712"/>
    <w:lvl w:ilvl="0">
      <w:start w:val="1"/>
      <w:numFmt w:val="decimal"/>
      <w:lvlRestart w:val="0"/>
      <w:pStyle w:val="Heading1NoNumbering"/>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decimal"/>
      <w:lvlText w:val="%3."/>
      <w:lvlJc w:val="left"/>
      <w:pPr>
        <w:tabs>
          <w:tab w:val="num" w:pos="1440"/>
        </w:tabs>
        <w:ind w:left="1440" w:hanging="357"/>
      </w:pPr>
      <w:rPr>
        <w:rFonts w:hint="default"/>
      </w:rPr>
    </w:lvl>
    <w:lvl w:ilvl="3">
      <w:start w:val="1"/>
      <w:numFmt w:val="decimal"/>
      <w:lvlText w:val="%4."/>
      <w:lvlJc w:val="left"/>
      <w:pPr>
        <w:tabs>
          <w:tab w:val="num" w:pos="1803"/>
        </w:tabs>
        <w:ind w:left="1803" w:hanging="363"/>
      </w:pPr>
      <w:rPr>
        <w:rFonts w:hint="default"/>
      </w:rPr>
    </w:lvl>
    <w:lvl w:ilvl="4">
      <w:start w:val="1"/>
      <w:numFmt w:val="decimal"/>
      <w:lvlText w:val="%5."/>
      <w:lvlJc w:val="left"/>
      <w:pPr>
        <w:tabs>
          <w:tab w:val="num" w:pos="2160"/>
        </w:tabs>
        <w:ind w:left="2160" w:hanging="357"/>
      </w:pPr>
      <w:rPr>
        <w:rFonts w:hint="default"/>
      </w:rPr>
    </w:lvl>
    <w:lvl w:ilvl="5">
      <w:start w:val="1"/>
      <w:numFmt w:val="decimal"/>
      <w:lvlText w:val="%6."/>
      <w:lvlJc w:val="left"/>
      <w:pPr>
        <w:tabs>
          <w:tab w:val="num" w:pos="2523"/>
        </w:tabs>
        <w:ind w:left="2523" w:hanging="363"/>
      </w:pPr>
      <w:rPr>
        <w:rFonts w:hint="default"/>
      </w:rPr>
    </w:lvl>
    <w:lvl w:ilvl="6">
      <w:start w:val="1"/>
      <w:numFmt w:val="decimal"/>
      <w:lvlText w:val="%7."/>
      <w:lvlJc w:val="left"/>
      <w:pPr>
        <w:tabs>
          <w:tab w:val="num" w:pos="2880"/>
        </w:tabs>
        <w:ind w:left="2880" w:hanging="357"/>
      </w:pPr>
      <w:rPr>
        <w:rFonts w:hint="default"/>
      </w:rPr>
    </w:lvl>
    <w:lvl w:ilvl="7">
      <w:start w:val="1"/>
      <w:numFmt w:val="decimal"/>
      <w:lvlText w:val="%8."/>
      <w:lvlJc w:val="left"/>
      <w:pPr>
        <w:tabs>
          <w:tab w:val="num" w:pos="3243"/>
        </w:tabs>
        <w:ind w:left="3243" w:hanging="363"/>
      </w:pPr>
      <w:rPr>
        <w:rFonts w:hint="default"/>
      </w:rPr>
    </w:lvl>
    <w:lvl w:ilvl="8">
      <w:start w:val="1"/>
      <w:numFmt w:val="decimal"/>
      <w:lvlText w:val="%9."/>
      <w:lvlJc w:val="left"/>
      <w:pPr>
        <w:tabs>
          <w:tab w:val="num" w:pos="3600"/>
        </w:tabs>
        <w:ind w:left="3600" w:hanging="357"/>
      </w:pPr>
      <w:rPr>
        <w:rFonts w:hint="default"/>
      </w:rPr>
    </w:lvl>
  </w:abstractNum>
  <w:abstractNum w:abstractNumId="8" w15:restartNumberingAfterBreak="0">
    <w:nsid w:val="24435439"/>
    <w:multiLevelType w:val="hybridMultilevel"/>
    <w:tmpl w:val="D23AB816"/>
    <w:lvl w:ilvl="0" w:tplc="63E83E78">
      <w:start w:val="1"/>
      <w:numFmt w:val="bullet"/>
      <w:pStyle w:val="TblTextbulletedlist"/>
      <w:lvlText w:val=""/>
      <w:lvlJc w:val="left"/>
      <w:pPr>
        <w:ind w:left="720" w:hanging="360"/>
      </w:pPr>
      <w:rPr>
        <w:rFonts w:ascii="Symbol" w:hAnsi="Symbol" w:hint="default"/>
      </w:rPr>
    </w:lvl>
    <w:lvl w:ilvl="1" w:tplc="00ECD2B8" w:tentative="1">
      <w:start w:val="1"/>
      <w:numFmt w:val="bullet"/>
      <w:lvlText w:val="o"/>
      <w:lvlJc w:val="left"/>
      <w:pPr>
        <w:ind w:left="1440" w:hanging="360"/>
      </w:pPr>
      <w:rPr>
        <w:rFonts w:ascii="Courier New" w:hAnsi="Courier New" w:cs="Courier New" w:hint="default"/>
      </w:rPr>
    </w:lvl>
    <w:lvl w:ilvl="2" w:tplc="7824708E" w:tentative="1">
      <w:start w:val="1"/>
      <w:numFmt w:val="bullet"/>
      <w:lvlText w:val=""/>
      <w:lvlJc w:val="left"/>
      <w:pPr>
        <w:ind w:left="2160" w:hanging="360"/>
      </w:pPr>
      <w:rPr>
        <w:rFonts w:ascii="Wingdings" w:hAnsi="Wingdings" w:hint="default"/>
      </w:rPr>
    </w:lvl>
    <w:lvl w:ilvl="3" w:tplc="80E42992" w:tentative="1">
      <w:start w:val="1"/>
      <w:numFmt w:val="bullet"/>
      <w:lvlText w:val=""/>
      <w:lvlJc w:val="left"/>
      <w:pPr>
        <w:ind w:left="2880" w:hanging="360"/>
      </w:pPr>
      <w:rPr>
        <w:rFonts w:ascii="Symbol" w:hAnsi="Symbol" w:hint="default"/>
      </w:rPr>
    </w:lvl>
    <w:lvl w:ilvl="4" w:tplc="3F8A20C6" w:tentative="1">
      <w:start w:val="1"/>
      <w:numFmt w:val="bullet"/>
      <w:lvlText w:val="o"/>
      <w:lvlJc w:val="left"/>
      <w:pPr>
        <w:ind w:left="3600" w:hanging="360"/>
      </w:pPr>
      <w:rPr>
        <w:rFonts w:ascii="Courier New" w:hAnsi="Courier New" w:cs="Courier New" w:hint="default"/>
      </w:rPr>
    </w:lvl>
    <w:lvl w:ilvl="5" w:tplc="C9E87194" w:tentative="1">
      <w:start w:val="1"/>
      <w:numFmt w:val="bullet"/>
      <w:lvlText w:val=""/>
      <w:lvlJc w:val="left"/>
      <w:pPr>
        <w:ind w:left="4320" w:hanging="360"/>
      </w:pPr>
      <w:rPr>
        <w:rFonts w:ascii="Wingdings" w:hAnsi="Wingdings" w:hint="default"/>
      </w:rPr>
    </w:lvl>
    <w:lvl w:ilvl="6" w:tplc="C816A8D8" w:tentative="1">
      <w:start w:val="1"/>
      <w:numFmt w:val="bullet"/>
      <w:lvlText w:val=""/>
      <w:lvlJc w:val="left"/>
      <w:pPr>
        <w:ind w:left="5040" w:hanging="360"/>
      </w:pPr>
      <w:rPr>
        <w:rFonts w:ascii="Symbol" w:hAnsi="Symbol" w:hint="default"/>
      </w:rPr>
    </w:lvl>
    <w:lvl w:ilvl="7" w:tplc="D616AB2E" w:tentative="1">
      <w:start w:val="1"/>
      <w:numFmt w:val="bullet"/>
      <w:lvlText w:val="o"/>
      <w:lvlJc w:val="left"/>
      <w:pPr>
        <w:ind w:left="5760" w:hanging="360"/>
      </w:pPr>
      <w:rPr>
        <w:rFonts w:ascii="Courier New" w:hAnsi="Courier New" w:cs="Courier New" w:hint="default"/>
      </w:rPr>
    </w:lvl>
    <w:lvl w:ilvl="8" w:tplc="940E4BF4" w:tentative="1">
      <w:start w:val="1"/>
      <w:numFmt w:val="bullet"/>
      <w:lvlText w:val=""/>
      <w:lvlJc w:val="left"/>
      <w:pPr>
        <w:ind w:left="6480" w:hanging="360"/>
      </w:pPr>
      <w:rPr>
        <w:rFonts w:ascii="Wingdings" w:hAnsi="Wingdings" w:hint="default"/>
      </w:rPr>
    </w:lvl>
  </w:abstractNum>
  <w:abstractNum w:abstractNumId="9" w15:restartNumberingAfterBreak="0">
    <w:nsid w:val="2E4D086B"/>
    <w:multiLevelType w:val="multilevel"/>
    <w:tmpl w:val="98FEE14A"/>
    <w:lvl w:ilvl="0">
      <w:start w:val="1"/>
      <w:numFmt w:val="upperLetter"/>
      <w:lvlRestart w:val="0"/>
      <w:lvlText w:val="%1)"/>
      <w:lvlJc w:val="left"/>
      <w:pPr>
        <w:tabs>
          <w:tab w:val="num" w:pos="720"/>
        </w:tabs>
        <w:ind w:left="720" w:hanging="357"/>
      </w:pPr>
    </w:lvl>
    <w:lvl w:ilvl="1">
      <w:start w:val="1"/>
      <w:numFmt w:val="upperLetter"/>
      <w:lvlText w:val="%2)"/>
      <w:lvlJc w:val="left"/>
      <w:pPr>
        <w:tabs>
          <w:tab w:val="num" w:pos="1083"/>
        </w:tabs>
        <w:ind w:left="1083" w:hanging="363"/>
      </w:pPr>
    </w:lvl>
    <w:lvl w:ilvl="2">
      <w:start w:val="1"/>
      <w:numFmt w:val="upperLetter"/>
      <w:lvlText w:val="%3)"/>
      <w:lvlJc w:val="left"/>
      <w:pPr>
        <w:tabs>
          <w:tab w:val="num" w:pos="1440"/>
        </w:tabs>
        <w:ind w:left="1440" w:hanging="357"/>
      </w:pPr>
    </w:lvl>
    <w:lvl w:ilvl="3">
      <w:start w:val="1"/>
      <w:numFmt w:val="upperLetter"/>
      <w:lvlText w:val="%4)"/>
      <w:lvlJc w:val="left"/>
      <w:pPr>
        <w:tabs>
          <w:tab w:val="num" w:pos="1803"/>
        </w:tabs>
        <w:ind w:left="1803" w:hanging="363"/>
      </w:pPr>
    </w:lvl>
    <w:lvl w:ilvl="4">
      <w:start w:val="1"/>
      <w:numFmt w:val="upperLetter"/>
      <w:lvlText w:val="%5)"/>
      <w:lvlJc w:val="left"/>
      <w:pPr>
        <w:tabs>
          <w:tab w:val="num" w:pos="2160"/>
        </w:tabs>
        <w:ind w:left="2160" w:hanging="357"/>
      </w:pPr>
    </w:lvl>
    <w:lvl w:ilvl="5">
      <w:start w:val="1"/>
      <w:numFmt w:val="upperLetter"/>
      <w:lvlText w:val="%6)"/>
      <w:lvlJc w:val="left"/>
      <w:pPr>
        <w:tabs>
          <w:tab w:val="num" w:pos="2523"/>
        </w:tabs>
        <w:ind w:left="2523" w:hanging="363"/>
      </w:pPr>
    </w:lvl>
    <w:lvl w:ilvl="6">
      <w:start w:val="1"/>
      <w:numFmt w:val="upperLetter"/>
      <w:lvlText w:val="%7)"/>
      <w:lvlJc w:val="left"/>
      <w:pPr>
        <w:tabs>
          <w:tab w:val="num" w:pos="2880"/>
        </w:tabs>
        <w:ind w:left="2880" w:hanging="357"/>
      </w:pPr>
    </w:lvl>
    <w:lvl w:ilvl="7">
      <w:start w:val="1"/>
      <w:numFmt w:val="upperLetter"/>
      <w:lvlText w:val="%8)"/>
      <w:lvlJc w:val="left"/>
      <w:pPr>
        <w:tabs>
          <w:tab w:val="num" w:pos="3243"/>
        </w:tabs>
        <w:ind w:left="3243" w:hanging="363"/>
      </w:pPr>
    </w:lvl>
    <w:lvl w:ilvl="8">
      <w:start w:val="1"/>
      <w:numFmt w:val="upperLetter"/>
      <w:lvlText w:val="%8)"/>
      <w:lvlJc w:val="left"/>
      <w:pPr>
        <w:tabs>
          <w:tab w:val="num" w:pos="3600"/>
        </w:tabs>
        <w:ind w:left="3600" w:hanging="357"/>
      </w:pPr>
    </w:lvl>
  </w:abstractNum>
  <w:abstractNum w:abstractNumId="10" w15:restartNumberingAfterBreak="0">
    <w:nsid w:val="36A76F60"/>
    <w:multiLevelType w:val="multilevel"/>
    <w:tmpl w:val="C71ABB6C"/>
    <w:lvl w:ilvl="0">
      <w:start w:val="1"/>
      <w:numFmt w:val="bullet"/>
      <w:lvlRestart w:val="0"/>
      <w:lvlText w:val="-"/>
      <w:lvlJc w:val="left"/>
      <w:pPr>
        <w:tabs>
          <w:tab w:val="num" w:pos="1083"/>
        </w:tabs>
        <w:ind w:left="1083" w:hanging="363"/>
      </w:pPr>
      <w:rPr>
        <w:rFonts w:ascii="Times New Roman" w:hAnsi="Times New Roman" w:cs="Times New Roman" w:hint="default"/>
      </w:rPr>
    </w:lvl>
    <w:lvl w:ilvl="1">
      <w:start w:val="1"/>
      <w:numFmt w:val="bullet"/>
      <w:lvlText w:val="-"/>
      <w:lvlJc w:val="left"/>
      <w:pPr>
        <w:tabs>
          <w:tab w:val="num" w:pos="1440"/>
        </w:tabs>
        <w:ind w:left="1440" w:hanging="357"/>
      </w:pPr>
      <w:rPr>
        <w:rFonts w:ascii="Times New Roman" w:hAnsi="Times New Roman" w:cs="Times New Roman" w:hint="default"/>
      </w:rPr>
    </w:lvl>
    <w:lvl w:ilvl="2">
      <w:start w:val="1"/>
      <w:numFmt w:val="bullet"/>
      <w:lvlText w:val="-"/>
      <w:lvlJc w:val="left"/>
      <w:pPr>
        <w:tabs>
          <w:tab w:val="num" w:pos="1803"/>
        </w:tabs>
        <w:ind w:left="1803" w:hanging="363"/>
      </w:pPr>
      <w:rPr>
        <w:rFonts w:ascii="Times New Roman" w:hAnsi="Times New Roman" w:cs="Times New Roman" w:hint="default"/>
      </w:rPr>
    </w:lvl>
    <w:lvl w:ilvl="3">
      <w:start w:val="1"/>
      <w:numFmt w:val="bullet"/>
      <w:lvlText w:val="-"/>
      <w:lvlJc w:val="left"/>
      <w:pPr>
        <w:tabs>
          <w:tab w:val="num" w:pos="2160"/>
        </w:tabs>
        <w:ind w:left="2160" w:hanging="357"/>
      </w:pPr>
      <w:rPr>
        <w:rFonts w:ascii="Times New Roman" w:hAnsi="Times New Roman" w:cs="Times New Roman" w:hint="default"/>
      </w:rPr>
    </w:lvl>
    <w:lvl w:ilvl="4">
      <w:start w:val="1"/>
      <w:numFmt w:val="bullet"/>
      <w:lvlText w:val="-"/>
      <w:lvlJc w:val="left"/>
      <w:pPr>
        <w:tabs>
          <w:tab w:val="num" w:pos="2523"/>
        </w:tabs>
        <w:ind w:left="2523" w:hanging="363"/>
      </w:pPr>
      <w:rPr>
        <w:rFonts w:ascii="Times New Roman" w:hAnsi="Times New Roman" w:cs="Times New Roman" w:hint="default"/>
      </w:rPr>
    </w:lvl>
    <w:lvl w:ilvl="5">
      <w:start w:val="1"/>
      <w:numFmt w:val="bullet"/>
      <w:lvlText w:val="-"/>
      <w:lvlJc w:val="left"/>
      <w:pPr>
        <w:tabs>
          <w:tab w:val="num" w:pos="2880"/>
        </w:tabs>
        <w:ind w:left="2880" w:hanging="357"/>
      </w:pPr>
      <w:rPr>
        <w:rFonts w:ascii="Times New Roman" w:hAnsi="Times New Roman" w:cs="Times New Roman" w:hint="default"/>
      </w:rPr>
    </w:lvl>
    <w:lvl w:ilvl="6">
      <w:start w:val="1"/>
      <w:numFmt w:val="bullet"/>
      <w:lvlText w:val="-"/>
      <w:lvlJc w:val="left"/>
      <w:pPr>
        <w:tabs>
          <w:tab w:val="num" w:pos="3243"/>
        </w:tabs>
        <w:ind w:left="3243" w:hanging="363"/>
      </w:pPr>
      <w:rPr>
        <w:rFonts w:ascii="Times New Roman" w:hAnsi="Times New Roman" w:cs="Times New Roman" w:hint="default"/>
      </w:rPr>
    </w:lvl>
    <w:lvl w:ilvl="7">
      <w:start w:val="1"/>
      <w:numFmt w:val="bullet"/>
      <w:lvlText w:val="-"/>
      <w:lvlJc w:val="left"/>
      <w:pPr>
        <w:tabs>
          <w:tab w:val="num" w:pos="3600"/>
        </w:tabs>
        <w:ind w:left="3600" w:hanging="357"/>
      </w:pPr>
      <w:rPr>
        <w:rFonts w:ascii="Times New Roman" w:hAnsi="Times New Roman" w:cs="Times New Roman" w:hint="default"/>
      </w:rPr>
    </w:lvl>
    <w:lvl w:ilvl="8">
      <w:start w:val="1"/>
      <w:numFmt w:val="bullet"/>
      <w:lvlText w:val="-"/>
      <w:lvlJc w:val="left"/>
      <w:pPr>
        <w:tabs>
          <w:tab w:val="num" w:pos="3957"/>
        </w:tabs>
        <w:ind w:left="3957" w:hanging="357"/>
      </w:pPr>
      <w:rPr>
        <w:rFonts w:ascii="Times New Roman" w:hAnsi="Times New Roman" w:cs="Times New Roman" w:hint="default"/>
      </w:rPr>
    </w:lvl>
  </w:abstractNum>
  <w:abstractNum w:abstractNumId="11" w15:restartNumberingAfterBreak="0">
    <w:nsid w:val="398B4D5B"/>
    <w:multiLevelType w:val="hybridMultilevel"/>
    <w:tmpl w:val="AC0E0E38"/>
    <w:lvl w:ilvl="0" w:tplc="05CE13B2">
      <w:start w:val="1"/>
      <w:numFmt w:val="bullet"/>
      <w:lvlText w:val=""/>
      <w:lvlJc w:val="left"/>
      <w:pPr>
        <w:tabs>
          <w:tab w:val="num" w:pos="720"/>
        </w:tabs>
        <w:ind w:left="720" w:hanging="360"/>
      </w:pPr>
      <w:rPr>
        <w:rFonts w:ascii="Symbol" w:hAnsi="Symbol" w:hint="default"/>
      </w:rPr>
    </w:lvl>
    <w:lvl w:ilvl="1" w:tplc="1A708EFA" w:tentative="1">
      <w:start w:val="1"/>
      <w:numFmt w:val="bullet"/>
      <w:lvlText w:val="o"/>
      <w:lvlJc w:val="left"/>
      <w:pPr>
        <w:tabs>
          <w:tab w:val="num" w:pos="1440"/>
        </w:tabs>
        <w:ind w:left="1440" w:hanging="360"/>
      </w:pPr>
      <w:rPr>
        <w:rFonts w:ascii="Courier New" w:hAnsi="Courier New" w:cs="Courier New" w:hint="default"/>
      </w:rPr>
    </w:lvl>
    <w:lvl w:ilvl="2" w:tplc="7E109F72" w:tentative="1">
      <w:start w:val="1"/>
      <w:numFmt w:val="bullet"/>
      <w:lvlText w:val=""/>
      <w:lvlJc w:val="left"/>
      <w:pPr>
        <w:tabs>
          <w:tab w:val="num" w:pos="2160"/>
        </w:tabs>
        <w:ind w:left="2160" w:hanging="360"/>
      </w:pPr>
      <w:rPr>
        <w:rFonts w:ascii="Wingdings" w:hAnsi="Wingdings" w:hint="default"/>
      </w:rPr>
    </w:lvl>
    <w:lvl w:ilvl="3" w:tplc="701E89AE" w:tentative="1">
      <w:start w:val="1"/>
      <w:numFmt w:val="bullet"/>
      <w:lvlText w:val=""/>
      <w:lvlJc w:val="left"/>
      <w:pPr>
        <w:tabs>
          <w:tab w:val="num" w:pos="2880"/>
        </w:tabs>
        <w:ind w:left="2880" w:hanging="360"/>
      </w:pPr>
      <w:rPr>
        <w:rFonts w:ascii="Symbol" w:hAnsi="Symbol" w:hint="default"/>
      </w:rPr>
    </w:lvl>
    <w:lvl w:ilvl="4" w:tplc="38C095D6" w:tentative="1">
      <w:start w:val="1"/>
      <w:numFmt w:val="bullet"/>
      <w:lvlText w:val="o"/>
      <w:lvlJc w:val="left"/>
      <w:pPr>
        <w:tabs>
          <w:tab w:val="num" w:pos="3600"/>
        </w:tabs>
        <w:ind w:left="3600" w:hanging="360"/>
      </w:pPr>
      <w:rPr>
        <w:rFonts w:ascii="Courier New" w:hAnsi="Courier New" w:cs="Courier New" w:hint="default"/>
      </w:rPr>
    </w:lvl>
    <w:lvl w:ilvl="5" w:tplc="ADA62D70" w:tentative="1">
      <w:start w:val="1"/>
      <w:numFmt w:val="bullet"/>
      <w:lvlText w:val=""/>
      <w:lvlJc w:val="left"/>
      <w:pPr>
        <w:tabs>
          <w:tab w:val="num" w:pos="4320"/>
        </w:tabs>
        <w:ind w:left="4320" w:hanging="360"/>
      </w:pPr>
      <w:rPr>
        <w:rFonts w:ascii="Wingdings" w:hAnsi="Wingdings" w:hint="default"/>
      </w:rPr>
    </w:lvl>
    <w:lvl w:ilvl="6" w:tplc="7E46A71E" w:tentative="1">
      <w:start w:val="1"/>
      <w:numFmt w:val="bullet"/>
      <w:lvlText w:val=""/>
      <w:lvlJc w:val="left"/>
      <w:pPr>
        <w:tabs>
          <w:tab w:val="num" w:pos="5040"/>
        </w:tabs>
        <w:ind w:left="5040" w:hanging="360"/>
      </w:pPr>
      <w:rPr>
        <w:rFonts w:ascii="Symbol" w:hAnsi="Symbol" w:hint="default"/>
      </w:rPr>
    </w:lvl>
    <w:lvl w:ilvl="7" w:tplc="BCC69512" w:tentative="1">
      <w:start w:val="1"/>
      <w:numFmt w:val="bullet"/>
      <w:lvlText w:val="o"/>
      <w:lvlJc w:val="left"/>
      <w:pPr>
        <w:tabs>
          <w:tab w:val="num" w:pos="5760"/>
        </w:tabs>
        <w:ind w:left="5760" w:hanging="360"/>
      </w:pPr>
      <w:rPr>
        <w:rFonts w:ascii="Courier New" w:hAnsi="Courier New" w:cs="Courier New" w:hint="default"/>
      </w:rPr>
    </w:lvl>
    <w:lvl w:ilvl="8" w:tplc="414C803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621287"/>
    <w:multiLevelType w:val="hybridMultilevel"/>
    <w:tmpl w:val="CDD05AB8"/>
    <w:lvl w:ilvl="0" w:tplc="04070001">
      <w:start w:val="1"/>
      <w:numFmt w:val="bullet"/>
      <w:lvlText w:val=""/>
      <w:lvlJc w:val="left"/>
      <w:pPr>
        <w:ind w:left="460" w:hanging="181"/>
      </w:pPr>
      <w:rPr>
        <w:rFonts w:hint="default"/>
        <w:u w:val="single" w:color="0000FF"/>
      </w:rPr>
    </w:lvl>
    <w:lvl w:ilvl="1" w:tplc="04070003">
      <w:start w:val="1"/>
      <w:numFmt w:val="bullet"/>
      <w:lvlText w:val="•"/>
      <w:lvlJc w:val="left"/>
      <w:pPr>
        <w:ind w:left="946" w:hanging="181"/>
      </w:pPr>
      <w:rPr>
        <w:rFonts w:hint="default"/>
      </w:rPr>
    </w:lvl>
    <w:lvl w:ilvl="2" w:tplc="04070005">
      <w:start w:val="1"/>
      <w:numFmt w:val="bullet"/>
      <w:lvlText w:val="•"/>
      <w:lvlJc w:val="left"/>
      <w:pPr>
        <w:ind w:left="1432" w:hanging="181"/>
      </w:pPr>
      <w:rPr>
        <w:rFonts w:hint="default"/>
      </w:rPr>
    </w:lvl>
    <w:lvl w:ilvl="3" w:tplc="04070001">
      <w:start w:val="1"/>
      <w:numFmt w:val="bullet"/>
      <w:lvlText w:val="•"/>
      <w:lvlJc w:val="left"/>
      <w:pPr>
        <w:ind w:left="1918" w:hanging="181"/>
      </w:pPr>
      <w:rPr>
        <w:rFonts w:hint="default"/>
      </w:rPr>
    </w:lvl>
    <w:lvl w:ilvl="4" w:tplc="04070003">
      <w:start w:val="1"/>
      <w:numFmt w:val="bullet"/>
      <w:lvlText w:val="•"/>
      <w:lvlJc w:val="left"/>
      <w:pPr>
        <w:ind w:left="2404" w:hanging="181"/>
      </w:pPr>
      <w:rPr>
        <w:rFonts w:hint="default"/>
      </w:rPr>
    </w:lvl>
    <w:lvl w:ilvl="5" w:tplc="04070005">
      <w:start w:val="1"/>
      <w:numFmt w:val="bullet"/>
      <w:lvlText w:val="•"/>
      <w:lvlJc w:val="left"/>
      <w:pPr>
        <w:ind w:left="2890" w:hanging="181"/>
      </w:pPr>
      <w:rPr>
        <w:rFonts w:hint="default"/>
      </w:rPr>
    </w:lvl>
    <w:lvl w:ilvl="6" w:tplc="04070001">
      <w:start w:val="1"/>
      <w:numFmt w:val="bullet"/>
      <w:lvlText w:val="•"/>
      <w:lvlJc w:val="left"/>
      <w:pPr>
        <w:ind w:left="3376" w:hanging="181"/>
      </w:pPr>
      <w:rPr>
        <w:rFonts w:hint="default"/>
      </w:rPr>
    </w:lvl>
    <w:lvl w:ilvl="7" w:tplc="04070003">
      <w:start w:val="1"/>
      <w:numFmt w:val="bullet"/>
      <w:lvlText w:val="•"/>
      <w:lvlJc w:val="left"/>
      <w:pPr>
        <w:ind w:left="3862" w:hanging="181"/>
      </w:pPr>
      <w:rPr>
        <w:rFonts w:hint="default"/>
      </w:rPr>
    </w:lvl>
    <w:lvl w:ilvl="8" w:tplc="04070005">
      <w:start w:val="1"/>
      <w:numFmt w:val="bullet"/>
      <w:lvlText w:val="•"/>
      <w:lvlJc w:val="left"/>
      <w:pPr>
        <w:ind w:left="4349" w:hanging="181"/>
      </w:pPr>
      <w:rPr>
        <w:rFonts w:hint="default"/>
      </w:rPr>
    </w:lvl>
  </w:abstractNum>
  <w:abstractNum w:abstractNumId="13" w15:restartNumberingAfterBreak="0">
    <w:nsid w:val="57507084"/>
    <w:multiLevelType w:val="hybridMultilevel"/>
    <w:tmpl w:val="B916056E"/>
    <w:lvl w:ilvl="0" w:tplc="D8A2656A">
      <w:start w:val="1"/>
      <w:numFmt w:val="bullet"/>
      <w:pStyle w:val="ListNumbered"/>
      <w:lvlText w:val=""/>
      <w:lvlJc w:val="left"/>
      <w:pPr>
        <w:ind w:left="720" w:hanging="360"/>
      </w:pPr>
      <w:rPr>
        <w:rFonts w:ascii="Symbol" w:hAnsi="Symbol" w:hint="default"/>
      </w:rPr>
    </w:lvl>
    <w:lvl w:ilvl="1" w:tplc="2F08D29C">
      <w:start w:val="1"/>
      <w:numFmt w:val="bullet"/>
      <w:lvlText w:val="o"/>
      <w:lvlJc w:val="left"/>
      <w:pPr>
        <w:ind w:left="1440" w:hanging="360"/>
      </w:pPr>
      <w:rPr>
        <w:rFonts w:ascii="Courier New" w:hAnsi="Courier New" w:cs="Courier New" w:hint="default"/>
      </w:rPr>
    </w:lvl>
    <w:lvl w:ilvl="2" w:tplc="6A5CA6B4" w:tentative="1">
      <w:start w:val="1"/>
      <w:numFmt w:val="bullet"/>
      <w:lvlText w:val=""/>
      <w:lvlJc w:val="left"/>
      <w:pPr>
        <w:ind w:left="2160" w:hanging="360"/>
      </w:pPr>
      <w:rPr>
        <w:rFonts w:ascii="Wingdings" w:hAnsi="Wingdings" w:hint="default"/>
      </w:rPr>
    </w:lvl>
    <w:lvl w:ilvl="3" w:tplc="CBF62F5C" w:tentative="1">
      <w:start w:val="1"/>
      <w:numFmt w:val="bullet"/>
      <w:lvlText w:val=""/>
      <w:lvlJc w:val="left"/>
      <w:pPr>
        <w:ind w:left="2880" w:hanging="360"/>
      </w:pPr>
      <w:rPr>
        <w:rFonts w:ascii="Symbol" w:hAnsi="Symbol" w:hint="default"/>
      </w:rPr>
    </w:lvl>
    <w:lvl w:ilvl="4" w:tplc="68EC924C" w:tentative="1">
      <w:start w:val="1"/>
      <w:numFmt w:val="bullet"/>
      <w:lvlText w:val="o"/>
      <w:lvlJc w:val="left"/>
      <w:pPr>
        <w:ind w:left="3600" w:hanging="360"/>
      </w:pPr>
      <w:rPr>
        <w:rFonts w:ascii="Courier New" w:hAnsi="Courier New" w:cs="Courier New" w:hint="default"/>
      </w:rPr>
    </w:lvl>
    <w:lvl w:ilvl="5" w:tplc="E5569E96" w:tentative="1">
      <w:start w:val="1"/>
      <w:numFmt w:val="bullet"/>
      <w:lvlText w:val=""/>
      <w:lvlJc w:val="left"/>
      <w:pPr>
        <w:ind w:left="4320" w:hanging="360"/>
      </w:pPr>
      <w:rPr>
        <w:rFonts w:ascii="Wingdings" w:hAnsi="Wingdings" w:hint="default"/>
      </w:rPr>
    </w:lvl>
    <w:lvl w:ilvl="6" w:tplc="7EB21B00" w:tentative="1">
      <w:start w:val="1"/>
      <w:numFmt w:val="bullet"/>
      <w:lvlText w:val=""/>
      <w:lvlJc w:val="left"/>
      <w:pPr>
        <w:ind w:left="5040" w:hanging="360"/>
      </w:pPr>
      <w:rPr>
        <w:rFonts w:ascii="Symbol" w:hAnsi="Symbol" w:hint="default"/>
      </w:rPr>
    </w:lvl>
    <w:lvl w:ilvl="7" w:tplc="37623556" w:tentative="1">
      <w:start w:val="1"/>
      <w:numFmt w:val="bullet"/>
      <w:lvlText w:val="o"/>
      <w:lvlJc w:val="left"/>
      <w:pPr>
        <w:ind w:left="5760" w:hanging="360"/>
      </w:pPr>
      <w:rPr>
        <w:rFonts w:ascii="Courier New" w:hAnsi="Courier New" w:cs="Courier New" w:hint="default"/>
      </w:rPr>
    </w:lvl>
    <w:lvl w:ilvl="8" w:tplc="7D1AD128" w:tentative="1">
      <w:start w:val="1"/>
      <w:numFmt w:val="bullet"/>
      <w:lvlText w:val=""/>
      <w:lvlJc w:val="left"/>
      <w:pPr>
        <w:ind w:left="6480" w:hanging="360"/>
      </w:pPr>
      <w:rPr>
        <w:rFonts w:ascii="Wingdings" w:hAnsi="Wingdings" w:hint="default"/>
      </w:rPr>
    </w:lvl>
  </w:abstractNum>
  <w:abstractNum w:abstractNumId="14" w15:restartNumberingAfterBreak="0">
    <w:nsid w:val="5C225032"/>
    <w:multiLevelType w:val="hybridMultilevel"/>
    <w:tmpl w:val="87D8CFC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331808"/>
    <w:multiLevelType w:val="multilevel"/>
    <w:tmpl w:val="F1BEA42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76F49FC"/>
    <w:multiLevelType w:val="hybridMultilevel"/>
    <w:tmpl w:val="76C6F65E"/>
    <w:lvl w:ilvl="0" w:tplc="AE6C069E">
      <w:start w:val="1"/>
      <w:numFmt w:val="bullet"/>
      <w:lvlText w:val=""/>
      <w:lvlJc w:val="left"/>
      <w:pPr>
        <w:ind w:left="720" w:hanging="360"/>
      </w:pPr>
      <w:rPr>
        <w:rFonts w:ascii="Symbol" w:hAnsi="Symbol" w:hint="default"/>
      </w:rPr>
    </w:lvl>
    <w:lvl w:ilvl="1" w:tplc="42EA84E4" w:tentative="1">
      <w:start w:val="1"/>
      <w:numFmt w:val="bullet"/>
      <w:lvlText w:val="o"/>
      <w:lvlJc w:val="left"/>
      <w:pPr>
        <w:ind w:left="1440" w:hanging="360"/>
      </w:pPr>
      <w:rPr>
        <w:rFonts w:ascii="Courier New" w:hAnsi="Courier New" w:cs="Courier New" w:hint="default"/>
      </w:rPr>
    </w:lvl>
    <w:lvl w:ilvl="2" w:tplc="7E90B920" w:tentative="1">
      <w:start w:val="1"/>
      <w:numFmt w:val="bullet"/>
      <w:lvlText w:val=""/>
      <w:lvlJc w:val="left"/>
      <w:pPr>
        <w:ind w:left="2160" w:hanging="360"/>
      </w:pPr>
      <w:rPr>
        <w:rFonts w:ascii="Wingdings" w:hAnsi="Wingdings" w:hint="default"/>
      </w:rPr>
    </w:lvl>
    <w:lvl w:ilvl="3" w:tplc="B2D88DE6" w:tentative="1">
      <w:start w:val="1"/>
      <w:numFmt w:val="bullet"/>
      <w:lvlText w:val=""/>
      <w:lvlJc w:val="left"/>
      <w:pPr>
        <w:ind w:left="2880" w:hanging="360"/>
      </w:pPr>
      <w:rPr>
        <w:rFonts w:ascii="Symbol" w:hAnsi="Symbol" w:hint="default"/>
      </w:rPr>
    </w:lvl>
    <w:lvl w:ilvl="4" w:tplc="552E21CC" w:tentative="1">
      <w:start w:val="1"/>
      <w:numFmt w:val="bullet"/>
      <w:lvlText w:val="o"/>
      <w:lvlJc w:val="left"/>
      <w:pPr>
        <w:ind w:left="3600" w:hanging="360"/>
      </w:pPr>
      <w:rPr>
        <w:rFonts w:ascii="Courier New" w:hAnsi="Courier New" w:cs="Courier New" w:hint="default"/>
      </w:rPr>
    </w:lvl>
    <w:lvl w:ilvl="5" w:tplc="E042CDB4" w:tentative="1">
      <w:start w:val="1"/>
      <w:numFmt w:val="bullet"/>
      <w:lvlText w:val=""/>
      <w:lvlJc w:val="left"/>
      <w:pPr>
        <w:ind w:left="4320" w:hanging="360"/>
      </w:pPr>
      <w:rPr>
        <w:rFonts w:ascii="Wingdings" w:hAnsi="Wingdings" w:hint="default"/>
      </w:rPr>
    </w:lvl>
    <w:lvl w:ilvl="6" w:tplc="0EF8B9A4" w:tentative="1">
      <w:start w:val="1"/>
      <w:numFmt w:val="bullet"/>
      <w:lvlText w:val=""/>
      <w:lvlJc w:val="left"/>
      <w:pPr>
        <w:ind w:left="5040" w:hanging="360"/>
      </w:pPr>
      <w:rPr>
        <w:rFonts w:ascii="Symbol" w:hAnsi="Symbol" w:hint="default"/>
      </w:rPr>
    </w:lvl>
    <w:lvl w:ilvl="7" w:tplc="823E1B56" w:tentative="1">
      <w:start w:val="1"/>
      <w:numFmt w:val="bullet"/>
      <w:lvlText w:val="o"/>
      <w:lvlJc w:val="left"/>
      <w:pPr>
        <w:ind w:left="5760" w:hanging="360"/>
      </w:pPr>
      <w:rPr>
        <w:rFonts w:ascii="Courier New" w:hAnsi="Courier New" w:cs="Courier New" w:hint="default"/>
      </w:rPr>
    </w:lvl>
    <w:lvl w:ilvl="8" w:tplc="2F64824E" w:tentative="1">
      <w:start w:val="1"/>
      <w:numFmt w:val="bullet"/>
      <w:lvlText w:val=""/>
      <w:lvlJc w:val="left"/>
      <w:pPr>
        <w:ind w:left="6480" w:hanging="360"/>
      </w:pPr>
      <w:rPr>
        <w:rFonts w:ascii="Wingdings" w:hAnsi="Wingdings" w:hint="default"/>
      </w:rPr>
    </w:lvl>
  </w:abstractNum>
  <w:abstractNum w:abstractNumId="18" w15:restartNumberingAfterBreak="0">
    <w:nsid w:val="67FE48D7"/>
    <w:multiLevelType w:val="multilevel"/>
    <w:tmpl w:val="6AEC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0563BC"/>
    <w:multiLevelType w:val="multilevel"/>
    <w:tmpl w:val="B4E076AC"/>
    <w:lvl w:ilvl="0">
      <w:start w:val="1"/>
      <w:numFmt w:val="decimal"/>
      <w:lvlText w:val="%1"/>
      <w:lvlJc w:val="left"/>
      <w:pPr>
        <w:ind w:left="1000" w:hanging="720"/>
        <w:jc w:val="right"/>
      </w:pPr>
      <w:rPr>
        <w:rFonts w:ascii="Arial" w:eastAsia="Arial" w:hAnsi="Arial" w:hint="default"/>
        <w:b/>
        <w:bCs/>
        <w:w w:val="100"/>
        <w:sz w:val="24"/>
        <w:szCs w:val="24"/>
      </w:rPr>
    </w:lvl>
    <w:lvl w:ilvl="1">
      <w:start w:val="1"/>
      <w:numFmt w:val="decimal"/>
      <w:lvlText w:val="%1.%2"/>
      <w:lvlJc w:val="left"/>
      <w:pPr>
        <w:ind w:left="1000" w:hanging="720"/>
        <w:jc w:val="right"/>
      </w:pPr>
      <w:rPr>
        <w:rFonts w:ascii="Arial" w:eastAsia="Arial" w:hAnsi="Arial" w:hint="default"/>
        <w:b/>
        <w:bCs/>
        <w:w w:val="100"/>
      </w:rPr>
    </w:lvl>
    <w:lvl w:ilvl="2">
      <w:start w:val="1"/>
      <w:numFmt w:val="bullet"/>
      <w:lvlText w:val="•"/>
      <w:lvlJc w:val="left"/>
      <w:pPr>
        <w:ind w:left="1951" w:hanging="720"/>
      </w:pPr>
      <w:rPr>
        <w:rFonts w:hint="default"/>
      </w:rPr>
    </w:lvl>
    <w:lvl w:ilvl="3">
      <w:start w:val="1"/>
      <w:numFmt w:val="bullet"/>
      <w:lvlText w:val="•"/>
      <w:lvlJc w:val="left"/>
      <w:pPr>
        <w:ind w:left="2902" w:hanging="720"/>
      </w:pPr>
      <w:rPr>
        <w:rFonts w:hint="default"/>
      </w:rPr>
    </w:lvl>
    <w:lvl w:ilvl="4">
      <w:start w:val="1"/>
      <w:numFmt w:val="bullet"/>
      <w:lvlText w:val="•"/>
      <w:lvlJc w:val="left"/>
      <w:pPr>
        <w:ind w:left="3853" w:hanging="720"/>
      </w:pPr>
      <w:rPr>
        <w:rFonts w:hint="default"/>
      </w:rPr>
    </w:lvl>
    <w:lvl w:ilvl="5">
      <w:start w:val="1"/>
      <w:numFmt w:val="bullet"/>
      <w:lvlText w:val="•"/>
      <w:lvlJc w:val="left"/>
      <w:pPr>
        <w:ind w:left="4804" w:hanging="720"/>
      </w:pPr>
      <w:rPr>
        <w:rFonts w:hint="default"/>
      </w:rPr>
    </w:lvl>
    <w:lvl w:ilvl="6">
      <w:start w:val="1"/>
      <w:numFmt w:val="bullet"/>
      <w:lvlText w:val="•"/>
      <w:lvlJc w:val="left"/>
      <w:pPr>
        <w:ind w:left="5755" w:hanging="720"/>
      </w:pPr>
      <w:rPr>
        <w:rFonts w:hint="default"/>
      </w:rPr>
    </w:lvl>
    <w:lvl w:ilvl="7">
      <w:start w:val="1"/>
      <w:numFmt w:val="bullet"/>
      <w:lvlText w:val="•"/>
      <w:lvlJc w:val="left"/>
      <w:pPr>
        <w:ind w:left="6706" w:hanging="720"/>
      </w:pPr>
      <w:rPr>
        <w:rFonts w:hint="default"/>
      </w:rPr>
    </w:lvl>
    <w:lvl w:ilvl="8">
      <w:start w:val="1"/>
      <w:numFmt w:val="bullet"/>
      <w:lvlText w:val="•"/>
      <w:lvlJc w:val="left"/>
      <w:pPr>
        <w:ind w:left="7657" w:hanging="720"/>
      </w:pPr>
      <w:rPr>
        <w:rFonts w:hint="default"/>
      </w:rPr>
    </w:lvl>
  </w:abstractNum>
  <w:abstractNum w:abstractNumId="20" w15:restartNumberingAfterBreak="0">
    <w:nsid w:val="6A9A63BD"/>
    <w:multiLevelType w:val="hybridMultilevel"/>
    <w:tmpl w:val="1326ED9A"/>
    <w:lvl w:ilvl="0" w:tplc="8B16505E">
      <w:start w:val="1"/>
      <w:numFmt w:val="bullet"/>
      <w:lvlText w:val=""/>
      <w:lvlJc w:val="left"/>
      <w:pPr>
        <w:tabs>
          <w:tab w:val="num" w:pos="720"/>
        </w:tabs>
        <w:ind w:left="720" w:hanging="360"/>
      </w:pPr>
      <w:rPr>
        <w:rFonts w:ascii="Symbol" w:hAnsi="Symbol" w:hint="default"/>
      </w:rPr>
    </w:lvl>
    <w:lvl w:ilvl="1" w:tplc="BB2AD454" w:tentative="1">
      <w:start w:val="1"/>
      <w:numFmt w:val="bullet"/>
      <w:lvlText w:val="o"/>
      <w:lvlJc w:val="left"/>
      <w:pPr>
        <w:tabs>
          <w:tab w:val="num" w:pos="1440"/>
        </w:tabs>
        <w:ind w:left="1440" w:hanging="360"/>
      </w:pPr>
      <w:rPr>
        <w:rFonts w:ascii="Courier New" w:hAnsi="Courier New" w:hint="default"/>
      </w:rPr>
    </w:lvl>
    <w:lvl w:ilvl="2" w:tplc="39DC159A" w:tentative="1">
      <w:start w:val="1"/>
      <w:numFmt w:val="bullet"/>
      <w:lvlText w:val=""/>
      <w:lvlJc w:val="left"/>
      <w:pPr>
        <w:tabs>
          <w:tab w:val="num" w:pos="2160"/>
        </w:tabs>
        <w:ind w:left="2160" w:hanging="360"/>
      </w:pPr>
      <w:rPr>
        <w:rFonts w:ascii="Wingdings" w:hAnsi="Wingdings" w:hint="default"/>
      </w:rPr>
    </w:lvl>
    <w:lvl w:ilvl="3" w:tplc="0EE260E6" w:tentative="1">
      <w:start w:val="1"/>
      <w:numFmt w:val="bullet"/>
      <w:lvlText w:val=""/>
      <w:lvlJc w:val="left"/>
      <w:pPr>
        <w:tabs>
          <w:tab w:val="num" w:pos="2880"/>
        </w:tabs>
        <w:ind w:left="2880" w:hanging="360"/>
      </w:pPr>
      <w:rPr>
        <w:rFonts w:ascii="Symbol" w:hAnsi="Symbol" w:hint="default"/>
      </w:rPr>
    </w:lvl>
    <w:lvl w:ilvl="4" w:tplc="D0281EAC" w:tentative="1">
      <w:start w:val="1"/>
      <w:numFmt w:val="bullet"/>
      <w:lvlText w:val="o"/>
      <w:lvlJc w:val="left"/>
      <w:pPr>
        <w:tabs>
          <w:tab w:val="num" w:pos="3600"/>
        </w:tabs>
        <w:ind w:left="3600" w:hanging="360"/>
      </w:pPr>
      <w:rPr>
        <w:rFonts w:ascii="Courier New" w:hAnsi="Courier New" w:hint="default"/>
      </w:rPr>
    </w:lvl>
    <w:lvl w:ilvl="5" w:tplc="F8D820E0" w:tentative="1">
      <w:start w:val="1"/>
      <w:numFmt w:val="bullet"/>
      <w:lvlText w:val=""/>
      <w:lvlJc w:val="left"/>
      <w:pPr>
        <w:tabs>
          <w:tab w:val="num" w:pos="4320"/>
        </w:tabs>
        <w:ind w:left="4320" w:hanging="360"/>
      </w:pPr>
      <w:rPr>
        <w:rFonts w:ascii="Wingdings" w:hAnsi="Wingdings" w:hint="default"/>
      </w:rPr>
    </w:lvl>
    <w:lvl w:ilvl="6" w:tplc="A1D8440A" w:tentative="1">
      <w:start w:val="1"/>
      <w:numFmt w:val="bullet"/>
      <w:lvlText w:val=""/>
      <w:lvlJc w:val="left"/>
      <w:pPr>
        <w:tabs>
          <w:tab w:val="num" w:pos="5040"/>
        </w:tabs>
        <w:ind w:left="5040" w:hanging="360"/>
      </w:pPr>
      <w:rPr>
        <w:rFonts w:ascii="Symbol" w:hAnsi="Symbol" w:hint="default"/>
      </w:rPr>
    </w:lvl>
    <w:lvl w:ilvl="7" w:tplc="820430D2" w:tentative="1">
      <w:start w:val="1"/>
      <w:numFmt w:val="bullet"/>
      <w:lvlText w:val="o"/>
      <w:lvlJc w:val="left"/>
      <w:pPr>
        <w:tabs>
          <w:tab w:val="num" w:pos="5760"/>
        </w:tabs>
        <w:ind w:left="5760" w:hanging="360"/>
      </w:pPr>
      <w:rPr>
        <w:rFonts w:ascii="Courier New" w:hAnsi="Courier New" w:hint="default"/>
      </w:rPr>
    </w:lvl>
    <w:lvl w:ilvl="8" w:tplc="5E88DF7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332797"/>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1192A58"/>
    <w:multiLevelType w:val="multilevel"/>
    <w:tmpl w:val="6EAC5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CE414F"/>
    <w:multiLevelType w:val="hybridMultilevel"/>
    <w:tmpl w:val="99F61858"/>
    <w:lvl w:ilvl="0" w:tplc="EFC646F0">
      <w:start w:val="1"/>
      <w:numFmt w:val="bullet"/>
      <w:lvlText w:val=""/>
      <w:lvlJc w:val="left"/>
      <w:pPr>
        <w:tabs>
          <w:tab w:val="num" w:pos="360"/>
        </w:tabs>
        <w:ind w:left="360" w:hanging="360"/>
      </w:pPr>
      <w:rPr>
        <w:rFonts w:ascii="Symbol" w:hAnsi="Symbol" w:hint="default"/>
      </w:rPr>
    </w:lvl>
    <w:lvl w:ilvl="1" w:tplc="D88E5924" w:tentative="1">
      <w:start w:val="1"/>
      <w:numFmt w:val="bullet"/>
      <w:lvlText w:val="o"/>
      <w:lvlJc w:val="left"/>
      <w:pPr>
        <w:tabs>
          <w:tab w:val="num" w:pos="1080"/>
        </w:tabs>
        <w:ind w:left="1080" w:hanging="360"/>
      </w:pPr>
      <w:rPr>
        <w:rFonts w:ascii="Courier New" w:hAnsi="Courier New" w:cs="Courier New" w:hint="default"/>
      </w:rPr>
    </w:lvl>
    <w:lvl w:ilvl="2" w:tplc="0C9653D0" w:tentative="1">
      <w:start w:val="1"/>
      <w:numFmt w:val="bullet"/>
      <w:lvlText w:val=""/>
      <w:lvlJc w:val="left"/>
      <w:pPr>
        <w:tabs>
          <w:tab w:val="num" w:pos="1800"/>
        </w:tabs>
        <w:ind w:left="1800" w:hanging="360"/>
      </w:pPr>
      <w:rPr>
        <w:rFonts w:ascii="Wingdings" w:hAnsi="Wingdings" w:hint="default"/>
      </w:rPr>
    </w:lvl>
    <w:lvl w:ilvl="3" w:tplc="EBC0E7A8" w:tentative="1">
      <w:start w:val="1"/>
      <w:numFmt w:val="bullet"/>
      <w:lvlText w:val=""/>
      <w:lvlJc w:val="left"/>
      <w:pPr>
        <w:tabs>
          <w:tab w:val="num" w:pos="2520"/>
        </w:tabs>
        <w:ind w:left="2520" w:hanging="360"/>
      </w:pPr>
      <w:rPr>
        <w:rFonts w:ascii="Symbol" w:hAnsi="Symbol" w:hint="default"/>
      </w:rPr>
    </w:lvl>
    <w:lvl w:ilvl="4" w:tplc="B9487F32" w:tentative="1">
      <w:start w:val="1"/>
      <w:numFmt w:val="bullet"/>
      <w:lvlText w:val="o"/>
      <w:lvlJc w:val="left"/>
      <w:pPr>
        <w:tabs>
          <w:tab w:val="num" w:pos="3240"/>
        </w:tabs>
        <w:ind w:left="3240" w:hanging="360"/>
      </w:pPr>
      <w:rPr>
        <w:rFonts w:ascii="Courier New" w:hAnsi="Courier New" w:cs="Courier New" w:hint="default"/>
      </w:rPr>
    </w:lvl>
    <w:lvl w:ilvl="5" w:tplc="4484CBCA" w:tentative="1">
      <w:start w:val="1"/>
      <w:numFmt w:val="bullet"/>
      <w:lvlText w:val=""/>
      <w:lvlJc w:val="left"/>
      <w:pPr>
        <w:tabs>
          <w:tab w:val="num" w:pos="3960"/>
        </w:tabs>
        <w:ind w:left="3960" w:hanging="360"/>
      </w:pPr>
      <w:rPr>
        <w:rFonts w:ascii="Wingdings" w:hAnsi="Wingdings" w:hint="default"/>
      </w:rPr>
    </w:lvl>
    <w:lvl w:ilvl="6" w:tplc="A14EDFCE" w:tentative="1">
      <w:start w:val="1"/>
      <w:numFmt w:val="bullet"/>
      <w:lvlText w:val=""/>
      <w:lvlJc w:val="left"/>
      <w:pPr>
        <w:tabs>
          <w:tab w:val="num" w:pos="4680"/>
        </w:tabs>
        <w:ind w:left="4680" w:hanging="360"/>
      </w:pPr>
      <w:rPr>
        <w:rFonts w:ascii="Symbol" w:hAnsi="Symbol" w:hint="default"/>
      </w:rPr>
    </w:lvl>
    <w:lvl w:ilvl="7" w:tplc="80B62D0C" w:tentative="1">
      <w:start w:val="1"/>
      <w:numFmt w:val="bullet"/>
      <w:lvlText w:val="o"/>
      <w:lvlJc w:val="left"/>
      <w:pPr>
        <w:tabs>
          <w:tab w:val="num" w:pos="5400"/>
        </w:tabs>
        <w:ind w:left="5400" w:hanging="360"/>
      </w:pPr>
      <w:rPr>
        <w:rFonts w:ascii="Courier New" w:hAnsi="Courier New" w:cs="Courier New" w:hint="default"/>
      </w:rPr>
    </w:lvl>
    <w:lvl w:ilvl="8" w:tplc="73C489FA"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2613446"/>
    <w:multiLevelType w:val="hybridMultilevel"/>
    <w:tmpl w:val="D384F4F4"/>
    <w:lvl w:ilvl="0" w:tplc="ED465E08">
      <w:start w:val="1"/>
      <w:numFmt w:val="bullet"/>
      <w:pStyle w:val="List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311220D"/>
    <w:multiLevelType w:val="hybridMultilevel"/>
    <w:tmpl w:val="E814E93A"/>
    <w:lvl w:ilvl="0" w:tplc="0C090001">
      <w:start w:val="1"/>
      <w:numFmt w:val="bullet"/>
      <w:pStyle w:val="ListBulletLevel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D6C59A9"/>
    <w:multiLevelType w:val="multilevel"/>
    <w:tmpl w:val="5B240ADE"/>
    <w:lvl w:ilvl="0">
      <w:start w:val="1"/>
      <w:numFmt w:val="bullet"/>
      <w:lvlRestart w:val="0"/>
      <w:lvlText w:val=""/>
      <w:lvlJc w:val="left"/>
      <w:pPr>
        <w:tabs>
          <w:tab w:val="num" w:pos="720"/>
        </w:tabs>
        <w:ind w:left="720" w:hanging="357"/>
      </w:pPr>
      <w:rPr>
        <w:rFonts w:ascii="Symbol" w:hAnsi="Symbol" w:hint="default"/>
        <w:sz w:val="24"/>
      </w:rPr>
    </w:lvl>
    <w:lvl w:ilvl="1">
      <w:start w:val="1"/>
      <w:numFmt w:val="bullet"/>
      <w:lvlText w:val=""/>
      <w:lvlJc w:val="left"/>
      <w:pPr>
        <w:tabs>
          <w:tab w:val="num" w:pos="1083"/>
        </w:tabs>
        <w:ind w:left="1083" w:hanging="363"/>
      </w:pPr>
      <w:rPr>
        <w:rFonts w:ascii="Symbol" w:hAnsi="Symbol" w:cs="Times New Roman" w:hint="default"/>
        <w:sz w:val="21"/>
      </w:rPr>
    </w:lvl>
    <w:lvl w:ilvl="2">
      <w:start w:val="1"/>
      <w:numFmt w:val="bullet"/>
      <w:lvlText w:val=""/>
      <w:lvlJc w:val="left"/>
      <w:pPr>
        <w:tabs>
          <w:tab w:val="num" w:pos="1440"/>
        </w:tabs>
        <w:ind w:left="1440" w:hanging="357"/>
      </w:pPr>
      <w:rPr>
        <w:rFonts w:ascii="Symbol" w:hAnsi="Symbol" w:cs="Times New Roman" w:hint="default"/>
        <w:sz w:val="21"/>
      </w:rPr>
    </w:lvl>
    <w:lvl w:ilvl="3">
      <w:start w:val="1"/>
      <w:numFmt w:val="bullet"/>
      <w:lvlText w:val=""/>
      <w:lvlJc w:val="left"/>
      <w:pPr>
        <w:tabs>
          <w:tab w:val="num" w:pos="1803"/>
        </w:tabs>
        <w:ind w:left="1803" w:hanging="363"/>
      </w:pPr>
      <w:rPr>
        <w:rFonts w:ascii="Symbol" w:hAnsi="Symbol" w:hint="default"/>
      </w:rPr>
    </w:lvl>
    <w:lvl w:ilvl="4">
      <w:start w:val="1"/>
      <w:numFmt w:val="bullet"/>
      <w:lvlText w:val=""/>
      <w:lvlJc w:val="left"/>
      <w:pPr>
        <w:tabs>
          <w:tab w:val="num" w:pos="2160"/>
        </w:tabs>
        <w:ind w:left="2160" w:hanging="357"/>
      </w:pPr>
      <w:rPr>
        <w:rFonts w:ascii="Symbol" w:hAnsi="Symbol" w:hint="default"/>
      </w:rPr>
    </w:lvl>
    <w:lvl w:ilvl="5">
      <w:start w:val="1"/>
      <w:numFmt w:val="bullet"/>
      <w:lvlText w:val=""/>
      <w:lvlJc w:val="left"/>
      <w:pPr>
        <w:tabs>
          <w:tab w:val="num" w:pos="2523"/>
        </w:tabs>
        <w:ind w:left="2523" w:hanging="363"/>
      </w:pPr>
      <w:rPr>
        <w:rFonts w:ascii="Symbol" w:hAnsi="Symbol" w:hint="default"/>
      </w:rPr>
    </w:lvl>
    <w:lvl w:ilvl="6">
      <w:start w:val="1"/>
      <w:numFmt w:val="bullet"/>
      <w:lvlText w:val=""/>
      <w:lvlJc w:val="left"/>
      <w:pPr>
        <w:tabs>
          <w:tab w:val="num" w:pos="2880"/>
        </w:tabs>
        <w:ind w:left="2880" w:hanging="357"/>
      </w:pPr>
      <w:rPr>
        <w:rFonts w:ascii="Symbol" w:hAnsi="Symbol" w:hint="default"/>
      </w:rPr>
    </w:lvl>
    <w:lvl w:ilvl="7">
      <w:start w:val="1"/>
      <w:numFmt w:val="bullet"/>
      <w:lvlText w:val=""/>
      <w:lvlJc w:val="left"/>
      <w:pPr>
        <w:tabs>
          <w:tab w:val="num" w:pos="3243"/>
        </w:tabs>
        <w:ind w:left="3243" w:hanging="363"/>
      </w:pPr>
      <w:rPr>
        <w:rFonts w:ascii="Symbol" w:hAnsi="Symbol" w:hint="default"/>
      </w:rPr>
    </w:lvl>
    <w:lvl w:ilvl="8">
      <w:start w:val="1"/>
      <w:numFmt w:val="bullet"/>
      <w:lvlText w:val=""/>
      <w:lvlJc w:val="left"/>
      <w:pPr>
        <w:tabs>
          <w:tab w:val="num" w:pos="3600"/>
        </w:tabs>
        <w:ind w:left="3600" w:hanging="357"/>
      </w:pPr>
      <w:rPr>
        <w:rFonts w:ascii="Symbol" w:hAnsi="Symbol" w:hint="default"/>
      </w:rPr>
    </w:lvl>
  </w:abstractNum>
  <w:abstractNum w:abstractNumId="27" w15:restartNumberingAfterBreak="0">
    <w:nsid w:val="7FB401D6"/>
    <w:multiLevelType w:val="hybridMultilevel"/>
    <w:tmpl w:val="270C463E"/>
    <w:lvl w:ilvl="0" w:tplc="3962EE5C">
      <w:start w:val="1"/>
      <w:numFmt w:val="bullet"/>
      <w:pStyle w:val="ListAlphabeticalLevel2"/>
      <w:lvlText w:val=""/>
      <w:lvlJc w:val="left"/>
      <w:pPr>
        <w:ind w:left="720" w:hanging="360"/>
      </w:pPr>
      <w:rPr>
        <w:rFonts w:ascii="Symbol" w:hAnsi="Symbol" w:hint="default"/>
      </w:rPr>
    </w:lvl>
    <w:lvl w:ilvl="1" w:tplc="02B074D0">
      <w:start w:val="1"/>
      <w:numFmt w:val="bullet"/>
      <w:lvlText w:val="o"/>
      <w:lvlJc w:val="left"/>
      <w:pPr>
        <w:ind w:left="1440" w:hanging="360"/>
      </w:pPr>
      <w:rPr>
        <w:rFonts w:ascii="Courier New" w:hAnsi="Courier New" w:cs="Courier New" w:hint="default"/>
      </w:rPr>
    </w:lvl>
    <w:lvl w:ilvl="2" w:tplc="F132AF44">
      <w:start w:val="1"/>
      <w:numFmt w:val="bullet"/>
      <w:lvlText w:val=""/>
      <w:lvlJc w:val="left"/>
      <w:pPr>
        <w:ind w:left="2160" w:hanging="360"/>
      </w:pPr>
      <w:rPr>
        <w:rFonts w:ascii="Wingdings" w:hAnsi="Wingdings" w:hint="default"/>
      </w:rPr>
    </w:lvl>
    <w:lvl w:ilvl="3" w:tplc="302A17D6" w:tentative="1">
      <w:start w:val="1"/>
      <w:numFmt w:val="bullet"/>
      <w:lvlText w:val=""/>
      <w:lvlJc w:val="left"/>
      <w:pPr>
        <w:ind w:left="2880" w:hanging="360"/>
      </w:pPr>
      <w:rPr>
        <w:rFonts w:ascii="Symbol" w:hAnsi="Symbol" w:hint="default"/>
      </w:rPr>
    </w:lvl>
    <w:lvl w:ilvl="4" w:tplc="B7B2BD06" w:tentative="1">
      <w:start w:val="1"/>
      <w:numFmt w:val="bullet"/>
      <w:lvlText w:val="o"/>
      <w:lvlJc w:val="left"/>
      <w:pPr>
        <w:ind w:left="3600" w:hanging="360"/>
      </w:pPr>
      <w:rPr>
        <w:rFonts w:ascii="Courier New" w:hAnsi="Courier New" w:cs="Courier New" w:hint="default"/>
      </w:rPr>
    </w:lvl>
    <w:lvl w:ilvl="5" w:tplc="3B4E6A4C" w:tentative="1">
      <w:start w:val="1"/>
      <w:numFmt w:val="bullet"/>
      <w:lvlText w:val=""/>
      <w:lvlJc w:val="left"/>
      <w:pPr>
        <w:ind w:left="4320" w:hanging="360"/>
      </w:pPr>
      <w:rPr>
        <w:rFonts w:ascii="Wingdings" w:hAnsi="Wingdings" w:hint="default"/>
      </w:rPr>
    </w:lvl>
    <w:lvl w:ilvl="6" w:tplc="6AE8A67A" w:tentative="1">
      <w:start w:val="1"/>
      <w:numFmt w:val="bullet"/>
      <w:lvlText w:val=""/>
      <w:lvlJc w:val="left"/>
      <w:pPr>
        <w:ind w:left="5040" w:hanging="360"/>
      </w:pPr>
      <w:rPr>
        <w:rFonts w:ascii="Symbol" w:hAnsi="Symbol" w:hint="default"/>
      </w:rPr>
    </w:lvl>
    <w:lvl w:ilvl="7" w:tplc="3F983F00" w:tentative="1">
      <w:start w:val="1"/>
      <w:numFmt w:val="bullet"/>
      <w:lvlText w:val="o"/>
      <w:lvlJc w:val="left"/>
      <w:pPr>
        <w:ind w:left="5760" w:hanging="360"/>
      </w:pPr>
      <w:rPr>
        <w:rFonts w:ascii="Courier New" w:hAnsi="Courier New" w:cs="Courier New" w:hint="default"/>
      </w:rPr>
    </w:lvl>
    <w:lvl w:ilvl="8" w:tplc="5B146450" w:tentative="1">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0"/>
  </w:num>
  <w:num w:numId="4">
    <w:abstractNumId w:val="13"/>
  </w:num>
  <w:num w:numId="5">
    <w:abstractNumId w:val="27"/>
  </w:num>
  <w:num w:numId="6">
    <w:abstractNumId w:val="24"/>
  </w:num>
  <w:num w:numId="7">
    <w:abstractNumId w:val="17"/>
  </w:num>
  <w:num w:numId="8">
    <w:abstractNumId w:val="25"/>
  </w:num>
  <w:num w:numId="9">
    <w:abstractNumId w:val="8"/>
  </w:num>
  <w:num w:numId="10">
    <w:abstractNumId w:val="16"/>
  </w:num>
  <w:num w:numId="11">
    <w:abstractNumId w:val="5"/>
  </w:num>
  <w:num w:numId="12">
    <w:abstractNumId w:val="15"/>
  </w:num>
  <w:num w:numId="13">
    <w:abstractNumId w:val="9"/>
  </w:num>
  <w:num w:numId="14">
    <w:abstractNumId w:val="7"/>
  </w:num>
  <w:num w:numId="15">
    <w:abstractNumId w:val="4"/>
  </w:num>
  <w:num w:numId="16">
    <w:abstractNumId w:val="2"/>
  </w:num>
  <w:num w:numId="17">
    <w:abstractNumId w:val="26"/>
  </w:num>
  <w:num w:numId="18">
    <w:abstractNumId w:val="10"/>
  </w:num>
  <w:num w:numId="19">
    <w:abstractNumId w:val="23"/>
  </w:num>
  <w:num w:numId="20">
    <w:abstractNumId w:val="11"/>
  </w:num>
  <w:num w:numId="21">
    <w:abstractNumId w:val="14"/>
  </w:num>
  <w:num w:numId="22">
    <w:abstractNumId w:val="3"/>
  </w:num>
  <w:num w:numId="23">
    <w:abstractNumId w:val="20"/>
  </w:num>
  <w:num w:numId="24">
    <w:abstractNumId w:val="3"/>
  </w:num>
  <w:num w:numId="25">
    <w:abstractNumId w:val="3"/>
  </w:num>
  <w:num w:numId="26">
    <w:abstractNumId w:val="22"/>
  </w:num>
  <w:num w:numId="27">
    <w:abstractNumId w:val="18"/>
  </w:num>
  <w:num w:numId="28">
    <w:abstractNumId w:val="6"/>
  </w:num>
  <w:num w:numId="29">
    <w:abstractNumId w:val="19"/>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3E5"/>
    <w:rsid w:val="00016990"/>
    <w:rsid w:val="00024098"/>
    <w:rsid w:val="00037D30"/>
    <w:rsid w:val="000423D7"/>
    <w:rsid w:val="000434A4"/>
    <w:rsid w:val="00052AEA"/>
    <w:rsid w:val="00060826"/>
    <w:rsid w:val="00072A57"/>
    <w:rsid w:val="00091067"/>
    <w:rsid w:val="000911AA"/>
    <w:rsid w:val="00091B2B"/>
    <w:rsid w:val="000959E6"/>
    <w:rsid w:val="00097241"/>
    <w:rsid w:val="00097EB5"/>
    <w:rsid w:val="000B539A"/>
    <w:rsid w:val="000D785C"/>
    <w:rsid w:val="000E1A58"/>
    <w:rsid w:val="0012230A"/>
    <w:rsid w:val="00124858"/>
    <w:rsid w:val="00130E04"/>
    <w:rsid w:val="001356FF"/>
    <w:rsid w:val="00176726"/>
    <w:rsid w:val="001840CA"/>
    <w:rsid w:val="001848F6"/>
    <w:rsid w:val="00187C82"/>
    <w:rsid w:val="00194D6E"/>
    <w:rsid w:val="00195ADC"/>
    <w:rsid w:val="001A3992"/>
    <w:rsid w:val="001A5351"/>
    <w:rsid w:val="001A613B"/>
    <w:rsid w:val="001B1A63"/>
    <w:rsid w:val="001B6387"/>
    <w:rsid w:val="001C2DD6"/>
    <w:rsid w:val="001C54F7"/>
    <w:rsid w:val="001C65EF"/>
    <w:rsid w:val="001D6087"/>
    <w:rsid w:val="001F690A"/>
    <w:rsid w:val="002008C4"/>
    <w:rsid w:val="00204FB3"/>
    <w:rsid w:val="00215881"/>
    <w:rsid w:val="002245D3"/>
    <w:rsid w:val="00243E25"/>
    <w:rsid w:val="00244276"/>
    <w:rsid w:val="0024632F"/>
    <w:rsid w:val="00257746"/>
    <w:rsid w:val="002577CB"/>
    <w:rsid w:val="0026162B"/>
    <w:rsid w:val="00266539"/>
    <w:rsid w:val="00274C16"/>
    <w:rsid w:val="002826D3"/>
    <w:rsid w:val="00285708"/>
    <w:rsid w:val="00292D82"/>
    <w:rsid w:val="002B44A8"/>
    <w:rsid w:val="002C02F2"/>
    <w:rsid w:val="002D22CB"/>
    <w:rsid w:val="002D41C4"/>
    <w:rsid w:val="002E277D"/>
    <w:rsid w:val="002F53BE"/>
    <w:rsid w:val="00307108"/>
    <w:rsid w:val="00312684"/>
    <w:rsid w:val="00325A2E"/>
    <w:rsid w:val="00330DCB"/>
    <w:rsid w:val="003336B8"/>
    <w:rsid w:val="00337294"/>
    <w:rsid w:val="00347D8E"/>
    <w:rsid w:val="00361C4C"/>
    <w:rsid w:val="00363FF8"/>
    <w:rsid w:val="00365CC3"/>
    <w:rsid w:val="00375889"/>
    <w:rsid w:val="00384473"/>
    <w:rsid w:val="003931F5"/>
    <w:rsid w:val="003A4663"/>
    <w:rsid w:val="003C0CC2"/>
    <w:rsid w:val="003C3FB2"/>
    <w:rsid w:val="003C6D5E"/>
    <w:rsid w:val="003D3751"/>
    <w:rsid w:val="003E2764"/>
    <w:rsid w:val="003E3F40"/>
    <w:rsid w:val="003F30FB"/>
    <w:rsid w:val="003F464F"/>
    <w:rsid w:val="003F5FDA"/>
    <w:rsid w:val="004032BD"/>
    <w:rsid w:val="0040593A"/>
    <w:rsid w:val="004075F9"/>
    <w:rsid w:val="00407FF3"/>
    <w:rsid w:val="00410CE1"/>
    <w:rsid w:val="00413278"/>
    <w:rsid w:val="00414315"/>
    <w:rsid w:val="00417EF7"/>
    <w:rsid w:val="0042110C"/>
    <w:rsid w:val="0042175B"/>
    <w:rsid w:val="00422AC6"/>
    <w:rsid w:val="00425F6F"/>
    <w:rsid w:val="00431ACD"/>
    <w:rsid w:val="00443C0C"/>
    <w:rsid w:val="00445111"/>
    <w:rsid w:val="00466BF1"/>
    <w:rsid w:val="004740DB"/>
    <w:rsid w:val="00477BD3"/>
    <w:rsid w:val="00490BD0"/>
    <w:rsid w:val="004930CB"/>
    <w:rsid w:val="00494113"/>
    <w:rsid w:val="004978AB"/>
    <w:rsid w:val="004A05C7"/>
    <w:rsid w:val="004A4005"/>
    <w:rsid w:val="004B474A"/>
    <w:rsid w:val="004C15B6"/>
    <w:rsid w:val="004C7960"/>
    <w:rsid w:val="004D0FD8"/>
    <w:rsid w:val="004E0609"/>
    <w:rsid w:val="004E75D5"/>
    <w:rsid w:val="004F0E4A"/>
    <w:rsid w:val="00512BA0"/>
    <w:rsid w:val="00514ED3"/>
    <w:rsid w:val="0052180F"/>
    <w:rsid w:val="00527916"/>
    <w:rsid w:val="005528DB"/>
    <w:rsid w:val="00554B0B"/>
    <w:rsid w:val="00560D82"/>
    <w:rsid w:val="00562858"/>
    <w:rsid w:val="00563A27"/>
    <w:rsid w:val="0056423A"/>
    <w:rsid w:val="00564DCC"/>
    <w:rsid w:val="0057313F"/>
    <w:rsid w:val="00584682"/>
    <w:rsid w:val="00596EDB"/>
    <w:rsid w:val="0059723D"/>
    <w:rsid w:val="005A4FC4"/>
    <w:rsid w:val="005C550E"/>
    <w:rsid w:val="005E0B33"/>
    <w:rsid w:val="005E1DA2"/>
    <w:rsid w:val="005E4DD4"/>
    <w:rsid w:val="00604DEE"/>
    <w:rsid w:val="00606597"/>
    <w:rsid w:val="00617B58"/>
    <w:rsid w:val="0062272E"/>
    <w:rsid w:val="006237B0"/>
    <w:rsid w:val="0062537C"/>
    <w:rsid w:val="006300D9"/>
    <w:rsid w:val="00632E56"/>
    <w:rsid w:val="00641F5A"/>
    <w:rsid w:val="00642061"/>
    <w:rsid w:val="00652905"/>
    <w:rsid w:val="0066729B"/>
    <w:rsid w:val="00671C08"/>
    <w:rsid w:val="0067273A"/>
    <w:rsid w:val="00682CB0"/>
    <w:rsid w:val="00687172"/>
    <w:rsid w:val="00696324"/>
    <w:rsid w:val="006A2455"/>
    <w:rsid w:val="006A3F4E"/>
    <w:rsid w:val="006A705C"/>
    <w:rsid w:val="006B335D"/>
    <w:rsid w:val="006D3DF9"/>
    <w:rsid w:val="006E3CC9"/>
    <w:rsid w:val="006E7ECC"/>
    <w:rsid w:val="006F34DC"/>
    <w:rsid w:val="006F5AAF"/>
    <w:rsid w:val="00703FA3"/>
    <w:rsid w:val="00707986"/>
    <w:rsid w:val="00717E34"/>
    <w:rsid w:val="007241FE"/>
    <w:rsid w:val="007265AD"/>
    <w:rsid w:val="00734065"/>
    <w:rsid w:val="00744556"/>
    <w:rsid w:val="00751407"/>
    <w:rsid w:val="00752F0D"/>
    <w:rsid w:val="00754815"/>
    <w:rsid w:val="00755DBE"/>
    <w:rsid w:val="00757237"/>
    <w:rsid w:val="00774B26"/>
    <w:rsid w:val="00774E78"/>
    <w:rsid w:val="00787532"/>
    <w:rsid w:val="00791A08"/>
    <w:rsid w:val="00797087"/>
    <w:rsid w:val="007A05BA"/>
    <w:rsid w:val="007A1B7E"/>
    <w:rsid w:val="007A2EF7"/>
    <w:rsid w:val="007B1E93"/>
    <w:rsid w:val="007C3E49"/>
    <w:rsid w:val="007C4C57"/>
    <w:rsid w:val="007D03C7"/>
    <w:rsid w:val="007E4BB8"/>
    <w:rsid w:val="007F5866"/>
    <w:rsid w:val="00801D36"/>
    <w:rsid w:val="00804DCC"/>
    <w:rsid w:val="00807059"/>
    <w:rsid w:val="008272DA"/>
    <w:rsid w:val="008558A0"/>
    <w:rsid w:val="0086269F"/>
    <w:rsid w:val="008627B7"/>
    <w:rsid w:val="00863657"/>
    <w:rsid w:val="00882EEE"/>
    <w:rsid w:val="00885609"/>
    <w:rsid w:val="008A58B9"/>
    <w:rsid w:val="008D0C6B"/>
    <w:rsid w:val="008E06D8"/>
    <w:rsid w:val="008E0DDC"/>
    <w:rsid w:val="008F417F"/>
    <w:rsid w:val="00900445"/>
    <w:rsid w:val="00907C32"/>
    <w:rsid w:val="00923806"/>
    <w:rsid w:val="00926BCB"/>
    <w:rsid w:val="009316AE"/>
    <w:rsid w:val="00933299"/>
    <w:rsid w:val="00946201"/>
    <w:rsid w:val="009466D4"/>
    <w:rsid w:val="00960CD5"/>
    <w:rsid w:val="009626CF"/>
    <w:rsid w:val="00981662"/>
    <w:rsid w:val="00994391"/>
    <w:rsid w:val="009A2C0B"/>
    <w:rsid w:val="009B0959"/>
    <w:rsid w:val="009C0DE5"/>
    <w:rsid w:val="009D1C0E"/>
    <w:rsid w:val="009D3E51"/>
    <w:rsid w:val="009E0870"/>
    <w:rsid w:val="009E4A3A"/>
    <w:rsid w:val="009F6DBE"/>
    <w:rsid w:val="00A006C4"/>
    <w:rsid w:val="00A307B4"/>
    <w:rsid w:val="00A33744"/>
    <w:rsid w:val="00A429B8"/>
    <w:rsid w:val="00A44AD1"/>
    <w:rsid w:val="00A473CF"/>
    <w:rsid w:val="00A524AC"/>
    <w:rsid w:val="00A62F6D"/>
    <w:rsid w:val="00A93EA6"/>
    <w:rsid w:val="00A94590"/>
    <w:rsid w:val="00AA1DDE"/>
    <w:rsid w:val="00AA3431"/>
    <w:rsid w:val="00AB0B14"/>
    <w:rsid w:val="00AB21BD"/>
    <w:rsid w:val="00AB4AE5"/>
    <w:rsid w:val="00AE5799"/>
    <w:rsid w:val="00AF3B99"/>
    <w:rsid w:val="00B02861"/>
    <w:rsid w:val="00B06C4C"/>
    <w:rsid w:val="00B124C5"/>
    <w:rsid w:val="00B14C17"/>
    <w:rsid w:val="00B1519E"/>
    <w:rsid w:val="00B27202"/>
    <w:rsid w:val="00B71099"/>
    <w:rsid w:val="00B7428A"/>
    <w:rsid w:val="00B80B69"/>
    <w:rsid w:val="00B835A0"/>
    <w:rsid w:val="00B85E36"/>
    <w:rsid w:val="00BA277B"/>
    <w:rsid w:val="00BA2A1F"/>
    <w:rsid w:val="00BC364A"/>
    <w:rsid w:val="00BD1508"/>
    <w:rsid w:val="00BF19B3"/>
    <w:rsid w:val="00BF1A51"/>
    <w:rsid w:val="00BF29A6"/>
    <w:rsid w:val="00BF3099"/>
    <w:rsid w:val="00C024B0"/>
    <w:rsid w:val="00C06693"/>
    <w:rsid w:val="00C12F21"/>
    <w:rsid w:val="00C23CB6"/>
    <w:rsid w:val="00C301BA"/>
    <w:rsid w:val="00C36302"/>
    <w:rsid w:val="00C37663"/>
    <w:rsid w:val="00C41A5B"/>
    <w:rsid w:val="00C43229"/>
    <w:rsid w:val="00C46D26"/>
    <w:rsid w:val="00C70E90"/>
    <w:rsid w:val="00C86538"/>
    <w:rsid w:val="00C91D21"/>
    <w:rsid w:val="00C95448"/>
    <w:rsid w:val="00C971E9"/>
    <w:rsid w:val="00C9778F"/>
    <w:rsid w:val="00CA5C63"/>
    <w:rsid w:val="00CA6CCF"/>
    <w:rsid w:val="00CA73C2"/>
    <w:rsid w:val="00CB490D"/>
    <w:rsid w:val="00CD3BC3"/>
    <w:rsid w:val="00CD5243"/>
    <w:rsid w:val="00CD52E2"/>
    <w:rsid w:val="00CE34EF"/>
    <w:rsid w:val="00CF5A95"/>
    <w:rsid w:val="00D078AC"/>
    <w:rsid w:val="00D16BB4"/>
    <w:rsid w:val="00D17A5A"/>
    <w:rsid w:val="00D17C34"/>
    <w:rsid w:val="00D31DD6"/>
    <w:rsid w:val="00D32E35"/>
    <w:rsid w:val="00D401F3"/>
    <w:rsid w:val="00D442C2"/>
    <w:rsid w:val="00D44BA0"/>
    <w:rsid w:val="00D70EC1"/>
    <w:rsid w:val="00D821C2"/>
    <w:rsid w:val="00D86276"/>
    <w:rsid w:val="00D93431"/>
    <w:rsid w:val="00DA591A"/>
    <w:rsid w:val="00DB2523"/>
    <w:rsid w:val="00DB556C"/>
    <w:rsid w:val="00DD1FB2"/>
    <w:rsid w:val="00DD5F3C"/>
    <w:rsid w:val="00DD6AF2"/>
    <w:rsid w:val="00DE2723"/>
    <w:rsid w:val="00DE4B03"/>
    <w:rsid w:val="00DF5E99"/>
    <w:rsid w:val="00E029DF"/>
    <w:rsid w:val="00E0495D"/>
    <w:rsid w:val="00E16F66"/>
    <w:rsid w:val="00E20F8D"/>
    <w:rsid w:val="00E25D6F"/>
    <w:rsid w:val="00E27759"/>
    <w:rsid w:val="00E32BC5"/>
    <w:rsid w:val="00E47108"/>
    <w:rsid w:val="00E50D2E"/>
    <w:rsid w:val="00E53688"/>
    <w:rsid w:val="00E547DC"/>
    <w:rsid w:val="00E71F4B"/>
    <w:rsid w:val="00E723EE"/>
    <w:rsid w:val="00E74A56"/>
    <w:rsid w:val="00E77CD0"/>
    <w:rsid w:val="00E943AD"/>
    <w:rsid w:val="00E9655F"/>
    <w:rsid w:val="00ED0937"/>
    <w:rsid w:val="00ED2051"/>
    <w:rsid w:val="00EE092D"/>
    <w:rsid w:val="00EE0DC0"/>
    <w:rsid w:val="00EE5A72"/>
    <w:rsid w:val="00EF16C1"/>
    <w:rsid w:val="00F37834"/>
    <w:rsid w:val="00F44EC2"/>
    <w:rsid w:val="00F539F4"/>
    <w:rsid w:val="00F6196F"/>
    <w:rsid w:val="00F710B9"/>
    <w:rsid w:val="00F77B7A"/>
    <w:rsid w:val="00F9732A"/>
    <w:rsid w:val="00FA4650"/>
    <w:rsid w:val="00FB23E5"/>
    <w:rsid w:val="00FB7CA4"/>
    <w:rsid w:val="00FD0662"/>
    <w:rsid w:val="00FD3E22"/>
    <w:rsid w:val="00FD4643"/>
    <w:rsid w:val="00FE141C"/>
    <w:rsid w:val="00FE1908"/>
    <w:rsid w:val="00FE2097"/>
    <w:rsid w:val="00FE40D5"/>
    <w:rsid w:val="00FE43D5"/>
    <w:rsid w:val="00FE4D7E"/>
    <w:rsid w:val="00FF029B"/>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8E6E3C"/>
  <w15:docId w15:val="{107E92E0-FC1F-42AF-8E75-52E149B4C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881"/>
    <w:pPr>
      <w:spacing w:before="240" w:after="0" w:line="240" w:lineRule="auto"/>
    </w:pPr>
    <w:rPr>
      <w:rFonts w:ascii="Times New Roman" w:eastAsia="MS Mincho" w:hAnsi="Times New Roman" w:cs="Times New Roman"/>
      <w:color w:val="000000"/>
      <w:sz w:val="24"/>
      <w:szCs w:val="24"/>
      <w:lang w:val="en-US"/>
    </w:rPr>
  </w:style>
  <w:style w:type="paragraph" w:styleId="Heading1">
    <w:name w:val="heading 1"/>
    <w:next w:val="Normal"/>
    <w:link w:val="Heading1Char"/>
    <w:qFormat/>
    <w:rsid w:val="0052180F"/>
    <w:pPr>
      <w:keepNext/>
      <w:pageBreakBefore/>
      <w:numPr>
        <w:numId w:val="22"/>
      </w:numPr>
      <w:spacing w:before="480" w:after="0" w:line="240" w:lineRule="auto"/>
      <w:outlineLvl w:val="0"/>
    </w:pPr>
    <w:rPr>
      <w:rFonts w:ascii="Arial" w:eastAsia="MS Gothic" w:hAnsi="Arial" w:cs="Arial"/>
      <w:b/>
      <w:bCs/>
      <w:caps/>
      <w:kern w:val="32"/>
      <w:sz w:val="28"/>
      <w:szCs w:val="32"/>
      <w:lang w:val="en-US"/>
    </w:rPr>
  </w:style>
  <w:style w:type="paragraph" w:styleId="Heading2">
    <w:name w:val="heading 2"/>
    <w:basedOn w:val="Heading1"/>
    <w:next w:val="Normal"/>
    <w:link w:val="Heading2Char"/>
    <w:qFormat/>
    <w:rsid w:val="0052180F"/>
    <w:pPr>
      <w:pageBreakBefore w:val="0"/>
      <w:numPr>
        <w:ilvl w:val="1"/>
      </w:numPr>
      <w:outlineLvl w:val="1"/>
    </w:pPr>
    <w:rPr>
      <w:bCs w:val="0"/>
      <w:iCs/>
      <w:sz w:val="22"/>
      <w:szCs w:val="28"/>
    </w:rPr>
  </w:style>
  <w:style w:type="paragraph" w:styleId="Heading3">
    <w:name w:val="heading 3"/>
    <w:basedOn w:val="Heading1"/>
    <w:next w:val="Normal"/>
    <w:link w:val="Heading3Char"/>
    <w:qFormat/>
    <w:rsid w:val="0052180F"/>
    <w:pPr>
      <w:pageBreakBefore w:val="0"/>
      <w:numPr>
        <w:ilvl w:val="2"/>
      </w:numPr>
      <w:spacing w:before="360"/>
      <w:outlineLvl w:val="2"/>
    </w:pPr>
    <w:rPr>
      <w:bCs w:val="0"/>
      <w:caps w:val="0"/>
      <w:sz w:val="22"/>
      <w:szCs w:val="26"/>
    </w:rPr>
  </w:style>
  <w:style w:type="paragraph" w:styleId="Heading4">
    <w:name w:val="heading 4"/>
    <w:basedOn w:val="Heading1"/>
    <w:next w:val="Normal"/>
    <w:link w:val="Heading4Char"/>
    <w:qFormat/>
    <w:rsid w:val="0052180F"/>
    <w:pPr>
      <w:pageBreakBefore w:val="0"/>
      <w:numPr>
        <w:ilvl w:val="3"/>
      </w:numPr>
      <w:spacing w:before="360"/>
      <w:outlineLvl w:val="3"/>
    </w:pPr>
    <w:rPr>
      <w:bCs w:val="0"/>
      <w:i/>
      <w:caps w:val="0"/>
      <w:sz w:val="22"/>
      <w:szCs w:val="28"/>
    </w:rPr>
  </w:style>
  <w:style w:type="paragraph" w:styleId="Heading5">
    <w:name w:val="heading 5"/>
    <w:basedOn w:val="Heading1"/>
    <w:next w:val="Normal"/>
    <w:link w:val="Heading5Char"/>
    <w:qFormat/>
    <w:rsid w:val="0052180F"/>
    <w:pPr>
      <w:pageBreakBefore w:val="0"/>
      <w:numPr>
        <w:ilvl w:val="4"/>
      </w:numPr>
      <w:spacing w:before="360"/>
      <w:outlineLvl w:val="4"/>
    </w:pPr>
    <w:rPr>
      <w:b w:val="0"/>
      <w:bCs w:val="0"/>
      <w:i/>
      <w:iCs/>
      <w:caps w:val="0"/>
      <w:sz w:val="22"/>
      <w:szCs w:val="26"/>
    </w:rPr>
  </w:style>
  <w:style w:type="paragraph" w:styleId="Heading6">
    <w:name w:val="heading 6"/>
    <w:basedOn w:val="Heading1"/>
    <w:next w:val="Normal"/>
    <w:link w:val="Heading6Char"/>
    <w:qFormat/>
    <w:rsid w:val="0052180F"/>
    <w:pPr>
      <w:pageBreakBefore w:val="0"/>
      <w:numPr>
        <w:ilvl w:val="5"/>
      </w:numPr>
      <w:spacing w:before="360"/>
      <w:outlineLvl w:val="5"/>
    </w:pPr>
    <w:rPr>
      <w:b w:val="0"/>
      <w:bCs w:val="0"/>
      <w:caps w:val="0"/>
      <w:sz w:val="22"/>
      <w:szCs w:val="22"/>
    </w:rPr>
  </w:style>
  <w:style w:type="paragraph" w:styleId="Heading7">
    <w:name w:val="heading 7"/>
    <w:basedOn w:val="Heading6"/>
    <w:next w:val="Normal"/>
    <w:link w:val="Heading7Char"/>
    <w:qFormat/>
    <w:rsid w:val="0052180F"/>
    <w:pPr>
      <w:numPr>
        <w:ilvl w:val="6"/>
      </w:numPr>
      <w:outlineLvl w:val="6"/>
    </w:pPr>
  </w:style>
  <w:style w:type="paragraph" w:styleId="Heading8">
    <w:name w:val="heading 8"/>
    <w:basedOn w:val="Heading6"/>
    <w:next w:val="Normal"/>
    <w:link w:val="Heading8Char"/>
    <w:qFormat/>
    <w:rsid w:val="0052180F"/>
    <w:pPr>
      <w:numPr>
        <w:ilvl w:val="7"/>
      </w:numPr>
      <w:outlineLvl w:val="7"/>
    </w:pPr>
    <w:rPr>
      <w:iCs/>
    </w:rPr>
  </w:style>
  <w:style w:type="paragraph" w:styleId="Heading9">
    <w:name w:val="heading 9"/>
    <w:basedOn w:val="Heading6"/>
    <w:next w:val="Normal"/>
    <w:link w:val="Heading9Char"/>
    <w:qFormat/>
    <w:rsid w:val="0052180F"/>
    <w:pPr>
      <w:numPr>
        <w:ilvl w:val="8"/>
      </w:numPr>
      <w:tabs>
        <w:tab w:val="left" w:pos="1797"/>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7C82"/>
    <w:rPr>
      <w:rFonts w:ascii="Arial" w:eastAsia="MS Gothic" w:hAnsi="Arial" w:cs="Arial"/>
      <w:b/>
      <w:bCs/>
      <w:caps/>
      <w:kern w:val="32"/>
      <w:sz w:val="28"/>
      <w:szCs w:val="32"/>
      <w:lang w:val="en-US"/>
    </w:rPr>
  </w:style>
  <w:style w:type="character" w:customStyle="1" w:styleId="Heading2Char">
    <w:name w:val="Heading 2 Char"/>
    <w:basedOn w:val="DefaultParagraphFont"/>
    <w:link w:val="Heading2"/>
    <w:rsid w:val="00187C82"/>
    <w:rPr>
      <w:rFonts w:ascii="Arial" w:eastAsia="MS Gothic" w:hAnsi="Arial" w:cs="Arial"/>
      <w:b/>
      <w:iCs/>
      <w:caps/>
      <w:kern w:val="32"/>
      <w:szCs w:val="28"/>
      <w:lang w:val="en-US"/>
    </w:rPr>
  </w:style>
  <w:style w:type="character" w:customStyle="1" w:styleId="Heading3Char">
    <w:name w:val="Heading 3 Char"/>
    <w:basedOn w:val="DefaultParagraphFont"/>
    <w:link w:val="Heading3"/>
    <w:rsid w:val="00187C82"/>
    <w:rPr>
      <w:rFonts w:ascii="Arial" w:eastAsia="MS Gothic" w:hAnsi="Arial" w:cs="Arial"/>
      <w:b/>
      <w:kern w:val="32"/>
      <w:szCs w:val="26"/>
      <w:lang w:val="en-US"/>
    </w:rPr>
  </w:style>
  <w:style w:type="character" w:customStyle="1" w:styleId="Heading4Char">
    <w:name w:val="Heading 4 Char"/>
    <w:basedOn w:val="DefaultParagraphFont"/>
    <w:link w:val="Heading4"/>
    <w:rsid w:val="00187C82"/>
    <w:rPr>
      <w:rFonts w:ascii="Arial" w:eastAsia="MS Gothic" w:hAnsi="Arial" w:cs="Arial"/>
      <w:b/>
      <w:i/>
      <w:kern w:val="32"/>
      <w:szCs w:val="28"/>
      <w:lang w:val="en-US"/>
    </w:rPr>
  </w:style>
  <w:style w:type="character" w:customStyle="1" w:styleId="Heading5Char">
    <w:name w:val="Heading 5 Char"/>
    <w:basedOn w:val="DefaultParagraphFont"/>
    <w:link w:val="Heading5"/>
    <w:rsid w:val="00187C82"/>
    <w:rPr>
      <w:rFonts w:ascii="Arial" w:eastAsia="MS Gothic" w:hAnsi="Arial" w:cs="Arial"/>
      <w:i/>
      <w:iCs/>
      <w:kern w:val="32"/>
      <w:szCs w:val="26"/>
      <w:lang w:val="en-US"/>
    </w:rPr>
  </w:style>
  <w:style w:type="character" w:customStyle="1" w:styleId="Heading6Char">
    <w:name w:val="Heading 6 Char"/>
    <w:basedOn w:val="DefaultParagraphFont"/>
    <w:link w:val="Heading6"/>
    <w:rsid w:val="00187C82"/>
    <w:rPr>
      <w:rFonts w:ascii="Arial" w:eastAsia="MS Gothic" w:hAnsi="Arial" w:cs="Arial"/>
      <w:kern w:val="32"/>
      <w:lang w:val="en-US"/>
    </w:rPr>
  </w:style>
  <w:style w:type="character" w:customStyle="1" w:styleId="Heading7Char">
    <w:name w:val="Heading 7 Char"/>
    <w:basedOn w:val="DefaultParagraphFont"/>
    <w:link w:val="Heading7"/>
    <w:rsid w:val="00187C82"/>
    <w:rPr>
      <w:rFonts w:ascii="Arial" w:eastAsia="MS Gothic" w:hAnsi="Arial" w:cs="Arial"/>
      <w:kern w:val="32"/>
      <w:lang w:val="en-US"/>
    </w:rPr>
  </w:style>
  <w:style w:type="character" w:customStyle="1" w:styleId="Heading8Char">
    <w:name w:val="Heading 8 Char"/>
    <w:basedOn w:val="DefaultParagraphFont"/>
    <w:link w:val="Heading8"/>
    <w:rsid w:val="00187C82"/>
    <w:rPr>
      <w:rFonts w:ascii="Arial" w:eastAsia="MS Gothic" w:hAnsi="Arial" w:cs="Arial"/>
      <w:iCs/>
      <w:kern w:val="32"/>
      <w:lang w:val="en-US"/>
    </w:rPr>
  </w:style>
  <w:style w:type="character" w:customStyle="1" w:styleId="Heading9Char">
    <w:name w:val="Heading 9 Char"/>
    <w:basedOn w:val="DefaultParagraphFont"/>
    <w:link w:val="Heading9"/>
    <w:rsid w:val="00187C82"/>
    <w:rPr>
      <w:rFonts w:ascii="Arial" w:eastAsia="MS Gothic" w:hAnsi="Arial" w:cs="Arial"/>
      <w:kern w:val="32"/>
      <w:lang w:val="en-US"/>
    </w:rPr>
  </w:style>
  <w:style w:type="paragraph" w:styleId="ListParagraph">
    <w:name w:val="List Paragraph"/>
    <w:basedOn w:val="Normal"/>
    <w:uiPriority w:val="1"/>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semiHidden/>
    <w:unhideWhenUsed/>
    <w:rsid w:val="001A3992"/>
    <w:rPr>
      <w:rFonts w:ascii="Cambria" w:hAnsi="Cambria"/>
      <w:sz w:val="20"/>
      <w:szCs w:val="20"/>
    </w:rPr>
  </w:style>
  <w:style w:type="character" w:customStyle="1" w:styleId="CommentTextChar">
    <w:name w:val="Comment Text Char"/>
    <w:basedOn w:val="DefaultParagraphFont"/>
    <w:link w:val="CommentText"/>
    <w:uiPriority w:val="99"/>
    <w:semiHidden/>
    <w:rsid w:val="001A3992"/>
    <w:rPr>
      <w:rFonts w:ascii="Cambria" w:hAnsi="Cambria"/>
      <w:sz w:val="20"/>
      <w:szCs w:val="20"/>
    </w:rPr>
  </w:style>
  <w:style w:type="paragraph" w:styleId="FootnoteText">
    <w:name w:val="footnote text"/>
    <w:basedOn w:val="Normal"/>
    <w:link w:val="FootnoteTextChar"/>
    <w:rsid w:val="00215881"/>
    <w:pPr>
      <w:spacing w:before="20"/>
      <w:ind w:left="113" w:hanging="113"/>
    </w:pPr>
    <w:rPr>
      <w:sz w:val="22"/>
      <w:szCs w:val="20"/>
    </w:rPr>
  </w:style>
  <w:style w:type="character" w:customStyle="1" w:styleId="FootnoteTextChar">
    <w:name w:val="Footnote Text Char"/>
    <w:basedOn w:val="DefaultParagraphFont"/>
    <w:link w:val="FootnoteText"/>
    <w:rsid w:val="001A3992"/>
    <w:rPr>
      <w:rFonts w:ascii="Times New Roman" w:eastAsia="MS Mincho" w:hAnsi="Times New Roman" w:cs="Times New Roman"/>
      <w:color w:val="000000"/>
      <w:szCs w:val="20"/>
      <w:lang w:val="en-US"/>
    </w:rPr>
  </w:style>
  <w:style w:type="character" w:styleId="FootnoteReference">
    <w:name w:val="footnote reference"/>
    <w:rsid w:val="00215881"/>
    <w:rPr>
      <w:rFonts w:ascii="Times New Roman" w:eastAsia="MS Mincho" w:hAnsi="Times New Roman"/>
      <w:color w:val="0000FF"/>
      <w:sz w:val="18"/>
      <w:vertAlign w:val="superscript"/>
    </w:rPr>
  </w:style>
  <w:style w:type="paragraph" w:styleId="ListBullet">
    <w:name w:val="List Bullet"/>
    <w:basedOn w:val="Normal"/>
    <w:rsid w:val="00215881"/>
    <w:pPr>
      <w:numPr>
        <w:numId w:val="6"/>
      </w:numPr>
    </w:pPr>
  </w:style>
  <w:style w:type="character" w:styleId="Hyperlink">
    <w:name w:val="Hyperlink"/>
    <w:uiPriority w:val="99"/>
    <w:rsid w:val="00215881"/>
    <w:rPr>
      <w:color w:val="0000FF"/>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link w:val="FooterChar"/>
    <w:rsid w:val="00215881"/>
    <w:pPr>
      <w:tabs>
        <w:tab w:val="right" w:pos="9469"/>
      </w:tabs>
      <w:spacing w:after="0" w:line="240" w:lineRule="auto"/>
    </w:pPr>
    <w:rPr>
      <w:rFonts w:ascii="Arial" w:eastAsia="MS Gothic" w:hAnsi="Arial" w:cs="Times New Roman"/>
      <w:sz w:val="18"/>
      <w:szCs w:val="20"/>
      <w:lang w:val="en-US"/>
    </w:rPr>
  </w:style>
  <w:style w:type="character" w:customStyle="1" w:styleId="FooterChar">
    <w:name w:val="Footer Char"/>
    <w:basedOn w:val="DefaultParagraphFont"/>
    <w:link w:val="Footer"/>
    <w:rsid w:val="001A3992"/>
    <w:rPr>
      <w:rFonts w:ascii="Arial" w:eastAsia="MS Gothic" w:hAnsi="Arial" w:cs="Times New Roman"/>
      <w:sz w:val="18"/>
      <w:szCs w:val="20"/>
      <w:lang w:val="en-US"/>
    </w:rPr>
  </w:style>
  <w:style w:type="paragraph" w:styleId="BalloonText">
    <w:name w:val="Balloon Text"/>
    <w:basedOn w:val="Normal"/>
    <w:link w:val="BalloonTextChar"/>
    <w:uiPriority w:val="99"/>
    <w:semiHidden/>
    <w:unhideWhenUsed/>
    <w:rsid w:val="001A3992"/>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link w:val="HeaderChar"/>
    <w:rsid w:val="00215881"/>
    <w:pPr>
      <w:tabs>
        <w:tab w:val="left" w:pos="4536"/>
        <w:tab w:val="right" w:pos="9480"/>
      </w:tabs>
      <w:spacing w:after="0" w:line="240" w:lineRule="auto"/>
    </w:pPr>
    <w:rPr>
      <w:rFonts w:ascii="Arial" w:eastAsia="MS Gothic" w:hAnsi="Arial" w:cs="Times New Roman"/>
      <w:sz w:val="18"/>
      <w:szCs w:val="20"/>
      <w:lang w:val="en-US"/>
    </w:rPr>
  </w:style>
  <w:style w:type="character" w:customStyle="1" w:styleId="HeaderChar">
    <w:name w:val="Header Char"/>
    <w:basedOn w:val="DefaultParagraphFont"/>
    <w:link w:val="Header"/>
    <w:rsid w:val="00CA6CCF"/>
    <w:rPr>
      <w:rFonts w:ascii="Arial" w:eastAsia="MS Gothic" w:hAnsi="Arial" w:cs="Times New Roman"/>
      <w:sz w:val="18"/>
      <w:szCs w:val="20"/>
      <w:lang w:val="en-US"/>
    </w:rPr>
  </w:style>
  <w:style w:type="paragraph" w:customStyle="1" w:styleId="wcpTableContent">
    <w:name w:val="wcp_TableContent"/>
    <w:basedOn w:val="Normal"/>
    <w:rsid w:val="00C301BA"/>
    <w:pPr>
      <w:spacing w:before="40" w:after="40"/>
    </w:pPr>
    <w:rPr>
      <w:rFonts w:eastAsia="Times New Roman"/>
      <w:szCs w:val="20"/>
    </w:rPr>
  </w:style>
  <w:style w:type="paragraph" w:styleId="BodyTextIndent2">
    <w:name w:val="Body Text Indent 2"/>
    <w:basedOn w:val="Normal"/>
    <w:link w:val="BodyTextIndent2Char"/>
    <w:rsid w:val="000E1A58"/>
    <w:pPr>
      <w:ind w:left="567"/>
      <w:jc w:val="both"/>
    </w:pPr>
    <w:rPr>
      <w:rFonts w:ascii="Arial" w:eastAsia="Times New Roman" w:hAnsi="Arial"/>
      <w:szCs w:val="20"/>
      <w:lang w:val="en-GB"/>
    </w:rPr>
  </w:style>
  <w:style w:type="character" w:customStyle="1" w:styleId="BodyTextIndent2Char">
    <w:name w:val="Body Text Indent 2 Char"/>
    <w:basedOn w:val="DefaultParagraphFont"/>
    <w:link w:val="BodyTextIndent2"/>
    <w:rsid w:val="000E1A58"/>
    <w:rPr>
      <w:rFonts w:ascii="Arial" w:eastAsia="Times New Roman" w:hAnsi="Arial" w:cs="Times New Roman"/>
      <w:sz w:val="24"/>
      <w:szCs w:val="20"/>
      <w:lang w:val="en-GB"/>
    </w:rPr>
  </w:style>
  <w:style w:type="paragraph" w:styleId="BodyText">
    <w:name w:val="Body Text"/>
    <w:basedOn w:val="Normal"/>
    <w:link w:val="BodyTextChar"/>
    <w:uiPriority w:val="99"/>
    <w:unhideWhenUsed/>
    <w:rsid w:val="000E1A58"/>
    <w:pPr>
      <w:spacing w:after="120"/>
    </w:pPr>
  </w:style>
  <w:style w:type="character" w:customStyle="1" w:styleId="BodyTextChar">
    <w:name w:val="Body Text Char"/>
    <w:basedOn w:val="DefaultParagraphFont"/>
    <w:link w:val="BodyText"/>
    <w:uiPriority w:val="99"/>
    <w:rsid w:val="000E1A58"/>
  </w:style>
  <w:style w:type="paragraph" w:styleId="BodyText3">
    <w:name w:val="Body Text 3"/>
    <w:basedOn w:val="Normal"/>
    <w:link w:val="BodyText3Char"/>
    <w:uiPriority w:val="99"/>
    <w:semiHidden/>
    <w:unhideWhenUsed/>
    <w:rsid w:val="00514ED3"/>
    <w:pPr>
      <w:spacing w:after="120"/>
    </w:pPr>
    <w:rPr>
      <w:sz w:val="16"/>
      <w:szCs w:val="16"/>
    </w:rPr>
  </w:style>
  <w:style w:type="character" w:customStyle="1" w:styleId="BodyText3Char">
    <w:name w:val="Body Text 3 Char"/>
    <w:basedOn w:val="DefaultParagraphFont"/>
    <w:link w:val="BodyText3"/>
    <w:uiPriority w:val="99"/>
    <w:semiHidden/>
    <w:rsid w:val="00514ED3"/>
    <w:rPr>
      <w:sz w:val="16"/>
      <w:szCs w:val="16"/>
    </w:rPr>
  </w:style>
  <w:style w:type="paragraph" w:customStyle="1" w:styleId="Heading1NoTOC">
    <w:name w:val="Heading 1 NoTOC"/>
    <w:basedOn w:val="Heading1"/>
    <w:rsid w:val="00215881"/>
    <w:pPr>
      <w:numPr>
        <w:numId w:val="0"/>
      </w:numPr>
      <w:outlineLvl w:val="9"/>
    </w:pPr>
  </w:style>
  <w:style w:type="paragraph" w:styleId="Title">
    <w:name w:val="Title"/>
    <w:next w:val="Normal"/>
    <w:link w:val="TitleChar"/>
    <w:qFormat/>
    <w:rsid w:val="00215881"/>
    <w:pPr>
      <w:keepNext/>
      <w:spacing w:before="600" w:after="480" w:line="240" w:lineRule="auto"/>
      <w:jc w:val="center"/>
      <w:outlineLvl w:val="0"/>
    </w:pPr>
    <w:rPr>
      <w:rFonts w:ascii="Arial" w:eastAsia="MS Gothic" w:hAnsi="Arial" w:cs="Arial"/>
      <w:b/>
      <w:bCs/>
      <w:caps/>
      <w:szCs w:val="32"/>
      <w:lang w:val="en-US"/>
    </w:rPr>
  </w:style>
  <w:style w:type="character" w:customStyle="1" w:styleId="TitleChar">
    <w:name w:val="Title Char"/>
    <w:basedOn w:val="DefaultParagraphFont"/>
    <w:link w:val="Title"/>
    <w:rsid w:val="00C971E9"/>
    <w:rPr>
      <w:rFonts w:ascii="Arial" w:eastAsia="MS Gothic" w:hAnsi="Arial" w:cs="Arial"/>
      <w:b/>
      <w:bCs/>
      <w:caps/>
      <w:szCs w:val="32"/>
      <w:lang w:val="en-US"/>
    </w:rPr>
  </w:style>
  <w:style w:type="paragraph" w:customStyle="1" w:styleId="TitleNoToc">
    <w:name w:val="Title NoToc"/>
    <w:basedOn w:val="Title"/>
    <w:next w:val="Normal"/>
    <w:rsid w:val="00215881"/>
    <w:pPr>
      <w:outlineLvl w:val="9"/>
    </w:pPr>
  </w:style>
  <w:style w:type="character" w:customStyle="1" w:styleId="InstructionsTextChar">
    <w:name w:val="Instructions Text Char"/>
    <w:link w:val="InstructionsText"/>
    <w:rsid w:val="00215881"/>
    <w:rPr>
      <w:rFonts w:eastAsia="MS Mincho"/>
      <w:color w:val="000000"/>
      <w:sz w:val="24"/>
      <w:szCs w:val="24"/>
      <w:shd w:val="clear" w:color="auto" w:fill="FFCC66"/>
      <w:lang w:val="en-US"/>
    </w:rPr>
  </w:style>
  <w:style w:type="paragraph" w:customStyle="1" w:styleId="ListNumbered">
    <w:name w:val="List Numbered"/>
    <w:basedOn w:val="Normal"/>
    <w:rsid w:val="00215881"/>
    <w:pPr>
      <w:numPr>
        <w:numId w:val="4"/>
      </w:numPr>
      <w:spacing w:before="120"/>
    </w:pPr>
  </w:style>
  <w:style w:type="paragraph" w:customStyle="1" w:styleId="ListBulletLevel1">
    <w:name w:val="List Bullet Level 1"/>
    <w:basedOn w:val="Normal"/>
    <w:rsid w:val="00215881"/>
    <w:pPr>
      <w:numPr>
        <w:numId w:val="16"/>
      </w:numPr>
      <w:spacing w:before="120"/>
    </w:pPr>
  </w:style>
  <w:style w:type="paragraph" w:customStyle="1" w:styleId="ListAlphabeticalLevel1">
    <w:name w:val="List Alphabetical Level 1"/>
    <w:basedOn w:val="Normal"/>
    <w:rsid w:val="00215881"/>
    <w:pPr>
      <w:numPr>
        <w:numId w:val="3"/>
      </w:numPr>
      <w:spacing w:before="120"/>
    </w:pPr>
  </w:style>
  <w:style w:type="paragraph" w:styleId="Bibliography">
    <w:name w:val="Bibliography"/>
    <w:basedOn w:val="Normal"/>
    <w:next w:val="Normal"/>
    <w:rsid w:val="00215881"/>
    <w:pPr>
      <w:ind w:left="357" w:hanging="357"/>
    </w:pPr>
  </w:style>
  <w:style w:type="paragraph" w:customStyle="1" w:styleId="ListBulletLevel2">
    <w:name w:val="List Bullet Level 2"/>
    <w:basedOn w:val="Normal"/>
    <w:rsid w:val="00215881"/>
    <w:pPr>
      <w:numPr>
        <w:numId w:val="8"/>
      </w:numPr>
      <w:spacing w:before="120"/>
    </w:pPr>
    <w:rPr>
      <w:szCs w:val="20"/>
    </w:rPr>
  </w:style>
  <w:style w:type="paragraph" w:styleId="Caption">
    <w:name w:val="caption"/>
    <w:next w:val="Normal"/>
    <w:qFormat/>
    <w:rsid w:val="00215881"/>
    <w:pPr>
      <w:keepNext/>
      <w:spacing w:before="360" w:after="120" w:line="240" w:lineRule="auto"/>
      <w:jc w:val="center"/>
    </w:pPr>
    <w:rPr>
      <w:rFonts w:ascii="Arial" w:eastAsia="MS Gothic" w:hAnsi="Arial" w:cs="Arial"/>
      <w:b/>
      <w:bCs/>
      <w:sz w:val="20"/>
      <w:szCs w:val="20"/>
      <w:lang w:val="en-US"/>
    </w:rPr>
  </w:style>
  <w:style w:type="paragraph" w:customStyle="1" w:styleId="InstructionsText">
    <w:name w:val="Instructions Text"/>
    <w:basedOn w:val="Normal"/>
    <w:next w:val="Normal"/>
    <w:link w:val="InstructionsTextChar"/>
    <w:rsid w:val="00215881"/>
    <w:pPr>
      <w:shd w:val="clear" w:color="auto" w:fill="FFCC66"/>
      <w:spacing w:before="40" w:after="40"/>
    </w:pPr>
    <w:rPr>
      <w:rFonts w:asciiTheme="minorHAnsi" w:hAnsiTheme="minorHAnsi" w:cstheme="minorBidi"/>
    </w:rPr>
  </w:style>
  <w:style w:type="paragraph" w:customStyle="1" w:styleId="Heading1NoNumbering">
    <w:name w:val="Heading 1 NoNumbering"/>
    <w:basedOn w:val="Heading1"/>
    <w:next w:val="Normal"/>
    <w:rsid w:val="00215881"/>
    <w:pPr>
      <w:numPr>
        <w:numId w:val="14"/>
      </w:numPr>
    </w:pPr>
  </w:style>
  <w:style w:type="paragraph" w:customStyle="1" w:styleId="TblTextCenter">
    <w:name w:val="Tbl Text Center"/>
    <w:basedOn w:val="TblTextLeft"/>
    <w:link w:val="TblTextCenterChar"/>
    <w:rsid w:val="00215881"/>
    <w:pPr>
      <w:jc w:val="center"/>
    </w:pPr>
  </w:style>
  <w:style w:type="paragraph" w:customStyle="1" w:styleId="TblTextLeft">
    <w:name w:val="Tbl Text Left"/>
    <w:rsid w:val="00215881"/>
    <w:pPr>
      <w:spacing w:before="60" w:after="60" w:line="240" w:lineRule="auto"/>
    </w:pPr>
    <w:rPr>
      <w:rFonts w:ascii="Arial Narrow" w:eastAsia="MS Gothic" w:hAnsi="Arial Narrow" w:cs="Times New Roman"/>
      <w:sz w:val="20"/>
      <w:szCs w:val="20"/>
      <w:lang w:val="en-US"/>
    </w:rPr>
  </w:style>
  <w:style w:type="paragraph" w:customStyle="1" w:styleId="TblHeadingLeft">
    <w:name w:val="Tbl Heading Left"/>
    <w:rsid w:val="00215881"/>
    <w:pPr>
      <w:spacing w:before="60" w:after="60" w:line="240" w:lineRule="auto"/>
    </w:pPr>
    <w:rPr>
      <w:rFonts w:ascii="Arial" w:eastAsia="MS Gothic" w:hAnsi="Arial" w:cs="Arial"/>
      <w:b/>
      <w:noProof/>
      <w:sz w:val="20"/>
      <w:szCs w:val="20"/>
      <w:lang w:val="de-DE"/>
    </w:rPr>
  </w:style>
  <w:style w:type="paragraph" w:customStyle="1" w:styleId="TblFigFootnote">
    <w:name w:val="Tbl Fig Footnote"/>
    <w:rsid w:val="00215881"/>
    <w:pPr>
      <w:keepLines/>
      <w:adjustRightInd w:val="0"/>
      <w:snapToGrid w:val="0"/>
      <w:spacing w:before="20" w:after="20" w:line="240" w:lineRule="auto"/>
    </w:pPr>
    <w:rPr>
      <w:rFonts w:ascii="Arial Narrow" w:eastAsia="MS Gothic" w:hAnsi="Arial Narrow" w:cs="Times New Roman"/>
      <w:sz w:val="18"/>
      <w:szCs w:val="20"/>
      <w:lang w:val="en-US"/>
    </w:rPr>
  </w:style>
  <w:style w:type="paragraph" w:customStyle="1" w:styleId="TblHeadingCenter">
    <w:name w:val="Tbl Heading Center"/>
    <w:basedOn w:val="TblHeadingLeft"/>
    <w:rsid w:val="00215881"/>
    <w:pPr>
      <w:jc w:val="center"/>
    </w:pPr>
  </w:style>
  <w:style w:type="paragraph" w:customStyle="1" w:styleId="HeaderLandscape">
    <w:name w:val="Header Landscape"/>
    <w:basedOn w:val="Header"/>
    <w:rsid w:val="00215881"/>
    <w:pPr>
      <w:tabs>
        <w:tab w:val="clear" w:pos="4536"/>
        <w:tab w:val="clear" w:pos="9480"/>
        <w:tab w:val="left" w:pos="6804"/>
        <w:tab w:val="right" w:pos="14118"/>
      </w:tabs>
    </w:pPr>
  </w:style>
  <w:style w:type="paragraph" w:customStyle="1" w:styleId="FooterLandscape">
    <w:name w:val="Footer Landscape"/>
    <w:basedOn w:val="Footer"/>
    <w:rsid w:val="00215881"/>
    <w:pPr>
      <w:tabs>
        <w:tab w:val="clear" w:pos="9469"/>
        <w:tab w:val="right" w:pos="14118"/>
      </w:tabs>
    </w:pPr>
  </w:style>
  <w:style w:type="character" w:customStyle="1" w:styleId="TblFigFootnoteReference">
    <w:name w:val="Tbl Fig Footnote Reference"/>
    <w:rsid w:val="00215881"/>
    <w:rPr>
      <w:rFonts w:ascii="Arial Narrow" w:eastAsia="MS Gothic" w:hAnsi="Arial Narrow"/>
      <w:i/>
      <w:dstrike w:val="0"/>
      <w:noProof w:val="0"/>
      <w:position w:val="6"/>
      <w:sz w:val="18"/>
      <w:vertAlign w:val="baseline"/>
      <w:lang w:val="en-US"/>
    </w:rPr>
  </w:style>
  <w:style w:type="paragraph" w:customStyle="1" w:styleId="xCover">
    <w:name w:val="xCover"/>
    <w:rsid w:val="00215881"/>
    <w:pPr>
      <w:spacing w:before="120" w:after="0" w:line="240" w:lineRule="auto"/>
    </w:pPr>
    <w:rPr>
      <w:rFonts w:ascii="Arial" w:eastAsia="MS Gothic" w:hAnsi="Arial" w:cs="Times New Roman"/>
      <w:sz w:val="20"/>
      <w:szCs w:val="20"/>
      <w:lang w:val="en-US"/>
    </w:rPr>
  </w:style>
  <w:style w:type="paragraph" w:customStyle="1" w:styleId="xCoverAddress">
    <w:name w:val="xCoverAddress"/>
    <w:basedOn w:val="xCover"/>
    <w:rsid w:val="00215881"/>
    <w:pPr>
      <w:spacing w:before="0"/>
    </w:pPr>
  </w:style>
  <w:style w:type="paragraph" w:customStyle="1" w:styleId="xCoverDocType">
    <w:name w:val="xCoverDocType"/>
    <w:basedOn w:val="xCover"/>
    <w:rsid w:val="00215881"/>
    <w:pPr>
      <w:spacing w:before="360"/>
      <w:jc w:val="center"/>
    </w:pPr>
    <w:rPr>
      <w:b/>
      <w:caps/>
      <w:sz w:val="28"/>
    </w:rPr>
  </w:style>
  <w:style w:type="paragraph" w:customStyle="1" w:styleId="xCoverDocTitle">
    <w:name w:val="xCoverDocTitle"/>
    <w:basedOn w:val="xCover"/>
    <w:rsid w:val="00215881"/>
    <w:pPr>
      <w:spacing w:before="240"/>
      <w:jc w:val="center"/>
    </w:pPr>
    <w:rPr>
      <w:b/>
      <w:sz w:val="24"/>
    </w:rPr>
  </w:style>
  <w:style w:type="paragraph" w:styleId="EndnoteText">
    <w:name w:val="endnote text"/>
    <w:basedOn w:val="Normal"/>
    <w:link w:val="EndnoteTextChar"/>
    <w:semiHidden/>
    <w:rsid w:val="00215881"/>
    <w:rPr>
      <w:sz w:val="22"/>
      <w:szCs w:val="20"/>
    </w:rPr>
  </w:style>
  <w:style w:type="character" w:customStyle="1" w:styleId="EndnoteTextChar">
    <w:name w:val="Endnote Text Char"/>
    <w:basedOn w:val="DefaultParagraphFont"/>
    <w:link w:val="EndnoteText"/>
    <w:semiHidden/>
    <w:rsid w:val="00C971E9"/>
    <w:rPr>
      <w:rFonts w:ascii="Times New Roman" w:eastAsia="MS Mincho" w:hAnsi="Times New Roman" w:cs="Times New Roman"/>
      <w:color w:val="000000"/>
      <w:szCs w:val="20"/>
      <w:lang w:val="en-US"/>
    </w:rPr>
  </w:style>
  <w:style w:type="character" w:styleId="EndnoteReference">
    <w:name w:val="endnote reference"/>
    <w:semiHidden/>
    <w:rsid w:val="00215881"/>
    <w:rPr>
      <w:vertAlign w:val="superscript"/>
    </w:rPr>
  </w:style>
  <w:style w:type="paragraph" w:styleId="MacroText">
    <w:name w:val="macro"/>
    <w:link w:val="MacroTextChar"/>
    <w:semiHidden/>
    <w:rsid w:val="0021588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US"/>
    </w:rPr>
  </w:style>
  <w:style w:type="character" w:customStyle="1" w:styleId="MacroTextChar">
    <w:name w:val="Macro Text Char"/>
    <w:basedOn w:val="DefaultParagraphFont"/>
    <w:link w:val="MacroText"/>
    <w:semiHidden/>
    <w:rsid w:val="00C971E9"/>
    <w:rPr>
      <w:rFonts w:ascii="Courier New" w:eastAsia="Times New Roman" w:hAnsi="Courier New" w:cs="Times New Roman"/>
      <w:sz w:val="20"/>
      <w:szCs w:val="20"/>
      <w:lang w:val="en-US"/>
    </w:rPr>
  </w:style>
  <w:style w:type="paragraph" w:styleId="TableofFigures">
    <w:name w:val="table of figures"/>
    <w:next w:val="Normal"/>
    <w:semiHidden/>
    <w:rsid w:val="00215881"/>
    <w:pPr>
      <w:tabs>
        <w:tab w:val="right" w:leader="dot" w:pos="9468"/>
      </w:tabs>
      <w:spacing w:before="120" w:after="0" w:line="240" w:lineRule="auto"/>
    </w:pPr>
    <w:rPr>
      <w:rFonts w:ascii="Arial" w:eastAsia="Times New Roman" w:hAnsi="Arial" w:cs="Times New Roman"/>
      <w:sz w:val="20"/>
      <w:szCs w:val="20"/>
      <w:lang w:val="en-US"/>
    </w:rPr>
  </w:style>
  <w:style w:type="paragraph" w:styleId="TableofAuthorities">
    <w:name w:val="table of authorities"/>
    <w:basedOn w:val="Normal"/>
    <w:next w:val="Normal"/>
    <w:semiHidden/>
    <w:rsid w:val="00215881"/>
    <w:pPr>
      <w:ind w:left="240" w:hanging="240"/>
    </w:pPr>
  </w:style>
  <w:style w:type="character" w:customStyle="1" w:styleId="ReplaceText">
    <w:name w:val="Replace Text"/>
    <w:rsid w:val="00215881"/>
    <w:rPr>
      <w:color w:val="FF00FF"/>
    </w:rPr>
  </w:style>
  <w:style w:type="paragraph" w:styleId="TOC1">
    <w:name w:val="toc 1"/>
    <w:next w:val="Normal"/>
    <w:uiPriority w:val="39"/>
    <w:rsid w:val="00215881"/>
    <w:pPr>
      <w:tabs>
        <w:tab w:val="right" w:leader="dot" w:pos="9468"/>
      </w:tabs>
      <w:spacing w:before="240" w:after="0" w:line="240" w:lineRule="auto"/>
      <w:ind w:left="851" w:right="567" w:hanging="851"/>
    </w:pPr>
    <w:rPr>
      <w:rFonts w:ascii="Arial" w:eastAsia="Times New Roman" w:hAnsi="Arial" w:cs="Times New Roman"/>
      <w:b/>
      <w:caps/>
      <w:sz w:val="20"/>
      <w:szCs w:val="20"/>
      <w:lang w:val="en-US"/>
    </w:rPr>
  </w:style>
  <w:style w:type="paragraph" w:customStyle="1" w:styleId="ListAlphabeticalLevel2">
    <w:name w:val="List Alphabetical Level 2"/>
    <w:basedOn w:val="ListNumbered"/>
    <w:rsid w:val="00215881"/>
    <w:pPr>
      <w:numPr>
        <w:numId w:val="5"/>
      </w:numPr>
    </w:pPr>
  </w:style>
  <w:style w:type="paragraph" w:styleId="Index1">
    <w:name w:val="index 1"/>
    <w:basedOn w:val="Normal"/>
    <w:next w:val="Normal"/>
    <w:semiHidden/>
    <w:rsid w:val="00215881"/>
    <w:pPr>
      <w:tabs>
        <w:tab w:val="left" w:pos="1701"/>
        <w:tab w:val="left" w:pos="3402"/>
        <w:tab w:val="left" w:pos="5103"/>
      </w:tabs>
      <w:spacing w:before="0"/>
      <w:ind w:left="1701" w:hanging="1701"/>
    </w:pPr>
  </w:style>
  <w:style w:type="paragraph" w:styleId="TOAHeading">
    <w:name w:val="toa heading"/>
    <w:basedOn w:val="Normal"/>
    <w:next w:val="Normal"/>
    <w:semiHidden/>
    <w:rsid w:val="00215881"/>
    <w:pPr>
      <w:spacing w:before="120"/>
    </w:pPr>
    <w:rPr>
      <w:rFonts w:ascii="Arial" w:hAnsi="Arial" w:cs="Arial"/>
      <w:b/>
      <w:bCs/>
    </w:rPr>
  </w:style>
  <w:style w:type="character" w:customStyle="1" w:styleId="Reference">
    <w:name w:val="Reference"/>
    <w:rsid w:val="00215881"/>
    <w:rPr>
      <w:color w:val="0000FF"/>
    </w:rPr>
  </w:style>
  <w:style w:type="paragraph" w:customStyle="1" w:styleId="TblTextbulletedlist">
    <w:name w:val="Tbl Text bulleted list"/>
    <w:basedOn w:val="TblTextLeft"/>
    <w:rsid w:val="00215881"/>
    <w:pPr>
      <w:numPr>
        <w:numId w:val="9"/>
      </w:numPr>
      <w:tabs>
        <w:tab w:val="left" w:pos="216"/>
      </w:tabs>
      <w:spacing w:before="0" w:after="0"/>
      <w:ind w:left="216" w:hanging="216"/>
    </w:pPr>
  </w:style>
  <w:style w:type="paragraph" w:styleId="TOC2">
    <w:name w:val="toc 2"/>
    <w:basedOn w:val="TOC1"/>
    <w:next w:val="Normal"/>
    <w:semiHidden/>
    <w:rsid w:val="00215881"/>
    <w:rPr>
      <w:b w:val="0"/>
    </w:rPr>
  </w:style>
  <w:style w:type="character" w:styleId="PageNumber">
    <w:name w:val="page number"/>
    <w:basedOn w:val="DefaultParagraphFont"/>
    <w:rsid w:val="00215881"/>
  </w:style>
  <w:style w:type="paragraph" w:styleId="TOC3">
    <w:name w:val="toc 3"/>
    <w:basedOn w:val="TOC1"/>
    <w:next w:val="Normal"/>
    <w:semiHidden/>
    <w:rsid w:val="00215881"/>
    <w:pPr>
      <w:spacing w:before="120"/>
    </w:pPr>
    <w:rPr>
      <w:b w:val="0"/>
      <w:caps w:val="0"/>
    </w:rPr>
  </w:style>
  <w:style w:type="paragraph" w:styleId="TOC4">
    <w:name w:val="toc 4"/>
    <w:basedOn w:val="TOC1"/>
    <w:next w:val="Normal"/>
    <w:semiHidden/>
    <w:rsid w:val="00215881"/>
    <w:pPr>
      <w:spacing w:before="40"/>
    </w:pPr>
    <w:rPr>
      <w:b w:val="0"/>
      <w:caps w:val="0"/>
      <w:szCs w:val="22"/>
    </w:rPr>
  </w:style>
  <w:style w:type="paragraph" w:styleId="TOC5">
    <w:name w:val="toc 5"/>
    <w:basedOn w:val="TOC1"/>
    <w:next w:val="Normal"/>
    <w:semiHidden/>
    <w:rsid w:val="00215881"/>
    <w:pPr>
      <w:spacing w:before="0"/>
    </w:pPr>
    <w:rPr>
      <w:b w:val="0"/>
      <w:caps w:val="0"/>
    </w:rPr>
  </w:style>
  <w:style w:type="paragraph" w:styleId="TOC6">
    <w:name w:val="toc 6"/>
    <w:basedOn w:val="TOC1"/>
    <w:next w:val="Normal"/>
    <w:semiHidden/>
    <w:rsid w:val="00215881"/>
    <w:pPr>
      <w:spacing w:before="0"/>
    </w:pPr>
    <w:rPr>
      <w:b w:val="0"/>
      <w:caps w:val="0"/>
    </w:rPr>
  </w:style>
  <w:style w:type="paragraph" w:styleId="TOC7">
    <w:name w:val="toc 7"/>
    <w:basedOn w:val="TOC6"/>
    <w:next w:val="Normal"/>
    <w:semiHidden/>
    <w:rsid w:val="00215881"/>
  </w:style>
  <w:style w:type="paragraph" w:styleId="TOC8">
    <w:name w:val="toc 8"/>
    <w:basedOn w:val="TOC6"/>
    <w:next w:val="Normal"/>
    <w:semiHidden/>
    <w:rsid w:val="00215881"/>
  </w:style>
  <w:style w:type="paragraph" w:styleId="TOC9">
    <w:name w:val="toc 9"/>
    <w:basedOn w:val="TOC6"/>
    <w:next w:val="Normal"/>
    <w:semiHidden/>
    <w:rsid w:val="00215881"/>
  </w:style>
  <w:style w:type="character" w:customStyle="1" w:styleId="TblFigFootnoteChar">
    <w:name w:val="Tbl Fig Footnote Char"/>
    <w:rsid w:val="00215881"/>
    <w:rPr>
      <w:rFonts w:ascii="Arial Narrow" w:eastAsia="MS Gothic" w:hAnsi="Arial Narrow"/>
      <w:sz w:val="18"/>
      <w:lang w:val="en-US" w:eastAsia="en-US" w:bidi="ar-SA"/>
    </w:rPr>
  </w:style>
  <w:style w:type="character" w:styleId="FollowedHyperlink">
    <w:name w:val="FollowedHyperlink"/>
    <w:rsid w:val="00215881"/>
    <w:rPr>
      <w:color w:val="800080"/>
      <w:u w:val="single"/>
    </w:rPr>
  </w:style>
  <w:style w:type="paragraph" w:styleId="BodyText2">
    <w:name w:val="Body Text 2"/>
    <w:basedOn w:val="Normal"/>
    <w:link w:val="BodyText2Char"/>
    <w:uiPriority w:val="99"/>
    <w:unhideWhenUsed/>
    <w:rsid w:val="00BC364A"/>
    <w:pPr>
      <w:spacing w:after="120" w:line="480" w:lineRule="auto"/>
    </w:pPr>
  </w:style>
  <w:style w:type="character" w:customStyle="1" w:styleId="BodyText2Char">
    <w:name w:val="Body Text 2 Char"/>
    <w:basedOn w:val="DefaultParagraphFont"/>
    <w:link w:val="BodyText2"/>
    <w:uiPriority w:val="99"/>
    <w:rsid w:val="00BC364A"/>
    <w:rPr>
      <w:rFonts w:ascii="Times New Roman" w:eastAsia="MS Mincho" w:hAnsi="Times New Roman" w:cs="Times New Roman"/>
      <w:color w:val="000000"/>
      <w:sz w:val="24"/>
      <w:szCs w:val="24"/>
      <w:lang w:val="en-US"/>
    </w:rPr>
  </w:style>
  <w:style w:type="paragraph" w:customStyle="1" w:styleId="wcpTableColHeader">
    <w:name w:val="wcp_TableColHeader"/>
    <w:basedOn w:val="Normal"/>
    <w:rsid w:val="000911AA"/>
    <w:pPr>
      <w:keepNext/>
      <w:spacing w:before="120" w:after="120"/>
      <w:jc w:val="center"/>
    </w:pPr>
    <w:rPr>
      <w:rFonts w:eastAsia="Times New Roman"/>
      <w:b/>
      <w:color w:val="auto"/>
      <w:sz w:val="22"/>
      <w:szCs w:val="20"/>
    </w:rPr>
  </w:style>
  <w:style w:type="character" w:customStyle="1" w:styleId="apple-converted-space">
    <w:name w:val="apple-converted-space"/>
    <w:basedOn w:val="DefaultParagraphFont"/>
    <w:rsid w:val="00CA73C2"/>
  </w:style>
  <w:style w:type="character" w:customStyle="1" w:styleId="TblTextCenterChar">
    <w:name w:val="Tbl Text Center Char"/>
    <w:link w:val="TblTextCenter"/>
    <w:locked/>
    <w:rsid w:val="00696324"/>
    <w:rPr>
      <w:rFonts w:ascii="Arial Narrow" w:eastAsia="MS Gothic" w:hAnsi="Arial Narrow" w:cs="Times New Roman"/>
      <w:sz w:val="20"/>
      <w:szCs w:val="20"/>
      <w:lang w:val="en-US"/>
    </w:rPr>
  </w:style>
  <w:style w:type="paragraph" w:customStyle="1" w:styleId="TableParagraph">
    <w:name w:val="Table Paragraph"/>
    <w:basedOn w:val="Normal"/>
    <w:uiPriority w:val="1"/>
    <w:qFormat/>
    <w:rsid w:val="00D821C2"/>
    <w:pPr>
      <w:widowControl w:val="0"/>
      <w:spacing w:before="0"/>
    </w:pPr>
    <w:rPr>
      <w:rFonts w:asciiTheme="minorHAnsi" w:eastAsiaTheme="minorHAnsi" w:hAnsiTheme="minorHAnsi" w:cstheme="minorBidi"/>
      <w:color w:val="auto"/>
      <w:sz w:val="22"/>
      <w:szCs w:val="22"/>
    </w:rPr>
  </w:style>
  <w:style w:type="paragraph" w:styleId="Revision">
    <w:name w:val="Revision"/>
    <w:hidden/>
    <w:uiPriority w:val="99"/>
    <w:semiHidden/>
    <w:rsid w:val="00215881"/>
    <w:pPr>
      <w:spacing w:after="0" w:line="240" w:lineRule="auto"/>
    </w:pPr>
    <w:rPr>
      <w:rFonts w:ascii="Times New Roman" w:eastAsia="MS Mincho" w:hAnsi="Times New Roman" w:cs="Times New Roman"/>
      <w:color w:val="000000"/>
      <w:sz w:val="24"/>
      <w:szCs w:val="24"/>
      <w:lang w:val="en-US"/>
    </w:rPr>
  </w:style>
  <w:style w:type="paragraph" w:styleId="CommentSubject">
    <w:name w:val="annotation subject"/>
    <w:basedOn w:val="CommentText"/>
    <w:next w:val="CommentText"/>
    <w:link w:val="CommentSubjectChar"/>
    <w:uiPriority w:val="99"/>
    <w:semiHidden/>
    <w:unhideWhenUsed/>
    <w:rsid w:val="006A705C"/>
    <w:rPr>
      <w:rFonts w:ascii="Times New Roman" w:hAnsi="Times New Roman"/>
      <w:b/>
      <w:bCs/>
    </w:rPr>
  </w:style>
  <w:style w:type="character" w:customStyle="1" w:styleId="CommentSubjectChar">
    <w:name w:val="Comment Subject Char"/>
    <w:basedOn w:val="CommentTextChar"/>
    <w:link w:val="CommentSubject"/>
    <w:uiPriority w:val="99"/>
    <w:semiHidden/>
    <w:rsid w:val="006A705C"/>
    <w:rPr>
      <w:rFonts w:ascii="Times New Roman" w:eastAsia="MS Mincho" w:hAnsi="Times New Roman" w:cs="Times New Roman"/>
      <w:b/>
      <w:bCs/>
      <w:color w:val="000000"/>
      <w:sz w:val="20"/>
      <w:szCs w:val="20"/>
      <w:lang w:val="en-US"/>
    </w:rPr>
  </w:style>
  <w:style w:type="paragraph" w:customStyle="1" w:styleId="Default">
    <w:name w:val="Default"/>
    <w:rsid w:val="00584682"/>
    <w:pPr>
      <w:autoSpaceDE w:val="0"/>
      <w:autoSpaceDN w:val="0"/>
      <w:adjustRightInd w:val="0"/>
      <w:spacing w:after="0" w:line="240" w:lineRule="auto"/>
    </w:pPr>
    <w:rPr>
      <w:rFonts w:ascii="Cambria" w:hAnsi="Cambria" w:cs="Cambria"/>
      <w:color w:val="000000"/>
      <w:sz w:val="24"/>
      <w:szCs w:val="24"/>
    </w:rPr>
  </w:style>
  <w:style w:type="table" w:styleId="TableGrid">
    <w:name w:val="Table Grid"/>
    <w:basedOn w:val="TableNormal"/>
    <w:uiPriority w:val="59"/>
    <w:rsid w:val="00312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52180F"/>
  </w:style>
  <w:style w:type="character" w:customStyle="1" w:styleId="DateChar">
    <w:name w:val="Date Char"/>
    <w:basedOn w:val="DefaultParagraphFont"/>
    <w:link w:val="Date"/>
    <w:uiPriority w:val="99"/>
    <w:semiHidden/>
    <w:rsid w:val="0052180F"/>
    <w:rPr>
      <w:rFonts w:ascii="Times New Roman" w:eastAsia="MS Mincho"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2858">
      <w:bodyDiv w:val="1"/>
      <w:marLeft w:val="0"/>
      <w:marRight w:val="0"/>
      <w:marTop w:val="0"/>
      <w:marBottom w:val="0"/>
      <w:divBdr>
        <w:top w:val="none" w:sz="0" w:space="0" w:color="auto"/>
        <w:left w:val="none" w:sz="0" w:space="0" w:color="auto"/>
        <w:bottom w:val="none" w:sz="0" w:space="0" w:color="auto"/>
        <w:right w:val="none" w:sz="0" w:space="0" w:color="auto"/>
      </w:divBdr>
    </w:div>
    <w:div w:id="31865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nzphvc.otago.ac.nz/reporting/" TargetMode="External"/><Relationship Id="rId14" Type="http://schemas.openxmlformats.org/officeDocument/2006/relationships/image" Target="media/image5.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96C0-E25C-4D16-8AA9-60037390F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10370</Words>
  <Characters>59113</Characters>
  <Application>Microsoft Office Word</Application>
  <DocSecurity>0</DocSecurity>
  <Lines>1257</Lines>
  <Paragraphs>655</Paragraphs>
  <ScaleCrop>false</ScaleCrop>
  <HeadingPairs>
    <vt:vector size="2" baseType="variant">
      <vt:variant>
        <vt:lpstr>Title</vt:lpstr>
      </vt:variant>
      <vt:variant>
        <vt:i4>1</vt:i4>
      </vt:variant>
    </vt:vector>
  </HeadingPairs>
  <TitlesOfParts>
    <vt:vector size="1" baseType="lpstr">
      <vt:lpstr>Attachment: Product Information for Alirocumab (rch)</vt:lpstr>
    </vt:vector>
  </TitlesOfParts>
  <Company/>
  <LinksUpToDate>false</LinksUpToDate>
  <CharactersWithSpaces>68828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Alirocumab (rch)</dc:title>
  <dc:subject>prescription medicines</dc:subject>
  <cp:keywords>AusPARs</cp:keywords>
  <cp:lastPrinted>2019-05-16T02:08:00Z</cp:lastPrinted>
  <dcterms:created xsi:type="dcterms:W3CDTF">2020-01-02T02:57:00Z</dcterms:created>
  <dcterms:modified xsi:type="dcterms:W3CDTF">2020-01-02T02:57:00Z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Type of Document</vt:lpwstr>
  </property>
  <property fmtid="{D5CDD505-2E9C-101B-9397-08002B2CF9AE}" pid="3" name="INN">
    <vt:lpwstr>INN</vt:lpwstr>
  </property>
  <property fmtid="{D5CDD505-2E9C-101B-9397-08002B2CF9AE}" pid="4" name="Date">
    <vt:lpwstr>Date</vt:lpwstr>
  </property>
  <property fmtid="{D5CDD505-2E9C-101B-9397-08002B2CF9AE}" pid="5" name="Product Code">
    <vt:lpwstr>Product Code / Study Number</vt:lpwstr>
  </property>
  <property fmtid="{D5CDD505-2E9C-101B-9397-08002B2CF9AE}" pid="6" name="LastRefNum">
    <vt:i4>0</vt:i4>
  </property>
  <property fmtid="{D5CDD505-2E9C-101B-9397-08002B2CF9AE}" pid="7" name="https">
    <vt:lpwstr>1</vt:lpwstr>
  </property>
  <property fmtid="{D5CDD505-2E9C-101B-9397-08002B2CF9AE}" pid="8" name="Custom1">
    <vt:lpwstr/>
  </property>
  <property fmtid="{D5CDD505-2E9C-101B-9397-08002B2CF9AE}" pid="9" name="Custom2">
    <vt:lpwstr/>
  </property>
  <property fmtid="{D5CDD505-2E9C-101B-9397-08002B2CF9AE}" pid="10" name="Custom3">
    <vt:lpwstr/>
  </property>
  <property fmtid="{D5CDD505-2E9C-101B-9397-08002B2CF9AE}" pid="11" name="Custom4">
    <vt:lpwstr/>
  </property>
  <property fmtid="{D5CDD505-2E9C-101B-9397-08002B2CF9AE}" pid="12" name="_NewReviewCycle">
    <vt:lpwstr/>
  </property>
</Properties>
</file>