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A2" w:rsidRDefault="002D7FA2" w:rsidP="002D7FA2">
      <w:pPr>
        <w:pStyle w:val="Heading1"/>
        <w:pageBreakBefore w:val="0"/>
        <w:numPr>
          <w:ilvl w:val="0"/>
          <w:numId w:val="0"/>
        </w:numPr>
        <w:spacing w:before="120"/>
        <w:jc w:val="center"/>
      </w:pPr>
      <w:bookmarkStart w:id="0" w:name="_Toc341259139"/>
      <w:bookmarkStart w:id="1" w:name="_GoBack"/>
      <w:bookmarkEnd w:id="1"/>
      <w:r>
        <w:t>product information</w:t>
      </w:r>
    </w:p>
    <w:p w:rsidR="002D7FA2" w:rsidRPr="002D7FA2" w:rsidRDefault="002D7FA2" w:rsidP="002D7FA2">
      <w:pPr>
        <w:pStyle w:val="Heading1"/>
        <w:pageBreakBefore w:val="0"/>
        <w:numPr>
          <w:ilvl w:val="0"/>
          <w:numId w:val="0"/>
        </w:numPr>
        <w:spacing w:before="360" w:after="120"/>
        <w:jc w:val="center"/>
      </w:pPr>
      <w:r>
        <w:t>Pr</w:t>
      </w:r>
      <w:r w:rsidR="00AC0C3B">
        <w:t>aluent</w:t>
      </w:r>
      <w:r>
        <w:t xml:space="preserve"> </w:t>
      </w:r>
      <w:r w:rsidRPr="002D7FA2">
        <w:rPr>
          <w:caps w:val="0"/>
          <w:vertAlign w:val="superscript"/>
        </w:rPr>
        <w:t>®</w:t>
      </w:r>
    </w:p>
    <w:p w:rsidR="000E1B95" w:rsidRDefault="00BC52A5" w:rsidP="00BC52A5">
      <w:pPr>
        <w:pStyle w:val="Heading1"/>
        <w:pageBreakBefore w:val="0"/>
        <w:numPr>
          <w:ilvl w:val="0"/>
          <w:numId w:val="0"/>
        </w:numPr>
      </w:pPr>
      <w:r>
        <w:t xml:space="preserve">Name of </w:t>
      </w:r>
      <w:r w:rsidR="0048703B">
        <w:t xml:space="preserve">THE </w:t>
      </w:r>
      <w:r>
        <w:t>medicine</w:t>
      </w:r>
      <w:bookmarkEnd w:id="0"/>
    </w:p>
    <w:p w:rsidR="00BC52A5" w:rsidRDefault="00BC52A5" w:rsidP="00BC52A5">
      <w:pPr>
        <w:pStyle w:val="Heading2"/>
        <w:numPr>
          <w:ilvl w:val="0"/>
          <w:numId w:val="0"/>
        </w:numPr>
      </w:pPr>
      <w:bookmarkStart w:id="2" w:name="_Toc341259140"/>
      <w:r>
        <w:t>AUSTRALIAN APP</w:t>
      </w:r>
      <w:r w:rsidR="00590004">
        <w:t>r</w:t>
      </w:r>
      <w:r>
        <w:t>OVED NAME</w:t>
      </w:r>
      <w:bookmarkEnd w:id="2"/>
    </w:p>
    <w:p w:rsidR="00BC52A5" w:rsidRPr="00BC52A5" w:rsidRDefault="005642A6" w:rsidP="00BC52A5">
      <w:proofErr w:type="spellStart"/>
      <w:r>
        <w:t>Alirocumab</w:t>
      </w:r>
      <w:proofErr w:type="spellEnd"/>
      <w:r>
        <w:t xml:space="preserve"> </w:t>
      </w:r>
      <w:r w:rsidR="005330AA">
        <w:t>(</w:t>
      </w:r>
      <w:proofErr w:type="spellStart"/>
      <w:r w:rsidR="005330AA">
        <w:t>rch</w:t>
      </w:r>
      <w:proofErr w:type="spellEnd"/>
      <w:r w:rsidR="005330AA">
        <w:t>)</w:t>
      </w:r>
    </w:p>
    <w:p w:rsidR="00BC52A5" w:rsidRDefault="00BC52A5" w:rsidP="00BC52A5">
      <w:pPr>
        <w:pStyle w:val="Heading2"/>
        <w:numPr>
          <w:ilvl w:val="0"/>
          <w:numId w:val="0"/>
        </w:numPr>
      </w:pPr>
      <w:bookmarkStart w:id="3" w:name="_Toc341259141"/>
      <w:r>
        <w:t>STRUCTURE</w:t>
      </w:r>
      <w:bookmarkEnd w:id="3"/>
    </w:p>
    <w:p w:rsidR="008A65D9" w:rsidRDefault="008A65D9" w:rsidP="008A65D9">
      <w:proofErr w:type="spellStart"/>
      <w:r w:rsidRPr="00354D0A">
        <w:t>Alirocumab</w:t>
      </w:r>
      <w:proofErr w:type="spellEnd"/>
      <w:r w:rsidRPr="00354D0A">
        <w:t xml:space="preserve"> consists of two disulfide-linked human heavy chains, each covalently linked through a disulfide bond to a fully human kappa light chain. A single N-linked glycosylation site is located in each heavy chain within the CH2 domain of the Fc constant region of the molecule. The variable domains of the heavy and light chains combine to form the </w:t>
      </w:r>
      <w:proofErr w:type="spellStart"/>
      <w:r w:rsidR="00104284">
        <w:t>proprotein</w:t>
      </w:r>
      <w:proofErr w:type="spellEnd"/>
      <w:r w:rsidR="00104284">
        <w:t xml:space="preserve"> convertase </w:t>
      </w:r>
      <w:proofErr w:type="spellStart"/>
      <w:r w:rsidR="00104284">
        <w:t>subtilisin</w:t>
      </w:r>
      <w:proofErr w:type="spellEnd"/>
      <w:r w:rsidR="00104284">
        <w:t xml:space="preserve"> </w:t>
      </w:r>
      <w:proofErr w:type="spellStart"/>
      <w:r w:rsidR="00104284">
        <w:t>kexin</w:t>
      </w:r>
      <w:proofErr w:type="spellEnd"/>
      <w:r w:rsidR="00104284">
        <w:t xml:space="preserve"> type 9 (PCSK9)</w:t>
      </w:r>
      <w:r w:rsidRPr="00354D0A">
        <w:t xml:space="preserve"> binding site within the antibody. </w:t>
      </w:r>
      <w:proofErr w:type="spellStart"/>
      <w:r w:rsidRPr="00354D0A">
        <w:t>Alirocumab</w:t>
      </w:r>
      <w:proofErr w:type="spellEnd"/>
      <w:r w:rsidRPr="00354D0A">
        <w:t xml:space="preserve"> has an approximate molecular weight of 146 </w:t>
      </w:r>
      <w:proofErr w:type="spellStart"/>
      <w:r w:rsidRPr="00354D0A">
        <w:t>kDa</w:t>
      </w:r>
      <w:proofErr w:type="spellEnd"/>
      <w:r>
        <w:t>.</w:t>
      </w:r>
    </w:p>
    <w:p w:rsidR="001E475F" w:rsidRDefault="001E475F" w:rsidP="001E475F">
      <w:pPr>
        <w:pStyle w:val="Caption"/>
      </w:pPr>
      <w:r>
        <w:t xml:space="preserve"> Figure </w:t>
      </w:r>
      <w:r>
        <w:fldChar w:fldCharType="begin"/>
      </w:r>
      <w:r>
        <w:instrText xml:space="preserve"> SEQ Figure \* ARABIC </w:instrText>
      </w:r>
      <w:r>
        <w:fldChar w:fldCharType="separate"/>
      </w:r>
      <w:r w:rsidR="00920B05">
        <w:rPr>
          <w:noProof/>
        </w:rPr>
        <w:t>1</w:t>
      </w:r>
      <w:r>
        <w:fldChar w:fldCharType="end"/>
      </w:r>
      <w:r>
        <w:t xml:space="preserve"> ­ Schematic representative</w:t>
      </w:r>
      <w:r w:rsidR="00257861">
        <w:t xml:space="preserve"> of the structure of </w:t>
      </w:r>
      <w:proofErr w:type="spellStart"/>
      <w:r w:rsidR="00257861">
        <w:t>alirocumab</w:t>
      </w:r>
      <w:proofErr w:type="spellEnd"/>
      <w:r>
        <w:t xml:space="preserve"> </w:t>
      </w:r>
    </w:p>
    <w:p w:rsidR="00257861" w:rsidRPr="00257861" w:rsidRDefault="00257861" w:rsidP="00257861">
      <w:pPr>
        <w:ind w:left="5040"/>
      </w:pPr>
      <w:r>
        <w:rPr>
          <w:noProof/>
          <w:lang w:val="en-AU" w:eastAsia="en-AU"/>
        </w:rPr>
        <w:t xml:space="preserve">      </w:t>
      </w:r>
      <w:r w:rsidR="0089714A">
        <w:rPr>
          <w:noProof/>
          <w:lang w:val="en-AU" w:eastAsia="en-AU"/>
        </w:rPr>
        <w:drawing>
          <wp:inline distT="0" distB="0" distL="0" distR="0">
            <wp:extent cx="228600" cy="2000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257861">
        <w:rPr>
          <w:noProof/>
          <w:lang w:val="en-AU" w:eastAsia="en-AU"/>
        </w:rPr>
        <w:t xml:space="preserve"> </w:t>
      </w:r>
      <w:r>
        <w:rPr>
          <w:noProof/>
          <w:lang w:val="en-AU" w:eastAsia="en-AU"/>
        </w:rPr>
        <w:t xml:space="preserve">  </w:t>
      </w:r>
      <w:r w:rsidR="0089714A">
        <w:rPr>
          <w:noProof/>
          <w:lang w:val="en-AU" w:eastAsia="en-AU"/>
        </w:rPr>
        <w:drawing>
          <wp:inline distT="0" distB="0" distL="0" distR="0">
            <wp:extent cx="2190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p>
    <w:p w:rsidR="0019780F" w:rsidRDefault="0089714A" w:rsidP="001E475F">
      <w:pPr>
        <w:spacing w:before="0"/>
        <w:jc w:val="center"/>
        <w:rPr>
          <w:lang w:val="en-GB"/>
        </w:rPr>
      </w:pPr>
      <w:r>
        <w:rPr>
          <w:noProof/>
          <w:lang w:val="en-AU" w:eastAsia="en-AU"/>
        </w:rPr>
        <w:drawing>
          <wp:inline distT="0" distB="0" distL="0" distR="0">
            <wp:extent cx="2009775" cy="1866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866900"/>
                    </a:xfrm>
                    <a:prstGeom prst="rect">
                      <a:avLst/>
                    </a:prstGeom>
                    <a:noFill/>
                    <a:ln>
                      <a:noFill/>
                    </a:ln>
                  </pic:spPr>
                </pic:pic>
              </a:graphicData>
            </a:graphic>
          </wp:inline>
        </w:drawing>
      </w:r>
    </w:p>
    <w:p w:rsidR="007D2281" w:rsidRDefault="001E475F" w:rsidP="007D2281">
      <w:pPr>
        <w:rPr>
          <w:rFonts w:ascii="Arial Narrow" w:hAnsi="Arial Narrow"/>
          <w:sz w:val="20"/>
          <w:szCs w:val="20"/>
        </w:rPr>
      </w:pPr>
      <w:r w:rsidRPr="001E475F">
        <w:rPr>
          <w:rFonts w:ascii="Arial Narrow" w:hAnsi="Arial Narrow"/>
          <w:sz w:val="20"/>
          <w:szCs w:val="20"/>
        </w:rPr>
        <w:lastRenderedPageBreak/>
        <w:t>CH = constant region of the heavy chain; CL = constant region of the light chain; VH = variable region of the heavy chain; VL = variable region of the light chain.</w:t>
      </w:r>
    </w:p>
    <w:p w:rsidR="0019780F" w:rsidRDefault="0019780F" w:rsidP="0019780F">
      <w:pPr>
        <w:pStyle w:val="Heading2"/>
        <w:numPr>
          <w:ilvl w:val="0"/>
          <w:numId w:val="0"/>
        </w:numPr>
      </w:pPr>
      <w:bookmarkStart w:id="4" w:name="_Toc341259142"/>
      <w:r>
        <w:t>CAS Registry Number</w:t>
      </w:r>
      <w:bookmarkEnd w:id="4"/>
    </w:p>
    <w:p w:rsidR="0019780F" w:rsidRDefault="00F3305E" w:rsidP="00BC52A5">
      <w:r w:rsidRPr="00F3305E">
        <w:t>1245916-14-6</w:t>
      </w:r>
    </w:p>
    <w:p w:rsidR="00BC52A5" w:rsidRDefault="00BC52A5" w:rsidP="00BC52A5">
      <w:pPr>
        <w:pStyle w:val="Heading1"/>
        <w:pageBreakBefore w:val="0"/>
        <w:numPr>
          <w:ilvl w:val="0"/>
          <w:numId w:val="0"/>
        </w:numPr>
      </w:pPr>
      <w:bookmarkStart w:id="5" w:name="_Toc341259143"/>
      <w:r>
        <w:t>description</w:t>
      </w:r>
      <w:bookmarkEnd w:id="5"/>
    </w:p>
    <w:p w:rsidR="00EB3B2C" w:rsidRDefault="00354D0A" w:rsidP="00354D0A">
      <w:proofErr w:type="spellStart"/>
      <w:r>
        <w:t>Alirocumab</w:t>
      </w:r>
      <w:proofErr w:type="spellEnd"/>
      <w:r>
        <w:t xml:space="preserve"> is a fully human monoclonal antibody (IgG1 isotype) that targets</w:t>
      </w:r>
      <w:r w:rsidR="00104284">
        <w:t xml:space="preserve"> PCSK9</w:t>
      </w:r>
      <w:r>
        <w:t xml:space="preserve">. </w:t>
      </w:r>
      <w:proofErr w:type="spellStart"/>
      <w:r>
        <w:t>Alirocumab</w:t>
      </w:r>
      <w:proofErr w:type="spellEnd"/>
      <w:r>
        <w:t xml:space="preserve"> is produced by recombinant DNA technology in Chinese Hamster Ovary cell suspension culture.</w:t>
      </w:r>
      <w:r w:rsidRPr="00354D0A">
        <w:t xml:space="preserve"> </w:t>
      </w:r>
    </w:p>
    <w:p w:rsidR="00321D71" w:rsidRDefault="00321D71" w:rsidP="00354D0A">
      <w:proofErr w:type="spellStart"/>
      <w:r w:rsidRPr="00321D71">
        <w:t>Alirocumab</w:t>
      </w:r>
      <w:proofErr w:type="spellEnd"/>
      <w:r w:rsidRPr="00321D71">
        <w:t xml:space="preserve"> is a sterile, clear, </w:t>
      </w:r>
      <w:proofErr w:type="spellStart"/>
      <w:r w:rsidRPr="00321D71">
        <w:t>colourless</w:t>
      </w:r>
      <w:proofErr w:type="spellEnd"/>
      <w:r w:rsidRPr="00321D71">
        <w:t xml:space="preserve"> to pale yellow solution for subcutaneous injection with pH of about 6.0</w:t>
      </w:r>
      <w:r w:rsidR="00251B2D">
        <w:t xml:space="preserve">, </w:t>
      </w:r>
      <w:r w:rsidR="00251B2D" w:rsidRPr="00656C05">
        <w:t>containing no antimicrobial preservatives</w:t>
      </w:r>
      <w:r w:rsidRPr="00656C05">
        <w:t>.</w:t>
      </w:r>
      <w:r w:rsidRPr="00321D71">
        <w:t xml:space="preserve"> </w:t>
      </w:r>
      <w:proofErr w:type="spellStart"/>
      <w:r w:rsidRPr="00321D71">
        <w:t>Praluent</w:t>
      </w:r>
      <w:proofErr w:type="spellEnd"/>
      <w:r w:rsidRPr="00321D71">
        <w:t xml:space="preserve"> 75 mg/mL and 150 mg/mL solution for injection in a single-use pre-filled pen or single-use pre-filled syringe is supplied in a </w:t>
      </w:r>
      <w:proofErr w:type="spellStart"/>
      <w:r w:rsidRPr="00321D71">
        <w:t>siliconised</w:t>
      </w:r>
      <w:proofErr w:type="spellEnd"/>
      <w:r w:rsidRPr="00321D71">
        <w:t xml:space="preserve"> 1.0 mL Type I clear glass syringe. The rubber shield does not contain natural latex. </w:t>
      </w:r>
    </w:p>
    <w:p w:rsidR="00354D0A" w:rsidRDefault="00354D0A" w:rsidP="00354D0A">
      <w:r>
        <w:t xml:space="preserve">Each 1.0 mL </w:t>
      </w:r>
      <w:r w:rsidR="00044378">
        <w:t xml:space="preserve">single-use pre-filled pen or pre-filled syringe contains 75 mg or 150 mg </w:t>
      </w:r>
      <w:proofErr w:type="spellStart"/>
      <w:r w:rsidR="00044378">
        <w:t>alirocumab</w:t>
      </w:r>
      <w:proofErr w:type="spellEnd"/>
      <w:r w:rsidR="007D2281">
        <w:t xml:space="preserve"> and the following excipients: histidine, </w:t>
      </w:r>
      <w:r w:rsidR="00044378">
        <w:t>sucro</w:t>
      </w:r>
      <w:r w:rsidR="007D2281">
        <w:t>se,</w:t>
      </w:r>
      <w:r w:rsidR="00044378">
        <w:t xml:space="preserve"> </w:t>
      </w:r>
      <w:proofErr w:type="spellStart"/>
      <w:r w:rsidR="00044378">
        <w:t>polysorbate</w:t>
      </w:r>
      <w:proofErr w:type="spellEnd"/>
      <w:r w:rsidR="00044378">
        <w:t xml:space="preserve"> 20 and water for injection. </w:t>
      </w:r>
      <w:r>
        <w:t xml:space="preserve"> </w:t>
      </w:r>
    </w:p>
    <w:p w:rsidR="00BC52A5" w:rsidRPr="00734FFC" w:rsidRDefault="00BC52A5" w:rsidP="00734FFC">
      <w:pPr>
        <w:pStyle w:val="Heading1"/>
        <w:pageBreakBefore w:val="0"/>
        <w:numPr>
          <w:ilvl w:val="0"/>
          <w:numId w:val="0"/>
        </w:numPr>
      </w:pPr>
      <w:bookmarkStart w:id="6" w:name="_Toc341259144"/>
      <w:r>
        <w:t>pharmacology</w:t>
      </w:r>
      <w:bookmarkEnd w:id="6"/>
    </w:p>
    <w:p w:rsidR="00324931" w:rsidRDefault="00324931" w:rsidP="00324931">
      <w:bookmarkStart w:id="7" w:name="_Toc341259146"/>
      <w:proofErr w:type="spellStart"/>
      <w:r>
        <w:t>Alirocumab</w:t>
      </w:r>
      <w:proofErr w:type="spellEnd"/>
      <w:r>
        <w:t xml:space="preserve"> inhibits PCSK9 activity in both</w:t>
      </w:r>
      <w:r w:rsidRPr="00734FFC">
        <w:rPr>
          <w:color w:val="auto"/>
        </w:rPr>
        <w:t xml:space="preserve"> </w:t>
      </w:r>
      <w:r w:rsidRPr="00734FFC">
        <w:rPr>
          <w:i/>
          <w:color w:val="auto"/>
        </w:rPr>
        <w:t>in vitro</w:t>
      </w:r>
      <w:r w:rsidRPr="00734FFC">
        <w:rPr>
          <w:color w:val="auto"/>
        </w:rPr>
        <w:t xml:space="preserve"> assays and </w:t>
      </w:r>
      <w:r w:rsidRPr="00734FFC">
        <w:rPr>
          <w:i/>
          <w:color w:val="auto"/>
        </w:rPr>
        <w:t>in vivo</w:t>
      </w:r>
      <w:r w:rsidRPr="00734FFC">
        <w:rPr>
          <w:color w:val="auto"/>
        </w:rPr>
        <w:t xml:space="preserve"> model systems. Many </w:t>
      </w:r>
      <w:r>
        <w:t>studies in animals and humans have demonstrated the central role that elevated levels of LDL-C play in the initiation and progression of atherosclerosis.</w:t>
      </w:r>
    </w:p>
    <w:p w:rsidR="00BC52A5" w:rsidRDefault="00BC52A5" w:rsidP="00BC52A5">
      <w:pPr>
        <w:pStyle w:val="Heading3"/>
        <w:numPr>
          <w:ilvl w:val="0"/>
          <w:numId w:val="0"/>
        </w:numPr>
      </w:pPr>
      <w:r>
        <w:t>Mechanism of Action</w:t>
      </w:r>
      <w:bookmarkEnd w:id="7"/>
    </w:p>
    <w:p w:rsidR="00975A6A" w:rsidRDefault="00975A6A" w:rsidP="00975A6A">
      <w:proofErr w:type="spellStart"/>
      <w:r>
        <w:t>Alirocumab</w:t>
      </w:r>
      <w:proofErr w:type="spellEnd"/>
      <w:r>
        <w:t xml:space="preserve"> binds with high affinity and specificity</w:t>
      </w:r>
      <w:r w:rsidR="000A128C">
        <w:t xml:space="preserve"> to</w:t>
      </w:r>
      <w:r w:rsidR="001E7322">
        <w:t xml:space="preserve"> PCSK9 which binds </w:t>
      </w:r>
      <w:r>
        <w:t xml:space="preserve">to the low-density lipoprotein receptors (LDLR) on the surface of hepatocytes to promote </w:t>
      </w:r>
      <w:r w:rsidR="00515B13" w:rsidRPr="00734FFC">
        <w:rPr>
          <w:color w:val="auto"/>
        </w:rPr>
        <w:t>their</w:t>
      </w:r>
      <w:r w:rsidR="00515B13">
        <w:t xml:space="preserve"> </w:t>
      </w:r>
      <w:r>
        <w:t xml:space="preserve">degradation. LDLR is the primary receptor that clears circulating </w:t>
      </w:r>
      <w:r w:rsidR="000813E7" w:rsidRPr="00656C05">
        <w:t xml:space="preserve">low-density lipoprotein </w:t>
      </w:r>
      <w:r w:rsidR="000813E7">
        <w:t>(</w:t>
      </w:r>
      <w:r>
        <w:t>LDL</w:t>
      </w:r>
      <w:r w:rsidR="000813E7">
        <w:t>)</w:t>
      </w:r>
      <w:r>
        <w:t>, therefore the decrease in LDLR levels by PCSK9 results in higher blood levels of</w:t>
      </w:r>
      <w:r w:rsidR="000813E7">
        <w:t xml:space="preserve"> </w:t>
      </w:r>
      <w:r w:rsidR="000813E7" w:rsidRPr="00656C05">
        <w:t>low-density lipoprotein cholesterol</w:t>
      </w:r>
      <w:r w:rsidR="000813E7">
        <w:t xml:space="preserve"> (</w:t>
      </w:r>
      <w:r>
        <w:t>LDL-C</w:t>
      </w:r>
      <w:r w:rsidR="000813E7">
        <w:t>)</w:t>
      </w:r>
      <w:r>
        <w:t xml:space="preserve">. By inhibiting the binding of PCSK9 to LDLR, </w:t>
      </w:r>
      <w:proofErr w:type="spellStart"/>
      <w:r>
        <w:t>alirocumab</w:t>
      </w:r>
      <w:proofErr w:type="spellEnd"/>
      <w:r>
        <w:t xml:space="preserve"> increases the number of LDLRs available to clear LDL, thereby lowering LDL-C levels.</w:t>
      </w:r>
    </w:p>
    <w:p w:rsidR="00BC52A5" w:rsidRDefault="00975A6A" w:rsidP="00975A6A">
      <w:r>
        <w:lastRenderedPageBreak/>
        <w:t>In genetic studies in humans, PCSK9 variants with either loss-of-function or gain-of-function mutations have</w:t>
      </w:r>
      <w:r w:rsidR="008D6FEB">
        <w:t xml:space="preserve"> </w:t>
      </w:r>
      <w:r>
        <w:t>been identified. Individuals with single allele PCSK9 loss-of-function mutation have lower levels of LDL-C,</w:t>
      </w:r>
      <w:r w:rsidR="008D6FEB">
        <w:t xml:space="preserve"> </w:t>
      </w:r>
      <w:r>
        <w:t xml:space="preserve">which correlated with a significantly lower incidence of coronary heart disease. </w:t>
      </w:r>
      <w:r w:rsidRPr="00C63B8A">
        <w:t>A few individuals</w:t>
      </w:r>
      <w:r>
        <w:t xml:space="preserve"> have been</w:t>
      </w:r>
      <w:r w:rsidR="008D6FEB">
        <w:t xml:space="preserve"> </w:t>
      </w:r>
      <w:r>
        <w:t>reported, who carry PCSK9 loss-of-function mutations in two alleles and have profoundly low LDL-C</w:t>
      </w:r>
      <w:r w:rsidR="008D6FEB">
        <w:t xml:space="preserve"> </w:t>
      </w:r>
      <w:r>
        <w:t>levels, with HDL-C and TG levels in the normal range. Conversely, gain-of-function mutations in the</w:t>
      </w:r>
      <w:r w:rsidR="008D6FEB">
        <w:t xml:space="preserve"> </w:t>
      </w:r>
      <w:r>
        <w:t>PCSK9 gene have been identified in patients with increased LDL-C levels and a clinical diagnosis of familial</w:t>
      </w:r>
      <w:r w:rsidR="008D6FEB">
        <w:t xml:space="preserve"> </w:t>
      </w:r>
      <w:proofErr w:type="spellStart"/>
      <w:r>
        <w:t>hypercholesterolaemia</w:t>
      </w:r>
      <w:proofErr w:type="spellEnd"/>
      <w:r w:rsidR="00656C05">
        <w:t xml:space="preserve"> </w:t>
      </w:r>
      <w:r w:rsidR="009D6895">
        <w:t>(</w:t>
      </w:r>
      <w:r w:rsidR="009D6895" w:rsidRPr="00656C05">
        <w:t>FH</w:t>
      </w:r>
      <w:r w:rsidR="009D6895">
        <w:t>)</w:t>
      </w:r>
      <w:r>
        <w:t>.</w:t>
      </w:r>
    </w:p>
    <w:p w:rsidR="008D6FEB" w:rsidRDefault="008D6FEB" w:rsidP="008D6FEB">
      <w:r>
        <w:t xml:space="preserve">Observational analyses have demonstrated that the untreated LDL-C levels in patients with gain-of-function mutations in the PCSK9 gene are in a similar range to those observed in patients with the more traditional mutations that cause </w:t>
      </w:r>
      <w:r w:rsidR="009D6895" w:rsidRPr="00656C05">
        <w:t>heterozygous FH</w:t>
      </w:r>
      <w:r w:rsidR="009D6895">
        <w:t xml:space="preserve"> (</w:t>
      </w:r>
      <w:proofErr w:type="spellStart"/>
      <w:r>
        <w:t>heFH</w:t>
      </w:r>
      <w:proofErr w:type="spellEnd"/>
      <w:r w:rsidR="009D6895">
        <w:t>)</w:t>
      </w:r>
      <w:r>
        <w:t xml:space="preserve"> (such as in the LDLR gene) demonstrating a central role for PCSK9 in LDL-C metabolism and levels. In a </w:t>
      </w:r>
      <w:proofErr w:type="spellStart"/>
      <w:r>
        <w:t>multi</w:t>
      </w:r>
      <w:r w:rsidR="008B6D96">
        <w:t>centre</w:t>
      </w:r>
      <w:proofErr w:type="spellEnd"/>
      <w:r>
        <w:t xml:space="preserve">, double-blind, placebo-controlled, 14 week </w:t>
      </w:r>
      <w:proofErr w:type="gramStart"/>
      <w:r>
        <w:t xml:space="preserve">study, 13 patients with </w:t>
      </w:r>
      <w:proofErr w:type="spellStart"/>
      <w:r>
        <w:t>heFH</w:t>
      </w:r>
      <w:proofErr w:type="spellEnd"/>
      <w:r>
        <w:t xml:space="preserve"> due to gain-of-function mutations in the PCSK9 gene were</w:t>
      </w:r>
      <w:proofErr w:type="gramEnd"/>
      <w:r>
        <w:t xml:space="preserve"> </w:t>
      </w:r>
      <w:proofErr w:type="spellStart"/>
      <w:r>
        <w:t>randomised</w:t>
      </w:r>
      <w:proofErr w:type="spellEnd"/>
      <w:r>
        <w:t xml:space="preserve"> to receive either </w:t>
      </w:r>
      <w:proofErr w:type="spellStart"/>
      <w:r>
        <w:t>alirocumab</w:t>
      </w:r>
      <w:proofErr w:type="spellEnd"/>
      <w:r>
        <w:t xml:space="preserve"> 150 mg </w:t>
      </w:r>
      <w:r w:rsidR="00CF2464">
        <w:t>once every 2 weeks</w:t>
      </w:r>
      <w:r>
        <w:t xml:space="preserve"> or placebo. Mean baseline LDL-C was </w:t>
      </w:r>
      <w:proofErr w:type="gramStart"/>
      <w:r w:rsidR="002D7FA2">
        <w:t xml:space="preserve">3.92 </w:t>
      </w:r>
      <w:proofErr w:type="spellStart"/>
      <w:r w:rsidR="002D7FA2">
        <w:t>mmol</w:t>
      </w:r>
      <w:proofErr w:type="spellEnd"/>
      <w:r w:rsidR="002D7FA2">
        <w:t>/L</w:t>
      </w:r>
      <w:r>
        <w:t>.</w:t>
      </w:r>
      <w:proofErr w:type="gramEnd"/>
      <w:r>
        <w:t xml:space="preserve"> At week 2, the mean reduction from baseline in LDL-C was 62.5% in the </w:t>
      </w:r>
      <w:proofErr w:type="spellStart"/>
      <w:r>
        <w:t>alirocumab</w:t>
      </w:r>
      <w:proofErr w:type="spellEnd"/>
      <w:r>
        <w:t xml:space="preserve">-treated patients as compared to 8.8% in the placebo patients. At week 8, the mean reduction in LDL-C from baseline with all patients treated with </w:t>
      </w:r>
      <w:proofErr w:type="spellStart"/>
      <w:r>
        <w:t>alirocumab</w:t>
      </w:r>
      <w:proofErr w:type="spellEnd"/>
      <w:r>
        <w:t xml:space="preserve"> was 72.4%.</w:t>
      </w:r>
    </w:p>
    <w:p w:rsidR="001A6ED4" w:rsidRDefault="001A6ED4" w:rsidP="001A6ED4">
      <w:pPr>
        <w:pStyle w:val="Heading3"/>
        <w:numPr>
          <w:ilvl w:val="0"/>
          <w:numId w:val="0"/>
        </w:numPr>
      </w:pPr>
      <w:proofErr w:type="spellStart"/>
      <w:r w:rsidRPr="001A6ED4">
        <w:t>Pharmacodynamic</w:t>
      </w:r>
      <w:proofErr w:type="spellEnd"/>
      <w:r w:rsidRPr="001A6ED4">
        <w:t xml:space="preserve"> effects </w:t>
      </w:r>
    </w:p>
    <w:p w:rsidR="00C6617D" w:rsidRDefault="00E33CEE" w:rsidP="00C6617D">
      <w:r>
        <w:t xml:space="preserve">In </w:t>
      </w:r>
      <w:r w:rsidRPr="00E33CEE">
        <w:rPr>
          <w:i/>
        </w:rPr>
        <w:t>in vitro</w:t>
      </w:r>
      <w:r>
        <w:t xml:space="preserve"> assays, </w:t>
      </w:r>
      <w:proofErr w:type="spellStart"/>
      <w:r>
        <w:t>alirocumab</w:t>
      </w:r>
      <w:proofErr w:type="spellEnd"/>
      <w:r>
        <w:t xml:space="preserve"> did not induce Fc-mediated effector function activity (antibody-dependent cell-mediate</w:t>
      </w:r>
      <w:r w:rsidRPr="00F74710">
        <w:t>d</w:t>
      </w:r>
      <w:r w:rsidRPr="00A43142">
        <w:rPr>
          <w:color w:val="auto"/>
        </w:rPr>
        <w:t xml:space="preserve"> </w:t>
      </w:r>
      <w:r w:rsidR="00515B13" w:rsidRPr="00A43142">
        <w:rPr>
          <w:color w:val="auto"/>
        </w:rPr>
        <w:t>cyto</w:t>
      </w:r>
      <w:r w:rsidRPr="00A43142">
        <w:rPr>
          <w:color w:val="auto"/>
        </w:rPr>
        <w:t>t</w:t>
      </w:r>
      <w:r w:rsidRPr="00F74710">
        <w:t>ox</w:t>
      </w:r>
      <w:r>
        <w:t xml:space="preserve">icity and complement-dependent cytotoxicity) either in the presence or absence of PCSK9 and no soluble immune complexes capable of binding complement proteins were observed for </w:t>
      </w:r>
      <w:proofErr w:type="spellStart"/>
      <w:r>
        <w:t>alirocumab</w:t>
      </w:r>
      <w:proofErr w:type="spellEnd"/>
      <w:r>
        <w:t xml:space="preserve"> when bound to PCSK9.</w:t>
      </w:r>
      <w:r w:rsidR="00C6617D" w:rsidRPr="00C6617D">
        <w:t xml:space="preserve"> </w:t>
      </w:r>
    </w:p>
    <w:p w:rsidR="00C6617D" w:rsidRDefault="00C6617D" w:rsidP="00C6617D">
      <w:r w:rsidRPr="001E7322">
        <w:t xml:space="preserve">The </w:t>
      </w:r>
      <w:proofErr w:type="spellStart"/>
      <w:r w:rsidRPr="001E7322">
        <w:t>pharmacodynamic</w:t>
      </w:r>
      <w:proofErr w:type="spellEnd"/>
      <w:r w:rsidRPr="001E7322">
        <w:t xml:space="preserve"> effect of </w:t>
      </w:r>
      <w:proofErr w:type="spellStart"/>
      <w:r w:rsidRPr="001E7322">
        <w:t>alirocumab</w:t>
      </w:r>
      <w:proofErr w:type="spellEnd"/>
      <w:r w:rsidRPr="001E7322">
        <w:t xml:space="preserve"> in lowering LDL-C is indirect, and mediated through the binding to PCSK9. A concentration-dependent reduction in free PCSK9 and LDL-C is observed until target saturation is achieved. Upon saturation of PCSK9 binding, further increases in </w:t>
      </w:r>
      <w:proofErr w:type="spellStart"/>
      <w:r w:rsidRPr="001E7322">
        <w:t>alirocumab</w:t>
      </w:r>
      <w:proofErr w:type="spellEnd"/>
      <w:r w:rsidRPr="001E7322">
        <w:t xml:space="preserve"> concentrations do not result in a further LDL-C reduction, however an extended duration of the LDL-C lowering effect is observed.</w:t>
      </w:r>
      <w:r>
        <w:t xml:space="preserve"> </w:t>
      </w:r>
    </w:p>
    <w:p w:rsidR="00BC52A5" w:rsidRDefault="00BC52A5" w:rsidP="00BC52A5">
      <w:pPr>
        <w:pStyle w:val="Heading2"/>
        <w:numPr>
          <w:ilvl w:val="0"/>
          <w:numId w:val="0"/>
        </w:numPr>
      </w:pPr>
      <w:bookmarkStart w:id="8" w:name="_Toc341259147"/>
      <w:r>
        <w:lastRenderedPageBreak/>
        <w:t>pharmacokinetics</w:t>
      </w:r>
      <w:bookmarkEnd w:id="8"/>
    </w:p>
    <w:p w:rsidR="00BC52A5" w:rsidRDefault="00BC52A5" w:rsidP="00BC52A5">
      <w:pPr>
        <w:pStyle w:val="Heading3"/>
        <w:numPr>
          <w:ilvl w:val="0"/>
          <w:numId w:val="0"/>
        </w:numPr>
      </w:pPr>
      <w:bookmarkStart w:id="9" w:name="_Toc341259148"/>
      <w:r>
        <w:t>Absorption</w:t>
      </w:r>
      <w:bookmarkEnd w:id="9"/>
    </w:p>
    <w:p w:rsidR="00A51CD0" w:rsidRDefault="00A51CD0" w:rsidP="00A51CD0">
      <w:r>
        <w:t xml:space="preserve">After subcutaneous administration of 50 mg to 300 mg </w:t>
      </w:r>
      <w:proofErr w:type="spellStart"/>
      <w:r>
        <w:t>alirocumab</w:t>
      </w:r>
      <w:proofErr w:type="spellEnd"/>
      <w:r>
        <w:t>, median times to maximum serum concentration (</w:t>
      </w:r>
      <w:proofErr w:type="spellStart"/>
      <w:r>
        <w:t>t</w:t>
      </w:r>
      <w:r w:rsidRPr="00A51CD0">
        <w:rPr>
          <w:vertAlign w:val="subscript"/>
        </w:rPr>
        <w:t>max</w:t>
      </w:r>
      <w:proofErr w:type="spellEnd"/>
      <w:r>
        <w:t xml:space="preserve">) were 3-7 days. The pharmacokinetics of </w:t>
      </w:r>
      <w:proofErr w:type="spellStart"/>
      <w:r>
        <w:t>alirocumab</w:t>
      </w:r>
      <w:proofErr w:type="spellEnd"/>
      <w:r>
        <w:t xml:space="preserve"> after single subcutaneous administration of 75 mg into the abdomen, upper arm or thigh </w:t>
      </w:r>
      <w:proofErr w:type="gramStart"/>
      <w:r>
        <w:t>were</w:t>
      </w:r>
      <w:proofErr w:type="gramEnd"/>
      <w:r>
        <w:t xml:space="preserve"> similar. The absolute bioavailability of </w:t>
      </w:r>
      <w:proofErr w:type="spellStart"/>
      <w:r>
        <w:t>alirocumab</w:t>
      </w:r>
      <w:proofErr w:type="spellEnd"/>
      <w:r>
        <w:t xml:space="preserve"> after subcutaneous administration was 85% as determined by population pharmacokinetic analysis. </w:t>
      </w:r>
      <w:r w:rsidRPr="00700A8D">
        <w:t xml:space="preserve">A slightly greater than dose proportional increase was observed, with a 2.1- to 2.7-fold increase in total </w:t>
      </w:r>
      <w:proofErr w:type="spellStart"/>
      <w:r w:rsidRPr="00700A8D">
        <w:t>alirocumab</w:t>
      </w:r>
      <w:proofErr w:type="spellEnd"/>
      <w:r w:rsidRPr="00700A8D">
        <w:t xml:space="preserve"> concentrations for a 2-fold increase in dose.</w:t>
      </w:r>
      <w:r>
        <w:t xml:space="preserve"> Steady state was reached after 2 to 3 doses with an accumulation ratio of about 2-fold.</w:t>
      </w:r>
    </w:p>
    <w:p w:rsidR="00BC52A5" w:rsidRDefault="00BC52A5" w:rsidP="00BC52A5">
      <w:pPr>
        <w:pStyle w:val="Heading3"/>
        <w:numPr>
          <w:ilvl w:val="0"/>
          <w:numId w:val="0"/>
        </w:numPr>
      </w:pPr>
      <w:bookmarkStart w:id="10" w:name="_Toc341259149"/>
      <w:r>
        <w:t>Distribution</w:t>
      </w:r>
      <w:bookmarkEnd w:id="10"/>
    </w:p>
    <w:p w:rsidR="00BC52A5" w:rsidRDefault="00A51CD0" w:rsidP="00A51CD0">
      <w:r>
        <w:t xml:space="preserve">Following intravenous administration, the volume of distribution was about 0.04 to 0.05 L/kg indicating that </w:t>
      </w:r>
      <w:proofErr w:type="spellStart"/>
      <w:r>
        <w:t>alirocumab</w:t>
      </w:r>
      <w:proofErr w:type="spellEnd"/>
      <w:r>
        <w:t xml:space="preserve"> is distributed primarily in the circulatory system.</w:t>
      </w:r>
    </w:p>
    <w:p w:rsidR="00BC52A5" w:rsidRDefault="00BC52A5" w:rsidP="00BC52A5">
      <w:pPr>
        <w:pStyle w:val="Heading3"/>
        <w:numPr>
          <w:ilvl w:val="0"/>
          <w:numId w:val="0"/>
        </w:numPr>
      </w:pPr>
      <w:bookmarkStart w:id="11" w:name="_Toc341259150"/>
      <w:r>
        <w:t>Metabolism</w:t>
      </w:r>
      <w:bookmarkEnd w:id="11"/>
    </w:p>
    <w:p w:rsidR="00BC52A5" w:rsidRDefault="00A51CD0" w:rsidP="00A51CD0">
      <w:r>
        <w:t xml:space="preserve">Specific metabolism studies were not conducted, because </w:t>
      </w:r>
      <w:proofErr w:type="spellStart"/>
      <w:r>
        <w:t>alirocumab</w:t>
      </w:r>
      <w:proofErr w:type="spellEnd"/>
      <w:r>
        <w:t xml:space="preserve"> is a protein. </w:t>
      </w:r>
      <w:proofErr w:type="spellStart"/>
      <w:r>
        <w:t>Alirocumab</w:t>
      </w:r>
      <w:proofErr w:type="spellEnd"/>
      <w:r>
        <w:t xml:space="preserve"> is expected to degrade to small peptides and individual amino acids.</w:t>
      </w:r>
    </w:p>
    <w:p w:rsidR="00BC52A5" w:rsidRPr="00F75F4D" w:rsidRDefault="009A2E84" w:rsidP="00BC52A5">
      <w:pPr>
        <w:pStyle w:val="Heading3"/>
        <w:numPr>
          <w:ilvl w:val="0"/>
          <w:numId w:val="0"/>
        </w:numPr>
      </w:pPr>
      <w:r w:rsidRPr="00F75F4D">
        <w:t xml:space="preserve">Elimination </w:t>
      </w:r>
    </w:p>
    <w:p w:rsidR="00BC52A5" w:rsidRDefault="00A51CD0" w:rsidP="00A51CD0">
      <w:r>
        <w:t xml:space="preserve">Two elimination phases were observed for </w:t>
      </w:r>
      <w:proofErr w:type="spellStart"/>
      <w:r>
        <w:t>alirocumab</w:t>
      </w:r>
      <w:proofErr w:type="spellEnd"/>
      <w:r>
        <w:t xml:space="preserve">. At low concentrations, the elimination is predominately through </w:t>
      </w:r>
      <w:proofErr w:type="spellStart"/>
      <w:r>
        <w:t>saturable</w:t>
      </w:r>
      <w:proofErr w:type="spellEnd"/>
      <w:r>
        <w:t xml:space="preserve"> binding to target (PCSK9), while at higher concentrations the elimination of </w:t>
      </w:r>
      <w:proofErr w:type="spellStart"/>
      <w:r>
        <w:t>alirocumab</w:t>
      </w:r>
      <w:proofErr w:type="spellEnd"/>
      <w:r>
        <w:t xml:space="preserve"> is largely through a non-</w:t>
      </w:r>
      <w:proofErr w:type="spellStart"/>
      <w:r>
        <w:t>saturable</w:t>
      </w:r>
      <w:proofErr w:type="spellEnd"/>
      <w:r>
        <w:t xml:space="preserve"> proteolytic pathway.</w:t>
      </w:r>
    </w:p>
    <w:p w:rsidR="00A51CD0" w:rsidRDefault="00A51CD0" w:rsidP="00A51CD0">
      <w:r>
        <w:t xml:space="preserve">Based on a population pharmacokinetic analysis, the median apparent half-life of </w:t>
      </w:r>
      <w:proofErr w:type="spellStart"/>
      <w:r>
        <w:t>alirocumab</w:t>
      </w:r>
      <w:proofErr w:type="spellEnd"/>
      <w:r>
        <w:t xml:space="preserve"> at steady state was 17 to 20 days in patients receiving </w:t>
      </w:r>
      <w:proofErr w:type="spellStart"/>
      <w:r>
        <w:t>alirocumab</w:t>
      </w:r>
      <w:proofErr w:type="spellEnd"/>
      <w:r>
        <w:t xml:space="preserve"> as monotherapy at subcutaneous doses of either 75 mg </w:t>
      </w:r>
      <w:r w:rsidR="00CF2464">
        <w:t>once every 2 weeks</w:t>
      </w:r>
      <w:r w:rsidR="000A128C">
        <w:t xml:space="preserve"> </w:t>
      </w:r>
      <w:r>
        <w:t xml:space="preserve">or 150 mg </w:t>
      </w:r>
      <w:r w:rsidR="00CF2464">
        <w:t>once every 2 weeks.</w:t>
      </w:r>
      <w:r>
        <w:t xml:space="preserve"> </w:t>
      </w:r>
      <w:r w:rsidRPr="00CE1B68">
        <w:t xml:space="preserve">When co-administered with a statin, the median apparent half-life of </w:t>
      </w:r>
      <w:proofErr w:type="spellStart"/>
      <w:r w:rsidRPr="00CE1B68">
        <w:t>alirocumab</w:t>
      </w:r>
      <w:proofErr w:type="spellEnd"/>
      <w:r w:rsidRPr="00CE1B68">
        <w:t xml:space="preserve"> was 12 days.</w:t>
      </w:r>
    </w:p>
    <w:p w:rsidR="00BC52A5" w:rsidRDefault="00BC52A5" w:rsidP="00BC52A5">
      <w:pPr>
        <w:pStyle w:val="Heading3"/>
        <w:numPr>
          <w:ilvl w:val="0"/>
          <w:numId w:val="0"/>
        </w:numPr>
      </w:pPr>
      <w:bookmarkStart w:id="12" w:name="_Toc341259152"/>
      <w:r>
        <w:lastRenderedPageBreak/>
        <w:t>Special Populations</w:t>
      </w:r>
      <w:bookmarkEnd w:id="12"/>
    </w:p>
    <w:p w:rsidR="00BC52A5" w:rsidRPr="00BC52A5" w:rsidRDefault="00BC52A5" w:rsidP="00BC52A5">
      <w:pPr>
        <w:pStyle w:val="Heading4"/>
        <w:numPr>
          <w:ilvl w:val="0"/>
          <w:numId w:val="0"/>
        </w:numPr>
      </w:pPr>
      <w:bookmarkStart w:id="13" w:name="_Toc341259153"/>
      <w:r>
        <w:t>Gender</w:t>
      </w:r>
      <w:bookmarkEnd w:id="13"/>
    </w:p>
    <w:p w:rsidR="00BC52A5" w:rsidRDefault="00E1730B" w:rsidP="00BC52A5">
      <w:r w:rsidRPr="00E1730B">
        <w:t xml:space="preserve">Based on a population pharmacokinetic analysis, gender has no impact on </w:t>
      </w:r>
      <w:proofErr w:type="spellStart"/>
      <w:r w:rsidRPr="00E1730B">
        <w:t>alirocumab</w:t>
      </w:r>
      <w:proofErr w:type="spellEnd"/>
      <w:r>
        <w:t xml:space="preserve"> </w:t>
      </w:r>
      <w:r w:rsidRPr="00E1730B">
        <w:t>pharmacokinetics.</w:t>
      </w:r>
    </w:p>
    <w:p w:rsidR="00065C3F" w:rsidRDefault="00065C3F" w:rsidP="00065C3F">
      <w:pPr>
        <w:pStyle w:val="Heading4"/>
        <w:numPr>
          <w:ilvl w:val="0"/>
          <w:numId w:val="0"/>
        </w:numPr>
      </w:pPr>
      <w:r>
        <w:t>Elderly</w:t>
      </w:r>
    </w:p>
    <w:p w:rsidR="00E1730B" w:rsidRDefault="00E507E4" w:rsidP="00E1730B">
      <w:r>
        <w:t xml:space="preserve">In controlled studies, 1158 patients (34.7%) treated with </w:t>
      </w:r>
      <w:proofErr w:type="spellStart"/>
      <w:r>
        <w:t>Praluent</w:t>
      </w:r>
      <w:proofErr w:type="spellEnd"/>
      <w:r>
        <w:t xml:space="preserve"> were ≥ 65 years of age, 241 patients (7.2%) treated with </w:t>
      </w:r>
      <w:proofErr w:type="spellStart"/>
      <w:r>
        <w:t>Praluent</w:t>
      </w:r>
      <w:proofErr w:type="spellEnd"/>
      <w:r>
        <w:t xml:space="preserve"> were ≥ 75 years of age. </w:t>
      </w:r>
      <w:r w:rsidR="00E1730B">
        <w:t xml:space="preserve">Based on a population pharmacokinetic analysis, age was associated with a small difference in </w:t>
      </w:r>
      <w:proofErr w:type="spellStart"/>
      <w:r w:rsidR="00E1730B">
        <w:t>alirocumab</w:t>
      </w:r>
      <w:proofErr w:type="spellEnd"/>
      <w:r w:rsidR="00E1730B">
        <w:t xml:space="preserve"> exposure at steady state, with no impact on efficacy or safety.</w:t>
      </w:r>
    </w:p>
    <w:p w:rsidR="00065C3F" w:rsidRDefault="00065C3F" w:rsidP="00065C3F">
      <w:pPr>
        <w:pStyle w:val="Heading4"/>
        <w:numPr>
          <w:ilvl w:val="0"/>
          <w:numId w:val="0"/>
        </w:numPr>
      </w:pPr>
      <w:proofErr w:type="spellStart"/>
      <w:r>
        <w:t>P</w:t>
      </w:r>
      <w:r w:rsidR="00E507E4">
        <w:t>a</w:t>
      </w:r>
      <w:r>
        <w:t>ediatric</w:t>
      </w:r>
      <w:proofErr w:type="spellEnd"/>
    </w:p>
    <w:p w:rsidR="00065C3F" w:rsidRDefault="00065C3F" w:rsidP="00065C3F">
      <w:r>
        <w:t xml:space="preserve">The pharmacokinetic effects of </w:t>
      </w:r>
      <w:proofErr w:type="spellStart"/>
      <w:r>
        <w:t>alirocumab</w:t>
      </w:r>
      <w:proofErr w:type="spellEnd"/>
      <w:r>
        <w:t xml:space="preserve"> administration in pediatric patients have not been studied. </w:t>
      </w:r>
    </w:p>
    <w:p w:rsidR="00065C3F" w:rsidRDefault="00065C3F" w:rsidP="00065C3F">
      <w:pPr>
        <w:pStyle w:val="Heading4"/>
        <w:numPr>
          <w:ilvl w:val="0"/>
          <w:numId w:val="0"/>
        </w:numPr>
      </w:pPr>
      <w:r>
        <w:t>Race</w:t>
      </w:r>
    </w:p>
    <w:p w:rsidR="00700A8D" w:rsidRDefault="00700A8D" w:rsidP="00700A8D">
      <w:r>
        <w:t xml:space="preserve">Based on a population pharmacokinetic analysis, race had no impact on </w:t>
      </w:r>
      <w:proofErr w:type="spellStart"/>
      <w:r>
        <w:t>alirocumab</w:t>
      </w:r>
      <w:proofErr w:type="spellEnd"/>
      <w:r>
        <w:t xml:space="preserve"> pharmacokinetics. Following single-dose subcutaneous administration of 100 mg to 300 mg </w:t>
      </w:r>
      <w:proofErr w:type="spellStart"/>
      <w:r>
        <w:t>alirocumab</w:t>
      </w:r>
      <w:proofErr w:type="spellEnd"/>
      <w:r>
        <w:t>, there was no meaningful difference in exposure between Japanese and Caucasian healthy subjects.</w:t>
      </w:r>
    </w:p>
    <w:p w:rsidR="00E507E4" w:rsidRDefault="00E507E4" w:rsidP="00E507E4">
      <w:pPr>
        <w:pStyle w:val="Heading4"/>
        <w:numPr>
          <w:ilvl w:val="0"/>
          <w:numId w:val="0"/>
        </w:numPr>
      </w:pPr>
      <w:r>
        <w:t xml:space="preserve">Body weight </w:t>
      </w:r>
    </w:p>
    <w:p w:rsidR="00E507E4" w:rsidRDefault="00E507E4" w:rsidP="00E507E4">
      <w:r>
        <w:t xml:space="preserve">Based on a population pharmacokinetic analysis, body weight had a small impact on </w:t>
      </w:r>
      <w:proofErr w:type="spellStart"/>
      <w:r>
        <w:t>alirocumab</w:t>
      </w:r>
      <w:proofErr w:type="spellEnd"/>
      <w:r>
        <w:t xml:space="preserve"> exposure, with no effect on efficacy or safety.  </w:t>
      </w:r>
    </w:p>
    <w:p w:rsidR="00BC52A5" w:rsidRDefault="00BC52A5" w:rsidP="00BC52A5">
      <w:pPr>
        <w:pStyle w:val="Heading4"/>
        <w:numPr>
          <w:ilvl w:val="0"/>
          <w:numId w:val="0"/>
        </w:numPr>
      </w:pPr>
      <w:bookmarkStart w:id="14" w:name="_Toc341259154"/>
      <w:r>
        <w:t>Hepatic Impairment</w:t>
      </w:r>
      <w:bookmarkEnd w:id="14"/>
    </w:p>
    <w:p w:rsidR="00BC52A5" w:rsidRDefault="00975A6A" w:rsidP="00975A6A">
      <w:r>
        <w:t xml:space="preserve">In a phase 1 study, after administration of a single 75 mg subcutaneous dose, </w:t>
      </w:r>
      <w:proofErr w:type="spellStart"/>
      <w:r>
        <w:t>alirocumab</w:t>
      </w:r>
      <w:proofErr w:type="spellEnd"/>
      <w:r>
        <w:t xml:space="preserve"> pharmacokinetic profiles in subjects with mild and moderate hepatic impairment were similar as </w:t>
      </w:r>
      <w:r>
        <w:lastRenderedPageBreak/>
        <w:t>compared to subjects with normal hepatic function. No data are available in patients with severe hepatic impairment.</w:t>
      </w:r>
    </w:p>
    <w:p w:rsidR="00BC52A5" w:rsidRDefault="00BC52A5" w:rsidP="00BC52A5">
      <w:pPr>
        <w:pStyle w:val="Heading4"/>
        <w:numPr>
          <w:ilvl w:val="0"/>
          <w:numId w:val="0"/>
        </w:numPr>
      </w:pPr>
      <w:bookmarkStart w:id="15" w:name="_Toc341259155"/>
      <w:r>
        <w:t>Renal Impairment</w:t>
      </w:r>
      <w:bookmarkEnd w:id="15"/>
    </w:p>
    <w:p w:rsidR="00BC52A5" w:rsidRPr="00A43142" w:rsidRDefault="00975A6A" w:rsidP="00975A6A">
      <w:pPr>
        <w:rPr>
          <w:color w:val="auto"/>
        </w:rPr>
      </w:pPr>
      <w:r>
        <w:t xml:space="preserve">Since monoclonal antibodies are not known to be eliminated via renal pathways, renal function is not expected to impact the pharmacokinetics of </w:t>
      </w:r>
      <w:proofErr w:type="spellStart"/>
      <w:r>
        <w:t>alirocumab</w:t>
      </w:r>
      <w:proofErr w:type="spellEnd"/>
      <w:r>
        <w:t xml:space="preserve">. Population pharmacokinetic analyses showed that mild and moderate renal impairment did not have a meaningful impact on </w:t>
      </w:r>
      <w:proofErr w:type="spellStart"/>
      <w:r>
        <w:t>alirocumab</w:t>
      </w:r>
      <w:proofErr w:type="spellEnd"/>
      <w:r>
        <w:t xml:space="preserve"> pharmacokinetics. No data are available in patients with severe renal impairment</w:t>
      </w:r>
      <w:r w:rsidR="00BC7315" w:rsidRPr="00A63961">
        <w:rPr>
          <w:color w:val="17365D"/>
        </w:rPr>
        <w:t xml:space="preserve"> </w:t>
      </w:r>
      <w:r w:rsidR="00BC7315" w:rsidRPr="00A43142">
        <w:rPr>
          <w:color w:val="auto"/>
        </w:rPr>
        <w:t xml:space="preserve">(defined as </w:t>
      </w:r>
      <w:proofErr w:type="spellStart"/>
      <w:r w:rsidR="00BC7315" w:rsidRPr="00A43142">
        <w:rPr>
          <w:color w:val="auto"/>
        </w:rPr>
        <w:t>eGFR</w:t>
      </w:r>
      <w:proofErr w:type="spellEnd"/>
      <w:r w:rsidR="00BC7315" w:rsidRPr="00A43142">
        <w:rPr>
          <w:color w:val="auto"/>
        </w:rPr>
        <w:t xml:space="preserve"> &lt; 30 mL/min/1.73m</w:t>
      </w:r>
      <w:r w:rsidR="00BC7315" w:rsidRPr="00A43142">
        <w:rPr>
          <w:color w:val="auto"/>
          <w:vertAlign w:val="superscript"/>
        </w:rPr>
        <w:t>2</w:t>
      </w:r>
      <w:r w:rsidR="00BC7315" w:rsidRPr="00A43142">
        <w:rPr>
          <w:color w:val="auto"/>
        </w:rPr>
        <w:t>).</w:t>
      </w:r>
    </w:p>
    <w:p w:rsidR="00BC52A5" w:rsidRDefault="00BC52A5" w:rsidP="00BC52A5">
      <w:pPr>
        <w:pStyle w:val="Heading1"/>
        <w:pageBreakBefore w:val="0"/>
        <w:numPr>
          <w:ilvl w:val="0"/>
          <w:numId w:val="0"/>
        </w:numPr>
      </w:pPr>
      <w:bookmarkStart w:id="16" w:name="_Toc341259156"/>
      <w:r>
        <w:t>clinical trials</w:t>
      </w:r>
      <w:bookmarkEnd w:id="16"/>
    </w:p>
    <w:p w:rsidR="00377284" w:rsidRPr="00A43142" w:rsidRDefault="00377284" w:rsidP="00377284">
      <w:pPr>
        <w:rPr>
          <w:color w:val="auto"/>
        </w:rPr>
      </w:pPr>
      <w:r>
        <w:t xml:space="preserve">The efficacy of </w:t>
      </w:r>
      <w:proofErr w:type="spellStart"/>
      <w:r w:rsidR="009D6895" w:rsidRPr="00656C05">
        <w:t>Praluent</w:t>
      </w:r>
      <w:proofErr w:type="spellEnd"/>
      <w:r w:rsidR="009D6895">
        <w:t xml:space="preserve"> </w:t>
      </w:r>
      <w:r>
        <w:t>was investigated in ten phase 3 trials (five placebo-controlled and five ezetimibe-controlled studies), involving 5</w:t>
      </w:r>
      <w:r w:rsidR="009D6895">
        <w:t>,</w:t>
      </w:r>
      <w:r w:rsidR="00820503">
        <w:t xml:space="preserve">296 </w:t>
      </w:r>
      <w:proofErr w:type="spellStart"/>
      <w:r w:rsidR="00820503">
        <w:t>randomised</w:t>
      </w:r>
      <w:proofErr w:type="spellEnd"/>
      <w:r w:rsidR="00820503">
        <w:t xml:space="preserve"> patients</w:t>
      </w:r>
      <w:r>
        <w:t xml:space="preserve"> with 3</w:t>
      </w:r>
      <w:r w:rsidR="009D6895">
        <w:t>,</w:t>
      </w:r>
      <w:r>
        <w:t xml:space="preserve">188 patients </w:t>
      </w:r>
      <w:proofErr w:type="spellStart"/>
      <w:r>
        <w:t>randomised</w:t>
      </w:r>
      <w:proofErr w:type="spellEnd"/>
      <w:r>
        <w:t xml:space="preserve"> to</w:t>
      </w:r>
      <w:r w:rsidR="00B9377E">
        <w:t xml:space="preserve"> </w:t>
      </w:r>
      <w:proofErr w:type="spellStart"/>
      <w:r w:rsidR="00B9377E" w:rsidRPr="00656C05">
        <w:t>Praluent</w:t>
      </w:r>
      <w:proofErr w:type="spellEnd"/>
      <w:r>
        <w:t xml:space="preserve">. </w:t>
      </w:r>
      <w:r w:rsidR="00F05E71" w:rsidRPr="00F05E71">
        <w:t>The five placebo-controlled trials involved 3</w:t>
      </w:r>
      <w:r w:rsidR="003F1F94">
        <w:t>,</w:t>
      </w:r>
      <w:r w:rsidR="00F05E71" w:rsidRPr="00F05E71">
        <w:t>499 patients of which 36% were patients with heterozygous familial hypercholesterolemia (</w:t>
      </w:r>
      <w:proofErr w:type="spellStart"/>
      <w:r w:rsidR="00F05E71" w:rsidRPr="00F05E71">
        <w:t>heFH</w:t>
      </w:r>
      <w:proofErr w:type="spellEnd"/>
      <w:r w:rsidR="00F05E71" w:rsidRPr="00F05E71">
        <w:t>) and 54% were non-FH patients who had clinical atherosclerotic cardiovascular disease.</w:t>
      </w:r>
      <w:r w:rsidR="00F05E71">
        <w:t xml:space="preserve"> </w:t>
      </w:r>
      <w:r>
        <w:t xml:space="preserve">Three of the ten studies were conducted exclusively in patients with heterozygous familial </w:t>
      </w:r>
      <w:proofErr w:type="spellStart"/>
      <w:r>
        <w:t>hypercholesterolaemia</w:t>
      </w:r>
      <w:proofErr w:type="spellEnd"/>
      <w:r>
        <w:t xml:space="preserve"> (</w:t>
      </w:r>
      <w:proofErr w:type="spellStart"/>
      <w:r>
        <w:t>heFH</w:t>
      </w:r>
      <w:proofErr w:type="spellEnd"/>
      <w:r>
        <w:t>).</w:t>
      </w:r>
      <w:r w:rsidR="002B07CE">
        <w:t xml:space="preserve"> </w:t>
      </w:r>
      <w:r>
        <w:t>The majority of patients in the phase 3 program were taking background lipid-modifying therapy (LMT) consisting of a maximally tolerated dose of statin, with or without other lipid-modifying therapies, and were at high or very high cardiovascular (CV) risk. Two studies were conducted in patients who were not concomitantly treated with a statin, including one study in patients with documented statin intolerance.</w:t>
      </w:r>
      <w:r w:rsidR="009160A7">
        <w:t xml:space="preserve"> </w:t>
      </w:r>
      <w:proofErr w:type="spellStart"/>
      <w:r w:rsidR="004700A7" w:rsidRPr="00A43142">
        <w:rPr>
          <w:color w:val="auto"/>
        </w:rPr>
        <w:t>Alirocumab</w:t>
      </w:r>
      <w:proofErr w:type="spellEnd"/>
      <w:r w:rsidR="004700A7" w:rsidRPr="00A43142">
        <w:rPr>
          <w:color w:val="auto"/>
        </w:rPr>
        <w:t xml:space="preserve"> has not been studied in patients with homozygous familial </w:t>
      </w:r>
      <w:proofErr w:type="spellStart"/>
      <w:r w:rsidR="004700A7" w:rsidRPr="00A43142">
        <w:rPr>
          <w:color w:val="auto"/>
        </w:rPr>
        <w:t>hypercholesterolaemia</w:t>
      </w:r>
      <w:proofErr w:type="spellEnd"/>
      <w:r w:rsidR="004700A7" w:rsidRPr="00A43142">
        <w:rPr>
          <w:color w:val="auto"/>
        </w:rPr>
        <w:t>.</w:t>
      </w:r>
    </w:p>
    <w:p w:rsidR="00377284" w:rsidRDefault="00F05E71" w:rsidP="00377284">
      <w:r w:rsidRPr="00F05E71">
        <w:t>Eight studies were performed with a dose of 75 mg once every 2 weeks, and criteria-based up-titration to 150 mg once every 2 weeks at week 12 in patients who did not achieve their pre-defined target LDL-C based on their level of CV risk at week 8.</w:t>
      </w:r>
      <w:r>
        <w:t xml:space="preserve"> </w:t>
      </w:r>
      <w:r w:rsidR="00377284">
        <w:t>Two studies (LONG TERM and HIGH FH), involving a total of 2</w:t>
      </w:r>
      <w:r w:rsidR="009D6895">
        <w:t>,</w:t>
      </w:r>
      <w:r w:rsidR="00377284">
        <w:t xml:space="preserve">416 patients, were performed with a 150 mg </w:t>
      </w:r>
      <w:r w:rsidR="00CF2464">
        <w:t xml:space="preserve">once every 2 week </w:t>
      </w:r>
      <w:r w:rsidR="00377284">
        <w:t xml:space="preserve">dose only. Baseline demographic characteristics were well matched between the </w:t>
      </w:r>
      <w:proofErr w:type="spellStart"/>
      <w:r w:rsidR="00B9377E" w:rsidRPr="00656C05">
        <w:t>Praluent</w:t>
      </w:r>
      <w:proofErr w:type="spellEnd"/>
      <w:r w:rsidR="00B9377E">
        <w:t xml:space="preserve"> </w:t>
      </w:r>
      <w:r w:rsidR="00377284">
        <w:t>and control groups. The age of the patients ranged from 18 to 89 years across studies (mean age 60 years); 38% were women; the majority of patients were Caucasians (90%), 5% were Black, 2% were Asian; the mean body mass index (BMI) was 30 kg/m</w:t>
      </w:r>
      <w:r w:rsidR="00377284" w:rsidRPr="00656C05">
        <w:t>2</w:t>
      </w:r>
      <w:r w:rsidR="00377284">
        <w:t>. In the phase 3 studies, 31% of patients had type 2 diabetes mellitus, and 64% of patients had a history of coronary heart disease.</w:t>
      </w:r>
    </w:p>
    <w:p w:rsidR="001B14C4" w:rsidRPr="00A43142" w:rsidRDefault="00377284" w:rsidP="00377284">
      <w:pPr>
        <w:rPr>
          <w:color w:val="auto"/>
        </w:rPr>
      </w:pPr>
      <w:r>
        <w:lastRenderedPageBreak/>
        <w:t xml:space="preserve">The primary efficacy endpoint in all of the phase 3 studies was the mean percent reduction from baseline in LDL-C at week 24 as compared to placebo or ezetimibe. All of the studies met their primary endpoint. </w:t>
      </w:r>
      <w:r w:rsidR="001B14C4" w:rsidRPr="00953E5A">
        <w:rPr>
          <w:color w:val="auto"/>
        </w:rPr>
        <w:t xml:space="preserve">The effect of </w:t>
      </w:r>
      <w:proofErr w:type="spellStart"/>
      <w:r w:rsidR="001B14C4" w:rsidRPr="00953E5A">
        <w:rPr>
          <w:color w:val="auto"/>
        </w:rPr>
        <w:t>Praluent</w:t>
      </w:r>
      <w:proofErr w:type="spellEnd"/>
      <w:r w:rsidR="001B14C4" w:rsidRPr="00953E5A">
        <w:rPr>
          <w:color w:val="auto"/>
        </w:rPr>
        <w:t xml:space="preserve"> on cardiovascular morbidity and mortality is currently being investigate</w:t>
      </w:r>
      <w:r w:rsidR="001B14C4" w:rsidRPr="00A46ED5">
        <w:rPr>
          <w:color w:val="auto"/>
        </w:rPr>
        <w:t>d in</w:t>
      </w:r>
      <w:r w:rsidR="005E2D31" w:rsidRPr="00A46ED5">
        <w:rPr>
          <w:color w:val="auto"/>
        </w:rPr>
        <w:t xml:space="preserve"> </w:t>
      </w:r>
      <w:r w:rsidR="005E2D31" w:rsidRPr="00A43142">
        <w:rPr>
          <w:color w:val="auto"/>
        </w:rPr>
        <w:t>a</w:t>
      </w:r>
      <w:r w:rsidR="00953E5A" w:rsidRPr="00A43142">
        <w:rPr>
          <w:color w:val="auto"/>
        </w:rPr>
        <w:t>n ongoing</w:t>
      </w:r>
      <w:r w:rsidR="001B14C4" w:rsidRPr="00A43142">
        <w:rPr>
          <w:color w:val="auto"/>
        </w:rPr>
        <w:t xml:space="preserve"> clinical trial</w:t>
      </w:r>
      <w:r w:rsidR="00953E5A" w:rsidRPr="00A43142">
        <w:rPr>
          <w:color w:val="auto"/>
        </w:rPr>
        <w:t xml:space="preserve"> in 18,000 patients (OUTCOMES)</w:t>
      </w:r>
      <w:r w:rsidR="005E2D31" w:rsidRPr="00A43142">
        <w:rPr>
          <w:color w:val="auto"/>
        </w:rPr>
        <w:t xml:space="preserve">. </w:t>
      </w:r>
    </w:p>
    <w:p w:rsidR="00EC605E" w:rsidRPr="00712280" w:rsidRDefault="00377284" w:rsidP="00377284">
      <w:r>
        <w:t xml:space="preserve">In general, administration of </w:t>
      </w:r>
      <w:proofErr w:type="spellStart"/>
      <w:r w:rsidR="009D6895" w:rsidRPr="00656C05">
        <w:t>Praluent</w:t>
      </w:r>
      <w:proofErr w:type="spellEnd"/>
      <w:r w:rsidR="009D6895">
        <w:t xml:space="preserve"> </w:t>
      </w:r>
      <w:r>
        <w:t xml:space="preserve">also resulted in a statistically significant greater percent reduction in Total-C, non-HDL-C, Apo B, and </w:t>
      </w:r>
      <w:proofErr w:type="spellStart"/>
      <w:proofErr w:type="gramStart"/>
      <w:r>
        <w:t>Lp</w:t>
      </w:r>
      <w:proofErr w:type="spellEnd"/>
      <w:r>
        <w:t>(</w:t>
      </w:r>
      <w:proofErr w:type="gramEnd"/>
      <w:r>
        <w:t xml:space="preserve">a) as compared to placebo/ ezetimibe, whether or not patients were concomitantly being treated with a statin. </w:t>
      </w:r>
      <w:proofErr w:type="spellStart"/>
      <w:r w:rsidR="009D6895" w:rsidRPr="00712280">
        <w:t>Praluent</w:t>
      </w:r>
      <w:proofErr w:type="spellEnd"/>
      <w:r w:rsidR="009D6895" w:rsidRPr="00712280">
        <w:t xml:space="preserve"> </w:t>
      </w:r>
      <w:r w:rsidRPr="00712280">
        <w:t xml:space="preserve">also reduced triglycerides, and increased HDL-C and Apo A-1 as compared to placebo. </w:t>
      </w:r>
      <w:r w:rsidR="00EC605E" w:rsidRPr="00712280">
        <w:rPr>
          <w:i/>
          <w:color w:val="00B050"/>
        </w:rPr>
        <w:t xml:space="preserve"> </w:t>
      </w:r>
    </w:p>
    <w:p w:rsidR="000328D6" w:rsidRDefault="00377284" w:rsidP="00377284">
      <w:r w:rsidRPr="00712280">
        <w:t>Reduction in LDL-C was seen across age, gend</w:t>
      </w:r>
      <w:r w:rsidR="003F1F94">
        <w:t xml:space="preserve">er, body mass index (BMI), </w:t>
      </w:r>
      <w:proofErr w:type="gramStart"/>
      <w:r w:rsidR="003F1F94">
        <w:t>race</w:t>
      </w:r>
      <w:proofErr w:type="gramEnd"/>
      <w:r w:rsidR="003F1F94">
        <w:t xml:space="preserve"> and</w:t>
      </w:r>
      <w:r w:rsidRPr="00712280">
        <w:t xml:space="preserve"> baseline LDL-C levels</w:t>
      </w:r>
      <w:r w:rsidRPr="00E67013">
        <w:rPr>
          <w:color w:val="auto"/>
        </w:rPr>
        <w:t>.</w:t>
      </w:r>
      <w:r w:rsidRPr="00712280">
        <w:t xml:space="preserve"> LDL-C reduction was consistent regardless</w:t>
      </w:r>
      <w:r>
        <w:t xml:space="preserve"> of concomitantly used statins and doses.</w:t>
      </w:r>
      <w:r w:rsidR="000A128C">
        <w:t xml:space="preserve"> </w:t>
      </w:r>
      <w:r>
        <w:t xml:space="preserve">A significantly higher proportion of </w:t>
      </w:r>
      <w:r w:rsidR="002D7FA2">
        <w:t xml:space="preserve">patients achieved an LDL-C of ˂1.81 </w:t>
      </w:r>
      <w:proofErr w:type="spellStart"/>
      <w:r w:rsidR="002D7FA2">
        <w:t>mmol</w:t>
      </w:r>
      <w:proofErr w:type="spellEnd"/>
      <w:r w:rsidR="002D7FA2">
        <w:t xml:space="preserve">/L </w:t>
      </w:r>
      <w:r>
        <w:t xml:space="preserve">in the </w:t>
      </w:r>
      <w:proofErr w:type="spellStart"/>
      <w:r w:rsidR="00632888" w:rsidRPr="00656C05">
        <w:t>Praluent</w:t>
      </w:r>
      <w:proofErr w:type="spellEnd"/>
      <w:r w:rsidR="00632888">
        <w:t xml:space="preserve"> </w:t>
      </w:r>
      <w:r>
        <w:t xml:space="preserve">group as compared to placebo or ezetimibe at week 12 and week 24. </w:t>
      </w:r>
      <w:r w:rsidRPr="00246597">
        <w:t xml:space="preserve">In studies using the criteria-based up-titration regimen, a majority of patients achieved the pre-defined target LDL-C (based on their level of CV risk) on the 75 mg </w:t>
      </w:r>
      <w:r w:rsidR="00CF2464" w:rsidRPr="00246597">
        <w:t>once every 2 weeks</w:t>
      </w:r>
      <w:r w:rsidRPr="00246597">
        <w:t xml:space="preserve"> dose, and a majority of </w:t>
      </w:r>
      <w:proofErr w:type="gramStart"/>
      <w:r w:rsidRPr="00246597">
        <w:t>patients</w:t>
      </w:r>
      <w:proofErr w:type="gramEnd"/>
      <w:r w:rsidR="00F53BD0" w:rsidRPr="00246597">
        <w:t xml:space="preserve"> </w:t>
      </w:r>
      <w:r w:rsidRPr="00246597">
        <w:t>maint</w:t>
      </w:r>
      <w:r w:rsidR="00CF2464" w:rsidRPr="00246597">
        <w:t>ained treatment on the 75 mg once every 2 week</w:t>
      </w:r>
      <w:r w:rsidRPr="00246597">
        <w:t xml:space="preserve"> dose.</w:t>
      </w:r>
      <w:r>
        <w:t xml:space="preserve"> </w:t>
      </w:r>
    </w:p>
    <w:p w:rsidR="00BD5EE0" w:rsidRPr="00A43142" w:rsidRDefault="00377284" w:rsidP="00377284">
      <w:r>
        <w:t xml:space="preserve">The lipid-lowering effect of </w:t>
      </w:r>
      <w:proofErr w:type="spellStart"/>
      <w:r w:rsidR="00632888" w:rsidRPr="00656C05">
        <w:t>Praluent</w:t>
      </w:r>
      <w:proofErr w:type="spellEnd"/>
      <w:r w:rsidR="00632888">
        <w:t xml:space="preserve"> </w:t>
      </w:r>
      <w:r>
        <w:t xml:space="preserve">was observed within 15 days after the first dose reaching maximum effect at approximately 4 weeks. Efficacy was sustained over the duration of study treatment (up to 78 weeks in the LONG TERM study). Following discontinuation of </w:t>
      </w:r>
      <w:proofErr w:type="spellStart"/>
      <w:r w:rsidR="009D6895" w:rsidRPr="00656C05">
        <w:t>Praluent</w:t>
      </w:r>
      <w:proofErr w:type="spellEnd"/>
      <w:r>
        <w:t>, no rebound in LDL-C was observed, and LDL-C levels gradually returned to baseline levels.</w:t>
      </w:r>
    </w:p>
    <w:p w:rsidR="0027477C" w:rsidRDefault="001C1F76" w:rsidP="00377284">
      <w:r w:rsidRPr="001C1F76">
        <w:rPr>
          <w:color w:val="0000FF"/>
        </w:rPr>
        <w:fldChar w:fldCharType="begin"/>
      </w:r>
      <w:r w:rsidRPr="001C1F76">
        <w:rPr>
          <w:color w:val="0000FF"/>
        </w:rPr>
        <w:instrText xml:space="preserve"> REF _Ref409772709 \h  \* MERGEFORMAT </w:instrText>
      </w:r>
      <w:r w:rsidRPr="001C1F76">
        <w:rPr>
          <w:color w:val="0000FF"/>
        </w:rPr>
      </w:r>
      <w:r w:rsidRPr="001C1F76">
        <w:rPr>
          <w:color w:val="0000FF"/>
        </w:rPr>
        <w:fldChar w:fldCharType="separate"/>
      </w:r>
      <w:r w:rsidR="00920B05" w:rsidRPr="00920B05">
        <w:rPr>
          <w:color w:val="0000FF"/>
        </w:rPr>
        <w:t>Table 1</w:t>
      </w:r>
      <w:r w:rsidRPr="001C1F76">
        <w:rPr>
          <w:color w:val="0000FF"/>
        </w:rPr>
        <w:fldChar w:fldCharType="end"/>
      </w:r>
      <w:r>
        <w:rPr>
          <w:color w:val="0000FF"/>
        </w:rPr>
        <w:t xml:space="preserve"> </w:t>
      </w:r>
      <w:r w:rsidR="00377284" w:rsidRPr="003F1F94">
        <w:rPr>
          <w:lang w:val="en-AU"/>
        </w:rPr>
        <w:t>summarise</w:t>
      </w:r>
      <w:r w:rsidR="00F05E71" w:rsidRPr="003F1F94">
        <w:rPr>
          <w:lang w:val="en-AU"/>
        </w:rPr>
        <w:t>s</w:t>
      </w:r>
      <w:r w:rsidR="00377284">
        <w:t xml:space="preserve"> the mean percent change from baseline in LDL-C with </w:t>
      </w:r>
      <w:proofErr w:type="spellStart"/>
      <w:r w:rsidR="00632888" w:rsidRPr="00656C05">
        <w:t>Praluent</w:t>
      </w:r>
      <w:proofErr w:type="spellEnd"/>
      <w:r w:rsidR="00632888">
        <w:t xml:space="preserve"> </w:t>
      </w:r>
      <w:r w:rsidR="00377284">
        <w:t>at week 12 (before up-titration) and at week 24 (primary endpoint) based on analyses across pooled phase 3 studies.</w:t>
      </w:r>
    </w:p>
    <w:p w:rsidR="00377284" w:rsidRDefault="00C85E81" w:rsidP="00C85E81">
      <w:pPr>
        <w:pStyle w:val="Caption"/>
        <w:rPr>
          <w:vertAlign w:val="superscript"/>
        </w:rPr>
      </w:pPr>
      <w:r>
        <w:t xml:space="preserve"> </w:t>
      </w:r>
      <w:bookmarkStart w:id="17" w:name="_Ref409772709"/>
      <w:r>
        <w:t>Table </w:t>
      </w:r>
      <w:r>
        <w:fldChar w:fldCharType="begin"/>
      </w:r>
      <w:r>
        <w:instrText xml:space="preserve"> SEQ Table \* ARABIC </w:instrText>
      </w:r>
      <w:r>
        <w:fldChar w:fldCharType="separate"/>
      </w:r>
      <w:r w:rsidR="00920B05">
        <w:rPr>
          <w:noProof/>
        </w:rPr>
        <w:t>1</w:t>
      </w:r>
      <w:r>
        <w:fldChar w:fldCharType="end"/>
      </w:r>
      <w:bookmarkEnd w:id="17"/>
      <w:r>
        <w:t xml:space="preserve"> ­ Mean percent change from baseline in LDL-C with </w:t>
      </w:r>
      <w:proofErr w:type="spellStart"/>
      <w:r>
        <w:t>alirocumab</w:t>
      </w:r>
      <w:proofErr w:type="spellEnd"/>
      <w:r>
        <w:t xml:space="preserve"> at week 12 (before up-titration) and week 24 (primary endpoint)</w:t>
      </w:r>
      <w:r w:rsidR="00F05E71">
        <w:t xml:space="preserve"> in analyses of pooled phase 3</w:t>
      </w:r>
      <w:r>
        <w:t xml:space="preserve"> studies in patients on background </w:t>
      </w:r>
      <w:proofErr w:type="spellStart"/>
      <w:r>
        <w:t>statin</w:t>
      </w:r>
      <w:r>
        <w:rPr>
          <w:vertAlign w:val="superscript"/>
        </w:rPr>
        <w:t>a</w:t>
      </w:r>
      <w:proofErr w:type="spellEnd"/>
    </w:p>
    <w:tbl>
      <w:tblPr>
        <w:tblW w:w="0" w:type="auto"/>
        <w:jc w:val="center"/>
        <w:tblInd w:w="108" w:type="dxa"/>
        <w:tblBorders>
          <w:top w:val="single" w:sz="2" w:space="0" w:color="000000"/>
        </w:tblBorders>
        <w:tblLook w:val="04A0" w:firstRow="1" w:lastRow="0" w:firstColumn="1" w:lastColumn="0" w:noHBand="0" w:noVBand="1"/>
      </w:tblPr>
      <w:tblGrid>
        <w:gridCol w:w="1710"/>
        <w:gridCol w:w="1943"/>
        <w:gridCol w:w="1933"/>
        <w:gridCol w:w="1943"/>
        <w:gridCol w:w="2048"/>
      </w:tblGrid>
      <w:tr w:rsidR="00F05E71" w:rsidTr="00F05E71">
        <w:trPr>
          <w:cantSplit/>
          <w:tblHeader/>
          <w:jc w:val="center"/>
        </w:trPr>
        <w:tc>
          <w:tcPr>
            <w:tcW w:w="0" w:type="auto"/>
            <w:tcBorders>
              <w:top w:val="single" w:sz="4" w:space="0" w:color="auto"/>
              <w:left w:val="single" w:sz="4" w:space="0" w:color="auto"/>
              <w:bottom w:val="single" w:sz="4" w:space="0" w:color="auto"/>
              <w:right w:val="nil"/>
            </w:tcBorders>
            <w:shd w:val="clear" w:color="auto" w:fill="auto"/>
          </w:tcPr>
          <w:p w:rsidR="00F05E71" w:rsidRPr="005C40B1" w:rsidRDefault="00F05E71" w:rsidP="00F05E71">
            <w:pPr>
              <w:pStyle w:val="TblHeadingCenter"/>
              <w:jc w:val="left"/>
            </w:pPr>
            <w:r w:rsidRPr="005C40B1">
              <w:t xml:space="preserve">Week 12 </w:t>
            </w:r>
          </w:p>
        </w:tc>
        <w:tc>
          <w:tcPr>
            <w:tcW w:w="0" w:type="auto"/>
            <w:gridSpan w:val="2"/>
            <w:tcBorders>
              <w:top w:val="single" w:sz="4" w:space="0" w:color="auto"/>
              <w:left w:val="nil"/>
              <w:bottom w:val="single" w:sz="4" w:space="0" w:color="auto"/>
              <w:right w:val="nil"/>
            </w:tcBorders>
            <w:shd w:val="clear" w:color="auto" w:fill="auto"/>
          </w:tcPr>
          <w:p w:rsidR="00F05E71" w:rsidRPr="00830ABF" w:rsidRDefault="00F05E71" w:rsidP="00F05E71">
            <w:pPr>
              <w:pStyle w:val="TblHeadingCenter"/>
            </w:pPr>
            <w:r>
              <w:t>Placebo controlled studies</w:t>
            </w:r>
          </w:p>
        </w:tc>
        <w:tc>
          <w:tcPr>
            <w:tcW w:w="0" w:type="auto"/>
            <w:gridSpan w:val="2"/>
            <w:tcBorders>
              <w:top w:val="single" w:sz="4" w:space="0" w:color="auto"/>
              <w:left w:val="nil"/>
              <w:bottom w:val="single" w:sz="4" w:space="0" w:color="auto"/>
              <w:right w:val="single" w:sz="4" w:space="0" w:color="auto"/>
            </w:tcBorders>
            <w:shd w:val="clear" w:color="auto" w:fill="auto"/>
          </w:tcPr>
          <w:p w:rsidR="00F05E71" w:rsidRPr="00F05E71" w:rsidRDefault="00F05E71" w:rsidP="00F05E71">
            <w:pPr>
              <w:pStyle w:val="TblHeadingCenter"/>
            </w:pPr>
            <w:r w:rsidRPr="00F05E71">
              <w:t>Ezetimibe controlled studies</w:t>
            </w:r>
          </w:p>
        </w:tc>
      </w:tr>
      <w:tr w:rsidR="00F05E71" w:rsidRPr="00830ABF" w:rsidTr="00F05E71">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jc w:val="left"/>
            </w:pPr>
            <w:r w:rsidRPr="00F05E71">
              <w:t>Dose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proofErr w:type="spellStart"/>
            <w:r w:rsidRPr="00F05E71">
              <w:t>Praluent</w:t>
            </w:r>
            <w:proofErr w:type="spellEnd"/>
            <w:r w:rsidRPr="00F05E71">
              <w:t xml:space="preserve"> (additive effect beyond statin)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Placebo (additive effect beyond statin)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proofErr w:type="spellStart"/>
            <w:r w:rsidRPr="00F05E71">
              <w:t>Praluent</w:t>
            </w:r>
            <w:proofErr w:type="spellEnd"/>
            <w:r w:rsidRPr="00F05E71">
              <w:t xml:space="preserve"> (additive effect beyond statin)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Ezetimibe (additive effect beyond statin)</w:t>
            </w:r>
          </w:p>
        </w:tc>
      </w:tr>
      <w:tr w:rsidR="00F05E71" w:rsidTr="00F05E71">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75 mg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-44.5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-49.2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-22.3</w:t>
            </w:r>
          </w:p>
        </w:tc>
      </w:tr>
      <w:tr w:rsidR="00F05E71" w:rsidTr="00F05E71">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150 mg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-62.6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w:t>
            </w:r>
          </w:p>
        </w:tc>
      </w:tr>
      <w:tr w:rsidR="00F05E71" w:rsidTr="00F05E71">
        <w:trPr>
          <w:cantSplit/>
          <w:jc w:val="center"/>
        </w:trPr>
        <w:tc>
          <w:tcPr>
            <w:tcW w:w="0" w:type="auto"/>
            <w:tcBorders>
              <w:top w:val="single" w:sz="4" w:space="0" w:color="auto"/>
              <w:left w:val="single" w:sz="4" w:space="0" w:color="auto"/>
              <w:bottom w:val="single" w:sz="4" w:space="0" w:color="auto"/>
              <w:right w:val="nil"/>
            </w:tcBorders>
            <w:shd w:val="clear" w:color="auto" w:fill="auto"/>
          </w:tcPr>
          <w:p w:rsidR="00F05E71" w:rsidRPr="00F05E71" w:rsidRDefault="00F05E71" w:rsidP="00F05E71">
            <w:pPr>
              <w:pStyle w:val="TblTextCenter"/>
              <w:jc w:val="left"/>
              <w:rPr>
                <w:rFonts w:ascii="Arial" w:hAnsi="Arial" w:cs="Arial"/>
                <w:b/>
              </w:rPr>
            </w:pPr>
            <w:r w:rsidRPr="00F05E71">
              <w:rPr>
                <w:rFonts w:ascii="Arial" w:hAnsi="Arial" w:cs="Arial"/>
                <w:b/>
              </w:rPr>
              <w:lastRenderedPageBreak/>
              <w:t>Week 24</w:t>
            </w:r>
          </w:p>
        </w:tc>
        <w:tc>
          <w:tcPr>
            <w:tcW w:w="0" w:type="auto"/>
            <w:tcBorders>
              <w:top w:val="single" w:sz="4" w:space="0" w:color="auto"/>
              <w:left w:val="nil"/>
              <w:bottom w:val="single" w:sz="4" w:space="0" w:color="auto"/>
              <w:right w:val="nil"/>
            </w:tcBorders>
            <w:shd w:val="clear" w:color="auto" w:fill="auto"/>
          </w:tcPr>
          <w:p w:rsidR="00F05E71" w:rsidRPr="00F05E71" w:rsidRDefault="00F05E71" w:rsidP="00F05E71">
            <w:pPr>
              <w:pStyle w:val="TblTextCenter"/>
            </w:pPr>
          </w:p>
        </w:tc>
        <w:tc>
          <w:tcPr>
            <w:tcW w:w="0" w:type="auto"/>
            <w:tcBorders>
              <w:top w:val="single" w:sz="4" w:space="0" w:color="auto"/>
              <w:left w:val="nil"/>
              <w:bottom w:val="single" w:sz="4" w:space="0" w:color="auto"/>
              <w:right w:val="nil"/>
            </w:tcBorders>
            <w:shd w:val="clear" w:color="auto" w:fill="auto"/>
          </w:tcPr>
          <w:p w:rsidR="00F05E71" w:rsidRPr="00F05E71" w:rsidRDefault="00F05E71" w:rsidP="00F05E71">
            <w:pPr>
              <w:pStyle w:val="TblTextCenter"/>
            </w:pPr>
          </w:p>
        </w:tc>
        <w:tc>
          <w:tcPr>
            <w:tcW w:w="0" w:type="auto"/>
            <w:tcBorders>
              <w:top w:val="single" w:sz="4" w:space="0" w:color="auto"/>
              <w:left w:val="nil"/>
              <w:bottom w:val="single" w:sz="4" w:space="0" w:color="auto"/>
              <w:right w:val="nil"/>
            </w:tcBorders>
            <w:shd w:val="clear" w:color="auto" w:fill="auto"/>
          </w:tcPr>
          <w:p w:rsidR="00F05E71" w:rsidRPr="00F05E71" w:rsidRDefault="00F05E71" w:rsidP="00F05E71">
            <w:pPr>
              <w:pStyle w:val="TblTextCenter"/>
            </w:pPr>
          </w:p>
        </w:tc>
        <w:tc>
          <w:tcPr>
            <w:tcW w:w="0" w:type="auto"/>
            <w:tcBorders>
              <w:top w:val="single" w:sz="4" w:space="0" w:color="auto"/>
              <w:left w:val="nil"/>
              <w:bottom w:val="single" w:sz="4" w:space="0" w:color="auto"/>
              <w:right w:val="single" w:sz="4" w:space="0" w:color="auto"/>
            </w:tcBorders>
            <w:shd w:val="clear" w:color="auto" w:fill="auto"/>
          </w:tcPr>
          <w:p w:rsidR="00F05E71" w:rsidRPr="00F05E71" w:rsidRDefault="00F05E71" w:rsidP="00F05E71">
            <w:pPr>
              <w:pStyle w:val="TblTextCenter"/>
            </w:pPr>
          </w:p>
        </w:tc>
      </w:tr>
      <w:tr w:rsidR="00F05E71" w:rsidTr="00F05E71">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jc w:val="left"/>
            </w:pPr>
            <w:r w:rsidRPr="00F05E71">
              <w:t>Dose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proofErr w:type="spellStart"/>
            <w:r w:rsidRPr="00F05E71">
              <w:t>Praluent</w:t>
            </w:r>
            <w:proofErr w:type="spellEnd"/>
            <w:r w:rsidRPr="00F05E71">
              <w:t xml:space="preserve"> (additive effect beyond statin)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Placebo (additive effect beyond statin)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proofErr w:type="spellStart"/>
            <w:r w:rsidRPr="00F05E71">
              <w:t>Praluent</w:t>
            </w:r>
            <w:proofErr w:type="spellEnd"/>
            <w:r w:rsidRPr="00F05E71">
              <w:t xml:space="preserve"> (additive effect beyond statin)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Ezetimibe (additive effect beyond statin)</w:t>
            </w:r>
          </w:p>
        </w:tc>
      </w:tr>
      <w:tr w:rsidR="00F05E71" w:rsidTr="00F05E71">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75/150 mg (up-titration studies)</w:t>
            </w:r>
            <w:r w:rsidRPr="00F05E71">
              <w:rPr>
                <w:vertAlign w:val="superscript"/>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-48.6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4.2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-48.9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-19.3</w:t>
            </w:r>
          </w:p>
        </w:tc>
      </w:tr>
      <w:tr w:rsidR="00F05E71" w:rsidTr="00F05E71">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150 mg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-60.4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0.5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05E71" w:rsidRPr="00F05E71" w:rsidRDefault="00F05E71" w:rsidP="00F05E71">
            <w:pPr>
              <w:pStyle w:val="TblTextCenter"/>
            </w:pPr>
            <w:r w:rsidRPr="00F05E71">
              <w:t>-</w:t>
            </w:r>
          </w:p>
        </w:tc>
      </w:tr>
      <w:tr w:rsidR="00F05E71" w:rsidTr="00F05E71">
        <w:trPr>
          <w:cantSplit/>
          <w:jc w:val="center"/>
        </w:trPr>
        <w:tc>
          <w:tcPr>
            <w:tcW w:w="0" w:type="auto"/>
            <w:gridSpan w:val="5"/>
            <w:tcBorders>
              <w:top w:val="single" w:sz="4" w:space="0" w:color="auto"/>
            </w:tcBorders>
            <w:shd w:val="clear" w:color="auto" w:fill="auto"/>
          </w:tcPr>
          <w:p w:rsidR="00F05E71" w:rsidRDefault="00F05E71" w:rsidP="00EC3032">
            <w:pPr>
              <w:pStyle w:val="TblFigFootnote"/>
            </w:pPr>
            <w:proofErr w:type="gramStart"/>
            <w:r w:rsidRPr="005C40B1">
              <w:rPr>
                <w:vertAlign w:val="superscript"/>
              </w:rPr>
              <w:t>a</w:t>
            </w:r>
            <w:proofErr w:type="gramEnd"/>
            <w:r>
              <w:t xml:space="preserve"> Based on ITT analysis - intent-to-treat population, includes all lipid data throughout the duration of the study irrespective of adherence to the study treatment.</w:t>
            </w:r>
          </w:p>
          <w:p w:rsidR="00F05E71" w:rsidRDefault="00F05E71" w:rsidP="00EC3032">
            <w:pPr>
              <w:pStyle w:val="TblFigFootnote"/>
            </w:pPr>
            <w:proofErr w:type="gramStart"/>
            <w:r w:rsidRPr="005C40B1">
              <w:rPr>
                <w:vertAlign w:val="superscript"/>
              </w:rPr>
              <w:t>b</w:t>
            </w:r>
            <w:proofErr w:type="gramEnd"/>
            <w:r w:rsidRPr="005C40B1">
              <w:rPr>
                <w:vertAlign w:val="superscript"/>
              </w:rPr>
              <w:t xml:space="preserve"> </w:t>
            </w:r>
            <w:r>
              <w:t>Dose was up-titrated to 150 mg once every 2 weeks in 228 (34.5%) patients treated beyond 12 weeks.</w:t>
            </w:r>
          </w:p>
          <w:p w:rsidR="00F05E71" w:rsidRPr="00656C05" w:rsidRDefault="00F05E71" w:rsidP="00EC3032">
            <w:pPr>
              <w:pStyle w:val="TblFigFootnote"/>
            </w:pPr>
            <w:r>
              <w:t xml:space="preserve">Baseline LDL-C in analyses of pooled up-titration studies (COMBO I, FH I and FH II) was 3.33 </w:t>
            </w:r>
            <w:proofErr w:type="spellStart"/>
            <w:r>
              <w:t>mmol</w:t>
            </w:r>
            <w:proofErr w:type="spellEnd"/>
            <w:r>
              <w:t>/</w:t>
            </w:r>
            <w:r w:rsidRPr="00656C05">
              <w:t xml:space="preserve">L in the </w:t>
            </w:r>
            <w:proofErr w:type="spellStart"/>
            <w:r w:rsidRPr="00656C05">
              <w:t>Praluent</w:t>
            </w:r>
            <w:proofErr w:type="spellEnd"/>
            <w:r w:rsidRPr="00656C05">
              <w:t xml:space="preserve"> group and 3.36 </w:t>
            </w:r>
            <w:proofErr w:type="spellStart"/>
            <w:r w:rsidRPr="00656C05">
              <w:t>mmol</w:t>
            </w:r>
            <w:proofErr w:type="spellEnd"/>
            <w:r w:rsidRPr="00656C05">
              <w:t>/L in the placebo group.</w:t>
            </w:r>
          </w:p>
          <w:p w:rsidR="00F05E71" w:rsidRDefault="00F05E71" w:rsidP="00EC3032">
            <w:pPr>
              <w:pStyle w:val="TblFigFootnote"/>
            </w:pPr>
            <w:r w:rsidRPr="00656C05">
              <w:t xml:space="preserve">Baseline LDL-C in analyses of pooled studies using the 150 mg once every 2 weeks dose (LONG TERM, HIGH FH) was </w:t>
            </w:r>
            <w:proofErr w:type="gramStart"/>
            <w:r w:rsidRPr="00656C05">
              <w:t xml:space="preserve">3.26 </w:t>
            </w:r>
            <w:proofErr w:type="spellStart"/>
            <w:r w:rsidRPr="00656C05">
              <w:t>mmol</w:t>
            </w:r>
            <w:proofErr w:type="spellEnd"/>
            <w:r w:rsidRPr="00656C05">
              <w:t xml:space="preserve">/L in the </w:t>
            </w:r>
            <w:proofErr w:type="spellStart"/>
            <w:r w:rsidRPr="00656C05">
              <w:t>Praluent</w:t>
            </w:r>
            <w:proofErr w:type="spellEnd"/>
            <w:r w:rsidRPr="00656C05">
              <w:t xml:space="preserve"> group</w:t>
            </w:r>
            <w:proofErr w:type="gramEnd"/>
            <w:r w:rsidRPr="00656C05">
              <w:t xml:space="preserve"> </w:t>
            </w:r>
            <w:r>
              <w:t xml:space="preserve">and 3.24 </w:t>
            </w:r>
            <w:proofErr w:type="spellStart"/>
            <w:r>
              <w:t>mmol</w:t>
            </w:r>
            <w:proofErr w:type="spellEnd"/>
            <w:r>
              <w:t>/L in the placebo group.</w:t>
            </w:r>
          </w:p>
          <w:p w:rsidR="00F05E71" w:rsidRPr="005C40B1" w:rsidRDefault="00F05E71" w:rsidP="00EC3032">
            <w:pPr>
              <w:pStyle w:val="TblFigFootnote"/>
              <w:rPr>
                <w:vertAlign w:val="superscript"/>
              </w:rPr>
            </w:pPr>
            <w:r>
              <w:t>The individual results for each of the studies are included below.</w:t>
            </w:r>
          </w:p>
        </w:tc>
      </w:tr>
    </w:tbl>
    <w:p w:rsidR="00C85E81" w:rsidRDefault="001C1F76" w:rsidP="006A1A60">
      <w:r w:rsidRPr="00D3620D">
        <w:rPr>
          <w:color w:val="0000FF"/>
        </w:rPr>
        <w:fldChar w:fldCharType="begin"/>
      </w:r>
      <w:r w:rsidRPr="00D3620D">
        <w:rPr>
          <w:color w:val="0000FF"/>
        </w:rPr>
        <w:instrText xml:space="preserve"> REF _Ref409772781 \h  \* MERGEFORMAT </w:instrText>
      </w:r>
      <w:r w:rsidRPr="00D3620D">
        <w:rPr>
          <w:color w:val="0000FF"/>
        </w:rPr>
      </w:r>
      <w:r w:rsidRPr="00D3620D">
        <w:rPr>
          <w:color w:val="0000FF"/>
        </w:rPr>
        <w:fldChar w:fldCharType="separate"/>
      </w:r>
      <w:r w:rsidR="00920B05" w:rsidRPr="00920B05">
        <w:rPr>
          <w:color w:val="0000FF"/>
        </w:rPr>
        <w:t>Figure 2</w:t>
      </w:r>
      <w:r w:rsidRPr="00D3620D">
        <w:rPr>
          <w:color w:val="0000FF"/>
        </w:rPr>
        <w:fldChar w:fldCharType="end"/>
      </w:r>
      <w:r w:rsidR="006A1A60">
        <w:t xml:space="preserve"> </w:t>
      </w:r>
      <w:r w:rsidR="006A1A60" w:rsidRPr="003F1F94">
        <w:rPr>
          <w:lang w:val="en-AU"/>
        </w:rPr>
        <w:t>summarises</w:t>
      </w:r>
      <w:r w:rsidR="006A1A60">
        <w:t xml:space="preserve"> the mean reduction from baseline in LDL-C with </w:t>
      </w:r>
      <w:proofErr w:type="spellStart"/>
      <w:r w:rsidR="009D6895" w:rsidRPr="00656C05">
        <w:t>Praluent</w:t>
      </w:r>
      <w:proofErr w:type="spellEnd"/>
      <w:r w:rsidR="009D6895">
        <w:t xml:space="preserve"> </w:t>
      </w:r>
      <w:r w:rsidR="006A1A60">
        <w:t xml:space="preserve">at week 12 (before up-titration) across phase 3 studies. This figure shows the efficacy of the 75 mg </w:t>
      </w:r>
      <w:r w:rsidR="00CF2464">
        <w:t>once every 2 week</w:t>
      </w:r>
      <w:r w:rsidR="006A1A60">
        <w:t xml:space="preserve"> and 150 mg </w:t>
      </w:r>
      <w:r w:rsidR="00CF2464">
        <w:t xml:space="preserve">once every 2 week </w:t>
      </w:r>
      <w:r w:rsidR="006A1A60">
        <w:t>doses. Week 24 results are provided in the description of the individual studies.</w:t>
      </w:r>
    </w:p>
    <w:p w:rsidR="00BB3422" w:rsidRDefault="00BB3422" w:rsidP="00BB3422">
      <w:pPr>
        <w:pStyle w:val="Caption"/>
      </w:pPr>
      <w:r>
        <w:lastRenderedPageBreak/>
        <w:t xml:space="preserve"> </w:t>
      </w:r>
      <w:bookmarkStart w:id="18" w:name="_Ref409772781"/>
      <w:r>
        <w:t>Figure </w:t>
      </w:r>
      <w:r>
        <w:fldChar w:fldCharType="begin"/>
      </w:r>
      <w:r>
        <w:instrText xml:space="preserve"> SEQ Figure \* ARABIC </w:instrText>
      </w:r>
      <w:r>
        <w:fldChar w:fldCharType="separate"/>
      </w:r>
      <w:r w:rsidR="00920B05">
        <w:rPr>
          <w:noProof/>
        </w:rPr>
        <w:t>2</w:t>
      </w:r>
      <w:r>
        <w:fldChar w:fldCharType="end"/>
      </w:r>
      <w:bookmarkEnd w:id="18"/>
      <w:r>
        <w:t xml:space="preserve"> ­ Summary of mean reduction from baseline in LDL-C with </w:t>
      </w:r>
      <w:proofErr w:type="spellStart"/>
      <w:r w:rsidR="00632888" w:rsidRPr="00656C05">
        <w:t>Praluent</w:t>
      </w:r>
      <w:proofErr w:type="spellEnd"/>
      <w:r w:rsidR="00632888">
        <w:t xml:space="preserve"> </w:t>
      </w:r>
      <w:r>
        <w:t xml:space="preserve">at week 12 (before up-titration) across phase 3 studies. </w:t>
      </w:r>
    </w:p>
    <w:p w:rsidR="006A1A60" w:rsidRDefault="0089714A" w:rsidP="00F63DD8">
      <w:pPr>
        <w:autoSpaceDE w:val="0"/>
        <w:autoSpaceDN w:val="0"/>
        <w:adjustRightInd w:val="0"/>
        <w:spacing w:before="8"/>
        <w:ind w:left="118" w:right="-20"/>
        <w:rPr>
          <w:rFonts w:eastAsia="Times New Roman"/>
          <w:color w:val="auto"/>
          <w:sz w:val="26"/>
          <w:szCs w:val="26"/>
          <w:lang w:val="en-AU" w:eastAsia="en-AU"/>
        </w:rPr>
      </w:pPr>
      <w:r>
        <w:rPr>
          <w:noProof/>
          <w:lang w:val="en-AU" w:eastAsia="en-AU"/>
        </w:rPr>
        <w:drawing>
          <wp:inline distT="0" distB="0" distL="0" distR="0">
            <wp:extent cx="5734050" cy="39052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3905250"/>
                    </a:xfrm>
                    <a:prstGeom prst="rect">
                      <a:avLst/>
                    </a:prstGeom>
                    <a:noFill/>
                    <a:ln>
                      <a:noFill/>
                    </a:ln>
                  </pic:spPr>
                </pic:pic>
              </a:graphicData>
            </a:graphic>
          </wp:inline>
        </w:drawing>
      </w:r>
    </w:p>
    <w:p w:rsidR="002F0D59" w:rsidRDefault="002F0D59" w:rsidP="00D4679D">
      <w:pPr>
        <w:pStyle w:val="Heading2"/>
        <w:numPr>
          <w:ilvl w:val="0"/>
          <w:numId w:val="0"/>
        </w:numPr>
        <w:ind w:left="680" w:hanging="680"/>
      </w:pPr>
      <w:r>
        <w:t>Combination therapy with a statin</w:t>
      </w:r>
    </w:p>
    <w:p w:rsidR="006A1A60" w:rsidRDefault="002F0D59" w:rsidP="00D4679D">
      <w:pPr>
        <w:pStyle w:val="Heading3"/>
        <w:numPr>
          <w:ilvl w:val="0"/>
          <w:numId w:val="0"/>
        </w:numPr>
      </w:pPr>
      <w:r w:rsidRPr="00E67013">
        <w:t>Pla</w:t>
      </w:r>
      <w:r w:rsidR="009D6405">
        <w:t>cebo-controlled phase 3 studies</w:t>
      </w:r>
    </w:p>
    <w:p w:rsidR="009D6405" w:rsidRPr="002B4214" w:rsidRDefault="009D6405" w:rsidP="009D6405">
      <w:pPr>
        <w:pStyle w:val="Heading5"/>
        <w:numPr>
          <w:ilvl w:val="0"/>
          <w:numId w:val="0"/>
        </w:numPr>
        <w:ind w:left="1009" w:hanging="1009"/>
      </w:pPr>
      <w:r w:rsidRPr="002B4214">
        <w:t xml:space="preserve">FH I and FH II studies </w:t>
      </w:r>
    </w:p>
    <w:p w:rsidR="009D6405" w:rsidRPr="00EB54E7" w:rsidRDefault="009D6405" w:rsidP="009D6405">
      <w:pPr>
        <w:rPr>
          <w:color w:val="auto"/>
        </w:rPr>
      </w:pPr>
      <w:r w:rsidRPr="002B4214">
        <w:t xml:space="preserve">Two </w:t>
      </w:r>
      <w:proofErr w:type="spellStart"/>
      <w:r w:rsidRPr="002B4214">
        <w:t>multi</w:t>
      </w:r>
      <w:r w:rsidR="008B6D96">
        <w:t>centre</w:t>
      </w:r>
      <w:proofErr w:type="spellEnd"/>
      <w:r w:rsidRPr="002B4214">
        <w:t xml:space="preserve">, placebo-controlled, double-blind 18-month studies included 732 patients (488 in the </w:t>
      </w:r>
      <w:proofErr w:type="spellStart"/>
      <w:r w:rsidRPr="002B4214">
        <w:t>Praluent</w:t>
      </w:r>
      <w:proofErr w:type="spellEnd"/>
      <w:r w:rsidRPr="002B4214">
        <w:t xml:space="preserve"> group and 244 patients in the placebo group, with a majority of patients treated for a minimum of 52 weeks) with </w:t>
      </w:r>
      <w:proofErr w:type="spellStart"/>
      <w:r w:rsidRPr="002B4214">
        <w:t>heFH</w:t>
      </w:r>
      <w:proofErr w:type="spellEnd"/>
      <w:r w:rsidRPr="002B4214">
        <w:t xml:space="preserve"> receiving a maximally tolerated dose of statin, with or without other lipid-modifying therapy. Patients received either </w:t>
      </w:r>
      <w:proofErr w:type="spellStart"/>
      <w:r w:rsidRPr="002B4214">
        <w:t>Praluent</w:t>
      </w:r>
      <w:proofErr w:type="spellEnd"/>
      <w:r w:rsidRPr="002B4214">
        <w:t xml:space="preserve"> 75 mg once every 2 weeks or </w:t>
      </w:r>
      <w:r w:rsidRPr="002B4214">
        <w:lastRenderedPageBreak/>
        <w:t xml:space="preserve">placebo in addition to their existing lipid modifying therapy. Dose up-titration of </w:t>
      </w:r>
      <w:proofErr w:type="spellStart"/>
      <w:r w:rsidRPr="002B4214">
        <w:t>Praluent</w:t>
      </w:r>
      <w:proofErr w:type="spellEnd"/>
      <w:r w:rsidRPr="002B4214">
        <w:t xml:space="preserve"> to 150 mg once every 2 weeks occurred at week 12 in patients with LDL-C ≥ </w:t>
      </w:r>
      <w:proofErr w:type="gramStart"/>
      <w:r w:rsidRPr="002B4214">
        <w:t xml:space="preserve">1.81 </w:t>
      </w:r>
      <w:proofErr w:type="spellStart"/>
      <w:r w:rsidRPr="002B4214">
        <w:t>mmol</w:t>
      </w:r>
      <w:proofErr w:type="spellEnd"/>
      <w:r w:rsidRPr="002B4214">
        <w:t>/L.</w:t>
      </w:r>
      <w:proofErr w:type="gramEnd"/>
      <w:r w:rsidRPr="002B4214">
        <w:t xml:space="preserve"> At week 24, the mean treatment difference from placebo in LDL-C percent change from baseline was -55.8% (95% CI: -60.0%, -51.6%; p-value: ˂ 0.0001). At week 12 (before up-titration), 50.2% of patients reached an LDL-C of ˂1.81 </w:t>
      </w:r>
      <w:proofErr w:type="spellStart"/>
      <w:r w:rsidRPr="002B4214">
        <w:t>mmol</w:t>
      </w:r>
      <w:proofErr w:type="spellEnd"/>
      <w:r w:rsidRPr="002B4214">
        <w:t xml:space="preserve">/L as compared to 0.6% in the placebo group. Among the subgroup of patients up-titrated at week 12, an additional 15.7% mean reduction in LDL-C was achieved at week 24. </w:t>
      </w:r>
      <w:r w:rsidRPr="00EB54E7">
        <w:rPr>
          <w:color w:val="auto"/>
        </w:rPr>
        <w:t xml:space="preserve">See </w:t>
      </w:r>
      <w:r w:rsidRPr="00D3620D">
        <w:rPr>
          <w:color w:val="0000FF"/>
        </w:rPr>
        <w:fldChar w:fldCharType="begin"/>
      </w:r>
      <w:r w:rsidRPr="00D3620D">
        <w:rPr>
          <w:color w:val="0000FF"/>
        </w:rPr>
        <w:instrText xml:space="preserve"> REF _Ref450031224 \h  \* MERGEFORMAT </w:instrText>
      </w:r>
      <w:r w:rsidRPr="00D3620D">
        <w:rPr>
          <w:color w:val="0000FF"/>
        </w:rPr>
      </w:r>
      <w:r w:rsidRPr="00D3620D">
        <w:rPr>
          <w:color w:val="0000FF"/>
        </w:rPr>
        <w:fldChar w:fldCharType="separate"/>
      </w:r>
      <w:r w:rsidR="00920B05" w:rsidRPr="00920B05">
        <w:rPr>
          <w:color w:val="0000FF"/>
        </w:rPr>
        <w:t>Table 2</w:t>
      </w:r>
      <w:r w:rsidRPr="00D3620D">
        <w:rPr>
          <w:color w:val="0000FF"/>
        </w:rPr>
        <w:fldChar w:fldCharType="end"/>
      </w:r>
      <w:r w:rsidRPr="00EB54E7">
        <w:rPr>
          <w:color w:val="auto"/>
        </w:rPr>
        <w:t xml:space="preserve"> and </w:t>
      </w:r>
      <w:r w:rsidRPr="00D3620D">
        <w:rPr>
          <w:color w:val="0000FF"/>
        </w:rPr>
        <w:fldChar w:fldCharType="begin"/>
      </w:r>
      <w:r w:rsidRPr="00D3620D">
        <w:rPr>
          <w:color w:val="0000FF"/>
        </w:rPr>
        <w:instrText xml:space="preserve"> REF _Ref450292568 \h  \* MERGEFORMAT </w:instrText>
      </w:r>
      <w:r w:rsidRPr="00D3620D">
        <w:rPr>
          <w:color w:val="0000FF"/>
        </w:rPr>
      </w:r>
      <w:r w:rsidRPr="00D3620D">
        <w:rPr>
          <w:color w:val="0000FF"/>
        </w:rPr>
        <w:fldChar w:fldCharType="separate"/>
      </w:r>
      <w:r w:rsidR="00920B05" w:rsidRPr="00920B05">
        <w:rPr>
          <w:color w:val="0000FF"/>
        </w:rPr>
        <w:t>Figure 3</w:t>
      </w:r>
      <w:r w:rsidRPr="00D3620D">
        <w:rPr>
          <w:color w:val="0000FF"/>
        </w:rPr>
        <w:fldChar w:fldCharType="end"/>
      </w:r>
      <w:r w:rsidRPr="00EB54E7">
        <w:rPr>
          <w:color w:val="auto"/>
        </w:rPr>
        <w:t xml:space="preserve"> for details. </w:t>
      </w:r>
    </w:p>
    <w:p w:rsidR="009D6405" w:rsidRPr="002B4214" w:rsidRDefault="009D6405" w:rsidP="009D6405">
      <w:pPr>
        <w:pStyle w:val="Caption"/>
        <w:rPr>
          <w:rFonts w:eastAsia="Times New Roman"/>
          <w:lang w:val="en-AU" w:eastAsia="en-AU"/>
        </w:rPr>
      </w:pPr>
      <w:bookmarkStart w:id="19" w:name="_Ref450292568"/>
      <w:r>
        <w:t>Figure </w:t>
      </w:r>
      <w:r>
        <w:fldChar w:fldCharType="begin"/>
      </w:r>
      <w:r>
        <w:instrText xml:space="preserve"> SEQ Figure \* ARABIC </w:instrText>
      </w:r>
      <w:r>
        <w:fldChar w:fldCharType="separate"/>
      </w:r>
      <w:r w:rsidR="00920B05">
        <w:rPr>
          <w:noProof/>
        </w:rPr>
        <w:t>3</w:t>
      </w:r>
      <w:r>
        <w:fldChar w:fldCharType="end"/>
      </w:r>
      <w:bookmarkEnd w:id="19"/>
      <w:r>
        <w:t xml:space="preserve"> ­ </w:t>
      </w:r>
      <w:r w:rsidRPr="002B4214">
        <w:rPr>
          <w:lang w:val="en-AU"/>
        </w:rPr>
        <w:t>LDL-C over time: Mean percent change from baseline up to 52 weeks – pool of FH studies (FH I and FH II) (ITT analysis)</w:t>
      </w:r>
    </w:p>
    <w:p w:rsidR="009D6405" w:rsidRPr="002B4214" w:rsidRDefault="0089714A" w:rsidP="009D6405">
      <w:pPr>
        <w:autoSpaceDE w:val="0"/>
        <w:autoSpaceDN w:val="0"/>
        <w:adjustRightInd w:val="0"/>
        <w:spacing w:before="0"/>
        <w:ind w:left="689" w:right="-20"/>
        <w:rPr>
          <w:rFonts w:eastAsia="Times New Roman"/>
          <w:color w:val="auto"/>
          <w:sz w:val="20"/>
          <w:szCs w:val="20"/>
          <w:lang w:val="en-AU" w:eastAsia="en-AU"/>
        </w:rPr>
      </w:pPr>
      <w:r>
        <w:rPr>
          <w:rFonts w:eastAsia="Times New Roman"/>
          <w:noProof/>
          <w:color w:val="auto"/>
          <w:sz w:val="20"/>
          <w:szCs w:val="20"/>
          <w:lang w:val="en-AU" w:eastAsia="en-AU"/>
        </w:rPr>
        <w:drawing>
          <wp:inline distT="0" distB="0" distL="0" distR="0">
            <wp:extent cx="4505325" cy="2933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5325" cy="2933700"/>
                    </a:xfrm>
                    <a:prstGeom prst="rect">
                      <a:avLst/>
                    </a:prstGeom>
                    <a:noFill/>
                    <a:ln>
                      <a:noFill/>
                    </a:ln>
                  </pic:spPr>
                </pic:pic>
              </a:graphicData>
            </a:graphic>
          </wp:inline>
        </w:drawing>
      </w:r>
    </w:p>
    <w:p w:rsidR="009D6405" w:rsidRPr="00305EA1" w:rsidRDefault="009D6405" w:rsidP="009D6405">
      <w:pPr>
        <w:pStyle w:val="Heading5"/>
        <w:numPr>
          <w:ilvl w:val="0"/>
          <w:numId w:val="0"/>
        </w:numPr>
        <w:ind w:left="1009" w:hanging="1009"/>
      </w:pPr>
      <w:r w:rsidRPr="00305EA1">
        <w:t>HIGH FH study</w:t>
      </w:r>
    </w:p>
    <w:p w:rsidR="009D6405" w:rsidRPr="00EB54E7" w:rsidRDefault="009D6405" w:rsidP="009D6405">
      <w:pPr>
        <w:rPr>
          <w:color w:val="auto"/>
        </w:rPr>
      </w:pPr>
      <w:r w:rsidRPr="00305EA1">
        <w:t xml:space="preserve">A third </w:t>
      </w:r>
      <w:proofErr w:type="spellStart"/>
      <w:r w:rsidRPr="00305EA1">
        <w:t>multi</w:t>
      </w:r>
      <w:r w:rsidR="008B6D96">
        <w:t>centre</w:t>
      </w:r>
      <w:proofErr w:type="spellEnd"/>
      <w:r w:rsidRPr="00305EA1">
        <w:t xml:space="preserve">, double-blind, placebo-controlled 18-month study included 106 </w:t>
      </w:r>
      <w:proofErr w:type="spellStart"/>
      <w:r w:rsidRPr="00305EA1">
        <w:t>heFH</w:t>
      </w:r>
      <w:proofErr w:type="spellEnd"/>
      <w:r w:rsidRPr="00305EA1">
        <w:t xml:space="preserve"> patients (71 patients in the </w:t>
      </w:r>
      <w:proofErr w:type="spellStart"/>
      <w:r w:rsidRPr="00305EA1">
        <w:t>Praluent</w:t>
      </w:r>
      <w:proofErr w:type="spellEnd"/>
      <w:r w:rsidRPr="00305EA1">
        <w:t xml:space="preserve"> group and 35 patients in the placebo group with a majority of patients treated for a minimum of 52 weeks) on a maximally tolerated dose of statin, with or without other lipid-modifying therapies, and a baseline LDL-C ≥ 4.14 </w:t>
      </w:r>
      <w:proofErr w:type="spellStart"/>
      <w:r w:rsidRPr="00305EA1">
        <w:t>mmol</w:t>
      </w:r>
      <w:proofErr w:type="spellEnd"/>
      <w:r w:rsidRPr="00305EA1">
        <w:t xml:space="preserve">/L. Patients received either </w:t>
      </w:r>
      <w:proofErr w:type="spellStart"/>
      <w:r w:rsidRPr="00305EA1">
        <w:t>Praluent</w:t>
      </w:r>
      <w:proofErr w:type="spellEnd"/>
      <w:r w:rsidRPr="00305EA1">
        <w:t xml:space="preserve"> at a dose of 150 mg once every 2 weeks or placebo in addition to their existing lipid-modifying therapy. Mean baseline LDL-C was </w:t>
      </w:r>
      <w:proofErr w:type="gramStart"/>
      <w:r w:rsidRPr="00305EA1">
        <w:t xml:space="preserve">5.08 </w:t>
      </w:r>
      <w:proofErr w:type="spellStart"/>
      <w:r w:rsidRPr="00305EA1">
        <w:t>mmol</w:t>
      </w:r>
      <w:proofErr w:type="spellEnd"/>
      <w:r w:rsidRPr="00305EA1">
        <w:t xml:space="preserve">/L in the </w:t>
      </w:r>
      <w:proofErr w:type="spellStart"/>
      <w:r w:rsidRPr="00305EA1">
        <w:t>Praluent</w:t>
      </w:r>
      <w:proofErr w:type="spellEnd"/>
      <w:r w:rsidRPr="00305EA1">
        <w:t xml:space="preserve"> group</w:t>
      </w:r>
      <w:proofErr w:type="gramEnd"/>
      <w:r w:rsidRPr="00305EA1">
        <w:t xml:space="preserve"> and 5.20 </w:t>
      </w:r>
      <w:proofErr w:type="spellStart"/>
      <w:r w:rsidRPr="00305EA1">
        <w:t>mmol</w:t>
      </w:r>
      <w:proofErr w:type="spellEnd"/>
      <w:r w:rsidRPr="00305EA1">
        <w:t xml:space="preserve">/L in the </w:t>
      </w:r>
      <w:r w:rsidRPr="00305EA1">
        <w:lastRenderedPageBreak/>
        <w:t xml:space="preserve">placebo group. The mean percent change from baseline with </w:t>
      </w:r>
      <w:proofErr w:type="spellStart"/>
      <w:r w:rsidRPr="00305EA1">
        <w:t>Praluent</w:t>
      </w:r>
      <w:proofErr w:type="spellEnd"/>
      <w:r w:rsidRPr="00305EA1">
        <w:t xml:space="preserve"> in LDL-C (ITT analysis) was -46.9% at week 12 and -45.7% at week 24 compared to -6.6% at week 12 and -6.6% at week 24 for placebo. This corresponded to a mean absolute change from baseline at week 24 </w:t>
      </w:r>
      <w:proofErr w:type="gramStart"/>
      <w:r w:rsidRPr="00305EA1">
        <w:t xml:space="preserve">of -2.35 </w:t>
      </w:r>
      <w:proofErr w:type="spellStart"/>
      <w:r w:rsidRPr="00305EA1">
        <w:t>mmol</w:t>
      </w:r>
      <w:proofErr w:type="spellEnd"/>
      <w:r w:rsidRPr="00305EA1">
        <w:t>/L.</w:t>
      </w:r>
      <w:proofErr w:type="gramEnd"/>
      <w:r w:rsidRPr="00305EA1">
        <w:t xml:space="preserve"> At week 24, the mean treatment difference from placebo in LDL-C percent change from baseline was -39.1% (95% CI: -51.1%, -27.1%; p-value: ˂0.0001). Mean changes for all other lipids/lipoproteins were similar to the FH I and FH II studies, however statistical significance was not reached for TG, HDL-C and Apo A-1.</w:t>
      </w:r>
      <w:r w:rsidRPr="00EB54E7">
        <w:rPr>
          <w:color w:val="auto"/>
        </w:rPr>
        <w:t xml:space="preserve"> See </w:t>
      </w:r>
      <w:r w:rsidRPr="00D3620D">
        <w:rPr>
          <w:color w:val="0000FF"/>
        </w:rPr>
        <w:fldChar w:fldCharType="begin"/>
      </w:r>
      <w:r w:rsidRPr="00D3620D">
        <w:rPr>
          <w:color w:val="0000FF"/>
        </w:rPr>
        <w:instrText xml:space="preserve"> REF _Ref450031224 \h  \* MERGEFORMAT </w:instrText>
      </w:r>
      <w:r w:rsidRPr="00D3620D">
        <w:rPr>
          <w:color w:val="0000FF"/>
        </w:rPr>
      </w:r>
      <w:r w:rsidRPr="00D3620D">
        <w:rPr>
          <w:color w:val="0000FF"/>
        </w:rPr>
        <w:fldChar w:fldCharType="separate"/>
      </w:r>
      <w:r w:rsidR="00920B05" w:rsidRPr="00920B05">
        <w:rPr>
          <w:color w:val="0000FF"/>
        </w:rPr>
        <w:t>Table 2</w:t>
      </w:r>
      <w:r w:rsidRPr="00D3620D">
        <w:rPr>
          <w:color w:val="0000FF"/>
        </w:rPr>
        <w:fldChar w:fldCharType="end"/>
      </w:r>
      <w:r w:rsidRPr="00EB54E7">
        <w:rPr>
          <w:color w:val="auto"/>
        </w:rPr>
        <w:t xml:space="preserve"> for details.</w:t>
      </w:r>
    </w:p>
    <w:p w:rsidR="006D797C" w:rsidRPr="00E67013" w:rsidRDefault="0093596E" w:rsidP="00070259">
      <w:pPr>
        <w:pStyle w:val="Heading5"/>
        <w:numPr>
          <w:ilvl w:val="0"/>
          <w:numId w:val="0"/>
        </w:numPr>
        <w:ind w:left="1009" w:hanging="1009"/>
      </w:pPr>
      <w:r w:rsidRPr="00E67013">
        <w:t xml:space="preserve">COMBO I study </w:t>
      </w:r>
    </w:p>
    <w:p w:rsidR="0093596E" w:rsidRPr="00E67013" w:rsidRDefault="0093596E" w:rsidP="0093596E">
      <w:pPr>
        <w:rPr>
          <w:color w:val="auto"/>
        </w:rPr>
      </w:pPr>
      <w:r w:rsidRPr="00E67013">
        <w:t xml:space="preserve">A </w:t>
      </w:r>
      <w:proofErr w:type="spellStart"/>
      <w:r w:rsidRPr="00E67013">
        <w:t>multi</w:t>
      </w:r>
      <w:r w:rsidR="008B6D96">
        <w:t>centre</w:t>
      </w:r>
      <w:proofErr w:type="spellEnd"/>
      <w:r w:rsidRPr="00E67013">
        <w:t xml:space="preserve">, double-blind, placebo-controlled, 52 week study included 311 patients (205 in the </w:t>
      </w:r>
      <w:proofErr w:type="spellStart"/>
      <w:r w:rsidR="00632888" w:rsidRPr="00E67013">
        <w:t>Praluent</w:t>
      </w:r>
      <w:proofErr w:type="spellEnd"/>
      <w:r w:rsidR="00632888" w:rsidRPr="00E67013">
        <w:t xml:space="preserve"> </w:t>
      </w:r>
      <w:r w:rsidRPr="00E67013">
        <w:t xml:space="preserve">group and 106 in placebo group) </w:t>
      </w:r>
      <w:proofErr w:type="spellStart"/>
      <w:r w:rsidRPr="00E67013">
        <w:t>categorised</w:t>
      </w:r>
      <w:proofErr w:type="spellEnd"/>
      <w:r w:rsidRPr="00E67013">
        <w:t xml:space="preserve"> as very high CV risk and not at their pre-defined target LDL-C on a maximally tolerated dose of statin, with or without other lipid-modifying therapy. Patients received either 75 mg </w:t>
      </w:r>
      <w:proofErr w:type="spellStart"/>
      <w:r w:rsidR="008272DE" w:rsidRPr="00E67013">
        <w:t>Praluent</w:t>
      </w:r>
      <w:proofErr w:type="spellEnd"/>
      <w:r w:rsidR="008272DE" w:rsidRPr="00E67013">
        <w:t xml:space="preserve"> </w:t>
      </w:r>
      <w:r w:rsidR="00CF2464" w:rsidRPr="00E67013">
        <w:t>once every 2 weeks</w:t>
      </w:r>
      <w:r w:rsidRPr="00E67013">
        <w:t xml:space="preserve"> or placebo in addition to their existing lipid-modifying therapy. Dose up-titration of </w:t>
      </w:r>
      <w:proofErr w:type="spellStart"/>
      <w:r w:rsidR="00632888" w:rsidRPr="00E67013">
        <w:t>Praluent</w:t>
      </w:r>
      <w:proofErr w:type="spellEnd"/>
      <w:r w:rsidR="00632888" w:rsidRPr="00E67013">
        <w:t xml:space="preserve"> </w:t>
      </w:r>
      <w:r w:rsidRPr="00E67013">
        <w:t xml:space="preserve">to 150 mg </w:t>
      </w:r>
      <w:r w:rsidR="00CF2464" w:rsidRPr="00E67013">
        <w:t>once every 2 weeks</w:t>
      </w:r>
      <w:r w:rsidR="00A15E26" w:rsidRPr="00E67013">
        <w:t xml:space="preserve"> </w:t>
      </w:r>
      <w:r w:rsidRPr="00E67013">
        <w:t>occurred at week 12 in patients with LDL-C ≥</w:t>
      </w:r>
      <w:r w:rsidR="00A15E26" w:rsidRPr="00E67013">
        <w:t xml:space="preserve"> 1.81 </w:t>
      </w:r>
      <w:proofErr w:type="spellStart"/>
      <w:r w:rsidR="00A15E26" w:rsidRPr="00E67013">
        <w:t>mmol</w:t>
      </w:r>
      <w:proofErr w:type="spellEnd"/>
      <w:r w:rsidR="00A15E26" w:rsidRPr="00E67013">
        <w:t>/L</w:t>
      </w:r>
      <w:r w:rsidRPr="00E67013">
        <w:t xml:space="preserve">. Mean baseline LDL-C was </w:t>
      </w:r>
      <w:proofErr w:type="gramStart"/>
      <w:r w:rsidR="00A15E26" w:rsidRPr="00E67013">
        <w:t xml:space="preserve">2.59 </w:t>
      </w:r>
      <w:proofErr w:type="spellStart"/>
      <w:r w:rsidR="00A15E26" w:rsidRPr="00E67013">
        <w:t>mmol</w:t>
      </w:r>
      <w:proofErr w:type="spellEnd"/>
      <w:r w:rsidR="00A15E26" w:rsidRPr="00E67013">
        <w:t>/L</w:t>
      </w:r>
      <w:r w:rsidRPr="00E67013">
        <w:t xml:space="preserve"> in the </w:t>
      </w:r>
      <w:proofErr w:type="spellStart"/>
      <w:r w:rsidR="008272DE" w:rsidRPr="00E67013">
        <w:t>Praluent</w:t>
      </w:r>
      <w:proofErr w:type="spellEnd"/>
      <w:r w:rsidR="008272DE" w:rsidRPr="00E67013">
        <w:t xml:space="preserve"> </w:t>
      </w:r>
      <w:r w:rsidRPr="00E67013">
        <w:t>group</w:t>
      </w:r>
      <w:proofErr w:type="gramEnd"/>
      <w:r w:rsidRPr="00E67013">
        <w:t xml:space="preserve"> and </w:t>
      </w:r>
      <w:r w:rsidR="00A15E26" w:rsidRPr="00E67013">
        <w:t xml:space="preserve">2.74 </w:t>
      </w:r>
      <w:proofErr w:type="spellStart"/>
      <w:r w:rsidR="00A15E26" w:rsidRPr="00E67013">
        <w:t>mmol</w:t>
      </w:r>
      <w:proofErr w:type="spellEnd"/>
      <w:r w:rsidR="00A15E26" w:rsidRPr="00E67013">
        <w:t xml:space="preserve">/L </w:t>
      </w:r>
      <w:r w:rsidRPr="00E67013">
        <w:t xml:space="preserve">in the placebo group. The mean percent change from baseline with </w:t>
      </w:r>
      <w:proofErr w:type="spellStart"/>
      <w:r w:rsidR="00632888" w:rsidRPr="00E67013">
        <w:t>Praluent</w:t>
      </w:r>
      <w:proofErr w:type="spellEnd"/>
      <w:r w:rsidR="00632888" w:rsidRPr="00E67013">
        <w:t xml:space="preserve"> </w:t>
      </w:r>
      <w:r w:rsidRPr="00E67013">
        <w:t xml:space="preserve">in LDL-C (ITT analysis) was -46.3% at week 12 and -48.2% at week 24 compared to 1.1% at week 12 and -2.3% at week 24 for placebo. This corresponded to a mean absolute change from baseline at week 24 </w:t>
      </w:r>
      <w:proofErr w:type="gramStart"/>
      <w:r w:rsidRPr="00E67013">
        <w:t>of -</w:t>
      </w:r>
      <w:r w:rsidR="00A15E26" w:rsidRPr="00E67013">
        <w:t xml:space="preserve">1.30 </w:t>
      </w:r>
      <w:proofErr w:type="spellStart"/>
      <w:r w:rsidR="00A15E26" w:rsidRPr="00E67013">
        <w:t>mmol</w:t>
      </w:r>
      <w:proofErr w:type="spellEnd"/>
      <w:r w:rsidR="00A15E26" w:rsidRPr="00E67013">
        <w:t>/L</w:t>
      </w:r>
      <w:r w:rsidRPr="00E67013">
        <w:t>.</w:t>
      </w:r>
      <w:proofErr w:type="gramEnd"/>
      <w:r w:rsidRPr="00E67013">
        <w:t xml:space="preserve"> At week 24, the mean treatment difference from placebo in LDL-C percent change from baseline was -45.9% (95% CI: -52.5%, -39.3%; p-value: ˂0.0001). At week 12 (before up-titration), 76.0% of patients in the </w:t>
      </w:r>
      <w:proofErr w:type="spellStart"/>
      <w:r w:rsidR="008272DE" w:rsidRPr="00E67013">
        <w:t>Praluent</w:t>
      </w:r>
      <w:proofErr w:type="spellEnd"/>
      <w:r w:rsidR="008272DE" w:rsidRPr="00E67013">
        <w:t xml:space="preserve"> </w:t>
      </w:r>
      <w:r w:rsidRPr="00E67013">
        <w:t>group reached an LDL-C of ˂</w:t>
      </w:r>
      <w:r w:rsidR="00A15E26" w:rsidRPr="00E67013">
        <w:t xml:space="preserve"> 1.81 </w:t>
      </w:r>
      <w:proofErr w:type="spellStart"/>
      <w:r w:rsidR="00A15E26" w:rsidRPr="00E67013">
        <w:t>mmol</w:t>
      </w:r>
      <w:proofErr w:type="spellEnd"/>
      <w:r w:rsidR="00A15E26" w:rsidRPr="00E67013">
        <w:t xml:space="preserve">/L </w:t>
      </w:r>
      <w:r w:rsidRPr="00E67013">
        <w:t xml:space="preserve">as compared to 11.3% in the placebo group. The dose was up-titrated to 150 mg </w:t>
      </w:r>
      <w:r w:rsidR="00CF2464" w:rsidRPr="00E67013">
        <w:t>once every 2 weeks</w:t>
      </w:r>
      <w:r w:rsidRPr="00E67013">
        <w:t xml:space="preserve"> in 32 (16.8%) patients treated beyond 12 weeks. Among the subgroup of patients up-titrated at week 12, an additional 22.8% mean reduction in LDL-C was achieved at week 24. The difference versus placebo was statistically significant at week 24 for all lipids/ lipoproteins except TG and Apo A-1.</w:t>
      </w:r>
      <w:r w:rsidR="00687791" w:rsidRPr="00E67013">
        <w:t xml:space="preserve"> </w:t>
      </w:r>
      <w:r w:rsidR="00687791" w:rsidRPr="00E67013">
        <w:rPr>
          <w:color w:val="auto"/>
        </w:rPr>
        <w:t xml:space="preserve">See </w:t>
      </w:r>
      <w:r w:rsidR="00687791" w:rsidRPr="00D3620D">
        <w:rPr>
          <w:color w:val="0000FF"/>
        </w:rPr>
        <w:fldChar w:fldCharType="begin"/>
      </w:r>
      <w:r w:rsidR="00687791" w:rsidRPr="00D3620D">
        <w:rPr>
          <w:color w:val="0000FF"/>
        </w:rPr>
        <w:instrText xml:space="preserve"> REF _Ref450031224 \h  \* MERGEFORMAT </w:instrText>
      </w:r>
      <w:r w:rsidR="00687791" w:rsidRPr="00D3620D">
        <w:rPr>
          <w:color w:val="0000FF"/>
        </w:rPr>
      </w:r>
      <w:r w:rsidR="00687791" w:rsidRPr="00D3620D">
        <w:rPr>
          <w:color w:val="0000FF"/>
        </w:rPr>
        <w:fldChar w:fldCharType="separate"/>
      </w:r>
      <w:r w:rsidR="00920B05" w:rsidRPr="00920B05">
        <w:rPr>
          <w:color w:val="0000FF"/>
        </w:rPr>
        <w:t>Table 2</w:t>
      </w:r>
      <w:r w:rsidR="00687791" w:rsidRPr="00D3620D">
        <w:rPr>
          <w:color w:val="0000FF"/>
        </w:rPr>
        <w:fldChar w:fldCharType="end"/>
      </w:r>
      <w:r w:rsidR="00687791" w:rsidRPr="00E67013">
        <w:rPr>
          <w:color w:val="auto"/>
        </w:rPr>
        <w:t xml:space="preserve"> for details</w:t>
      </w:r>
      <w:r w:rsidR="00C62054" w:rsidRPr="00E67013">
        <w:rPr>
          <w:color w:val="auto"/>
        </w:rPr>
        <w:t>.</w:t>
      </w:r>
    </w:p>
    <w:p w:rsidR="003E320D" w:rsidRPr="00E67013" w:rsidRDefault="003E320D" w:rsidP="00070259">
      <w:pPr>
        <w:pStyle w:val="Heading4"/>
        <w:numPr>
          <w:ilvl w:val="0"/>
          <w:numId w:val="0"/>
        </w:numPr>
      </w:pPr>
      <w:r w:rsidRPr="00E67013">
        <w:t>Ezetimibe-controlled phase</w:t>
      </w:r>
      <w:r w:rsidR="009D6405">
        <w:t xml:space="preserve"> 3 study (on background statin)</w:t>
      </w:r>
    </w:p>
    <w:p w:rsidR="003E320D" w:rsidRPr="00E67013" w:rsidRDefault="00ED7B5E" w:rsidP="00070259">
      <w:pPr>
        <w:pStyle w:val="Heading5"/>
        <w:numPr>
          <w:ilvl w:val="0"/>
          <w:numId w:val="0"/>
        </w:numPr>
        <w:ind w:left="1009" w:hanging="1009"/>
      </w:pPr>
      <w:r w:rsidRPr="00E67013">
        <w:t xml:space="preserve">COMBO II study </w:t>
      </w:r>
    </w:p>
    <w:p w:rsidR="00ED7B5E" w:rsidRPr="00E67013" w:rsidRDefault="00ED7B5E" w:rsidP="00ED7B5E">
      <w:r w:rsidRPr="00E67013">
        <w:t xml:space="preserve">A </w:t>
      </w:r>
      <w:proofErr w:type="spellStart"/>
      <w:r w:rsidRPr="00E67013">
        <w:t>multi</w:t>
      </w:r>
      <w:r w:rsidR="008B6D96">
        <w:t>centre</w:t>
      </w:r>
      <w:proofErr w:type="spellEnd"/>
      <w:r w:rsidRPr="00E67013">
        <w:t xml:space="preserve">, double-blind, ezetimibe-controlled 2 year study included 707 patients (467 patients in the </w:t>
      </w:r>
      <w:proofErr w:type="spellStart"/>
      <w:r w:rsidR="008272DE" w:rsidRPr="00E67013">
        <w:t>Praluent</w:t>
      </w:r>
      <w:proofErr w:type="spellEnd"/>
      <w:r w:rsidR="008272DE" w:rsidRPr="00E67013">
        <w:t xml:space="preserve"> </w:t>
      </w:r>
      <w:r w:rsidRPr="00E67013">
        <w:t xml:space="preserve">group and 240 patients in the ezetimibe group, with a majority of patients treated for a minimum of 52 weeks) </w:t>
      </w:r>
      <w:proofErr w:type="spellStart"/>
      <w:r w:rsidRPr="00E67013">
        <w:t>categorised</w:t>
      </w:r>
      <w:proofErr w:type="spellEnd"/>
      <w:r w:rsidRPr="00E67013">
        <w:t xml:space="preserve"> as very high CV risk and not at their pre-defined target LDL-C on a maximally tolerated dose of statin. Patients received either </w:t>
      </w:r>
      <w:proofErr w:type="spellStart"/>
      <w:r w:rsidR="008272DE" w:rsidRPr="00E67013">
        <w:t>Praluent</w:t>
      </w:r>
      <w:proofErr w:type="spellEnd"/>
      <w:r w:rsidR="008272DE" w:rsidRPr="00E67013">
        <w:t xml:space="preserve"> </w:t>
      </w:r>
      <w:r w:rsidRPr="00E67013">
        <w:t xml:space="preserve">75 mg </w:t>
      </w:r>
      <w:r w:rsidR="00CF2464" w:rsidRPr="00E67013">
        <w:t xml:space="preserve">once </w:t>
      </w:r>
      <w:r w:rsidR="00CF2464" w:rsidRPr="00E67013">
        <w:lastRenderedPageBreak/>
        <w:t>every 2 weeks</w:t>
      </w:r>
      <w:r w:rsidRPr="00E67013">
        <w:t xml:space="preserve"> or ezetimibe 10 mg once daily in addition to their existing statin therapy. Dose up-titration of </w:t>
      </w:r>
      <w:proofErr w:type="spellStart"/>
      <w:r w:rsidR="008272DE" w:rsidRPr="00E67013">
        <w:t>Praluent</w:t>
      </w:r>
      <w:proofErr w:type="spellEnd"/>
      <w:r w:rsidR="008272DE" w:rsidRPr="00E67013">
        <w:t xml:space="preserve"> </w:t>
      </w:r>
      <w:r w:rsidRPr="00E67013">
        <w:t xml:space="preserve">to 150 mg </w:t>
      </w:r>
      <w:r w:rsidR="00CF2464" w:rsidRPr="00E67013">
        <w:t>once every 2 weeks</w:t>
      </w:r>
      <w:r w:rsidRPr="00E67013">
        <w:t xml:space="preserve"> occurred at week 12 in patients with LDL-C ≥</w:t>
      </w:r>
      <w:r w:rsidR="00A15E26" w:rsidRPr="00E67013">
        <w:t xml:space="preserve"> </w:t>
      </w:r>
      <w:proofErr w:type="gramStart"/>
      <w:r w:rsidR="00A15E26" w:rsidRPr="00E67013">
        <w:t xml:space="preserve">1.81 </w:t>
      </w:r>
      <w:proofErr w:type="spellStart"/>
      <w:r w:rsidR="00A15E26" w:rsidRPr="00E67013">
        <w:t>mmol</w:t>
      </w:r>
      <w:proofErr w:type="spellEnd"/>
      <w:r w:rsidR="00A15E26" w:rsidRPr="00E67013">
        <w:t>/L</w:t>
      </w:r>
      <w:r w:rsidRPr="00E67013">
        <w:t>.</w:t>
      </w:r>
      <w:proofErr w:type="gramEnd"/>
      <w:r w:rsidRPr="00E67013">
        <w:t xml:space="preserve"> At week 24, the mean treatment difference from ezetimibe in LDL-C percent change from baseline was -29.8% (95% CI: -34.4%, -25.3%; p-value: ˂0.0001).</w:t>
      </w:r>
      <w:r w:rsidRPr="00E67013">
        <w:rPr>
          <w:color w:val="FF0000"/>
        </w:rPr>
        <w:t xml:space="preserve"> </w:t>
      </w:r>
      <w:r w:rsidRPr="00E67013">
        <w:t xml:space="preserve">At week 12 (before up-titration), 77.2% of patients </w:t>
      </w:r>
      <w:r w:rsidR="00C6617D" w:rsidRPr="00E67013">
        <w:t xml:space="preserve">reached </w:t>
      </w:r>
      <w:r w:rsidRPr="00E67013">
        <w:t>an LDL-C of ˂</w:t>
      </w:r>
      <w:r w:rsidR="00A15E26" w:rsidRPr="00E67013">
        <w:t xml:space="preserve"> 1.81 </w:t>
      </w:r>
      <w:proofErr w:type="spellStart"/>
      <w:r w:rsidR="00A15E26" w:rsidRPr="00E67013">
        <w:t>mmol</w:t>
      </w:r>
      <w:proofErr w:type="spellEnd"/>
      <w:r w:rsidR="00A15E26" w:rsidRPr="00E67013">
        <w:t xml:space="preserve">/L </w:t>
      </w:r>
      <w:r w:rsidRPr="00E67013">
        <w:t>as compared to 46.2% in the ezetimibe group. Among the subgroup of patients up-titrated at week 12, an additional 10.5% mean reduction in LDL-C was achieved at week 24.</w:t>
      </w:r>
      <w:r w:rsidR="001C1F76" w:rsidRPr="00E67013">
        <w:t xml:space="preserve"> </w:t>
      </w:r>
      <w:r w:rsidR="001C1F76" w:rsidRPr="003F1F94">
        <w:t>See</w:t>
      </w:r>
      <w:r w:rsidR="00687791" w:rsidRPr="003F1F94">
        <w:rPr>
          <w:color w:val="0000FF"/>
        </w:rPr>
        <w:t xml:space="preserve"> </w:t>
      </w:r>
      <w:r w:rsidR="003F1F94" w:rsidRPr="003F1F94">
        <w:rPr>
          <w:color w:val="0000FF"/>
        </w:rPr>
        <w:fldChar w:fldCharType="begin"/>
      </w:r>
      <w:r w:rsidR="003F1F94" w:rsidRPr="003F1F94">
        <w:rPr>
          <w:color w:val="0000FF"/>
        </w:rPr>
        <w:instrText xml:space="preserve"> REF _Ref450031224 \h  \* MERGEFORMAT </w:instrText>
      </w:r>
      <w:r w:rsidR="003F1F94" w:rsidRPr="003F1F94">
        <w:rPr>
          <w:color w:val="0000FF"/>
        </w:rPr>
      </w:r>
      <w:r w:rsidR="003F1F94" w:rsidRPr="003F1F94">
        <w:rPr>
          <w:color w:val="0000FF"/>
        </w:rPr>
        <w:fldChar w:fldCharType="separate"/>
      </w:r>
      <w:r w:rsidR="00920B05" w:rsidRPr="00920B05">
        <w:rPr>
          <w:color w:val="0000FF"/>
        </w:rPr>
        <w:t>Table 2</w:t>
      </w:r>
      <w:r w:rsidR="003F1F94" w:rsidRPr="003F1F94">
        <w:rPr>
          <w:color w:val="0000FF"/>
        </w:rPr>
        <w:fldChar w:fldCharType="end"/>
      </w:r>
      <w:r w:rsidR="003F1F94" w:rsidRPr="003F1F94">
        <w:rPr>
          <w:color w:val="0000FF"/>
        </w:rPr>
        <w:t xml:space="preserve"> </w:t>
      </w:r>
      <w:r w:rsidR="001C1F76" w:rsidRPr="003F1F94">
        <w:rPr>
          <w:color w:val="auto"/>
        </w:rPr>
        <w:t>for detail</w:t>
      </w:r>
      <w:r w:rsidR="001C1F76" w:rsidRPr="00E67013">
        <w:rPr>
          <w:color w:val="auto"/>
        </w:rPr>
        <w:t>s</w:t>
      </w:r>
      <w:r w:rsidR="001C1F76" w:rsidRPr="00E67013">
        <w:rPr>
          <w:color w:val="0000FF"/>
        </w:rPr>
        <w:t xml:space="preserve">. </w:t>
      </w:r>
      <w:r w:rsidR="001C1F76" w:rsidRPr="00E67013">
        <w:t xml:space="preserve"> </w:t>
      </w:r>
    </w:p>
    <w:p w:rsidR="009D6405" w:rsidRDefault="009D6405" w:rsidP="00181601">
      <w:pPr>
        <w:keepNext/>
        <w:rPr>
          <w:rFonts w:ascii="Arial" w:eastAsia="MS Gothic" w:hAnsi="Arial" w:cs="Arial"/>
          <w:b/>
          <w:iCs/>
          <w:caps/>
          <w:color w:val="auto"/>
          <w:kern w:val="32"/>
          <w:sz w:val="22"/>
          <w:szCs w:val="28"/>
        </w:rPr>
      </w:pPr>
      <w:bookmarkStart w:id="20" w:name="_Toc341259157"/>
      <w:r w:rsidRPr="009D6405">
        <w:rPr>
          <w:rFonts w:ascii="Arial" w:eastAsia="MS Gothic" w:hAnsi="Arial" w:cs="Arial"/>
          <w:b/>
          <w:iCs/>
          <w:caps/>
          <w:color w:val="auto"/>
          <w:kern w:val="32"/>
          <w:sz w:val="22"/>
          <w:szCs w:val="28"/>
        </w:rPr>
        <w:t>STATIN INTOLERANT THERAPY (ADD-ON TO NON-STATIN LIPID MODIFYING THERAPY)</w:t>
      </w:r>
    </w:p>
    <w:p w:rsidR="00537C86" w:rsidRPr="00E67013" w:rsidRDefault="00537C86" w:rsidP="00181601">
      <w:pPr>
        <w:pStyle w:val="Heading5"/>
        <w:numPr>
          <w:ilvl w:val="0"/>
          <w:numId w:val="0"/>
        </w:numPr>
        <w:ind w:left="1009" w:hanging="1009"/>
      </w:pPr>
      <w:r w:rsidRPr="00E67013">
        <w:t>ALTERNATIVE study</w:t>
      </w:r>
    </w:p>
    <w:p w:rsidR="00537C86" w:rsidRPr="00E67013" w:rsidRDefault="00537C86" w:rsidP="00537C86">
      <w:r w:rsidRPr="00E67013">
        <w:t xml:space="preserve">A </w:t>
      </w:r>
      <w:proofErr w:type="spellStart"/>
      <w:r w:rsidRPr="00E67013">
        <w:t>multi</w:t>
      </w:r>
      <w:r w:rsidR="008B6D96">
        <w:t>centre</w:t>
      </w:r>
      <w:proofErr w:type="spellEnd"/>
      <w:r w:rsidRPr="00E67013">
        <w:t>, double-blind, ezetimibe-controlled, 24 week study included 248 patients (126 patients in</w:t>
      </w:r>
      <w:r w:rsidR="008272DE" w:rsidRPr="00E67013">
        <w:t xml:space="preserve"> the</w:t>
      </w:r>
      <w:r w:rsidRPr="00E67013">
        <w:t xml:space="preserve"> </w:t>
      </w:r>
      <w:proofErr w:type="spellStart"/>
      <w:r w:rsidR="008272DE" w:rsidRPr="00E67013">
        <w:t>Praluent</w:t>
      </w:r>
      <w:proofErr w:type="spellEnd"/>
      <w:r w:rsidR="008272DE" w:rsidRPr="00E67013">
        <w:t xml:space="preserve"> </w:t>
      </w:r>
      <w:r w:rsidRPr="00E67013">
        <w:t xml:space="preserve">group and 122 in the ezetimibe group) with documented statin intolerance due to skeletal muscle-related symptoms. Patients received either </w:t>
      </w:r>
      <w:proofErr w:type="spellStart"/>
      <w:r w:rsidR="008272DE" w:rsidRPr="00E67013">
        <w:t>Praluent</w:t>
      </w:r>
      <w:proofErr w:type="spellEnd"/>
      <w:r w:rsidR="008272DE" w:rsidRPr="00E67013">
        <w:t xml:space="preserve"> </w:t>
      </w:r>
      <w:r w:rsidRPr="00E67013">
        <w:t xml:space="preserve">75 mg </w:t>
      </w:r>
      <w:r w:rsidR="00CF2464" w:rsidRPr="00E67013">
        <w:t>once every 2 weeks</w:t>
      </w:r>
      <w:r w:rsidRPr="00E67013">
        <w:t xml:space="preserve"> or ezetimibe 10 mg once daily, or atorvastatin 20 mg once daily (as a re-challenge arm). Dose up-titration of </w:t>
      </w:r>
      <w:proofErr w:type="spellStart"/>
      <w:r w:rsidR="00F5368E" w:rsidRPr="00E67013">
        <w:t>Praluent</w:t>
      </w:r>
      <w:proofErr w:type="spellEnd"/>
      <w:r w:rsidR="00F5368E" w:rsidRPr="00E67013">
        <w:t xml:space="preserve"> </w:t>
      </w:r>
      <w:r w:rsidRPr="00E67013">
        <w:t xml:space="preserve">to 150 mg </w:t>
      </w:r>
      <w:r w:rsidR="00CF2464" w:rsidRPr="00E67013">
        <w:t>once every 2 weeks</w:t>
      </w:r>
      <w:r w:rsidRPr="00E67013">
        <w:t xml:space="preserve"> occurred at week 12 in patients with LDL-C ≥</w:t>
      </w:r>
      <w:r w:rsidR="008644CE" w:rsidRPr="00E67013">
        <w:t xml:space="preserve"> </w:t>
      </w:r>
      <w:proofErr w:type="gramStart"/>
      <w:r w:rsidR="008644CE" w:rsidRPr="00E67013">
        <w:t xml:space="preserve">1.81 </w:t>
      </w:r>
      <w:proofErr w:type="spellStart"/>
      <w:r w:rsidR="008644CE" w:rsidRPr="00E67013">
        <w:t>mmol</w:t>
      </w:r>
      <w:proofErr w:type="spellEnd"/>
      <w:r w:rsidR="008644CE" w:rsidRPr="00E67013">
        <w:t>/L</w:t>
      </w:r>
      <w:proofErr w:type="gramEnd"/>
      <w:r w:rsidR="008644CE" w:rsidRPr="00E67013">
        <w:t xml:space="preserve"> </w:t>
      </w:r>
      <w:r w:rsidRPr="00E67013">
        <w:t>or ≥</w:t>
      </w:r>
      <w:r w:rsidR="008644CE" w:rsidRPr="00E67013">
        <w:t xml:space="preserve"> 2.59 </w:t>
      </w:r>
      <w:proofErr w:type="spellStart"/>
      <w:r w:rsidR="008644CE" w:rsidRPr="00E67013">
        <w:t>mmol</w:t>
      </w:r>
      <w:proofErr w:type="spellEnd"/>
      <w:r w:rsidR="008644CE" w:rsidRPr="00E67013">
        <w:t>/L</w:t>
      </w:r>
      <w:r w:rsidRPr="00E67013">
        <w:t>, depending on their level of CV risk. At week 24, the mean treatment difference from ezetimibe in LDL-C percent change from baseline was -30.4% (95% CI: -36.6%, -24.2%; p-value: ˂0.0001). At week 12 (before up-titration), 34.9% of patients achieved an LDL-C of ˂</w:t>
      </w:r>
      <w:r w:rsidR="008644CE" w:rsidRPr="00E67013">
        <w:t xml:space="preserve"> 1.</w:t>
      </w:r>
      <w:r w:rsidR="00064453" w:rsidRPr="00E67013">
        <w:rPr>
          <w:color w:val="auto"/>
        </w:rPr>
        <w:t>8</w:t>
      </w:r>
      <w:r w:rsidR="008644CE" w:rsidRPr="00E67013">
        <w:t xml:space="preserve">1 </w:t>
      </w:r>
      <w:proofErr w:type="spellStart"/>
      <w:r w:rsidR="008644CE" w:rsidRPr="00E67013">
        <w:t>mmol</w:t>
      </w:r>
      <w:proofErr w:type="spellEnd"/>
      <w:r w:rsidR="008644CE" w:rsidRPr="00E67013">
        <w:t xml:space="preserve">/L </w:t>
      </w:r>
      <w:r w:rsidRPr="00E67013">
        <w:t>as compared to 0% in the ezetimibe group. Among the subgroup of patients up-titrated at week 12, an additional 3.6% mean reduction in LDL-C was achieved at week 24.</w:t>
      </w:r>
    </w:p>
    <w:p w:rsidR="00C62A26" w:rsidRPr="00E67013" w:rsidRDefault="00537C86" w:rsidP="00C62A26">
      <w:pPr>
        <w:rPr>
          <w:color w:val="auto"/>
        </w:rPr>
      </w:pPr>
      <w:r w:rsidRPr="00E67013">
        <w:t xml:space="preserve">This trial evaluated patients who did not tolerate at least two statins (at least one at the lowest approved dose), and enrolled only patients willing to be re-challenged with a statin. The statin re-challenge arm was included to further validate the diagnosis of statin intolerance in a blinded manner. In these patients with a history of statin intolerance, musculoskeletal adverse events occurred at a lower rate in the </w:t>
      </w:r>
      <w:proofErr w:type="spellStart"/>
      <w:r w:rsidR="00505CC0" w:rsidRPr="00E67013">
        <w:rPr>
          <w:color w:val="auto"/>
        </w:rPr>
        <w:t>Praluent</w:t>
      </w:r>
      <w:proofErr w:type="spellEnd"/>
      <w:r w:rsidR="00505CC0" w:rsidRPr="00E67013">
        <w:rPr>
          <w:color w:val="auto"/>
        </w:rPr>
        <w:t xml:space="preserve"> </w:t>
      </w:r>
      <w:r w:rsidRPr="00E67013">
        <w:t xml:space="preserve">group (32.5%) as compared to the atorvastatin group (46.0%) (HR= 0.61 [95% CI, 0.38 to 0.99]), and a lower percentage of patients in the </w:t>
      </w:r>
      <w:proofErr w:type="spellStart"/>
      <w:r w:rsidR="00505CC0" w:rsidRPr="00E67013">
        <w:rPr>
          <w:color w:val="auto"/>
        </w:rPr>
        <w:t>Praluent</w:t>
      </w:r>
      <w:proofErr w:type="spellEnd"/>
      <w:r w:rsidR="00505CC0" w:rsidRPr="00E67013">
        <w:rPr>
          <w:color w:val="auto"/>
        </w:rPr>
        <w:t xml:space="preserve"> </w:t>
      </w:r>
      <w:r w:rsidRPr="00E67013">
        <w:rPr>
          <w:color w:val="auto"/>
        </w:rPr>
        <w:t xml:space="preserve">group (15.9%) discontinued study treatment due to musculoskeletal adverse events as compared to the atorvastatin group (22.2%). These discontinuation rates due to musculoskeletal adverse events in the ALTERNATIVE study were higher than in other phase 3 studies. In the five placebo-controlled trials in patients on a maximally tolerated dose of statin (n=3752), the discontinuation rate due to musculoskeletal adverse events was 0.4% in the </w:t>
      </w:r>
      <w:proofErr w:type="spellStart"/>
      <w:r w:rsidR="00505CC0" w:rsidRPr="00E67013">
        <w:rPr>
          <w:color w:val="auto"/>
        </w:rPr>
        <w:t>Praluent</w:t>
      </w:r>
      <w:proofErr w:type="spellEnd"/>
      <w:r w:rsidR="00505CC0" w:rsidRPr="00E67013">
        <w:rPr>
          <w:color w:val="auto"/>
        </w:rPr>
        <w:t xml:space="preserve"> </w:t>
      </w:r>
      <w:r w:rsidRPr="00E67013">
        <w:rPr>
          <w:color w:val="auto"/>
        </w:rPr>
        <w:t>group</w:t>
      </w:r>
      <w:r w:rsidRPr="00E67013">
        <w:t xml:space="preserve"> and 0.5% in the placebo group.</w:t>
      </w:r>
      <w:r w:rsidR="003D2EBF" w:rsidRPr="00E67013">
        <w:t xml:space="preserve"> See </w:t>
      </w:r>
      <w:r w:rsidR="00C62054" w:rsidRPr="00E67013">
        <w:rPr>
          <w:color w:val="0000FF"/>
        </w:rPr>
        <w:fldChar w:fldCharType="begin"/>
      </w:r>
      <w:r w:rsidR="00C62054" w:rsidRPr="00E67013">
        <w:rPr>
          <w:color w:val="0000FF"/>
        </w:rPr>
        <w:instrText xml:space="preserve"> REF _Ref450031224 \h  \* MERGEFORMAT </w:instrText>
      </w:r>
      <w:r w:rsidR="00C62054" w:rsidRPr="00E67013">
        <w:rPr>
          <w:color w:val="0000FF"/>
        </w:rPr>
      </w:r>
      <w:r w:rsidR="00C62054" w:rsidRPr="00E67013">
        <w:rPr>
          <w:color w:val="0000FF"/>
        </w:rPr>
        <w:fldChar w:fldCharType="separate"/>
      </w:r>
      <w:r w:rsidR="00920B05" w:rsidRPr="00920B05">
        <w:rPr>
          <w:color w:val="0000FF"/>
        </w:rPr>
        <w:t>Table 2</w:t>
      </w:r>
      <w:r w:rsidR="00C62054" w:rsidRPr="00E67013">
        <w:rPr>
          <w:color w:val="0000FF"/>
        </w:rPr>
        <w:fldChar w:fldCharType="end"/>
      </w:r>
      <w:r w:rsidR="00C62A26" w:rsidRPr="00E67013">
        <w:rPr>
          <w:color w:val="auto"/>
        </w:rPr>
        <w:t xml:space="preserve"> for details.</w:t>
      </w:r>
    </w:p>
    <w:p w:rsidR="009D6405" w:rsidRDefault="009D6405" w:rsidP="009D6405">
      <w:pPr>
        <w:pStyle w:val="Heading2"/>
        <w:numPr>
          <w:ilvl w:val="0"/>
          <w:numId w:val="0"/>
        </w:numPr>
        <w:ind w:left="680" w:hanging="680"/>
      </w:pPr>
      <w:r w:rsidRPr="00A16645">
        <w:lastRenderedPageBreak/>
        <w:t>Long-term efficacy in primary hypercholesterolaemia</w:t>
      </w:r>
    </w:p>
    <w:p w:rsidR="009D6405" w:rsidRPr="002B4214" w:rsidRDefault="009D6405" w:rsidP="009D6405">
      <w:pPr>
        <w:pStyle w:val="Heading5"/>
        <w:numPr>
          <w:ilvl w:val="0"/>
          <w:numId w:val="0"/>
        </w:numPr>
        <w:ind w:left="1009" w:hanging="1009"/>
      </w:pPr>
      <w:r w:rsidRPr="002B4214">
        <w:t>LONG TERM study</w:t>
      </w:r>
    </w:p>
    <w:p w:rsidR="009D6405" w:rsidRPr="00305EA1" w:rsidRDefault="009D6405" w:rsidP="009D6405">
      <w:r w:rsidRPr="002B4214">
        <w:t xml:space="preserve">This </w:t>
      </w:r>
      <w:proofErr w:type="spellStart"/>
      <w:r w:rsidRPr="002B4214">
        <w:t>multi</w:t>
      </w:r>
      <w:r w:rsidR="008B6D96">
        <w:t>centre</w:t>
      </w:r>
      <w:proofErr w:type="spellEnd"/>
      <w:r w:rsidRPr="002B4214">
        <w:t xml:space="preserve">, double-blind, placebo-controlled, 18-month study included 2,310 patients (1,530 patients in the </w:t>
      </w:r>
      <w:proofErr w:type="spellStart"/>
      <w:r w:rsidRPr="002B4214">
        <w:t>Praluent</w:t>
      </w:r>
      <w:proofErr w:type="spellEnd"/>
      <w:r w:rsidRPr="002B4214">
        <w:t xml:space="preserve"> group and 780 patients in the placebo group) with primary </w:t>
      </w:r>
      <w:proofErr w:type="spellStart"/>
      <w:r w:rsidRPr="002B4214">
        <w:t>hypercholesterolaemia</w:t>
      </w:r>
      <w:proofErr w:type="spellEnd"/>
      <w:r w:rsidRPr="002B4214">
        <w:t xml:space="preserve"> at high or very high CV risk and on a maximally tolerated dose of statin, with or without other lipid-modifying therapy. Patients received either </w:t>
      </w:r>
      <w:proofErr w:type="spellStart"/>
      <w:r w:rsidRPr="002B4214">
        <w:t>Praluent</w:t>
      </w:r>
      <w:proofErr w:type="spellEnd"/>
      <w:r w:rsidRPr="002B4214">
        <w:t xml:space="preserve"> at a dose of 150 mg once every 2 weeks or placebo in addition to their existing lipid-modifying therapy. The LONG TERM study included 17.7% </w:t>
      </w:r>
      <w:proofErr w:type="spellStart"/>
      <w:r w:rsidRPr="002B4214">
        <w:t>heFH</w:t>
      </w:r>
      <w:proofErr w:type="spellEnd"/>
      <w:r w:rsidRPr="002B4214">
        <w:t xml:space="preserve"> patients, 34.6% with type 2 diabetes mellitus, and 68.6% with a history of coronary heart disease. Mean treatment duration was 64.6 weeks, with a majority of patients treated for a minimum of 52 weeks, and 607 patients with 18-month data </w:t>
      </w:r>
      <w:proofErr w:type="spellStart"/>
      <w:r w:rsidRPr="002B4214">
        <w:t>analysed</w:t>
      </w:r>
      <w:proofErr w:type="spellEnd"/>
      <w:r w:rsidRPr="002B4214">
        <w:t xml:space="preserve">. At week 24, the mean treatment difference from placebo in LDL-C percent change from baseline was -61.9% (95% CI: -64.3%, -59.4%; p-value: ˂0.0001). For detailed results see </w:t>
      </w:r>
      <w:r w:rsidRPr="00D3620D">
        <w:rPr>
          <w:color w:val="0000FF"/>
        </w:rPr>
        <w:fldChar w:fldCharType="begin"/>
      </w:r>
      <w:r w:rsidRPr="00D3620D">
        <w:rPr>
          <w:color w:val="0000FF"/>
        </w:rPr>
        <w:instrText xml:space="preserve"> REF _Ref450031224 \h  \* MERGEFORMAT </w:instrText>
      </w:r>
      <w:r w:rsidRPr="00D3620D">
        <w:rPr>
          <w:color w:val="0000FF"/>
        </w:rPr>
      </w:r>
      <w:r w:rsidRPr="00D3620D">
        <w:rPr>
          <w:color w:val="0000FF"/>
        </w:rPr>
        <w:fldChar w:fldCharType="separate"/>
      </w:r>
      <w:r w:rsidR="00920B05" w:rsidRPr="00920B05">
        <w:rPr>
          <w:color w:val="0000FF"/>
        </w:rPr>
        <w:t>Table 2</w:t>
      </w:r>
      <w:r w:rsidRPr="00D3620D">
        <w:rPr>
          <w:color w:val="0000FF"/>
        </w:rPr>
        <w:fldChar w:fldCharType="end"/>
      </w:r>
      <w:r w:rsidRPr="00D3620D">
        <w:rPr>
          <w:color w:val="0000FF"/>
        </w:rPr>
        <w:t>.</w:t>
      </w:r>
      <w:r w:rsidRPr="002B4214">
        <w:t xml:space="preserve"> At week 12, 82.1% of patients in the </w:t>
      </w:r>
      <w:proofErr w:type="spellStart"/>
      <w:r w:rsidRPr="002B4214">
        <w:rPr>
          <w:color w:val="auto"/>
        </w:rPr>
        <w:t>Praluent</w:t>
      </w:r>
      <w:proofErr w:type="spellEnd"/>
      <w:r w:rsidRPr="002B4214">
        <w:t xml:space="preserve"> group reached an LDL-C ˂ 1.81 </w:t>
      </w:r>
      <w:proofErr w:type="spellStart"/>
      <w:r w:rsidRPr="002B4214">
        <w:t>mmol</w:t>
      </w:r>
      <w:proofErr w:type="spellEnd"/>
      <w:r w:rsidRPr="002B4214">
        <w:t xml:space="preserve">/L compared to 7.2% of patients in the placebo group. Reduction in LDL-C was seen across age, gender, body mass index (BMI), race, and baseline LDL-C levels. Efficacy results were consistent in patients with </w:t>
      </w:r>
      <w:proofErr w:type="spellStart"/>
      <w:r w:rsidRPr="002B4214">
        <w:t>heFH</w:t>
      </w:r>
      <w:proofErr w:type="spellEnd"/>
      <w:r w:rsidRPr="002B4214">
        <w:t xml:space="preserve"> and non-</w:t>
      </w:r>
      <w:proofErr w:type="spellStart"/>
      <w:r w:rsidRPr="002B4214">
        <w:t>heFH</w:t>
      </w:r>
      <w:proofErr w:type="spellEnd"/>
      <w:r w:rsidRPr="002B4214">
        <w:t xml:space="preserve">, patients with mixed </w:t>
      </w:r>
      <w:proofErr w:type="spellStart"/>
      <w:r w:rsidRPr="002B4214">
        <w:t>dyslipidaemia</w:t>
      </w:r>
      <w:proofErr w:type="spellEnd"/>
      <w:r w:rsidRPr="002B4214">
        <w:t>, and diabetic patients. LDL-C reduction was consistent regardless of concomitantly used statins and doses.</w:t>
      </w:r>
    </w:p>
    <w:p w:rsidR="009D6405" w:rsidRPr="00305EA1" w:rsidRDefault="009D6405" w:rsidP="009D6405">
      <w:pPr>
        <w:pStyle w:val="Caption"/>
        <w:rPr>
          <w:strike/>
          <w:color w:val="FF0000"/>
          <w:vertAlign w:val="superscript"/>
        </w:rPr>
      </w:pPr>
      <w:bookmarkStart w:id="21" w:name="_Ref450031224"/>
      <w:r w:rsidRPr="00305EA1">
        <w:t>Table </w:t>
      </w:r>
      <w:r w:rsidRPr="00305EA1">
        <w:fldChar w:fldCharType="begin"/>
      </w:r>
      <w:r w:rsidRPr="00305EA1">
        <w:instrText xml:space="preserve"> SEQ Table \* ARABIC </w:instrText>
      </w:r>
      <w:r w:rsidRPr="00305EA1">
        <w:fldChar w:fldCharType="separate"/>
      </w:r>
      <w:r w:rsidR="00920B05">
        <w:rPr>
          <w:noProof/>
        </w:rPr>
        <w:t>2</w:t>
      </w:r>
      <w:r w:rsidRPr="00305EA1">
        <w:fldChar w:fldCharType="end"/>
      </w:r>
      <w:bookmarkEnd w:id="21"/>
      <w:r w:rsidRPr="00305EA1">
        <w:t xml:space="preserve"> ­ Mean percent change in LDL-C from baselin</w:t>
      </w:r>
      <w:r w:rsidRPr="00202C1B">
        <w:t xml:space="preserve">e in LDL-C and other lipids/lipoproteins in placebo-controlled and ezetimibe-controlled studies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35"/>
        <w:gridCol w:w="513"/>
        <w:gridCol w:w="757"/>
        <w:gridCol w:w="863"/>
        <w:gridCol w:w="72"/>
        <w:gridCol w:w="1270"/>
        <w:gridCol w:w="638"/>
        <w:gridCol w:w="297"/>
        <w:gridCol w:w="1270"/>
        <w:gridCol w:w="293"/>
        <w:gridCol w:w="642"/>
        <w:gridCol w:w="1270"/>
        <w:gridCol w:w="8"/>
      </w:tblGrid>
      <w:tr w:rsidR="009D6405" w:rsidRPr="00202C1B" w:rsidTr="00EC3032">
        <w:trPr>
          <w:gridAfter w:val="1"/>
          <w:wAfter w:w="8" w:type="dxa"/>
        </w:trPr>
        <w:tc>
          <w:tcPr>
            <w:tcW w:w="1009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tabs>
                <w:tab w:val="left" w:pos="567"/>
              </w:tabs>
              <w:spacing w:before="0"/>
              <w:jc w:val="center"/>
              <w:rPr>
                <w:rFonts w:ascii="Calibri" w:eastAsia="Calibri" w:hAnsi="Calibri"/>
                <w:b/>
                <w:color w:val="auto"/>
                <w:sz w:val="22"/>
                <w:szCs w:val="22"/>
              </w:rPr>
            </w:pPr>
            <w:r w:rsidRPr="00202C1B">
              <w:rPr>
                <w:rFonts w:ascii="Calibri" w:eastAsia="Calibri" w:hAnsi="Calibri"/>
                <w:b/>
                <w:color w:val="auto"/>
                <w:sz w:val="22"/>
                <w:szCs w:val="22"/>
              </w:rPr>
              <w:t>Mean Percent Change from Baseline</w:t>
            </w:r>
            <w:r w:rsidRPr="00202C1B">
              <w:rPr>
                <w:rFonts w:ascii="Calibri" w:eastAsia="Calibri" w:hAnsi="Calibri"/>
                <w:b/>
                <w:bCs/>
                <w:color w:val="auto"/>
                <w:kern w:val="24"/>
                <w:sz w:val="22"/>
                <w:szCs w:val="22"/>
              </w:rPr>
              <w:t xml:space="preserve"> in </w:t>
            </w:r>
            <w:r w:rsidRPr="00202C1B">
              <w:rPr>
                <w:rFonts w:ascii="Calibri" w:eastAsia="Calibri" w:hAnsi="Calibri"/>
                <w:b/>
                <w:bCs/>
                <w:color w:val="auto"/>
                <w:sz w:val="22"/>
                <w:szCs w:val="22"/>
                <w:lang w:val="en-GB"/>
              </w:rPr>
              <w:t>Placebo-Controlled Studies on Background Statin</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rPr>
                <w:rFonts w:ascii="Calibri" w:eastAsia="Calibri" w:hAnsi="Calibri"/>
                <w:b/>
                <w:color w:val="auto"/>
                <w:sz w:val="22"/>
                <w:szCs w:val="22"/>
              </w:rPr>
            </w:pP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r w:rsidRPr="00202C1B">
              <w:rPr>
                <w:rFonts w:ascii="Calibri" w:eastAsia="Calibri" w:hAnsi="Calibri"/>
                <w:b/>
                <w:color w:val="auto"/>
                <w:sz w:val="22"/>
                <w:szCs w:val="22"/>
              </w:rPr>
              <w:t>LONG TERM (N=2310)</w:t>
            </w: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r w:rsidRPr="00202C1B">
              <w:rPr>
                <w:rFonts w:ascii="Calibri" w:eastAsia="Calibri" w:hAnsi="Calibri"/>
                <w:b/>
                <w:color w:val="auto"/>
                <w:sz w:val="22"/>
                <w:szCs w:val="22"/>
              </w:rPr>
              <w:t>FHI and FHII (N=732)</w:t>
            </w: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r w:rsidRPr="00202C1B">
              <w:rPr>
                <w:rFonts w:ascii="Calibri" w:eastAsia="Calibri" w:hAnsi="Calibri"/>
                <w:b/>
                <w:color w:val="auto"/>
                <w:sz w:val="22"/>
                <w:szCs w:val="22"/>
              </w:rPr>
              <w:t>High FH (N=106)</w:t>
            </w:r>
          </w:p>
        </w:tc>
        <w:tc>
          <w:tcPr>
            <w:tcW w:w="2205"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r w:rsidRPr="00202C1B">
              <w:rPr>
                <w:rFonts w:ascii="Calibri" w:eastAsia="Calibri" w:hAnsi="Calibri"/>
                <w:b/>
                <w:color w:val="auto"/>
                <w:sz w:val="22"/>
                <w:szCs w:val="22"/>
              </w:rPr>
              <w:t>COMBO I (N=311)</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rPr>
                <w:rFonts w:ascii="Calibri" w:eastAsia="Calibri" w:hAnsi="Calibri"/>
                <w:b/>
                <w:color w:val="auto"/>
                <w:sz w:val="22"/>
                <w:szCs w:val="22"/>
              </w:rPr>
            </w:pPr>
          </w:p>
        </w:tc>
        <w:tc>
          <w:tcPr>
            <w:tcW w:w="935"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r w:rsidRPr="00202C1B">
              <w:rPr>
                <w:rFonts w:ascii="Calibri" w:eastAsia="Calibri" w:hAnsi="Calibri"/>
                <w:b/>
                <w:color w:val="auto"/>
                <w:sz w:val="22"/>
                <w:szCs w:val="22"/>
              </w:rPr>
              <w:t xml:space="preserve">Placebo </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proofErr w:type="spellStart"/>
            <w:r w:rsidRPr="00202C1B">
              <w:rPr>
                <w:rFonts w:ascii="Calibri" w:eastAsia="Calibri" w:hAnsi="Calibri"/>
                <w:b/>
                <w:color w:val="auto"/>
                <w:sz w:val="22"/>
                <w:szCs w:val="22"/>
              </w:rPr>
              <w:t>Alirocumab</w:t>
            </w:r>
            <w:proofErr w:type="spellEnd"/>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r w:rsidRPr="00202C1B">
              <w:rPr>
                <w:rFonts w:ascii="Calibri" w:eastAsia="Calibri" w:hAnsi="Calibri"/>
                <w:b/>
                <w:color w:val="auto"/>
                <w:sz w:val="22"/>
                <w:szCs w:val="22"/>
              </w:rPr>
              <w:t>Placebo</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proofErr w:type="spellStart"/>
            <w:r w:rsidRPr="00202C1B">
              <w:rPr>
                <w:rFonts w:ascii="Calibri" w:eastAsia="Calibri" w:hAnsi="Calibri"/>
                <w:b/>
                <w:color w:val="auto"/>
                <w:sz w:val="22"/>
                <w:szCs w:val="22"/>
              </w:rPr>
              <w:t>Alirocumab</w:t>
            </w:r>
            <w:proofErr w:type="spellEnd"/>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r w:rsidRPr="00202C1B">
              <w:rPr>
                <w:rFonts w:ascii="Calibri" w:eastAsia="Calibri" w:hAnsi="Calibri"/>
                <w:b/>
                <w:color w:val="auto"/>
                <w:sz w:val="22"/>
                <w:szCs w:val="22"/>
              </w:rPr>
              <w:t>Placebo</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proofErr w:type="spellStart"/>
            <w:r w:rsidRPr="00202C1B">
              <w:rPr>
                <w:rFonts w:ascii="Calibri" w:eastAsia="Calibri" w:hAnsi="Calibri"/>
                <w:b/>
                <w:color w:val="auto"/>
                <w:sz w:val="22"/>
                <w:szCs w:val="22"/>
              </w:rPr>
              <w:t>Alirocumab</w:t>
            </w:r>
            <w:proofErr w:type="spellEnd"/>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r w:rsidRPr="00202C1B">
              <w:rPr>
                <w:rFonts w:ascii="Calibri" w:eastAsia="Calibri" w:hAnsi="Calibri"/>
                <w:b/>
                <w:color w:val="auto"/>
                <w:sz w:val="22"/>
                <w:szCs w:val="22"/>
              </w:rPr>
              <w:t>Placebo</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proofErr w:type="spellStart"/>
            <w:r w:rsidRPr="00202C1B">
              <w:rPr>
                <w:rFonts w:ascii="Calibri" w:eastAsia="Calibri" w:hAnsi="Calibri"/>
                <w:b/>
                <w:color w:val="auto"/>
                <w:sz w:val="22"/>
                <w:szCs w:val="22"/>
              </w:rPr>
              <w:t>Alirocumab</w:t>
            </w:r>
            <w:proofErr w:type="spellEnd"/>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Number of patients</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780</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1530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244</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488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35</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106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205</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Mean Baseline LDL-C in mg/</w:t>
            </w:r>
            <w:proofErr w:type="spellStart"/>
            <w:r w:rsidRPr="00202C1B">
              <w:rPr>
                <w:rFonts w:ascii="Calibri" w:eastAsia="Calibri" w:hAnsi="Calibri"/>
                <w:color w:val="auto"/>
                <w:sz w:val="22"/>
                <w:szCs w:val="22"/>
              </w:rPr>
              <w:t>dL</w:t>
            </w:r>
            <w:proofErr w:type="spellEnd"/>
          </w:p>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w:t>
            </w:r>
            <w:proofErr w:type="spellStart"/>
            <w:r w:rsidRPr="00202C1B">
              <w:rPr>
                <w:rFonts w:ascii="Calibri" w:eastAsia="Calibri" w:hAnsi="Calibri"/>
                <w:color w:val="auto"/>
                <w:sz w:val="22"/>
                <w:szCs w:val="22"/>
              </w:rPr>
              <w:t>mmol</w:t>
            </w:r>
            <w:proofErr w:type="spellEnd"/>
            <w:r w:rsidRPr="00202C1B">
              <w:rPr>
                <w:rFonts w:ascii="Calibri" w:eastAsia="Calibri" w:hAnsi="Calibri"/>
                <w:color w:val="auto"/>
                <w:sz w:val="22"/>
                <w:szCs w:val="22"/>
              </w:rPr>
              <w:t>/L)</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122.0</w:t>
            </w:r>
          </w:p>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(3.16)</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122.8</w:t>
            </w:r>
          </w:p>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(3.18)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140.9</w:t>
            </w:r>
          </w:p>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(3.65)</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141.3</w:t>
            </w:r>
          </w:p>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(3.66)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201.0</w:t>
            </w:r>
          </w:p>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(5.21)</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196.3</w:t>
            </w:r>
          </w:p>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(5.10)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104.6</w:t>
            </w:r>
          </w:p>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(2.71)</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100.3</w:t>
            </w:r>
          </w:p>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(2.60)</w:t>
            </w:r>
          </w:p>
        </w:tc>
      </w:tr>
      <w:tr w:rsidR="009D6405" w:rsidRPr="00202C1B" w:rsidTr="00EC3032">
        <w:trPr>
          <w:gridAfter w:val="1"/>
          <w:wAfter w:w="8" w:type="dxa"/>
        </w:trPr>
        <w:tc>
          <w:tcPr>
            <w:tcW w:w="1009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b/>
                <w:color w:val="auto"/>
                <w:sz w:val="22"/>
                <w:szCs w:val="22"/>
              </w:rPr>
            </w:pPr>
            <w:r w:rsidRPr="00202C1B">
              <w:rPr>
                <w:rFonts w:ascii="Calibri" w:eastAsia="Calibri" w:hAnsi="Calibri"/>
                <w:b/>
                <w:color w:val="auto"/>
                <w:sz w:val="22"/>
                <w:szCs w:val="22"/>
              </w:rPr>
              <w:t xml:space="preserve">Week 12 </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LDL-C (ITT)</w:t>
            </w:r>
            <w:r w:rsidRPr="00202C1B">
              <w:rPr>
                <w:rFonts w:ascii="Calibri" w:eastAsia="Calibri" w:hAnsi="Calibri"/>
                <w:color w:val="auto"/>
                <w:sz w:val="22"/>
                <w:szCs w:val="22"/>
                <w:vertAlign w:val="superscript"/>
              </w:rPr>
              <w:t>a</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1.5</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-63.3</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5.4</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-43.6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-46.9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1.1</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-46.3</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vertAlign w:val="superscript"/>
              </w:rPr>
            </w:pPr>
            <w:r w:rsidRPr="00202C1B">
              <w:rPr>
                <w:rFonts w:ascii="Calibri" w:eastAsia="Calibri" w:hAnsi="Calibri"/>
                <w:color w:val="auto"/>
                <w:sz w:val="22"/>
                <w:szCs w:val="22"/>
              </w:rPr>
              <w:t xml:space="preserve">LDL-C (on </w:t>
            </w:r>
            <w:r w:rsidRPr="00202C1B">
              <w:rPr>
                <w:rFonts w:ascii="Calibri" w:eastAsia="Calibri" w:hAnsi="Calibri"/>
                <w:color w:val="auto"/>
                <w:sz w:val="22"/>
                <w:szCs w:val="22"/>
              </w:rPr>
              <w:lastRenderedPageBreak/>
              <w:t>treatment)</w:t>
            </w:r>
            <w:r w:rsidRPr="00202C1B">
              <w:rPr>
                <w:rFonts w:ascii="Calibri" w:eastAsia="Calibri" w:hAnsi="Calibri"/>
                <w:color w:val="auto"/>
                <w:sz w:val="22"/>
                <w:szCs w:val="22"/>
                <w:vertAlign w:val="superscript"/>
              </w:rPr>
              <w:t>b</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lastRenderedPageBreak/>
              <w:t>1.4</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-64.2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5.3</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-44.0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-46.9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1.7</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-47.6</w:t>
            </w:r>
          </w:p>
        </w:tc>
      </w:tr>
      <w:tr w:rsidR="009D6405" w:rsidRPr="00202C1B" w:rsidTr="00EC3032">
        <w:trPr>
          <w:gridAfter w:val="1"/>
          <w:wAfter w:w="8" w:type="dxa"/>
        </w:trPr>
        <w:tc>
          <w:tcPr>
            <w:tcW w:w="1009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b/>
                <w:color w:val="auto"/>
                <w:sz w:val="22"/>
                <w:szCs w:val="22"/>
              </w:rPr>
            </w:pPr>
            <w:r w:rsidRPr="00202C1B">
              <w:rPr>
                <w:rFonts w:ascii="Calibri" w:eastAsia="Calibri" w:hAnsi="Calibri"/>
                <w:b/>
                <w:color w:val="auto"/>
                <w:sz w:val="22"/>
                <w:szCs w:val="22"/>
              </w:rPr>
              <w:lastRenderedPageBreak/>
              <w:t>Week 24</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LDL-C (ITT)</w:t>
            </w:r>
            <w:r w:rsidRPr="00202C1B">
              <w:rPr>
                <w:rFonts w:ascii="Calibri" w:eastAsia="Calibri" w:hAnsi="Calibri"/>
                <w:color w:val="auto"/>
                <w:sz w:val="22"/>
                <w:szCs w:val="22"/>
                <w:vertAlign w:val="superscript"/>
              </w:rPr>
              <w:t>a</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0.8</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vertAlign w:val="superscript"/>
              </w:rPr>
            </w:pPr>
            <w:r w:rsidRPr="00202C1B">
              <w:rPr>
                <w:rFonts w:ascii="Calibri" w:eastAsia="Calibri" w:hAnsi="Calibri"/>
                <w:color w:val="auto"/>
                <w:sz w:val="22"/>
                <w:szCs w:val="22"/>
              </w:rPr>
              <w:t>-61.0</w:t>
            </w:r>
            <w:r w:rsidRPr="00202C1B">
              <w:rPr>
                <w:rFonts w:ascii="Calibri" w:eastAsia="Calibri" w:hAnsi="Calibri"/>
                <w:color w:val="auto"/>
                <w:sz w:val="22"/>
                <w:szCs w:val="22"/>
                <w:vertAlign w:val="superscript"/>
              </w:rPr>
              <w:t>c</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7.1</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vertAlign w:val="superscript"/>
              </w:rPr>
            </w:pPr>
            <w:r w:rsidRPr="00202C1B">
              <w:rPr>
                <w:rFonts w:ascii="Calibri" w:eastAsia="Calibri" w:hAnsi="Calibri"/>
                <w:color w:val="auto"/>
                <w:sz w:val="22"/>
                <w:szCs w:val="22"/>
              </w:rPr>
              <w:t>-48.8</w:t>
            </w:r>
            <w:r w:rsidRPr="00202C1B">
              <w:rPr>
                <w:rFonts w:ascii="Calibri" w:eastAsia="Calibri" w:hAnsi="Calibri"/>
                <w:color w:val="auto"/>
                <w:sz w:val="22"/>
                <w:szCs w:val="22"/>
                <w:vertAlign w:val="superscript"/>
              </w:rPr>
              <w:t>d</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vertAlign w:val="superscript"/>
              </w:rPr>
            </w:pPr>
            <w:r w:rsidRPr="00202C1B">
              <w:rPr>
                <w:rFonts w:ascii="Calibri" w:eastAsia="Calibri" w:hAnsi="Calibri"/>
                <w:color w:val="auto"/>
                <w:sz w:val="22"/>
                <w:szCs w:val="22"/>
              </w:rPr>
              <w:t>-45.7</w:t>
            </w:r>
            <w:r w:rsidRPr="00202C1B">
              <w:rPr>
                <w:rFonts w:ascii="Calibri" w:eastAsia="Calibri" w:hAnsi="Calibri"/>
                <w:color w:val="auto"/>
                <w:sz w:val="22"/>
                <w:szCs w:val="22"/>
                <w:vertAlign w:val="superscript"/>
              </w:rPr>
              <w:t>e</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-2.3</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vertAlign w:val="superscript"/>
              </w:rPr>
            </w:pPr>
            <w:r w:rsidRPr="00202C1B">
              <w:rPr>
                <w:rFonts w:ascii="Calibri" w:eastAsia="Calibri" w:hAnsi="Calibri"/>
                <w:color w:val="auto"/>
                <w:sz w:val="22"/>
                <w:szCs w:val="22"/>
              </w:rPr>
              <w:t>-48.2</w:t>
            </w:r>
            <w:r w:rsidRPr="00202C1B">
              <w:rPr>
                <w:rFonts w:ascii="Calibri" w:eastAsia="Calibri" w:hAnsi="Calibri"/>
                <w:color w:val="auto"/>
                <w:sz w:val="22"/>
                <w:szCs w:val="22"/>
                <w:vertAlign w:val="superscript"/>
              </w:rPr>
              <w:t>f</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vertAlign w:val="superscript"/>
              </w:rPr>
            </w:pPr>
            <w:r w:rsidRPr="00202C1B">
              <w:rPr>
                <w:rFonts w:ascii="Calibri" w:eastAsia="Calibri" w:hAnsi="Calibri"/>
                <w:color w:val="auto"/>
                <w:sz w:val="22"/>
                <w:szCs w:val="22"/>
              </w:rPr>
              <w:t>LDL-C (on treatment)</w:t>
            </w:r>
            <w:r w:rsidRPr="00202C1B">
              <w:rPr>
                <w:rFonts w:ascii="Calibri" w:eastAsia="Calibri" w:hAnsi="Calibri"/>
                <w:color w:val="auto"/>
                <w:sz w:val="22"/>
                <w:szCs w:val="22"/>
                <w:vertAlign w:val="superscript"/>
              </w:rPr>
              <w:t>b</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0.7</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-62.8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6.8</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-49.3</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-6.6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-45.5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-0.8</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-50.7</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Non-HDL-C</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0.7</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-51.6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7.4</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-42.8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-6.2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-41.9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-1.6</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-39.1</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Apo B</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1.2</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-52.8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-41.7</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-8.7</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-39.0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-0.9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-36.7</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Total-C</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-0.3</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-37.8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5.5</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-31.2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-4.8</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-33.2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-27.9</w:t>
            </w:r>
          </w:p>
        </w:tc>
      </w:tr>
      <w:tr w:rsidR="009D6405" w:rsidRPr="00202C1B" w:rsidTr="00EC3032">
        <w:trPr>
          <w:gridAfter w:val="1"/>
          <w:wAfter w:w="8" w:type="dxa"/>
          <w:trHeight w:val="314"/>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proofErr w:type="spellStart"/>
            <w:r w:rsidRPr="00202C1B">
              <w:rPr>
                <w:rFonts w:ascii="Calibri" w:eastAsia="Calibri" w:hAnsi="Calibri"/>
                <w:color w:val="auto"/>
                <w:sz w:val="22"/>
                <w:szCs w:val="22"/>
              </w:rPr>
              <w:t>Lp</w:t>
            </w:r>
            <w:proofErr w:type="spellEnd"/>
            <w:r w:rsidRPr="00202C1B">
              <w:rPr>
                <w:rFonts w:ascii="Calibri" w:eastAsia="Calibri" w:hAnsi="Calibri"/>
                <w:color w:val="auto"/>
                <w:sz w:val="22"/>
                <w:szCs w:val="22"/>
              </w:rPr>
              <w:t>(a)</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-3.7</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-29.3</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-8.5</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-26.9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-8.7</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-23.5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-20.5</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TG</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1.8</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-15.6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4.3</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-9.8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-10.5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-5.4</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-6.0</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HDL-C</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-0.6</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0.2</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7.8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3.9</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7.5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-3.8</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3.5</w:t>
            </w:r>
          </w:p>
        </w:tc>
      </w:tr>
      <w:tr w:rsidR="009D6405" w:rsidRPr="00202C1B" w:rsidTr="00EC3032">
        <w:trPr>
          <w:gridAfter w:val="1"/>
          <w:wAfter w:w="8" w:type="dxa"/>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Apo A-1</w:t>
            </w:r>
          </w:p>
        </w:tc>
        <w:tc>
          <w:tcPr>
            <w:tcW w:w="935"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1.2</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-0.4</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2.0</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-2.5</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3.3</w:t>
            </w:r>
          </w:p>
        </w:tc>
      </w:tr>
      <w:tr w:rsidR="009D6405" w:rsidRPr="00202C1B" w:rsidTr="00EC3032">
        <w:tc>
          <w:tcPr>
            <w:tcW w:w="10098" w:type="dxa"/>
            <w:gridSpan w:val="14"/>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b/>
                <w:color w:val="auto"/>
                <w:sz w:val="22"/>
                <w:szCs w:val="22"/>
              </w:rPr>
            </w:pPr>
            <w:r w:rsidRPr="00202C1B">
              <w:rPr>
                <w:rFonts w:ascii="Calibri" w:eastAsia="Calibri" w:hAnsi="Calibri"/>
                <w:b/>
                <w:color w:val="auto"/>
                <w:sz w:val="22"/>
                <w:szCs w:val="22"/>
              </w:rPr>
              <w:t>Mean Percent Change from Baseline</w:t>
            </w:r>
            <w:r w:rsidRPr="00202C1B">
              <w:rPr>
                <w:rFonts w:ascii="Calibri" w:eastAsia="Calibri" w:hAnsi="Calibri"/>
                <w:b/>
                <w:bCs/>
                <w:color w:val="auto"/>
                <w:kern w:val="24"/>
                <w:sz w:val="22"/>
                <w:szCs w:val="22"/>
              </w:rPr>
              <w:t xml:space="preserve"> in </w:t>
            </w:r>
            <w:r w:rsidRPr="00202C1B">
              <w:rPr>
                <w:rFonts w:ascii="Calibri" w:eastAsia="Calibri" w:hAnsi="Calibri"/>
                <w:b/>
                <w:bCs/>
                <w:color w:val="auto"/>
                <w:sz w:val="22"/>
                <w:szCs w:val="22"/>
                <w:lang w:val="en-GB"/>
              </w:rPr>
              <w:t>Ezetimibe-Controlled Studies</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b/>
                <w:color w:val="auto"/>
                <w:sz w:val="22"/>
                <w:szCs w:val="22"/>
              </w:rPr>
            </w:pPr>
          </w:p>
        </w:tc>
        <w:tc>
          <w:tcPr>
            <w:tcW w:w="3600" w:type="dxa"/>
            <w:gridSpan w:val="5"/>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b/>
                <w:color w:val="auto"/>
                <w:sz w:val="22"/>
                <w:szCs w:val="22"/>
              </w:rPr>
            </w:pPr>
            <w:r>
              <w:rPr>
                <w:rFonts w:ascii="Calibri" w:eastAsia="Calibri" w:hAnsi="Calibri"/>
                <w:b/>
                <w:color w:val="auto"/>
                <w:sz w:val="22"/>
                <w:szCs w:val="22"/>
              </w:rPr>
              <w:t>On Background Statin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b/>
                <w:color w:val="auto"/>
                <w:sz w:val="22"/>
                <w:szCs w:val="22"/>
              </w:rPr>
            </w:pPr>
            <w:r>
              <w:rPr>
                <w:rFonts w:ascii="Calibri" w:eastAsia="Calibri" w:hAnsi="Calibri"/>
                <w:b/>
                <w:color w:val="auto"/>
                <w:sz w:val="22"/>
                <w:szCs w:val="22"/>
              </w:rPr>
              <w:t>On Other Lipid Modifying Therapy</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rPr>
                <w:rFonts w:ascii="Calibri" w:eastAsia="Calibri" w:hAnsi="Calibri"/>
                <w:b/>
                <w:color w:val="auto"/>
                <w:sz w:val="22"/>
                <w:szCs w:val="22"/>
              </w:rPr>
            </w:pPr>
          </w:p>
        </w:tc>
        <w:tc>
          <w:tcPr>
            <w:tcW w:w="3600" w:type="dxa"/>
            <w:gridSpan w:val="5"/>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r w:rsidRPr="00202C1B">
              <w:rPr>
                <w:rFonts w:ascii="Calibri" w:eastAsia="Calibri" w:hAnsi="Calibri"/>
                <w:b/>
                <w:color w:val="auto"/>
                <w:sz w:val="22"/>
                <w:szCs w:val="22"/>
              </w:rPr>
              <w:t>COMBO II (N=707)</w:t>
            </w:r>
          </w:p>
        </w:tc>
        <w:tc>
          <w:tcPr>
            <w:tcW w:w="3780" w:type="dxa"/>
            <w:gridSpan w:val="6"/>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b/>
                <w:color w:val="auto"/>
                <w:sz w:val="22"/>
                <w:szCs w:val="22"/>
              </w:rPr>
            </w:pPr>
            <w:r>
              <w:rPr>
                <w:rFonts w:ascii="Calibri" w:eastAsia="Calibri" w:hAnsi="Calibri"/>
                <w:b/>
                <w:color w:val="auto"/>
                <w:sz w:val="22"/>
                <w:szCs w:val="22"/>
              </w:rPr>
              <w:t>ALTERNATIVE (N=248)</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rPr>
                <w:rFonts w:ascii="Calibri" w:eastAsia="Calibri" w:hAnsi="Calibri"/>
                <w:b/>
                <w:color w:val="auto"/>
                <w:sz w:val="22"/>
                <w:szCs w:val="22"/>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r w:rsidRPr="00202C1B">
              <w:rPr>
                <w:rFonts w:ascii="Calibri" w:eastAsia="Calibri" w:hAnsi="Calibri"/>
                <w:b/>
                <w:color w:val="auto"/>
                <w:sz w:val="22"/>
                <w:szCs w:val="22"/>
              </w:rPr>
              <w:t>Ezetimibe</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jc w:val="center"/>
              <w:rPr>
                <w:rFonts w:ascii="Calibri" w:eastAsia="Calibri" w:hAnsi="Calibri"/>
                <w:b/>
                <w:color w:val="auto"/>
                <w:sz w:val="22"/>
                <w:szCs w:val="22"/>
              </w:rPr>
            </w:pPr>
            <w:proofErr w:type="spellStart"/>
            <w:r w:rsidRPr="00202C1B">
              <w:rPr>
                <w:rFonts w:ascii="Calibri" w:eastAsia="Calibri" w:hAnsi="Calibri"/>
                <w:b/>
                <w:color w:val="auto"/>
                <w:sz w:val="22"/>
                <w:szCs w:val="22"/>
              </w:rPr>
              <w:t>Alirocumab</w:t>
            </w:r>
            <w:proofErr w:type="spellEnd"/>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b/>
                <w:color w:val="auto"/>
                <w:sz w:val="22"/>
                <w:szCs w:val="22"/>
              </w:rPr>
            </w:pPr>
            <w:r>
              <w:rPr>
                <w:rFonts w:ascii="Calibri" w:eastAsia="Calibri" w:hAnsi="Calibri"/>
                <w:b/>
                <w:color w:val="auto"/>
                <w:sz w:val="22"/>
                <w:szCs w:val="22"/>
              </w:rPr>
              <w:t>Ezetimibe</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b/>
                <w:color w:val="auto"/>
                <w:sz w:val="22"/>
                <w:szCs w:val="22"/>
              </w:rPr>
            </w:pPr>
            <w:proofErr w:type="spellStart"/>
            <w:r>
              <w:rPr>
                <w:rFonts w:ascii="Calibri" w:eastAsia="Calibri" w:hAnsi="Calibri"/>
                <w:b/>
                <w:color w:val="auto"/>
                <w:sz w:val="22"/>
                <w:szCs w:val="22"/>
              </w:rPr>
              <w:t>Alirocumab</w:t>
            </w:r>
            <w:proofErr w:type="spellEnd"/>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Number of patients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240</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467</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122</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126</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Mean Baseline LDL-C in mg/</w:t>
            </w:r>
            <w:proofErr w:type="spellStart"/>
            <w:r w:rsidRPr="00202C1B">
              <w:rPr>
                <w:rFonts w:ascii="Calibri" w:eastAsia="Calibri" w:hAnsi="Calibri"/>
                <w:color w:val="auto"/>
                <w:sz w:val="22"/>
                <w:szCs w:val="22"/>
              </w:rPr>
              <w:t>dL</w:t>
            </w:r>
            <w:proofErr w:type="spellEnd"/>
            <w:r>
              <w:rPr>
                <w:rFonts w:ascii="Calibri" w:eastAsia="Calibri" w:hAnsi="Calibri"/>
                <w:color w:val="auto"/>
                <w:sz w:val="22"/>
                <w:szCs w:val="22"/>
              </w:rPr>
              <w:t xml:space="preserve"> </w:t>
            </w:r>
          </w:p>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w:t>
            </w:r>
            <w:proofErr w:type="spellStart"/>
            <w:r w:rsidRPr="00202C1B">
              <w:rPr>
                <w:rFonts w:ascii="Calibri" w:eastAsia="Calibri" w:hAnsi="Calibri"/>
                <w:color w:val="auto"/>
                <w:sz w:val="22"/>
                <w:szCs w:val="22"/>
              </w:rPr>
              <w:t>mmol</w:t>
            </w:r>
            <w:proofErr w:type="spellEnd"/>
            <w:r w:rsidRPr="00202C1B">
              <w:rPr>
                <w:rFonts w:ascii="Calibri" w:eastAsia="Calibri" w:hAnsi="Calibri"/>
                <w:color w:val="auto"/>
                <w:sz w:val="22"/>
                <w:szCs w:val="22"/>
              </w:rPr>
              <w:t>/L)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104.5</w:t>
            </w:r>
            <w:r>
              <w:rPr>
                <w:rFonts w:ascii="Calibri" w:eastAsia="Calibri" w:hAnsi="Calibri"/>
                <w:color w:val="auto"/>
                <w:sz w:val="22"/>
                <w:szCs w:val="22"/>
              </w:rPr>
              <w:t xml:space="preserve"> </w:t>
            </w:r>
          </w:p>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(2.71)</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108.3</w:t>
            </w:r>
            <w:r>
              <w:rPr>
                <w:rFonts w:ascii="Calibri" w:eastAsia="Calibri" w:hAnsi="Calibri"/>
                <w:color w:val="auto"/>
                <w:sz w:val="22"/>
                <w:szCs w:val="22"/>
              </w:rPr>
              <w:t xml:space="preserve"> </w:t>
            </w:r>
          </w:p>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(2.81)</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A9367F" w:rsidRDefault="009D6405" w:rsidP="00EC3032">
            <w:pPr>
              <w:spacing w:before="0"/>
              <w:jc w:val="center"/>
              <w:rPr>
                <w:rFonts w:ascii="Calibri" w:eastAsia="Calibri" w:hAnsi="Calibri"/>
                <w:color w:val="auto"/>
                <w:sz w:val="22"/>
                <w:szCs w:val="22"/>
              </w:rPr>
            </w:pPr>
            <w:r w:rsidRPr="00A9367F">
              <w:rPr>
                <w:rFonts w:ascii="Calibri" w:eastAsia="Calibri" w:hAnsi="Calibri"/>
                <w:color w:val="auto"/>
                <w:sz w:val="22"/>
                <w:szCs w:val="22"/>
              </w:rPr>
              <w:t>194.2</w:t>
            </w:r>
          </w:p>
          <w:p w:rsidR="009D6405" w:rsidRPr="00202C1B" w:rsidRDefault="009D6405" w:rsidP="00EC3032">
            <w:pPr>
              <w:spacing w:before="0"/>
              <w:jc w:val="center"/>
              <w:rPr>
                <w:rFonts w:ascii="Calibri" w:eastAsia="Calibri" w:hAnsi="Calibri"/>
                <w:color w:val="auto"/>
                <w:sz w:val="22"/>
                <w:szCs w:val="22"/>
              </w:rPr>
            </w:pPr>
            <w:r w:rsidRPr="00A9367F">
              <w:rPr>
                <w:rFonts w:ascii="Calibri" w:eastAsia="Calibri" w:hAnsi="Calibri"/>
                <w:color w:val="auto"/>
                <w:sz w:val="22"/>
                <w:szCs w:val="22"/>
              </w:rPr>
              <w:t>(5.03)</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A9367F" w:rsidRDefault="009D6405" w:rsidP="00EC3032">
            <w:pPr>
              <w:spacing w:before="0"/>
              <w:jc w:val="center"/>
              <w:rPr>
                <w:rFonts w:ascii="Calibri" w:eastAsia="Calibri" w:hAnsi="Calibri"/>
                <w:color w:val="auto"/>
                <w:sz w:val="22"/>
                <w:szCs w:val="22"/>
              </w:rPr>
            </w:pPr>
            <w:r w:rsidRPr="00A9367F">
              <w:rPr>
                <w:rFonts w:ascii="Calibri" w:eastAsia="Calibri" w:hAnsi="Calibri"/>
                <w:color w:val="auto"/>
                <w:sz w:val="22"/>
                <w:szCs w:val="22"/>
              </w:rPr>
              <w:t>191.1</w:t>
            </w:r>
          </w:p>
          <w:p w:rsidR="009D6405" w:rsidRPr="00202C1B" w:rsidRDefault="009D6405" w:rsidP="00EC3032">
            <w:pPr>
              <w:spacing w:before="0"/>
              <w:jc w:val="center"/>
              <w:rPr>
                <w:rFonts w:ascii="Calibri" w:eastAsia="Calibri" w:hAnsi="Calibri"/>
                <w:color w:val="auto"/>
                <w:sz w:val="22"/>
                <w:szCs w:val="22"/>
              </w:rPr>
            </w:pPr>
            <w:r w:rsidRPr="00A9367F">
              <w:rPr>
                <w:rFonts w:ascii="Calibri" w:eastAsia="Calibri" w:hAnsi="Calibri"/>
                <w:color w:val="auto"/>
                <w:sz w:val="22"/>
                <w:szCs w:val="22"/>
              </w:rPr>
              <w:t>(5.0)</w:t>
            </w:r>
          </w:p>
        </w:tc>
      </w:tr>
      <w:tr w:rsidR="009D6405" w:rsidRPr="00202C1B" w:rsidTr="00EC3032">
        <w:tc>
          <w:tcPr>
            <w:tcW w:w="10098" w:type="dxa"/>
            <w:gridSpan w:val="14"/>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rPr>
                <w:rFonts w:ascii="Calibri" w:eastAsia="Calibri" w:hAnsi="Calibri"/>
                <w:b/>
                <w:color w:val="auto"/>
                <w:sz w:val="22"/>
                <w:szCs w:val="22"/>
              </w:rPr>
            </w:pPr>
            <w:r w:rsidRPr="00202C1B">
              <w:rPr>
                <w:rFonts w:ascii="Calibri" w:eastAsia="Calibri" w:hAnsi="Calibri"/>
                <w:b/>
                <w:color w:val="auto"/>
                <w:sz w:val="22"/>
                <w:szCs w:val="22"/>
              </w:rPr>
              <w:t>Week 12</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LDL-C (ITT )</w:t>
            </w:r>
            <w:r w:rsidRPr="00202C1B">
              <w:rPr>
                <w:rFonts w:ascii="Calibri" w:eastAsia="Calibri" w:hAnsi="Calibri"/>
                <w:color w:val="auto"/>
                <w:sz w:val="22"/>
                <w:szCs w:val="22"/>
                <w:vertAlign w:val="superscript"/>
              </w:rPr>
              <w:t>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-21.8</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-51.2</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-15.6</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-47.0</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LDL-C (on treatment)</w:t>
            </w:r>
            <w:r w:rsidRPr="00202C1B">
              <w:rPr>
                <w:rFonts w:ascii="Calibri" w:eastAsia="Calibri" w:hAnsi="Calibri"/>
                <w:color w:val="auto"/>
                <w:sz w:val="22"/>
                <w:szCs w:val="22"/>
                <w:vertAlign w:val="superscript"/>
              </w:rPr>
              <w:t>b</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-22.7</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-52.4</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-18.0</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-51.2</w:t>
            </w:r>
          </w:p>
        </w:tc>
      </w:tr>
      <w:tr w:rsidR="009D6405" w:rsidRPr="00202C1B" w:rsidTr="00EC3032">
        <w:tc>
          <w:tcPr>
            <w:tcW w:w="10098" w:type="dxa"/>
            <w:gridSpan w:val="14"/>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rPr>
                <w:rFonts w:ascii="Calibri" w:eastAsia="Calibri" w:hAnsi="Calibri"/>
                <w:b/>
                <w:color w:val="auto"/>
                <w:sz w:val="22"/>
                <w:szCs w:val="22"/>
              </w:rPr>
            </w:pPr>
            <w:r w:rsidRPr="00202C1B">
              <w:rPr>
                <w:rFonts w:ascii="Calibri" w:eastAsia="Calibri" w:hAnsi="Calibri"/>
                <w:b/>
                <w:color w:val="auto"/>
                <w:sz w:val="22"/>
                <w:szCs w:val="22"/>
              </w:rPr>
              <w:t>Week24</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LDL-C (ITT)</w:t>
            </w:r>
            <w:r w:rsidRPr="00202C1B">
              <w:rPr>
                <w:rFonts w:ascii="Calibri" w:eastAsia="Calibri" w:hAnsi="Calibri"/>
                <w:color w:val="auto"/>
                <w:sz w:val="22"/>
                <w:szCs w:val="22"/>
                <w:vertAlign w:val="superscript"/>
              </w:rPr>
              <w:t>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-20.7</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vertAlign w:val="superscript"/>
              </w:rPr>
            </w:pPr>
            <w:r w:rsidRPr="00202C1B">
              <w:rPr>
                <w:rFonts w:ascii="Calibri" w:eastAsia="Calibri" w:hAnsi="Calibri"/>
                <w:color w:val="auto"/>
                <w:sz w:val="22"/>
                <w:szCs w:val="22"/>
              </w:rPr>
              <w:t>-50.6</w:t>
            </w:r>
            <w:r w:rsidRPr="00202C1B">
              <w:rPr>
                <w:rFonts w:ascii="Calibri" w:eastAsia="Calibri" w:hAnsi="Calibri"/>
                <w:color w:val="auto"/>
                <w:sz w:val="22"/>
                <w:szCs w:val="22"/>
                <w:vertAlign w:val="superscript"/>
              </w:rPr>
              <w:t>g</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66DB9"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-14.6</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66DB9" w:rsidRDefault="009D6405" w:rsidP="00EC3032">
            <w:pPr>
              <w:spacing w:before="0"/>
              <w:jc w:val="center"/>
              <w:rPr>
                <w:rFonts w:ascii="Calibri" w:eastAsia="Calibri" w:hAnsi="Calibri"/>
                <w:color w:val="auto"/>
                <w:sz w:val="22"/>
                <w:szCs w:val="22"/>
              </w:rPr>
            </w:pPr>
            <w:r w:rsidRPr="00266DB9">
              <w:rPr>
                <w:rFonts w:ascii="Calibri" w:eastAsia="Calibri" w:hAnsi="Calibri"/>
                <w:color w:val="auto"/>
                <w:sz w:val="22"/>
                <w:szCs w:val="22"/>
              </w:rPr>
              <w:t>-45.0</w:t>
            </w:r>
            <w:r w:rsidRPr="00266DB9">
              <w:rPr>
                <w:rFonts w:ascii="Calibri" w:eastAsia="Calibri" w:hAnsi="Calibri"/>
                <w:color w:val="auto"/>
                <w:sz w:val="22"/>
                <w:szCs w:val="22"/>
                <w:vertAlign w:val="superscript"/>
              </w:rPr>
              <w:t>h</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LDL-C (on treatment)</w:t>
            </w:r>
            <w:r w:rsidRPr="00202C1B">
              <w:rPr>
                <w:rFonts w:ascii="Calibri" w:eastAsia="Calibri" w:hAnsi="Calibri"/>
                <w:color w:val="auto"/>
                <w:sz w:val="22"/>
                <w:szCs w:val="22"/>
                <w:vertAlign w:val="superscript"/>
              </w:rPr>
              <w:t>b</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-21.8</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-52.4</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-17.1</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66DB9">
              <w:rPr>
                <w:rFonts w:ascii="Calibri" w:eastAsia="Calibri" w:hAnsi="Calibri"/>
                <w:color w:val="auto"/>
                <w:sz w:val="22"/>
                <w:szCs w:val="22"/>
              </w:rPr>
              <w:t>-52.2</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Non-HDL-C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-19.2</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-42.1</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-14.6</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-40.2</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Apo B</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-18.3</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-40.7</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-11.2</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-36.3</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Total-C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-14.6</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-29.3</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-10.9</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-31.8</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proofErr w:type="spellStart"/>
            <w:r w:rsidRPr="00202C1B">
              <w:rPr>
                <w:rFonts w:ascii="Calibri" w:eastAsia="Calibri" w:hAnsi="Calibri"/>
                <w:color w:val="auto"/>
                <w:sz w:val="22"/>
                <w:szCs w:val="22"/>
              </w:rPr>
              <w:t>Lp</w:t>
            </w:r>
            <w:proofErr w:type="spellEnd"/>
            <w:r w:rsidRPr="00202C1B">
              <w:rPr>
                <w:rFonts w:ascii="Calibri" w:eastAsia="Calibri" w:hAnsi="Calibri"/>
                <w:color w:val="auto"/>
                <w:sz w:val="22"/>
                <w:szCs w:val="22"/>
              </w:rPr>
              <w:t>(a)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-6.1</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-27.8</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-7.3</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-25.9</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TG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-12.8</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-13.0</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-3.6</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-9.3</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HDL-C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0.5</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8.6</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6.8</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7.7</w:t>
            </w:r>
          </w:p>
        </w:tc>
      </w:tr>
      <w:tr w:rsidR="009D6405" w:rsidRPr="00202C1B" w:rsidTr="00EC3032">
        <w:tc>
          <w:tcPr>
            <w:tcW w:w="2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D6405" w:rsidRPr="00202C1B" w:rsidRDefault="009D6405" w:rsidP="00EC3032">
            <w:pPr>
              <w:spacing w:before="0"/>
              <w:rPr>
                <w:rFonts w:ascii="Calibri" w:eastAsia="Calibri" w:hAnsi="Calibri"/>
                <w:color w:val="auto"/>
                <w:sz w:val="22"/>
                <w:szCs w:val="22"/>
              </w:rPr>
            </w:pPr>
            <w:r w:rsidRPr="00202C1B">
              <w:rPr>
                <w:rFonts w:ascii="Calibri" w:eastAsia="Calibri" w:hAnsi="Calibri"/>
                <w:color w:val="auto"/>
                <w:sz w:val="22"/>
                <w:szCs w:val="22"/>
              </w:rPr>
              <w:t>Apo A-1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-1.3</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sidRPr="00202C1B">
              <w:rPr>
                <w:rFonts w:ascii="Calibri" w:eastAsia="Calibri" w:hAnsi="Calibri"/>
                <w:color w:val="auto"/>
                <w:sz w:val="22"/>
                <w:szCs w:val="22"/>
              </w:rPr>
              <w:t>5.0</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2.9</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tcPr>
          <w:p w:rsidR="009D6405" w:rsidRPr="00202C1B" w:rsidRDefault="009D6405" w:rsidP="00EC3032">
            <w:pPr>
              <w:spacing w:before="0"/>
              <w:jc w:val="center"/>
              <w:rPr>
                <w:rFonts w:ascii="Calibri" w:eastAsia="Calibri" w:hAnsi="Calibri"/>
                <w:color w:val="auto"/>
                <w:sz w:val="22"/>
                <w:szCs w:val="22"/>
              </w:rPr>
            </w:pPr>
            <w:r>
              <w:rP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ofErr w:type="gramStart"/>
      <w:r w:rsidRPr="00202C1B">
        <w:rPr>
          <w:color w:val="auto"/>
          <w:sz w:val="20"/>
          <w:szCs w:val="20"/>
          <w:vertAlign w:val="superscript"/>
        </w:rPr>
        <w:t>a</w:t>
      </w:r>
      <w:proofErr w:type="gramEnd"/>
      <w:r w:rsidRPr="00202C1B">
        <w:rPr>
          <w:color w:val="auto"/>
          <w:sz w:val="20"/>
          <w:szCs w:val="20"/>
        </w:rPr>
        <w:t xml:space="preserve"> ITT analysis – intent-to-treat population, includes all lipid data throughout the duration of the study irrespective of adherence to the study treatment</w:t>
      </w:r>
    </w:p>
    <w:p w:rsidR="009D6405" w:rsidRPr="00202C1B" w:rsidRDefault="009D6405" w:rsidP="009D6405">
      <w:pPr>
        <w:spacing w:before="0"/>
        <w:rPr>
          <w:color w:val="auto"/>
          <w:sz w:val="20"/>
          <w:szCs w:val="20"/>
        </w:rPr>
      </w:pPr>
      <w:proofErr w:type="gramStart"/>
      <w:r w:rsidRPr="00202C1B">
        <w:rPr>
          <w:color w:val="auto"/>
          <w:sz w:val="20"/>
          <w:szCs w:val="20"/>
          <w:vertAlign w:val="superscript"/>
        </w:rPr>
        <w:t>b</w:t>
      </w:r>
      <w:proofErr w:type="gramEnd"/>
      <w:r w:rsidRPr="00202C1B">
        <w:rPr>
          <w:color w:val="auto"/>
          <w:sz w:val="20"/>
          <w:szCs w:val="20"/>
        </w:rPr>
        <w:t xml:space="preserve"> On treatment analysis – analysis restricted to the time period that patients actually received treatment.  The % LDL-C reduction at week 24 corresponds to a mean absolute change of:</w:t>
      </w:r>
    </w:p>
    <w:p w:rsidR="009D6405" w:rsidRPr="00202C1B" w:rsidRDefault="009D6405" w:rsidP="009D6405">
      <w:pPr>
        <w:spacing w:before="0"/>
        <w:rPr>
          <w:color w:val="auto"/>
          <w:sz w:val="20"/>
          <w:szCs w:val="20"/>
        </w:rPr>
      </w:pPr>
      <w:proofErr w:type="gramStart"/>
      <w:r w:rsidRPr="00202C1B">
        <w:rPr>
          <w:color w:val="auto"/>
          <w:sz w:val="20"/>
          <w:szCs w:val="20"/>
          <w:vertAlign w:val="superscript"/>
        </w:rPr>
        <w:lastRenderedPageBreak/>
        <w:t>c</w:t>
      </w:r>
      <w:proofErr w:type="gramEnd"/>
      <w:r w:rsidRPr="00202C1B">
        <w:rPr>
          <w:color w:val="auto"/>
          <w:sz w:val="20"/>
          <w:szCs w:val="20"/>
        </w:rPr>
        <w:t xml:space="preserve"> -74.2 mg/</w:t>
      </w:r>
      <w:proofErr w:type="spellStart"/>
      <w:r w:rsidRPr="00202C1B">
        <w:rPr>
          <w:color w:val="auto"/>
          <w:sz w:val="20"/>
          <w:szCs w:val="20"/>
        </w:rPr>
        <w:t>dL</w:t>
      </w:r>
      <w:proofErr w:type="spellEnd"/>
      <w:r w:rsidRPr="00202C1B">
        <w:rPr>
          <w:color w:val="auto"/>
          <w:sz w:val="20"/>
          <w:szCs w:val="20"/>
        </w:rPr>
        <w:t xml:space="preserve"> (-1.92 </w:t>
      </w:r>
      <w:proofErr w:type="spellStart"/>
      <w:r w:rsidRPr="00202C1B">
        <w:rPr>
          <w:color w:val="auto"/>
          <w:sz w:val="20"/>
          <w:szCs w:val="20"/>
        </w:rPr>
        <w:t>mmol</w:t>
      </w:r>
      <w:proofErr w:type="spellEnd"/>
      <w:r w:rsidRPr="00202C1B">
        <w:rPr>
          <w:color w:val="auto"/>
          <w:sz w:val="20"/>
          <w:szCs w:val="20"/>
        </w:rPr>
        <w:t xml:space="preserve">/L); </w:t>
      </w:r>
      <w:r w:rsidRPr="00202C1B">
        <w:rPr>
          <w:color w:val="auto"/>
          <w:sz w:val="20"/>
          <w:szCs w:val="20"/>
          <w:vertAlign w:val="superscript"/>
        </w:rPr>
        <w:t>d</w:t>
      </w:r>
      <w:r w:rsidRPr="00202C1B">
        <w:rPr>
          <w:color w:val="auto"/>
          <w:sz w:val="20"/>
          <w:szCs w:val="20"/>
        </w:rPr>
        <w:t xml:space="preserve"> -71.1 mg/</w:t>
      </w:r>
      <w:proofErr w:type="spellStart"/>
      <w:r w:rsidRPr="00202C1B">
        <w:rPr>
          <w:color w:val="auto"/>
          <w:sz w:val="20"/>
          <w:szCs w:val="20"/>
        </w:rPr>
        <w:t>dL</w:t>
      </w:r>
      <w:proofErr w:type="spellEnd"/>
      <w:r w:rsidRPr="00202C1B">
        <w:rPr>
          <w:color w:val="auto"/>
          <w:sz w:val="20"/>
          <w:szCs w:val="20"/>
        </w:rPr>
        <w:t xml:space="preserve"> (-1.84 </w:t>
      </w:r>
      <w:proofErr w:type="spellStart"/>
      <w:r w:rsidRPr="00202C1B">
        <w:rPr>
          <w:color w:val="auto"/>
          <w:sz w:val="20"/>
          <w:szCs w:val="20"/>
        </w:rPr>
        <w:t>mmol</w:t>
      </w:r>
      <w:proofErr w:type="spellEnd"/>
      <w:r w:rsidRPr="00202C1B">
        <w:rPr>
          <w:color w:val="auto"/>
          <w:sz w:val="20"/>
          <w:szCs w:val="20"/>
        </w:rPr>
        <w:t xml:space="preserve">/mL); </w:t>
      </w:r>
      <w:r w:rsidRPr="00202C1B">
        <w:rPr>
          <w:color w:val="auto"/>
          <w:sz w:val="20"/>
          <w:szCs w:val="20"/>
          <w:vertAlign w:val="superscript"/>
        </w:rPr>
        <w:t>e</w:t>
      </w:r>
      <w:r w:rsidRPr="00202C1B">
        <w:rPr>
          <w:color w:val="auto"/>
          <w:sz w:val="20"/>
          <w:szCs w:val="20"/>
        </w:rPr>
        <w:t xml:space="preserve"> -90.8 mg/</w:t>
      </w:r>
      <w:proofErr w:type="spellStart"/>
      <w:r w:rsidRPr="00202C1B">
        <w:rPr>
          <w:color w:val="auto"/>
          <w:sz w:val="20"/>
          <w:szCs w:val="20"/>
        </w:rPr>
        <w:t>dL</w:t>
      </w:r>
      <w:proofErr w:type="spellEnd"/>
      <w:r w:rsidRPr="00202C1B">
        <w:rPr>
          <w:color w:val="auto"/>
          <w:sz w:val="20"/>
          <w:szCs w:val="20"/>
        </w:rPr>
        <w:t xml:space="preserve"> (-2.35  </w:t>
      </w:r>
      <w:proofErr w:type="spellStart"/>
      <w:r w:rsidRPr="00202C1B">
        <w:rPr>
          <w:color w:val="auto"/>
          <w:sz w:val="20"/>
          <w:szCs w:val="20"/>
        </w:rPr>
        <w:t>mmol</w:t>
      </w:r>
      <w:proofErr w:type="spellEnd"/>
      <w:r w:rsidRPr="00202C1B">
        <w:rPr>
          <w:color w:val="auto"/>
          <w:sz w:val="20"/>
          <w:szCs w:val="20"/>
        </w:rPr>
        <w:t xml:space="preserve">/L); </w:t>
      </w:r>
      <w:r w:rsidRPr="00202C1B">
        <w:rPr>
          <w:color w:val="auto"/>
          <w:sz w:val="20"/>
          <w:szCs w:val="20"/>
          <w:vertAlign w:val="superscript"/>
        </w:rPr>
        <w:t xml:space="preserve">f </w:t>
      </w:r>
      <w:r w:rsidRPr="00202C1B">
        <w:rPr>
          <w:color w:val="auto"/>
          <w:sz w:val="20"/>
          <w:szCs w:val="20"/>
        </w:rPr>
        <w:t>-50.3 mg/</w:t>
      </w:r>
      <w:proofErr w:type="spellStart"/>
      <w:r w:rsidRPr="00202C1B">
        <w:rPr>
          <w:color w:val="auto"/>
          <w:sz w:val="20"/>
          <w:szCs w:val="20"/>
        </w:rPr>
        <w:t>dL</w:t>
      </w:r>
      <w:proofErr w:type="spellEnd"/>
      <w:r w:rsidRPr="00202C1B">
        <w:rPr>
          <w:color w:val="auto"/>
          <w:sz w:val="20"/>
          <w:szCs w:val="20"/>
        </w:rPr>
        <w:t xml:space="preserve"> (-1.30 </w:t>
      </w:r>
      <w:proofErr w:type="spellStart"/>
      <w:r w:rsidRPr="00202C1B">
        <w:rPr>
          <w:color w:val="auto"/>
          <w:sz w:val="20"/>
          <w:szCs w:val="20"/>
        </w:rPr>
        <w:t>mmol</w:t>
      </w:r>
      <w:proofErr w:type="spellEnd"/>
      <w:r w:rsidRPr="00202C1B">
        <w:rPr>
          <w:color w:val="auto"/>
          <w:sz w:val="20"/>
          <w:szCs w:val="20"/>
        </w:rPr>
        <w:t xml:space="preserve">/L); </w:t>
      </w:r>
      <w:r w:rsidRPr="00202C1B">
        <w:rPr>
          <w:color w:val="auto"/>
          <w:sz w:val="20"/>
          <w:szCs w:val="20"/>
          <w:vertAlign w:val="superscript"/>
        </w:rPr>
        <w:t>g</w:t>
      </w:r>
      <w:r w:rsidRPr="00202C1B">
        <w:rPr>
          <w:color w:val="auto"/>
          <w:sz w:val="20"/>
          <w:szCs w:val="20"/>
        </w:rPr>
        <w:t xml:space="preserve"> -55.4 mg/</w:t>
      </w:r>
      <w:proofErr w:type="spellStart"/>
      <w:r w:rsidRPr="00202C1B">
        <w:rPr>
          <w:color w:val="auto"/>
          <w:sz w:val="20"/>
          <w:szCs w:val="20"/>
        </w:rPr>
        <w:t>dL</w:t>
      </w:r>
      <w:proofErr w:type="spellEnd"/>
      <w:r w:rsidRPr="00202C1B">
        <w:rPr>
          <w:color w:val="auto"/>
          <w:sz w:val="20"/>
          <w:szCs w:val="20"/>
        </w:rPr>
        <w:t xml:space="preserve"> (1.44 </w:t>
      </w:r>
      <w:proofErr w:type="spellStart"/>
      <w:r w:rsidRPr="00202C1B">
        <w:rPr>
          <w:color w:val="auto"/>
          <w:sz w:val="20"/>
          <w:szCs w:val="20"/>
        </w:rPr>
        <w:t>mmol</w:t>
      </w:r>
      <w:proofErr w:type="spellEnd"/>
      <w:r w:rsidRPr="00202C1B">
        <w:rPr>
          <w:color w:val="auto"/>
          <w:sz w:val="20"/>
          <w:szCs w:val="20"/>
        </w:rPr>
        <w:t>/L)</w:t>
      </w:r>
      <w:r>
        <w:rPr>
          <w:color w:val="auto"/>
          <w:sz w:val="20"/>
          <w:szCs w:val="20"/>
        </w:rPr>
        <w:t>;</w:t>
      </w:r>
      <w:r w:rsidRPr="00266DB9">
        <w:rPr>
          <w:color w:val="auto"/>
          <w:sz w:val="20"/>
          <w:szCs w:val="20"/>
        </w:rPr>
        <w:t xml:space="preserve"> </w:t>
      </w:r>
      <w:r w:rsidRPr="00266DB9">
        <w:rPr>
          <w:color w:val="auto"/>
          <w:sz w:val="20"/>
          <w:szCs w:val="20"/>
          <w:vertAlign w:val="superscript"/>
        </w:rPr>
        <w:t>h</w:t>
      </w:r>
      <w:r w:rsidRPr="00266DB9">
        <w:rPr>
          <w:color w:val="auto"/>
          <w:sz w:val="20"/>
          <w:szCs w:val="20"/>
        </w:rPr>
        <w:t xml:space="preserve"> -84.2 mg/</w:t>
      </w:r>
      <w:proofErr w:type="spellStart"/>
      <w:r w:rsidRPr="00266DB9">
        <w:rPr>
          <w:color w:val="auto"/>
          <w:sz w:val="20"/>
          <w:szCs w:val="20"/>
        </w:rPr>
        <w:t>dL</w:t>
      </w:r>
      <w:proofErr w:type="spellEnd"/>
      <w:r w:rsidRPr="00266DB9">
        <w:rPr>
          <w:color w:val="auto"/>
          <w:sz w:val="20"/>
          <w:szCs w:val="20"/>
        </w:rPr>
        <w:t xml:space="preserve"> (-2.18 </w:t>
      </w:r>
      <w:proofErr w:type="spellStart"/>
      <w:r w:rsidRPr="00266DB9">
        <w:rPr>
          <w:color w:val="auto"/>
          <w:sz w:val="20"/>
          <w:szCs w:val="20"/>
        </w:rPr>
        <w:t>mmol</w:t>
      </w:r>
      <w:proofErr w:type="spellEnd"/>
      <w:r w:rsidRPr="00266DB9">
        <w:rPr>
          <w:color w:val="auto"/>
          <w:sz w:val="20"/>
          <w:szCs w:val="20"/>
        </w:rPr>
        <w:t>/L)</w:t>
      </w:r>
      <w:r>
        <w:rPr>
          <w:color w:val="auto"/>
          <w:sz w:val="20"/>
          <w:szCs w:val="20"/>
        </w:rPr>
        <w:t>.</w:t>
      </w:r>
    </w:p>
    <w:p w:rsidR="00BC52A5" w:rsidRDefault="00BC52A5" w:rsidP="00BC52A5">
      <w:pPr>
        <w:pStyle w:val="Heading1"/>
        <w:pageBreakBefore w:val="0"/>
        <w:numPr>
          <w:ilvl w:val="0"/>
          <w:numId w:val="0"/>
        </w:numPr>
      </w:pPr>
      <w:r>
        <w:t>indications</w:t>
      </w:r>
      <w:bookmarkEnd w:id="20"/>
    </w:p>
    <w:p w:rsidR="00922BAC" w:rsidRPr="00E67013" w:rsidRDefault="00922BAC" w:rsidP="00922BAC">
      <w:pPr>
        <w:pStyle w:val="TblTextCenter"/>
        <w:spacing w:before="240"/>
        <w:jc w:val="left"/>
        <w:rPr>
          <w:rFonts w:ascii="Times New Roman" w:hAnsi="Times New Roman"/>
          <w:sz w:val="24"/>
          <w:szCs w:val="24"/>
        </w:rPr>
      </w:pPr>
      <w:proofErr w:type="spellStart"/>
      <w:r w:rsidRPr="00922BAC">
        <w:rPr>
          <w:rFonts w:ascii="Times New Roman" w:hAnsi="Times New Roman"/>
          <w:sz w:val="24"/>
          <w:szCs w:val="24"/>
        </w:rPr>
        <w:t>Praluent</w:t>
      </w:r>
      <w:proofErr w:type="spellEnd"/>
      <w:r w:rsidRPr="00922BAC">
        <w:rPr>
          <w:rFonts w:ascii="Times New Roman" w:hAnsi="Times New Roman"/>
          <w:sz w:val="24"/>
          <w:szCs w:val="24"/>
        </w:rPr>
        <w:t xml:space="preserve"> is indicated</w:t>
      </w:r>
      <w:r w:rsidRPr="00E67013">
        <w:rPr>
          <w:rFonts w:ascii="Times New Roman" w:hAnsi="Times New Roman"/>
          <w:sz w:val="24"/>
          <w:szCs w:val="24"/>
        </w:rPr>
        <w:t xml:space="preserve"> </w:t>
      </w:r>
      <w:r w:rsidR="00703114" w:rsidRPr="00E67013">
        <w:rPr>
          <w:rFonts w:ascii="Times New Roman" w:hAnsi="Times New Roman"/>
          <w:sz w:val="24"/>
          <w:szCs w:val="24"/>
        </w:rPr>
        <w:t xml:space="preserve">as an adjunct to diet and exercise </w:t>
      </w:r>
      <w:r w:rsidRPr="00E67013">
        <w:rPr>
          <w:rFonts w:ascii="Times New Roman" w:hAnsi="Times New Roman"/>
          <w:sz w:val="24"/>
          <w:szCs w:val="24"/>
        </w:rPr>
        <w:t>in adults with heterozygous familial</w:t>
      </w:r>
      <w:r w:rsidR="00EB55B1" w:rsidRPr="00E67013">
        <w:rPr>
          <w:rFonts w:ascii="Times New Roman" w:hAnsi="Times New Roman"/>
          <w:sz w:val="24"/>
          <w:szCs w:val="24"/>
        </w:rPr>
        <w:t xml:space="preserve"> </w:t>
      </w:r>
      <w:proofErr w:type="spellStart"/>
      <w:r w:rsidR="00EB55B1" w:rsidRPr="00E67013">
        <w:rPr>
          <w:rFonts w:ascii="Times New Roman" w:hAnsi="Times New Roman"/>
          <w:sz w:val="24"/>
          <w:szCs w:val="24"/>
        </w:rPr>
        <w:t>hypercholesterolaemia</w:t>
      </w:r>
      <w:proofErr w:type="spellEnd"/>
      <w:r w:rsidR="00EB55B1" w:rsidRPr="00E67013">
        <w:rPr>
          <w:rFonts w:ascii="Times New Roman" w:hAnsi="Times New Roman"/>
          <w:sz w:val="24"/>
          <w:szCs w:val="24"/>
        </w:rPr>
        <w:t xml:space="preserve"> or clinical atherosclerotic cardiovascular disease</w:t>
      </w:r>
      <w:r w:rsidRPr="00E67013">
        <w:rPr>
          <w:rFonts w:ascii="Times New Roman" w:hAnsi="Times New Roman"/>
          <w:sz w:val="24"/>
          <w:szCs w:val="24"/>
        </w:rPr>
        <w:t>:</w:t>
      </w:r>
    </w:p>
    <w:p w:rsidR="00922BAC" w:rsidRPr="00A43142" w:rsidRDefault="00922BAC" w:rsidP="00922BAC">
      <w:pPr>
        <w:pStyle w:val="TblTextCenter"/>
        <w:numPr>
          <w:ilvl w:val="0"/>
          <w:numId w:val="38"/>
        </w:numPr>
        <w:spacing w:before="120"/>
        <w:ind w:left="357" w:hanging="357"/>
        <w:jc w:val="left"/>
        <w:rPr>
          <w:rFonts w:ascii="Times New Roman" w:hAnsi="Times New Roman"/>
          <w:sz w:val="24"/>
          <w:szCs w:val="24"/>
        </w:rPr>
      </w:pPr>
      <w:r w:rsidRPr="00922BAC">
        <w:rPr>
          <w:rFonts w:ascii="Times New Roman" w:hAnsi="Times New Roman"/>
          <w:sz w:val="24"/>
          <w:szCs w:val="24"/>
        </w:rPr>
        <w:t>in combination with a s</w:t>
      </w:r>
      <w:r w:rsidRPr="00A43142">
        <w:rPr>
          <w:rFonts w:ascii="Times New Roman" w:hAnsi="Times New Roman"/>
          <w:sz w:val="24"/>
          <w:szCs w:val="24"/>
        </w:rPr>
        <w:t xml:space="preserve">tatin, or statin with </w:t>
      </w:r>
      <w:r w:rsidR="00A43142" w:rsidRPr="00A43142">
        <w:rPr>
          <w:rFonts w:ascii="Times New Roman" w:hAnsi="Times New Roman"/>
          <w:sz w:val="24"/>
          <w:szCs w:val="24"/>
        </w:rPr>
        <w:t>o</w:t>
      </w:r>
      <w:r w:rsidRPr="00A43142">
        <w:rPr>
          <w:rFonts w:ascii="Times New Roman" w:hAnsi="Times New Roman"/>
          <w:sz w:val="24"/>
          <w:szCs w:val="24"/>
        </w:rPr>
        <w:t>ther lipid-lowering therapies</w:t>
      </w:r>
      <w:r w:rsidR="00E67013">
        <w:rPr>
          <w:rFonts w:ascii="Times New Roman" w:hAnsi="Times New Roman"/>
          <w:sz w:val="24"/>
          <w:szCs w:val="24"/>
        </w:rPr>
        <w:t xml:space="preserve"> or</w:t>
      </w:r>
      <w:r w:rsidR="003E0D7D" w:rsidRPr="00A43142">
        <w:rPr>
          <w:rFonts w:ascii="Times New Roman" w:hAnsi="Times New Roman"/>
          <w:sz w:val="24"/>
          <w:szCs w:val="24"/>
        </w:rPr>
        <w:t>,</w:t>
      </w:r>
    </w:p>
    <w:p w:rsidR="00922BAC" w:rsidRPr="00A43142" w:rsidRDefault="00922BAC" w:rsidP="00922BAC">
      <w:pPr>
        <w:numPr>
          <w:ilvl w:val="0"/>
          <w:numId w:val="38"/>
        </w:numPr>
        <w:rPr>
          <w:color w:val="auto"/>
          <w:lang w:val="en-AU" w:eastAsia="en-AU"/>
        </w:rPr>
      </w:pPr>
      <w:proofErr w:type="gramStart"/>
      <w:r w:rsidRPr="00A43142">
        <w:rPr>
          <w:color w:val="auto"/>
        </w:rPr>
        <w:t>in</w:t>
      </w:r>
      <w:proofErr w:type="gramEnd"/>
      <w:r w:rsidRPr="00A43142">
        <w:rPr>
          <w:color w:val="auto"/>
        </w:rPr>
        <w:t xml:space="preserve"> combination with other </w:t>
      </w:r>
      <w:r w:rsidRPr="00A43142">
        <w:rPr>
          <w:color w:val="auto"/>
          <w:lang w:val="en-AU" w:eastAsia="en-AU"/>
        </w:rPr>
        <w:t>lipid-lowering therapies in patients who are statin-intolerant.</w:t>
      </w:r>
    </w:p>
    <w:p w:rsidR="00BC7315" w:rsidRPr="00A43142" w:rsidRDefault="00BC7315" w:rsidP="00BC7315">
      <w:pPr>
        <w:rPr>
          <w:color w:val="auto"/>
        </w:rPr>
      </w:pPr>
      <w:bookmarkStart w:id="22" w:name="_Toc341259158"/>
      <w:r w:rsidRPr="00A43142">
        <w:rPr>
          <w:color w:val="auto"/>
        </w:rPr>
        <w:t xml:space="preserve">The effect of </w:t>
      </w:r>
      <w:proofErr w:type="spellStart"/>
      <w:r w:rsidRPr="00A43142">
        <w:rPr>
          <w:color w:val="auto"/>
        </w:rPr>
        <w:t>Praluent</w:t>
      </w:r>
      <w:proofErr w:type="spellEnd"/>
      <w:r w:rsidRPr="00A43142">
        <w:rPr>
          <w:color w:val="auto"/>
        </w:rPr>
        <w:t xml:space="preserve"> on cardiovascular morbidity and mortality has not yet been determined</w:t>
      </w:r>
      <w:r w:rsidRPr="00EA5BD2">
        <w:t xml:space="preserve"> (see CLINICAL TRIALS)</w:t>
      </w:r>
      <w:r w:rsidRPr="00A43142">
        <w:rPr>
          <w:color w:val="auto"/>
        </w:rPr>
        <w:t>.</w:t>
      </w:r>
    </w:p>
    <w:p w:rsidR="00BC52A5" w:rsidRDefault="00BC52A5" w:rsidP="00BC52A5">
      <w:pPr>
        <w:pStyle w:val="Heading1"/>
        <w:pageBreakBefore w:val="0"/>
        <w:numPr>
          <w:ilvl w:val="0"/>
          <w:numId w:val="0"/>
        </w:numPr>
      </w:pPr>
      <w:r>
        <w:t>contraindications</w:t>
      </w:r>
      <w:bookmarkEnd w:id="22"/>
    </w:p>
    <w:p w:rsidR="00C62148" w:rsidRDefault="00C62148" w:rsidP="00C62148">
      <w:pPr>
        <w:pStyle w:val="ListBulletLevel1"/>
        <w:spacing w:before="240"/>
      </w:pPr>
      <w:r>
        <w:t xml:space="preserve">Hypersensitivity to the active substance or to any of the excipients </w:t>
      </w:r>
    </w:p>
    <w:p w:rsidR="00BC52A5" w:rsidRDefault="00C62148" w:rsidP="00C62148">
      <w:pPr>
        <w:pStyle w:val="ListBulletLevel1"/>
        <w:numPr>
          <w:ilvl w:val="0"/>
          <w:numId w:val="0"/>
        </w:numPr>
      </w:pPr>
      <w:r>
        <w:t xml:space="preserve">For contraindications related to concomitant statins or other lipid-modifying therapy, please refer to their current respective </w:t>
      </w:r>
      <w:r w:rsidRPr="003D2EBF">
        <w:rPr>
          <w:color w:val="auto"/>
        </w:rPr>
        <w:t>product</w:t>
      </w:r>
      <w:r>
        <w:t xml:space="preserve"> information. </w:t>
      </w:r>
    </w:p>
    <w:p w:rsidR="00BC52A5" w:rsidRDefault="00BC52A5" w:rsidP="00BC52A5">
      <w:pPr>
        <w:pStyle w:val="Heading1"/>
        <w:pageBreakBefore w:val="0"/>
        <w:numPr>
          <w:ilvl w:val="0"/>
          <w:numId w:val="0"/>
        </w:numPr>
      </w:pPr>
      <w:bookmarkStart w:id="23" w:name="_Toc341259159"/>
      <w:r>
        <w:t>precautions</w:t>
      </w:r>
      <w:bookmarkEnd w:id="23"/>
    </w:p>
    <w:p w:rsidR="00C62148" w:rsidRDefault="00C62148" w:rsidP="00C62148">
      <w:bookmarkStart w:id="24" w:name="_Toc341259160"/>
      <w:r w:rsidRPr="00C62148">
        <w:t>General allergic reactions, including pruritus, as well as rare and sometimes serious allergic reactions such as</w:t>
      </w:r>
      <w:r>
        <w:t xml:space="preserve"> </w:t>
      </w:r>
      <w:r w:rsidRPr="00C62148">
        <w:t xml:space="preserve">hypersensitivity, nummular eczema, </w:t>
      </w:r>
      <w:proofErr w:type="spellStart"/>
      <w:r w:rsidRPr="00C62148">
        <w:t>urticaria</w:t>
      </w:r>
      <w:proofErr w:type="spellEnd"/>
      <w:r w:rsidRPr="00C62148">
        <w:t>, and hypersensitivity vasculitis have been reported in clinical</w:t>
      </w:r>
      <w:r>
        <w:t xml:space="preserve"> </w:t>
      </w:r>
      <w:r w:rsidRPr="00C62148">
        <w:t xml:space="preserve">studies (see section </w:t>
      </w:r>
      <w:r w:rsidR="004D74B6">
        <w:t>ADVERSE EFFECTS)</w:t>
      </w:r>
      <w:r w:rsidRPr="00C62148">
        <w:t xml:space="preserve">. If signs or symptoms of serious allergic reactions occur, treatment with </w:t>
      </w:r>
      <w:proofErr w:type="spellStart"/>
      <w:r w:rsidRPr="00C62148">
        <w:t>Praluent</w:t>
      </w:r>
      <w:proofErr w:type="spellEnd"/>
      <w:r>
        <w:t xml:space="preserve"> </w:t>
      </w:r>
      <w:r w:rsidRPr="00C62148">
        <w:t>must be discontinued and appropriate s</w:t>
      </w:r>
      <w:r w:rsidR="00D45EDD">
        <w:t>ymptomatic treatment initiated.</w:t>
      </w:r>
    </w:p>
    <w:p w:rsidR="00F217F9" w:rsidRPr="00BB694E" w:rsidRDefault="00F217F9" w:rsidP="00F217F9">
      <w:pPr>
        <w:rPr>
          <w:b/>
          <w:color w:val="auto"/>
        </w:rPr>
      </w:pPr>
      <w:r w:rsidRPr="00BB694E">
        <w:rPr>
          <w:b/>
          <w:color w:val="auto"/>
        </w:rPr>
        <w:t>Immunogenicity</w:t>
      </w:r>
    </w:p>
    <w:p w:rsidR="00F217F9" w:rsidRPr="00BB694E" w:rsidRDefault="00F217F9" w:rsidP="00F217F9">
      <w:pPr>
        <w:rPr>
          <w:color w:val="auto"/>
        </w:rPr>
      </w:pPr>
      <w:r w:rsidRPr="00BB694E">
        <w:rPr>
          <w:color w:val="auto"/>
        </w:rPr>
        <w:t xml:space="preserve">In phase 3 studies, 4.8% of </w:t>
      </w:r>
      <w:proofErr w:type="spellStart"/>
      <w:r w:rsidRPr="00BB694E">
        <w:rPr>
          <w:color w:val="auto"/>
        </w:rPr>
        <w:t>alirocumab</w:t>
      </w:r>
      <w:proofErr w:type="spellEnd"/>
      <w:r w:rsidRPr="00BB694E">
        <w:rPr>
          <w:color w:val="auto"/>
        </w:rPr>
        <w:t xml:space="preserve">-treated patients had a treatment-emergent ADA response as compared to 0.6% in the control group (placebo or ezetimibe). The majority of those patients exhibited transient low-titer ADA responses with no </w:t>
      </w:r>
      <w:proofErr w:type="spellStart"/>
      <w:r w:rsidRPr="00BB694E">
        <w:rPr>
          <w:color w:val="auto"/>
        </w:rPr>
        <w:t>neutralising</w:t>
      </w:r>
      <w:proofErr w:type="spellEnd"/>
      <w:r w:rsidRPr="00BB694E">
        <w:rPr>
          <w:color w:val="auto"/>
        </w:rPr>
        <w:t xml:space="preserve"> activity. Compared to patients who were ADA negative, patients with an ADA positive status did not exhibit any difference in </w:t>
      </w:r>
      <w:proofErr w:type="spellStart"/>
      <w:r w:rsidRPr="00BB694E">
        <w:rPr>
          <w:color w:val="auto"/>
        </w:rPr>
        <w:lastRenderedPageBreak/>
        <w:t>alirocumab</w:t>
      </w:r>
      <w:proofErr w:type="spellEnd"/>
      <w:r w:rsidRPr="00BB694E">
        <w:rPr>
          <w:color w:val="auto"/>
        </w:rPr>
        <w:t xml:space="preserve"> exposure, efficacy, or safety, except for a higher rate of injection site reactions. Only 1.2% of patients exhibited </w:t>
      </w:r>
      <w:proofErr w:type="spellStart"/>
      <w:r w:rsidRPr="00BB694E">
        <w:rPr>
          <w:color w:val="auto"/>
        </w:rPr>
        <w:t>neutralising</w:t>
      </w:r>
      <w:proofErr w:type="spellEnd"/>
      <w:r w:rsidRPr="00BB694E">
        <w:rPr>
          <w:color w:val="auto"/>
        </w:rPr>
        <w:t xml:space="preserve"> antibodies (</w:t>
      </w:r>
      <w:proofErr w:type="spellStart"/>
      <w:r w:rsidRPr="00BB694E">
        <w:rPr>
          <w:color w:val="auto"/>
        </w:rPr>
        <w:t>NAb</w:t>
      </w:r>
      <w:proofErr w:type="spellEnd"/>
      <w:r w:rsidRPr="00BB694E">
        <w:rPr>
          <w:color w:val="auto"/>
        </w:rPr>
        <w:t xml:space="preserve">), all of them in the </w:t>
      </w:r>
      <w:proofErr w:type="spellStart"/>
      <w:r w:rsidRPr="00BB694E">
        <w:rPr>
          <w:color w:val="auto"/>
        </w:rPr>
        <w:t>alirocumab</w:t>
      </w:r>
      <w:proofErr w:type="spellEnd"/>
      <w:r w:rsidRPr="00BB694E">
        <w:rPr>
          <w:color w:val="auto"/>
        </w:rPr>
        <w:t xml:space="preserve"> group. Most of these patients had only one positive </w:t>
      </w:r>
      <w:proofErr w:type="spellStart"/>
      <w:r w:rsidRPr="00BB694E">
        <w:rPr>
          <w:color w:val="auto"/>
        </w:rPr>
        <w:t>neutralising</w:t>
      </w:r>
      <w:proofErr w:type="spellEnd"/>
      <w:r w:rsidRPr="00BB694E">
        <w:rPr>
          <w:color w:val="auto"/>
        </w:rPr>
        <w:t xml:space="preserve"> sample. Only 10 patients (0.3%) had two or more </w:t>
      </w:r>
      <w:proofErr w:type="spellStart"/>
      <w:r w:rsidRPr="00BB694E">
        <w:rPr>
          <w:color w:val="auto"/>
        </w:rPr>
        <w:t>NAb</w:t>
      </w:r>
      <w:proofErr w:type="spellEnd"/>
      <w:r w:rsidRPr="00BB694E">
        <w:rPr>
          <w:color w:val="auto"/>
        </w:rPr>
        <w:t xml:space="preserve"> positive samples. The data do not suggest a correlation between the presence of </w:t>
      </w:r>
      <w:proofErr w:type="spellStart"/>
      <w:r w:rsidRPr="00BB694E">
        <w:rPr>
          <w:color w:val="auto"/>
        </w:rPr>
        <w:t>NAb</w:t>
      </w:r>
      <w:proofErr w:type="spellEnd"/>
      <w:r w:rsidRPr="00BB694E">
        <w:rPr>
          <w:color w:val="auto"/>
        </w:rPr>
        <w:t xml:space="preserve"> and LDL-C lowering efficacy or safety. Immunogenicity data are highly dependent on the sensitivity and specificity of the ADA assay.</w:t>
      </w:r>
    </w:p>
    <w:p w:rsidR="00472DFA" w:rsidRPr="00BB694E" w:rsidRDefault="00472DFA" w:rsidP="00472DFA">
      <w:pPr>
        <w:pStyle w:val="Heading2"/>
        <w:numPr>
          <w:ilvl w:val="0"/>
          <w:numId w:val="0"/>
        </w:numPr>
        <w:ind w:left="680" w:hanging="680"/>
      </w:pPr>
      <w:r w:rsidRPr="00BB694E">
        <w:t>LOW LDL-C LEVELS</w:t>
      </w:r>
    </w:p>
    <w:p w:rsidR="00472DFA" w:rsidRPr="00472DFA" w:rsidRDefault="00472DFA" w:rsidP="00472DFA">
      <w:pPr>
        <w:rPr>
          <w:color w:val="0070C0"/>
          <w:u w:val="double"/>
        </w:rPr>
      </w:pPr>
      <w:r w:rsidRPr="00BB694E">
        <w:rPr>
          <w:color w:val="auto"/>
        </w:rPr>
        <w:t>Although adverse consequences of very low LDL-C were not identified in the clinical trials, the long term effects of very low levels of LDL-C are unknown.</w:t>
      </w:r>
    </w:p>
    <w:p w:rsidR="00BC52A5" w:rsidRDefault="00BC52A5" w:rsidP="00F217F9">
      <w:pPr>
        <w:pStyle w:val="Heading2"/>
        <w:numPr>
          <w:ilvl w:val="0"/>
          <w:numId w:val="0"/>
        </w:numPr>
        <w:ind w:left="680" w:hanging="680"/>
      </w:pPr>
      <w:r>
        <w:t>Effects on Fertility</w:t>
      </w:r>
      <w:bookmarkEnd w:id="24"/>
    </w:p>
    <w:p w:rsidR="005A41A2" w:rsidRDefault="0038392A" w:rsidP="004D74B6">
      <w:r w:rsidRPr="0038392A">
        <w:t>There were no adverse effects</w:t>
      </w:r>
      <w:r w:rsidRPr="00A43142">
        <w:rPr>
          <w:color w:val="auto"/>
        </w:rPr>
        <w:t xml:space="preserve"> </w:t>
      </w:r>
      <w:r w:rsidR="00E106FA" w:rsidRPr="00A43142">
        <w:rPr>
          <w:color w:val="auto"/>
        </w:rPr>
        <w:t xml:space="preserve">of </w:t>
      </w:r>
      <w:proofErr w:type="spellStart"/>
      <w:r w:rsidR="00E106FA" w:rsidRPr="00A43142">
        <w:rPr>
          <w:color w:val="auto"/>
        </w:rPr>
        <w:t>alirocumab</w:t>
      </w:r>
      <w:proofErr w:type="spellEnd"/>
      <w:r w:rsidR="00E106FA" w:rsidRPr="00A43142">
        <w:rPr>
          <w:color w:val="auto"/>
        </w:rPr>
        <w:t xml:space="preserve"> </w:t>
      </w:r>
      <w:r w:rsidRPr="00A43142">
        <w:rPr>
          <w:color w:val="auto"/>
        </w:rPr>
        <w:t xml:space="preserve">on surrogate markers of fertility (e.g. </w:t>
      </w:r>
      <w:proofErr w:type="spellStart"/>
      <w:r w:rsidR="00E106FA" w:rsidRPr="00A43142">
        <w:rPr>
          <w:color w:val="auto"/>
        </w:rPr>
        <w:t>o</w:t>
      </w:r>
      <w:r w:rsidRPr="00A43142">
        <w:rPr>
          <w:color w:val="auto"/>
        </w:rPr>
        <w:t>estrous</w:t>
      </w:r>
      <w:proofErr w:type="spellEnd"/>
      <w:r w:rsidRPr="00A43142">
        <w:rPr>
          <w:color w:val="auto"/>
        </w:rPr>
        <w:t xml:space="preserve"> </w:t>
      </w:r>
      <w:r w:rsidR="00E106FA" w:rsidRPr="00A43142">
        <w:rPr>
          <w:color w:val="auto"/>
        </w:rPr>
        <w:t>cycling</w:t>
      </w:r>
      <w:r w:rsidRPr="00A43142">
        <w:rPr>
          <w:color w:val="auto"/>
        </w:rPr>
        <w:t>, testicular volume, ejaculate volume, sperm motility,</w:t>
      </w:r>
      <w:r w:rsidR="00E106FA" w:rsidRPr="00A43142">
        <w:rPr>
          <w:color w:val="auto"/>
        </w:rPr>
        <w:t xml:space="preserve"> sperm concentration</w:t>
      </w:r>
      <w:r w:rsidRPr="00A43142">
        <w:rPr>
          <w:color w:val="auto"/>
        </w:rPr>
        <w:t xml:space="preserve"> </w:t>
      </w:r>
      <w:r w:rsidR="00E106FA" w:rsidRPr="00A43142">
        <w:rPr>
          <w:color w:val="auto"/>
        </w:rPr>
        <w:t xml:space="preserve">and </w:t>
      </w:r>
      <w:r w:rsidRPr="00A43142">
        <w:rPr>
          <w:color w:val="auto"/>
        </w:rPr>
        <w:t xml:space="preserve">total sperm count per ejaculate) in a 26-week </w:t>
      </w:r>
      <w:r w:rsidR="00E106FA" w:rsidRPr="00A43142">
        <w:rPr>
          <w:color w:val="auto"/>
        </w:rPr>
        <w:t xml:space="preserve">toxicity </w:t>
      </w:r>
      <w:r w:rsidRPr="00A43142">
        <w:rPr>
          <w:color w:val="auto"/>
        </w:rPr>
        <w:t xml:space="preserve">study in sexually-mature monkeys. </w:t>
      </w:r>
      <w:r w:rsidR="00E106FA" w:rsidRPr="00A43142">
        <w:rPr>
          <w:color w:val="auto"/>
        </w:rPr>
        <w:t xml:space="preserve">The highest dose in this study resulted in a serum AUC that was about 100 times that expected in patients at the maximum recommended dose. </w:t>
      </w:r>
      <w:r w:rsidRPr="00A43142">
        <w:rPr>
          <w:color w:val="auto"/>
        </w:rPr>
        <w:t xml:space="preserve">In addition, there were no </w:t>
      </w:r>
      <w:proofErr w:type="spellStart"/>
      <w:r w:rsidRPr="00A43142">
        <w:rPr>
          <w:color w:val="auto"/>
        </w:rPr>
        <w:t>alirocumab</w:t>
      </w:r>
      <w:proofErr w:type="spellEnd"/>
      <w:r w:rsidRPr="00A43142">
        <w:rPr>
          <w:color w:val="auto"/>
        </w:rPr>
        <w:t xml:space="preserve">-related </w:t>
      </w:r>
      <w:r w:rsidR="00E106FA" w:rsidRPr="00A43142">
        <w:rPr>
          <w:color w:val="auto"/>
        </w:rPr>
        <w:t xml:space="preserve">macroscopic </w:t>
      </w:r>
      <w:r w:rsidRPr="00A43142">
        <w:rPr>
          <w:color w:val="auto"/>
        </w:rPr>
        <w:t xml:space="preserve">or </w:t>
      </w:r>
      <w:r w:rsidR="00774B22" w:rsidRPr="00A43142">
        <w:rPr>
          <w:color w:val="auto"/>
        </w:rPr>
        <w:t xml:space="preserve">microscopic </w:t>
      </w:r>
      <w:r w:rsidRPr="00A43142">
        <w:rPr>
          <w:color w:val="auto"/>
        </w:rPr>
        <w:t>findings in reproductive</w:t>
      </w:r>
      <w:r w:rsidR="00E106FA" w:rsidRPr="00A43142">
        <w:rPr>
          <w:color w:val="auto"/>
        </w:rPr>
        <w:t xml:space="preserve"> organs</w:t>
      </w:r>
      <w:r w:rsidRPr="00A43142">
        <w:rPr>
          <w:color w:val="auto"/>
        </w:rPr>
        <w:t xml:space="preserve"> in any rat or monkey </w:t>
      </w:r>
      <w:r w:rsidR="00E106FA" w:rsidRPr="00A43142">
        <w:rPr>
          <w:color w:val="auto"/>
        </w:rPr>
        <w:t xml:space="preserve">toxicity </w:t>
      </w:r>
      <w:r w:rsidRPr="00A43142">
        <w:rPr>
          <w:color w:val="auto"/>
        </w:rPr>
        <w:t>stud</w:t>
      </w:r>
      <w:r w:rsidRPr="0038392A">
        <w:t>y.</w:t>
      </w:r>
    </w:p>
    <w:p w:rsidR="00BC52A5" w:rsidRDefault="00BC52A5" w:rsidP="00BC52A5">
      <w:pPr>
        <w:pStyle w:val="Heading2"/>
        <w:numPr>
          <w:ilvl w:val="0"/>
          <w:numId w:val="0"/>
        </w:numPr>
      </w:pPr>
      <w:bookmarkStart w:id="25" w:name="_Toc341259161"/>
      <w:r>
        <w:t xml:space="preserve">use in </w:t>
      </w:r>
      <w:r w:rsidRPr="001863CE">
        <w:t xml:space="preserve">pregnancy (Category </w:t>
      </w:r>
      <w:r w:rsidR="00D45EDD" w:rsidRPr="001863CE">
        <w:t>B1</w:t>
      </w:r>
      <w:r w:rsidRPr="001863CE">
        <w:t>)</w:t>
      </w:r>
      <w:bookmarkEnd w:id="25"/>
    </w:p>
    <w:p w:rsidR="008B1040" w:rsidRPr="00B57FC9" w:rsidRDefault="004D74B6" w:rsidP="008B1040">
      <w:pPr>
        <w:rPr>
          <w:color w:val="0000FF"/>
          <w:u w:val="double"/>
        </w:rPr>
      </w:pPr>
      <w:r>
        <w:t xml:space="preserve">There are no data from the use of </w:t>
      </w:r>
      <w:proofErr w:type="spellStart"/>
      <w:r>
        <w:t>Praluent</w:t>
      </w:r>
      <w:proofErr w:type="spellEnd"/>
      <w:r>
        <w:t xml:space="preserve"> in pregnant women. </w:t>
      </w:r>
      <w:r w:rsidRPr="00C62A26">
        <w:rPr>
          <w:color w:val="auto"/>
        </w:rPr>
        <w:t>Animal studies do not indicate direct or indirect harmful effects with respect to reproductive and developmental toxicity</w:t>
      </w:r>
      <w:r w:rsidRPr="00C62A26">
        <w:t>.</w:t>
      </w:r>
    </w:p>
    <w:p w:rsidR="000A7C75" w:rsidRPr="00803B3A" w:rsidRDefault="0091638A" w:rsidP="000A7C75">
      <w:pPr>
        <w:rPr>
          <w:color w:val="auto"/>
        </w:rPr>
      </w:pPr>
      <w:r w:rsidRPr="00803B3A">
        <w:rPr>
          <w:color w:val="auto"/>
        </w:rPr>
        <w:t>W</w:t>
      </w:r>
      <w:r w:rsidR="000A7C75" w:rsidRPr="00803B3A">
        <w:rPr>
          <w:color w:val="auto"/>
        </w:rPr>
        <w:t>hen pregnant female</w:t>
      </w:r>
      <w:r w:rsidRPr="00803B3A">
        <w:rPr>
          <w:color w:val="auto"/>
        </w:rPr>
        <w:t xml:space="preserve"> animals</w:t>
      </w:r>
      <w:r w:rsidR="000A7C75" w:rsidRPr="00803B3A">
        <w:rPr>
          <w:color w:val="auto"/>
        </w:rPr>
        <w:t xml:space="preserve"> were exposed to </w:t>
      </w:r>
      <w:proofErr w:type="spellStart"/>
      <w:r w:rsidR="000A7C75" w:rsidRPr="00803B3A">
        <w:rPr>
          <w:color w:val="auto"/>
        </w:rPr>
        <w:t>alirocumab</w:t>
      </w:r>
      <w:proofErr w:type="spellEnd"/>
      <w:r w:rsidR="000A7C75" w:rsidRPr="00803B3A">
        <w:rPr>
          <w:color w:val="auto"/>
        </w:rPr>
        <w:t xml:space="preserve">, measurable </w:t>
      </w:r>
      <w:proofErr w:type="spellStart"/>
      <w:r w:rsidR="000A7C75" w:rsidRPr="00803B3A">
        <w:rPr>
          <w:color w:val="auto"/>
        </w:rPr>
        <w:t>alirocumab</w:t>
      </w:r>
      <w:proofErr w:type="spellEnd"/>
      <w:r w:rsidR="000A7C75" w:rsidRPr="00803B3A">
        <w:rPr>
          <w:color w:val="auto"/>
        </w:rPr>
        <w:t xml:space="preserve"> concentrations in serum were observed in fetal rats </w:t>
      </w:r>
      <w:r w:rsidRPr="00803B3A">
        <w:rPr>
          <w:color w:val="auto"/>
        </w:rPr>
        <w:t>(</w:t>
      </w:r>
      <w:r w:rsidR="000A7C75" w:rsidRPr="00803B3A">
        <w:rPr>
          <w:color w:val="auto"/>
        </w:rPr>
        <w:t xml:space="preserve">and </w:t>
      </w:r>
      <w:r w:rsidRPr="00803B3A">
        <w:rPr>
          <w:color w:val="auto"/>
        </w:rPr>
        <w:t xml:space="preserve">also </w:t>
      </w:r>
      <w:r w:rsidR="000A7C75" w:rsidRPr="00803B3A">
        <w:rPr>
          <w:color w:val="auto"/>
        </w:rPr>
        <w:t>infant monkeys</w:t>
      </w:r>
      <w:r w:rsidRPr="00803B3A">
        <w:rPr>
          <w:color w:val="auto"/>
        </w:rPr>
        <w:t>)</w:t>
      </w:r>
      <w:r w:rsidR="000A7C75" w:rsidRPr="00803B3A">
        <w:rPr>
          <w:color w:val="auto"/>
        </w:rPr>
        <w:t xml:space="preserve">, indicating that </w:t>
      </w:r>
      <w:proofErr w:type="spellStart"/>
      <w:r w:rsidR="000A7C75" w:rsidRPr="00803B3A">
        <w:rPr>
          <w:color w:val="auto"/>
        </w:rPr>
        <w:t>alirocumab</w:t>
      </w:r>
      <w:proofErr w:type="spellEnd"/>
      <w:r w:rsidR="000A7C75" w:rsidRPr="00803B3A">
        <w:rPr>
          <w:color w:val="auto"/>
        </w:rPr>
        <w:t>, like other IgG antibodies, crosses the placenta</w:t>
      </w:r>
      <w:r w:rsidR="00803B3A" w:rsidRPr="00803B3A">
        <w:rPr>
          <w:color w:val="auto"/>
        </w:rPr>
        <w:t>.</w:t>
      </w:r>
    </w:p>
    <w:p w:rsidR="0052704B" w:rsidRPr="00803B3A" w:rsidRDefault="000A7C75" w:rsidP="000A7C75">
      <w:pPr>
        <w:rPr>
          <w:color w:val="auto"/>
        </w:rPr>
      </w:pPr>
      <w:r>
        <w:t xml:space="preserve">There were no effects on fetal growth or development in the rat </w:t>
      </w:r>
      <w:proofErr w:type="spellStart"/>
      <w:r w:rsidR="0052704B" w:rsidRPr="00803B3A">
        <w:rPr>
          <w:color w:val="auto"/>
          <w:lang w:val="en-AU"/>
        </w:rPr>
        <w:t>embryof</w:t>
      </w:r>
      <w:r w:rsidR="001C70ED" w:rsidRPr="00803B3A">
        <w:rPr>
          <w:color w:val="auto"/>
          <w:lang w:val="en-AU"/>
        </w:rPr>
        <w:t>o</w:t>
      </w:r>
      <w:r w:rsidR="0052704B" w:rsidRPr="00803B3A">
        <w:rPr>
          <w:color w:val="auto"/>
          <w:lang w:val="en-AU"/>
        </w:rPr>
        <w:t>etal</w:t>
      </w:r>
      <w:proofErr w:type="spellEnd"/>
      <w:r w:rsidR="0052704B" w:rsidRPr="00803B3A">
        <w:rPr>
          <w:color w:val="auto"/>
        </w:rPr>
        <w:t xml:space="preserve"> </w:t>
      </w:r>
      <w:r w:rsidRPr="00803B3A">
        <w:rPr>
          <w:color w:val="auto"/>
        </w:rPr>
        <w:t xml:space="preserve">development study conducted at doses up to 75 mg/kg/dose administered on </w:t>
      </w:r>
      <w:r w:rsidR="0052704B" w:rsidRPr="00803B3A">
        <w:rPr>
          <w:color w:val="auto"/>
        </w:rPr>
        <w:t>g</w:t>
      </w:r>
      <w:r w:rsidRPr="00803B3A">
        <w:rPr>
          <w:color w:val="auto"/>
        </w:rPr>
        <w:t xml:space="preserve">estation </w:t>
      </w:r>
      <w:r w:rsidR="0052704B" w:rsidRPr="00803B3A">
        <w:rPr>
          <w:color w:val="auto"/>
        </w:rPr>
        <w:t>d</w:t>
      </w:r>
      <w:r w:rsidRPr="00803B3A">
        <w:rPr>
          <w:color w:val="auto"/>
        </w:rPr>
        <w:t xml:space="preserve">ays 6 and 12. </w:t>
      </w:r>
      <w:r w:rsidR="0052704B" w:rsidRPr="00803B3A">
        <w:rPr>
          <w:color w:val="auto"/>
        </w:rPr>
        <w:t>At this dose, serum AUC was about 20 times the AUC expected in patients at the maximum recommended dose.</w:t>
      </w:r>
    </w:p>
    <w:p w:rsidR="008E58B9" w:rsidRPr="00803B3A" w:rsidRDefault="001E176F" w:rsidP="000A7C75">
      <w:pPr>
        <w:rPr>
          <w:color w:val="auto"/>
        </w:rPr>
      </w:pPr>
      <w:r w:rsidRPr="00803B3A">
        <w:rPr>
          <w:color w:val="auto"/>
        </w:rPr>
        <w:lastRenderedPageBreak/>
        <w:t xml:space="preserve">There was a slight attenuation of secondary anti-KLH IgG antibody response in infant offspring of </w:t>
      </w:r>
      <w:proofErr w:type="spellStart"/>
      <w:r w:rsidRPr="00803B3A">
        <w:rPr>
          <w:color w:val="auto"/>
        </w:rPr>
        <w:t>cynomolgus</w:t>
      </w:r>
      <w:proofErr w:type="spellEnd"/>
      <w:r w:rsidRPr="00803B3A">
        <w:rPr>
          <w:color w:val="auto"/>
        </w:rPr>
        <w:t xml:space="preserve"> monkeys dosed with </w:t>
      </w:r>
      <w:proofErr w:type="spellStart"/>
      <w:r w:rsidRPr="00803B3A">
        <w:rPr>
          <w:color w:val="auto"/>
        </w:rPr>
        <w:t>alirocumab</w:t>
      </w:r>
      <w:proofErr w:type="spellEnd"/>
      <w:r w:rsidRPr="00803B3A">
        <w:rPr>
          <w:color w:val="auto"/>
        </w:rPr>
        <w:t xml:space="preserve"> during organogenesis to parturition at maternal exposure of 13-fold the exposure at the maximum recommended human dose of 150 mg every two weeks. </w:t>
      </w:r>
      <w:proofErr w:type="spellStart"/>
      <w:r w:rsidRPr="00803B3A">
        <w:rPr>
          <w:color w:val="auto"/>
        </w:rPr>
        <w:t>A</w:t>
      </w:r>
      <w:r w:rsidR="0052704B" w:rsidRPr="00803B3A">
        <w:rPr>
          <w:color w:val="auto"/>
        </w:rPr>
        <w:t>lirocumab</w:t>
      </w:r>
      <w:proofErr w:type="spellEnd"/>
      <w:r w:rsidRPr="00803B3A">
        <w:rPr>
          <w:color w:val="auto"/>
        </w:rPr>
        <w:t xml:space="preserve"> given</w:t>
      </w:r>
      <w:r w:rsidR="0052704B" w:rsidRPr="00803B3A">
        <w:rPr>
          <w:color w:val="auto"/>
        </w:rPr>
        <w:t xml:space="preserve"> at subcutaneous</w:t>
      </w:r>
      <w:r w:rsidR="000A7C75" w:rsidRPr="00803B3A">
        <w:rPr>
          <w:color w:val="auto"/>
        </w:rPr>
        <w:t xml:space="preserve"> </w:t>
      </w:r>
      <w:r w:rsidR="0052704B" w:rsidRPr="00803B3A">
        <w:rPr>
          <w:color w:val="auto"/>
        </w:rPr>
        <w:t xml:space="preserve">doses </w:t>
      </w:r>
      <w:r w:rsidR="000A7C75" w:rsidRPr="00803B3A">
        <w:rPr>
          <w:color w:val="auto"/>
        </w:rPr>
        <w:t xml:space="preserve">of up to 75 mg/kg/week </w:t>
      </w:r>
      <w:r w:rsidRPr="00803B3A">
        <w:rPr>
          <w:color w:val="auto"/>
        </w:rPr>
        <w:t>to pregnant monkeys</w:t>
      </w:r>
      <w:r w:rsidR="000A7C75" w:rsidRPr="00803B3A">
        <w:rPr>
          <w:color w:val="auto"/>
        </w:rPr>
        <w:t xml:space="preserve"> </w:t>
      </w:r>
      <w:r w:rsidR="00B57FC9" w:rsidRPr="00803B3A">
        <w:rPr>
          <w:color w:val="auto"/>
        </w:rPr>
        <w:t xml:space="preserve">from gestation day 20 until parturition, </w:t>
      </w:r>
      <w:r w:rsidR="000A7C75" w:rsidRPr="00803B3A">
        <w:rPr>
          <w:color w:val="auto"/>
        </w:rPr>
        <w:t xml:space="preserve">had no adverse effects </w:t>
      </w:r>
      <w:r w:rsidR="00B57FC9" w:rsidRPr="00803B3A">
        <w:rPr>
          <w:color w:val="auto"/>
        </w:rPr>
        <w:t xml:space="preserve">on the growth and development of </w:t>
      </w:r>
      <w:r w:rsidR="000A7C75" w:rsidRPr="00803B3A">
        <w:rPr>
          <w:color w:val="auto"/>
        </w:rPr>
        <w:t xml:space="preserve">offspring up to 6 months post-birth. </w:t>
      </w:r>
      <w:r w:rsidR="00B57FC9" w:rsidRPr="00803B3A">
        <w:rPr>
          <w:color w:val="auto"/>
        </w:rPr>
        <w:t>At this dose, serum AUC was about 80 fold the AUC expected in patients at the maximum recommended dose.</w:t>
      </w:r>
    </w:p>
    <w:p w:rsidR="001E176F" w:rsidRPr="00803B3A" w:rsidRDefault="001E176F" w:rsidP="001E176F">
      <w:pPr>
        <w:rPr>
          <w:color w:val="auto"/>
        </w:rPr>
      </w:pPr>
      <w:r w:rsidRPr="00803B3A">
        <w:rPr>
          <w:color w:val="auto"/>
        </w:rPr>
        <w:t xml:space="preserve">Animal studies are not always predictive of human response. Therefore, it is not known whether </w:t>
      </w:r>
      <w:proofErr w:type="spellStart"/>
      <w:r w:rsidRPr="00803B3A">
        <w:rPr>
          <w:color w:val="auto"/>
        </w:rPr>
        <w:t>Praluent</w:t>
      </w:r>
      <w:proofErr w:type="spellEnd"/>
      <w:r w:rsidRPr="00803B3A">
        <w:rPr>
          <w:color w:val="auto"/>
        </w:rPr>
        <w:t xml:space="preserve"> can cause </w:t>
      </w:r>
      <w:proofErr w:type="spellStart"/>
      <w:r w:rsidRPr="00803B3A">
        <w:rPr>
          <w:color w:val="auto"/>
        </w:rPr>
        <w:t>foetal</w:t>
      </w:r>
      <w:proofErr w:type="spellEnd"/>
      <w:r w:rsidRPr="00803B3A">
        <w:rPr>
          <w:color w:val="auto"/>
        </w:rPr>
        <w:t xml:space="preserve"> harm when administered to a pregnant woman and </w:t>
      </w:r>
      <w:proofErr w:type="spellStart"/>
      <w:r w:rsidRPr="00803B3A">
        <w:rPr>
          <w:color w:val="auto"/>
        </w:rPr>
        <w:t>Praluent</w:t>
      </w:r>
      <w:proofErr w:type="spellEnd"/>
      <w:r w:rsidRPr="00803B3A">
        <w:rPr>
          <w:color w:val="auto"/>
        </w:rPr>
        <w:t xml:space="preserve"> should be used during pregnancy only if the potential benefit justifies the potential risk to the </w:t>
      </w:r>
      <w:proofErr w:type="spellStart"/>
      <w:r w:rsidRPr="00803B3A">
        <w:rPr>
          <w:color w:val="auto"/>
        </w:rPr>
        <w:t>foetus</w:t>
      </w:r>
      <w:proofErr w:type="spellEnd"/>
      <w:r w:rsidRPr="00803B3A">
        <w:rPr>
          <w:color w:val="auto"/>
        </w:rPr>
        <w:t>.</w:t>
      </w:r>
    </w:p>
    <w:p w:rsidR="004D74B6" w:rsidRPr="004D74B6" w:rsidRDefault="004D74B6" w:rsidP="00BE3C3C">
      <w:pPr>
        <w:pStyle w:val="Heading5"/>
        <w:numPr>
          <w:ilvl w:val="0"/>
          <w:numId w:val="0"/>
        </w:numPr>
        <w:ind w:left="1009" w:hanging="1009"/>
      </w:pPr>
      <w:r w:rsidRPr="004D74B6">
        <w:t>For use in combination therapy with a statin</w:t>
      </w:r>
    </w:p>
    <w:p w:rsidR="003020BF" w:rsidRDefault="004D74B6" w:rsidP="004D74B6">
      <w:r>
        <w:t xml:space="preserve">Statins are contraindicated in pregnant women. Please refer to the current respective </w:t>
      </w:r>
      <w:r w:rsidRPr="003D2EBF">
        <w:rPr>
          <w:color w:val="auto"/>
        </w:rPr>
        <w:t xml:space="preserve">product </w:t>
      </w:r>
      <w:r>
        <w:t xml:space="preserve">information. </w:t>
      </w:r>
    </w:p>
    <w:p w:rsidR="00736F4C" w:rsidRDefault="00736F4C" w:rsidP="00736F4C">
      <w:pPr>
        <w:pStyle w:val="Heading2"/>
        <w:numPr>
          <w:ilvl w:val="0"/>
          <w:numId w:val="0"/>
        </w:numPr>
      </w:pPr>
      <w:r>
        <w:t xml:space="preserve">use in lactation </w:t>
      </w:r>
    </w:p>
    <w:p w:rsidR="000A6510" w:rsidRDefault="00736F4C" w:rsidP="000813E7">
      <w:r>
        <w:t xml:space="preserve">It is not known whether </w:t>
      </w:r>
      <w:proofErr w:type="spellStart"/>
      <w:r>
        <w:t>alirocumab</w:t>
      </w:r>
      <w:proofErr w:type="spellEnd"/>
      <w:r>
        <w:t xml:space="preserve"> is excreted in human milk. Because immunoglobulins are excreted in human milk, the use of </w:t>
      </w:r>
      <w:proofErr w:type="spellStart"/>
      <w:r>
        <w:t>Praluent</w:t>
      </w:r>
      <w:proofErr w:type="spellEnd"/>
      <w:r>
        <w:t xml:space="preserve"> is not recommended in breast-feeding women.</w:t>
      </w:r>
      <w:r w:rsidR="000813E7">
        <w:t xml:space="preserve"> </w:t>
      </w:r>
    </w:p>
    <w:p w:rsidR="00736F4C" w:rsidRPr="0003342E" w:rsidRDefault="00736F4C" w:rsidP="000813E7">
      <w:pPr>
        <w:pStyle w:val="Heading5"/>
        <w:numPr>
          <w:ilvl w:val="0"/>
          <w:numId w:val="0"/>
        </w:numPr>
        <w:ind w:left="1009" w:hanging="1009"/>
      </w:pPr>
      <w:r w:rsidRPr="0003342E">
        <w:t>For use in combination therapy with a statin</w:t>
      </w:r>
    </w:p>
    <w:p w:rsidR="00736F4C" w:rsidRDefault="00736F4C" w:rsidP="004D74B6">
      <w:r>
        <w:t xml:space="preserve">Statins are contraindicated in </w:t>
      </w:r>
      <w:r w:rsidR="0085091F" w:rsidRPr="00BB694E">
        <w:rPr>
          <w:color w:val="auto"/>
        </w:rPr>
        <w:t>breast-feeding</w:t>
      </w:r>
      <w:r w:rsidR="0085091F">
        <w:t xml:space="preserve"> </w:t>
      </w:r>
      <w:r>
        <w:t xml:space="preserve">women. Please refer to the current respective </w:t>
      </w:r>
      <w:r w:rsidR="0003342E" w:rsidRPr="003D2EBF">
        <w:rPr>
          <w:color w:val="auto"/>
        </w:rPr>
        <w:t xml:space="preserve">product </w:t>
      </w:r>
      <w:r w:rsidR="0003342E">
        <w:t xml:space="preserve">information. </w:t>
      </w:r>
    </w:p>
    <w:p w:rsidR="003020BF" w:rsidRDefault="003020BF" w:rsidP="003020BF">
      <w:pPr>
        <w:pStyle w:val="Heading2"/>
        <w:numPr>
          <w:ilvl w:val="0"/>
          <w:numId w:val="0"/>
        </w:numPr>
      </w:pPr>
      <w:bookmarkStart w:id="26" w:name="_Toc341259162"/>
      <w:r>
        <w:t>paediatric use</w:t>
      </w:r>
      <w:bookmarkEnd w:id="26"/>
    </w:p>
    <w:p w:rsidR="000813E7" w:rsidRDefault="000813E7" w:rsidP="000813E7">
      <w:r>
        <w:t xml:space="preserve">The safety and efficacy of </w:t>
      </w:r>
      <w:proofErr w:type="spellStart"/>
      <w:r>
        <w:t>Praluent</w:t>
      </w:r>
      <w:proofErr w:type="spellEnd"/>
      <w:r>
        <w:t xml:space="preserve"> </w:t>
      </w:r>
      <w:r w:rsidRPr="001863CE">
        <w:rPr>
          <w:color w:val="auto"/>
        </w:rPr>
        <w:t>in patients below the age of</w:t>
      </w:r>
      <w:r w:rsidRPr="00526A96">
        <w:t xml:space="preserve"> </w:t>
      </w:r>
      <w:r>
        <w:t>18 have not been established</w:t>
      </w:r>
      <w:r w:rsidR="0085091F">
        <w:t>.</w:t>
      </w:r>
    </w:p>
    <w:p w:rsidR="0085091F" w:rsidRPr="00BB694E" w:rsidRDefault="0085091F" w:rsidP="0085091F">
      <w:pPr>
        <w:pStyle w:val="Heading2"/>
        <w:numPr>
          <w:ilvl w:val="0"/>
          <w:numId w:val="0"/>
        </w:numPr>
        <w:ind w:left="680" w:hanging="680"/>
      </w:pPr>
      <w:r w:rsidRPr="00BB694E">
        <w:lastRenderedPageBreak/>
        <w:t>Use in the Elderly</w:t>
      </w:r>
    </w:p>
    <w:p w:rsidR="00AA24AC" w:rsidRPr="00BB694E" w:rsidRDefault="00AA24AC" w:rsidP="00AA24AC">
      <w:pPr>
        <w:rPr>
          <w:color w:val="auto"/>
        </w:rPr>
      </w:pPr>
      <w:r w:rsidRPr="00BB694E">
        <w:rPr>
          <w:color w:val="auto"/>
        </w:rPr>
        <w:t xml:space="preserve">In controlled studies, 1158 patients (34.7%) treated with </w:t>
      </w:r>
      <w:proofErr w:type="spellStart"/>
      <w:r w:rsidRPr="00BB694E">
        <w:rPr>
          <w:color w:val="auto"/>
        </w:rPr>
        <w:t>Praluent</w:t>
      </w:r>
      <w:proofErr w:type="spellEnd"/>
      <w:r w:rsidRPr="00BB694E">
        <w:rPr>
          <w:color w:val="auto"/>
        </w:rPr>
        <w:t xml:space="preserve"> were ≥65 years of age and 241 patients (7.2%) treated with </w:t>
      </w:r>
      <w:proofErr w:type="spellStart"/>
      <w:r w:rsidRPr="00BB694E">
        <w:rPr>
          <w:color w:val="auto"/>
        </w:rPr>
        <w:t>Praluent</w:t>
      </w:r>
      <w:proofErr w:type="spellEnd"/>
      <w:r w:rsidRPr="00BB694E">
        <w:rPr>
          <w:color w:val="auto"/>
        </w:rPr>
        <w:t xml:space="preserve"> were ≥75 years of age. There were no significant differences observed in safety and efficacy with increasing age.</w:t>
      </w:r>
    </w:p>
    <w:p w:rsidR="0085091F" w:rsidRPr="00BB694E" w:rsidRDefault="0085091F" w:rsidP="00AA24AC">
      <w:pPr>
        <w:pStyle w:val="Heading2"/>
        <w:numPr>
          <w:ilvl w:val="0"/>
          <w:numId w:val="0"/>
        </w:numPr>
        <w:ind w:left="680" w:hanging="680"/>
      </w:pPr>
      <w:r w:rsidRPr="00BB694E">
        <w:t>Hepatic impairment</w:t>
      </w:r>
    </w:p>
    <w:p w:rsidR="00AA24AC" w:rsidRPr="00BB694E" w:rsidRDefault="00AA24AC" w:rsidP="00AA24AC">
      <w:pPr>
        <w:rPr>
          <w:color w:val="auto"/>
        </w:rPr>
      </w:pPr>
      <w:r w:rsidRPr="00BB694E">
        <w:rPr>
          <w:color w:val="auto"/>
        </w:rPr>
        <w:t xml:space="preserve">Patients with severe hepatic impairment (Child-Pugh C) have not been studied. </w:t>
      </w:r>
      <w:proofErr w:type="spellStart"/>
      <w:r w:rsidRPr="00BB694E">
        <w:rPr>
          <w:color w:val="auto"/>
        </w:rPr>
        <w:t>Praluent</w:t>
      </w:r>
      <w:proofErr w:type="spellEnd"/>
      <w:r w:rsidRPr="00BB694E">
        <w:rPr>
          <w:color w:val="auto"/>
        </w:rPr>
        <w:t xml:space="preserve"> should be used with caution in patients with severe hepatic impairment.</w:t>
      </w:r>
    </w:p>
    <w:p w:rsidR="0085091F" w:rsidRPr="00BB694E" w:rsidRDefault="0085091F" w:rsidP="00AA24AC">
      <w:pPr>
        <w:pStyle w:val="Heading2"/>
        <w:numPr>
          <w:ilvl w:val="0"/>
          <w:numId w:val="0"/>
        </w:numPr>
        <w:ind w:left="680" w:hanging="680"/>
      </w:pPr>
      <w:r w:rsidRPr="00BB694E">
        <w:t>Renal impairment</w:t>
      </w:r>
    </w:p>
    <w:p w:rsidR="00AA24AC" w:rsidRPr="00BB694E" w:rsidRDefault="00AA24AC" w:rsidP="00AA24AC">
      <w:pPr>
        <w:rPr>
          <w:color w:val="auto"/>
        </w:rPr>
      </w:pPr>
      <w:bookmarkStart w:id="27" w:name="_Toc341259164"/>
      <w:r w:rsidRPr="00BB694E">
        <w:rPr>
          <w:color w:val="auto"/>
        </w:rPr>
        <w:t xml:space="preserve">In clinical studies, there was limited representation of patients with severe renal impairment (defined as </w:t>
      </w:r>
      <w:proofErr w:type="spellStart"/>
      <w:r w:rsidRPr="00BB694E">
        <w:rPr>
          <w:color w:val="auto"/>
        </w:rPr>
        <w:t>eGFR</w:t>
      </w:r>
      <w:proofErr w:type="spellEnd"/>
      <w:r w:rsidRPr="00BB694E">
        <w:rPr>
          <w:color w:val="auto"/>
        </w:rPr>
        <w:t xml:space="preserve"> &lt; 30 mL/min/1.73 m</w:t>
      </w:r>
      <w:r w:rsidRPr="00BB694E">
        <w:rPr>
          <w:color w:val="auto"/>
          <w:vertAlign w:val="superscript"/>
        </w:rPr>
        <w:t>2</w:t>
      </w:r>
      <w:r w:rsidRPr="00BB694E">
        <w:rPr>
          <w:color w:val="auto"/>
        </w:rPr>
        <w:t xml:space="preserve">). </w:t>
      </w:r>
      <w:proofErr w:type="spellStart"/>
      <w:r w:rsidRPr="00BB694E">
        <w:rPr>
          <w:color w:val="auto"/>
        </w:rPr>
        <w:t>Praluent</w:t>
      </w:r>
      <w:proofErr w:type="spellEnd"/>
      <w:r w:rsidRPr="00BB694E">
        <w:rPr>
          <w:color w:val="auto"/>
        </w:rPr>
        <w:t xml:space="preserve"> should be used with caution in patients with severe renal impairment.</w:t>
      </w:r>
    </w:p>
    <w:p w:rsidR="003020BF" w:rsidRDefault="003020BF" w:rsidP="00AA24AC">
      <w:pPr>
        <w:pStyle w:val="Heading2"/>
        <w:numPr>
          <w:ilvl w:val="0"/>
          <w:numId w:val="0"/>
        </w:numPr>
        <w:ind w:left="680" w:hanging="680"/>
      </w:pPr>
      <w:r>
        <w:t>genotoxicity</w:t>
      </w:r>
      <w:bookmarkEnd w:id="27"/>
    </w:p>
    <w:p w:rsidR="003020BF" w:rsidRPr="00803B3A" w:rsidRDefault="000A7C75" w:rsidP="003020BF">
      <w:pPr>
        <w:rPr>
          <w:color w:val="auto"/>
        </w:rPr>
      </w:pPr>
      <w:r>
        <w:t xml:space="preserve">Genotoxicity studies have not been conducted with </w:t>
      </w:r>
      <w:proofErr w:type="spellStart"/>
      <w:r>
        <w:t>alirocumab</w:t>
      </w:r>
      <w:proofErr w:type="spellEnd"/>
      <w:r>
        <w:t>.</w:t>
      </w:r>
      <w:r w:rsidR="00C4110A">
        <w:t xml:space="preserve"> </w:t>
      </w:r>
      <w:r w:rsidR="00C4110A" w:rsidRPr="00803B3A">
        <w:rPr>
          <w:color w:val="auto"/>
        </w:rPr>
        <w:t xml:space="preserve">As </w:t>
      </w:r>
      <w:proofErr w:type="spellStart"/>
      <w:r w:rsidR="00C4110A" w:rsidRPr="00803B3A">
        <w:rPr>
          <w:color w:val="auto"/>
        </w:rPr>
        <w:t>alirocumab</w:t>
      </w:r>
      <w:proofErr w:type="spellEnd"/>
      <w:r w:rsidR="00C4110A" w:rsidRPr="00803B3A">
        <w:rPr>
          <w:color w:val="auto"/>
        </w:rPr>
        <w:t xml:space="preserve"> is a monoclonal antibody it would not be expected to have genotoxic potential.</w:t>
      </w:r>
      <w:r w:rsidRPr="00803B3A">
        <w:rPr>
          <w:color w:val="auto"/>
        </w:rPr>
        <w:t xml:space="preserve"> </w:t>
      </w:r>
      <w:r w:rsidR="00C4110A" w:rsidRPr="00803B3A">
        <w:rPr>
          <w:color w:val="auto"/>
        </w:rPr>
        <w:t xml:space="preserve"> </w:t>
      </w:r>
    </w:p>
    <w:p w:rsidR="003020BF" w:rsidRDefault="003020BF" w:rsidP="003020BF">
      <w:pPr>
        <w:pStyle w:val="Heading2"/>
        <w:numPr>
          <w:ilvl w:val="0"/>
          <w:numId w:val="0"/>
        </w:numPr>
      </w:pPr>
      <w:bookmarkStart w:id="28" w:name="_Toc341259165"/>
      <w:r>
        <w:t>carcinogenicity</w:t>
      </w:r>
      <w:bookmarkEnd w:id="28"/>
    </w:p>
    <w:p w:rsidR="003020BF" w:rsidRDefault="000A7C75" w:rsidP="003020BF">
      <w:r>
        <w:t xml:space="preserve">Carcinogenicity studies have not been conducted with </w:t>
      </w:r>
      <w:proofErr w:type="spellStart"/>
      <w:r>
        <w:t>alirocumab</w:t>
      </w:r>
      <w:proofErr w:type="spellEnd"/>
      <w:r>
        <w:t xml:space="preserve">. </w:t>
      </w:r>
    </w:p>
    <w:p w:rsidR="003020BF" w:rsidRDefault="003020BF" w:rsidP="003020BF">
      <w:pPr>
        <w:pStyle w:val="Heading2"/>
        <w:numPr>
          <w:ilvl w:val="0"/>
          <w:numId w:val="0"/>
        </w:numPr>
      </w:pPr>
      <w:bookmarkStart w:id="29" w:name="_Toc341259166"/>
      <w:r>
        <w:t>effect on laboratory tests</w:t>
      </w:r>
      <w:bookmarkEnd w:id="29"/>
    </w:p>
    <w:p w:rsidR="00D45EDD" w:rsidRDefault="00D45EDD" w:rsidP="00D45EDD">
      <w:r>
        <w:t xml:space="preserve">No interactions with laboratory tests have been identified. </w:t>
      </w:r>
    </w:p>
    <w:p w:rsidR="00D45EDD" w:rsidRDefault="00D45EDD" w:rsidP="00D45EDD">
      <w:pPr>
        <w:pStyle w:val="Heading2"/>
        <w:numPr>
          <w:ilvl w:val="0"/>
          <w:numId w:val="0"/>
        </w:numPr>
      </w:pPr>
      <w:r w:rsidRPr="00D45EDD">
        <w:t>Effec</w:t>
      </w:r>
      <w:r>
        <w:t xml:space="preserve">t on ability to drive and use machines </w:t>
      </w:r>
    </w:p>
    <w:p w:rsidR="00DD5E2E" w:rsidRPr="00C97B8C" w:rsidRDefault="00C97B8C" w:rsidP="00DD5E2E">
      <w:pPr>
        <w:rPr>
          <w:color w:val="auto"/>
        </w:rPr>
      </w:pPr>
      <w:proofErr w:type="spellStart"/>
      <w:r w:rsidRPr="00C97B8C">
        <w:rPr>
          <w:color w:val="auto"/>
        </w:rPr>
        <w:t>Praluent</w:t>
      </w:r>
      <w:proofErr w:type="spellEnd"/>
      <w:r w:rsidRPr="00C97B8C">
        <w:rPr>
          <w:color w:val="auto"/>
        </w:rPr>
        <w:t xml:space="preserve"> has no or negligible influence on the ability to drive and use machines. </w:t>
      </w:r>
    </w:p>
    <w:p w:rsidR="003020BF" w:rsidRDefault="003020BF" w:rsidP="003020BF">
      <w:pPr>
        <w:pStyle w:val="Heading1"/>
        <w:pageBreakBefore w:val="0"/>
        <w:numPr>
          <w:ilvl w:val="0"/>
          <w:numId w:val="0"/>
        </w:numPr>
      </w:pPr>
      <w:bookmarkStart w:id="30" w:name="_Toc341259167"/>
      <w:r>
        <w:lastRenderedPageBreak/>
        <w:t>interactions with other medicines</w:t>
      </w:r>
      <w:bookmarkEnd w:id="30"/>
    </w:p>
    <w:p w:rsidR="00C97B8C" w:rsidRPr="00C97B8C" w:rsidRDefault="00C97B8C" w:rsidP="00BA3CCE">
      <w:pPr>
        <w:pStyle w:val="Heading5"/>
        <w:numPr>
          <w:ilvl w:val="0"/>
          <w:numId w:val="0"/>
        </w:numPr>
        <w:ind w:left="1009" w:hanging="1009"/>
      </w:pPr>
      <w:r w:rsidRPr="00C97B8C">
        <w:t xml:space="preserve">Effects of </w:t>
      </w:r>
      <w:proofErr w:type="spellStart"/>
      <w:r w:rsidRPr="00C97B8C">
        <w:t>alirocumab</w:t>
      </w:r>
      <w:proofErr w:type="spellEnd"/>
      <w:r w:rsidRPr="00C97B8C">
        <w:t xml:space="preserve"> on other medicinal products</w:t>
      </w:r>
    </w:p>
    <w:p w:rsidR="003020BF" w:rsidRDefault="00C97B8C" w:rsidP="00C97B8C">
      <w:r>
        <w:t xml:space="preserve">Since </w:t>
      </w:r>
      <w:proofErr w:type="spellStart"/>
      <w:r>
        <w:t>alirocumab</w:t>
      </w:r>
      <w:proofErr w:type="spellEnd"/>
      <w:r>
        <w:t xml:space="preserve"> is a biologic, no pharmacokinetic effects of </w:t>
      </w:r>
      <w:proofErr w:type="spellStart"/>
      <w:r>
        <w:t>alirocumab</w:t>
      </w:r>
      <w:proofErr w:type="spellEnd"/>
      <w:r>
        <w:t xml:space="preserve"> on other medicinal products are anticipated. In clinical studies where </w:t>
      </w:r>
      <w:proofErr w:type="spellStart"/>
      <w:r>
        <w:t>alirocumab</w:t>
      </w:r>
      <w:proofErr w:type="spellEnd"/>
      <w:r>
        <w:t xml:space="preserve"> was administered in combination with atorvastatin or </w:t>
      </w:r>
      <w:proofErr w:type="spellStart"/>
      <w:r>
        <w:t>rosuvastatin</w:t>
      </w:r>
      <w:proofErr w:type="spellEnd"/>
      <w:r>
        <w:t xml:space="preserve">, no relevant changes in statin concentrations were observed in the presence of repeated administration of </w:t>
      </w:r>
      <w:proofErr w:type="spellStart"/>
      <w:r>
        <w:t>alirocumab</w:t>
      </w:r>
      <w:proofErr w:type="spellEnd"/>
      <w:r>
        <w:t>, indicating that cytochrome P450 enzymes (mainly CYP3A4 and CYP2C9) and transporter proteins such as P-</w:t>
      </w:r>
      <w:proofErr w:type="spellStart"/>
      <w:r>
        <w:t>gp</w:t>
      </w:r>
      <w:proofErr w:type="spellEnd"/>
      <w:r>
        <w:t xml:space="preserve"> and OATP were not affected by </w:t>
      </w:r>
      <w:proofErr w:type="spellStart"/>
      <w:r>
        <w:t>alirocumab</w:t>
      </w:r>
      <w:proofErr w:type="spellEnd"/>
      <w:r>
        <w:t>.</w:t>
      </w:r>
    </w:p>
    <w:p w:rsidR="00C97B8C" w:rsidRPr="00C97B8C" w:rsidRDefault="00C97B8C" w:rsidP="00BA3CCE">
      <w:pPr>
        <w:pStyle w:val="Heading5"/>
        <w:numPr>
          <w:ilvl w:val="0"/>
          <w:numId w:val="0"/>
        </w:numPr>
        <w:ind w:left="1009" w:hanging="1009"/>
      </w:pPr>
      <w:r w:rsidRPr="00C97B8C">
        <w:t xml:space="preserve">Effects of other medicinal products on </w:t>
      </w:r>
      <w:proofErr w:type="spellStart"/>
      <w:r w:rsidRPr="00C97B8C">
        <w:t>alirocumab</w:t>
      </w:r>
      <w:proofErr w:type="spellEnd"/>
    </w:p>
    <w:p w:rsidR="00C97B8C" w:rsidRDefault="00C97B8C" w:rsidP="00C97B8C">
      <w:r>
        <w:t xml:space="preserve">Statins and other lipid-modifying therapy are known to increase production of PCSK9, the protein targeted by </w:t>
      </w:r>
      <w:proofErr w:type="spellStart"/>
      <w:r>
        <w:t>alirocumab</w:t>
      </w:r>
      <w:proofErr w:type="spellEnd"/>
      <w:r>
        <w:t xml:space="preserve">. Because a component of the clearance of </w:t>
      </w:r>
      <w:proofErr w:type="spellStart"/>
      <w:r>
        <w:t>alirocumab</w:t>
      </w:r>
      <w:proofErr w:type="spellEnd"/>
      <w:r>
        <w:t xml:space="preserve"> is target-mediated, an elevation in target could lead to lower </w:t>
      </w:r>
      <w:proofErr w:type="spellStart"/>
      <w:r>
        <w:t>alirocumab</w:t>
      </w:r>
      <w:proofErr w:type="spellEnd"/>
      <w:r>
        <w:t xml:space="preserve"> exposure. However, this effect does not impact the duration of efficacy when </w:t>
      </w:r>
      <w:proofErr w:type="spellStart"/>
      <w:r>
        <w:t>alirocumab</w:t>
      </w:r>
      <w:proofErr w:type="spellEnd"/>
      <w:r>
        <w:t xml:space="preserve"> is administered every two weeks.</w:t>
      </w:r>
    </w:p>
    <w:p w:rsidR="003020BF" w:rsidRPr="00BA3CCE" w:rsidRDefault="003020BF" w:rsidP="003020BF">
      <w:pPr>
        <w:pStyle w:val="Heading1"/>
        <w:pageBreakBefore w:val="0"/>
        <w:numPr>
          <w:ilvl w:val="0"/>
          <w:numId w:val="0"/>
        </w:numPr>
        <w:rPr>
          <w:i/>
          <w:color w:val="00B050"/>
        </w:rPr>
      </w:pPr>
      <w:bookmarkStart w:id="31" w:name="_Toc341259168"/>
      <w:r w:rsidRPr="00C51CBF">
        <w:t>adverse effects</w:t>
      </w:r>
      <w:bookmarkEnd w:id="31"/>
      <w:r w:rsidR="00C51CBF">
        <w:t xml:space="preserve"> </w:t>
      </w:r>
    </w:p>
    <w:p w:rsidR="003020BF" w:rsidRDefault="00D45EDD" w:rsidP="00C97B8C">
      <w:pPr>
        <w:rPr>
          <w:color w:val="FF0000"/>
        </w:rPr>
      </w:pPr>
      <w:r>
        <w:t xml:space="preserve">The safety data are based on pooled results from nine placebo-controlled studies (four phase 2 and five phase 3 studies, all in patients on background statin), and five ezetimibe-controlled phase 3 studies (with three studies in patients on background statin). This reflects </w:t>
      </w:r>
      <w:r w:rsidR="00C97B8C">
        <w:t xml:space="preserve">exposure to </w:t>
      </w:r>
      <w:proofErr w:type="spellStart"/>
      <w:r w:rsidR="00C97B8C">
        <w:t>alirocumab</w:t>
      </w:r>
      <w:proofErr w:type="spellEnd"/>
      <w:r w:rsidR="00C97B8C">
        <w:t xml:space="preserve"> in 3340 patients (3451 patient-years of exposure), the majority with high or very high cardiovascular risk, treated with </w:t>
      </w:r>
      <w:proofErr w:type="spellStart"/>
      <w:r w:rsidR="00C97B8C">
        <w:t>alirocumab</w:t>
      </w:r>
      <w:proofErr w:type="spellEnd"/>
      <w:r w:rsidR="00C97B8C">
        <w:t xml:space="preserve"> at a dose of 75 or 150 mg, administered subcutaneously </w:t>
      </w:r>
      <w:r w:rsidR="00CF2464">
        <w:t>once every 2 weeks</w:t>
      </w:r>
      <w:r w:rsidR="00C97B8C">
        <w:t xml:space="preserve">, for a treatment duration of up to 18 months (including 2408 patients exposed to </w:t>
      </w:r>
      <w:proofErr w:type="spellStart"/>
      <w:r w:rsidR="00C97B8C">
        <w:t>alirocumab</w:t>
      </w:r>
      <w:proofErr w:type="spellEnd"/>
      <w:r w:rsidR="00C97B8C">
        <w:t xml:space="preserve"> for at least 52 weeks, and 639 patients exposed to </w:t>
      </w:r>
      <w:proofErr w:type="spellStart"/>
      <w:r w:rsidR="00C97B8C">
        <w:t>alirocumab</w:t>
      </w:r>
      <w:proofErr w:type="spellEnd"/>
      <w:r w:rsidR="00C97B8C">
        <w:t xml:space="preserve"> for at least 76 weeks</w:t>
      </w:r>
      <w:r w:rsidR="00C97B8C" w:rsidRPr="00650CCA">
        <w:t xml:space="preserve">). </w:t>
      </w:r>
    </w:p>
    <w:p w:rsidR="00C97B8C" w:rsidRDefault="00C97B8C" w:rsidP="00C97B8C">
      <w:r>
        <w:t xml:space="preserve">Most common adverse reactions (≥1% of patients treated with </w:t>
      </w:r>
      <w:proofErr w:type="spellStart"/>
      <w:r>
        <w:t>Praluent</w:t>
      </w:r>
      <w:proofErr w:type="spellEnd"/>
      <w:r>
        <w:t>) were</w:t>
      </w:r>
      <w:r w:rsidR="00803B3A">
        <w:t xml:space="preserve"> local injection site reaction</w:t>
      </w:r>
      <w:r w:rsidR="00803B3A" w:rsidRPr="00803B3A">
        <w:rPr>
          <w:color w:val="auto"/>
        </w:rPr>
        <w:t>s</w:t>
      </w:r>
      <w:r w:rsidR="008C78BD" w:rsidRPr="00803B3A">
        <w:rPr>
          <w:color w:val="auto"/>
        </w:rPr>
        <w:t>, upper respiratory tract signs and symptoms</w:t>
      </w:r>
      <w:r w:rsidRPr="00803B3A">
        <w:rPr>
          <w:color w:val="auto"/>
        </w:rPr>
        <w:t xml:space="preserve"> and prurit</w:t>
      </w:r>
      <w:r>
        <w:t xml:space="preserve">us. Most common adverse reactions leading to treatment discontinuation in patients treated with </w:t>
      </w:r>
      <w:proofErr w:type="spellStart"/>
      <w:r>
        <w:t>Praluent</w:t>
      </w:r>
      <w:proofErr w:type="spellEnd"/>
      <w:r>
        <w:t xml:space="preserve"> were local injection site reactions.</w:t>
      </w:r>
    </w:p>
    <w:p w:rsidR="00C97B8C" w:rsidRDefault="00C97B8C" w:rsidP="00C97B8C">
      <w:r>
        <w:t xml:space="preserve">No difference in the safety profile was observed between the two doses (75 mg </w:t>
      </w:r>
      <w:r w:rsidR="00CF2464">
        <w:t>once every 2 weeks</w:t>
      </w:r>
      <w:r>
        <w:t xml:space="preserve"> and 150 mg </w:t>
      </w:r>
      <w:r w:rsidR="00CF2464">
        <w:t>once every 2 weeks</w:t>
      </w:r>
      <w:r>
        <w:t>) used in the phase 3 program.</w:t>
      </w:r>
    </w:p>
    <w:p w:rsidR="00C97B8C" w:rsidRDefault="00C97B8C" w:rsidP="00C97B8C">
      <w:r>
        <w:lastRenderedPageBreak/>
        <w:t xml:space="preserve">In controlled studies, 1158 patients (34.7%) treated with </w:t>
      </w:r>
      <w:proofErr w:type="spellStart"/>
      <w:r>
        <w:t>Praluent</w:t>
      </w:r>
      <w:proofErr w:type="spellEnd"/>
      <w:r>
        <w:t xml:space="preserve"> were ≥65 years of age and 241 patients (7.2%) treated with </w:t>
      </w:r>
      <w:proofErr w:type="spellStart"/>
      <w:r>
        <w:t>Praluent</w:t>
      </w:r>
      <w:proofErr w:type="spellEnd"/>
      <w:r>
        <w:t xml:space="preserve"> were ≥75 years of age. There were no significant differences observed in safety and efficacy with increasing age.</w:t>
      </w:r>
    </w:p>
    <w:p w:rsidR="007461C2" w:rsidRDefault="00065C3F" w:rsidP="007461C2">
      <w:r w:rsidRPr="00065C3F">
        <w:rPr>
          <w:color w:val="0000FF"/>
        </w:rPr>
        <w:fldChar w:fldCharType="begin"/>
      </w:r>
      <w:r w:rsidRPr="00065C3F">
        <w:rPr>
          <w:color w:val="0000FF"/>
        </w:rPr>
        <w:instrText xml:space="preserve"> REF _Ref409782022 \h  \* MERGEFORMAT </w:instrText>
      </w:r>
      <w:r w:rsidRPr="00065C3F">
        <w:rPr>
          <w:color w:val="0000FF"/>
        </w:rPr>
      </w:r>
      <w:r w:rsidRPr="00065C3F">
        <w:rPr>
          <w:color w:val="0000FF"/>
        </w:rPr>
        <w:fldChar w:fldCharType="separate"/>
      </w:r>
      <w:r w:rsidR="00920B05" w:rsidRPr="00920B05">
        <w:rPr>
          <w:color w:val="0000FF"/>
        </w:rPr>
        <w:t>Table 3</w:t>
      </w:r>
      <w:r w:rsidRPr="00065C3F">
        <w:rPr>
          <w:color w:val="0000FF"/>
        </w:rPr>
        <w:fldChar w:fldCharType="end"/>
      </w:r>
      <w:r>
        <w:rPr>
          <w:color w:val="0000FF"/>
        </w:rPr>
        <w:t xml:space="preserve"> </w:t>
      </w:r>
      <w:r w:rsidRPr="00065C3F">
        <w:rPr>
          <w:color w:val="auto"/>
        </w:rPr>
        <w:t>shows the</w:t>
      </w:r>
      <w:r>
        <w:rPr>
          <w:color w:val="0000FF"/>
        </w:rPr>
        <w:t xml:space="preserve"> </w:t>
      </w:r>
      <w:r w:rsidR="007461C2">
        <w:t xml:space="preserve">adverse </w:t>
      </w:r>
      <w:r>
        <w:t>reactions</w:t>
      </w:r>
      <w:r w:rsidR="007461C2">
        <w:t xml:space="preserve"> reported in patients treated with </w:t>
      </w:r>
      <w:proofErr w:type="spellStart"/>
      <w:r w:rsidR="007461C2">
        <w:t>alirocum</w:t>
      </w:r>
      <w:r>
        <w:t>ab</w:t>
      </w:r>
      <w:proofErr w:type="spellEnd"/>
      <w:r>
        <w:t xml:space="preserve"> in pooled controlled studies.</w:t>
      </w:r>
    </w:p>
    <w:p w:rsidR="00D45EDD" w:rsidRDefault="00D45EDD" w:rsidP="00D45EDD">
      <w:r>
        <w:t>The frequency categories are defined as: very common (≥1/10); common (≥1/100 to &lt;1/10); uncommon (≥1/1,000 to &lt;1/100); rare (≥1/10,000 to &lt;1/1,000); very rare (&lt;1/10,000) and not known (cannot be estimated from the available data).</w:t>
      </w:r>
    </w:p>
    <w:p w:rsidR="00065C3F" w:rsidRDefault="00065C3F" w:rsidP="00065C3F">
      <w:pPr>
        <w:pStyle w:val="Caption"/>
      </w:pPr>
      <w:r>
        <w:t xml:space="preserve"> </w:t>
      </w:r>
      <w:bookmarkStart w:id="32" w:name="_Ref409782022"/>
      <w:r>
        <w:t>Table </w:t>
      </w:r>
      <w:r>
        <w:fldChar w:fldCharType="begin"/>
      </w:r>
      <w:r>
        <w:instrText xml:space="preserve"> SEQ Table \* ARABIC </w:instrText>
      </w:r>
      <w:r>
        <w:fldChar w:fldCharType="separate"/>
      </w:r>
      <w:r w:rsidR="00920B05">
        <w:rPr>
          <w:noProof/>
        </w:rPr>
        <w:t>3</w:t>
      </w:r>
      <w:r>
        <w:fldChar w:fldCharType="end"/>
      </w:r>
      <w:bookmarkEnd w:id="32"/>
      <w:r>
        <w:t xml:space="preserve"> ­ </w:t>
      </w:r>
      <w:proofErr w:type="gramStart"/>
      <w:r>
        <w:t>Adverse</w:t>
      </w:r>
      <w:proofErr w:type="gramEnd"/>
      <w:r>
        <w:t xml:space="preserve"> reactions reported with </w:t>
      </w:r>
      <w:proofErr w:type="spellStart"/>
      <w:r>
        <w:t>Praluent</w:t>
      </w:r>
      <w:proofErr w:type="spellEnd"/>
      <w:r>
        <w:t xml:space="preserve"> in pooled controlled studies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3430"/>
        <w:gridCol w:w="2049"/>
      </w:tblGrid>
      <w:tr w:rsidR="0017647E" w:rsidTr="00803B3A">
        <w:trPr>
          <w:cantSplit/>
          <w:tblHeader/>
          <w:jc w:val="center"/>
        </w:trPr>
        <w:tc>
          <w:tcPr>
            <w:tcW w:w="0" w:type="auto"/>
            <w:shd w:val="clear" w:color="auto" w:fill="auto"/>
          </w:tcPr>
          <w:p w:rsidR="00904E76" w:rsidRDefault="00904E76" w:rsidP="005E35A7">
            <w:pPr>
              <w:pStyle w:val="TblHeadingCenter"/>
              <w:jc w:val="left"/>
            </w:pPr>
            <w:r>
              <w:t>System Organ Class</w:t>
            </w:r>
          </w:p>
        </w:tc>
        <w:tc>
          <w:tcPr>
            <w:tcW w:w="0" w:type="auto"/>
            <w:shd w:val="clear" w:color="auto" w:fill="auto"/>
          </w:tcPr>
          <w:p w:rsidR="00904E76" w:rsidRDefault="00904E76" w:rsidP="005E35A7">
            <w:pPr>
              <w:pStyle w:val="TblHeadingCenter"/>
              <w:jc w:val="left"/>
            </w:pPr>
            <w:r>
              <w:t xml:space="preserve">Common </w:t>
            </w:r>
          </w:p>
        </w:tc>
        <w:tc>
          <w:tcPr>
            <w:tcW w:w="0" w:type="auto"/>
            <w:shd w:val="clear" w:color="auto" w:fill="auto"/>
          </w:tcPr>
          <w:p w:rsidR="00904E76" w:rsidRDefault="00904E76" w:rsidP="005E35A7">
            <w:pPr>
              <w:pStyle w:val="TblHeadingCenter"/>
              <w:jc w:val="left"/>
            </w:pPr>
            <w:r>
              <w:t xml:space="preserve">Rare </w:t>
            </w:r>
          </w:p>
        </w:tc>
      </w:tr>
      <w:tr w:rsidR="0017647E" w:rsidTr="00803B3A">
        <w:trPr>
          <w:cantSplit/>
          <w:jc w:val="center"/>
        </w:trPr>
        <w:tc>
          <w:tcPr>
            <w:tcW w:w="0" w:type="auto"/>
            <w:shd w:val="clear" w:color="auto" w:fill="auto"/>
          </w:tcPr>
          <w:p w:rsidR="00904E76" w:rsidRPr="00904E76" w:rsidRDefault="00904E76" w:rsidP="005E35A7">
            <w:pPr>
              <w:pStyle w:val="TblTextCenter"/>
              <w:jc w:val="left"/>
            </w:pPr>
            <w:r w:rsidRPr="00904E76">
              <w:t xml:space="preserve">Immune system disorders </w:t>
            </w:r>
          </w:p>
        </w:tc>
        <w:tc>
          <w:tcPr>
            <w:tcW w:w="0" w:type="auto"/>
            <w:shd w:val="clear" w:color="auto" w:fill="auto"/>
          </w:tcPr>
          <w:p w:rsidR="00904E76" w:rsidRPr="00904E76" w:rsidRDefault="00904E76" w:rsidP="005E35A7">
            <w:pPr>
              <w:pStyle w:val="TblTextCenter"/>
            </w:pPr>
          </w:p>
        </w:tc>
        <w:tc>
          <w:tcPr>
            <w:tcW w:w="0" w:type="auto"/>
            <w:shd w:val="clear" w:color="auto" w:fill="auto"/>
          </w:tcPr>
          <w:p w:rsidR="0017647E" w:rsidRDefault="00904E76" w:rsidP="005E35A7">
            <w:pPr>
              <w:pStyle w:val="TblTextCenter"/>
              <w:jc w:val="left"/>
            </w:pPr>
            <w:r w:rsidRPr="00904E76">
              <w:t>hypersensitivity</w:t>
            </w:r>
            <w:r w:rsidR="0017647E">
              <w:t xml:space="preserve"> </w:t>
            </w:r>
          </w:p>
          <w:p w:rsidR="00904E76" w:rsidRPr="00904E76" w:rsidRDefault="0017647E" w:rsidP="005E35A7">
            <w:pPr>
              <w:pStyle w:val="TblTextCenter"/>
              <w:jc w:val="left"/>
            </w:pPr>
            <w:r>
              <w:t>h</w:t>
            </w:r>
            <w:r w:rsidRPr="00904E76">
              <w:t>ypersensitivity vasculitis</w:t>
            </w:r>
          </w:p>
        </w:tc>
      </w:tr>
      <w:tr w:rsidR="0017647E" w:rsidTr="00803B3A">
        <w:trPr>
          <w:cantSplit/>
          <w:jc w:val="center"/>
        </w:trPr>
        <w:tc>
          <w:tcPr>
            <w:tcW w:w="0" w:type="auto"/>
            <w:shd w:val="clear" w:color="auto" w:fill="auto"/>
          </w:tcPr>
          <w:p w:rsidR="00904E76" w:rsidRPr="00803B3A" w:rsidRDefault="0017647E" w:rsidP="00803B3A">
            <w:pPr>
              <w:pStyle w:val="TblTextCenter"/>
              <w:jc w:val="left"/>
            </w:pPr>
            <w:r w:rsidRPr="00803B3A">
              <w:t>Respiratory, thoracic and mediastinal disorders</w:t>
            </w:r>
            <w:r w:rsidR="00904E76" w:rsidRPr="00803B3A">
              <w:t xml:space="preserve"> </w:t>
            </w:r>
          </w:p>
        </w:tc>
        <w:tc>
          <w:tcPr>
            <w:tcW w:w="0" w:type="auto"/>
            <w:shd w:val="clear" w:color="auto" w:fill="auto"/>
          </w:tcPr>
          <w:p w:rsidR="00904E76" w:rsidRPr="00803B3A" w:rsidRDefault="0017647E" w:rsidP="005E35A7">
            <w:pPr>
              <w:pStyle w:val="TblTextCenter"/>
              <w:jc w:val="left"/>
              <w:rPr>
                <w:vertAlign w:val="superscript"/>
              </w:rPr>
            </w:pPr>
            <w:r w:rsidRPr="00803B3A">
              <w:t>Upper respiratory tract signs and symptoms</w:t>
            </w:r>
            <w:r w:rsidRPr="00803B3A">
              <w:rPr>
                <w:vertAlign w:val="superscript"/>
              </w:rPr>
              <w:t>*</w:t>
            </w:r>
          </w:p>
        </w:tc>
        <w:tc>
          <w:tcPr>
            <w:tcW w:w="0" w:type="auto"/>
            <w:shd w:val="clear" w:color="auto" w:fill="auto"/>
          </w:tcPr>
          <w:p w:rsidR="00904E76" w:rsidRPr="00904E76" w:rsidRDefault="00904E76" w:rsidP="005E35A7">
            <w:pPr>
              <w:pStyle w:val="TblTextCenter"/>
              <w:jc w:val="left"/>
            </w:pPr>
          </w:p>
        </w:tc>
      </w:tr>
      <w:tr w:rsidR="0017647E" w:rsidTr="00803B3A">
        <w:trPr>
          <w:cantSplit/>
          <w:jc w:val="center"/>
        </w:trPr>
        <w:tc>
          <w:tcPr>
            <w:tcW w:w="0" w:type="auto"/>
            <w:shd w:val="clear" w:color="auto" w:fill="auto"/>
          </w:tcPr>
          <w:p w:rsidR="00904E76" w:rsidRPr="00904E76" w:rsidRDefault="00904E76" w:rsidP="005E35A7">
            <w:pPr>
              <w:pStyle w:val="TblTextCenter"/>
              <w:jc w:val="left"/>
            </w:pPr>
            <w:r w:rsidRPr="00904E76">
              <w:t xml:space="preserve">Skin and subcutaneous tissue disorders </w:t>
            </w:r>
          </w:p>
        </w:tc>
        <w:tc>
          <w:tcPr>
            <w:tcW w:w="0" w:type="auto"/>
            <w:shd w:val="clear" w:color="auto" w:fill="auto"/>
          </w:tcPr>
          <w:p w:rsidR="00904E76" w:rsidRPr="00904E76" w:rsidRDefault="00904E76" w:rsidP="005E35A7">
            <w:pPr>
              <w:pStyle w:val="TblTextCenter"/>
              <w:jc w:val="left"/>
            </w:pPr>
            <w:r w:rsidRPr="00904E76">
              <w:t xml:space="preserve">Pruritus </w:t>
            </w:r>
          </w:p>
        </w:tc>
        <w:tc>
          <w:tcPr>
            <w:tcW w:w="0" w:type="auto"/>
            <w:shd w:val="clear" w:color="auto" w:fill="auto"/>
          </w:tcPr>
          <w:p w:rsidR="0017647E" w:rsidRDefault="00904E76" w:rsidP="005E35A7">
            <w:pPr>
              <w:pStyle w:val="TblTextCenter"/>
              <w:jc w:val="left"/>
            </w:pPr>
            <w:proofErr w:type="spellStart"/>
            <w:r w:rsidRPr="00904E76">
              <w:t>urticaria</w:t>
            </w:r>
            <w:proofErr w:type="spellEnd"/>
            <w:r w:rsidR="0017647E" w:rsidRPr="00904E76">
              <w:t xml:space="preserve"> </w:t>
            </w:r>
          </w:p>
          <w:p w:rsidR="00904E76" w:rsidRPr="00904E76" w:rsidRDefault="0017647E" w:rsidP="005E35A7">
            <w:pPr>
              <w:pStyle w:val="TblTextCenter"/>
              <w:jc w:val="left"/>
            </w:pPr>
            <w:r w:rsidRPr="00904E76">
              <w:t>eczema nummular</w:t>
            </w:r>
          </w:p>
        </w:tc>
      </w:tr>
      <w:tr w:rsidR="0017647E" w:rsidTr="00803B3A">
        <w:trPr>
          <w:cantSplit/>
          <w:jc w:val="center"/>
        </w:trPr>
        <w:tc>
          <w:tcPr>
            <w:tcW w:w="0" w:type="auto"/>
            <w:shd w:val="clear" w:color="auto" w:fill="auto"/>
          </w:tcPr>
          <w:p w:rsidR="0017647E" w:rsidRPr="00904E76" w:rsidRDefault="0017647E" w:rsidP="003F0463">
            <w:pPr>
              <w:pStyle w:val="TblTextCenter"/>
              <w:jc w:val="left"/>
            </w:pPr>
            <w:r w:rsidRPr="00904E76">
              <w:t xml:space="preserve">General disorders and administration site conditions </w:t>
            </w:r>
          </w:p>
        </w:tc>
        <w:tc>
          <w:tcPr>
            <w:tcW w:w="0" w:type="auto"/>
            <w:shd w:val="clear" w:color="auto" w:fill="auto"/>
          </w:tcPr>
          <w:p w:rsidR="0017647E" w:rsidRPr="00904E76" w:rsidRDefault="0017647E" w:rsidP="003F0463">
            <w:pPr>
              <w:pStyle w:val="TblTextCenter"/>
              <w:jc w:val="left"/>
            </w:pPr>
            <w:r w:rsidRPr="00904E76">
              <w:t>Injection site reactions</w:t>
            </w:r>
            <w:r w:rsidRPr="00803B3A">
              <w:t>*</w:t>
            </w:r>
            <w:r w:rsidRPr="00803B3A">
              <w:rPr>
                <w:vertAlign w:val="superscript"/>
              </w:rPr>
              <w:t>*</w:t>
            </w:r>
            <w:r w:rsidRPr="00803B3A">
              <w:t xml:space="preserve"> </w:t>
            </w:r>
          </w:p>
        </w:tc>
        <w:tc>
          <w:tcPr>
            <w:tcW w:w="0" w:type="auto"/>
            <w:shd w:val="clear" w:color="auto" w:fill="auto"/>
          </w:tcPr>
          <w:p w:rsidR="0017647E" w:rsidRPr="00904E76" w:rsidRDefault="0017647E" w:rsidP="005E35A7">
            <w:pPr>
              <w:pStyle w:val="TblTextCenter"/>
              <w:jc w:val="left"/>
            </w:pPr>
          </w:p>
        </w:tc>
      </w:tr>
      <w:tr w:rsidR="0017647E" w:rsidTr="00803B3A">
        <w:trPr>
          <w:cantSplit/>
          <w:jc w:val="center"/>
        </w:trPr>
        <w:tc>
          <w:tcPr>
            <w:tcW w:w="0" w:type="auto"/>
            <w:gridSpan w:val="3"/>
            <w:shd w:val="clear" w:color="auto" w:fill="auto"/>
          </w:tcPr>
          <w:p w:rsidR="0017647E" w:rsidRPr="00803B3A" w:rsidRDefault="0017647E" w:rsidP="005E35A7">
            <w:pPr>
              <w:pStyle w:val="TblFigFootnote"/>
            </w:pPr>
            <w:r w:rsidRPr="00803B3A">
              <w:t>* including mainly oropharyngeal pain, rhinorrhea, sneezing</w:t>
            </w:r>
          </w:p>
          <w:p w:rsidR="0017647E" w:rsidRPr="00803B3A" w:rsidRDefault="0017647E" w:rsidP="00803B3A">
            <w:pPr>
              <w:pStyle w:val="TblFigFootnote"/>
            </w:pPr>
            <w:r w:rsidRPr="00803B3A">
              <w:t>** including erythema/redness, itching, swelling, pain/tenderness</w:t>
            </w:r>
          </w:p>
        </w:tc>
      </w:tr>
    </w:tbl>
    <w:p w:rsidR="00ED38FE" w:rsidRDefault="00ED38FE" w:rsidP="00ED38FE">
      <w:pPr>
        <w:spacing w:before="0"/>
        <w:rPr>
          <w:i/>
          <w:color w:val="0000FF"/>
        </w:rPr>
      </w:pPr>
    </w:p>
    <w:p w:rsidR="002E77D8" w:rsidRPr="00BB694E" w:rsidRDefault="002E77D8" w:rsidP="00ED38FE">
      <w:pPr>
        <w:spacing w:before="0"/>
        <w:rPr>
          <w:color w:val="auto"/>
        </w:rPr>
      </w:pPr>
      <w:r w:rsidRPr="00BB694E">
        <w:rPr>
          <w:color w:val="auto"/>
        </w:rPr>
        <w:fldChar w:fldCharType="begin"/>
      </w:r>
      <w:r w:rsidRPr="00BB694E">
        <w:rPr>
          <w:color w:val="auto"/>
        </w:rPr>
        <w:instrText xml:space="preserve"> REF _Ref449614922 \h  \* MERGEFORMAT </w:instrText>
      </w:r>
      <w:r w:rsidRPr="00BB694E">
        <w:rPr>
          <w:color w:val="auto"/>
        </w:rPr>
      </w:r>
      <w:r w:rsidRPr="00BB694E">
        <w:rPr>
          <w:color w:val="auto"/>
        </w:rPr>
        <w:fldChar w:fldCharType="separate"/>
      </w:r>
      <w:r w:rsidR="00920B05" w:rsidRPr="00920B05">
        <w:rPr>
          <w:color w:val="auto"/>
        </w:rPr>
        <w:t>Table 4</w:t>
      </w:r>
      <w:r w:rsidRPr="00BB694E">
        <w:rPr>
          <w:color w:val="auto"/>
        </w:rPr>
        <w:fldChar w:fldCharType="end"/>
      </w:r>
      <w:r w:rsidRPr="00BB694E">
        <w:rPr>
          <w:i/>
          <w:color w:val="auto"/>
        </w:rPr>
        <w:t xml:space="preserve"> </w:t>
      </w:r>
      <w:r w:rsidRPr="00BB694E">
        <w:rPr>
          <w:color w:val="auto"/>
        </w:rPr>
        <w:t xml:space="preserve">shows the adverse events reported in ≥1% of patients treated with </w:t>
      </w:r>
      <w:proofErr w:type="spellStart"/>
      <w:r w:rsidRPr="00BB694E">
        <w:rPr>
          <w:color w:val="auto"/>
        </w:rPr>
        <w:t>alirocumab</w:t>
      </w:r>
      <w:proofErr w:type="spellEnd"/>
      <w:r w:rsidRPr="00BB694E">
        <w:rPr>
          <w:color w:val="auto"/>
        </w:rPr>
        <w:t xml:space="preserve"> and more</w:t>
      </w:r>
    </w:p>
    <w:p w:rsidR="00395EEB" w:rsidRPr="00BB694E" w:rsidRDefault="002E77D8" w:rsidP="00ED38FE">
      <w:pPr>
        <w:spacing w:before="0"/>
        <w:rPr>
          <w:color w:val="auto"/>
        </w:rPr>
      </w:pPr>
      <w:proofErr w:type="gramStart"/>
      <w:r w:rsidRPr="00BB694E">
        <w:rPr>
          <w:color w:val="auto"/>
        </w:rPr>
        <w:t>frequently</w:t>
      </w:r>
      <w:proofErr w:type="gramEnd"/>
      <w:r w:rsidRPr="00BB694E">
        <w:rPr>
          <w:color w:val="auto"/>
        </w:rPr>
        <w:t xml:space="preserve"> than with placebo in pooled placebo-controlled studies. </w:t>
      </w:r>
    </w:p>
    <w:p w:rsidR="002E77D8" w:rsidRPr="00BB694E" w:rsidRDefault="002E77D8" w:rsidP="007219BF">
      <w:pPr>
        <w:pStyle w:val="Caption"/>
        <w:jc w:val="left"/>
      </w:pPr>
      <w:r w:rsidRPr="00BB694E">
        <w:t xml:space="preserve"> </w:t>
      </w:r>
      <w:bookmarkStart w:id="33" w:name="_Ref449614922"/>
      <w:r w:rsidRPr="00BB694E">
        <w:t>Table </w:t>
      </w:r>
      <w:r w:rsidRPr="00BB694E">
        <w:fldChar w:fldCharType="begin"/>
      </w:r>
      <w:r w:rsidRPr="00BB694E">
        <w:instrText xml:space="preserve"> SEQ Table \* ARABIC </w:instrText>
      </w:r>
      <w:r w:rsidRPr="00BB694E">
        <w:fldChar w:fldCharType="separate"/>
      </w:r>
      <w:r w:rsidR="00920B05">
        <w:rPr>
          <w:noProof/>
        </w:rPr>
        <w:t>4</w:t>
      </w:r>
      <w:r w:rsidRPr="00BB694E">
        <w:fldChar w:fldCharType="end"/>
      </w:r>
      <w:bookmarkEnd w:id="33"/>
      <w:r w:rsidRPr="00BB694E">
        <w:t xml:space="preserve"> ­ </w:t>
      </w:r>
      <w:proofErr w:type="gramStart"/>
      <w:r w:rsidRPr="00BB694E">
        <w:t>Adverse</w:t>
      </w:r>
      <w:proofErr w:type="gramEnd"/>
      <w:r w:rsidRPr="00BB694E">
        <w:t xml:space="preserve"> events occurring in ≥1% of patients treated with </w:t>
      </w:r>
      <w:proofErr w:type="spellStart"/>
      <w:r w:rsidRPr="00BB694E">
        <w:t>alirocumab</w:t>
      </w:r>
      <w:proofErr w:type="spellEnd"/>
      <w:r w:rsidRPr="00BB694E">
        <w:t xml:space="preserve"> and more frequently than with placebo in the pool of placebo-controlled trials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6"/>
        <w:gridCol w:w="1056"/>
        <w:gridCol w:w="1317"/>
      </w:tblGrid>
      <w:tr w:rsidR="00BB694E" w:rsidRPr="00BB694E" w:rsidTr="00181601">
        <w:trPr>
          <w:cantSplit/>
          <w:tblHeader/>
          <w:jc w:val="center"/>
        </w:trPr>
        <w:tc>
          <w:tcPr>
            <w:tcW w:w="0" w:type="auto"/>
            <w:shd w:val="clear" w:color="auto" w:fill="auto"/>
            <w:vAlign w:val="bottom"/>
          </w:tcPr>
          <w:p w:rsidR="003557D6" w:rsidRPr="00BB694E" w:rsidRDefault="003557D6" w:rsidP="007219BF">
            <w:pPr>
              <w:pStyle w:val="TblHeadingCenter"/>
              <w:rPr>
                <w:lang w:eastAsia="en-CA"/>
              </w:rPr>
            </w:pPr>
            <w:r w:rsidRPr="00BB694E">
              <w:rPr>
                <w:lang w:eastAsia="en-CA"/>
              </w:rPr>
              <w:t>Primary System Organ Class</w:t>
            </w:r>
          </w:p>
          <w:p w:rsidR="003557D6" w:rsidRPr="00BB694E" w:rsidRDefault="003557D6" w:rsidP="007219BF">
            <w:pPr>
              <w:pStyle w:val="TblHeadingCenter"/>
              <w:rPr>
                <w:lang w:eastAsia="en-CA"/>
              </w:rPr>
            </w:pPr>
            <w:r w:rsidRPr="00BB694E">
              <w:rPr>
                <w:lang w:eastAsia="en-CA"/>
              </w:rPr>
              <w:t>Preferred Term n(%)</w:t>
            </w:r>
          </w:p>
        </w:tc>
        <w:tc>
          <w:tcPr>
            <w:tcW w:w="0" w:type="auto"/>
            <w:shd w:val="clear" w:color="auto" w:fill="auto"/>
            <w:vAlign w:val="bottom"/>
          </w:tcPr>
          <w:p w:rsidR="003557D6" w:rsidRPr="00BB694E" w:rsidRDefault="003557D6" w:rsidP="007219BF">
            <w:pPr>
              <w:pStyle w:val="TblHeadingCenter"/>
              <w:rPr>
                <w:lang w:eastAsia="en-CA"/>
              </w:rPr>
            </w:pPr>
            <w:r w:rsidRPr="00BB694E">
              <w:rPr>
                <w:lang w:eastAsia="en-CA"/>
              </w:rPr>
              <w:t>Placebo</w:t>
            </w:r>
          </w:p>
          <w:p w:rsidR="003557D6" w:rsidRPr="00BB694E" w:rsidRDefault="003557D6" w:rsidP="007219BF">
            <w:pPr>
              <w:pStyle w:val="TblHeadingCenter"/>
              <w:rPr>
                <w:lang w:eastAsia="en-CA"/>
              </w:rPr>
            </w:pPr>
            <w:r w:rsidRPr="00BB694E">
              <w:rPr>
                <w:lang w:eastAsia="en-CA"/>
              </w:rPr>
              <w:t>(N=1276)</w:t>
            </w:r>
          </w:p>
        </w:tc>
        <w:tc>
          <w:tcPr>
            <w:tcW w:w="0" w:type="auto"/>
            <w:shd w:val="clear" w:color="auto" w:fill="auto"/>
            <w:vAlign w:val="bottom"/>
          </w:tcPr>
          <w:p w:rsidR="003557D6" w:rsidRPr="00BB694E" w:rsidRDefault="003557D6" w:rsidP="007219BF">
            <w:pPr>
              <w:pStyle w:val="TblHeadingCenter"/>
              <w:rPr>
                <w:lang w:eastAsia="en-CA"/>
              </w:rPr>
            </w:pPr>
            <w:r w:rsidRPr="00BB694E">
              <w:rPr>
                <w:lang w:eastAsia="en-CA"/>
              </w:rPr>
              <w:t>Alirocumab</w:t>
            </w:r>
          </w:p>
          <w:p w:rsidR="003557D6" w:rsidRPr="00BB694E" w:rsidRDefault="003557D6" w:rsidP="007219BF">
            <w:pPr>
              <w:pStyle w:val="TblHeadingCenter"/>
              <w:rPr>
                <w:lang w:eastAsia="en-CA"/>
              </w:rPr>
            </w:pPr>
            <w:r w:rsidRPr="00BB694E">
              <w:rPr>
                <w:lang w:eastAsia="en-CA"/>
              </w:rPr>
              <w:t>(N=2476)</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Infections and infestations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proofErr w:type="spellStart"/>
            <w:r w:rsidRPr="00BB694E">
              <w:t>Nasopharyngitis</w:t>
            </w:r>
            <w:proofErr w:type="spellEnd"/>
          </w:p>
        </w:tc>
        <w:tc>
          <w:tcPr>
            <w:tcW w:w="0" w:type="auto"/>
            <w:shd w:val="clear" w:color="auto" w:fill="auto"/>
            <w:vAlign w:val="bottom"/>
          </w:tcPr>
          <w:p w:rsidR="003557D6" w:rsidRPr="00BB694E" w:rsidRDefault="003557D6" w:rsidP="007219BF">
            <w:pPr>
              <w:pStyle w:val="TblTextCenter"/>
            </w:pPr>
            <w:r w:rsidRPr="00BB694E">
              <w:t>11.1%</w:t>
            </w:r>
          </w:p>
        </w:tc>
        <w:tc>
          <w:tcPr>
            <w:tcW w:w="0" w:type="auto"/>
            <w:shd w:val="clear" w:color="auto" w:fill="auto"/>
            <w:vAlign w:val="bottom"/>
          </w:tcPr>
          <w:p w:rsidR="003557D6" w:rsidRPr="00BB694E" w:rsidRDefault="003557D6" w:rsidP="007219BF">
            <w:pPr>
              <w:pStyle w:val="TblTextCenter"/>
            </w:pPr>
            <w:r w:rsidRPr="00BB694E">
              <w:t>11.3%</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Influenza</w:t>
            </w:r>
          </w:p>
        </w:tc>
        <w:tc>
          <w:tcPr>
            <w:tcW w:w="0" w:type="auto"/>
            <w:shd w:val="clear" w:color="auto" w:fill="auto"/>
            <w:vAlign w:val="bottom"/>
          </w:tcPr>
          <w:p w:rsidR="003557D6" w:rsidRPr="00BB694E" w:rsidRDefault="003557D6" w:rsidP="007219BF">
            <w:pPr>
              <w:pStyle w:val="TblTextCenter"/>
            </w:pPr>
            <w:r w:rsidRPr="00BB694E">
              <w:t>4.6%</w:t>
            </w:r>
          </w:p>
        </w:tc>
        <w:tc>
          <w:tcPr>
            <w:tcW w:w="0" w:type="auto"/>
            <w:shd w:val="clear" w:color="auto" w:fill="auto"/>
            <w:vAlign w:val="bottom"/>
          </w:tcPr>
          <w:p w:rsidR="003557D6" w:rsidRPr="00BB694E" w:rsidRDefault="003557D6" w:rsidP="007219BF">
            <w:pPr>
              <w:pStyle w:val="TblTextCenter"/>
            </w:pPr>
            <w:r w:rsidRPr="00BB694E">
              <w:t>5.7%</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Urinary tract infection</w:t>
            </w:r>
          </w:p>
        </w:tc>
        <w:tc>
          <w:tcPr>
            <w:tcW w:w="0" w:type="auto"/>
            <w:shd w:val="clear" w:color="auto" w:fill="auto"/>
            <w:vAlign w:val="bottom"/>
          </w:tcPr>
          <w:p w:rsidR="003557D6" w:rsidRPr="00BB694E" w:rsidRDefault="003557D6" w:rsidP="007219BF">
            <w:pPr>
              <w:pStyle w:val="TblTextCenter"/>
            </w:pPr>
            <w:r w:rsidRPr="00BB694E">
              <w:t>4.6%</w:t>
            </w:r>
          </w:p>
        </w:tc>
        <w:tc>
          <w:tcPr>
            <w:tcW w:w="0" w:type="auto"/>
            <w:shd w:val="clear" w:color="auto" w:fill="auto"/>
            <w:vAlign w:val="bottom"/>
          </w:tcPr>
          <w:p w:rsidR="003557D6" w:rsidRPr="00BB694E" w:rsidRDefault="003557D6" w:rsidP="007219BF">
            <w:pPr>
              <w:pStyle w:val="TblTextCenter"/>
            </w:pPr>
            <w:r w:rsidRPr="00BB694E">
              <w:t>4.8%</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lastRenderedPageBreak/>
              <w:t>Bronchitis</w:t>
            </w:r>
          </w:p>
        </w:tc>
        <w:tc>
          <w:tcPr>
            <w:tcW w:w="0" w:type="auto"/>
            <w:shd w:val="clear" w:color="auto" w:fill="auto"/>
            <w:vAlign w:val="bottom"/>
          </w:tcPr>
          <w:p w:rsidR="003557D6" w:rsidRPr="00BB694E" w:rsidRDefault="003557D6" w:rsidP="007219BF">
            <w:pPr>
              <w:pStyle w:val="TblTextCenter"/>
            </w:pPr>
            <w:r w:rsidRPr="00BB694E">
              <w:t>3.8%</w:t>
            </w:r>
          </w:p>
        </w:tc>
        <w:tc>
          <w:tcPr>
            <w:tcW w:w="0" w:type="auto"/>
            <w:shd w:val="clear" w:color="auto" w:fill="auto"/>
            <w:vAlign w:val="bottom"/>
          </w:tcPr>
          <w:p w:rsidR="003557D6" w:rsidRPr="00BB694E" w:rsidRDefault="003557D6" w:rsidP="007219BF">
            <w:pPr>
              <w:pStyle w:val="TblTextCenter"/>
            </w:pPr>
            <w:r w:rsidRPr="00BB694E">
              <w:t>4.3%</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Sinusitis</w:t>
            </w:r>
          </w:p>
        </w:tc>
        <w:tc>
          <w:tcPr>
            <w:tcW w:w="0" w:type="auto"/>
            <w:shd w:val="clear" w:color="auto" w:fill="auto"/>
            <w:vAlign w:val="bottom"/>
          </w:tcPr>
          <w:p w:rsidR="003557D6" w:rsidRPr="00BB694E" w:rsidRDefault="003557D6" w:rsidP="007219BF">
            <w:pPr>
              <w:pStyle w:val="TblTextCenter"/>
            </w:pPr>
            <w:r w:rsidRPr="00BB694E">
              <w:t>2.7%</w:t>
            </w:r>
          </w:p>
        </w:tc>
        <w:tc>
          <w:tcPr>
            <w:tcW w:w="0" w:type="auto"/>
            <w:shd w:val="clear" w:color="auto" w:fill="auto"/>
            <w:vAlign w:val="bottom"/>
          </w:tcPr>
          <w:p w:rsidR="003557D6" w:rsidRPr="00BB694E" w:rsidRDefault="003557D6" w:rsidP="007219BF">
            <w:pPr>
              <w:pStyle w:val="TblTextCenter"/>
            </w:pPr>
            <w:r w:rsidRPr="00BB694E">
              <w:t>3.0%</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Gastroenteritis viral</w:t>
            </w:r>
          </w:p>
        </w:tc>
        <w:tc>
          <w:tcPr>
            <w:tcW w:w="0" w:type="auto"/>
            <w:shd w:val="clear" w:color="auto" w:fill="auto"/>
            <w:vAlign w:val="bottom"/>
          </w:tcPr>
          <w:p w:rsidR="003557D6" w:rsidRPr="00BB694E" w:rsidRDefault="003557D6" w:rsidP="007219BF">
            <w:pPr>
              <w:pStyle w:val="TblTextCenter"/>
            </w:pPr>
            <w:r w:rsidRPr="00BB694E">
              <w:t>0.7%</w:t>
            </w:r>
          </w:p>
        </w:tc>
        <w:tc>
          <w:tcPr>
            <w:tcW w:w="0" w:type="auto"/>
            <w:shd w:val="clear" w:color="auto" w:fill="auto"/>
            <w:vAlign w:val="bottom"/>
          </w:tcPr>
          <w:p w:rsidR="003557D6" w:rsidRPr="00BB694E" w:rsidRDefault="003557D6" w:rsidP="007219BF">
            <w:pPr>
              <w:pStyle w:val="TblTextCenter"/>
            </w:pPr>
            <w:r w:rsidRPr="00BB694E">
              <w:t>1.3%</w:t>
            </w:r>
          </w:p>
        </w:tc>
      </w:tr>
      <w:tr w:rsidR="00BB694E" w:rsidRPr="00BB694E" w:rsidTr="00181601">
        <w:trPr>
          <w:cantSplit/>
          <w:trHeight w:val="333"/>
          <w:jc w:val="center"/>
        </w:trPr>
        <w:tc>
          <w:tcPr>
            <w:tcW w:w="0" w:type="auto"/>
            <w:shd w:val="clear" w:color="auto" w:fill="auto"/>
            <w:vAlign w:val="bottom"/>
          </w:tcPr>
          <w:p w:rsidR="003557D6" w:rsidRPr="00BB694E" w:rsidRDefault="003557D6" w:rsidP="007219BF">
            <w:pPr>
              <w:pStyle w:val="TblTextCenter"/>
              <w:jc w:val="left"/>
            </w:pPr>
            <w:r w:rsidRPr="00BB694E">
              <w:t>Pneumonia</w:t>
            </w:r>
          </w:p>
        </w:tc>
        <w:tc>
          <w:tcPr>
            <w:tcW w:w="0" w:type="auto"/>
            <w:shd w:val="clear" w:color="auto" w:fill="auto"/>
            <w:vAlign w:val="bottom"/>
          </w:tcPr>
          <w:p w:rsidR="003557D6" w:rsidRPr="00BB694E" w:rsidRDefault="003557D6" w:rsidP="007219BF">
            <w:pPr>
              <w:pStyle w:val="TblTextCenter"/>
            </w:pPr>
            <w:r w:rsidRPr="00BB694E">
              <w:t>1.1%</w:t>
            </w:r>
          </w:p>
        </w:tc>
        <w:tc>
          <w:tcPr>
            <w:tcW w:w="0" w:type="auto"/>
            <w:shd w:val="clear" w:color="auto" w:fill="auto"/>
            <w:vAlign w:val="bottom"/>
          </w:tcPr>
          <w:p w:rsidR="003557D6" w:rsidRPr="00BB694E" w:rsidRDefault="003557D6" w:rsidP="007219BF">
            <w:pPr>
              <w:pStyle w:val="TblTextCenter"/>
            </w:pPr>
            <w:r w:rsidRPr="00BB694E">
              <w:t>1.3%</w:t>
            </w:r>
          </w:p>
        </w:tc>
      </w:tr>
      <w:tr w:rsidR="00BB694E" w:rsidRPr="00BB694E" w:rsidTr="00181601">
        <w:trPr>
          <w:cantSplit/>
          <w:jc w:val="center"/>
        </w:trPr>
        <w:tc>
          <w:tcPr>
            <w:tcW w:w="0" w:type="auto"/>
            <w:shd w:val="clear" w:color="auto" w:fill="auto"/>
          </w:tcPr>
          <w:p w:rsidR="003557D6" w:rsidRPr="00BB694E" w:rsidRDefault="003557D6" w:rsidP="007219BF">
            <w:pPr>
              <w:pStyle w:val="TblTextCenter"/>
              <w:jc w:val="left"/>
            </w:pPr>
            <w:r w:rsidRPr="00BB694E">
              <w:t>Pharyngitis</w:t>
            </w:r>
          </w:p>
        </w:tc>
        <w:tc>
          <w:tcPr>
            <w:tcW w:w="0" w:type="auto"/>
            <w:shd w:val="clear" w:color="auto" w:fill="auto"/>
            <w:vAlign w:val="bottom"/>
          </w:tcPr>
          <w:p w:rsidR="003557D6" w:rsidRPr="00BB694E" w:rsidRDefault="003557D6" w:rsidP="007219BF">
            <w:pPr>
              <w:pStyle w:val="TblTextCenter"/>
            </w:pPr>
            <w:r w:rsidRPr="00BB694E">
              <w:t>0.8%</w:t>
            </w:r>
          </w:p>
        </w:tc>
        <w:tc>
          <w:tcPr>
            <w:tcW w:w="0" w:type="auto"/>
            <w:shd w:val="clear" w:color="auto" w:fill="auto"/>
            <w:vAlign w:val="bottom"/>
          </w:tcPr>
          <w:p w:rsidR="003557D6" w:rsidRPr="00BB694E" w:rsidRDefault="003557D6" w:rsidP="007219BF">
            <w:pPr>
              <w:pStyle w:val="TblTextCenter"/>
            </w:pPr>
            <w:r w:rsidRPr="00BB694E">
              <w:t>1.1%</w:t>
            </w:r>
          </w:p>
        </w:tc>
      </w:tr>
      <w:tr w:rsidR="00BB694E" w:rsidRPr="00BB694E" w:rsidTr="00181601">
        <w:trPr>
          <w:cantSplit/>
          <w:jc w:val="center"/>
        </w:trPr>
        <w:tc>
          <w:tcPr>
            <w:tcW w:w="0" w:type="auto"/>
            <w:shd w:val="clear" w:color="auto" w:fill="auto"/>
          </w:tcPr>
          <w:p w:rsidR="003557D6" w:rsidRPr="00BB694E" w:rsidRDefault="003557D6" w:rsidP="007219BF">
            <w:pPr>
              <w:pStyle w:val="TblTextCenter"/>
              <w:jc w:val="left"/>
            </w:pPr>
            <w:r w:rsidRPr="00BB694E">
              <w:t>Cellulitis</w:t>
            </w:r>
          </w:p>
        </w:tc>
        <w:tc>
          <w:tcPr>
            <w:tcW w:w="0" w:type="auto"/>
            <w:shd w:val="clear" w:color="auto" w:fill="auto"/>
            <w:vAlign w:val="bottom"/>
          </w:tcPr>
          <w:p w:rsidR="003557D6" w:rsidRPr="00BB694E" w:rsidRDefault="003557D6" w:rsidP="007219BF">
            <w:pPr>
              <w:pStyle w:val="TblTextCenter"/>
            </w:pPr>
            <w:r w:rsidRPr="00BB694E">
              <w:t>0.8%</w:t>
            </w:r>
          </w:p>
        </w:tc>
        <w:tc>
          <w:tcPr>
            <w:tcW w:w="0" w:type="auto"/>
            <w:shd w:val="clear" w:color="auto" w:fill="auto"/>
            <w:vAlign w:val="bottom"/>
          </w:tcPr>
          <w:p w:rsidR="003557D6" w:rsidRPr="00BB694E" w:rsidRDefault="003557D6" w:rsidP="007219BF">
            <w:pPr>
              <w:pStyle w:val="TblTextCenter"/>
            </w:pPr>
            <w:r w:rsidRPr="00BB694E">
              <w:t>1.0%</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Psychiatric disorders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Insomnia</w:t>
            </w:r>
          </w:p>
        </w:tc>
        <w:tc>
          <w:tcPr>
            <w:tcW w:w="0" w:type="auto"/>
            <w:shd w:val="clear" w:color="auto" w:fill="auto"/>
            <w:vAlign w:val="bottom"/>
          </w:tcPr>
          <w:p w:rsidR="003557D6" w:rsidRPr="00BB694E" w:rsidRDefault="003557D6" w:rsidP="007219BF">
            <w:pPr>
              <w:pStyle w:val="TblTextCenter"/>
            </w:pPr>
            <w:r w:rsidRPr="00BB694E">
              <w:t>1.3%</w:t>
            </w:r>
          </w:p>
        </w:tc>
        <w:tc>
          <w:tcPr>
            <w:tcW w:w="0" w:type="auto"/>
            <w:shd w:val="clear" w:color="auto" w:fill="auto"/>
            <w:vAlign w:val="bottom"/>
          </w:tcPr>
          <w:p w:rsidR="003557D6" w:rsidRPr="00BB694E" w:rsidRDefault="003557D6" w:rsidP="007219BF">
            <w:pPr>
              <w:pStyle w:val="TblTextCenter"/>
            </w:pPr>
            <w:r w:rsidRPr="00BB694E">
              <w:t>1.4%</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Respiratory, thoracic and mediastinal disorders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Cough</w:t>
            </w:r>
          </w:p>
        </w:tc>
        <w:tc>
          <w:tcPr>
            <w:tcW w:w="0" w:type="auto"/>
            <w:shd w:val="clear" w:color="auto" w:fill="auto"/>
            <w:vAlign w:val="bottom"/>
          </w:tcPr>
          <w:p w:rsidR="003557D6" w:rsidRPr="00BB694E" w:rsidRDefault="003557D6" w:rsidP="007219BF">
            <w:pPr>
              <w:pStyle w:val="TblTextCenter"/>
            </w:pPr>
            <w:r w:rsidRPr="00BB694E">
              <w:t>2.3%</w:t>
            </w:r>
          </w:p>
        </w:tc>
        <w:tc>
          <w:tcPr>
            <w:tcW w:w="0" w:type="auto"/>
            <w:shd w:val="clear" w:color="auto" w:fill="auto"/>
            <w:vAlign w:val="bottom"/>
          </w:tcPr>
          <w:p w:rsidR="003557D6" w:rsidRPr="00BB694E" w:rsidRDefault="003557D6" w:rsidP="007219BF">
            <w:pPr>
              <w:pStyle w:val="TblTextCenter"/>
            </w:pPr>
            <w:r w:rsidRPr="00BB694E">
              <w:t>2.5%</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Oropharyngeal pain</w:t>
            </w:r>
          </w:p>
        </w:tc>
        <w:tc>
          <w:tcPr>
            <w:tcW w:w="0" w:type="auto"/>
            <w:shd w:val="clear" w:color="auto" w:fill="auto"/>
            <w:vAlign w:val="bottom"/>
          </w:tcPr>
          <w:p w:rsidR="003557D6" w:rsidRPr="00BB694E" w:rsidRDefault="003557D6" w:rsidP="007219BF">
            <w:pPr>
              <w:pStyle w:val="TblTextCenter"/>
            </w:pPr>
            <w:r w:rsidRPr="00BB694E">
              <w:t>0.5%</w:t>
            </w:r>
          </w:p>
        </w:tc>
        <w:tc>
          <w:tcPr>
            <w:tcW w:w="0" w:type="auto"/>
            <w:shd w:val="clear" w:color="auto" w:fill="auto"/>
            <w:vAlign w:val="bottom"/>
          </w:tcPr>
          <w:p w:rsidR="003557D6" w:rsidRPr="00BB694E" w:rsidRDefault="003557D6" w:rsidP="007219BF">
            <w:pPr>
              <w:pStyle w:val="TblTextCenter"/>
            </w:pPr>
            <w:r w:rsidRPr="00BB694E">
              <w:t>1.2%</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Metabolism and nutrition disorders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Diabetes mellitus</w:t>
            </w:r>
          </w:p>
        </w:tc>
        <w:tc>
          <w:tcPr>
            <w:tcW w:w="0" w:type="auto"/>
            <w:shd w:val="clear" w:color="auto" w:fill="auto"/>
            <w:vAlign w:val="bottom"/>
          </w:tcPr>
          <w:p w:rsidR="003557D6" w:rsidRPr="00BB694E" w:rsidRDefault="003557D6" w:rsidP="007219BF">
            <w:pPr>
              <w:pStyle w:val="TblTextCenter"/>
            </w:pPr>
            <w:r w:rsidRPr="00BB694E">
              <w:t>1.1%</w:t>
            </w:r>
          </w:p>
        </w:tc>
        <w:tc>
          <w:tcPr>
            <w:tcW w:w="0" w:type="auto"/>
            <w:shd w:val="clear" w:color="auto" w:fill="auto"/>
            <w:vAlign w:val="bottom"/>
          </w:tcPr>
          <w:p w:rsidR="003557D6" w:rsidRPr="00BB694E" w:rsidRDefault="003557D6" w:rsidP="007219BF">
            <w:pPr>
              <w:pStyle w:val="TblTextCenter"/>
            </w:pPr>
            <w:r w:rsidRPr="00BB694E">
              <w:t>1.3%</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Type 2 diabetes mellitus</w:t>
            </w:r>
          </w:p>
        </w:tc>
        <w:tc>
          <w:tcPr>
            <w:tcW w:w="0" w:type="auto"/>
            <w:shd w:val="clear" w:color="auto" w:fill="auto"/>
            <w:vAlign w:val="bottom"/>
          </w:tcPr>
          <w:p w:rsidR="003557D6" w:rsidRPr="00BB694E" w:rsidRDefault="003557D6" w:rsidP="007219BF">
            <w:pPr>
              <w:pStyle w:val="TblTextCenter"/>
            </w:pPr>
            <w:r w:rsidRPr="00BB694E">
              <w:t>0.9%</w:t>
            </w:r>
          </w:p>
        </w:tc>
        <w:tc>
          <w:tcPr>
            <w:tcW w:w="0" w:type="auto"/>
            <w:shd w:val="clear" w:color="auto" w:fill="auto"/>
            <w:vAlign w:val="bottom"/>
          </w:tcPr>
          <w:p w:rsidR="003557D6" w:rsidRPr="00BB694E" w:rsidRDefault="003557D6" w:rsidP="007219BF">
            <w:pPr>
              <w:pStyle w:val="TblTextCenter"/>
            </w:pPr>
            <w:r w:rsidRPr="00BB694E">
              <w:t>1.3%</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Gout</w:t>
            </w:r>
          </w:p>
        </w:tc>
        <w:tc>
          <w:tcPr>
            <w:tcW w:w="0" w:type="auto"/>
            <w:shd w:val="clear" w:color="auto" w:fill="auto"/>
            <w:vAlign w:val="bottom"/>
          </w:tcPr>
          <w:p w:rsidR="003557D6" w:rsidRPr="00BB694E" w:rsidRDefault="003557D6" w:rsidP="007219BF">
            <w:pPr>
              <w:pStyle w:val="TblTextCenter"/>
            </w:pPr>
            <w:r w:rsidRPr="00BB694E">
              <w:t>0.9%</w:t>
            </w:r>
          </w:p>
        </w:tc>
        <w:tc>
          <w:tcPr>
            <w:tcW w:w="0" w:type="auto"/>
            <w:shd w:val="clear" w:color="auto" w:fill="auto"/>
            <w:vAlign w:val="bottom"/>
          </w:tcPr>
          <w:p w:rsidR="003557D6" w:rsidRPr="00BB694E" w:rsidRDefault="003557D6" w:rsidP="007219BF">
            <w:pPr>
              <w:pStyle w:val="TblTextCenter"/>
            </w:pPr>
            <w:r w:rsidRPr="00BB694E">
              <w:t>1.1%</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Gastrointestinal disorders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trHeight w:val="387"/>
          <w:jc w:val="center"/>
        </w:trPr>
        <w:tc>
          <w:tcPr>
            <w:tcW w:w="0" w:type="auto"/>
            <w:shd w:val="clear" w:color="auto" w:fill="auto"/>
            <w:vAlign w:val="bottom"/>
          </w:tcPr>
          <w:p w:rsidR="003557D6" w:rsidRPr="00BB694E" w:rsidRDefault="003557D6" w:rsidP="007219BF">
            <w:pPr>
              <w:pStyle w:val="TblTextCenter"/>
              <w:jc w:val="left"/>
            </w:pPr>
            <w:proofErr w:type="spellStart"/>
            <w:r w:rsidRPr="00BB694E">
              <w:t>Diarrhoea</w:t>
            </w:r>
            <w:proofErr w:type="spellEnd"/>
          </w:p>
        </w:tc>
        <w:tc>
          <w:tcPr>
            <w:tcW w:w="0" w:type="auto"/>
            <w:shd w:val="clear" w:color="auto" w:fill="auto"/>
            <w:vAlign w:val="bottom"/>
          </w:tcPr>
          <w:p w:rsidR="003557D6" w:rsidRPr="00BB694E" w:rsidRDefault="003557D6" w:rsidP="007219BF">
            <w:pPr>
              <w:pStyle w:val="TblTextCenter"/>
            </w:pPr>
            <w:r w:rsidRPr="00BB694E">
              <w:t>4.4%</w:t>
            </w:r>
          </w:p>
        </w:tc>
        <w:tc>
          <w:tcPr>
            <w:tcW w:w="0" w:type="auto"/>
            <w:shd w:val="clear" w:color="auto" w:fill="auto"/>
            <w:vAlign w:val="bottom"/>
          </w:tcPr>
          <w:p w:rsidR="003557D6" w:rsidRPr="00BB694E" w:rsidRDefault="003557D6" w:rsidP="007219BF">
            <w:pPr>
              <w:pStyle w:val="TblTextCenter"/>
            </w:pPr>
            <w:r w:rsidRPr="00BB694E">
              <w:t>4.7%</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Constipation</w:t>
            </w:r>
          </w:p>
        </w:tc>
        <w:tc>
          <w:tcPr>
            <w:tcW w:w="0" w:type="auto"/>
            <w:shd w:val="clear" w:color="auto" w:fill="auto"/>
            <w:vAlign w:val="bottom"/>
          </w:tcPr>
          <w:p w:rsidR="003557D6" w:rsidRPr="00BB694E" w:rsidRDefault="003557D6" w:rsidP="007219BF">
            <w:pPr>
              <w:pStyle w:val="TblTextCenter"/>
            </w:pPr>
            <w:r w:rsidRPr="00BB694E">
              <w:t>1.5%</w:t>
            </w:r>
          </w:p>
        </w:tc>
        <w:tc>
          <w:tcPr>
            <w:tcW w:w="0" w:type="auto"/>
            <w:shd w:val="clear" w:color="auto" w:fill="auto"/>
            <w:vAlign w:val="bottom"/>
          </w:tcPr>
          <w:p w:rsidR="003557D6" w:rsidRPr="00BB694E" w:rsidRDefault="003557D6" w:rsidP="007219BF">
            <w:pPr>
              <w:pStyle w:val="TblTextCenter"/>
            </w:pPr>
            <w:r w:rsidRPr="00BB694E">
              <w:t>1.7%</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Abdominal pain</w:t>
            </w:r>
          </w:p>
        </w:tc>
        <w:tc>
          <w:tcPr>
            <w:tcW w:w="0" w:type="auto"/>
            <w:shd w:val="clear" w:color="auto" w:fill="auto"/>
            <w:vAlign w:val="bottom"/>
          </w:tcPr>
          <w:p w:rsidR="003557D6" w:rsidRPr="00BB694E" w:rsidRDefault="003557D6" w:rsidP="007219BF">
            <w:pPr>
              <w:pStyle w:val="TblTextCenter"/>
            </w:pPr>
            <w:r w:rsidRPr="00BB694E">
              <w:t>1.3%</w:t>
            </w:r>
          </w:p>
        </w:tc>
        <w:tc>
          <w:tcPr>
            <w:tcW w:w="0" w:type="auto"/>
            <w:shd w:val="clear" w:color="auto" w:fill="auto"/>
            <w:vAlign w:val="bottom"/>
          </w:tcPr>
          <w:p w:rsidR="003557D6" w:rsidRPr="00BB694E" w:rsidRDefault="003557D6" w:rsidP="007219BF">
            <w:pPr>
              <w:pStyle w:val="TblTextCenter"/>
            </w:pPr>
            <w:r w:rsidRPr="00BB694E">
              <w:t>1.6%</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Abdominal pain upper</w:t>
            </w:r>
          </w:p>
        </w:tc>
        <w:tc>
          <w:tcPr>
            <w:tcW w:w="0" w:type="auto"/>
            <w:shd w:val="clear" w:color="auto" w:fill="auto"/>
            <w:vAlign w:val="bottom"/>
          </w:tcPr>
          <w:p w:rsidR="003557D6" w:rsidRPr="00BB694E" w:rsidRDefault="003557D6" w:rsidP="007219BF">
            <w:pPr>
              <w:pStyle w:val="TblTextCenter"/>
            </w:pPr>
            <w:r w:rsidRPr="00BB694E">
              <w:t>0.8%</w:t>
            </w:r>
          </w:p>
        </w:tc>
        <w:tc>
          <w:tcPr>
            <w:tcW w:w="0" w:type="auto"/>
            <w:shd w:val="clear" w:color="auto" w:fill="auto"/>
            <w:vAlign w:val="bottom"/>
          </w:tcPr>
          <w:p w:rsidR="003557D6" w:rsidRPr="00BB694E" w:rsidRDefault="003557D6" w:rsidP="007219BF">
            <w:pPr>
              <w:pStyle w:val="TblTextCenter"/>
            </w:pPr>
            <w:r w:rsidRPr="00BB694E">
              <w:t>1.1%</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Skin and subcutaneous tissue disorders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lastRenderedPageBreak/>
              <w:t>Pruritus</w:t>
            </w:r>
          </w:p>
        </w:tc>
        <w:tc>
          <w:tcPr>
            <w:tcW w:w="0" w:type="auto"/>
            <w:shd w:val="clear" w:color="auto" w:fill="auto"/>
            <w:vAlign w:val="bottom"/>
          </w:tcPr>
          <w:p w:rsidR="003557D6" w:rsidRPr="00BB694E" w:rsidRDefault="003557D6" w:rsidP="007219BF">
            <w:pPr>
              <w:pStyle w:val="TblTextCenter"/>
            </w:pPr>
            <w:r w:rsidRPr="00BB694E">
              <w:t>0.4%</w:t>
            </w:r>
          </w:p>
        </w:tc>
        <w:tc>
          <w:tcPr>
            <w:tcW w:w="0" w:type="auto"/>
            <w:shd w:val="clear" w:color="auto" w:fill="auto"/>
            <w:vAlign w:val="bottom"/>
          </w:tcPr>
          <w:p w:rsidR="003557D6" w:rsidRPr="00BB694E" w:rsidRDefault="003557D6" w:rsidP="007219BF">
            <w:pPr>
              <w:pStyle w:val="TblTextCenter"/>
            </w:pPr>
            <w:r w:rsidRPr="00BB694E">
              <w:t>1.1%</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Musculoskeletal and connective tissue disorders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Myalgia</w:t>
            </w:r>
          </w:p>
        </w:tc>
        <w:tc>
          <w:tcPr>
            <w:tcW w:w="0" w:type="auto"/>
            <w:shd w:val="clear" w:color="auto" w:fill="auto"/>
            <w:vAlign w:val="bottom"/>
          </w:tcPr>
          <w:p w:rsidR="003557D6" w:rsidRPr="00BB694E" w:rsidRDefault="003557D6" w:rsidP="007219BF">
            <w:pPr>
              <w:pStyle w:val="TblTextCenter"/>
            </w:pPr>
            <w:r w:rsidRPr="00BB694E">
              <w:t>3.4%</w:t>
            </w:r>
          </w:p>
        </w:tc>
        <w:tc>
          <w:tcPr>
            <w:tcW w:w="0" w:type="auto"/>
            <w:shd w:val="clear" w:color="auto" w:fill="auto"/>
            <w:vAlign w:val="bottom"/>
          </w:tcPr>
          <w:p w:rsidR="003557D6" w:rsidRPr="00BB694E" w:rsidRDefault="003557D6" w:rsidP="007219BF">
            <w:pPr>
              <w:pStyle w:val="TblTextCenter"/>
            </w:pPr>
            <w:r w:rsidRPr="00BB694E">
              <w:t>4.2%</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Muscle spasms</w:t>
            </w:r>
          </w:p>
        </w:tc>
        <w:tc>
          <w:tcPr>
            <w:tcW w:w="0" w:type="auto"/>
            <w:shd w:val="clear" w:color="auto" w:fill="auto"/>
            <w:vAlign w:val="bottom"/>
          </w:tcPr>
          <w:p w:rsidR="003557D6" w:rsidRPr="00BB694E" w:rsidRDefault="003557D6" w:rsidP="007219BF">
            <w:pPr>
              <w:pStyle w:val="TblTextCenter"/>
            </w:pPr>
            <w:r w:rsidRPr="00BB694E">
              <w:t>2.4%</w:t>
            </w:r>
          </w:p>
        </w:tc>
        <w:tc>
          <w:tcPr>
            <w:tcW w:w="0" w:type="auto"/>
            <w:shd w:val="clear" w:color="auto" w:fill="auto"/>
            <w:vAlign w:val="bottom"/>
          </w:tcPr>
          <w:p w:rsidR="003557D6" w:rsidRPr="00BB694E" w:rsidRDefault="003557D6" w:rsidP="007219BF">
            <w:pPr>
              <w:pStyle w:val="TblTextCenter"/>
            </w:pPr>
            <w:r w:rsidRPr="00BB694E">
              <w:t>3.1%</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Musculoskeletal pain</w:t>
            </w:r>
          </w:p>
        </w:tc>
        <w:tc>
          <w:tcPr>
            <w:tcW w:w="0" w:type="auto"/>
            <w:shd w:val="clear" w:color="auto" w:fill="auto"/>
            <w:vAlign w:val="bottom"/>
          </w:tcPr>
          <w:p w:rsidR="003557D6" w:rsidRPr="00BB694E" w:rsidRDefault="003557D6" w:rsidP="007219BF">
            <w:pPr>
              <w:pStyle w:val="TblTextCenter"/>
            </w:pPr>
            <w:r w:rsidRPr="00BB694E">
              <w:t>1.6%</w:t>
            </w:r>
          </w:p>
        </w:tc>
        <w:tc>
          <w:tcPr>
            <w:tcW w:w="0" w:type="auto"/>
            <w:shd w:val="clear" w:color="auto" w:fill="auto"/>
            <w:vAlign w:val="bottom"/>
          </w:tcPr>
          <w:p w:rsidR="003557D6" w:rsidRPr="00BB694E" w:rsidRDefault="003557D6" w:rsidP="007219BF">
            <w:pPr>
              <w:pStyle w:val="TblTextCenter"/>
            </w:pPr>
            <w:r w:rsidRPr="00BB694E">
              <w:t>2.1%</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Cardiac disorders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Angina unstable</w:t>
            </w:r>
          </w:p>
        </w:tc>
        <w:tc>
          <w:tcPr>
            <w:tcW w:w="0" w:type="auto"/>
            <w:shd w:val="clear" w:color="auto" w:fill="auto"/>
            <w:vAlign w:val="bottom"/>
          </w:tcPr>
          <w:p w:rsidR="003557D6" w:rsidRPr="00BB694E" w:rsidRDefault="003557D6" w:rsidP="007219BF">
            <w:pPr>
              <w:pStyle w:val="TblTextCenter"/>
            </w:pPr>
            <w:r w:rsidRPr="00BB694E">
              <w:t>0.9%</w:t>
            </w:r>
          </w:p>
        </w:tc>
        <w:tc>
          <w:tcPr>
            <w:tcW w:w="0" w:type="auto"/>
            <w:shd w:val="clear" w:color="auto" w:fill="auto"/>
            <w:vAlign w:val="bottom"/>
          </w:tcPr>
          <w:p w:rsidR="003557D6" w:rsidRPr="00BB694E" w:rsidRDefault="003557D6" w:rsidP="007219BF">
            <w:pPr>
              <w:pStyle w:val="TblTextCenter"/>
            </w:pPr>
            <w:r w:rsidRPr="00BB694E">
              <w:t>1.2%</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Vascular disorders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Hypertension</w:t>
            </w:r>
          </w:p>
        </w:tc>
        <w:tc>
          <w:tcPr>
            <w:tcW w:w="0" w:type="auto"/>
            <w:shd w:val="clear" w:color="auto" w:fill="auto"/>
            <w:vAlign w:val="bottom"/>
          </w:tcPr>
          <w:p w:rsidR="003557D6" w:rsidRPr="00BB694E" w:rsidRDefault="003557D6" w:rsidP="007219BF">
            <w:pPr>
              <w:pStyle w:val="TblTextCenter"/>
            </w:pPr>
            <w:r w:rsidRPr="00BB694E">
              <w:t>3.0%</w:t>
            </w:r>
          </w:p>
        </w:tc>
        <w:tc>
          <w:tcPr>
            <w:tcW w:w="0" w:type="auto"/>
            <w:shd w:val="clear" w:color="auto" w:fill="auto"/>
            <w:vAlign w:val="bottom"/>
          </w:tcPr>
          <w:p w:rsidR="003557D6" w:rsidRPr="00BB694E" w:rsidRDefault="003557D6" w:rsidP="007219BF">
            <w:pPr>
              <w:pStyle w:val="TblTextCenter"/>
            </w:pPr>
            <w:r w:rsidRPr="00BB694E">
              <w:t>3.1%</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General disorders and administration site conditions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Injection site reaction</w:t>
            </w:r>
          </w:p>
        </w:tc>
        <w:tc>
          <w:tcPr>
            <w:tcW w:w="0" w:type="auto"/>
            <w:shd w:val="clear" w:color="auto" w:fill="auto"/>
            <w:vAlign w:val="bottom"/>
          </w:tcPr>
          <w:p w:rsidR="003557D6" w:rsidRPr="00BB694E" w:rsidRDefault="003557D6" w:rsidP="007219BF">
            <w:pPr>
              <w:pStyle w:val="TblTextCenter"/>
            </w:pPr>
            <w:r w:rsidRPr="00BB694E">
              <w:t>5.1%</w:t>
            </w:r>
          </w:p>
        </w:tc>
        <w:tc>
          <w:tcPr>
            <w:tcW w:w="0" w:type="auto"/>
            <w:shd w:val="clear" w:color="auto" w:fill="auto"/>
            <w:vAlign w:val="bottom"/>
          </w:tcPr>
          <w:p w:rsidR="003557D6" w:rsidRPr="00BB694E" w:rsidRDefault="003557D6" w:rsidP="007219BF">
            <w:pPr>
              <w:pStyle w:val="TblTextCenter"/>
            </w:pPr>
            <w:r w:rsidRPr="00BB694E">
              <w:t>7.2%</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proofErr w:type="spellStart"/>
            <w:r w:rsidRPr="00BB694E">
              <w:t>Oedema</w:t>
            </w:r>
            <w:proofErr w:type="spellEnd"/>
            <w:r w:rsidRPr="00BB694E">
              <w:t xml:space="preserve"> peripheral</w:t>
            </w:r>
          </w:p>
        </w:tc>
        <w:tc>
          <w:tcPr>
            <w:tcW w:w="0" w:type="auto"/>
            <w:shd w:val="clear" w:color="auto" w:fill="auto"/>
            <w:vAlign w:val="bottom"/>
          </w:tcPr>
          <w:p w:rsidR="003557D6" w:rsidRPr="00BB694E" w:rsidRDefault="003557D6" w:rsidP="007219BF">
            <w:pPr>
              <w:pStyle w:val="TblTextCenter"/>
            </w:pPr>
            <w:r w:rsidRPr="00BB694E">
              <w:t>0.9%</w:t>
            </w:r>
          </w:p>
        </w:tc>
        <w:tc>
          <w:tcPr>
            <w:tcW w:w="0" w:type="auto"/>
            <w:shd w:val="clear" w:color="auto" w:fill="auto"/>
            <w:vAlign w:val="bottom"/>
          </w:tcPr>
          <w:p w:rsidR="003557D6" w:rsidRPr="00BB694E" w:rsidRDefault="003557D6" w:rsidP="007219BF">
            <w:pPr>
              <w:pStyle w:val="TblTextCenter"/>
            </w:pPr>
            <w:r w:rsidRPr="00BB694E">
              <w:t>1.3%</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Investigations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Alanine aminotransferase increased</w:t>
            </w:r>
          </w:p>
        </w:tc>
        <w:tc>
          <w:tcPr>
            <w:tcW w:w="0" w:type="auto"/>
            <w:shd w:val="clear" w:color="auto" w:fill="auto"/>
            <w:vAlign w:val="bottom"/>
          </w:tcPr>
          <w:p w:rsidR="003557D6" w:rsidRPr="00BB694E" w:rsidRDefault="003557D6" w:rsidP="007219BF">
            <w:pPr>
              <w:pStyle w:val="TblTextCenter"/>
            </w:pPr>
            <w:r w:rsidRPr="00BB694E">
              <w:t>0.7%</w:t>
            </w:r>
          </w:p>
        </w:tc>
        <w:tc>
          <w:tcPr>
            <w:tcW w:w="0" w:type="auto"/>
            <w:shd w:val="clear" w:color="auto" w:fill="auto"/>
            <w:vAlign w:val="bottom"/>
          </w:tcPr>
          <w:p w:rsidR="003557D6" w:rsidRPr="00BB694E" w:rsidRDefault="003557D6" w:rsidP="007219BF">
            <w:pPr>
              <w:pStyle w:val="TblTextCenter"/>
            </w:pPr>
            <w:r w:rsidRPr="00BB694E">
              <w:t>1.1%</w:t>
            </w: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rPr>
                <w:b/>
              </w:rPr>
            </w:pPr>
            <w:r w:rsidRPr="00BB694E">
              <w:rPr>
                <w:b/>
              </w:rPr>
              <w:t>Injury, poisoning and procedural complications</w:t>
            </w:r>
          </w:p>
        </w:tc>
        <w:tc>
          <w:tcPr>
            <w:tcW w:w="0" w:type="auto"/>
            <w:shd w:val="clear" w:color="auto" w:fill="auto"/>
            <w:vAlign w:val="bottom"/>
          </w:tcPr>
          <w:p w:rsidR="003557D6" w:rsidRPr="00BB694E" w:rsidRDefault="003557D6" w:rsidP="007219BF">
            <w:pPr>
              <w:pStyle w:val="TblTextCenter"/>
            </w:pPr>
          </w:p>
        </w:tc>
        <w:tc>
          <w:tcPr>
            <w:tcW w:w="0" w:type="auto"/>
            <w:shd w:val="clear" w:color="auto" w:fill="auto"/>
            <w:vAlign w:val="bottom"/>
          </w:tcPr>
          <w:p w:rsidR="003557D6" w:rsidRPr="00BB694E" w:rsidRDefault="003557D6" w:rsidP="007219BF">
            <w:pPr>
              <w:pStyle w:val="TblTextCenter"/>
            </w:pPr>
          </w:p>
        </w:tc>
      </w:tr>
      <w:tr w:rsidR="00BB694E" w:rsidRPr="00BB694E" w:rsidTr="00181601">
        <w:trPr>
          <w:cantSplit/>
          <w:jc w:val="center"/>
        </w:trPr>
        <w:tc>
          <w:tcPr>
            <w:tcW w:w="0" w:type="auto"/>
            <w:shd w:val="clear" w:color="auto" w:fill="auto"/>
            <w:vAlign w:val="bottom"/>
          </w:tcPr>
          <w:p w:rsidR="003557D6" w:rsidRPr="00BB694E" w:rsidRDefault="003557D6" w:rsidP="007219BF">
            <w:pPr>
              <w:pStyle w:val="TblTextCenter"/>
              <w:jc w:val="left"/>
            </w:pPr>
            <w:r w:rsidRPr="00BB694E">
              <w:t>Contusion</w:t>
            </w:r>
          </w:p>
        </w:tc>
        <w:tc>
          <w:tcPr>
            <w:tcW w:w="0" w:type="auto"/>
            <w:shd w:val="clear" w:color="auto" w:fill="auto"/>
            <w:vAlign w:val="bottom"/>
          </w:tcPr>
          <w:p w:rsidR="003557D6" w:rsidRPr="00BB694E" w:rsidRDefault="003557D6" w:rsidP="007219BF">
            <w:pPr>
              <w:pStyle w:val="TblTextCenter"/>
            </w:pPr>
            <w:r w:rsidRPr="00BB694E">
              <w:t>1.3%</w:t>
            </w:r>
          </w:p>
        </w:tc>
        <w:tc>
          <w:tcPr>
            <w:tcW w:w="0" w:type="auto"/>
            <w:shd w:val="clear" w:color="auto" w:fill="auto"/>
            <w:vAlign w:val="bottom"/>
          </w:tcPr>
          <w:p w:rsidR="003557D6" w:rsidRPr="00BB694E" w:rsidRDefault="003557D6" w:rsidP="007219BF">
            <w:pPr>
              <w:pStyle w:val="TblTextCenter"/>
            </w:pPr>
            <w:r w:rsidRPr="00BB694E">
              <w:t>2.1%</w:t>
            </w:r>
          </w:p>
        </w:tc>
      </w:tr>
    </w:tbl>
    <w:p w:rsidR="00E833DF" w:rsidRDefault="00E833DF" w:rsidP="00E833DF">
      <w:pPr>
        <w:pStyle w:val="Heading5"/>
        <w:numPr>
          <w:ilvl w:val="0"/>
          <w:numId w:val="0"/>
        </w:numPr>
        <w:ind w:left="1009" w:hanging="1009"/>
      </w:pPr>
      <w:r>
        <w:t>Local injection site reactions</w:t>
      </w:r>
    </w:p>
    <w:p w:rsidR="00E833DF" w:rsidRDefault="00E833DF" w:rsidP="00E833DF">
      <w:r>
        <w:t>Local injection site reactions, including erythema/redness, swelling,</w:t>
      </w:r>
      <w:r w:rsidRPr="00803B3A">
        <w:rPr>
          <w:color w:val="auto"/>
        </w:rPr>
        <w:t xml:space="preserve"> </w:t>
      </w:r>
      <w:r w:rsidR="00927575" w:rsidRPr="00803B3A">
        <w:rPr>
          <w:color w:val="auto"/>
        </w:rPr>
        <w:t xml:space="preserve">and </w:t>
      </w:r>
      <w:r w:rsidRPr="00803B3A">
        <w:rPr>
          <w:color w:val="auto"/>
        </w:rPr>
        <w:t>pain</w:t>
      </w:r>
      <w:r w:rsidR="0017647E" w:rsidRPr="00803B3A">
        <w:rPr>
          <w:color w:val="auto"/>
        </w:rPr>
        <w:t>/tenderness</w:t>
      </w:r>
      <w:r>
        <w:t xml:space="preserve"> were reported in 6.1% of patients treated with </w:t>
      </w:r>
      <w:proofErr w:type="spellStart"/>
      <w:r>
        <w:t>alirocumab</w:t>
      </w:r>
      <w:proofErr w:type="spellEnd"/>
      <w:r>
        <w:t xml:space="preserve"> versus 4.1% in the control group. Most </w:t>
      </w:r>
      <w:r>
        <w:lastRenderedPageBreak/>
        <w:t xml:space="preserve">injection site reactions were transient and of mild intensity. The discontinuation rate due to local injection site reactions was comparable between the two groups (0.2% in the </w:t>
      </w:r>
      <w:proofErr w:type="spellStart"/>
      <w:r>
        <w:t>alirocumab</w:t>
      </w:r>
      <w:proofErr w:type="spellEnd"/>
      <w:r>
        <w:t xml:space="preserve"> group versus 0.3% in the control group).</w:t>
      </w:r>
    </w:p>
    <w:p w:rsidR="00E833DF" w:rsidRDefault="00E833DF" w:rsidP="00E833DF">
      <w:pPr>
        <w:pStyle w:val="Heading5"/>
        <w:numPr>
          <w:ilvl w:val="0"/>
          <w:numId w:val="0"/>
        </w:numPr>
        <w:ind w:left="1009" w:hanging="1009"/>
      </w:pPr>
      <w:r>
        <w:t>General allergic reactions</w:t>
      </w:r>
    </w:p>
    <w:p w:rsidR="00E833DF" w:rsidRDefault="00E833DF" w:rsidP="00E833DF">
      <w:r>
        <w:t xml:space="preserve">General allergic reactions were reported more frequently in the </w:t>
      </w:r>
      <w:proofErr w:type="spellStart"/>
      <w:r>
        <w:t>alirocumab</w:t>
      </w:r>
      <w:proofErr w:type="spellEnd"/>
      <w:r>
        <w:t xml:space="preserve"> group than in the control group, mainly due to a difference in the incidence of pruritus. The observed cases of pruritus were typically mild and transient. In addition, rare and sometimes serious allergic reactions such as hypersensitivity, nummular eczema, </w:t>
      </w:r>
      <w:proofErr w:type="spellStart"/>
      <w:r>
        <w:t>urticaria</w:t>
      </w:r>
      <w:proofErr w:type="spellEnd"/>
      <w:r>
        <w:t>, and hypersensitivity vasculitis have been reported in controlled clinical studies. (</w:t>
      </w:r>
      <w:proofErr w:type="gramStart"/>
      <w:r>
        <w:t>see</w:t>
      </w:r>
      <w:proofErr w:type="gramEnd"/>
      <w:r>
        <w:t xml:space="preserve"> PRECAUTIONS).</w:t>
      </w:r>
    </w:p>
    <w:p w:rsidR="00E833DF" w:rsidRDefault="00E833DF" w:rsidP="00E833DF">
      <w:pPr>
        <w:pStyle w:val="Heading5"/>
        <w:numPr>
          <w:ilvl w:val="0"/>
          <w:numId w:val="0"/>
        </w:numPr>
        <w:ind w:left="1009" w:hanging="1009"/>
      </w:pPr>
      <w:r>
        <w:t>LDL-C values &lt;</w:t>
      </w:r>
      <w:r w:rsidR="00E85A80">
        <w:t xml:space="preserve"> </w:t>
      </w:r>
      <w:r w:rsidR="008644CE">
        <w:t xml:space="preserve">0.65 </w:t>
      </w:r>
      <w:proofErr w:type="spellStart"/>
      <w:r w:rsidR="008644CE">
        <w:t>mmol</w:t>
      </w:r>
      <w:proofErr w:type="spellEnd"/>
      <w:r w:rsidR="008644CE">
        <w:t xml:space="preserve">/L </w:t>
      </w:r>
    </w:p>
    <w:p w:rsidR="00F9609C" w:rsidRPr="00803B3A" w:rsidRDefault="00E833DF" w:rsidP="00F9609C">
      <w:pPr>
        <w:rPr>
          <w:color w:val="auto"/>
        </w:rPr>
      </w:pPr>
      <w:r>
        <w:t xml:space="preserve">In pooled controlled studies, 796 of 3340 patients (23.8%) treated with </w:t>
      </w:r>
      <w:proofErr w:type="spellStart"/>
      <w:r>
        <w:t>Praluent</w:t>
      </w:r>
      <w:proofErr w:type="spellEnd"/>
      <w:r>
        <w:t xml:space="preserve"> had two consecutive values of LDL-C &lt;</w:t>
      </w:r>
      <w:r w:rsidR="00E85A80">
        <w:t xml:space="preserve"> </w:t>
      </w:r>
      <w:r w:rsidR="008644CE">
        <w:t xml:space="preserve">0.65 </w:t>
      </w:r>
      <w:proofErr w:type="spellStart"/>
      <w:r w:rsidR="008644CE">
        <w:t>mmol</w:t>
      </w:r>
      <w:proofErr w:type="spellEnd"/>
      <w:r w:rsidR="008644CE">
        <w:t>/L</w:t>
      </w:r>
      <w:r>
        <w:t>, including 288 patients (8.6%)</w:t>
      </w:r>
      <w:r w:rsidR="008644CE">
        <w:t xml:space="preserve"> with two consecutive values &lt;</w:t>
      </w:r>
      <w:r w:rsidR="00E85A80">
        <w:t xml:space="preserve"> </w:t>
      </w:r>
      <w:r w:rsidR="008644CE">
        <w:t xml:space="preserve">0.39 </w:t>
      </w:r>
      <w:proofErr w:type="spellStart"/>
      <w:r w:rsidR="008644CE">
        <w:t>mmol</w:t>
      </w:r>
      <w:proofErr w:type="spellEnd"/>
      <w:r w:rsidR="008644CE">
        <w:t>/L</w:t>
      </w:r>
      <w:r>
        <w:t xml:space="preserve">. These mostly </w:t>
      </w:r>
      <w:proofErr w:type="gramStart"/>
      <w:r>
        <w:t>occurred</w:t>
      </w:r>
      <w:proofErr w:type="gramEnd"/>
      <w:r>
        <w:t xml:space="preserve"> when patients were initiated and maintained on 150 mg </w:t>
      </w:r>
      <w:r w:rsidR="00CF2464">
        <w:t>once every 2 weeks</w:t>
      </w:r>
      <w:r>
        <w:t xml:space="preserve"> of </w:t>
      </w:r>
      <w:proofErr w:type="spellStart"/>
      <w:r>
        <w:t>Praluent</w:t>
      </w:r>
      <w:proofErr w:type="spellEnd"/>
      <w:r>
        <w:t xml:space="preserve"> regardless of the baseline LDL-C value or the response to treatment. No </w:t>
      </w:r>
      <w:r w:rsidR="00923B56" w:rsidRPr="00803B3A">
        <w:rPr>
          <w:color w:val="auto"/>
        </w:rPr>
        <w:t xml:space="preserve">adverse reaction </w:t>
      </w:r>
      <w:r w:rsidRPr="00803B3A">
        <w:rPr>
          <w:color w:val="auto"/>
        </w:rPr>
        <w:t>was identified related to these LDL-C values.</w:t>
      </w:r>
      <w:r w:rsidR="00F9609C" w:rsidRPr="00803B3A">
        <w:rPr>
          <w:color w:val="auto"/>
        </w:rPr>
        <w:t xml:space="preserve"> Although adverse consequences of very low LDL-C were not identified in clinical trials, the long term effects of very low levels of LDL-C induced by </w:t>
      </w:r>
      <w:proofErr w:type="spellStart"/>
      <w:r w:rsidR="00F9609C" w:rsidRPr="00803B3A">
        <w:rPr>
          <w:color w:val="auto"/>
        </w:rPr>
        <w:t>Praluent</w:t>
      </w:r>
      <w:proofErr w:type="spellEnd"/>
      <w:r w:rsidR="00F9609C" w:rsidRPr="00803B3A">
        <w:rPr>
          <w:color w:val="auto"/>
        </w:rPr>
        <w:t xml:space="preserve"> are unknown. </w:t>
      </w:r>
    </w:p>
    <w:p w:rsidR="00851013" w:rsidRDefault="00851013" w:rsidP="00851013">
      <w:pPr>
        <w:pStyle w:val="Heading5"/>
        <w:numPr>
          <w:ilvl w:val="0"/>
          <w:numId w:val="0"/>
        </w:numPr>
        <w:ind w:left="1009" w:hanging="1009"/>
      </w:pPr>
      <w:r w:rsidRPr="00851013">
        <w:t>Cardiovascular (CV) events</w:t>
      </w:r>
      <w:r w:rsidR="00CA0951">
        <w:t xml:space="preserve"> </w:t>
      </w:r>
    </w:p>
    <w:p w:rsidR="008C78BD" w:rsidRPr="009E5F60" w:rsidRDefault="008C78BD" w:rsidP="008C78BD">
      <w:pPr>
        <w:rPr>
          <w:color w:val="auto"/>
        </w:rPr>
      </w:pPr>
      <w:r>
        <w:t xml:space="preserve">A cardiovascular outcomes trial whose primary endpoint is adjudicated major adverse cardiovascular events (MACE, i.e. CHD death, myocardial infarction, ischemic stroke, and unstable angina requiring hospitalization) </w:t>
      </w:r>
      <w:r w:rsidRPr="00ED38FE">
        <w:rPr>
          <w:color w:val="auto"/>
        </w:rPr>
        <w:t>is ongoing</w:t>
      </w:r>
      <w:r w:rsidRPr="00ED38FE">
        <w:t>.</w:t>
      </w:r>
      <w:r w:rsidR="00ED38FE" w:rsidRPr="00ED38FE">
        <w:t xml:space="preserve"> </w:t>
      </w:r>
      <w:r w:rsidR="00ED38FE" w:rsidRPr="009E5F60">
        <w:rPr>
          <w:color w:val="auto"/>
        </w:rPr>
        <w:t xml:space="preserve">The effect of </w:t>
      </w:r>
      <w:proofErr w:type="spellStart"/>
      <w:r w:rsidR="00ED38FE" w:rsidRPr="009E5F60">
        <w:rPr>
          <w:color w:val="auto"/>
        </w:rPr>
        <w:t>Praluent</w:t>
      </w:r>
      <w:proofErr w:type="spellEnd"/>
      <w:r w:rsidR="00ED38FE" w:rsidRPr="009E5F60">
        <w:rPr>
          <w:color w:val="auto"/>
        </w:rPr>
        <w:t xml:space="preserve"> on cardiovascular morbidity and mortality has not yet been determined (see CLINICAL TRIALS).</w:t>
      </w:r>
    </w:p>
    <w:p w:rsidR="008C78BD" w:rsidRPr="00923B56" w:rsidRDefault="008C78BD" w:rsidP="008C78BD">
      <w:pPr>
        <w:rPr>
          <w:u w:val="double"/>
        </w:rPr>
      </w:pPr>
      <w:r w:rsidRPr="004429C1">
        <w:rPr>
          <w:color w:val="auto"/>
        </w:rPr>
        <w:t xml:space="preserve">In </w:t>
      </w:r>
      <w:r w:rsidRPr="00803B3A">
        <w:rPr>
          <w:color w:val="auto"/>
        </w:rPr>
        <w:t xml:space="preserve">pre-specified </w:t>
      </w:r>
      <w:r w:rsidRPr="004429C1">
        <w:rPr>
          <w:color w:val="auto"/>
        </w:rPr>
        <w:t xml:space="preserve">analysis of pooled phase 3 studies, treatment-emergent CV events confirmed by adjudication, consisting of coronary heart disease (CHD) death, myocardial infarction, ischemic stroke, unstable angina requiring hospitalization, congestive heart failure hospitalization, and revascularization, were reported in 110 (3.5%) patients in the </w:t>
      </w:r>
      <w:proofErr w:type="spellStart"/>
      <w:r w:rsidRPr="004429C1">
        <w:rPr>
          <w:color w:val="auto"/>
        </w:rPr>
        <w:t>alirocumab</w:t>
      </w:r>
      <w:proofErr w:type="spellEnd"/>
      <w:r w:rsidRPr="004429C1">
        <w:rPr>
          <w:color w:val="auto"/>
        </w:rPr>
        <w:t xml:space="preserve"> group and 53 (3.0%) patients in the control group (placebo or active control) with HR=1.08 (95% CI, 0.78 to 1.50).</w:t>
      </w:r>
      <w:r>
        <w:rPr>
          <w:color w:val="auto"/>
        </w:rPr>
        <w:t xml:space="preserve"> </w:t>
      </w:r>
      <w:r w:rsidRPr="004429C1">
        <w:rPr>
          <w:color w:val="auto"/>
        </w:rPr>
        <w:t xml:space="preserve">MACE confirmed by adjudication were reported in 52 of 3182 (1.6%) patients in the </w:t>
      </w:r>
      <w:proofErr w:type="spellStart"/>
      <w:r w:rsidRPr="004429C1">
        <w:rPr>
          <w:color w:val="auto"/>
        </w:rPr>
        <w:t>alirocumab</w:t>
      </w:r>
      <w:proofErr w:type="spellEnd"/>
      <w:r w:rsidRPr="004429C1">
        <w:rPr>
          <w:color w:val="auto"/>
        </w:rPr>
        <w:t xml:space="preserve"> </w:t>
      </w:r>
      <w:r w:rsidRPr="004429C1">
        <w:rPr>
          <w:color w:val="auto"/>
        </w:rPr>
        <w:lastRenderedPageBreak/>
        <w:t>group and 33 of 1792 (1.8%) patients in the control group (placebo or active control); HR=0.81 (95% CI, 0.52 to 1.25).</w:t>
      </w:r>
    </w:p>
    <w:p w:rsidR="008C78BD" w:rsidRDefault="008C78BD" w:rsidP="008C78BD">
      <w:pPr>
        <w:rPr>
          <w:color w:val="auto"/>
        </w:rPr>
      </w:pPr>
      <w:r w:rsidRPr="00803B3A">
        <w:rPr>
          <w:color w:val="auto"/>
        </w:rPr>
        <w:t xml:space="preserve">In pre-specified final analyses of the LONG TERM study, treatment-emergent CV events confirmed by adjudication occurred in 72 of 1550 (4.6%) patients in the </w:t>
      </w:r>
      <w:proofErr w:type="spellStart"/>
      <w:r w:rsidRPr="00803B3A">
        <w:rPr>
          <w:color w:val="auto"/>
        </w:rPr>
        <w:t>alirocumab</w:t>
      </w:r>
      <w:proofErr w:type="spellEnd"/>
      <w:r w:rsidRPr="00803B3A">
        <w:rPr>
          <w:color w:val="auto"/>
        </w:rPr>
        <w:t xml:space="preserve"> group and in 40 of 788 (5.1%) patients in the placebo group; MACE confirmed by adjudication were reported in 27 of 1550 (1.7%) patients in the </w:t>
      </w:r>
      <w:proofErr w:type="spellStart"/>
      <w:r w:rsidRPr="00803B3A">
        <w:rPr>
          <w:color w:val="auto"/>
        </w:rPr>
        <w:t>alirocumab</w:t>
      </w:r>
      <w:proofErr w:type="spellEnd"/>
      <w:r w:rsidRPr="00803B3A">
        <w:rPr>
          <w:color w:val="auto"/>
        </w:rPr>
        <w:t xml:space="preserve"> group and 26 of 788 (3.3%) patients in the placebo group. Hazard ratios were calculated post-hoc; for all CV events, HR=0.91 (95% CI, 0.62 to 1.34); for MACE, HR=0.52 (95% CI, 0.31 to 0.90).</w:t>
      </w:r>
    </w:p>
    <w:p w:rsidR="00851013" w:rsidRDefault="00851013" w:rsidP="00851013">
      <w:pPr>
        <w:pStyle w:val="Heading5"/>
        <w:numPr>
          <w:ilvl w:val="0"/>
          <w:numId w:val="0"/>
        </w:numPr>
        <w:ind w:left="1009" w:hanging="1009"/>
      </w:pPr>
      <w:r>
        <w:t>All-cause mortality</w:t>
      </w:r>
      <w:r w:rsidRPr="00851013">
        <w:rPr>
          <w:color w:val="00B050"/>
          <w:highlight w:val="yellow"/>
        </w:rPr>
        <w:t xml:space="preserve"> </w:t>
      </w:r>
    </w:p>
    <w:p w:rsidR="00851013" w:rsidRDefault="00851013" w:rsidP="00851013">
      <w:r>
        <w:t xml:space="preserve">All-cause mortality in phase 3 studies was 0.6% (20 of 3182 patients) in the </w:t>
      </w:r>
      <w:proofErr w:type="spellStart"/>
      <w:r>
        <w:t>alirocumab</w:t>
      </w:r>
      <w:proofErr w:type="spellEnd"/>
      <w:r>
        <w:t xml:space="preserve"> group and 0.9% (17 of 1792 patients) in the control group. The primary cause of death in the majority of these patients was CV events.</w:t>
      </w:r>
    </w:p>
    <w:p w:rsidR="00703EAD" w:rsidRPr="009E5F60" w:rsidRDefault="00703EAD" w:rsidP="007B0613">
      <w:pPr>
        <w:pStyle w:val="Heading5"/>
        <w:numPr>
          <w:ilvl w:val="0"/>
          <w:numId w:val="0"/>
        </w:numPr>
        <w:ind w:left="1009" w:hanging="1009"/>
      </w:pPr>
      <w:r w:rsidRPr="009E5F60">
        <w:t>Neurocognitive Events</w:t>
      </w:r>
    </w:p>
    <w:p w:rsidR="00703EAD" w:rsidRPr="009E5F60" w:rsidRDefault="00703EAD" w:rsidP="00B30EE7">
      <w:pPr>
        <w:rPr>
          <w:color w:val="auto"/>
        </w:rPr>
      </w:pPr>
      <w:r w:rsidRPr="009E5F60">
        <w:rPr>
          <w:color w:val="auto"/>
        </w:rPr>
        <w:t xml:space="preserve">Neurocognitive events were reported in 0.8% of patients treated with </w:t>
      </w:r>
      <w:proofErr w:type="spellStart"/>
      <w:r w:rsidR="00B30EE7" w:rsidRPr="009E5F60">
        <w:rPr>
          <w:color w:val="auto"/>
        </w:rPr>
        <w:t>alirocumab</w:t>
      </w:r>
      <w:proofErr w:type="spellEnd"/>
      <w:r w:rsidRPr="009E5F60">
        <w:rPr>
          <w:color w:val="auto"/>
        </w:rPr>
        <w:t xml:space="preserve"> and 0.7% of patients treated with placebo. </w:t>
      </w:r>
      <w:r w:rsidR="00B30EE7" w:rsidRPr="009E5F60">
        <w:rPr>
          <w:color w:val="auto"/>
        </w:rPr>
        <w:t xml:space="preserve">Confusion or memory impairment were each reported in 0.2% of patients treated with </w:t>
      </w:r>
      <w:proofErr w:type="spellStart"/>
      <w:r w:rsidR="00B30EE7" w:rsidRPr="009E5F60">
        <w:rPr>
          <w:color w:val="auto"/>
        </w:rPr>
        <w:t>alirocumab</w:t>
      </w:r>
      <w:proofErr w:type="spellEnd"/>
      <w:r w:rsidR="00B30EE7" w:rsidRPr="009E5F60">
        <w:rPr>
          <w:color w:val="auto"/>
        </w:rPr>
        <w:t xml:space="preserve"> and in &lt;0.1% (for each) in the placebo group patients. The majority of neurocognitive events were non-serious. The causal relationship between these events and </w:t>
      </w:r>
      <w:proofErr w:type="spellStart"/>
      <w:r w:rsidR="00B30EE7" w:rsidRPr="009E5F60">
        <w:rPr>
          <w:color w:val="auto"/>
        </w:rPr>
        <w:t>alirocumab</w:t>
      </w:r>
      <w:proofErr w:type="spellEnd"/>
      <w:r w:rsidR="00B30EE7" w:rsidRPr="009E5F60">
        <w:rPr>
          <w:color w:val="auto"/>
        </w:rPr>
        <w:t xml:space="preserve"> has not been established.</w:t>
      </w:r>
    </w:p>
    <w:p w:rsidR="00226889" w:rsidRPr="009E5F60" w:rsidRDefault="00226889" w:rsidP="00226889">
      <w:pPr>
        <w:pStyle w:val="Heading5"/>
        <w:numPr>
          <w:ilvl w:val="0"/>
          <w:numId w:val="0"/>
        </w:numPr>
        <w:ind w:left="1009" w:hanging="1009"/>
      </w:pPr>
      <w:r w:rsidRPr="009E5F60">
        <w:t xml:space="preserve">Post-marketing experience </w:t>
      </w:r>
    </w:p>
    <w:p w:rsidR="00226889" w:rsidRPr="009E5F60" w:rsidRDefault="00B30EE7" w:rsidP="00226889">
      <w:pPr>
        <w:rPr>
          <w:color w:val="auto"/>
        </w:rPr>
      </w:pPr>
      <w:r w:rsidRPr="009E5F60">
        <w:rPr>
          <w:color w:val="auto"/>
        </w:rPr>
        <w:t xml:space="preserve">At this time there is limited post-marketing experience with </w:t>
      </w:r>
      <w:proofErr w:type="spellStart"/>
      <w:r w:rsidRPr="009E5F60">
        <w:rPr>
          <w:color w:val="auto"/>
        </w:rPr>
        <w:t>alirocumab</w:t>
      </w:r>
      <w:proofErr w:type="spellEnd"/>
      <w:r w:rsidRPr="009E5F60">
        <w:rPr>
          <w:color w:val="auto"/>
        </w:rPr>
        <w:t>.</w:t>
      </w:r>
      <w:r w:rsidR="00226889" w:rsidRPr="009E5F60">
        <w:rPr>
          <w:color w:val="auto"/>
        </w:rPr>
        <w:t xml:space="preserve"> </w:t>
      </w:r>
    </w:p>
    <w:p w:rsidR="003020BF" w:rsidRDefault="003020BF" w:rsidP="003020BF">
      <w:pPr>
        <w:pStyle w:val="Heading1"/>
        <w:pageBreakBefore w:val="0"/>
        <w:numPr>
          <w:ilvl w:val="0"/>
          <w:numId w:val="0"/>
        </w:numPr>
      </w:pPr>
      <w:bookmarkStart w:id="34" w:name="_Toc341259169"/>
      <w:r>
        <w:t>dosage and administration</w:t>
      </w:r>
      <w:bookmarkEnd w:id="34"/>
    </w:p>
    <w:p w:rsidR="00DA2BEC" w:rsidRPr="009E5F60" w:rsidRDefault="00851013" w:rsidP="00DA2BEC">
      <w:pPr>
        <w:rPr>
          <w:color w:val="auto"/>
        </w:rPr>
      </w:pPr>
      <w:r w:rsidRPr="009E5F60">
        <w:rPr>
          <w:color w:val="auto"/>
        </w:rPr>
        <w:t xml:space="preserve">The </w:t>
      </w:r>
      <w:r w:rsidR="00181601">
        <w:rPr>
          <w:color w:val="auto"/>
        </w:rPr>
        <w:t>recommended</w:t>
      </w:r>
      <w:r w:rsidR="00127ADB" w:rsidRPr="009E5F60">
        <w:rPr>
          <w:color w:val="auto"/>
        </w:rPr>
        <w:t xml:space="preserve"> </w:t>
      </w:r>
      <w:r w:rsidR="00A90EFC" w:rsidRPr="009E5F60">
        <w:rPr>
          <w:color w:val="auto"/>
        </w:rPr>
        <w:t xml:space="preserve">starting </w:t>
      </w:r>
      <w:r w:rsidRPr="009E5F60">
        <w:rPr>
          <w:color w:val="auto"/>
        </w:rPr>
        <w:t xml:space="preserve">dose </w:t>
      </w:r>
      <w:r w:rsidR="00126A0D">
        <w:rPr>
          <w:color w:val="auto"/>
        </w:rPr>
        <w:t>of</w:t>
      </w:r>
      <w:r w:rsidRPr="009E5F60">
        <w:rPr>
          <w:color w:val="auto"/>
        </w:rPr>
        <w:t xml:space="preserve"> </w:t>
      </w:r>
      <w:proofErr w:type="spellStart"/>
      <w:r w:rsidRPr="009E5F60">
        <w:rPr>
          <w:color w:val="auto"/>
        </w:rPr>
        <w:t>Praluent</w:t>
      </w:r>
      <w:proofErr w:type="spellEnd"/>
      <w:r w:rsidRPr="009E5F60">
        <w:rPr>
          <w:color w:val="auto"/>
        </w:rPr>
        <w:t xml:space="preserve"> is 75 mg administered subcutaneously once every 2 weeks</w:t>
      </w:r>
      <w:r w:rsidR="00DA2BEC" w:rsidRPr="009E5F60">
        <w:rPr>
          <w:color w:val="auto"/>
        </w:rPr>
        <w:t>, since the majority of patients achieve sufficient LDL-C reduction with this dosage</w:t>
      </w:r>
      <w:r w:rsidRPr="009E5F60">
        <w:rPr>
          <w:color w:val="auto"/>
        </w:rPr>
        <w:t>.</w:t>
      </w:r>
      <w:r w:rsidR="00127ADB" w:rsidRPr="009E5F60">
        <w:rPr>
          <w:color w:val="auto"/>
        </w:rPr>
        <w:t xml:space="preserve"> </w:t>
      </w:r>
    </w:p>
    <w:p w:rsidR="00181601" w:rsidRDefault="00181601" w:rsidP="00DA2BEC">
      <w:pPr>
        <w:rPr>
          <w:color w:val="auto"/>
        </w:rPr>
      </w:pPr>
      <w:r w:rsidRPr="00181601">
        <w:rPr>
          <w:color w:val="auto"/>
        </w:rPr>
        <w:t xml:space="preserve">If the LDL-C response is inadequate, the dosage may be increased to the maximum dosage of 150 mg administered every 2 weeks. Lipid levels may be measured from 4 weeks of initiating or titrating </w:t>
      </w:r>
      <w:proofErr w:type="spellStart"/>
      <w:r w:rsidRPr="00181601">
        <w:rPr>
          <w:color w:val="auto"/>
        </w:rPr>
        <w:t>Praluent</w:t>
      </w:r>
      <w:proofErr w:type="spellEnd"/>
      <w:r w:rsidRPr="00181601">
        <w:rPr>
          <w:color w:val="auto"/>
        </w:rPr>
        <w:t>, to assess the response and adjust the dose, if needed.</w:t>
      </w:r>
    </w:p>
    <w:p w:rsidR="003020BF" w:rsidRDefault="00851013" w:rsidP="00DA2BEC">
      <w:r>
        <w:lastRenderedPageBreak/>
        <w:t>For mean LDL-C reduction achieved with the 75 mg and 150 mg dose in controlled clinical studies see section CLINICAL TRIALS.</w:t>
      </w:r>
    </w:p>
    <w:p w:rsidR="00072436" w:rsidRPr="00803B3A" w:rsidRDefault="00851013" w:rsidP="00072436">
      <w:pPr>
        <w:rPr>
          <w:color w:val="auto"/>
        </w:rPr>
      </w:pPr>
      <w:r w:rsidRPr="00803B3A">
        <w:rPr>
          <w:color w:val="auto"/>
        </w:rPr>
        <w:t xml:space="preserve">If a dose is missed, </w:t>
      </w:r>
      <w:r w:rsidR="00966304" w:rsidRPr="00803B3A">
        <w:rPr>
          <w:color w:val="auto"/>
        </w:rPr>
        <w:t xml:space="preserve">instruct </w:t>
      </w:r>
      <w:r w:rsidRPr="00803B3A">
        <w:rPr>
          <w:color w:val="auto"/>
        </w:rPr>
        <w:t xml:space="preserve">the patient </w:t>
      </w:r>
      <w:r w:rsidR="00966304" w:rsidRPr="00803B3A">
        <w:rPr>
          <w:color w:val="auto"/>
        </w:rPr>
        <w:t xml:space="preserve">to </w:t>
      </w:r>
      <w:r w:rsidRPr="00803B3A">
        <w:rPr>
          <w:color w:val="auto"/>
        </w:rPr>
        <w:t xml:space="preserve">administer the injection </w:t>
      </w:r>
      <w:r w:rsidR="00966304" w:rsidRPr="00803B3A">
        <w:rPr>
          <w:color w:val="auto"/>
        </w:rPr>
        <w:t xml:space="preserve">within 7 days from the missed dose </w:t>
      </w:r>
      <w:r w:rsidRPr="00803B3A">
        <w:rPr>
          <w:color w:val="auto"/>
        </w:rPr>
        <w:t xml:space="preserve">and </w:t>
      </w:r>
      <w:r w:rsidR="00966304" w:rsidRPr="00803B3A">
        <w:rPr>
          <w:color w:val="auto"/>
        </w:rPr>
        <w:t xml:space="preserve">then </w:t>
      </w:r>
      <w:r w:rsidRPr="00803B3A">
        <w:rPr>
          <w:color w:val="auto"/>
        </w:rPr>
        <w:t xml:space="preserve">resume </w:t>
      </w:r>
      <w:r w:rsidR="007A7C94" w:rsidRPr="00803B3A">
        <w:rPr>
          <w:color w:val="auto"/>
        </w:rPr>
        <w:t>the patient’s original schedule</w:t>
      </w:r>
      <w:r w:rsidR="00803B3A" w:rsidRPr="00803B3A">
        <w:rPr>
          <w:color w:val="auto"/>
        </w:rPr>
        <w:t xml:space="preserve">. </w:t>
      </w:r>
      <w:r w:rsidR="007A7C94" w:rsidRPr="00803B3A">
        <w:rPr>
          <w:color w:val="auto"/>
        </w:rPr>
        <w:t xml:space="preserve">If the missed dose is not administered within 7 days, instruct the patient to wait until the next dose on the original schedule. </w:t>
      </w:r>
    </w:p>
    <w:p w:rsidR="00072436" w:rsidRDefault="00072436" w:rsidP="00072436">
      <w:r>
        <w:t>No dose adjustments are needed for elderly patients or patients based on weight. No dose adjustments are needed for patients with mild or moderate renal or hepatic impairment (see PHARMACOKINETICS)</w:t>
      </w:r>
    </w:p>
    <w:p w:rsidR="00D45EDD" w:rsidRDefault="00D45EDD" w:rsidP="00D45EDD">
      <w:pPr>
        <w:pStyle w:val="Heading3"/>
        <w:numPr>
          <w:ilvl w:val="0"/>
          <w:numId w:val="0"/>
        </w:numPr>
        <w:ind w:left="680" w:hanging="680"/>
      </w:pPr>
      <w:r>
        <w:t xml:space="preserve">Method of Administration </w:t>
      </w:r>
    </w:p>
    <w:p w:rsidR="0095607B" w:rsidRDefault="00E54F4F" w:rsidP="00E54F4F">
      <w:proofErr w:type="spellStart"/>
      <w:r>
        <w:t>Praluent</w:t>
      </w:r>
      <w:proofErr w:type="spellEnd"/>
      <w:r>
        <w:t xml:space="preserve"> is injected as a </w:t>
      </w:r>
      <w:r w:rsidR="0095607B">
        <w:t xml:space="preserve">single </w:t>
      </w:r>
      <w:r>
        <w:t xml:space="preserve">subcutaneous injection into the thigh, abdomen or upper arm. It is recommended to rotate the injection site with each injection. </w:t>
      </w:r>
      <w:proofErr w:type="spellStart"/>
      <w:r>
        <w:t>Praluent</w:t>
      </w:r>
      <w:proofErr w:type="spellEnd"/>
      <w:r>
        <w:t xml:space="preserve"> should not be injected into areas of active skin disease or injury such as sunburns, skin rashes, inflammation, or skin infections. </w:t>
      </w:r>
    </w:p>
    <w:p w:rsidR="00A26FB7" w:rsidRDefault="00A26FB7" w:rsidP="00E54F4F">
      <w:r>
        <w:t xml:space="preserve">The patient may either self-inject </w:t>
      </w:r>
      <w:proofErr w:type="spellStart"/>
      <w:r>
        <w:t>Praluent</w:t>
      </w:r>
      <w:proofErr w:type="spellEnd"/>
      <w:r>
        <w:t xml:space="preserve"> or a caregiver may administer </w:t>
      </w:r>
      <w:proofErr w:type="spellStart"/>
      <w:r>
        <w:t>Praluent</w:t>
      </w:r>
      <w:proofErr w:type="spellEnd"/>
      <w:r>
        <w:t xml:space="preserve">, after guidance has been provided by a healthcare professional on proper subcutaneous injection technique. </w:t>
      </w:r>
    </w:p>
    <w:p w:rsidR="00E54F4F" w:rsidRDefault="00E54F4F" w:rsidP="00E54F4F">
      <w:proofErr w:type="spellStart"/>
      <w:r>
        <w:t>Praluent</w:t>
      </w:r>
      <w:proofErr w:type="spellEnd"/>
      <w:r>
        <w:t xml:space="preserve"> must not be co-administered with other injectable medicinal products at the same injection site. </w:t>
      </w:r>
    </w:p>
    <w:p w:rsidR="00251B2D" w:rsidRDefault="00E54F4F" w:rsidP="00E54F4F">
      <w:proofErr w:type="spellStart"/>
      <w:r>
        <w:t>Praluent</w:t>
      </w:r>
      <w:proofErr w:type="spellEnd"/>
      <w:r>
        <w:t xml:space="preserve"> </w:t>
      </w:r>
      <w:r w:rsidR="0095607B">
        <w:t xml:space="preserve">is a sterile </w:t>
      </w:r>
      <w:r w:rsidR="00251B2D">
        <w:t>produ</w:t>
      </w:r>
      <w:r w:rsidR="00251B2D" w:rsidRPr="001863CE">
        <w:rPr>
          <w:color w:val="auto"/>
        </w:rPr>
        <w:t xml:space="preserve">ct and contains no antimicrobial preservatives. </w:t>
      </w:r>
      <w:r w:rsidR="00251B2D">
        <w:t xml:space="preserve">Product is for single use in one patient only. </w:t>
      </w:r>
    </w:p>
    <w:p w:rsidR="00E54F4F" w:rsidRDefault="0095607B" w:rsidP="00E54F4F">
      <w:r>
        <w:t xml:space="preserve">Before administration, </w:t>
      </w:r>
      <w:proofErr w:type="spellStart"/>
      <w:r>
        <w:t>Praluent</w:t>
      </w:r>
      <w:proofErr w:type="spellEnd"/>
      <w:r>
        <w:t xml:space="preserve"> </w:t>
      </w:r>
      <w:r w:rsidR="00E54F4F">
        <w:t xml:space="preserve">should be inspected visually for particulate matter and </w:t>
      </w:r>
      <w:proofErr w:type="spellStart"/>
      <w:r w:rsidR="00E54F4F">
        <w:t>discolouration</w:t>
      </w:r>
      <w:proofErr w:type="spellEnd"/>
      <w:r>
        <w:t xml:space="preserve">. </w:t>
      </w:r>
      <w:r w:rsidR="00E54F4F">
        <w:t xml:space="preserve">If the solution is </w:t>
      </w:r>
      <w:proofErr w:type="spellStart"/>
      <w:r w:rsidR="00E54F4F">
        <w:t>discoloured</w:t>
      </w:r>
      <w:proofErr w:type="spellEnd"/>
      <w:r w:rsidR="00E54F4F">
        <w:t xml:space="preserve"> or contains particulate matter, the solution should not be used. </w:t>
      </w:r>
    </w:p>
    <w:p w:rsidR="00851013" w:rsidRDefault="00072436" w:rsidP="00E54F4F">
      <w:r w:rsidRPr="001863CE">
        <w:rPr>
          <w:color w:val="auto"/>
        </w:rPr>
        <w:t xml:space="preserve">To avoid discomfort, </w:t>
      </w:r>
      <w:proofErr w:type="spellStart"/>
      <w:r w:rsidRPr="001863CE">
        <w:rPr>
          <w:color w:val="auto"/>
        </w:rPr>
        <w:t>P</w:t>
      </w:r>
      <w:r w:rsidR="00E54F4F" w:rsidRPr="001863CE">
        <w:rPr>
          <w:color w:val="auto"/>
        </w:rPr>
        <w:t>raluent</w:t>
      </w:r>
      <w:proofErr w:type="spellEnd"/>
      <w:r w:rsidR="00E54F4F" w:rsidRPr="001863CE">
        <w:rPr>
          <w:color w:val="auto"/>
        </w:rPr>
        <w:t xml:space="preserve"> should be allowed to warm to room temperature</w:t>
      </w:r>
      <w:r w:rsidR="0095607B" w:rsidRPr="001863CE">
        <w:rPr>
          <w:color w:val="auto"/>
        </w:rPr>
        <w:t xml:space="preserve"> (up to 25°C)</w:t>
      </w:r>
      <w:r w:rsidR="00373E1B" w:rsidRPr="001863CE">
        <w:rPr>
          <w:color w:val="auto"/>
        </w:rPr>
        <w:t xml:space="preserve"> for 30 to 40 minutes</w:t>
      </w:r>
      <w:r w:rsidR="00E54F4F" w:rsidRPr="001863CE">
        <w:rPr>
          <w:color w:val="auto"/>
        </w:rPr>
        <w:t xml:space="preserve"> prior to use. </w:t>
      </w:r>
      <w:r w:rsidR="00B8264F" w:rsidRPr="00803B3A">
        <w:rPr>
          <w:color w:val="auto"/>
        </w:rPr>
        <w:t xml:space="preserve">Do not </w:t>
      </w:r>
      <w:proofErr w:type="gramStart"/>
      <w:r w:rsidR="00B8264F" w:rsidRPr="00803B3A">
        <w:rPr>
          <w:color w:val="auto"/>
        </w:rPr>
        <w:t>heat,</w:t>
      </w:r>
      <w:proofErr w:type="gramEnd"/>
      <w:r w:rsidR="00B8264F" w:rsidRPr="00803B3A">
        <w:rPr>
          <w:color w:val="auto"/>
        </w:rPr>
        <w:t xml:space="preserve"> let it warm up on its own. </w:t>
      </w:r>
      <w:proofErr w:type="spellStart"/>
      <w:r w:rsidR="00E54F4F" w:rsidRPr="001863CE">
        <w:rPr>
          <w:color w:val="auto"/>
        </w:rPr>
        <w:t>Praluent</w:t>
      </w:r>
      <w:proofErr w:type="spellEnd"/>
      <w:r w:rsidR="00E54F4F">
        <w:t xml:space="preserve"> should be used as soon as possible after it has warmed up.</w:t>
      </w:r>
      <w:r w:rsidR="00B8264F">
        <w:t xml:space="preserve"> </w:t>
      </w:r>
      <w:r w:rsidR="00A26FB7" w:rsidRPr="00644926">
        <w:rPr>
          <w:color w:val="auto"/>
        </w:rPr>
        <w:t>Time out of refrigeration should not exceed 24 hours at 25°C.</w:t>
      </w:r>
    </w:p>
    <w:p w:rsidR="00E54F4F" w:rsidRDefault="00E54F4F" w:rsidP="00E54F4F">
      <w:r>
        <w:t xml:space="preserve">After use, place the </w:t>
      </w:r>
      <w:proofErr w:type="spellStart"/>
      <w:r>
        <w:t>Praluent</w:t>
      </w:r>
      <w:proofErr w:type="spellEnd"/>
      <w:r w:rsidR="00743152">
        <w:t xml:space="preserve"> pre-</w:t>
      </w:r>
      <w:r w:rsidR="00743152" w:rsidRPr="00F75F4D">
        <w:rPr>
          <w:color w:val="auto"/>
        </w:rPr>
        <w:t xml:space="preserve">filled pen </w:t>
      </w:r>
      <w:r w:rsidRPr="00F75F4D">
        <w:rPr>
          <w:color w:val="auto"/>
        </w:rPr>
        <w:t xml:space="preserve">or pre-filled </w:t>
      </w:r>
      <w:r w:rsidR="00743152" w:rsidRPr="00F75F4D">
        <w:rPr>
          <w:color w:val="auto"/>
        </w:rPr>
        <w:t xml:space="preserve">syringe </w:t>
      </w:r>
      <w:r w:rsidRPr="00F75F4D">
        <w:rPr>
          <w:color w:val="auto"/>
        </w:rPr>
        <w:t>into</w:t>
      </w:r>
      <w:r w:rsidRPr="00E54F4F">
        <w:t xml:space="preserve"> a puncture resistant container and discard</w:t>
      </w:r>
      <w:r w:rsidR="00F404DB">
        <w:t xml:space="preserve"> </w:t>
      </w:r>
      <w:r w:rsidR="000813E7" w:rsidRPr="001863CE">
        <w:rPr>
          <w:color w:val="auto"/>
        </w:rPr>
        <w:t>in accordance with local requirements</w:t>
      </w:r>
      <w:r w:rsidR="00F21E5F" w:rsidRPr="001863CE">
        <w:rPr>
          <w:color w:val="auto"/>
        </w:rPr>
        <w:t>.</w:t>
      </w:r>
      <w:r w:rsidR="00F404DB">
        <w:t xml:space="preserve"> </w:t>
      </w:r>
    </w:p>
    <w:p w:rsidR="003020BF" w:rsidRDefault="003020BF" w:rsidP="003020BF">
      <w:pPr>
        <w:pStyle w:val="Heading1"/>
        <w:pageBreakBefore w:val="0"/>
        <w:numPr>
          <w:ilvl w:val="0"/>
          <w:numId w:val="0"/>
        </w:numPr>
      </w:pPr>
      <w:bookmarkStart w:id="35" w:name="_Toc341259170"/>
      <w:r>
        <w:lastRenderedPageBreak/>
        <w:t>overdosage</w:t>
      </w:r>
      <w:bookmarkEnd w:id="35"/>
    </w:p>
    <w:p w:rsidR="00E201D1" w:rsidRDefault="00E201D1" w:rsidP="00E201D1">
      <w:r>
        <w:t xml:space="preserve">In controlled clinical studies, no safety issues were identified with more frequent dosing than the recommended </w:t>
      </w:r>
      <w:r w:rsidR="00CF2464">
        <w:t>once every 2 weeks</w:t>
      </w:r>
      <w:r>
        <w:t xml:space="preserve"> dosing schedule.</w:t>
      </w:r>
    </w:p>
    <w:p w:rsidR="00E201D1" w:rsidRDefault="00E201D1" w:rsidP="00E201D1">
      <w:pPr>
        <w:rPr>
          <w:color w:val="auto"/>
        </w:rPr>
      </w:pPr>
      <w:r w:rsidRPr="001863CE">
        <w:rPr>
          <w:color w:val="auto"/>
        </w:rPr>
        <w:t>Contact the Australian Poisons Information Centre (telephone 13 11 26), or the New Zealand National Poisons Information Centre (telephone 0800 POISON or 0800 764 766) for advice on overdose management.</w:t>
      </w:r>
    </w:p>
    <w:p w:rsidR="003020BF" w:rsidRDefault="003020BF" w:rsidP="003020BF">
      <w:pPr>
        <w:pStyle w:val="Heading1"/>
        <w:pageBreakBefore w:val="0"/>
        <w:numPr>
          <w:ilvl w:val="0"/>
          <w:numId w:val="0"/>
        </w:numPr>
      </w:pPr>
      <w:bookmarkStart w:id="36" w:name="_Toc341259171"/>
      <w:r>
        <w:t>presentation and storage conditions</w:t>
      </w:r>
      <w:bookmarkEnd w:id="36"/>
    </w:p>
    <w:p w:rsidR="00615A1A" w:rsidRDefault="00615A1A" w:rsidP="00615A1A">
      <w:proofErr w:type="spellStart"/>
      <w:r w:rsidRPr="00D371C7">
        <w:t>Praluent</w:t>
      </w:r>
      <w:proofErr w:type="spellEnd"/>
      <w:r w:rsidRPr="00D371C7">
        <w:t xml:space="preserve"> is supplied as a sterile, </w:t>
      </w:r>
      <w:r>
        <w:t>clear,</w:t>
      </w:r>
      <w:r w:rsidRPr="002A6F94">
        <w:rPr>
          <w:lang w:val="en-AU"/>
        </w:rPr>
        <w:t xml:space="preserve"> colourless</w:t>
      </w:r>
      <w:r>
        <w:t xml:space="preserve"> to pale yellow</w:t>
      </w:r>
      <w:r w:rsidRPr="00D371C7">
        <w:t xml:space="preserve"> solution for injection, in a single use pre-</w:t>
      </w:r>
      <w:r w:rsidRPr="00F75F4D">
        <w:rPr>
          <w:color w:val="auto"/>
        </w:rPr>
        <w:t xml:space="preserve">filled </w:t>
      </w:r>
      <w:r w:rsidR="00743152" w:rsidRPr="00F75F4D">
        <w:rPr>
          <w:color w:val="auto"/>
        </w:rPr>
        <w:t>pen</w:t>
      </w:r>
      <w:r w:rsidRPr="00F75F4D">
        <w:rPr>
          <w:color w:val="auto"/>
        </w:rPr>
        <w:t xml:space="preserve"> or single-use pre-filled</w:t>
      </w:r>
      <w:r w:rsidR="00743152" w:rsidRPr="00F75F4D">
        <w:rPr>
          <w:color w:val="auto"/>
        </w:rPr>
        <w:t xml:space="preserve"> syringe</w:t>
      </w:r>
      <w:r w:rsidR="00251B2D" w:rsidRPr="00F75F4D">
        <w:rPr>
          <w:color w:val="auto"/>
        </w:rPr>
        <w:t>,</w:t>
      </w:r>
      <w:r w:rsidR="00251B2D">
        <w:t xml:space="preserve"> containing </w:t>
      </w:r>
      <w:r w:rsidR="00251B2D" w:rsidRPr="001863CE">
        <w:rPr>
          <w:color w:val="auto"/>
        </w:rPr>
        <w:t>no antimicrobial preservatives</w:t>
      </w:r>
      <w:r w:rsidR="00251B2D">
        <w:t xml:space="preserve">. </w:t>
      </w:r>
      <w:r w:rsidRPr="00D371C7">
        <w:t xml:space="preserve"> </w:t>
      </w:r>
    </w:p>
    <w:p w:rsidR="002A6F94" w:rsidRDefault="002A6F94" w:rsidP="002A6F94">
      <w:proofErr w:type="spellStart"/>
      <w:r>
        <w:t>Praluent</w:t>
      </w:r>
      <w:proofErr w:type="spellEnd"/>
      <w:r>
        <w:t xml:space="preserve"> 75 mg/mL and 150 mg/mL solution for injection is supplied in a </w:t>
      </w:r>
      <w:proofErr w:type="spellStart"/>
      <w:r>
        <w:t>siliconised</w:t>
      </w:r>
      <w:proofErr w:type="spellEnd"/>
      <w:r>
        <w:t xml:space="preserve"> 1 ml Type 1 clear glass syringe, equipped with a stainless steel needle, a styrene-butadiene rubber soft needle shield</w:t>
      </w:r>
      <w:r w:rsidR="00A51CD0">
        <w:t xml:space="preserve"> (does not contain natural latex)</w:t>
      </w:r>
      <w:r>
        <w:t xml:space="preserve">, and a coated </w:t>
      </w:r>
      <w:proofErr w:type="spellStart"/>
      <w:r>
        <w:t>bromobutyl</w:t>
      </w:r>
      <w:proofErr w:type="spellEnd"/>
      <w:r>
        <w:t xml:space="preserve"> rubber plunger stopper. </w:t>
      </w:r>
    </w:p>
    <w:p w:rsidR="009A2E84" w:rsidRPr="00F75F4D" w:rsidRDefault="009A2E84" w:rsidP="009A2E84">
      <w:pPr>
        <w:pStyle w:val="Heading5"/>
        <w:numPr>
          <w:ilvl w:val="0"/>
          <w:numId w:val="0"/>
        </w:numPr>
        <w:ind w:left="1009" w:hanging="1009"/>
      </w:pPr>
      <w:r w:rsidRPr="00F75F4D">
        <w:t>Pre-filled pen</w:t>
      </w:r>
    </w:p>
    <w:p w:rsidR="009A2E84" w:rsidRPr="00F75F4D" w:rsidRDefault="009A2E84" w:rsidP="009A2E84">
      <w:pPr>
        <w:spacing w:before="120"/>
      </w:pPr>
      <w:r w:rsidRPr="00F75F4D">
        <w:t>75 mg/mL pre-filled syringe components are assembled into a pen with a blue cap and a light green activation button. Available in pack sizes of 1, 2 or 6 per carton.</w:t>
      </w:r>
    </w:p>
    <w:p w:rsidR="009A2E84" w:rsidRPr="00F75F4D" w:rsidRDefault="009A2E84" w:rsidP="009A2E84">
      <w:pPr>
        <w:spacing w:before="0"/>
      </w:pPr>
      <w:r w:rsidRPr="00F75F4D">
        <w:br/>
        <w:t>150 mg/mL pre-filled syringe components are assembled into a pen with a blue cap and a dark grey activation button. Available in pack sizes of 1, 2 or 6 per carton.</w:t>
      </w:r>
    </w:p>
    <w:p w:rsidR="002A6F94" w:rsidRPr="00F75F4D" w:rsidRDefault="002A6F94" w:rsidP="00851013">
      <w:pPr>
        <w:pStyle w:val="Heading5"/>
        <w:numPr>
          <w:ilvl w:val="0"/>
          <w:numId w:val="0"/>
        </w:numPr>
        <w:ind w:left="1009" w:hanging="1009"/>
      </w:pPr>
      <w:r w:rsidRPr="00F75F4D">
        <w:t xml:space="preserve">Pre-filled syringe </w:t>
      </w:r>
    </w:p>
    <w:p w:rsidR="00D371C7" w:rsidRPr="00F75F4D" w:rsidRDefault="002A6F94" w:rsidP="00DB42B3">
      <w:pPr>
        <w:spacing w:before="120"/>
      </w:pPr>
      <w:r w:rsidRPr="00F75F4D">
        <w:t xml:space="preserve">75 mg/mL pre-filled syringe is equipped with a light </w:t>
      </w:r>
      <w:r w:rsidR="008162EC" w:rsidRPr="00F75F4D">
        <w:t xml:space="preserve">green polypropylene plunger rod. Available in pack sizes of 1, 2 or 6 per carton. </w:t>
      </w:r>
    </w:p>
    <w:p w:rsidR="002A6F94" w:rsidRPr="009A2E84" w:rsidRDefault="002A6F94" w:rsidP="00E201D1">
      <w:r w:rsidRPr="00F75F4D">
        <w:t>150 mg/mL pre-filled syringe is equipped with a dark</w:t>
      </w:r>
      <w:r w:rsidR="008162EC" w:rsidRPr="00F75F4D">
        <w:t xml:space="preserve"> grey polypropylene plunger rod. Available in pack sizes of 1, 2 or 6 per carton.</w:t>
      </w:r>
    </w:p>
    <w:p w:rsidR="004978DB" w:rsidRPr="00B00ED5" w:rsidRDefault="00E201D1" w:rsidP="004978DB">
      <w:pPr>
        <w:rPr>
          <w:strike/>
          <w:color w:val="FF0000"/>
        </w:rPr>
      </w:pPr>
      <w:r>
        <w:t>Store</w:t>
      </w:r>
      <w:r w:rsidR="00DB42B3">
        <w:t xml:space="preserve"> at 2</w:t>
      </w:r>
      <w:r>
        <w:t>°C</w:t>
      </w:r>
      <w:r w:rsidR="00DB42B3">
        <w:t xml:space="preserve"> to </w:t>
      </w:r>
      <w:r>
        <w:t>8°C</w:t>
      </w:r>
      <w:r w:rsidR="00DB42B3">
        <w:t xml:space="preserve"> (Refrigerate. Do not freeze)</w:t>
      </w:r>
      <w:r w:rsidRPr="006727B4">
        <w:rPr>
          <w:color w:val="auto"/>
        </w:rPr>
        <w:t>.</w:t>
      </w:r>
      <w:r w:rsidR="004978DB" w:rsidRPr="006727B4">
        <w:rPr>
          <w:color w:val="auto"/>
        </w:rPr>
        <w:t xml:space="preserve"> </w:t>
      </w:r>
      <w:r w:rsidR="006727B4" w:rsidRPr="006727B4">
        <w:rPr>
          <w:color w:val="auto"/>
        </w:rPr>
        <w:t xml:space="preserve">Do not expose to </w:t>
      </w:r>
      <w:r w:rsidR="006727B4" w:rsidRPr="00D82321">
        <w:rPr>
          <w:color w:val="auto"/>
        </w:rPr>
        <w:t>extreme heat</w:t>
      </w:r>
      <w:r w:rsidR="006727B4" w:rsidRPr="006727B4">
        <w:rPr>
          <w:color w:val="auto"/>
        </w:rPr>
        <w:t>.</w:t>
      </w:r>
      <w:r w:rsidR="006727B4">
        <w:rPr>
          <w:color w:val="auto"/>
        </w:rPr>
        <w:t xml:space="preserve"> </w:t>
      </w:r>
      <w:r>
        <w:t>Keep in the outer carton in order to protect from light.</w:t>
      </w:r>
      <w:r w:rsidR="00E935F3">
        <w:t xml:space="preserve"> </w:t>
      </w:r>
    </w:p>
    <w:p w:rsidR="008162EC" w:rsidRDefault="008162EC" w:rsidP="00E201D1">
      <w:r>
        <w:rPr>
          <w:vertAlign w:val="superscript"/>
        </w:rPr>
        <w:lastRenderedPageBreak/>
        <w:t>*</w:t>
      </w:r>
      <w:r>
        <w:t xml:space="preserve"> Presentations currently not marketed </w:t>
      </w:r>
    </w:p>
    <w:p w:rsidR="003020BF" w:rsidRDefault="003020BF" w:rsidP="003020BF">
      <w:pPr>
        <w:pStyle w:val="Heading1"/>
        <w:pageBreakBefore w:val="0"/>
        <w:numPr>
          <w:ilvl w:val="0"/>
          <w:numId w:val="0"/>
        </w:numPr>
      </w:pPr>
      <w:bookmarkStart w:id="37" w:name="_Toc341259172"/>
      <w:r>
        <w:t>name and address of the sponsor</w:t>
      </w:r>
      <w:bookmarkEnd w:id="37"/>
    </w:p>
    <w:p w:rsidR="00E201D1" w:rsidRDefault="00E201D1" w:rsidP="003020BF">
      <w:pPr>
        <w:rPr>
          <w:lang w:val="it-IT"/>
        </w:rPr>
      </w:pPr>
      <w:r>
        <w:rPr>
          <w:lang w:val="it-IT"/>
        </w:rPr>
        <w:t>Australia</w:t>
      </w:r>
    </w:p>
    <w:p w:rsidR="003020BF" w:rsidRDefault="003020BF" w:rsidP="00E201D1">
      <w:pPr>
        <w:spacing w:before="120"/>
        <w:rPr>
          <w:lang w:val="it-IT"/>
        </w:rPr>
      </w:pPr>
      <w:r w:rsidRPr="003020BF">
        <w:rPr>
          <w:lang w:val="it-IT"/>
        </w:rPr>
        <w:t>sanofi-aventis australia pty ltd</w:t>
      </w:r>
      <w:r w:rsidRPr="003020BF">
        <w:rPr>
          <w:lang w:val="it-IT"/>
        </w:rPr>
        <w:br/>
        <w:t>12-24 Talavera Road</w:t>
      </w:r>
      <w:r w:rsidRPr="003020BF">
        <w:rPr>
          <w:lang w:val="it-IT"/>
        </w:rPr>
        <w:br/>
        <w:t>Macquarie Park NSW 2113</w:t>
      </w:r>
    </w:p>
    <w:p w:rsidR="00E201D1" w:rsidRPr="00E201D1" w:rsidRDefault="00E201D1" w:rsidP="00E201D1">
      <w:pPr>
        <w:spacing w:before="0"/>
        <w:rPr>
          <w:lang w:val="it-IT"/>
        </w:rPr>
      </w:pPr>
      <w:r>
        <w:rPr>
          <w:lang w:val="it-IT"/>
        </w:rPr>
        <w:t>Australia</w:t>
      </w:r>
    </w:p>
    <w:p w:rsidR="00E201D1" w:rsidRPr="00E201D1" w:rsidRDefault="00E201D1" w:rsidP="00E201D1">
      <w:pPr>
        <w:spacing w:before="0"/>
        <w:rPr>
          <w:lang w:val="it-IT"/>
        </w:rPr>
      </w:pPr>
      <w:r w:rsidRPr="00E201D1">
        <w:rPr>
          <w:lang w:val="it-IT"/>
        </w:rPr>
        <w:t>Toll Free Number (medical information): 1800 818 806</w:t>
      </w:r>
    </w:p>
    <w:p w:rsidR="00E201D1" w:rsidRDefault="00E201D1" w:rsidP="00E201D1">
      <w:pPr>
        <w:spacing w:before="0"/>
        <w:rPr>
          <w:lang w:val="it-IT"/>
        </w:rPr>
      </w:pPr>
      <w:r w:rsidRPr="00E201D1">
        <w:rPr>
          <w:lang w:val="it-IT"/>
        </w:rPr>
        <w:t>E-mail: medinfo.australia@sanofi.com</w:t>
      </w:r>
    </w:p>
    <w:p w:rsidR="00E201D1" w:rsidRDefault="00E201D1" w:rsidP="003020BF">
      <w:pPr>
        <w:rPr>
          <w:lang w:val="it-IT"/>
        </w:rPr>
      </w:pPr>
      <w:r>
        <w:rPr>
          <w:lang w:val="it-IT"/>
        </w:rPr>
        <w:t>New Zealand</w:t>
      </w:r>
    </w:p>
    <w:p w:rsidR="00E201D1" w:rsidRPr="00E201D1" w:rsidRDefault="00E201D1" w:rsidP="00E201D1">
      <w:pPr>
        <w:spacing w:before="120"/>
        <w:rPr>
          <w:lang w:val="it-IT"/>
        </w:rPr>
      </w:pPr>
      <w:r w:rsidRPr="00E201D1">
        <w:rPr>
          <w:lang w:val="it-IT"/>
        </w:rPr>
        <w:t>sanofi-aventis new zealand limited</w:t>
      </w:r>
    </w:p>
    <w:p w:rsidR="00E201D1" w:rsidRPr="00E201D1" w:rsidRDefault="00E201D1" w:rsidP="00E201D1">
      <w:pPr>
        <w:spacing w:before="0"/>
        <w:rPr>
          <w:lang w:val="it-IT"/>
        </w:rPr>
      </w:pPr>
      <w:r w:rsidRPr="00E201D1">
        <w:rPr>
          <w:lang w:val="it-IT"/>
        </w:rPr>
        <w:t>Level 8, 56 Cawley Street</w:t>
      </w:r>
    </w:p>
    <w:p w:rsidR="00E201D1" w:rsidRPr="00E201D1" w:rsidRDefault="00E201D1" w:rsidP="00E201D1">
      <w:pPr>
        <w:spacing w:before="0"/>
        <w:rPr>
          <w:lang w:val="it-IT"/>
        </w:rPr>
      </w:pPr>
      <w:r w:rsidRPr="00E201D1">
        <w:rPr>
          <w:lang w:val="it-IT"/>
        </w:rPr>
        <w:t>Ellerslie</w:t>
      </w:r>
    </w:p>
    <w:p w:rsidR="00E201D1" w:rsidRDefault="00E201D1" w:rsidP="00E201D1">
      <w:pPr>
        <w:spacing w:before="0"/>
        <w:rPr>
          <w:lang w:val="it-IT"/>
        </w:rPr>
      </w:pPr>
      <w:r w:rsidRPr="00E201D1">
        <w:rPr>
          <w:lang w:val="it-IT"/>
        </w:rPr>
        <w:t>Auckland</w:t>
      </w:r>
    </w:p>
    <w:p w:rsidR="00E201D1" w:rsidRPr="00E201D1" w:rsidRDefault="00E201D1" w:rsidP="00E201D1">
      <w:pPr>
        <w:spacing w:before="0"/>
        <w:rPr>
          <w:lang w:val="it-IT"/>
        </w:rPr>
      </w:pPr>
      <w:r w:rsidRPr="00E201D1">
        <w:rPr>
          <w:lang w:val="it-IT"/>
        </w:rPr>
        <w:t>New Zealand</w:t>
      </w:r>
    </w:p>
    <w:p w:rsidR="00E201D1" w:rsidRPr="00E201D1" w:rsidRDefault="00E201D1" w:rsidP="00E201D1">
      <w:pPr>
        <w:spacing w:before="0"/>
        <w:rPr>
          <w:lang w:val="it-IT"/>
        </w:rPr>
      </w:pPr>
      <w:r w:rsidRPr="00E201D1">
        <w:rPr>
          <w:lang w:val="it-IT"/>
        </w:rPr>
        <w:t>Toll Free Number (medical information): 0800 283 684</w:t>
      </w:r>
    </w:p>
    <w:p w:rsidR="00E201D1" w:rsidRPr="003020BF" w:rsidRDefault="00E201D1" w:rsidP="00E201D1">
      <w:pPr>
        <w:spacing w:before="0"/>
        <w:rPr>
          <w:lang w:val="it-IT"/>
        </w:rPr>
      </w:pPr>
      <w:r w:rsidRPr="00E201D1">
        <w:rPr>
          <w:lang w:val="it-IT"/>
        </w:rPr>
        <w:t>Email: medinfo.australia@sanofi.com</w:t>
      </w:r>
    </w:p>
    <w:p w:rsidR="003020BF" w:rsidRDefault="003020BF" w:rsidP="003020BF">
      <w:pPr>
        <w:pStyle w:val="Heading1"/>
        <w:pageBreakBefore w:val="0"/>
        <w:numPr>
          <w:ilvl w:val="0"/>
          <w:numId w:val="0"/>
        </w:numPr>
      </w:pPr>
      <w:bookmarkStart w:id="38" w:name="_Toc341259173"/>
      <w:r>
        <w:t>poison schedule of the medicine</w:t>
      </w:r>
      <w:bookmarkEnd w:id="38"/>
    </w:p>
    <w:p w:rsidR="003020BF" w:rsidRDefault="003020BF" w:rsidP="003020BF">
      <w:r>
        <w:t>Schedule 4 (Prescription Only Medicine)</w:t>
      </w:r>
    </w:p>
    <w:p w:rsidR="003020BF" w:rsidRDefault="003020BF" w:rsidP="003020BF">
      <w:pPr>
        <w:pStyle w:val="Heading1"/>
        <w:pageBreakBefore w:val="0"/>
        <w:numPr>
          <w:ilvl w:val="0"/>
          <w:numId w:val="0"/>
        </w:numPr>
      </w:pPr>
      <w:bookmarkStart w:id="39" w:name="_Toc341259174"/>
      <w:r>
        <w:t>date of first inclusion in the artg</w:t>
      </w:r>
      <w:bookmarkEnd w:id="39"/>
    </w:p>
    <w:p w:rsidR="00264636" w:rsidRPr="00264636" w:rsidRDefault="00264636" w:rsidP="00264636">
      <w:r>
        <w:t>17 May 2016</w:t>
      </w:r>
    </w:p>
    <w:p w:rsidR="003020BF" w:rsidRDefault="003020BF" w:rsidP="003020BF">
      <w:pPr>
        <w:pStyle w:val="Heading1"/>
        <w:pageBreakBefore w:val="0"/>
        <w:numPr>
          <w:ilvl w:val="0"/>
          <w:numId w:val="0"/>
        </w:numPr>
      </w:pPr>
      <w:bookmarkStart w:id="40" w:name="_Toc341259175"/>
      <w:r>
        <w:t>date of most recent amendment</w:t>
      </w:r>
      <w:bookmarkEnd w:id="40"/>
    </w:p>
    <w:p w:rsidR="00264636" w:rsidRPr="00264636" w:rsidRDefault="00264636" w:rsidP="00264636"/>
    <w:p w:rsidR="00264636" w:rsidRDefault="00264636" w:rsidP="00BC52A5">
      <w:pPr>
        <w:rPr>
          <w:color w:val="auto"/>
        </w:rPr>
      </w:pPr>
    </w:p>
    <w:p w:rsidR="00BC52A5" w:rsidRPr="00D41E3D" w:rsidRDefault="002D4821" w:rsidP="00BC52A5">
      <w:pPr>
        <w:rPr>
          <w:color w:val="auto"/>
          <w:lang w:val="en-AU"/>
        </w:rPr>
      </w:pPr>
      <w:proofErr w:type="spellStart"/>
      <w:r w:rsidRPr="001863CE">
        <w:rPr>
          <w:color w:val="auto"/>
        </w:rPr>
        <w:t>Praluent</w:t>
      </w:r>
      <w:proofErr w:type="spellEnd"/>
      <w:r w:rsidR="001863CE" w:rsidRPr="002D7FA2">
        <w:rPr>
          <w:caps/>
          <w:vertAlign w:val="superscript"/>
        </w:rPr>
        <w:t>®</w:t>
      </w:r>
      <w:r w:rsidRPr="001863CE">
        <w:rPr>
          <w:color w:val="auto"/>
        </w:rPr>
        <w:t xml:space="preserve"> is a registered trademark of Sanofi. </w:t>
      </w:r>
    </w:p>
    <w:sectPr w:rsidR="00BC52A5" w:rsidRPr="00D41E3D">
      <w:headerReference w:type="default" r:id="rId14"/>
      <w:footerReference w:type="even" r:id="rId15"/>
      <w:footerReference w:type="default" r:id="rId16"/>
      <w:pgSz w:w="11906" w:h="16838" w:code="9"/>
      <w:pgMar w:top="1814" w:right="850" w:bottom="2154" w:left="1587" w:header="1134" w:footer="15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AC1" w:rsidRDefault="00F14AC1">
      <w:r>
        <w:separator/>
      </w:r>
    </w:p>
  </w:endnote>
  <w:endnote w:type="continuationSeparator" w:id="0">
    <w:p w:rsidR="00F14AC1" w:rsidRDefault="00F1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D6" w:rsidRDefault="003557D6">
    <w:pPr>
      <w:pStyle w:val="Footer"/>
    </w:pPr>
  </w:p>
  <w:p w:rsidR="003557D6" w:rsidRDefault="003557D6"/>
  <w:p w:rsidR="003557D6" w:rsidRDefault="003557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7D6" w:rsidRDefault="003557D6">
    <w:pPr>
      <w:pStyle w:val="Footer"/>
    </w:pPr>
  </w:p>
  <w:p w:rsidR="003557D6" w:rsidRDefault="003557D6">
    <w:pPr>
      <w:pStyle w:val="Footer"/>
    </w:pPr>
    <w:proofErr w:type="gramStart"/>
    <w:r>
      <w:t>pral-ccdsv2-piv1-</w:t>
    </w:r>
    <w:r w:rsidR="00264636">
      <w:t>17</w:t>
    </w:r>
    <w:r>
      <w:t>may1</w:t>
    </w:r>
    <w:r w:rsidRPr="00734FFC">
      <w:t>6</w:t>
    </w:r>
    <w:proofErr w:type="gramEnd"/>
    <w:r>
      <w:tab/>
      <w:t xml:space="preserve">Page </w:t>
    </w:r>
    <w:r>
      <w:fldChar w:fldCharType="begin"/>
    </w:r>
    <w:r>
      <w:instrText xml:space="preserve"> PAGE  \* MERGEFORMAT </w:instrText>
    </w:r>
    <w:r>
      <w:fldChar w:fldCharType="separate"/>
    </w:r>
    <w:r w:rsidR="006C7A95">
      <w:rPr>
        <w:noProof/>
      </w:rPr>
      <w:t>1</w:t>
    </w:r>
    <w:r>
      <w:fldChar w:fldCharType="end"/>
    </w:r>
  </w:p>
  <w:p w:rsidR="003557D6" w:rsidRDefault="003557D6"/>
  <w:p w:rsidR="003557D6" w:rsidRDefault="003557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AC1" w:rsidRDefault="00F14AC1">
      <w:r>
        <w:separator/>
      </w:r>
    </w:p>
  </w:footnote>
  <w:footnote w:type="continuationSeparator" w:id="0">
    <w:p w:rsidR="00F14AC1" w:rsidRDefault="00F14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34183" w:rsidRPr="005562BE" w:rsidTr="000B4FCC">
      <w:tc>
        <w:tcPr>
          <w:tcW w:w="8720" w:type="dxa"/>
          <w:shd w:val="clear" w:color="auto" w:fill="E4F2E0"/>
        </w:tcPr>
        <w:p w:rsidR="00934183" w:rsidRPr="005562BE" w:rsidRDefault="00934183" w:rsidP="000B4FCC">
          <w:pPr>
            <w:spacing w:before="40" w:after="40"/>
            <w:rPr>
              <w:b/>
              <w:sz w:val="20"/>
              <w:szCs w:val="20"/>
            </w:rPr>
          </w:pPr>
          <w:r w:rsidRPr="005562BE">
            <w:rPr>
              <w:b/>
              <w:sz w:val="20"/>
              <w:szCs w:val="20"/>
            </w:rPr>
            <w:t xml:space="preserve">Attachment 1: Product information for </w:t>
          </w:r>
          <w:proofErr w:type="spellStart"/>
          <w:r w:rsidRPr="005562BE">
            <w:rPr>
              <w:b/>
              <w:sz w:val="20"/>
              <w:szCs w:val="20"/>
            </w:rPr>
            <w:t>AusPAR</w:t>
          </w:r>
          <w:proofErr w:type="spellEnd"/>
          <w:r w:rsidRPr="005562BE">
            <w:rPr>
              <w:b/>
              <w:sz w:val="20"/>
              <w:szCs w:val="20"/>
            </w:rPr>
            <w:t xml:space="preserve"> </w:t>
          </w:r>
          <w:proofErr w:type="spellStart"/>
          <w:r w:rsidRPr="005562BE">
            <w:rPr>
              <w:b/>
              <w:sz w:val="20"/>
              <w:szCs w:val="20"/>
            </w:rPr>
            <w:t>Praluent</w:t>
          </w:r>
          <w:proofErr w:type="spellEnd"/>
          <w:r w:rsidRPr="005562BE">
            <w:rPr>
              <w:b/>
              <w:sz w:val="20"/>
              <w:szCs w:val="20"/>
            </w:rPr>
            <w:t xml:space="preserve"> (</w:t>
          </w:r>
          <w:proofErr w:type="spellStart"/>
          <w:r w:rsidRPr="005562BE">
            <w:rPr>
              <w:b/>
              <w:sz w:val="20"/>
              <w:szCs w:val="20"/>
            </w:rPr>
            <w:t>Golyra</w:t>
          </w:r>
          <w:proofErr w:type="spellEnd"/>
          <w:r w:rsidRPr="005562BE">
            <w:rPr>
              <w:b/>
              <w:sz w:val="20"/>
              <w:szCs w:val="20"/>
            </w:rPr>
            <w:t>/</w:t>
          </w:r>
          <w:proofErr w:type="spellStart"/>
          <w:r w:rsidRPr="005562BE">
            <w:rPr>
              <w:b/>
              <w:sz w:val="20"/>
              <w:szCs w:val="20"/>
            </w:rPr>
            <w:t>Eliriduc</w:t>
          </w:r>
          <w:proofErr w:type="spellEnd"/>
          <w:r w:rsidRPr="005562BE">
            <w:rPr>
              <w:b/>
              <w:sz w:val="20"/>
              <w:szCs w:val="20"/>
            </w:rPr>
            <w:t xml:space="preserve">) </w:t>
          </w:r>
          <w:proofErr w:type="spellStart"/>
          <w:r w:rsidRPr="005562BE">
            <w:rPr>
              <w:b/>
              <w:sz w:val="20"/>
              <w:szCs w:val="20"/>
            </w:rPr>
            <w:t>Alirocumab</w:t>
          </w:r>
          <w:proofErr w:type="spellEnd"/>
          <w:r w:rsidRPr="005562BE">
            <w:rPr>
              <w:b/>
              <w:sz w:val="20"/>
              <w:szCs w:val="20"/>
            </w:rPr>
            <w:t xml:space="preserve"> Sanofi Aventis Australia Pty Ltd PM-2015-00764-1-3 Final 13 December 2016. This Product Information was approved at the time this </w:t>
          </w:r>
          <w:proofErr w:type="spellStart"/>
          <w:r w:rsidRPr="005562BE">
            <w:rPr>
              <w:b/>
              <w:sz w:val="20"/>
              <w:szCs w:val="20"/>
            </w:rPr>
            <w:t>AusPAR</w:t>
          </w:r>
          <w:proofErr w:type="spellEnd"/>
          <w:r w:rsidRPr="005562BE">
            <w:rPr>
              <w:b/>
              <w:sz w:val="20"/>
              <w:szCs w:val="20"/>
            </w:rPr>
            <w:t xml:space="preserve"> was published.</w:t>
          </w:r>
        </w:p>
      </w:tc>
    </w:tr>
  </w:tbl>
  <w:p w:rsidR="00934183" w:rsidRDefault="00934183">
    <w:pPr>
      <w:pStyle w:val="Header"/>
    </w:pPr>
  </w:p>
  <w:p w:rsidR="003557D6" w:rsidRDefault="006C7A95">
    <w:pPr>
      <w:pStyle w:val="Header"/>
    </w:pPr>
    <w:r>
      <w:fldChar w:fldCharType="begin"/>
    </w:r>
    <w:r>
      <w:instrText xml:space="preserve"> DOCPROPERTY "Document Type"  \* MERGEFORMAT </w:instrText>
    </w:r>
    <w:r>
      <w:fldChar w:fldCharType="separate"/>
    </w:r>
    <w:r w:rsidR="00920B05">
      <w:t>PRODUCT INFORMATION</w:t>
    </w:r>
    <w:r>
      <w:fldChar w:fldCharType="end"/>
    </w:r>
    <w:r w:rsidR="003557D6">
      <w:t xml:space="preserve"> </w:t>
    </w:r>
    <w:r w:rsidR="003557D6">
      <w:tab/>
    </w:r>
    <w:r>
      <w:fldChar w:fldCharType="begin"/>
    </w:r>
    <w:r>
      <w:instrText xml:space="preserve"> DOCPROPERTY "Date"  \* MERGEFORMAT </w:instrText>
    </w:r>
    <w:r>
      <w:fldChar w:fldCharType="separate"/>
    </w:r>
    <w:r w:rsidR="00920B05">
      <w:t>17-May-2016</w:t>
    </w:r>
    <w:r>
      <w:fldChar w:fldCharType="end"/>
    </w:r>
  </w:p>
  <w:p w:rsidR="003557D6" w:rsidRDefault="0089714A">
    <w:pPr>
      <w:pStyle w:val="Header"/>
    </w:pPr>
    <w:r>
      <w:fldChar w:fldCharType="begin"/>
    </w:r>
    <w:r>
      <w:instrText xml:space="preserve"> DOCPROPERTY "Product Code"  \* MERGEFORMAT </w:instrText>
    </w:r>
    <w:r>
      <w:fldChar w:fldCharType="separate"/>
    </w:r>
    <w:proofErr w:type="spellStart"/>
    <w:r w:rsidR="00920B05">
      <w:t>Praluent</w:t>
    </w:r>
    <w:proofErr w:type="spellEnd"/>
    <w:r>
      <w:fldChar w:fldCharType="end"/>
    </w:r>
    <w:r w:rsidR="003557D6">
      <w:t xml:space="preserve"> - </w:t>
    </w:r>
    <w:r>
      <w:fldChar w:fldCharType="begin"/>
    </w:r>
    <w:r>
      <w:instrText xml:space="preserve"> DOCPROPERTY "INN"  \* MERGEFORMAT </w:instrText>
    </w:r>
    <w:r>
      <w:fldChar w:fldCharType="separate"/>
    </w:r>
    <w:proofErr w:type="spellStart"/>
    <w:r w:rsidR="00920B05">
      <w:t>Alirocumab</w:t>
    </w:r>
    <w:proofErr w:type="spellEnd"/>
    <w:r w:rsidR="00920B05">
      <w:t xml:space="preserve"> - 75mg, 150mg solution for injection</w:t>
    </w:r>
    <w:r>
      <w:fldChar w:fldCharType="end"/>
    </w:r>
    <w:r w:rsidR="003557D6">
      <w:tab/>
    </w:r>
  </w:p>
  <w:p w:rsidR="003557D6" w:rsidRDefault="003557D6"/>
  <w:p w:rsidR="003557D6" w:rsidRDefault="003557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17.25pt;height:15pt;visibility:visible" o:bullet="t">
        <v:imagedata r:id="rId1" o:title=""/>
      </v:shape>
    </w:pict>
  </w:numPicBullet>
  <w:abstractNum w:abstractNumId="0">
    <w:nsid w:val="FFFFFF89"/>
    <w:multiLevelType w:val="singleLevel"/>
    <w:tmpl w:val="B906B9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4B5F5B"/>
    <w:multiLevelType w:val="hybridMultilevel"/>
    <w:tmpl w:val="2E4C6320"/>
    <w:lvl w:ilvl="0" w:tplc="3B00F5F4">
      <w:start w:val="75"/>
      <w:numFmt w:val="bullet"/>
      <w:lvlText w:val="-"/>
      <w:lvlJc w:val="left"/>
      <w:pPr>
        <w:ind w:left="360" w:hanging="360"/>
      </w:pPr>
      <w:rPr>
        <w:rFonts w:ascii="Times New Roman" w:eastAsia="MS Mincho"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5FD7725"/>
    <w:multiLevelType w:val="hybridMultilevel"/>
    <w:tmpl w:val="E3C6DB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0C0268D4"/>
    <w:multiLevelType w:val="multilevel"/>
    <w:tmpl w:val="D3B2F580"/>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4">
    <w:nsid w:val="0E563DE3"/>
    <w:multiLevelType w:val="multilevel"/>
    <w:tmpl w:val="EA961A4C"/>
    <w:lvl w:ilvl="0">
      <w:start w:val="1"/>
      <w:numFmt w:val="lowerLetter"/>
      <w:lvlRestart w:val="0"/>
      <w:pStyle w:val="ListAlphabeticalLevel2"/>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5">
    <w:nsid w:val="133620E7"/>
    <w:multiLevelType w:val="hybridMultilevel"/>
    <w:tmpl w:val="0F383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13CF1C02"/>
    <w:multiLevelType w:val="multilevel"/>
    <w:tmpl w:val="EC448D7A"/>
    <w:lvl w:ilvl="0">
      <w:start w:val="1"/>
      <w:numFmt w:val="none"/>
      <w:pStyle w:val="Heading1NoNumbering"/>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4832C39"/>
    <w:multiLevelType w:val="multilevel"/>
    <w:tmpl w:val="08526A80"/>
    <w:name w:val="List_Alphabetical_Level_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8">
    <w:nsid w:val="150F27E3"/>
    <w:multiLevelType w:val="multilevel"/>
    <w:tmpl w:val="80E0916A"/>
    <w:name w:val="List_Alphabetical_Level_2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9">
    <w:nsid w:val="15602948"/>
    <w:multiLevelType w:val="hybridMultilevel"/>
    <w:tmpl w:val="0F383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1DC41614"/>
    <w:multiLevelType w:val="multilevel"/>
    <w:tmpl w:val="56767712"/>
    <w:lvl w:ilvl="0">
      <w:start w:val="1"/>
      <w:numFmt w:val="decimal"/>
      <w:lvlRestart w:val="0"/>
      <w:pStyle w:val="ListNumbered"/>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1">
    <w:nsid w:val="22776B41"/>
    <w:multiLevelType w:val="hybridMultilevel"/>
    <w:tmpl w:val="F50EA496"/>
    <w:lvl w:ilvl="0" w:tplc="57AA7B34">
      <w:start w:val="7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E4D086B"/>
    <w:multiLevelType w:val="multilevel"/>
    <w:tmpl w:val="98FEE14A"/>
    <w:lvl w:ilvl="0">
      <w:start w:val="1"/>
      <w:numFmt w:val="upperLetter"/>
      <w:lvlRestart w:val="0"/>
      <w:pStyle w:val="ListAlphabeticalLevel1"/>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3">
    <w:nsid w:val="311E02EA"/>
    <w:multiLevelType w:val="multilevel"/>
    <w:tmpl w:val="2B7ED206"/>
    <w:name w:val="List_Bulleted_level_1"/>
    <w:lvl w:ilvl="0">
      <w:start w:val="1"/>
      <w:numFmt w:val="bullet"/>
      <w:lvlRestart w:val="0"/>
      <w:lvlText w:val=""/>
      <w:lvlJc w:val="left"/>
      <w:pPr>
        <w:tabs>
          <w:tab w:val="num" w:pos="720"/>
        </w:tabs>
        <w:ind w:left="720" w:hanging="357"/>
      </w:pPr>
      <w:rPr>
        <w:rFonts w:ascii="Symbol" w:hAnsi="Symbol" w:hint="default"/>
      </w:rPr>
    </w:lvl>
    <w:lvl w:ilvl="1">
      <w:start w:val="1"/>
      <w:numFmt w:val="decimal"/>
      <w:lvlText w:val=""/>
      <w:lvlJc w:val="left"/>
      <w:pPr>
        <w:tabs>
          <w:tab w:val="num" w:pos="1083"/>
        </w:tabs>
        <w:ind w:left="1083" w:hanging="363"/>
      </w:pPr>
      <w:rPr>
        <w:rFonts w:hint="default"/>
      </w:rPr>
    </w:lvl>
    <w:lvl w:ilvl="2">
      <w:start w:val="1"/>
      <w:numFmt w:val="decimal"/>
      <w:lvlText w:val=""/>
      <w:lvlJc w:val="left"/>
      <w:pPr>
        <w:tabs>
          <w:tab w:val="num" w:pos="1440"/>
        </w:tabs>
        <w:ind w:left="1440" w:hanging="357"/>
      </w:pPr>
      <w:rPr>
        <w:rFonts w:hint="default"/>
      </w:rPr>
    </w:lvl>
    <w:lvl w:ilvl="3">
      <w:start w:val="1"/>
      <w:numFmt w:val="decimal"/>
      <w:lvlText w:val=""/>
      <w:lvlJc w:val="left"/>
      <w:pPr>
        <w:tabs>
          <w:tab w:val="num" w:pos="1803"/>
        </w:tabs>
        <w:ind w:left="1803" w:hanging="363"/>
      </w:pPr>
      <w:rPr>
        <w:rFonts w:hint="default"/>
      </w:rPr>
    </w:lvl>
    <w:lvl w:ilvl="4">
      <w:start w:val="1"/>
      <w:numFmt w:val="decimal"/>
      <w:lvlText w:val=""/>
      <w:lvlJc w:val="left"/>
      <w:pPr>
        <w:tabs>
          <w:tab w:val="num" w:pos="2160"/>
        </w:tabs>
        <w:ind w:left="2160" w:hanging="357"/>
      </w:pPr>
      <w:rPr>
        <w:rFonts w:hint="default"/>
      </w:rPr>
    </w:lvl>
    <w:lvl w:ilvl="5">
      <w:start w:val="1"/>
      <w:numFmt w:val="decimal"/>
      <w:lvlText w:val=""/>
      <w:lvlJc w:val="left"/>
      <w:pPr>
        <w:tabs>
          <w:tab w:val="num" w:pos="2523"/>
        </w:tabs>
        <w:ind w:left="2523" w:hanging="363"/>
      </w:pPr>
      <w:rPr>
        <w:rFonts w:hint="default"/>
      </w:rPr>
    </w:lvl>
    <w:lvl w:ilvl="6">
      <w:start w:val="1"/>
      <w:numFmt w:val="decimal"/>
      <w:lvlText w:val=""/>
      <w:lvlJc w:val="left"/>
      <w:pPr>
        <w:tabs>
          <w:tab w:val="num" w:pos="2880"/>
        </w:tabs>
        <w:ind w:left="2880" w:hanging="357"/>
      </w:pPr>
      <w:rPr>
        <w:rFonts w:hint="default"/>
      </w:rPr>
    </w:lvl>
    <w:lvl w:ilvl="7">
      <w:start w:val="1"/>
      <w:numFmt w:val="decimal"/>
      <w:lvlText w:val=""/>
      <w:lvlJc w:val="left"/>
      <w:pPr>
        <w:tabs>
          <w:tab w:val="num" w:pos="3243"/>
        </w:tabs>
        <w:ind w:left="3243" w:hanging="363"/>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6A76F60"/>
    <w:multiLevelType w:val="multilevel"/>
    <w:tmpl w:val="C71ABB6C"/>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5">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4742C01"/>
    <w:multiLevelType w:val="multilevel"/>
    <w:tmpl w:val="1AB28D80"/>
    <w:name w:val="List_Bulleted_level_1"/>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794"/>
        </w:tabs>
        <w:ind w:left="794" w:hanging="437"/>
      </w:pPr>
      <w:rPr>
        <w:rFonts w:ascii="Symbol" w:hAnsi="Symbol" w:hint="default"/>
      </w:rPr>
    </w:lvl>
    <w:lvl w:ilvl="2">
      <w:start w:val="1"/>
      <w:numFmt w:val="bullet"/>
      <w:lvlText w:val=""/>
      <w:lvlJc w:val="left"/>
      <w:pPr>
        <w:tabs>
          <w:tab w:val="num" w:pos="1440"/>
        </w:tabs>
        <w:ind w:left="1225" w:hanging="505"/>
      </w:pPr>
      <w:rPr>
        <w:rFonts w:ascii="Symbol" w:hAnsi="Symbol" w:hint="default"/>
      </w:rPr>
    </w:lvl>
    <w:lvl w:ilvl="3">
      <w:start w:val="1"/>
      <w:numFmt w:val="bullet"/>
      <w:lvlText w:val=""/>
      <w:lvlJc w:val="left"/>
      <w:pPr>
        <w:tabs>
          <w:tab w:val="num" w:pos="1797"/>
        </w:tabs>
        <w:ind w:left="1729" w:hanging="652"/>
      </w:pPr>
      <w:rPr>
        <w:rFonts w:ascii="Symbol" w:hAnsi="Symbol" w:hint="default"/>
      </w:rPr>
    </w:lvl>
    <w:lvl w:ilvl="4">
      <w:start w:val="1"/>
      <w:numFmt w:val="bullet"/>
      <w:lvlText w:val=""/>
      <w:lvlJc w:val="left"/>
      <w:pPr>
        <w:tabs>
          <w:tab w:val="num" w:pos="2517"/>
        </w:tabs>
        <w:ind w:left="2234" w:hanging="794"/>
      </w:pPr>
      <w:rPr>
        <w:rFonts w:ascii="Symbol" w:hAnsi="Symbol" w:hint="default"/>
      </w:rPr>
    </w:lvl>
    <w:lvl w:ilvl="5">
      <w:start w:val="1"/>
      <w:numFmt w:val="bullet"/>
      <w:lvlText w:val=""/>
      <w:lvlJc w:val="left"/>
      <w:pPr>
        <w:tabs>
          <w:tab w:val="num" w:pos="2880"/>
        </w:tabs>
        <w:ind w:left="2738" w:hanging="941"/>
      </w:pPr>
      <w:rPr>
        <w:rFonts w:ascii="Symbol" w:hAnsi="Symbol" w:hint="default"/>
      </w:rPr>
    </w:lvl>
    <w:lvl w:ilvl="6">
      <w:start w:val="1"/>
      <w:numFmt w:val="bullet"/>
      <w:lvlText w:val=""/>
      <w:lvlJc w:val="left"/>
      <w:pPr>
        <w:tabs>
          <w:tab w:val="num" w:pos="3600"/>
        </w:tabs>
        <w:ind w:left="3237" w:hanging="1077"/>
      </w:pPr>
      <w:rPr>
        <w:rFonts w:ascii="Symbol" w:hAnsi="Symbol" w:hint="default"/>
      </w:rPr>
    </w:lvl>
    <w:lvl w:ilvl="7">
      <w:start w:val="1"/>
      <w:numFmt w:val="bullet"/>
      <w:lvlText w:val=""/>
      <w:lvlJc w:val="left"/>
      <w:pPr>
        <w:tabs>
          <w:tab w:val="num" w:pos="3957"/>
        </w:tabs>
        <w:ind w:left="3742" w:hanging="1225"/>
      </w:pPr>
      <w:rPr>
        <w:rFonts w:ascii="Symbol" w:hAnsi="Symbol" w:hint="default"/>
      </w:rPr>
    </w:lvl>
    <w:lvl w:ilvl="8">
      <w:start w:val="1"/>
      <w:numFmt w:val="bullet"/>
      <w:lvlText w:val=""/>
      <w:lvlJc w:val="left"/>
      <w:pPr>
        <w:tabs>
          <w:tab w:val="num" w:pos="4677"/>
        </w:tabs>
        <w:ind w:left="4320" w:hanging="1440"/>
      </w:pPr>
      <w:rPr>
        <w:rFonts w:ascii="Symbol" w:hAnsi="Symbol" w:hint="default"/>
      </w:rPr>
    </w:lvl>
  </w:abstractNum>
  <w:abstractNum w:abstractNumId="17">
    <w:nsid w:val="569B40D4"/>
    <w:multiLevelType w:val="hybridMultilevel"/>
    <w:tmpl w:val="0F383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60805D9E"/>
    <w:multiLevelType w:val="multilevel"/>
    <w:tmpl w:val="AE06BB0E"/>
    <w:name w:val="List_Alphabetical_Level_1"/>
    <w:lvl w:ilvl="0">
      <w:start w:val="1"/>
      <w:numFmt w:val="upperLetter"/>
      <w:lvlRestart w:val="0"/>
      <w:lvlText w:val="%1)"/>
      <w:lvlJc w:val="left"/>
      <w:pPr>
        <w:tabs>
          <w:tab w:val="num" w:pos="720"/>
        </w:tabs>
        <w:ind w:left="720" w:hanging="357"/>
      </w:pPr>
      <w:rPr>
        <w:rFonts w:hint="default"/>
      </w:rPr>
    </w:lvl>
    <w:lvl w:ilvl="1">
      <w:start w:val="1"/>
      <w:numFmt w:val="upperLetter"/>
      <w:lvlText w:val="%2)"/>
      <w:lvlJc w:val="left"/>
      <w:pPr>
        <w:tabs>
          <w:tab w:val="num" w:pos="1083"/>
        </w:tabs>
        <w:ind w:left="1083" w:hanging="363"/>
      </w:pPr>
      <w:rPr>
        <w:rFonts w:hint="default"/>
      </w:rPr>
    </w:lvl>
    <w:lvl w:ilvl="2">
      <w:start w:val="1"/>
      <w:numFmt w:val="upperLetter"/>
      <w:lvlText w:val="%3)"/>
      <w:lvlJc w:val="left"/>
      <w:pPr>
        <w:tabs>
          <w:tab w:val="num" w:pos="1440"/>
        </w:tabs>
        <w:ind w:left="1440" w:hanging="357"/>
      </w:pPr>
      <w:rPr>
        <w:rFonts w:hint="default"/>
      </w:rPr>
    </w:lvl>
    <w:lvl w:ilvl="3">
      <w:start w:val="1"/>
      <w:numFmt w:val="upperLetter"/>
      <w:lvlText w:val="%4)"/>
      <w:lvlJc w:val="left"/>
      <w:pPr>
        <w:tabs>
          <w:tab w:val="num" w:pos="1803"/>
        </w:tabs>
        <w:ind w:left="1803" w:hanging="363"/>
      </w:pPr>
      <w:rPr>
        <w:rFonts w:hint="default"/>
      </w:rPr>
    </w:lvl>
    <w:lvl w:ilvl="4">
      <w:start w:val="1"/>
      <w:numFmt w:val="upperLetter"/>
      <w:lvlText w:val="%5)"/>
      <w:lvlJc w:val="left"/>
      <w:pPr>
        <w:tabs>
          <w:tab w:val="num" w:pos="2160"/>
        </w:tabs>
        <w:ind w:left="2160" w:hanging="357"/>
      </w:pPr>
      <w:rPr>
        <w:rFonts w:hint="default"/>
      </w:rPr>
    </w:lvl>
    <w:lvl w:ilvl="5">
      <w:start w:val="1"/>
      <w:numFmt w:val="upperLetter"/>
      <w:lvlText w:val="%6)"/>
      <w:lvlJc w:val="left"/>
      <w:pPr>
        <w:tabs>
          <w:tab w:val="num" w:pos="2523"/>
        </w:tabs>
        <w:ind w:left="2523" w:hanging="363"/>
      </w:pPr>
      <w:rPr>
        <w:rFonts w:hint="default"/>
      </w:rPr>
    </w:lvl>
    <w:lvl w:ilvl="6">
      <w:start w:val="1"/>
      <w:numFmt w:val="upperLetter"/>
      <w:lvlText w:val="%7)"/>
      <w:lvlJc w:val="left"/>
      <w:pPr>
        <w:tabs>
          <w:tab w:val="num" w:pos="2880"/>
        </w:tabs>
        <w:ind w:left="2880" w:hanging="357"/>
      </w:pPr>
      <w:rPr>
        <w:rFonts w:hint="default"/>
      </w:rPr>
    </w:lvl>
    <w:lvl w:ilvl="7">
      <w:start w:val="1"/>
      <w:numFmt w:val="upperLetter"/>
      <w:lvlText w:val="%8)"/>
      <w:lvlJc w:val="left"/>
      <w:pPr>
        <w:tabs>
          <w:tab w:val="num" w:pos="3243"/>
        </w:tabs>
        <w:ind w:left="3243" w:hanging="363"/>
      </w:pPr>
      <w:rPr>
        <w:rFonts w:hint="default"/>
      </w:rPr>
    </w:lvl>
    <w:lvl w:ilvl="8">
      <w:start w:val="1"/>
      <w:numFmt w:val="lowerRoman"/>
      <w:lvlText w:val="%9."/>
      <w:lvlJc w:val="right"/>
      <w:pPr>
        <w:tabs>
          <w:tab w:val="num" w:pos="1584"/>
        </w:tabs>
        <w:ind w:left="1584" w:hanging="144"/>
      </w:pPr>
      <w:rPr>
        <w:rFonts w:hint="default"/>
      </w:rPr>
    </w:lvl>
  </w:abstractNum>
  <w:abstractNum w:abstractNumId="2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26226E"/>
    <w:multiLevelType w:val="hybridMultilevel"/>
    <w:tmpl w:val="6302B778"/>
    <w:lvl w:ilvl="0" w:tplc="B6C42D46">
      <w:start w:val="7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EE16F05"/>
    <w:multiLevelType w:val="hybridMultilevel"/>
    <w:tmpl w:val="AC328014"/>
    <w:lvl w:ilvl="0" w:tplc="C9148FC4">
      <w:numFmt w:val="bullet"/>
      <w:lvlText w:val="-"/>
      <w:lvlJc w:val="left"/>
      <w:pPr>
        <w:ind w:left="360" w:hanging="360"/>
      </w:pPr>
      <w:rPr>
        <w:rFonts w:ascii="Arial Narrow" w:eastAsia="MS Gothic" w:hAnsi="Arial Narrow"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nsid w:val="71CE414F"/>
    <w:multiLevelType w:val="hybridMultilevel"/>
    <w:tmpl w:val="99F61858"/>
    <w:lvl w:ilvl="0" w:tplc="ED465E08">
      <w:start w:val="1"/>
      <w:numFmt w:val="bullet"/>
      <w:pStyle w:val="TblTextbulletedlis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nsid w:val="7D6C59A9"/>
    <w:multiLevelType w:val="multilevel"/>
    <w:tmpl w:val="ABBE3336"/>
    <w:lvl w:ilvl="0">
      <w:start w:val="1"/>
      <w:numFmt w:val="bullet"/>
      <w:lvlRestart w:val="0"/>
      <w:pStyle w:val="ListBulletLevel1"/>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sz w:val="21"/>
      </w:rPr>
    </w:lvl>
    <w:lvl w:ilvl="2">
      <w:start w:val="1"/>
      <w:numFmt w:val="bullet"/>
      <w:lvlText w:val=""/>
      <w:lvlJc w:val="left"/>
      <w:pPr>
        <w:tabs>
          <w:tab w:val="num" w:pos="1440"/>
        </w:tabs>
        <w:ind w:left="1440" w:hanging="357"/>
      </w:pPr>
      <w:rPr>
        <w:rFonts w:ascii="Symbol" w:hAnsi="Symbol"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5">
    <w:nsid w:val="7FD14CA0"/>
    <w:multiLevelType w:val="multilevel"/>
    <w:tmpl w:val="BF20D5B6"/>
    <w:name w:val="List_Alphabetical_Level_12"/>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lowerRoman"/>
      <w:lvlText w:val="%9."/>
      <w:lvlJc w:val="right"/>
      <w:pPr>
        <w:tabs>
          <w:tab w:val="num" w:pos="1584"/>
        </w:tabs>
        <w:ind w:left="1584" w:hanging="144"/>
      </w:pPr>
    </w:lvl>
  </w:abstractNum>
  <w:abstractNum w:abstractNumId="26">
    <w:nsid w:val="7FFA6A7E"/>
    <w:multiLevelType w:val="hybridMultilevel"/>
    <w:tmpl w:val="0F383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6"/>
  </w:num>
  <w:num w:numId="2">
    <w:abstractNumId w:val="20"/>
  </w:num>
  <w:num w:numId="3">
    <w:abstractNumId w:val="12"/>
  </w:num>
  <w:num w:numId="4">
    <w:abstractNumId w:val="10"/>
  </w:num>
  <w:num w:numId="5">
    <w:abstractNumId w:val="4"/>
  </w:num>
  <w:num w:numId="6">
    <w:abstractNumId w:val="0"/>
  </w:num>
  <w:num w:numId="7">
    <w:abstractNumId w:val="24"/>
  </w:num>
  <w:num w:numId="8">
    <w:abstractNumId w:val="14"/>
  </w:num>
  <w:num w:numId="9">
    <w:abstractNumId w:val="23"/>
  </w:num>
  <w:num w:numId="10">
    <w:abstractNumId w:val="20"/>
  </w:num>
  <w:num w:numId="11">
    <w:abstractNumId w:val="20"/>
  </w:num>
  <w:num w:numId="12">
    <w:abstractNumId w:val="20"/>
  </w:num>
  <w:num w:numId="13">
    <w:abstractNumId w:val="6"/>
  </w:num>
  <w:num w:numId="14">
    <w:abstractNumId w:val="6"/>
  </w:num>
  <w:num w:numId="15">
    <w:abstractNumId w:val="24"/>
  </w:num>
  <w:num w:numId="16">
    <w:abstractNumId w:val="24"/>
  </w:num>
  <w:num w:numId="17">
    <w:abstractNumId w:val="15"/>
  </w:num>
  <w:num w:numId="18">
    <w:abstractNumId w:val="18"/>
  </w:num>
  <w:num w:numId="19">
    <w:abstractNumId w:val="3"/>
  </w:num>
  <w:num w:numId="20">
    <w:abstractNumId w:val="1"/>
  </w:num>
  <w:num w:numId="21">
    <w:abstractNumId w:val="11"/>
  </w:num>
  <w:num w:numId="22">
    <w:abstractNumId w:val="21"/>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22"/>
  </w:num>
  <w:num w:numId="39">
    <w:abstractNumId w:val="22"/>
  </w:num>
  <w:num w:numId="40">
    <w:abstractNumId w:val="3"/>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17"/>
  </w:num>
  <w:num w:numId="44">
    <w:abstractNumId w:val="26"/>
  </w:num>
  <w:num w:numId="45">
    <w:abstractNumId w:val="2"/>
  </w:num>
  <w:num w:numId="4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agShowHiddenText" w:val="1"/>
  </w:docVars>
  <w:rsids>
    <w:rsidRoot w:val="004E23E5"/>
    <w:rsid w:val="00002240"/>
    <w:rsid w:val="0001045A"/>
    <w:rsid w:val="00012C55"/>
    <w:rsid w:val="000264AB"/>
    <w:rsid w:val="000328D6"/>
    <w:rsid w:val="0003342E"/>
    <w:rsid w:val="0003459C"/>
    <w:rsid w:val="0003481C"/>
    <w:rsid w:val="00037E40"/>
    <w:rsid w:val="000438D4"/>
    <w:rsid w:val="00044378"/>
    <w:rsid w:val="00052345"/>
    <w:rsid w:val="000544C4"/>
    <w:rsid w:val="0005757B"/>
    <w:rsid w:val="0006281C"/>
    <w:rsid w:val="00063A7F"/>
    <w:rsid w:val="00064453"/>
    <w:rsid w:val="00065C3F"/>
    <w:rsid w:val="00070259"/>
    <w:rsid w:val="000710D4"/>
    <w:rsid w:val="00072436"/>
    <w:rsid w:val="0007604A"/>
    <w:rsid w:val="000813E7"/>
    <w:rsid w:val="00083669"/>
    <w:rsid w:val="00086E6D"/>
    <w:rsid w:val="000A128C"/>
    <w:rsid w:val="000A13E8"/>
    <w:rsid w:val="000A6510"/>
    <w:rsid w:val="000A7735"/>
    <w:rsid w:val="000A79E3"/>
    <w:rsid w:val="000A7C75"/>
    <w:rsid w:val="000C488F"/>
    <w:rsid w:val="000D5944"/>
    <w:rsid w:val="000E1B95"/>
    <w:rsid w:val="000E7444"/>
    <w:rsid w:val="000F29F2"/>
    <w:rsid w:val="000F66F8"/>
    <w:rsid w:val="000F7DBF"/>
    <w:rsid w:val="001002E6"/>
    <w:rsid w:val="00104284"/>
    <w:rsid w:val="001134AA"/>
    <w:rsid w:val="00126A0D"/>
    <w:rsid w:val="00127ADB"/>
    <w:rsid w:val="00131372"/>
    <w:rsid w:val="00133495"/>
    <w:rsid w:val="00137658"/>
    <w:rsid w:val="00145458"/>
    <w:rsid w:val="00147103"/>
    <w:rsid w:val="00152465"/>
    <w:rsid w:val="0016562B"/>
    <w:rsid w:val="00171D17"/>
    <w:rsid w:val="00172B75"/>
    <w:rsid w:val="0017647E"/>
    <w:rsid w:val="00181601"/>
    <w:rsid w:val="001863CE"/>
    <w:rsid w:val="00196AED"/>
    <w:rsid w:val="0019780F"/>
    <w:rsid w:val="001A44F6"/>
    <w:rsid w:val="001A6ED4"/>
    <w:rsid w:val="001B0FE9"/>
    <w:rsid w:val="001B14C4"/>
    <w:rsid w:val="001C1F76"/>
    <w:rsid w:val="001C3217"/>
    <w:rsid w:val="001C70ED"/>
    <w:rsid w:val="001D254B"/>
    <w:rsid w:val="001D68DE"/>
    <w:rsid w:val="001E176F"/>
    <w:rsid w:val="001E475F"/>
    <w:rsid w:val="001E4872"/>
    <w:rsid w:val="001E51BE"/>
    <w:rsid w:val="001E7322"/>
    <w:rsid w:val="002022CA"/>
    <w:rsid w:val="00204570"/>
    <w:rsid w:val="00204F4F"/>
    <w:rsid w:val="00205F7D"/>
    <w:rsid w:val="00207BB6"/>
    <w:rsid w:val="00226889"/>
    <w:rsid w:val="00232274"/>
    <w:rsid w:val="00232594"/>
    <w:rsid w:val="00245385"/>
    <w:rsid w:val="00245D14"/>
    <w:rsid w:val="00246597"/>
    <w:rsid w:val="00251B2D"/>
    <w:rsid w:val="00257861"/>
    <w:rsid w:val="00264636"/>
    <w:rsid w:val="002720FA"/>
    <w:rsid w:val="002735D1"/>
    <w:rsid w:val="0027477C"/>
    <w:rsid w:val="00286911"/>
    <w:rsid w:val="002A34A3"/>
    <w:rsid w:val="002A5487"/>
    <w:rsid w:val="002A6F94"/>
    <w:rsid w:val="002B07CE"/>
    <w:rsid w:val="002B24BF"/>
    <w:rsid w:val="002B28F4"/>
    <w:rsid w:val="002C6E12"/>
    <w:rsid w:val="002C6F3A"/>
    <w:rsid w:val="002D4821"/>
    <w:rsid w:val="002D7FA2"/>
    <w:rsid w:val="002E5ADB"/>
    <w:rsid w:val="002E77D8"/>
    <w:rsid w:val="002F0D59"/>
    <w:rsid w:val="002F227F"/>
    <w:rsid w:val="002F7924"/>
    <w:rsid w:val="003020BF"/>
    <w:rsid w:val="00304D87"/>
    <w:rsid w:val="003213EC"/>
    <w:rsid w:val="00321D71"/>
    <w:rsid w:val="00324931"/>
    <w:rsid w:val="00330174"/>
    <w:rsid w:val="003535F3"/>
    <w:rsid w:val="00354D0A"/>
    <w:rsid w:val="003557D6"/>
    <w:rsid w:val="00373E1B"/>
    <w:rsid w:val="00377284"/>
    <w:rsid w:val="003828AD"/>
    <w:rsid w:val="00383443"/>
    <w:rsid w:val="0038392A"/>
    <w:rsid w:val="00383E6C"/>
    <w:rsid w:val="00384BEA"/>
    <w:rsid w:val="00385607"/>
    <w:rsid w:val="0039331B"/>
    <w:rsid w:val="00395312"/>
    <w:rsid w:val="00395EEB"/>
    <w:rsid w:val="003A4ECD"/>
    <w:rsid w:val="003B4007"/>
    <w:rsid w:val="003B4272"/>
    <w:rsid w:val="003B60AA"/>
    <w:rsid w:val="003C6CFB"/>
    <w:rsid w:val="003D2EBF"/>
    <w:rsid w:val="003D3BB8"/>
    <w:rsid w:val="003E0D7D"/>
    <w:rsid w:val="003E320D"/>
    <w:rsid w:val="003E6CC7"/>
    <w:rsid w:val="003E7CED"/>
    <w:rsid w:val="003F0463"/>
    <w:rsid w:val="003F0C95"/>
    <w:rsid w:val="003F1F94"/>
    <w:rsid w:val="003F631E"/>
    <w:rsid w:val="00400C72"/>
    <w:rsid w:val="00404577"/>
    <w:rsid w:val="00405ED8"/>
    <w:rsid w:val="004111BE"/>
    <w:rsid w:val="00411950"/>
    <w:rsid w:val="004340AD"/>
    <w:rsid w:val="00435F55"/>
    <w:rsid w:val="004361BB"/>
    <w:rsid w:val="00451D7C"/>
    <w:rsid w:val="00461691"/>
    <w:rsid w:val="004700A7"/>
    <w:rsid w:val="00472DFA"/>
    <w:rsid w:val="00476F04"/>
    <w:rsid w:val="00485763"/>
    <w:rsid w:val="0048703B"/>
    <w:rsid w:val="004912C3"/>
    <w:rsid w:val="00491F71"/>
    <w:rsid w:val="00493EA4"/>
    <w:rsid w:val="00495D49"/>
    <w:rsid w:val="00495F36"/>
    <w:rsid w:val="004966A8"/>
    <w:rsid w:val="004978DB"/>
    <w:rsid w:val="004B03EF"/>
    <w:rsid w:val="004B1A40"/>
    <w:rsid w:val="004B47B3"/>
    <w:rsid w:val="004B6A38"/>
    <w:rsid w:val="004C59E5"/>
    <w:rsid w:val="004D74B6"/>
    <w:rsid w:val="004E18F2"/>
    <w:rsid w:val="004E23E5"/>
    <w:rsid w:val="005037F6"/>
    <w:rsid w:val="00505CC0"/>
    <w:rsid w:val="00513CD0"/>
    <w:rsid w:val="00515B13"/>
    <w:rsid w:val="00517136"/>
    <w:rsid w:val="00517B52"/>
    <w:rsid w:val="00526A96"/>
    <w:rsid w:val="0052704B"/>
    <w:rsid w:val="0053230F"/>
    <w:rsid w:val="005330AA"/>
    <w:rsid w:val="00536BA1"/>
    <w:rsid w:val="00537C86"/>
    <w:rsid w:val="005642A6"/>
    <w:rsid w:val="00565880"/>
    <w:rsid w:val="005722C5"/>
    <w:rsid w:val="00577372"/>
    <w:rsid w:val="005827DE"/>
    <w:rsid w:val="0058556B"/>
    <w:rsid w:val="00586209"/>
    <w:rsid w:val="00590004"/>
    <w:rsid w:val="005A27CA"/>
    <w:rsid w:val="005A41A2"/>
    <w:rsid w:val="005C3820"/>
    <w:rsid w:val="005C40B1"/>
    <w:rsid w:val="005C65FC"/>
    <w:rsid w:val="005C6829"/>
    <w:rsid w:val="005D1A16"/>
    <w:rsid w:val="005D21AB"/>
    <w:rsid w:val="005E2D31"/>
    <w:rsid w:val="005E35A7"/>
    <w:rsid w:val="005E6A8D"/>
    <w:rsid w:val="005F0029"/>
    <w:rsid w:val="005F271B"/>
    <w:rsid w:val="00613649"/>
    <w:rsid w:val="006146D5"/>
    <w:rsid w:val="00615A1A"/>
    <w:rsid w:val="006264E8"/>
    <w:rsid w:val="0062683A"/>
    <w:rsid w:val="00632888"/>
    <w:rsid w:val="0063586D"/>
    <w:rsid w:val="00637DC4"/>
    <w:rsid w:val="00644926"/>
    <w:rsid w:val="00650CCA"/>
    <w:rsid w:val="00651165"/>
    <w:rsid w:val="00656C05"/>
    <w:rsid w:val="006635C6"/>
    <w:rsid w:val="006727B4"/>
    <w:rsid w:val="00674012"/>
    <w:rsid w:val="006802FF"/>
    <w:rsid w:val="00687791"/>
    <w:rsid w:val="006A1A60"/>
    <w:rsid w:val="006A2731"/>
    <w:rsid w:val="006A4A04"/>
    <w:rsid w:val="006A54AE"/>
    <w:rsid w:val="006A6C9D"/>
    <w:rsid w:val="006B5125"/>
    <w:rsid w:val="006B5981"/>
    <w:rsid w:val="006C7A95"/>
    <w:rsid w:val="006D797C"/>
    <w:rsid w:val="006E3A2D"/>
    <w:rsid w:val="006E4926"/>
    <w:rsid w:val="006E5CE9"/>
    <w:rsid w:val="006F47B7"/>
    <w:rsid w:val="006F5169"/>
    <w:rsid w:val="00700A8D"/>
    <w:rsid w:val="00702B47"/>
    <w:rsid w:val="00703114"/>
    <w:rsid w:val="00703EAD"/>
    <w:rsid w:val="00712280"/>
    <w:rsid w:val="00715988"/>
    <w:rsid w:val="00715CD4"/>
    <w:rsid w:val="007219BF"/>
    <w:rsid w:val="00723446"/>
    <w:rsid w:val="00724865"/>
    <w:rsid w:val="00734FFC"/>
    <w:rsid w:val="00736F4C"/>
    <w:rsid w:val="00737FB1"/>
    <w:rsid w:val="00741735"/>
    <w:rsid w:val="00743152"/>
    <w:rsid w:val="007461C2"/>
    <w:rsid w:val="007554F6"/>
    <w:rsid w:val="007574AF"/>
    <w:rsid w:val="00761309"/>
    <w:rsid w:val="007664AD"/>
    <w:rsid w:val="00771532"/>
    <w:rsid w:val="007726CB"/>
    <w:rsid w:val="00774B22"/>
    <w:rsid w:val="007808A8"/>
    <w:rsid w:val="00785B14"/>
    <w:rsid w:val="00790CD6"/>
    <w:rsid w:val="00791BA7"/>
    <w:rsid w:val="00794AE3"/>
    <w:rsid w:val="007960FF"/>
    <w:rsid w:val="007A5B0A"/>
    <w:rsid w:val="007A7C94"/>
    <w:rsid w:val="007B0613"/>
    <w:rsid w:val="007D2263"/>
    <w:rsid w:val="007D2281"/>
    <w:rsid w:val="007E2A86"/>
    <w:rsid w:val="007F2158"/>
    <w:rsid w:val="007F71FA"/>
    <w:rsid w:val="00803B3A"/>
    <w:rsid w:val="008048CB"/>
    <w:rsid w:val="008125C5"/>
    <w:rsid w:val="008162EC"/>
    <w:rsid w:val="00817EAA"/>
    <w:rsid w:val="00820503"/>
    <w:rsid w:val="00821FB8"/>
    <w:rsid w:val="008272DE"/>
    <w:rsid w:val="00830ABF"/>
    <w:rsid w:val="008332E1"/>
    <w:rsid w:val="00847002"/>
    <w:rsid w:val="0085091F"/>
    <w:rsid w:val="00851013"/>
    <w:rsid w:val="00856FFB"/>
    <w:rsid w:val="0086114B"/>
    <w:rsid w:val="00863CB4"/>
    <w:rsid w:val="008644CE"/>
    <w:rsid w:val="00871530"/>
    <w:rsid w:val="0087546B"/>
    <w:rsid w:val="008758FC"/>
    <w:rsid w:val="00875C08"/>
    <w:rsid w:val="00885BC9"/>
    <w:rsid w:val="00885DF3"/>
    <w:rsid w:val="00887542"/>
    <w:rsid w:val="00890A87"/>
    <w:rsid w:val="00891EA7"/>
    <w:rsid w:val="00894F35"/>
    <w:rsid w:val="008958A7"/>
    <w:rsid w:val="00896E1E"/>
    <w:rsid w:val="0089714A"/>
    <w:rsid w:val="00897A97"/>
    <w:rsid w:val="008A4D85"/>
    <w:rsid w:val="008A4E90"/>
    <w:rsid w:val="008A65D9"/>
    <w:rsid w:val="008B1040"/>
    <w:rsid w:val="008B6D96"/>
    <w:rsid w:val="008C192D"/>
    <w:rsid w:val="008C78BD"/>
    <w:rsid w:val="008D6FEB"/>
    <w:rsid w:val="008E0150"/>
    <w:rsid w:val="008E58B9"/>
    <w:rsid w:val="008F2C52"/>
    <w:rsid w:val="0090165B"/>
    <w:rsid w:val="00904E76"/>
    <w:rsid w:val="009063F7"/>
    <w:rsid w:val="0090798A"/>
    <w:rsid w:val="0091038F"/>
    <w:rsid w:val="009160A7"/>
    <w:rsid w:val="0091638A"/>
    <w:rsid w:val="009206E7"/>
    <w:rsid w:val="00920B05"/>
    <w:rsid w:val="0092264C"/>
    <w:rsid w:val="00922BAC"/>
    <w:rsid w:val="00923B56"/>
    <w:rsid w:val="00925BE3"/>
    <w:rsid w:val="00927575"/>
    <w:rsid w:val="00934183"/>
    <w:rsid w:val="0093596E"/>
    <w:rsid w:val="00935B68"/>
    <w:rsid w:val="009409FA"/>
    <w:rsid w:val="00953E5A"/>
    <w:rsid w:val="0095607B"/>
    <w:rsid w:val="00966304"/>
    <w:rsid w:val="00971198"/>
    <w:rsid w:val="00972F85"/>
    <w:rsid w:val="00975A6A"/>
    <w:rsid w:val="00983B1D"/>
    <w:rsid w:val="00984603"/>
    <w:rsid w:val="0099369C"/>
    <w:rsid w:val="009A2E84"/>
    <w:rsid w:val="009A308B"/>
    <w:rsid w:val="009B1F81"/>
    <w:rsid w:val="009C2BB0"/>
    <w:rsid w:val="009C3ABC"/>
    <w:rsid w:val="009D3222"/>
    <w:rsid w:val="009D6405"/>
    <w:rsid w:val="009D6895"/>
    <w:rsid w:val="009E5F60"/>
    <w:rsid w:val="009E7136"/>
    <w:rsid w:val="009F0E64"/>
    <w:rsid w:val="00A0711D"/>
    <w:rsid w:val="00A12726"/>
    <w:rsid w:val="00A1590C"/>
    <w:rsid w:val="00A15E26"/>
    <w:rsid w:val="00A26FB7"/>
    <w:rsid w:val="00A324E9"/>
    <w:rsid w:val="00A340B9"/>
    <w:rsid w:val="00A357F7"/>
    <w:rsid w:val="00A43142"/>
    <w:rsid w:val="00A467C8"/>
    <w:rsid w:val="00A46ED5"/>
    <w:rsid w:val="00A51CD0"/>
    <w:rsid w:val="00A52A34"/>
    <w:rsid w:val="00A63961"/>
    <w:rsid w:val="00A65A49"/>
    <w:rsid w:val="00A65EC2"/>
    <w:rsid w:val="00A7357B"/>
    <w:rsid w:val="00A809E3"/>
    <w:rsid w:val="00A815AB"/>
    <w:rsid w:val="00A83933"/>
    <w:rsid w:val="00A90EFC"/>
    <w:rsid w:val="00A91A0A"/>
    <w:rsid w:val="00A970C2"/>
    <w:rsid w:val="00AA24AC"/>
    <w:rsid w:val="00AA5CF9"/>
    <w:rsid w:val="00AC0C3B"/>
    <w:rsid w:val="00AC1110"/>
    <w:rsid w:val="00AD0251"/>
    <w:rsid w:val="00AE26CC"/>
    <w:rsid w:val="00AE487D"/>
    <w:rsid w:val="00AE4887"/>
    <w:rsid w:val="00AF3F7C"/>
    <w:rsid w:val="00AF4562"/>
    <w:rsid w:val="00B005B8"/>
    <w:rsid w:val="00B04F60"/>
    <w:rsid w:val="00B05667"/>
    <w:rsid w:val="00B066D6"/>
    <w:rsid w:val="00B1053B"/>
    <w:rsid w:val="00B30EE7"/>
    <w:rsid w:val="00B37068"/>
    <w:rsid w:val="00B37541"/>
    <w:rsid w:val="00B43D90"/>
    <w:rsid w:val="00B53612"/>
    <w:rsid w:val="00B57FC9"/>
    <w:rsid w:val="00B665AD"/>
    <w:rsid w:val="00B806B1"/>
    <w:rsid w:val="00B8264F"/>
    <w:rsid w:val="00B90027"/>
    <w:rsid w:val="00B91DC2"/>
    <w:rsid w:val="00B9377E"/>
    <w:rsid w:val="00B9617E"/>
    <w:rsid w:val="00BA3CCE"/>
    <w:rsid w:val="00BB3422"/>
    <w:rsid w:val="00BB589B"/>
    <w:rsid w:val="00BB694E"/>
    <w:rsid w:val="00BC52A5"/>
    <w:rsid w:val="00BC7315"/>
    <w:rsid w:val="00BD5EE0"/>
    <w:rsid w:val="00BE104E"/>
    <w:rsid w:val="00BE3C3C"/>
    <w:rsid w:val="00BE72AE"/>
    <w:rsid w:val="00BE7B74"/>
    <w:rsid w:val="00BF380E"/>
    <w:rsid w:val="00C00E53"/>
    <w:rsid w:val="00C10FE5"/>
    <w:rsid w:val="00C2412C"/>
    <w:rsid w:val="00C264FA"/>
    <w:rsid w:val="00C26EA9"/>
    <w:rsid w:val="00C4110A"/>
    <w:rsid w:val="00C466D3"/>
    <w:rsid w:val="00C47574"/>
    <w:rsid w:val="00C51CBF"/>
    <w:rsid w:val="00C62054"/>
    <w:rsid w:val="00C62148"/>
    <w:rsid w:val="00C625BE"/>
    <w:rsid w:val="00C62A26"/>
    <w:rsid w:val="00C6300D"/>
    <w:rsid w:val="00C63B8A"/>
    <w:rsid w:val="00C644EB"/>
    <w:rsid w:val="00C65677"/>
    <w:rsid w:val="00C6617D"/>
    <w:rsid w:val="00C66A06"/>
    <w:rsid w:val="00C73C9E"/>
    <w:rsid w:val="00C77E17"/>
    <w:rsid w:val="00C80E8A"/>
    <w:rsid w:val="00C83BC2"/>
    <w:rsid w:val="00C85E81"/>
    <w:rsid w:val="00C97B8C"/>
    <w:rsid w:val="00CA0951"/>
    <w:rsid w:val="00CB18FA"/>
    <w:rsid w:val="00CC1725"/>
    <w:rsid w:val="00CC59D9"/>
    <w:rsid w:val="00CC6C9C"/>
    <w:rsid w:val="00CD45D2"/>
    <w:rsid w:val="00CE0A33"/>
    <w:rsid w:val="00CE1B68"/>
    <w:rsid w:val="00CE5A05"/>
    <w:rsid w:val="00CF2464"/>
    <w:rsid w:val="00CF3CDD"/>
    <w:rsid w:val="00D12A6B"/>
    <w:rsid w:val="00D206D1"/>
    <w:rsid w:val="00D25C57"/>
    <w:rsid w:val="00D2608B"/>
    <w:rsid w:val="00D3620D"/>
    <w:rsid w:val="00D371C7"/>
    <w:rsid w:val="00D41E3D"/>
    <w:rsid w:val="00D43611"/>
    <w:rsid w:val="00D45EDD"/>
    <w:rsid w:val="00D4679D"/>
    <w:rsid w:val="00D660BA"/>
    <w:rsid w:val="00D72C90"/>
    <w:rsid w:val="00D802D9"/>
    <w:rsid w:val="00D8066D"/>
    <w:rsid w:val="00D82321"/>
    <w:rsid w:val="00D918ED"/>
    <w:rsid w:val="00D92F9B"/>
    <w:rsid w:val="00DA0160"/>
    <w:rsid w:val="00DA1AEA"/>
    <w:rsid w:val="00DA2BEC"/>
    <w:rsid w:val="00DA59F1"/>
    <w:rsid w:val="00DB42B3"/>
    <w:rsid w:val="00DB44AA"/>
    <w:rsid w:val="00DB7A71"/>
    <w:rsid w:val="00DD5E2E"/>
    <w:rsid w:val="00DE0AF3"/>
    <w:rsid w:val="00DE3580"/>
    <w:rsid w:val="00DE5CA2"/>
    <w:rsid w:val="00DE6293"/>
    <w:rsid w:val="00DF165D"/>
    <w:rsid w:val="00DF5AA0"/>
    <w:rsid w:val="00E028B6"/>
    <w:rsid w:val="00E05618"/>
    <w:rsid w:val="00E10147"/>
    <w:rsid w:val="00E106FA"/>
    <w:rsid w:val="00E1730B"/>
    <w:rsid w:val="00E201D1"/>
    <w:rsid w:val="00E20758"/>
    <w:rsid w:val="00E23A4C"/>
    <w:rsid w:val="00E33CEE"/>
    <w:rsid w:val="00E50506"/>
    <w:rsid w:val="00E507E4"/>
    <w:rsid w:val="00E54F4F"/>
    <w:rsid w:val="00E60EA9"/>
    <w:rsid w:val="00E67013"/>
    <w:rsid w:val="00E7359B"/>
    <w:rsid w:val="00E833DF"/>
    <w:rsid w:val="00E85A80"/>
    <w:rsid w:val="00E9010C"/>
    <w:rsid w:val="00E935F3"/>
    <w:rsid w:val="00EA5BD2"/>
    <w:rsid w:val="00EB3B2C"/>
    <w:rsid w:val="00EB55B1"/>
    <w:rsid w:val="00EC3032"/>
    <w:rsid w:val="00EC605E"/>
    <w:rsid w:val="00ED38FE"/>
    <w:rsid w:val="00ED4C97"/>
    <w:rsid w:val="00ED5F40"/>
    <w:rsid w:val="00ED7B5E"/>
    <w:rsid w:val="00EE0352"/>
    <w:rsid w:val="00EF4B5D"/>
    <w:rsid w:val="00EF5C39"/>
    <w:rsid w:val="00F05CDD"/>
    <w:rsid w:val="00F05E71"/>
    <w:rsid w:val="00F14AC1"/>
    <w:rsid w:val="00F20085"/>
    <w:rsid w:val="00F217F9"/>
    <w:rsid w:val="00F21E5F"/>
    <w:rsid w:val="00F3305E"/>
    <w:rsid w:val="00F33257"/>
    <w:rsid w:val="00F37142"/>
    <w:rsid w:val="00F404DB"/>
    <w:rsid w:val="00F4584A"/>
    <w:rsid w:val="00F5368E"/>
    <w:rsid w:val="00F53BD0"/>
    <w:rsid w:val="00F63DD8"/>
    <w:rsid w:val="00F66AA0"/>
    <w:rsid w:val="00F74710"/>
    <w:rsid w:val="00F75F4D"/>
    <w:rsid w:val="00F9609C"/>
    <w:rsid w:val="00FA04EF"/>
    <w:rsid w:val="00FA574C"/>
    <w:rsid w:val="00FB1AFB"/>
    <w:rsid w:val="00FD6AC4"/>
    <w:rsid w:val="00FE21AE"/>
    <w:rsid w:val="00FE2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rFonts w:eastAsia="MS Mincho"/>
      <w:color w:val="000000"/>
      <w:sz w:val="24"/>
      <w:szCs w:val="24"/>
      <w:lang w:val="en-US" w:eastAsia="en-US"/>
    </w:rPr>
  </w:style>
  <w:style w:type="paragraph" w:styleId="Heading1">
    <w:name w:val="heading 1"/>
    <w:next w:val="Normal"/>
    <w:qFormat/>
    <w:locked/>
    <w:rsid w:val="00920B05"/>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920B05"/>
    <w:pPr>
      <w:pageBreakBefore w:val="0"/>
      <w:numPr>
        <w:ilvl w:val="1"/>
      </w:numPr>
      <w:outlineLvl w:val="1"/>
    </w:pPr>
    <w:rPr>
      <w:bCs w:val="0"/>
      <w:iCs/>
      <w:sz w:val="22"/>
      <w:szCs w:val="28"/>
    </w:rPr>
  </w:style>
  <w:style w:type="paragraph" w:styleId="Heading3">
    <w:name w:val="heading 3"/>
    <w:basedOn w:val="Heading1"/>
    <w:next w:val="Normal"/>
    <w:qFormat/>
    <w:rsid w:val="00920B05"/>
    <w:pPr>
      <w:pageBreakBefore w:val="0"/>
      <w:numPr>
        <w:ilvl w:val="2"/>
      </w:numPr>
      <w:spacing w:before="360"/>
      <w:outlineLvl w:val="2"/>
    </w:pPr>
    <w:rPr>
      <w:bCs w:val="0"/>
      <w:caps w:val="0"/>
      <w:sz w:val="22"/>
      <w:szCs w:val="26"/>
    </w:rPr>
  </w:style>
  <w:style w:type="paragraph" w:styleId="Heading4">
    <w:name w:val="heading 4"/>
    <w:basedOn w:val="Heading1"/>
    <w:next w:val="Normal"/>
    <w:qFormat/>
    <w:rsid w:val="00920B05"/>
    <w:pPr>
      <w:pageBreakBefore w:val="0"/>
      <w:numPr>
        <w:ilvl w:val="3"/>
      </w:numPr>
      <w:spacing w:before="360"/>
      <w:outlineLvl w:val="3"/>
    </w:pPr>
    <w:rPr>
      <w:bCs w:val="0"/>
      <w:i/>
      <w:caps w:val="0"/>
      <w:sz w:val="22"/>
      <w:szCs w:val="28"/>
    </w:rPr>
  </w:style>
  <w:style w:type="paragraph" w:styleId="Heading5">
    <w:name w:val="heading 5"/>
    <w:basedOn w:val="Heading1"/>
    <w:next w:val="Normal"/>
    <w:qFormat/>
    <w:rsid w:val="00920B05"/>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920B05"/>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920B05"/>
    <w:pPr>
      <w:numPr>
        <w:ilvl w:val="6"/>
      </w:numPr>
      <w:outlineLvl w:val="6"/>
    </w:pPr>
  </w:style>
  <w:style w:type="paragraph" w:styleId="Heading8">
    <w:name w:val="heading 8"/>
    <w:basedOn w:val="Heading6"/>
    <w:next w:val="Normal"/>
    <w:qFormat/>
    <w:rsid w:val="00920B05"/>
    <w:pPr>
      <w:numPr>
        <w:ilvl w:val="7"/>
      </w:numPr>
      <w:outlineLvl w:val="7"/>
    </w:pPr>
    <w:rPr>
      <w:iCs/>
    </w:rPr>
  </w:style>
  <w:style w:type="paragraph" w:styleId="Heading9">
    <w:name w:val="heading 9"/>
    <w:basedOn w:val="Heading6"/>
    <w:next w:val="Normal"/>
    <w:qFormat/>
    <w:rsid w:val="00920B05"/>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left" w:pos="4536"/>
        <w:tab w:val="right" w:pos="9480"/>
      </w:tabs>
    </w:pPr>
    <w:rPr>
      <w:rFonts w:ascii="Arial" w:eastAsia="MS Gothic" w:hAnsi="Arial"/>
      <w:sz w:val="18"/>
      <w:lang w:val="en-US" w:eastAsia="en-US"/>
    </w:rPr>
  </w:style>
  <w:style w:type="paragraph" w:styleId="Footer">
    <w:name w:val="footer"/>
    <w:pPr>
      <w:tabs>
        <w:tab w:val="right" w:pos="9469"/>
      </w:tabs>
    </w:pPr>
    <w:rPr>
      <w:rFonts w:ascii="Arial" w:eastAsia="MS Gothic" w:hAnsi="Arial"/>
      <w:sz w:val="18"/>
      <w:lang w:val="en-US" w:eastAsia="en-US"/>
    </w:rPr>
  </w:style>
  <w:style w:type="paragraph" w:customStyle="1" w:styleId="Heading1NoTOC">
    <w:name w:val="Heading 1 NoTOC"/>
    <w:basedOn w:val="Heading1"/>
    <w:pPr>
      <w:numPr>
        <w:numId w:val="0"/>
      </w:numPr>
      <w:outlineLvl w:val="9"/>
    </w:pPr>
  </w:style>
  <w:style w:type="paragraph" w:styleId="Title">
    <w:name w:val="Title"/>
    <w:next w:val="Normal"/>
    <w:qFormat/>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pPr>
      <w:outlineLvl w:val="9"/>
    </w:pPr>
  </w:style>
  <w:style w:type="character" w:customStyle="1" w:styleId="InstructionsTextChar">
    <w:name w:val="Instructions Text Char"/>
    <w:link w:val="InstructionsText"/>
    <w:rPr>
      <w:rFonts w:eastAsia="MS Mincho"/>
      <w:color w:val="000000"/>
      <w:sz w:val="24"/>
      <w:szCs w:val="24"/>
      <w:shd w:val="clear" w:color="auto" w:fill="FFCC66"/>
      <w:lang w:val="en-US" w:eastAsia="en-US"/>
    </w:rPr>
  </w:style>
  <w:style w:type="paragraph" w:customStyle="1" w:styleId="ListNumbered">
    <w:name w:val="List Numbered"/>
    <w:basedOn w:val="Normal"/>
    <w:pPr>
      <w:numPr>
        <w:numId w:val="4"/>
      </w:numPr>
      <w:spacing w:before="120"/>
    </w:pPr>
  </w:style>
  <w:style w:type="paragraph" w:customStyle="1" w:styleId="ListBulletLevel1">
    <w:name w:val="List Bullet Level 1"/>
    <w:basedOn w:val="Normal"/>
    <w:pPr>
      <w:numPr>
        <w:numId w:val="16"/>
      </w:numPr>
      <w:spacing w:before="120"/>
    </w:pPr>
  </w:style>
  <w:style w:type="paragraph" w:customStyle="1" w:styleId="ListAlphabeticalLevel1">
    <w:name w:val="List Alphabetical Level 1"/>
    <w:basedOn w:val="Normal"/>
    <w:pPr>
      <w:numPr>
        <w:numId w:val="3"/>
      </w:numPr>
      <w:spacing w:before="120"/>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pPr>
      <w:numPr>
        <w:numId w:val="8"/>
      </w:numPr>
      <w:spacing w:before="120"/>
    </w:pPr>
    <w:rPr>
      <w:szCs w:val="20"/>
    </w:rPr>
  </w:style>
  <w:style w:type="paragraph" w:styleId="Caption">
    <w:name w:val="caption"/>
    <w:next w:val="Normal"/>
    <w:qFormat/>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pPr>
      <w:shd w:val="clear" w:color="auto" w:fill="FFCC66"/>
      <w:spacing w:before="40" w:after="40"/>
    </w:pPr>
  </w:style>
  <w:style w:type="character" w:styleId="FootnoteReference">
    <w:name w:val="footnote reference"/>
    <w:rPr>
      <w:rFonts w:ascii="Times New Roman" w:eastAsia="MS Mincho" w:hAnsi="Times New Roman"/>
      <w:color w:val="0000FF"/>
      <w:sz w:val="18"/>
      <w:vertAlign w:val="superscript"/>
    </w:rPr>
  </w:style>
  <w:style w:type="paragraph" w:styleId="FootnoteText">
    <w:name w:val="footnote text"/>
    <w:basedOn w:val="Normal"/>
    <w:pPr>
      <w:spacing w:before="20"/>
      <w:ind w:left="113" w:hanging="113"/>
    </w:pPr>
    <w:rPr>
      <w:sz w:val="22"/>
      <w:szCs w:val="20"/>
    </w:rPr>
  </w:style>
  <w:style w:type="paragraph" w:customStyle="1" w:styleId="Heading1NoNumbering">
    <w:name w:val="Heading 1 NoNumbering"/>
    <w:basedOn w:val="Heading1"/>
    <w:next w:val="Normal"/>
    <w:pPr>
      <w:numPr>
        <w:numId w:val="14"/>
      </w:numPr>
    </w:pPr>
  </w:style>
  <w:style w:type="paragraph" w:customStyle="1" w:styleId="TblTextCenter">
    <w:name w:val="Tbl Text Center"/>
    <w:basedOn w:val="TblTextLeft"/>
    <w:link w:val="TblTextCenterChar"/>
    <w:pPr>
      <w:jc w:val="center"/>
    </w:pPr>
  </w:style>
  <w:style w:type="paragraph" w:customStyle="1" w:styleId="TblTextLeft">
    <w:name w:val="Tbl Text Left"/>
    <w:pPr>
      <w:spacing w:before="60" w:after="60"/>
    </w:pPr>
    <w:rPr>
      <w:rFonts w:ascii="Arial Narrow" w:eastAsia="MS Gothic" w:hAnsi="Arial Narrow"/>
      <w:lang w:val="en-US" w:eastAsia="en-US"/>
    </w:rPr>
  </w:style>
  <w:style w:type="paragraph" w:customStyle="1" w:styleId="TblHeadingLeft">
    <w:name w:val="Tbl Heading Left"/>
    <w:pPr>
      <w:spacing w:before="60" w:after="60"/>
    </w:pPr>
    <w:rPr>
      <w:rFonts w:ascii="Arial" w:eastAsia="MS Gothic" w:hAnsi="Arial" w:cs="Arial"/>
      <w:b/>
      <w:noProof/>
      <w:lang w:val="de-DE" w:eastAsia="en-US"/>
    </w:rPr>
  </w:style>
  <w:style w:type="paragraph" w:customStyle="1" w:styleId="TblFigFootnote">
    <w:name w:val="Tbl Fig Footnote"/>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pPr>
      <w:jc w:val="center"/>
    </w:pPr>
  </w:style>
  <w:style w:type="paragraph" w:customStyle="1" w:styleId="HeaderLandscape">
    <w:name w:val="Header Landscape"/>
    <w:basedOn w:val="Header"/>
    <w:pPr>
      <w:tabs>
        <w:tab w:val="clear" w:pos="4536"/>
        <w:tab w:val="clear" w:pos="9480"/>
        <w:tab w:val="left" w:pos="6804"/>
        <w:tab w:val="right" w:pos="14118"/>
      </w:tabs>
    </w:pPr>
  </w:style>
  <w:style w:type="paragraph" w:customStyle="1" w:styleId="FooterLandscape">
    <w:name w:val="Footer Landscape"/>
    <w:basedOn w:val="Footer"/>
    <w:pPr>
      <w:tabs>
        <w:tab w:val="clear" w:pos="9469"/>
        <w:tab w:val="right" w:pos="14118"/>
      </w:tabs>
    </w:pPr>
  </w:style>
  <w:style w:type="character" w:customStyle="1" w:styleId="TblFigFootnoteReference">
    <w:name w:val="Tbl Fig Footnote Reference"/>
    <w:rPr>
      <w:rFonts w:ascii="Arial Narrow" w:eastAsia="MS Gothic" w:hAnsi="Arial Narrow"/>
      <w:i/>
      <w:dstrike w:val="0"/>
      <w:noProof w:val="0"/>
      <w:position w:val="6"/>
      <w:sz w:val="18"/>
      <w:vertAlign w:val="baseline"/>
      <w:lang w:val="en-US"/>
    </w:rPr>
  </w:style>
  <w:style w:type="paragraph" w:customStyle="1" w:styleId="xCover">
    <w:name w:val="xCover"/>
    <w:pPr>
      <w:spacing w:before="120"/>
    </w:pPr>
    <w:rPr>
      <w:rFonts w:ascii="Arial" w:eastAsia="MS Gothic" w:hAnsi="Arial"/>
      <w:lang w:val="en-US" w:eastAsia="en-US"/>
    </w:rPr>
  </w:style>
  <w:style w:type="paragraph" w:customStyle="1" w:styleId="xCoverAddress">
    <w:name w:val="xCoverAddress"/>
    <w:basedOn w:val="xCover"/>
    <w:pPr>
      <w:spacing w:before="0"/>
    </w:pPr>
  </w:style>
  <w:style w:type="paragraph" w:customStyle="1" w:styleId="xCoverDocType">
    <w:name w:val="xCoverDocType"/>
    <w:basedOn w:val="xCover"/>
    <w:pPr>
      <w:spacing w:before="360"/>
      <w:jc w:val="center"/>
    </w:pPr>
    <w:rPr>
      <w:b/>
      <w:caps/>
      <w:sz w:val="28"/>
    </w:rPr>
  </w:style>
  <w:style w:type="paragraph" w:customStyle="1" w:styleId="xCoverDocTitle">
    <w:name w:val="xCoverDocTitle"/>
    <w:basedOn w:val="xCover"/>
    <w:pPr>
      <w:spacing w:before="240"/>
      <w:jc w:val="center"/>
    </w:pPr>
    <w:rPr>
      <w:b/>
      <w:sz w:val="24"/>
    </w:rPr>
  </w:style>
  <w:style w:type="table" w:styleId="TableGrid">
    <w:name w:val="Table Grid"/>
    <w:basedOn w:val="TableNormal"/>
    <w:uiPriority w:val="59"/>
    <w:rsid w:val="0090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Pr>
      <w:sz w:val="22"/>
      <w:szCs w:val="20"/>
    </w:rPr>
  </w:style>
  <w:style w:type="character" w:styleId="EndnoteReference">
    <w:name w:val="endnote reference"/>
    <w:semiHidden/>
    <w:rPr>
      <w:vertAlign w:val="superscript"/>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semiHidden/>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pPr>
      <w:ind w:left="240" w:hanging="240"/>
    </w:pPr>
  </w:style>
  <w:style w:type="character" w:styleId="Hyperlink">
    <w:name w:val="Hyperlink"/>
    <w:rPr>
      <w:color w:val="0000FF"/>
      <w:u w:val="single"/>
    </w:rPr>
  </w:style>
  <w:style w:type="paragraph" w:styleId="Bibliography">
    <w:name w:val="Bibliography"/>
    <w:basedOn w:val="Normal"/>
    <w:next w:val="Normal"/>
    <w:pPr>
      <w:ind w:left="357" w:hanging="357"/>
    </w:pPr>
  </w:style>
  <w:style w:type="character" w:customStyle="1" w:styleId="ReplaceText">
    <w:name w:val="Replace Text"/>
    <w:rPr>
      <w:color w:val="FF00FF"/>
    </w:rPr>
  </w:style>
  <w:style w:type="paragraph" w:styleId="TOC1">
    <w:name w:val="toc 1"/>
    <w:next w:val="Normal"/>
    <w:semiHidden/>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pPr>
      <w:numPr>
        <w:numId w:val="5"/>
      </w:numPr>
    </w:pPr>
  </w:style>
  <w:style w:type="paragraph" w:styleId="Index1">
    <w:name w:val="index 1"/>
    <w:basedOn w:val="Normal"/>
    <w:next w:val="Normal"/>
    <w:semiHidden/>
    <w:pPr>
      <w:tabs>
        <w:tab w:val="left" w:pos="1701"/>
        <w:tab w:val="left" w:pos="3402"/>
        <w:tab w:val="left" w:pos="5103"/>
      </w:tabs>
      <w:spacing w:before="0"/>
      <w:ind w:left="1701" w:hanging="1701"/>
    </w:pPr>
  </w:style>
  <w:style w:type="paragraph" w:styleId="TOAHeading">
    <w:name w:val="toa heading"/>
    <w:basedOn w:val="Normal"/>
    <w:next w:val="Normal"/>
    <w:semiHidden/>
    <w:pPr>
      <w:spacing w:before="120"/>
    </w:pPr>
    <w:rPr>
      <w:rFonts w:ascii="Arial" w:hAnsi="Arial" w:cs="Arial"/>
      <w:b/>
      <w:bCs/>
    </w:rPr>
  </w:style>
  <w:style w:type="character" w:customStyle="1" w:styleId="Reference">
    <w:name w:val="Reference"/>
    <w:rPr>
      <w:color w:val="0000FF"/>
    </w:rPr>
  </w:style>
  <w:style w:type="paragraph" w:customStyle="1" w:styleId="TblTextbulletedlist">
    <w:name w:val="Tbl Text bulleted list"/>
    <w:basedOn w:val="TblTextLeft"/>
    <w:pPr>
      <w:numPr>
        <w:numId w:val="9"/>
      </w:numPr>
      <w:tabs>
        <w:tab w:val="clear" w:pos="360"/>
        <w:tab w:val="left" w:pos="216"/>
      </w:tabs>
      <w:spacing w:before="0" w:after="0"/>
      <w:ind w:left="216" w:hanging="216"/>
    </w:pPr>
  </w:style>
  <w:style w:type="paragraph" w:styleId="TOC2">
    <w:name w:val="toc 2"/>
    <w:basedOn w:val="TOC1"/>
    <w:next w:val="Normal"/>
    <w:semiHidden/>
    <w:rPr>
      <w:b w:val="0"/>
    </w:rPr>
  </w:style>
  <w:style w:type="character" w:styleId="PageNumber">
    <w:name w:val="page number"/>
    <w:basedOn w:val="DefaultParagraphFont"/>
  </w:style>
  <w:style w:type="paragraph" w:styleId="ListBullet">
    <w:name w:val="List Bullet"/>
    <w:basedOn w:val="Normal"/>
    <w:pPr>
      <w:numPr>
        <w:numId w:val="6"/>
      </w:numPr>
    </w:pPr>
  </w:style>
  <w:style w:type="paragraph" w:styleId="TOC3">
    <w:name w:val="toc 3"/>
    <w:basedOn w:val="TOC1"/>
    <w:next w:val="Normal"/>
    <w:semiHidden/>
    <w:pPr>
      <w:spacing w:before="120"/>
    </w:pPr>
    <w:rPr>
      <w:b w:val="0"/>
      <w:caps w:val="0"/>
    </w:rPr>
  </w:style>
  <w:style w:type="paragraph" w:styleId="TOC4">
    <w:name w:val="toc 4"/>
    <w:basedOn w:val="TOC1"/>
    <w:next w:val="Normal"/>
    <w:semiHidden/>
    <w:pPr>
      <w:spacing w:before="40"/>
    </w:pPr>
    <w:rPr>
      <w:b w:val="0"/>
      <w:caps w:val="0"/>
      <w:szCs w:val="22"/>
    </w:rPr>
  </w:style>
  <w:style w:type="paragraph" w:styleId="TOC5">
    <w:name w:val="toc 5"/>
    <w:basedOn w:val="TOC1"/>
    <w:next w:val="Normal"/>
    <w:semiHidden/>
    <w:pPr>
      <w:spacing w:before="0"/>
    </w:pPr>
    <w:rPr>
      <w:b w:val="0"/>
      <w:caps w:val="0"/>
    </w:rPr>
  </w:style>
  <w:style w:type="paragraph" w:styleId="TOC6">
    <w:name w:val="toc 6"/>
    <w:basedOn w:val="TOC1"/>
    <w:next w:val="Normal"/>
    <w:semiHidden/>
    <w:pPr>
      <w:spacing w:before="0"/>
    </w:pPr>
    <w:rPr>
      <w:b w:val="0"/>
      <w:caps w:val="0"/>
    </w:rPr>
  </w:style>
  <w:style w:type="paragraph" w:styleId="TOC7">
    <w:name w:val="toc 7"/>
    <w:basedOn w:val="TOC6"/>
    <w:next w:val="Normal"/>
    <w:semiHidden/>
  </w:style>
  <w:style w:type="paragraph" w:styleId="TOC8">
    <w:name w:val="toc 8"/>
    <w:basedOn w:val="TOC6"/>
    <w:next w:val="Normal"/>
    <w:semiHidden/>
  </w:style>
  <w:style w:type="paragraph" w:styleId="TOC9">
    <w:name w:val="toc 9"/>
    <w:basedOn w:val="TOC6"/>
    <w:next w:val="Normal"/>
    <w:semiHidden/>
  </w:style>
  <w:style w:type="character" w:customStyle="1" w:styleId="TblFigFootnoteChar">
    <w:name w:val="Tbl Fig Footnote Char"/>
    <w:rPr>
      <w:rFonts w:ascii="Arial Narrow" w:eastAsia="MS Gothic" w:hAnsi="Arial Narrow"/>
      <w:sz w:val="1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sid w:val="006E4926"/>
    <w:pPr>
      <w:spacing w:before="0"/>
    </w:pPr>
    <w:rPr>
      <w:rFonts w:ascii="Tahoma" w:hAnsi="Tahoma" w:cs="Tahoma"/>
      <w:sz w:val="16"/>
      <w:szCs w:val="16"/>
    </w:rPr>
  </w:style>
  <w:style w:type="character" w:customStyle="1" w:styleId="BalloonTextChar">
    <w:name w:val="Balloon Text Char"/>
    <w:link w:val="BalloonText"/>
    <w:rsid w:val="006E4926"/>
    <w:rPr>
      <w:rFonts w:ascii="Tahoma" w:eastAsia="MS Mincho" w:hAnsi="Tahoma" w:cs="Tahoma"/>
      <w:color w:val="000000"/>
      <w:sz w:val="16"/>
      <w:szCs w:val="16"/>
      <w:lang w:val="en-US" w:eastAsia="en-US"/>
    </w:rPr>
  </w:style>
  <w:style w:type="character" w:customStyle="1" w:styleId="TblTextCenterChar">
    <w:name w:val="Tbl Text Center Char"/>
    <w:link w:val="TblTextCenter"/>
    <w:locked/>
    <w:rsid w:val="00922BAC"/>
    <w:rPr>
      <w:rFonts w:ascii="Arial Narrow" w:eastAsia="MS Gothic" w:hAnsi="Arial Narrow"/>
      <w:lang w:val="en-US" w:eastAsia="en-US"/>
    </w:rPr>
  </w:style>
  <w:style w:type="character" w:styleId="CommentReference">
    <w:name w:val="annotation reference"/>
    <w:rsid w:val="00B806B1"/>
    <w:rPr>
      <w:sz w:val="16"/>
      <w:szCs w:val="16"/>
    </w:rPr>
  </w:style>
  <w:style w:type="paragraph" w:styleId="CommentText">
    <w:name w:val="annotation text"/>
    <w:basedOn w:val="Normal"/>
    <w:link w:val="CommentTextChar"/>
    <w:rsid w:val="00B806B1"/>
    <w:rPr>
      <w:sz w:val="20"/>
      <w:szCs w:val="20"/>
    </w:rPr>
  </w:style>
  <w:style w:type="character" w:customStyle="1" w:styleId="CommentTextChar">
    <w:name w:val="Comment Text Char"/>
    <w:link w:val="CommentText"/>
    <w:rsid w:val="00B806B1"/>
    <w:rPr>
      <w:rFonts w:eastAsia="MS Mincho"/>
      <w:color w:val="000000"/>
      <w:lang w:val="en-US" w:eastAsia="en-US"/>
    </w:rPr>
  </w:style>
  <w:style w:type="paragraph" w:styleId="CommentSubject">
    <w:name w:val="annotation subject"/>
    <w:basedOn w:val="CommentText"/>
    <w:next w:val="CommentText"/>
    <w:link w:val="CommentSubjectChar"/>
    <w:rsid w:val="00B806B1"/>
    <w:rPr>
      <w:b/>
      <w:bCs/>
    </w:rPr>
  </w:style>
  <w:style w:type="character" w:customStyle="1" w:styleId="CommentSubjectChar">
    <w:name w:val="Comment Subject Char"/>
    <w:link w:val="CommentSubject"/>
    <w:rsid w:val="00B806B1"/>
    <w:rPr>
      <w:rFonts w:eastAsia="MS Mincho"/>
      <w:b/>
      <w:bCs/>
      <w:color w:val="000000"/>
      <w:lang w:val="en-US" w:eastAsia="en-US"/>
    </w:rPr>
  </w:style>
  <w:style w:type="paragraph" w:styleId="Revision">
    <w:name w:val="Revision"/>
    <w:hidden/>
    <w:uiPriority w:val="99"/>
    <w:semiHidden/>
    <w:rsid w:val="003B4007"/>
    <w:rPr>
      <w:rFonts w:eastAsia="MS Mincho"/>
      <w:color w:val="000000"/>
      <w:sz w:val="24"/>
      <w:szCs w:val="24"/>
      <w:lang w:val="en-US" w:eastAsia="en-US"/>
    </w:rPr>
  </w:style>
  <w:style w:type="paragraph" w:customStyle="1" w:styleId="Default">
    <w:name w:val="Default"/>
    <w:rsid w:val="00400C72"/>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rFonts w:eastAsia="MS Mincho"/>
      <w:color w:val="000000"/>
      <w:sz w:val="24"/>
      <w:szCs w:val="24"/>
      <w:lang w:val="en-US" w:eastAsia="en-US"/>
    </w:rPr>
  </w:style>
  <w:style w:type="paragraph" w:styleId="Heading1">
    <w:name w:val="heading 1"/>
    <w:next w:val="Normal"/>
    <w:qFormat/>
    <w:locked/>
    <w:rsid w:val="00920B05"/>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920B05"/>
    <w:pPr>
      <w:pageBreakBefore w:val="0"/>
      <w:numPr>
        <w:ilvl w:val="1"/>
      </w:numPr>
      <w:outlineLvl w:val="1"/>
    </w:pPr>
    <w:rPr>
      <w:bCs w:val="0"/>
      <w:iCs/>
      <w:sz w:val="22"/>
      <w:szCs w:val="28"/>
    </w:rPr>
  </w:style>
  <w:style w:type="paragraph" w:styleId="Heading3">
    <w:name w:val="heading 3"/>
    <w:basedOn w:val="Heading1"/>
    <w:next w:val="Normal"/>
    <w:qFormat/>
    <w:rsid w:val="00920B05"/>
    <w:pPr>
      <w:pageBreakBefore w:val="0"/>
      <w:numPr>
        <w:ilvl w:val="2"/>
      </w:numPr>
      <w:spacing w:before="360"/>
      <w:outlineLvl w:val="2"/>
    </w:pPr>
    <w:rPr>
      <w:bCs w:val="0"/>
      <w:caps w:val="0"/>
      <w:sz w:val="22"/>
      <w:szCs w:val="26"/>
    </w:rPr>
  </w:style>
  <w:style w:type="paragraph" w:styleId="Heading4">
    <w:name w:val="heading 4"/>
    <w:basedOn w:val="Heading1"/>
    <w:next w:val="Normal"/>
    <w:qFormat/>
    <w:rsid w:val="00920B05"/>
    <w:pPr>
      <w:pageBreakBefore w:val="0"/>
      <w:numPr>
        <w:ilvl w:val="3"/>
      </w:numPr>
      <w:spacing w:before="360"/>
      <w:outlineLvl w:val="3"/>
    </w:pPr>
    <w:rPr>
      <w:bCs w:val="0"/>
      <w:i/>
      <w:caps w:val="0"/>
      <w:sz w:val="22"/>
      <w:szCs w:val="28"/>
    </w:rPr>
  </w:style>
  <w:style w:type="paragraph" w:styleId="Heading5">
    <w:name w:val="heading 5"/>
    <w:basedOn w:val="Heading1"/>
    <w:next w:val="Normal"/>
    <w:qFormat/>
    <w:rsid w:val="00920B05"/>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920B05"/>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920B05"/>
    <w:pPr>
      <w:numPr>
        <w:ilvl w:val="6"/>
      </w:numPr>
      <w:outlineLvl w:val="6"/>
    </w:pPr>
  </w:style>
  <w:style w:type="paragraph" w:styleId="Heading8">
    <w:name w:val="heading 8"/>
    <w:basedOn w:val="Heading6"/>
    <w:next w:val="Normal"/>
    <w:qFormat/>
    <w:rsid w:val="00920B05"/>
    <w:pPr>
      <w:numPr>
        <w:ilvl w:val="7"/>
      </w:numPr>
      <w:outlineLvl w:val="7"/>
    </w:pPr>
    <w:rPr>
      <w:iCs/>
    </w:rPr>
  </w:style>
  <w:style w:type="paragraph" w:styleId="Heading9">
    <w:name w:val="heading 9"/>
    <w:basedOn w:val="Heading6"/>
    <w:next w:val="Normal"/>
    <w:qFormat/>
    <w:rsid w:val="00920B05"/>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left" w:pos="4536"/>
        <w:tab w:val="right" w:pos="9480"/>
      </w:tabs>
    </w:pPr>
    <w:rPr>
      <w:rFonts w:ascii="Arial" w:eastAsia="MS Gothic" w:hAnsi="Arial"/>
      <w:sz w:val="18"/>
      <w:lang w:val="en-US" w:eastAsia="en-US"/>
    </w:rPr>
  </w:style>
  <w:style w:type="paragraph" w:styleId="Footer">
    <w:name w:val="footer"/>
    <w:pPr>
      <w:tabs>
        <w:tab w:val="right" w:pos="9469"/>
      </w:tabs>
    </w:pPr>
    <w:rPr>
      <w:rFonts w:ascii="Arial" w:eastAsia="MS Gothic" w:hAnsi="Arial"/>
      <w:sz w:val="18"/>
      <w:lang w:val="en-US" w:eastAsia="en-US"/>
    </w:rPr>
  </w:style>
  <w:style w:type="paragraph" w:customStyle="1" w:styleId="Heading1NoTOC">
    <w:name w:val="Heading 1 NoTOC"/>
    <w:basedOn w:val="Heading1"/>
    <w:pPr>
      <w:numPr>
        <w:numId w:val="0"/>
      </w:numPr>
      <w:outlineLvl w:val="9"/>
    </w:pPr>
  </w:style>
  <w:style w:type="paragraph" w:styleId="Title">
    <w:name w:val="Title"/>
    <w:next w:val="Normal"/>
    <w:qFormat/>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pPr>
      <w:outlineLvl w:val="9"/>
    </w:pPr>
  </w:style>
  <w:style w:type="character" w:customStyle="1" w:styleId="InstructionsTextChar">
    <w:name w:val="Instructions Text Char"/>
    <w:link w:val="InstructionsText"/>
    <w:rPr>
      <w:rFonts w:eastAsia="MS Mincho"/>
      <w:color w:val="000000"/>
      <w:sz w:val="24"/>
      <w:szCs w:val="24"/>
      <w:shd w:val="clear" w:color="auto" w:fill="FFCC66"/>
      <w:lang w:val="en-US" w:eastAsia="en-US"/>
    </w:rPr>
  </w:style>
  <w:style w:type="paragraph" w:customStyle="1" w:styleId="ListNumbered">
    <w:name w:val="List Numbered"/>
    <w:basedOn w:val="Normal"/>
    <w:pPr>
      <w:numPr>
        <w:numId w:val="4"/>
      </w:numPr>
      <w:spacing w:before="120"/>
    </w:pPr>
  </w:style>
  <w:style w:type="paragraph" w:customStyle="1" w:styleId="ListBulletLevel1">
    <w:name w:val="List Bullet Level 1"/>
    <w:basedOn w:val="Normal"/>
    <w:pPr>
      <w:numPr>
        <w:numId w:val="16"/>
      </w:numPr>
      <w:spacing w:before="120"/>
    </w:pPr>
  </w:style>
  <w:style w:type="paragraph" w:customStyle="1" w:styleId="ListAlphabeticalLevel1">
    <w:name w:val="List Alphabetical Level 1"/>
    <w:basedOn w:val="Normal"/>
    <w:pPr>
      <w:numPr>
        <w:numId w:val="3"/>
      </w:numPr>
      <w:spacing w:before="120"/>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pPr>
      <w:numPr>
        <w:numId w:val="8"/>
      </w:numPr>
      <w:spacing w:before="120"/>
    </w:pPr>
    <w:rPr>
      <w:szCs w:val="20"/>
    </w:rPr>
  </w:style>
  <w:style w:type="paragraph" w:styleId="Caption">
    <w:name w:val="caption"/>
    <w:next w:val="Normal"/>
    <w:qFormat/>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pPr>
      <w:shd w:val="clear" w:color="auto" w:fill="FFCC66"/>
      <w:spacing w:before="40" w:after="40"/>
    </w:pPr>
  </w:style>
  <w:style w:type="character" w:styleId="FootnoteReference">
    <w:name w:val="footnote reference"/>
    <w:rPr>
      <w:rFonts w:ascii="Times New Roman" w:eastAsia="MS Mincho" w:hAnsi="Times New Roman"/>
      <w:color w:val="0000FF"/>
      <w:sz w:val="18"/>
      <w:vertAlign w:val="superscript"/>
    </w:rPr>
  </w:style>
  <w:style w:type="paragraph" w:styleId="FootnoteText">
    <w:name w:val="footnote text"/>
    <w:basedOn w:val="Normal"/>
    <w:pPr>
      <w:spacing w:before="20"/>
      <w:ind w:left="113" w:hanging="113"/>
    </w:pPr>
    <w:rPr>
      <w:sz w:val="22"/>
      <w:szCs w:val="20"/>
    </w:rPr>
  </w:style>
  <w:style w:type="paragraph" w:customStyle="1" w:styleId="Heading1NoNumbering">
    <w:name w:val="Heading 1 NoNumbering"/>
    <w:basedOn w:val="Heading1"/>
    <w:next w:val="Normal"/>
    <w:pPr>
      <w:numPr>
        <w:numId w:val="14"/>
      </w:numPr>
    </w:pPr>
  </w:style>
  <w:style w:type="paragraph" w:customStyle="1" w:styleId="TblTextCenter">
    <w:name w:val="Tbl Text Center"/>
    <w:basedOn w:val="TblTextLeft"/>
    <w:link w:val="TblTextCenterChar"/>
    <w:pPr>
      <w:jc w:val="center"/>
    </w:pPr>
  </w:style>
  <w:style w:type="paragraph" w:customStyle="1" w:styleId="TblTextLeft">
    <w:name w:val="Tbl Text Left"/>
    <w:pPr>
      <w:spacing w:before="60" w:after="60"/>
    </w:pPr>
    <w:rPr>
      <w:rFonts w:ascii="Arial Narrow" w:eastAsia="MS Gothic" w:hAnsi="Arial Narrow"/>
      <w:lang w:val="en-US" w:eastAsia="en-US"/>
    </w:rPr>
  </w:style>
  <w:style w:type="paragraph" w:customStyle="1" w:styleId="TblHeadingLeft">
    <w:name w:val="Tbl Heading Left"/>
    <w:pPr>
      <w:spacing w:before="60" w:after="60"/>
    </w:pPr>
    <w:rPr>
      <w:rFonts w:ascii="Arial" w:eastAsia="MS Gothic" w:hAnsi="Arial" w:cs="Arial"/>
      <w:b/>
      <w:noProof/>
      <w:lang w:val="de-DE" w:eastAsia="en-US"/>
    </w:rPr>
  </w:style>
  <w:style w:type="paragraph" w:customStyle="1" w:styleId="TblFigFootnote">
    <w:name w:val="Tbl Fig Footnote"/>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pPr>
      <w:jc w:val="center"/>
    </w:pPr>
  </w:style>
  <w:style w:type="paragraph" w:customStyle="1" w:styleId="HeaderLandscape">
    <w:name w:val="Header Landscape"/>
    <w:basedOn w:val="Header"/>
    <w:pPr>
      <w:tabs>
        <w:tab w:val="clear" w:pos="4536"/>
        <w:tab w:val="clear" w:pos="9480"/>
        <w:tab w:val="left" w:pos="6804"/>
        <w:tab w:val="right" w:pos="14118"/>
      </w:tabs>
    </w:pPr>
  </w:style>
  <w:style w:type="paragraph" w:customStyle="1" w:styleId="FooterLandscape">
    <w:name w:val="Footer Landscape"/>
    <w:basedOn w:val="Footer"/>
    <w:pPr>
      <w:tabs>
        <w:tab w:val="clear" w:pos="9469"/>
        <w:tab w:val="right" w:pos="14118"/>
      </w:tabs>
    </w:pPr>
  </w:style>
  <w:style w:type="character" w:customStyle="1" w:styleId="TblFigFootnoteReference">
    <w:name w:val="Tbl Fig Footnote Reference"/>
    <w:rPr>
      <w:rFonts w:ascii="Arial Narrow" w:eastAsia="MS Gothic" w:hAnsi="Arial Narrow"/>
      <w:i/>
      <w:dstrike w:val="0"/>
      <w:noProof w:val="0"/>
      <w:position w:val="6"/>
      <w:sz w:val="18"/>
      <w:vertAlign w:val="baseline"/>
      <w:lang w:val="en-US"/>
    </w:rPr>
  </w:style>
  <w:style w:type="paragraph" w:customStyle="1" w:styleId="xCover">
    <w:name w:val="xCover"/>
    <w:pPr>
      <w:spacing w:before="120"/>
    </w:pPr>
    <w:rPr>
      <w:rFonts w:ascii="Arial" w:eastAsia="MS Gothic" w:hAnsi="Arial"/>
      <w:lang w:val="en-US" w:eastAsia="en-US"/>
    </w:rPr>
  </w:style>
  <w:style w:type="paragraph" w:customStyle="1" w:styleId="xCoverAddress">
    <w:name w:val="xCoverAddress"/>
    <w:basedOn w:val="xCover"/>
    <w:pPr>
      <w:spacing w:before="0"/>
    </w:pPr>
  </w:style>
  <w:style w:type="paragraph" w:customStyle="1" w:styleId="xCoverDocType">
    <w:name w:val="xCoverDocType"/>
    <w:basedOn w:val="xCover"/>
    <w:pPr>
      <w:spacing w:before="360"/>
      <w:jc w:val="center"/>
    </w:pPr>
    <w:rPr>
      <w:b/>
      <w:caps/>
      <w:sz w:val="28"/>
    </w:rPr>
  </w:style>
  <w:style w:type="paragraph" w:customStyle="1" w:styleId="xCoverDocTitle">
    <w:name w:val="xCoverDocTitle"/>
    <w:basedOn w:val="xCover"/>
    <w:pPr>
      <w:spacing w:before="240"/>
      <w:jc w:val="center"/>
    </w:pPr>
    <w:rPr>
      <w:b/>
      <w:sz w:val="24"/>
    </w:rPr>
  </w:style>
  <w:style w:type="table" w:styleId="TableGrid">
    <w:name w:val="Table Grid"/>
    <w:basedOn w:val="TableNormal"/>
    <w:uiPriority w:val="59"/>
    <w:rsid w:val="0090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Pr>
      <w:sz w:val="22"/>
      <w:szCs w:val="20"/>
    </w:rPr>
  </w:style>
  <w:style w:type="character" w:styleId="EndnoteReference">
    <w:name w:val="endnote reference"/>
    <w:semiHidden/>
    <w:rPr>
      <w:vertAlign w:val="superscript"/>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semiHidden/>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pPr>
      <w:ind w:left="240" w:hanging="240"/>
    </w:pPr>
  </w:style>
  <w:style w:type="character" w:styleId="Hyperlink">
    <w:name w:val="Hyperlink"/>
    <w:rPr>
      <w:color w:val="0000FF"/>
      <w:u w:val="single"/>
    </w:rPr>
  </w:style>
  <w:style w:type="paragraph" w:styleId="Bibliography">
    <w:name w:val="Bibliography"/>
    <w:basedOn w:val="Normal"/>
    <w:next w:val="Normal"/>
    <w:pPr>
      <w:ind w:left="357" w:hanging="357"/>
    </w:pPr>
  </w:style>
  <w:style w:type="character" w:customStyle="1" w:styleId="ReplaceText">
    <w:name w:val="Replace Text"/>
    <w:rPr>
      <w:color w:val="FF00FF"/>
    </w:rPr>
  </w:style>
  <w:style w:type="paragraph" w:styleId="TOC1">
    <w:name w:val="toc 1"/>
    <w:next w:val="Normal"/>
    <w:semiHidden/>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pPr>
      <w:numPr>
        <w:numId w:val="5"/>
      </w:numPr>
    </w:pPr>
  </w:style>
  <w:style w:type="paragraph" w:styleId="Index1">
    <w:name w:val="index 1"/>
    <w:basedOn w:val="Normal"/>
    <w:next w:val="Normal"/>
    <w:semiHidden/>
    <w:pPr>
      <w:tabs>
        <w:tab w:val="left" w:pos="1701"/>
        <w:tab w:val="left" w:pos="3402"/>
        <w:tab w:val="left" w:pos="5103"/>
      </w:tabs>
      <w:spacing w:before="0"/>
      <w:ind w:left="1701" w:hanging="1701"/>
    </w:pPr>
  </w:style>
  <w:style w:type="paragraph" w:styleId="TOAHeading">
    <w:name w:val="toa heading"/>
    <w:basedOn w:val="Normal"/>
    <w:next w:val="Normal"/>
    <w:semiHidden/>
    <w:pPr>
      <w:spacing w:before="120"/>
    </w:pPr>
    <w:rPr>
      <w:rFonts w:ascii="Arial" w:hAnsi="Arial" w:cs="Arial"/>
      <w:b/>
      <w:bCs/>
    </w:rPr>
  </w:style>
  <w:style w:type="character" w:customStyle="1" w:styleId="Reference">
    <w:name w:val="Reference"/>
    <w:rPr>
      <w:color w:val="0000FF"/>
    </w:rPr>
  </w:style>
  <w:style w:type="paragraph" w:customStyle="1" w:styleId="TblTextbulletedlist">
    <w:name w:val="Tbl Text bulleted list"/>
    <w:basedOn w:val="TblTextLeft"/>
    <w:pPr>
      <w:numPr>
        <w:numId w:val="9"/>
      </w:numPr>
      <w:tabs>
        <w:tab w:val="clear" w:pos="360"/>
        <w:tab w:val="left" w:pos="216"/>
      </w:tabs>
      <w:spacing w:before="0" w:after="0"/>
      <w:ind w:left="216" w:hanging="216"/>
    </w:pPr>
  </w:style>
  <w:style w:type="paragraph" w:styleId="TOC2">
    <w:name w:val="toc 2"/>
    <w:basedOn w:val="TOC1"/>
    <w:next w:val="Normal"/>
    <w:semiHidden/>
    <w:rPr>
      <w:b w:val="0"/>
    </w:rPr>
  </w:style>
  <w:style w:type="character" w:styleId="PageNumber">
    <w:name w:val="page number"/>
    <w:basedOn w:val="DefaultParagraphFont"/>
  </w:style>
  <w:style w:type="paragraph" w:styleId="ListBullet">
    <w:name w:val="List Bullet"/>
    <w:basedOn w:val="Normal"/>
    <w:pPr>
      <w:numPr>
        <w:numId w:val="6"/>
      </w:numPr>
    </w:pPr>
  </w:style>
  <w:style w:type="paragraph" w:styleId="TOC3">
    <w:name w:val="toc 3"/>
    <w:basedOn w:val="TOC1"/>
    <w:next w:val="Normal"/>
    <w:semiHidden/>
    <w:pPr>
      <w:spacing w:before="120"/>
    </w:pPr>
    <w:rPr>
      <w:b w:val="0"/>
      <w:caps w:val="0"/>
    </w:rPr>
  </w:style>
  <w:style w:type="paragraph" w:styleId="TOC4">
    <w:name w:val="toc 4"/>
    <w:basedOn w:val="TOC1"/>
    <w:next w:val="Normal"/>
    <w:semiHidden/>
    <w:pPr>
      <w:spacing w:before="40"/>
    </w:pPr>
    <w:rPr>
      <w:b w:val="0"/>
      <w:caps w:val="0"/>
      <w:szCs w:val="22"/>
    </w:rPr>
  </w:style>
  <w:style w:type="paragraph" w:styleId="TOC5">
    <w:name w:val="toc 5"/>
    <w:basedOn w:val="TOC1"/>
    <w:next w:val="Normal"/>
    <w:semiHidden/>
    <w:pPr>
      <w:spacing w:before="0"/>
    </w:pPr>
    <w:rPr>
      <w:b w:val="0"/>
      <w:caps w:val="0"/>
    </w:rPr>
  </w:style>
  <w:style w:type="paragraph" w:styleId="TOC6">
    <w:name w:val="toc 6"/>
    <w:basedOn w:val="TOC1"/>
    <w:next w:val="Normal"/>
    <w:semiHidden/>
    <w:pPr>
      <w:spacing w:before="0"/>
    </w:pPr>
    <w:rPr>
      <w:b w:val="0"/>
      <w:caps w:val="0"/>
    </w:rPr>
  </w:style>
  <w:style w:type="paragraph" w:styleId="TOC7">
    <w:name w:val="toc 7"/>
    <w:basedOn w:val="TOC6"/>
    <w:next w:val="Normal"/>
    <w:semiHidden/>
  </w:style>
  <w:style w:type="paragraph" w:styleId="TOC8">
    <w:name w:val="toc 8"/>
    <w:basedOn w:val="TOC6"/>
    <w:next w:val="Normal"/>
    <w:semiHidden/>
  </w:style>
  <w:style w:type="paragraph" w:styleId="TOC9">
    <w:name w:val="toc 9"/>
    <w:basedOn w:val="TOC6"/>
    <w:next w:val="Normal"/>
    <w:semiHidden/>
  </w:style>
  <w:style w:type="character" w:customStyle="1" w:styleId="TblFigFootnoteChar">
    <w:name w:val="Tbl Fig Footnote Char"/>
    <w:rPr>
      <w:rFonts w:ascii="Arial Narrow" w:eastAsia="MS Gothic" w:hAnsi="Arial Narrow"/>
      <w:sz w:val="1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sid w:val="006E4926"/>
    <w:pPr>
      <w:spacing w:before="0"/>
    </w:pPr>
    <w:rPr>
      <w:rFonts w:ascii="Tahoma" w:hAnsi="Tahoma" w:cs="Tahoma"/>
      <w:sz w:val="16"/>
      <w:szCs w:val="16"/>
    </w:rPr>
  </w:style>
  <w:style w:type="character" w:customStyle="1" w:styleId="BalloonTextChar">
    <w:name w:val="Balloon Text Char"/>
    <w:link w:val="BalloonText"/>
    <w:rsid w:val="006E4926"/>
    <w:rPr>
      <w:rFonts w:ascii="Tahoma" w:eastAsia="MS Mincho" w:hAnsi="Tahoma" w:cs="Tahoma"/>
      <w:color w:val="000000"/>
      <w:sz w:val="16"/>
      <w:szCs w:val="16"/>
      <w:lang w:val="en-US" w:eastAsia="en-US"/>
    </w:rPr>
  </w:style>
  <w:style w:type="character" w:customStyle="1" w:styleId="TblTextCenterChar">
    <w:name w:val="Tbl Text Center Char"/>
    <w:link w:val="TblTextCenter"/>
    <w:locked/>
    <w:rsid w:val="00922BAC"/>
    <w:rPr>
      <w:rFonts w:ascii="Arial Narrow" w:eastAsia="MS Gothic" w:hAnsi="Arial Narrow"/>
      <w:lang w:val="en-US" w:eastAsia="en-US"/>
    </w:rPr>
  </w:style>
  <w:style w:type="character" w:styleId="CommentReference">
    <w:name w:val="annotation reference"/>
    <w:rsid w:val="00B806B1"/>
    <w:rPr>
      <w:sz w:val="16"/>
      <w:szCs w:val="16"/>
    </w:rPr>
  </w:style>
  <w:style w:type="paragraph" w:styleId="CommentText">
    <w:name w:val="annotation text"/>
    <w:basedOn w:val="Normal"/>
    <w:link w:val="CommentTextChar"/>
    <w:rsid w:val="00B806B1"/>
    <w:rPr>
      <w:sz w:val="20"/>
      <w:szCs w:val="20"/>
    </w:rPr>
  </w:style>
  <w:style w:type="character" w:customStyle="1" w:styleId="CommentTextChar">
    <w:name w:val="Comment Text Char"/>
    <w:link w:val="CommentText"/>
    <w:rsid w:val="00B806B1"/>
    <w:rPr>
      <w:rFonts w:eastAsia="MS Mincho"/>
      <w:color w:val="000000"/>
      <w:lang w:val="en-US" w:eastAsia="en-US"/>
    </w:rPr>
  </w:style>
  <w:style w:type="paragraph" w:styleId="CommentSubject">
    <w:name w:val="annotation subject"/>
    <w:basedOn w:val="CommentText"/>
    <w:next w:val="CommentText"/>
    <w:link w:val="CommentSubjectChar"/>
    <w:rsid w:val="00B806B1"/>
    <w:rPr>
      <w:b/>
      <w:bCs/>
    </w:rPr>
  </w:style>
  <w:style w:type="character" w:customStyle="1" w:styleId="CommentSubjectChar">
    <w:name w:val="Comment Subject Char"/>
    <w:link w:val="CommentSubject"/>
    <w:rsid w:val="00B806B1"/>
    <w:rPr>
      <w:rFonts w:eastAsia="MS Mincho"/>
      <w:b/>
      <w:bCs/>
      <w:color w:val="000000"/>
      <w:lang w:val="en-US" w:eastAsia="en-US"/>
    </w:rPr>
  </w:style>
  <w:style w:type="paragraph" w:styleId="Revision">
    <w:name w:val="Revision"/>
    <w:hidden/>
    <w:uiPriority w:val="99"/>
    <w:semiHidden/>
    <w:rsid w:val="003B4007"/>
    <w:rPr>
      <w:rFonts w:eastAsia="MS Mincho"/>
      <w:color w:val="000000"/>
      <w:sz w:val="24"/>
      <w:szCs w:val="24"/>
      <w:lang w:val="en-US" w:eastAsia="en-US"/>
    </w:rPr>
  </w:style>
  <w:style w:type="paragraph" w:customStyle="1" w:styleId="Default">
    <w:name w:val="Default"/>
    <w:rsid w:val="00400C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6777">
      <w:bodyDiv w:val="1"/>
      <w:marLeft w:val="0"/>
      <w:marRight w:val="0"/>
      <w:marTop w:val="0"/>
      <w:marBottom w:val="0"/>
      <w:divBdr>
        <w:top w:val="none" w:sz="0" w:space="0" w:color="auto"/>
        <w:left w:val="none" w:sz="0" w:space="0" w:color="auto"/>
        <w:bottom w:val="none" w:sz="0" w:space="0" w:color="auto"/>
        <w:right w:val="none" w:sz="0" w:space="0" w:color="auto"/>
      </w:divBdr>
    </w:div>
    <w:div w:id="296843092">
      <w:bodyDiv w:val="1"/>
      <w:marLeft w:val="0"/>
      <w:marRight w:val="0"/>
      <w:marTop w:val="0"/>
      <w:marBottom w:val="0"/>
      <w:divBdr>
        <w:top w:val="none" w:sz="0" w:space="0" w:color="auto"/>
        <w:left w:val="none" w:sz="0" w:space="0" w:color="auto"/>
        <w:bottom w:val="none" w:sz="0" w:space="0" w:color="auto"/>
        <w:right w:val="none" w:sz="0" w:space="0" w:color="auto"/>
      </w:divBdr>
    </w:div>
    <w:div w:id="883298065">
      <w:bodyDiv w:val="1"/>
      <w:marLeft w:val="0"/>
      <w:marRight w:val="0"/>
      <w:marTop w:val="0"/>
      <w:marBottom w:val="0"/>
      <w:divBdr>
        <w:top w:val="none" w:sz="0" w:space="0" w:color="auto"/>
        <w:left w:val="none" w:sz="0" w:space="0" w:color="auto"/>
        <w:bottom w:val="none" w:sz="0" w:space="0" w:color="auto"/>
        <w:right w:val="none" w:sz="0" w:space="0" w:color="auto"/>
      </w:divBdr>
    </w:div>
    <w:div w:id="933440509">
      <w:bodyDiv w:val="1"/>
      <w:marLeft w:val="0"/>
      <w:marRight w:val="0"/>
      <w:marTop w:val="0"/>
      <w:marBottom w:val="0"/>
      <w:divBdr>
        <w:top w:val="none" w:sz="0" w:space="0" w:color="auto"/>
        <w:left w:val="none" w:sz="0" w:space="0" w:color="auto"/>
        <w:bottom w:val="none" w:sz="0" w:space="0" w:color="auto"/>
        <w:right w:val="none" w:sz="0" w:space="0" w:color="auto"/>
      </w:divBdr>
    </w:div>
    <w:div w:id="945698721">
      <w:bodyDiv w:val="1"/>
      <w:marLeft w:val="0"/>
      <w:marRight w:val="0"/>
      <w:marTop w:val="0"/>
      <w:marBottom w:val="0"/>
      <w:divBdr>
        <w:top w:val="none" w:sz="0" w:space="0" w:color="auto"/>
        <w:left w:val="none" w:sz="0" w:space="0" w:color="auto"/>
        <w:bottom w:val="none" w:sz="0" w:space="0" w:color="auto"/>
        <w:right w:val="none" w:sz="0" w:space="0" w:color="auto"/>
      </w:divBdr>
    </w:div>
    <w:div w:id="1518423271">
      <w:bodyDiv w:val="1"/>
      <w:marLeft w:val="0"/>
      <w:marRight w:val="0"/>
      <w:marTop w:val="0"/>
      <w:marBottom w:val="0"/>
      <w:divBdr>
        <w:top w:val="none" w:sz="0" w:space="0" w:color="auto"/>
        <w:left w:val="none" w:sz="0" w:space="0" w:color="auto"/>
        <w:bottom w:val="none" w:sz="0" w:space="0" w:color="auto"/>
        <w:right w:val="none" w:sz="0" w:space="0" w:color="auto"/>
      </w:divBdr>
    </w:div>
    <w:div w:id="192676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0186245\Desktop\domasys\DOMASYS_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70F3-F415-4163-BF57-E3EDE516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DOMASYS_Standard</Template>
  <TotalTime>22</TotalTime>
  <Pages>28</Pages>
  <Words>6866</Words>
  <Characters>38657</Characters>
  <Application>Microsoft Office Word</Application>
  <DocSecurity>0</DocSecurity>
  <Lines>1073</Lines>
  <Paragraphs>700</Paragraphs>
  <ScaleCrop>false</ScaleCrop>
  <HeadingPairs>
    <vt:vector size="2" baseType="variant">
      <vt:variant>
        <vt:lpstr>Title</vt:lpstr>
      </vt:variant>
      <vt:variant>
        <vt:i4>1</vt:i4>
      </vt:variant>
    </vt:vector>
  </HeadingPairs>
  <TitlesOfParts>
    <vt:vector size="1" baseType="lpstr">
      <vt:lpstr>DOMASYS Standard</vt:lpstr>
    </vt:vector>
  </TitlesOfParts>
  <Manager/>
  <Company>sanofi-aventis</Company>
  <LinksUpToDate>false</LinksUpToDate>
  <CharactersWithSpaces>44823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Alirocumab (rch)</dc:title>
  <dc:subject>prescription medicines</dc:subject>
  <dc:creator>sanofi-aventis</dc:creator>
  <cp:keywords>AusPARs</cp:keywords>
  <cp:lastModifiedBy>LACK, Janet</cp:lastModifiedBy>
  <cp:revision>4</cp:revision>
  <cp:lastPrinted>2016-05-11T02:46:00Z</cp:lastPrinted>
  <dcterms:created xsi:type="dcterms:W3CDTF">2016-12-14T22:16:00Z</dcterms:created>
  <dcterms:modified xsi:type="dcterms:W3CDTF">2016-12-21T23:48:00Z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PRODUCT INFORMATION</vt:lpwstr>
  </property>
  <property fmtid="{D5CDD505-2E9C-101B-9397-08002B2CF9AE}" pid="3" name="INN">
    <vt:lpwstr>Alirocumab - 75mg, 150mg solution for injection</vt:lpwstr>
  </property>
  <property fmtid="{D5CDD505-2E9C-101B-9397-08002B2CF9AE}" pid="4" name="Date">
    <vt:lpwstr>17-May-2016</vt:lpwstr>
  </property>
  <property fmtid="{D5CDD505-2E9C-101B-9397-08002B2CF9AE}" pid="5" name="Product Code">
    <vt:lpwstr>Praluent</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y fmtid="{D5CDD505-2E9C-101B-9397-08002B2CF9AE}" pid="11" name="_AdHocReviewCycleID">
    <vt:i4>2005592542</vt:i4>
  </property>
  <property fmtid="{D5CDD505-2E9C-101B-9397-08002B2CF9AE}" pid="12" name="_NewReviewCycle">
    <vt:lpwstr/>
  </property>
  <property fmtid="{D5CDD505-2E9C-101B-9397-08002B2CF9AE}" pid="13" name="_EmailSubject">
    <vt:lpwstr>Praluent/Golyra/Eliriduc AusPAR draft 1.0 [SEC=UNCLASSIFIED]</vt:lpwstr>
  </property>
  <property fmtid="{D5CDD505-2E9C-101B-9397-08002B2CF9AE}" pid="14" name="_AuthorEmail">
    <vt:lpwstr>ranz@sanofi.com</vt:lpwstr>
  </property>
  <property fmtid="{D5CDD505-2E9C-101B-9397-08002B2CF9AE}" pid="15" name="_AuthorEmailDisplayName">
    <vt:lpwstr>Regulatory Affairs AU PH/AU</vt:lpwstr>
  </property>
  <property fmtid="{D5CDD505-2E9C-101B-9397-08002B2CF9AE}" pid="16" name="_PreviousAdHocReviewCycleID">
    <vt:i4>-1494985974</vt:i4>
  </property>
  <property fmtid="{D5CDD505-2E9C-101B-9397-08002B2CF9AE}" pid="17" name="_ReviewingToolsShownOnce">
    <vt:lpwstr/>
  </property>
</Properties>
</file>