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77117" w14:textId="7732E7E2" w:rsidR="00D844B2" w:rsidRPr="00D43C8A" w:rsidRDefault="00D844B2" w:rsidP="00D43C8A">
      <w:pPr>
        <w:pStyle w:val="Heading1"/>
      </w:pPr>
      <w:bookmarkStart w:id="0" w:name="_GoBack"/>
      <w:bookmarkEnd w:id="0"/>
      <w:r w:rsidRPr="00D43C8A">
        <w:t>N</w:t>
      </w:r>
      <w:r w:rsidR="00C728BF">
        <w:t>AME OF THE M</w:t>
      </w:r>
      <w:r w:rsidR="00517398">
        <w:t>EDICINE</w:t>
      </w:r>
    </w:p>
    <w:p w14:paraId="2F077118" w14:textId="2D3DF132" w:rsidR="00D844B2" w:rsidRPr="00D43C8A" w:rsidRDefault="00D02E38" w:rsidP="00D43C8A">
      <w:pPr>
        <w:pStyle w:val="Title"/>
      </w:pPr>
      <w:r w:rsidRPr="00D43C8A">
        <w:t>ALECENSA</w:t>
      </w:r>
      <w:r w:rsidR="00D844B2" w:rsidRPr="00D43C8A">
        <w:t>®</w:t>
      </w:r>
    </w:p>
    <w:p w14:paraId="2F077119" w14:textId="5443F4BD" w:rsidR="00D844B2" w:rsidRPr="00D43C8A" w:rsidRDefault="00C46B1E" w:rsidP="00D43C8A">
      <w:pPr>
        <w:rPr>
          <w:rStyle w:val="Emphasis"/>
        </w:rPr>
      </w:pPr>
      <w:proofErr w:type="spellStart"/>
      <w:r w:rsidRPr="00D43C8A">
        <w:rPr>
          <w:rStyle w:val="Emphasis"/>
        </w:rPr>
        <w:t>Alectinib</w:t>
      </w:r>
      <w:proofErr w:type="spellEnd"/>
      <w:r w:rsidRPr="00D43C8A">
        <w:rPr>
          <w:rStyle w:val="Emphasis"/>
        </w:rPr>
        <w:t xml:space="preserve"> hydrochloride</w:t>
      </w:r>
    </w:p>
    <w:p w14:paraId="2F077124" w14:textId="13A10398" w:rsidR="000B118C" w:rsidRDefault="00CF3480" w:rsidP="008C4322">
      <w:r w:rsidRPr="008C4322">
        <w:rPr>
          <w:lang w:val="en-GB"/>
        </w:rPr>
        <w:t xml:space="preserve">CAS: </w:t>
      </w:r>
      <w:r w:rsidR="00C46B1E" w:rsidRPr="00C46B1E">
        <w:t>1256589-74-8</w:t>
      </w:r>
    </w:p>
    <w:p w14:paraId="28A13E76" w14:textId="4CE60411" w:rsidR="008E3BBD" w:rsidRDefault="008E3BBD" w:rsidP="008C4322">
      <w:r>
        <w:rPr>
          <w:noProof/>
          <w:lang w:eastAsia="en-AU"/>
        </w:rPr>
        <w:drawing>
          <wp:inline distT="0" distB="0" distL="0" distR="0" wp14:anchorId="2F36D9CB" wp14:editId="3176592C">
            <wp:extent cx="2200275" cy="998855"/>
            <wp:effectExtent l="0" t="0" r="9525" b="0"/>
            <wp:docPr id="2" name="Picture 2" descr="Alectinib hydro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ctinib hcl.JPG"/>
                    <pic:cNvPicPr/>
                  </pic:nvPicPr>
                  <pic:blipFill>
                    <a:blip r:embed="rId13">
                      <a:extLst>
                        <a:ext uri="{28A0092B-C50C-407E-A947-70E740481C1C}">
                          <a14:useLocalDpi xmlns:a14="http://schemas.microsoft.com/office/drawing/2010/main" val="0"/>
                        </a:ext>
                      </a:extLst>
                    </a:blip>
                    <a:stretch>
                      <a:fillRect/>
                    </a:stretch>
                  </pic:blipFill>
                  <pic:spPr>
                    <a:xfrm>
                      <a:off x="0" y="0"/>
                      <a:ext cx="2200275" cy="998855"/>
                    </a:xfrm>
                    <a:prstGeom prst="rect">
                      <a:avLst/>
                    </a:prstGeom>
                  </pic:spPr>
                </pic:pic>
              </a:graphicData>
            </a:graphic>
          </wp:inline>
        </w:drawing>
      </w:r>
    </w:p>
    <w:p w14:paraId="2F077126" w14:textId="18628508" w:rsidR="00D844B2" w:rsidRPr="00D43C8A" w:rsidRDefault="00D844B2" w:rsidP="008E3BBD">
      <w:pPr>
        <w:pStyle w:val="Heading1"/>
        <w:spacing w:before="480"/>
        <w:jc w:val="both"/>
      </w:pPr>
      <w:r w:rsidRPr="00D43C8A">
        <w:t>D</w:t>
      </w:r>
      <w:r w:rsidR="00517398">
        <w:t>ESCRIPTION</w:t>
      </w:r>
    </w:p>
    <w:p w14:paraId="5A14E55B" w14:textId="0A27C969" w:rsidR="006274A6" w:rsidRDefault="00D02E38" w:rsidP="00D43C8A">
      <w:pPr>
        <w:rPr>
          <w:lang w:val="en-NZ"/>
        </w:rPr>
      </w:pPr>
      <w:r>
        <w:rPr>
          <w:lang w:val="en-NZ"/>
        </w:rPr>
        <w:t>ALECENSA</w:t>
      </w:r>
      <w:r w:rsidR="00CC6DAC" w:rsidRPr="00CC6DAC">
        <w:rPr>
          <w:lang w:val="en-NZ"/>
        </w:rPr>
        <w:t xml:space="preserve"> </w:t>
      </w:r>
      <w:r w:rsidR="00CC6DAC">
        <w:rPr>
          <w:lang w:val="en-NZ"/>
        </w:rPr>
        <w:t>(</w:t>
      </w:r>
      <w:proofErr w:type="spellStart"/>
      <w:r w:rsidR="00CC6DAC">
        <w:rPr>
          <w:lang w:val="en-NZ"/>
        </w:rPr>
        <w:t>alectinib</w:t>
      </w:r>
      <w:proofErr w:type="spellEnd"/>
      <w:r w:rsidR="00CC6DAC">
        <w:rPr>
          <w:lang w:val="en-NZ"/>
        </w:rPr>
        <w:t xml:space="preserve"> hydrochloride) </w:t>
      </w:r>
      <w:r w:rsidR="006274A6" w:rsidRPr="006274A6">
        <w:rPr>
          <w:lang w:val="en-NZ"/>
        </w:rPr>
        <w:t>is a tyrosine kinase inhibitor for oral administration</w:t>
      </w:r>
      <w:r w:rsidR="006274A6">
        <w:rPr>
          <w:lang w:val="en-NZ"/>
        </w:rPr>
        <w:t xml:space="preserve">. </w:t>
      </w:r>
      <w:r w:rsidR="00612D4D">
        <w:rPr>
          <w:lang w:val="en-NZ"/>
        </w:rPr>
        <w:t>The molecular formula is C</w:t>
      </w:r>
      <w:r w:rsidR="00612D4D" w:rsidRPr="00D9517A">
        <w:rPr>
          <w:vertAlign w:val="subscript"/>
          <w:lang w:val="en-NZ"/>
        </w:rPr>
        <w:t>30</w:t>
      </w:r>
      <w:r w:rsidR="00612D4D">
        <w:rPr>
          <w:lang w:val="en-NZ"/>
        </w:rPr>
        <w:t>H</w:t>
      </w:r>
      <w:r w:rsidR="00612D4D" w:rsidRPr="00D9517A">
        <w:rPr>
          <w:vertAlign w:val="subscript"/>
          <w:lang w:val="en-NZ"/>
        </w:rPr>
        <w:t>3</w:t>
      </w:r>
      <w:r w:rsidR="00087522">
        <w:rPr>
          <w:vertAlign w:val="subscript"/>
          <w:lang w:val="en-NZ"/>
        </w:rPr>
        <w:t>5</w:t>
      </w:r>
      <w:r w:rsidR="00087522" w:rsidRPr="006F071B">
        <w:rPr>
          <w:lang w:val="en-NZ"/>
        </w:rPr>
        <w:t>Cl</w:t>
      </w:r>
      <w:r w:rsidR="00612D4D">
        <w:rPr>
          <w:lang w:val="en-NZ"/>
        </w:rPr>
        <w:t>N</w:t>
      </w:r>
      <w:r w:rsidR="00612D4D" w:rsidRPr="00D9517A">
        <w:rPr>
          <w:vertAlign w:val="subscript"/>
          <w:lang w:val="en-NZ"/>
        </w:rPr>
        <w:t>4</w:t>
      </w:r>
      <w:r w:rsidR="00612D4D">
        <w:rPr>
          <w:lang w:val="en-NZ"/>
        </w:rPr>
        <w:t>O</w:t>
      </w:r>
      <w:r w:rsidR="00612D4D" w:rsidRPr="00D9517A">
        <w:rPr>
          <w:vertAlign w:val="subscript"/>
          <w:lang w:val="en-NZ"/>
        </w:rPr>
        <w:t>2</w:t>
      </w:r>
      <w:r w:rsidR="00612D4D">
        <w:rPr>
          <w:lang w:val="en-NZ"/>
        </w:rPr>
        <w:t xml:space="preserve"> HCl. The molecular weight is 482.62 g/m</w:t>
      </w:r>
      <w:r w:rsidR="00A439FF">
        <w:rPr>
          <w:lang w:val="en-NZ"/>
        </w:rPr>
        <w:t>o</w:t>
      </w:r>
      <w:r w:rsidR="00612D4D">
        <w:rPr>
          <w:lang w:val="en-NZ"/>
        </w:rPr>
        <w:t>l (free base form) and 519.08 g/m</w:t>
      </w:r>
      <w:r w:rsidR="00A439FF">
        <w:rPr>
          <w:lang w:val="en-NZ"/>
        </w:rPr>
        <w:t>o</w:t>
      </w:r>
      <w:r w:rsidR="00612D4D">
        <w:rPr>
          <w:lang w:val="en-NZ"/>
        </w:rPr>
        <w:t xml:space="preserve">l (hydrochloride salt). </w:t>
      </w:r>
      <w:r w:rsidR="006F071B">
        <w:t>Alectinib hydrochloride is described chemically</w:t>
      </w:r>
      <w:r w:rsidR="00181388">
        <w:t xml:space="preserve"> </w:t>
      </w:r>
      <w:r w:rsidR="006F071B">
        <w:t>as:</w:t>
      </w:r>
      <w:r w:rsidR="00181388">
        <w:t xml:space="preserve"> </w:t>
      </w:r>
      <w:r w:rsidR="006274A6" w:rsidRPr="006274A6">
        <w:rPr>
          <w:lang w:val="en-NZ"/>
        </w:rPr>
        <w:t>9-ethyl-6</w:t>
      </w:r>
      <w:proofErr w:type="gramStart"/>
      <w:r w:rsidR="006274A6" w:rsidRPr="006274A6">
        <w:rPr>
          <w:lang w:val="en-NZ"/>
        </w:rPr>
        <w:t>,6</w:t>
      </w:r>
      <w:proofErr w:type="gramEnd"/>
      <w:r w:rsidR="006274A6" w:rsidRPr="006274A6">
        <w:rPr>
          <w:lang w:val="en-NZ"/>
        </w:rPr>
        <w:t>-dimethyl-8-[4-(mor</w:t>
      </w:r>
      <w:r w:rsidR="006274A6">
        <w:rPr>
          <w:lang w:val="en-NZ"/>
        </w:rPr>
        <w:t>pholin-4-yl)piperidin-1-yl]-11-</w:t>
      </w:r>
      <w:r w:rsidR="006274A6" w:rsidRPr="006274A6">
        <w:rPr>
          <w:lang w:val="en-NZ"/>
        </w:rPr>
        <w:t>oxo-6,11-dihydro-5</w:t>
      </w:r>
      <w:r w:rsidR="006274A6" w:rsidRPr="006274A6">
        <w:rPr>
          <w:i/>
          <w:iCs/>
          <w:lang w:val="en-NZ"/>
        </w:rPr>
        <w:t>H</w:t>
      </w:r>
      <w:r w:rsidR="006274A6" w:rsidRPr="006274A6">
        <w:rPr>
          <w:lang w:val="en-NZ"/>
        </w:rPr>
        <w:t>-benzo[</w:t>
      </w:r>
      <w:r w:rsidR="006274A6" w:rsidRPr="006274A6">
        <w:rPr>
          <w:i/>
          <w:iCs/>
          <w:lang w:val="en-NZ"/>
        </w:rPr>
        <w:t>b</w:t>
      </w:r>
      <w:r w:rsidR="006274A6" w:rsidRPr="006274A6">
        <w:rPr>
          <w:lang w:val="en-NZ"/>
        </w:rPr>
        <w:t>]carbazole-3-carbonitrile hydrochloride</w:t>
      </w:r>
      <w:r w:rsidR="006F071B">
        <w:t xml:space="preserve">. </w:t>
      </w:r>
      <w:r w:rsidR="00A533ED">
        <w:t>Alectinib HCl is a white to yellow white powder or powder with lumps</w:t>
      </w:r>
      <w:r w:rsidR="003F492C">
        <w:t>,</w:t>
      </w:r>
      <w:r w:rsidR="00A533ED">
        <w:t xml:space="preserve"> with a pKa of 7.05 (base).</w:t>
      </w:r>
      <w:r w:rsidR="00DE0FC2" w:rsidRPr="00DE0FC2">
        <w:t xml:space="preserve"> </w:t>
      </w:r>
      <w:r w:rsidR="00F3722F">
        <w:rPr>
          <w:lang w:val="en-NZ"/>
        </w:rPr>
        <w:t>It</w:t>
      </w:r>
      <w:r w:rsidR="00DE0FC2" w:rsidRPr="00DE0FC2">
        <w:rPr>
          <w:lang w:val="en-NZ"/>
        </w:rPr>
        <w:t xml:space="preserve"> has low solubility in aqueous buffers across the pH range, and low to high solubility in organic solvents.</w:t>
      </w:r>
    </w:p>
    <w:p w14:paraId="3A13BC7D" w14:textId="167D1579" w:rsidR="006F071B" w:rsidRPr="00D3765B" w:rsidRDefault="00D02E38" w:rsidP="00BC152A">
      <w:pPr>
        <w:rPr>
          <w:lang w:val="en-NZ"/>
        </w:rPr>
      </w:pPr>
      <w:r>
        <w:rPr>
          <w:lang w:val="en-NZ"/>
        </w:rPr>
        <w:t>ALECENSA</w:t>
      </w:r>
      <w:r w:rsidR="006F071B">
        <w:rPr>
          <w:lang w:val="en-NZ"/>
        </w:rPr>
        <w:t xml:space="preserve"> is available as a hard capsule which contains </w:t>
      </w:r>
      <w:r w:rsidR="00CA41ED">
        <w:rPr>
          <w:lang w:val="en-NZ"/>
        </w:rPr>
        <w:t xml:space="preserve">161.3 mg </w:t>
      </w:r>
      <w:r w:rsidR="00B1117C">
        <w:rPr>
          <w:lang w:val="en-NZ"/>
        </w:rPr>
        <w:t xml:space="preserve">alectinib </w:t>
      </w:r>
      <w:r w:rsidR="00F3722F">
        <w:rPr>
          <w:lang w:val="en-NZ"/>
        </w:rPr>
        <w:t xml:space="preserve">HCl </w:t>
      </w:r>
      <w:r w:rsidR="00B1117C">
        <w:rPr>
          <w:lang w:val="en-NZ"/>
        </w:rPr>
        <w:t xml:space="preserve">equivalent to </w:t>
      </w:r>
      <w:r w:rsidR="006F071B" w:rsidRPr="00B1117C">
        <w:rPr>
          <w:lang w:val="en-NZ"/>
        </w:rPr>
        <w:t>150 mg alectinib.</w:t>
      </w:r>
      <w:r w:rsidR="006F071B">
        <w:rPr>
          <w:lang w:val="en-NZ"/>
        </w:rPr>
        <w:t xml:space="preserve"> </w:t>
      </w:r>
      <w:r>
        <w:rPr>
          <w:lang w:val="en-NZ"/>
        </w:rPr>
        <w:t>ALECENSA</w:t>
      </w:r>
      <w:r w:rsidR="006F071B">
        <w:rPr>
          <w:lang w:val="en-NZ"/>
        </w:rPr>
        <w:t xml:space="preserve"> capsules also contain the following excipients: lactose</w:t>
      </w:r>
      <w:r w:rsidR="00EB0F7D">
        <w:rPr>
          <w:lang w:val="en-NZ"/>
        </w:rPr>
        <w:t xml:space="preserve"> monohydrate</w:t>
      </w:r>
      <w:r w:rsidR="006F071B">
        <w:rPr>
          <w:lang w:val="en-NZ"/>
        </w:rPr>
        <w:t xml:space="preserve">, </w:t>
      </w:r>
      <w:r w:rsidR="00087522">
        <w:rPr>
          <w:lang w:val="en-NZ"/>
        </w:rPr>
        <w:t>hyprolose</w:t>
      </w:r>
      <w:r w:rsidR="006F071B">
        <w:rPr>
          <w:lang w:val="en-NZ"/>
        </w:rPr>
        <w:t xml:space="preserve">, sodium lauryl sulfate, </w:t>
      </w:r>
      <w:proofErr w:type="gramStart"/>
      <w:r w:rsidR="006F071B">
        <w:rPr>
          <w:lang w:val="en-NZ"/>
        </w:rPr>
        <w:t>carmellose</w:t>
      </w:r>
      <w:proofErr w:type="gramEnd"/>
      <w:r w:rsidR="006F071B">
        <w:rPr>
          <w:lang w:val="en-NZ"/>
        </w:rPr>
        <w:t xml:space="preserve"> calcium and magnesium stearate.</w:t>
      </w:r>
      <w:r w:rsidR="00B1117C">
        <w:rPr>
          <w:lang w:val="en-NZ"/>
        </w:rPr>
        <w:t xml:space="preserve"> The capsule </w:t>
      </w:r>
      <w:r w:rsidR="00D3765B">
        <w:rPr>
          <w:lang w:val="en-NZ"/>
        </w:rPr>
        <w:t xml:space="preserve">shell </w:t>
      </w:r>
      <w:r w:rsidR="00B1117C">
        <w:rPr>
          <w:lang w:val="en-NZ"/>
        </w:rPr>
        <w:t>contains carrageenan, potassium chloride, titanium dioxide</w:t>
      </w:r>
      <w:r w:rsidR="00BB3C8F">
        <w:rPr>
          <w:lang w:val="en-NZ"/>
        </w:rPr>
        <w:t xml:space="preserve">, carnauba wax, </w:t>
      </w:r>
      <w:r w:rsidR="00424E0F">
        <w:rPr>
          <w:lang w:val="en-NZ"/>
        </w:rPr>
        <w:t>m</w:t>
      </w:r>
      <w:r w:rsidR="00F3722F">
        <w:rPr>
          <w:lang w:val="en-NZ"/>
        </w:rPr>
        <w:t>a</w:t>
      </w:r>
      <w:r w:rsidR="00424E0F">
        <w:rPr>
          <w:lang w:val="en-NZ"/>
        </w:rPr>
        <w:t>i</w:t>
      </w:r>
      <w:r w:rsidR="00F3722F">
        <w:rPr>
          <w:lang w:val="en-NZ"/>
        </w:rPr>
        <w:t xml:space="preserve">ze </w:t>
      </w:r>
      <w:r w:rsidR="00BB3C8F">
        <w:rPr>
          <w:lang w:val="en-NZ"/>
        </w:rPr>
        <w:t xml:space="preserve">starch and </w:t>
      </w:r>
      <w:r w:rsidR="00B1117C">
        <w:rPr>
          <w:lang w:val="en-NZ"/>
        </w:rPr>
        <w:t>hypromellose</w:t>
      </w:r>
      <w:r w:rsidR="00BB3C8F">
        <w:rPr>
          <w:lang w:val="en-NZ"/>
        </w:rPr>
        <w:t>.</w:t>
      </w:r>
      <w:r w:rsidR="00B1117C">
        <w:rPr>
          <w:lang w:val="en-NZ"/>
        </w:rPr>
        <w:t xml:space="preserve"> </w:t>
      </w:r>
      <w:r w:rsidR="00D3765B" w:rsidRPr="00D3765B">
        <w:rPr>
          <w:lang w:val="en-NZ"/>
        </w:rPr>
        <w:t xml:space="preserve">The capsule </w:t>
      </w:r>
      <w:r w:rsidR="00BC152A">
        <w:rPr>
          <w:lang w:val="en-NZ"/>
        </w:rPr>
        <w:t xml:space="preserve">black </w:t>
      </w:r>
      <w:r w:rsidR="00D3765B" w:rsidRPr="00D3765B">
        <w:rPr>
          <w:lang w:val="en-NZ"/>
        </w:rPr>
        <w:t>printing ink</w:t>
      </w:r>
      <w:r w:rsidR="00BC152A">
        <w:rPr>
          <w:lang w:val="en-NZ"/>
        </w:rPr>
        <w:t xml:space="preserve"> includes </w:t>
      </w:r>
      <w:r w:rsidR="00BC152A" w:rsidRPr="00BC152A">
        <w:rPr>
          <w:lang w:val="en-US"/>
        </w:rPr>
        <w:t>iron oxide red, iron oxide yellow,</w:t>
      </w:r>
      <w:r w:rsidR="00BC152A">
        <w:rPr>
          <w:lang w:val="en-US"/>
        </w:rPr>
        <w:t xml:space="preserve"> indigo carmine aluminium lake, </w:t>
      </w:r>
      <w:r w:rsidR="00BC152A" w:rsidRPr="00BC152A">
        <w:rPr>
          <w:lang w:val="en-NZ"/>
        </w:rPr>
        <w:t>carnauba</w:t>
      </w:r>
      <w:r w:rsidR="00BC152A">
        <w:rPr>
          <w:lang w:val="en-NZ"/>
        </w:rPr>
        <w:t xml:space="preserve"> w</w:t>
      </w:r>
      <w:r w:rsidR="00BC152A" w:rsidRPr="00BC152A">
        <w:rPr>
          <w:lang w:val="en-NZ"/>
        </w:rPr>
        <w:t>ax</w:t>
      </w:r>
      <w:r w:rsidR="00BC152A">
        <w:rPr>
          <w:lang w:val="en-NZ"/>
        </w:rPr>
        <w:t xml:space="preserve">, </w:t>
      </w:r>
      <w:proofErr w:type="gramStart"/>
      <w:r w:rsidR="00BC152A">
        <w:rPr>
          <w:lang w:val="en-US"/>
        </w:rPr>
        <w:t>shellac</w:t>
      </w:r>
      <w:proofErr w:type="gramEnd"/>
      <w:r w:rsidR="00BC152A">
        <w:rPr>
          <w:lang w:val="en-US"/>
        </w:rPr>
        <w:t xml:space="preserve"> </w:t>
      </w:r>
      <w:r w:rsidR="00BC152A">
        <w:rPr>
          <w:lang w:val="en-NZ"/>
        </w:rPr>
        <w:t xml:space="preserve">and </w:t>
      </w:r>
      <w:r w:rsidR="00BC152A">
        <w:rPr>
          <w:lang w:val="en-US"/>
        </w:rPr>
        <w:t xml:space="preserve">glyceryl </w:t>
      </w:r>
      <w:proofErr w:type="spellStart"/>
      <w:r w:rsidR="00BC152A">
        <w:rPr>
          <w:lang w:val="en-US"/>
        </w:rPr>
        <w:t>monooleate</w:t>
      </w:r>
      <w:proofErr w:type="spellEnd"/>
      <w:r w:rsidR="00D3765B">
        <w:rPr>
          <w:lang w:val="en-NZ"/>
        </w:rPr>
        <w:t>.</w:t>
      </w:r>
    </w:p>
    <w:p w14:paraId="2F07712B" w14:textId="68BCCD52" w:rsidR="00D844B2" w:rsidRPr="00D43C8A" w:rsidRDefault="00D844B2" w:rsidP="00D43C8A">
      <w:pPr>
        <w:pStyle w:val="Heading1"/>
      </w:pPr>
      <w:r w:rsidRPr="00D43C8A">
        <w:t>P</w:t>
      </w:r>
      <w:r w:rsidR="00517398">
        <w:t>HARMACOLOGY</w:t>
      </w:r>
    </w:p>
    <w:p w14:paraId="04CA6EA0" w14:textId="57AD917B" w:rsidR="00AB7226" w:rsidRPr="00AB7226" w:rsidRDefault="00AB7226" w:rsidP="00AB7226">
      <w:pPr>
        <w:pStyle w:val="Heading2"/>
      </w:pPr>
      <w:r w:rsidRPr="00AB7226">
        <w:t xml:space="preserve">Mechanism of </w:t>
      </w:r>
      <w:r w:rsidR="007C2216">
        <w:t>a</w:t>
      </w:r>
      <w:r w:rsidR="007C2216" w:rsidRPr="00AB7226">
        <w:t>ction</w:t>
      </w:r>
    </w:p>
    <w:p w14:paraId="53BB4A70" w14:textId="5C3E0817" w:rsidR="009E047D" w:rsidRDefault="009E047D" w:rsidP="00D43C8A">
      <w:pPr>
        <w:rPr>
          <w:lang w:val="en-NZ"/>
        </w:rPr>
      </w:pPr>
      <w:r>
        <w:rPr>
          <w:lang w:val="en-NZ"/>
        </w:rPr>
        <w:t>Alectinib is a tyrosine kinase inhibitor that targets anaplastic lymphoma kinase (ALK) and Rearranged during Transfection (RET) tyrosine kinase.</w:t>
      </w:r>
    </w:p>
    <w:p w14:paraId="456E2ABF" w14:textId="37EBC0D8" w:rsidR="00AB7226" w:rsidRDefault="00AB7226" w:rsidP="00D43C8A">
      <w:pPr>
        <w:rPr>
          <w:lang w:val="en-NZ"/>
        </w:rPr>
      </w:pPr>
      <w:r w:rsidRPr="00AB7226">
        <w:rPr>
          <w:lang w:val="en-NZ"/>
        </w:rPr>
        <w:t xml:space="preserve">In preclinical studies, </w:t>
      </w:r>
      <w:proofErr w:type="spellStart"/>
      <w:r w:rsidR="009E047D">
        <w:rPr>
          <w:lang w:val="en-NZ"/>
        </w:rPr>
        <w:t>alectinib</w:t>
      </w:r>
      <w:proofErr w:type="spellEnd"/>
      <w:r w:rsidR="009E047D">
        <w:rPr>
          <w:lang w:val="en-NZ"/>
        </w:rPr>
        <w:t xml:space="preserve"> inhibits </w:t>
      </w:r>
      <w:r w:rsidRPr="00AB7226">
        <w:rPr>
          <w:lang w:val="en-NZ"/>
        </w:rPr>
        <w:t>ALK tyrosine kinase activity</w:t>
      </w:r>
      <w:r w:rsidR="009E047D">
        <w:rPr>
          <w:lang w:val="en-NZ"/>
        </w:rPr>
        <w:t>,</w:t>
      </w:r>
      <w:r w:rsidRPr="00AB7226">
        <w:rPr>
          <w:lang w:val="en-NZ"/>
        </w:rPr>
        <w:t xml:space="preserve"> </w:t>
      </w:r>
      <w:r w:rsidR="009E047D">
        <w:rPr>
          <w:lang w:val="en-NZ"/>
        </w:rPr>
        <w:t xml:space="preserve">leading </w:t>
      </w:r>
      <w:r w:rsidRPr="00AB7226">
        <w:rPr>
          <w:lang w:val="en-NZ"/>
        </w:rPr>
        <w:t>to</w:t>
      </w:r>
      <w:r>
        <w:rPr>
          <w:lang w:val="en-NZ"/>
        </w:rPr>
        <w:t xml:space="preserve"> </w:t>
      </w:r>
      <w:r w:rsidRPr="00AB7226">
        <w:rPr>
          <w:lang w:val="en-NZ"/>
        </w:rPr>
        <w:t>blockage of downstream signalling pathways including STAT3 and PI3K/AKT</w:t>
      </w:r>
      <w:r w:rsidR="009E047D">
        <w:rPr>
          <w:lang w:val="en-NZ"/>
        </w:rPr>
        <w:t>,</w:t>
      </w:r>
      <w:r w:rsidRPr="00AB7226">
        <w:rPr>
          <w:lang w:val="en-NZ"/>
        </w:rPr>
        <w:t xml:space="preserve"> and</w:t>
      </w:r>
      <w:r>
        <w:rPr>
          <w:lang w:val="en-NZ"/>
        </w:rPr>
        <w:t xml:space="preserve"> </w:t>
      </w:r>
      <w:r w:rsidR="009E047D">
        <w:rPr>
          <w:lang w:val="en-NZ"/>
        </w:rPr>
        <w:t>inhibits proliferation of cancer cells harbouring ALK fusion proteins</w:t>
      </w:r>
      <w:r w:rsidRPr="00AB7226">
        <w:rPr>
          <w:lang w:val="en-NZ"/>
        </w:rPr>
        <w:t>.</w:t>
      </w:r>
    </w:p>
    <w:p w14:paraId="48C036B5" w14:textId="24A5542C" w:rsidR="00AB7226" w:rsidRPr="002C4DC5" w:rsidRDefault="00AB7226" w:rsidP="00D43C8A">
      <w:pPr>
        <w:rPr>
          <w:lang w:val="en-NZ"/>
        </w:rPr>
      </w:pPr>
      <w:proofErr w:type="spellStart"/>
      <w:r w:rsidRPr="00AB7226">
        <w:rPr>
          <w:lang w:val="en-NZ"/>
        </w:rPr>
        <w:t>Alectinib</w:t>
      </w:r>
      <w:proofErr w:type="spellEnd"/>
      <w:r w:rsidRPr="00AB7226">
        <w:rPr>
          <w:lang w:val="en-NZ"/>
        </w:rPr>
        <w:t xml:space="preserve"> demonstrated </w:t>
      </w:r>
      <w:r w:rsidRPr="00AB7226">
        <w:rPr>
          <w:i/>
          <w:iCs/>
          <w:lang w:val="en-NZ"/>
        </w:rPr>
        <w:t xml:space="preserve">in vitro </w:t>
      </w:r>
      <w:r w:rsidRPr="00AB7226">
        <w:rPr>
          <w:lang w:val="en-NZ"/>
        </w:rPr>
        <w:t xml:space="preserve">and </w:t>
      </w:r>
      <w:r w:rsidRPr="00AB7226">
        <w:rPr>
          <w:i/>
          <w:iCs/>
          <w:lang w:val="en-NZ"/>
        </w:rPr>
        <w:t xml:space="preserve">in vivo </w:t>
      </w:r>
      <w:r w:rsidRPr="00AB7226">
        <w:rPr>
          <w:lang w:val="en-NZ"/>
        </w:rPr>
        <w:t xml:space="preserve">activity against mutant forms of ALK, including </w:t>
      </w:r>
      <w:r w:rsidR="009E047D">
        <w:rPr>
          <w:lang w:val="en-NZ"/>
        </w:rPr>
        <w:t xml:space="preserve">some that have been identified in </w:t>
      </w:r>
      <w:r w:rsidR="001A20FF" w:rsidRPr="001A20FF">
        <w:rPr>
          <w:lang w:val="en-NZ"/>
        </w:rPr>
        <w:t xml:space="preserve">non-small cell lung cancer </w:t>
      </w:r>
      <w:r w:rsidR="001A20FF">
        <w:rPr>
          <w:lang w:val="en-NZ"/>
        </w:rPr>
        <w:t>(</w:t>
      </w:r>
      <w:r w:rsidR="009E047D">
        <w:rPr>
          <w:lang w:val="en-NZ"/>
        </w:rPr>
        <w:t>NSCLC</w:t>
      </w:r>
      <w:r w:rsidR="001A20FF">
        <w:rPr>
          <w:lang w:val="en-NZ"/>
        </w:rPr>
        <w:t>)</w:t>
      </w:r>
      <w:r w:rsidR="009E047D">
        <w:rPr>
          <w:lang w:val="en-NZ"/>
        </w:rPr>
        <w:t xml:space="preserve"> tumours in patients who progressed on </w:t>
      </w:r>
      <w:r w:rsidRPr="00AB7226">
        <w:rPr>
          <w:lang w:val="en-NZ"/>
        </w:rPr>
        <w:t>crizotinib. The</w:t>
      </w:r>
      <w:r>
        <w:rPr>
          <w:lang w:val="en-NZ"/>
        </w:rPr>
        <w:t xml:space="preserve"> </w:t>
      </w:r>
      <w:r w:rsidRPr="00AB7226">
        <w:rPr>
          <w:lang w:val="en-NZ"/>
        </w:rPr>
        <w:t xml:space="preserve">major </w:t>
      </w:r>
      <w:r w:rsidR="004230FF">
        <w:rPr>
          <w:lang w:val="en-NZ"/>
        </w:rPr>
        <w:t xml:space="preserve">active </w:t>
      </w:r>
      <w:r w:rsidRPr="00AB7226">
        <w:rPr>
          <w:lang w:val="en-NZ"/>
        </w:rPr>
        <w:t>metabolite of alectinib (M4) show</w:t>
      </w:r>
      <w:r w:rsidR="004230FF">
        <w:rPr>
          <w:lang w:val="en-NZ"/>
        </w:rPr>
        <w:t>ed</w:t>
      </w:r>
      <w:r w:rsidRPr="00AB7226">
        <w:rPr>
          <w:lang w:val="en-NZ"/>
        </w:rPr>
        <w:t xml:space="preserve"> similar </w:t>
      </w:r>
      <w:r w:rsidRPr="00AB7226">
        <w:rPr>
          <w:i/>
          <w:iCs/>
          <w:lang w:val="en-NZ"/>
        </w:rPr>
        <w:t xml:space="preserve">in vitro </w:t>
      </w:r>
      <w:r w:rsidRPr="00AB7226">
        <w:rPr>
          <w:lang w:val="en-NZ"/>
        </w:rPr>
        <w:t>potency and activity</w:t>
      </w:r>
      <w:r>
        <w:t>.</w:t>
      </w:r>
    </w:p>
    <w:p w14:paraId="764A973C" w14:textId="6FEE4678" w:rsidR="00F93B93" w:rsidRDefault="002F76D7" w:rsidP="0051603B">
      <w:pPr>
        <w:rPr>
          <w:lang w:val="en-NZ"/>
        </w:rPr>
      </w:pPr>
      <w:r w:rsidRPr="001E0934">
        <w:rPr>
          <w:lang w:val="en-NZ"/>
        </w:rPr>
        <w:t xml:space="preserve">Administration of </w:t>
      </w:r>
      <w:proofErr w:type="spellStart"/>
      <w:r w:rsidRPr="001E0934">
        <w:rPr>
          <w:lang w:val="en-NZ"/>
        </w:rPr>
        <w:t>alectinib</w:t>
      </w:r>
      <w:proofErr w:type="spellEnd"/>
      <w:r w:rsidRPr="001E0934">
        <w:rPr>
          <w:lang w:val="en-NZ"/>
        </w:rPr>
        <w:t xml:space="preserve"> to mice implanted with ALK-rearranged tumour cell line xenografts, including some that rec</w:t>
      </w:r>
      <w:r w:rsidRPr="00E4632D">
        <w:rPr>
          <w:lang w:val="en-NZ"/>
        </w:rPr>
        <w:t xml:space="preserve">eived intracranial xenografts, resulted in </w:t>
      </w:r>
      <w:proofErr w:type="spellStart"/>
      <w:r w:rsidRPr="00E4632D">
        <w:rPr>
          <w:lang w:val="en-NZ"/>
        </w:rPr>
        <w:t>antitumour</w:t>
      </w:r>
      <w:proofErr w:type="spellEnd"/>
      <w:r w:rsidRPr="00E4632D">
        <w:rPr>
          <w:lang w:val="en-NZ"/>
        </w:rPr>
        <w:t xml:space="preserve"> a</w:t>
      </w:r>
      <w:r w:rsidR="00462F88">
        <w:rPr>
          <w:lang w:val="en-NZ"/>
        </w:rPr>
        <w:t>ctivity and prolonged survival.</w:t>
      </w:r>
    </w:p>
    <w:p w14:paraId="5A17C694" w14:textId="5BE74969" w:rsidR="00225D7A" w:rsidRPr="0051603B" w:rsidRDefault="00D25C69" w:rsidP="00D43C8A">
      <w:pPr>
        <w:pStyle w:val="Heading2"/>
        <w:rPr>
          <w:lang w:val="en-NZ"/>
        </w:rPr>
      </w:pPr>
      <w:r w:rsidRPr="00D43C8A">
        <w:lastRenderedPageBreak/>
        <w:t>Pharmacokinetics</w:t>
      </w:r>
    </w:p>
    <w:p w14:paraId="2E586621" w14:textId="01766BBE" w:rsidR="00225D7A" w:rsidRDefault="00225D7A" w:rsidP="00225D7A">
      <w:pPr>
        <w:rPr>
          <w:lang w:val="en-NZ"/>
        </w:rPr>
      </w:pPr>
      <w:r w:rsidRPr="00225D7A">
        <w:rPr>
          <w:lang w:val="en-NZ"/>
        </w:rPr>
        <w:t xml:space="preserve">The pharmacokinetic </w:t>
      </w:r>
      <w:r w:rsidR="00F93B93">
        <w:rPr>
          <w:lang w:val="en-NZ"/>
        </w:rPr>
        <w:t xml:space="preserve">(PK) </w:t>
      </w:r>
      <w:r w:rsidRPr="00225D7A">
        <w:rPr>
          <w:lang w:val="en-NZ"/>
        </w:rPr>
        <w:t>parameters for alectinib and its major active metabolite (M4) have</w:t>
      </w:r>
      <w:r w:rsidR="002C4DC5">
        <w:rPr>
          <w:lang w:val="en-NZ"/>
        </w:rPr>
        <w:t xml:space="preserve"> </w:t>
      </w:r>
      <w:r w:rsidRPr="00225D7A">
        <w:rPr>
          <w:lang w:val="en-NZ"/>
        </w:rPr>
        <w:t xml:space="preserve">been </w:t>
      </w:r>
      <w:r w:rsidR="00F93B93" w:rsidRPr="00225D7A">
        <w:rPr>
          <w:lang w:val="en-NZ"/>
        </w:rPr>
        <w:t>characteri</w:t>
      </w:r>
      <w:r w:rsidR="00F93B93">
        <w:rPr>
          <w:lang w:val="en-NZ"/>
        </w:rPr>
        <w:t>s</w:t>
      </w:r>
      <w:r w:rsidR="00F93B93" w:rsidRPr="00225D7A">
        <w:rPr>
          <w:lang w:val="en-NZ"/>
        </w:rPr>
        <w:t xml:space="preserve">ed </w:t>
      </w:r>
      <w:r w:rsidRPr="00225D7A">
        <w:rPr>
          <w:lang w:val="en-NZ"/>
        </w:rPr>
        <w:t xml:space="preserve">in </w:t>
      </w:r>
      <w:r>
        <w:rPr>
          <w:lang w:val="en-NZ"/>
        </w:rPr>
        <w:t>healthy subjects</w:t>
      </w:r>
      <w:r w:rsidR="00F93B93">
        <w:rPr>
          <w:lang w:val="en-NZ"/>
        </w:rPr>
        <w:t xml:space="preserve"> and in patients with </w:t>
      </w:r>
      <w:r w:rsidR="00F93B93" w:rsidRPr="00F93B93">
        <w:rPr>
          <w:lang w:val="en-NZ"/>
        </w:rPr>
        <w:t>ALK-positive NSCLC</w:t>
      </w:r>
      <w:r w:rsidR="0080747B">
        <w:rPr>
          <w:lang w:val="en-NZ"/>
        </w:rPr>
        <w:t xml:space="preserve">. The </w:t>
      </w:r>
      <w:r w:rsidR="00F93B93">
        <w:rPr>
          <w:lang w:val="en-NZ"/>
        </w:rPr>
        <w:t>results for patients with ALK-positive NSCLC are summarised in Table 1</w:t>
      </w:r>
      <w:r>
        <w:rPr>
          <w:lang w:val="en-NZ"/>
        </w:rPr>
        <w:t>.</w:t>
      </w:r>
    </w:p>
    <w:p w14:paraId="3BCB3A7C" w14:textId="70C4A864" w:rsidR="00F93B93" w:rsidRDefault="00D43C8A" w:rsidP="00D43C8A">
      <w:pPr>
        <w:pStyle w:val="Caption"/>
        <w:rPr>
          <w:b w:val="0"/>
        </w:rPr>
      </w:pPr>
      <w:proofErr w:type="gramStart"/>
      <w:r>
        <w:t xml:space="preserve">Table </w:t>
      </w:r>
      <w:r w:rsidR="00C728BF">
        <w:fldChar w:fldCharType="begin"/>
      </w:r>
      <w:r w:rsidR="00C728BF">
        <w:instrText xml:space="preserve"> SEQ Table \* ARABIC </w:instrText>
      </w:r>
      <w:r w:rsidR="00C728BF">
        <w:fldChar w:fldCharType="separate"/>
      </w:r>
      <w:r>
        <w:rPr>
          <w:noProof/>
        </w:rPr>
        <w:t>1</w:t>
      </w:r>
      <w:r w:rsidR="00C728BF">
        <w:rPr>
          <w:noProof/>
        </w:rPr>
        <w:fldChar w:fldCharType="end"/>
      </w:r>
      <w:r w:rsidR="00F93B93" w:rsidRPr="00F93B93">
        <w:t>.</w:t>
      </w:r>
      <w:proofErr w:type="gramEnd"/>
      <w:r w:rsidR="00F93B93" w:rsidRPr="00F93B93">
        <w:t xml:space="preserve"> S</w:t>
      </w:r>
      <w:r w:rsidR="00F93B93">
        <w:t>teady-state PK seen with recommended</w:t>
      </w:r>
      <w:r w:rsidR="00FB51D5">
        <w:t xml:space="preserve"> 600 mg twice daily</w:t>
      </w:r>
      <w:r w:rsidR="00F93B93">
        <w:t xml:space="preserve"> dosing of alectinib [cited as geometric mean (coefficient of variation %)]</w:t>
      </w:r>
    </w:p>
    <w:tbl>
      <w:tblPr>
        <w:tblStyle w:val="TableGrid"/>
        <w:tblW w:w="0" w:type="auto"/>
        <w:tblLayout w:type="fixed"/>
        <w:tblLook w:val="04A0" w:firstRow="1" w:lastRow="0" w:firstColumn="1" w:lastColumn="0" w:noHBand="0" w:noVBand="1"/>
        <w:tblDescription w:val="Table 1. Steady-state PK seen with recommended 600 mg twice daily dosing of alectinib [cited as geometric mean (coefficient of variation %)]"/>
      </w:tblPr>
      <w:tblGrid>
        <w:gridCol w:w="3119"/>
        <w:gridCol w:w="3062"/>
        <w:gridCol w:w="3062"/>
      </w:tblGrid>
      <w:tr w:rsidR="00012773" w:rsidRPr="001A20FF" w14:paraId="641C218A" w14:textId="77777777" w:rsidTr="000327F1">
        <w:trPr>
          <w:tblHeader/>
        </w:trPr>
        <w:tc>
          <w:tcPr>
            <w:tcW w:w="3119" w:type="dxa"/>
          </w:tcPr>
          <w:p w14:paraId="09522426" w14:textId="77777777" w:rsidR="00012773" w:rsidRPr="001A20FF" w:rsidRDefault="00012773" w:rsidP="004B3A71">
            <w:pPr>
              <w:rPr>
                <w:b/>
                <w:szCs w:val="24"/>
              </w:rPr>
            </w:pPr>
            <w:r w:rsidRPr="001A20FF">
              <w:rPr>
                <w:b/>
                <w:szCs w:val="24"/>
              </w:rPr>
              <w:t>PK parameter</w:t>
            </w:r>
          </w:p>
        </w:tc>
        <w:tc>
          <w:tcPr>
            <w:tcW w:w="3062" w:type="dxa"/>
          </w:tcPr>
          <w:p w14:paraId="2F418D10" w14:textId="77777777" w:rsidR="00012773" w:rsidRPr="001A20FF" w:rsidRDefault="00012773" w:rsidP="004B3A71">
            <w:pPr>
              <w:rPr>
                <w:b/>
                <w:szCs w:val="24"/>
              </w:rPr>
            </w:pPr>
            <w:r w:rsidRPr="001A20FF">
              <w:rPr>
                <w:b/>
                <w:szCs w:val="24"/>
              </w:rPr>
              <w:t>Alectinib</w:t>
            </w:r>
          </w:p>
        </w:tc>
        <w:tc>
          <w:tcPr>
            <w:tcW w:w="3062" w:type="dxa"/>
          </w:tcPr>
          <w:p w14:paraId="00CD6EB1" w14:textId="77777777" w:rsidR="00012773" w:rsidRPr="001A20FF" w:rsidRDefault="00012773" w:rsidP="004B3A71">
            <w:pPr>
              <w:rPr>
                <w:b/>
                <w:szCs w:val="24"/>
              </w:rPr>
            </w:pPr>
            <w:r w:rsidRPr="001A20FF">
              <w:rPr>
                <w:b/>
                <w:szCs w:val="24"/>
              </w:rPr>
              <w:t>M4</w:t>
            </w:r>
          </w:p>
        </w:tc>
      </w:tr>
      <w:tr w:rsidR="00012773" w:rsidRPr="001A20FF" w14:paraId="33A5D267" w14:textId="77777777" w:rsidTr="004B3A71">
        <w:tc>
          <w:tcPr>
            <w:tcW w:w="3119" w:type="dxa"/>
          </w:tcPr>
          <w:p w14:paraId="263F8F8A" w14:textId="77777777" w:rsidR="00012773" w:rsidRPr="007324AC" w:rsidRDefault="00012773" w:rsidP="004B3A71">
            <w:pPr>
              <w:rPr>
                <w:szCs w:val="24"/>
              </w:rPr>
            </w:pPr>
            <w:r w:rsidRPr="001A20FF">
              <w:rPr>
                <w:szCs w:val="24"/>
              </w:rPr>
              <w:t>Maximal concentration (C</w:t>
            </w:r>
            <w:r w:rsidRPr="00012773">
              <w:rPr>
                <w:szCs w:val="24"/>
                <w:vertAlign w:val="subscript"/>
              </w:rPr>
              <w:t>max</w:t>
            </w:r>
            <w:r w:rsidRPr="001A20FF">
              <w:rPr>
                <w:szCs w:val="24"/>
              </w:rPr>
              <w:t>)</w:t>
            </w:r>
          </w:p>
        </w:tc>
        <w:tc>
          <w:tcPr>
            <w:tcW w:w="3062" w:type="dxa"/>
          </w:tcPr>
          <w:p w14:paraId="6F726F5B" w14:textId="77777777" w:rsidR="00012773" w:rsidRPr="007324AC" w:rsidRDefault="00012773" w:rsidP="004B3A71">
            <w:pPr>
              <w:rPr>
                <w:szCs w:val="24"/>
              </w:rPr>
            </w:pPr>
            <w:proofErr w:type="gramStart"/>
            <w:r w:rsidRPr="00012773">
              <w:rPr>
                <w:szCs w:val="24"/>
              </w:rPr>
              <w:t>665 ng/mL (44.3%)</w:t>
            </w:r>
            <w:proofErr w:type="gramEnd"/>
          </w:p>
        </w:tc>
        <w:tc>
          <w:tcPr>
            <w:tcW w:w="3062" w:type="dxa"/>
          </w:tcPr>
          <w:p w14:paraId="1426E82D" w14:textId="77777777" w:rsidR="00012773" w:rsidRPr="007324AC" w:rsidRDefault="00012773" w:rsidP="004B3A71">
            <w:pPr>
              <w:rPr>
                <w:szCs w:val="24"/>
              </w:rPr>
            </w:pPr>
            <w:proofErr w:type="gramStart"/>
            <w:r w:rsidRPr="00012773">
              <w:rPr>
                <w:szCs w:val="24"/>
              </w:rPr>
              <w:t>246 ng/mL (45.4%)</w:t>
            </w:r>
            <w:proofErr w:type="gramEnd"/>
          </w:p>
        </w:tc>
      </w:tr>
      <w:tr w:rsidR="00012773" w:rsidRPr="001A20FF" w14:paraId="625BB9DC" w14:textId="77777777" w:rsidTr="004B3A71">
        <w:tc>
          <w:tcPr>
            <w:tcW w:w="3119" w:type="dxa"/>
          </w:tcPr>
          <w:p w14:paraId="7B857AE7" w14:textId="77777777" w:rsidR="00012773" w:rsidRPr="007324AC" w:rsidRDefault="00012773" w:rsidP="004B3A71">
            <w:pPr>
              <w:rPr>
                <w:szCs w:val="24"/>
              </w:rPr>
            </w:pPr>
            <w:r w:rsidRPr="00012773">
              <w:rPr>
                <w:szCs w:val="24"/>
              </w:rPr>
              <w:t>Trough concentration (C</w:t>
            </w:r>
            <w:r w:rsidRPr="00012773">
              <w:rPr>
                <w:szCs w:val="24"/>
                <w:vertAlign w:val="subscript"/>
              </w:rPr>
              <w:t>min</w:t>
            </w:r>
            <w:r w:rsidRPr="00012773">
              <w:rPr>
                <w:szCs w:val="24"/>
              </w:rPr>
              <w:t>)</w:t>
            </w:r>
          </w:p>
        </w:tc>
        <w:tc>
          <w:tcPr>
            <w:tcW w:w="3062" w:type="dxa"/>
          </w:tcPr>
          <w:p w14:paraId="4AC8E6AE" w14:textId="77777777" w:rsidR="00012773" w:rsidRPr="007324AC" w:rsidRDefault="00012773" w:rsidP="004B3A71">
            <w:pPr>
              <w:rPr>
                <w:szCs w:val="24"/>
              </w:rPr>
            </w:pPr>
            <w:proofErr w:type="gramStart"/>
            <w:r w:rsidRPr="007324AC">
              <w:rPr>
                <w:szCs w:val="24"/>
              </w:rPr>
              <w:t>572 ng/mL (47.8%)</w:t>
            </w:r>
            <w:proofErr w:type="gramEnd"/>
          </w:p>
        </w:tc>
        <w:tc>
          <w:tcPr>
            <w:tcW w:w="3062" w:type="dxa"/>
          </w:tcPr>
          <w:p w14:paraId="1846774E" w14:textId="77777777" w:rsidR="00012773" w:rsidRPr="007324AC" w:rsidRDefault="00012773" w:rsidP="004B3A71">
            <w:pPr>
              <w:rPr>
                <w:szCs w:val="24"/>
              </w:rPr>
            </w:pPr>
            <w:proofErr w:type="gramStart"/>
            <w:r w:rsidRPr="00012773">
              <w:rPr>
                <w:szCs w:val="24"/>
              </w:rPr>
              <w:t>222 ng/mL (46.6%)</w:t>
            </w:r>
            <w:proofErr w:type="gramEnd"/>
          </w:p>
        </w:tc>
      </w:tr>
      <w:tr w:rsidR="00012773" w:rsidRPr="001A20FF" w14:paraId="64D65AB7" w14:textId="77777777" w:rsidTr="004B3A71">
        <w:tc>
          <w:tcPr>
            <w:tcW w:w="3119" w:type="dxa"/>
          </w:tcPr>
          <w:p w14:paraId="73F6148B" w14:textId="77777777" w:rsidR="00012773" w:rsidRPr="007324AC" w:rsidRDefault="00012773" w:rsidP="004B3A71">
            <w:pPr>
              <w:rPr>
                <w:szCs w:val="24"/>
              </w:rPr>
            </w:pPr>
            <w:r w:rsidRPr="007324AC">
              <w:rPr>
                <w:szCs w:val="24"/>
              </w:rPr>
              <w:t>Area under the curve from 0</w:t>
            </w:r>
            <w:r>
              <w:rPr>
                <w:szCs w:val="24"/>
              </w:rPr>
              <w:noBreakHyphen/>
            </w:r>
            <w:r w:rsidRPr="007324AC">
              <w:rPr>
                <w:szCs w:val="24"/>
              </w:rPr>
              <w:t>12 hours (AUC</w:t>
            </w:r>
            <w:r w:rsidRPr="007324AC">
              <w:rPr>
                <w:szCs w:val="24"/>
                <w:vertAlign w:val="subscript"/>
              </w:rPr>
              <w:t>0-12</w:t>
            </w:r>
            <w:r w:rsidRPr="007324AC">
              <w:rPr>
                <w:szCs w:val="24"/>
              </w:rPr>
              <w:t>)</w:t>
            </w:r>
          </w:p>
        </w:tc>
        <w:tc>
          <w:tcPr>
            <w:tcW w:w="3062" w:type="dxa"/>
          </w:tcPr>
          <w:p w14:paraId="427F20B7" w14:textId="77777777" w:rsidR="00012773" w:rsidRPr="007324AC" w:rsidRDefault="00012773" w:rsidP="004B3A71">
            <w:pPr>
              <w:rPr>
                <w:szCs w:val="24"/>
              </w:rPr>
            </w:pPr>
            <w:r w:rsidRPr="007324AC">
              <w:rPr>
                <w:szCs w:val="24"/>
              </w:rPr>
              <w:t>7430 ng*h/mL (45.7%)</w:t>
            </w:r>
          </w:p>
        </w:tc>
        <w:tc>
          <w:tcPr>
            <w:tcW w:w="3062" w:type="dxa"/>
          </w:tcPr>
          <w:p w14:paraId="2216EEDD" w14:textId="77777777" w:rsidR="00012773" w:rsidRPr="007324AC" w:rsidRDefault="00012773" w:rsidP="004B3A71">
            <w:pPr>
              <w:rPr>
                <w:szCs w:val="24"/>
              </w:rPr>
            </w:pPr>
            <w:r w:rsidRPr="007324AC">
              <w:rPr>
                <w:szCs w:val="24"/>
              </w:rPr>
              <w:t>2810 ng*h/mL (45.9%)</w:t>
            </w:r>
          </w:p>
        </w:tc>
      </w:tr>
    </w:tbl>
    <w:p w14:paraId="2F07712E" w14:textId="77777777" w:rsidR="00D844B2" w:rsidRPr="00D43C8A" w:rsidRDefault="00D844B2" w:rsidP="00D43C8A">
      <w:pPr>
        <w:pStyle w:val="Heading2"/>
      </w:pPr>
      <w:r w:rsidRPr="00312E44">
        <w:t>Absorption</w:t>
      </w:r>
    </w:p>
    <w:p w14:paraId="4825635B" w14:textId="6486C900" w:rsidR="00225D7A" w:rsidRDefault="00225D7A" w:rsidP="00225D7A">
      <w:pPr>
        <w:rPr>
          <w:lang w:val="en-NZ"/>
        </w:rPr>
      </w:pPr>
      <w:r w:rsidRPr="00225D7A">
        <w:rPr>
          <w:lang w:val="en-NZ"/>
        </w:rPr>
        <w:t>The absolute bioavailability of alectinib was 36.9% (90% CI: 33.9%, 40.3%) under fed</w:t>
      </w:r>
      <w:r w:rsidR="002C4DC5">
        <w:rPr>
          <w:lang w:val="en-NZ"/>
        </w:rPr>
        <w:t xml:space="preserve"> </w:t>
      </w:r>
      <w:r w:rsidRPr="00225D7A">
        <w:rPr>
          <w:lang w:val="en-NZ"/>
        </w:rPr>
        <w:t>conditions in healthy subjects.</w:t>
      </w:r>
    </w:p>
    <w:p w14:paraId="130A38F3" w14:textId="77777777" w:rsidR="00462F88" w:rsidRDefault="008C461F" w:rsidP="00D43C8A">
      <w:pPr>
        <w:rPr>
          <w:lang w:val="en-NZ"/>
        </w:rPr>
      </w:pPr>
      <w:proofErr w:type="spellStart"/>
      <w:r>
        <w:rPr>
          <w:lang w:val="en-NZ"/>
        </w:rPr>
        <w:t>Alectinib</w:t>
      </w:r>
      <w:proofErr w:type="spellEnd"/>
      <w:r>
        <w:rPr>
          <w:lang w:val="en-NZ"/>
        </w:rPr>
        <w:t xml:space="preserve"> reached maximal serum concentrations 4 to 6 hours post-dose when administered orally at 600 mg twice daily under fed conditions to patients with ALK-positive NSCLC. For both alectinib and M4, steady-state concentrations were reached by Day 7.</w:t>
      </w:r>
    </w:p>
    <w:p w14:paraId="78E4D6D3" w14:textId="2312606F" w:rsidR="008C461F" w:rsidRDefault="008C461F" w:rsidP="00225D7A">
      <w:pPr>
        <w:rPr>
          <w:lang w:val="en-NZ"/>
        </w:rPr>
      </w:pPr>
      <w:r>
        <w:rPr>
          <w:lang w:val="en-NZ"/>
        </w:rPr>
        <w:t>Population PK analysis estimate</w:t>
      </w:r>
      <w:r w:rsidR="007C2216">
        <w:rPr>
          <w:lang w:val="en-NZ"/>
        </w:rPr>
        <w:t>d</w:t>
      </w:r>
      <w:r>
        <w:rPr>
          <w:lang w:val="en-NZ"/>
        </w:rPr>
        <w:t xml:space="preserve"> geometric mean</w:t>
      </w:r>
      <w:r w:rsidR="001F4A23">
        <w:rPr>
          <w:lang w:val="en-NZ"/>
        </w:rPr>
        <w:t xml:space="preserve"> accumulation ratio</w:t>
      </w:r>
      <w:r>
        <w:rPr>
          <w:lang w:val="en-NZ"/>
        </w:rPr>
        <w:t xml:space="preserve"> to be 6-fold for both alectinib and M4, and supports that alectinib exposure is dose proportional across the dose range 300 mg to 900 mg under fed conditions.</w:t>
      </w:r>
    </w:p>
    <w:p w14:paraId="77C29FE4" w14:textId="75ADB42A" w:rsidR="008C461F" w:rsidRDefault="008C461F" w:rsidP="00225D7A">
      <w:pPr>
        <w:rPr>
          <w:lang w:val="en-NZ"/>
        </w:rPr>
      </w:pPr>
      <w:r>
        <w:rPr>
          <w:lang w:val="en-NZ"/>
        </w:rPr>
        <w:t>A high-fat, high-calorie meal increased the combined exposure of alectinib and M4 by 3-fold (AUC</w:t>
      </w:r>
      <w:r w:rsidRPr="00D06AF6">
        <w:rPr>
          <w:vertAlign w:val="subscript"/>
          <w:lang w:val="en-NZ"/>
        </w:rPr>
        <w:t>0-inf</w:t>
      </w:r>
      <w:r w:rsidR="00FA6AFF" w:rsidRPr="00FA6AFF">
        <w:rPr>
          <w:lang w:val="en-NZ"/>
        </w:rPr>
        <w:t xml:space="preserve"> </w:t>
      </w:r>
      <w:r>
        <w:rPr>
          <w:lang w:val="en-NZ"/>
        </w:rPr>
        <w:t>3.1 [90% CI:</w:t>
      </w:r>
      <w:r w:rsidR="00FA6AFF">
        <w:rPr>
          <w:lang w:val="en-NZ"/>
        </w:rPr>
        <w:t xml:space="preserve"> </w:t>
      </w:r>
      <w:r>
        <w:rPr>
          <w:lang w:val="en-NZ"/>
        </w:rPr>
        <w:t>2.7, 3.6]) relative to fasted conditions following oral administration of a single 600 mg dose of alectinib.</w:t>
      </w:r>
    </w:p>
    <w:p w14:paraId="2F077130" w14:textId="77777777" w:rsidR="00D844B2" w:rsidRDefault="00D844B2" w:rsidP="00D43C8A">
      <w:pPr>
        <w:pStyle w:val="Heading2"/>
      </w:pPr>
      <w:r w:rsidRPr="00D43C8A">
        <w:t>Distribution</w:t>
      </w:r>
    </w:p>
    <w:p w14:paraId="1D3C7DD9" w14:textId="2A193DBF" w:rsidR="00225D7A" w:rsidRDefault="00225D7A" w:rsidP="00225D7A">
      <w:pPr>
        <w:rPr>
          <w:lang w:val="en-NZ"/>
        </w:rPr>
      </w:pPr>
      <w:r w:rsidRPr="00225D7A">
        <w:rPr>
          <w:lang w:val="en-NZ"/>
        </w:rPr>
        <w:t>Alectinib and M4 are highly bound to human plasma proteins</w:t>
      </w:r>
      <w:r w:rsidR="002C4DC5">
        <w:rPr>
          <w:lang w:val="en-NZ"/>
        </w:rPr>
        <w:t xml:space="preserve"> </w:t>
      </w:r>
      <w:r w:rsidRPr="00225D7A">
        <w:rPr>
          <w:lang w:val="en-NZ"/>
        </w:rPr>
        <w:t xml:space="preserve">(&gt;99%), independent of drug concentration. The mean </w:t>
      </w:r>
      <w:r w:rsidRPr="00225D7A">
        <w:rPr>
          <w:i/>
          <w:iCs/>
          <w:lang w:val="en-NZ"/>
        </w:rPr>
        <w:t xml:space="preserve">in vitro </w:t>
      </w:r>
      <w:r w:rsidRPr="00225D7A">
        <w:rPr>
          <w:lang w:val="en-NZ"/>
        </w:rPr>
        <w:t>human blood-to-plasma</w:t>
      </w:r>
      <w:r w:rsidR="002C4DC5">
        <w:rPr>
          <w:lang w:val="en-NZ"/>
        </w:rPr>
        <w:t xml:space="preserve"> </w:t>
      </w:r>
      <w:r w:rsidRPr="00225D7A">
        <w:rPr>
          <w:lang w:val="en-NZ"/>
        </w:rPr>
        <w:t>concentration ratios of alectinib and M4 are 2.64 and 2.50, respectively, at clinically</w:t>
      </w:r>
      <w:r w:rsidR="002C4DC5">
        <w:rPr>
          <w:lang w:val="en-NZ"/>
        </w:rPr>
        <w:t xml:space="preserve"> </w:t>
      </w:r>
      <w:r w:rsidRPr="00225D7A">
        <w:rPr>
          <w:lang w:val="en-NZ"/>
        </w:rPr>
        <w:t>relevant concentrations.</w:t>
      </w:r>
      <w:r w:rsidR="0060123A">
        <w:rPr>
          <w:lang w:val="en-NZ"/>
        </w:rPr>
        <w:t xml:space="preserve"> </w:t>
      </w:r>
      <w:r w:rsidRPr="00225D7A">
        <w:rPr>
          <w:lang w:val="en-NZ"/>
        </w:rPr>
        <w:t>The geometric mean volume of distribution at steady state (V</w:t>
      </w:r>
      <w:r w:rsidRPr="0080747B">
        <w:rPr>
          <w:vertAlign w:val="subscript"/>
          <w:lang w:val="en-NZ"/>
        </w:rPr>
        <w:t>ss</w:t>
      </w:r>
      <w:r w:rsidRPr="00225D7A">
        <w:rPr>
          <w:lang w:val="en-NZ"/>
        </w:rPr>
        <w:t>) of alectinib following IV</w:t>
      </w:r>
      <w:r w:rsidR="0060123A">
        <w:rPr>
          <w:lang w:val="en-NZ"/>
        </w:rPr>
        <w:t xml:space="preserve"> </w:t>
      </w:r>
      <w:r w:rsidRPr="00225D7A">
        <w:rPr>
          <w:lang w:val="en-NZ"/>
        </w:rPr>
        <w:t>administration was 475 L, indicating extensive distribution into tissues</w:t>
      </w:r>
      <w:r>
        <w:rPr>
          <w:lang w:val="en-NZ"/>
        </w:rPr>
        <w:t>.</w:t>
      </w:r>
    </w:p>
    <w:p w14:paraId="3A74AC4F" w14:textId="77777777" w:rsidR="0060123A" w:rsidRDefault="0060123A" w:rsidP="00225D7A">
      <w:pPr>
        <w:rPr>
          <w:lang w:val="en-NZ"/>
        </w:rPr>
      </w:pPr>
    </w:p>
    <w:p w14:paraId="346CFF1F" w14:textId="61094ABA" w:rsidR="0060123A" w:rsidRPr="00225D7A" w:rsidRDefault="0060123A" w:rsidP="00225D7A">
      <w:pPr>
        <w:rPr>
          <w:lang w:val="en-GB"/>
        </w:rPr>
      </w:pPr>
      <w:r>
        <w:rPr>
          <w:lang w:val="en-NZ"/>
        </w:rPr>
        <w:t>Alectinib is not a</w:t>
      </w:r>
      <w:r w:rsidR="00D420DE">
        <w:rPr>
          <w:lang w:val="en-NZ"/>
        </w:rPr>
        <w:t>n</w:t>
      </w:r>
      <w:r>
        <w:rPr>
          <w:lang w:val="en-NZ"/>
        </w:rPr>
        <w:t xml:space="preserve"> </w:t>
      </w:r>
      <w:r w:rsidR="00D420DE" w:rsidRPr="00B74921">
        <w:rPr>
          <w:i/>
          <w:lang w:val="en-NZ"/>
        </w:rPr>
        <w:t>in vitro</w:t>
      </w:r>
      <w:r w:rsidR="00D420DE">
        <w:rPr>
          <w:lang w:val="en-NZ"/>
        </w:rPr>
        <w:t xml:space="preserve"> </w:t>
      </w:r>
      <w:r>
        <w:rPr>
          <w:lang w:val="en-NZ"/>
        </w:rPr>
        <w:t>substrate of efflux transporters p-glycoprotein (P-gp), breast cancer resistance protein (BCRP)</w:t>
      </w:r>
      <w:r w:rsidR="00B906EB">
        <w:rPr>
          <w:lang w:val="en-NZ"/>
        </w:rPr>
        <w:t xml:space="preserve">, </w:t>
      </w:r>
      <w:r>
        <w:rPr>
          <w:lang w:val="en-NZ"/>
        </w:rPr>
        <w:t>organic anion-transporting polypeptide (OATP) 1B1, or OATP1B3. The same is true for M4, except that M4 is a substrate of P-gp. Alectinib concentrations in the cerebrospinal fluid of patients with ALK-positive NSCLC were similar to the estimated free alectinib concentrations in their plasma.</w:t>
      </w:r>
    </w:p>
    <w:p w14:paraId="2F077132" w14:textId="77777777" w:rsidR="00D844B2" w:rsidRDefault="00D844B2" w:rsidP="004F2D57">
      <w:pPr>
        <w:pStyle w:val="Heading2"/>
      </w:pPr>
      <w:r>
        <w:t>Metabolism</w:t>
      </w:r>
    </w:p>
    <w:p w14:paraId="0F11833E" w14:textId="77777777" w:rsidR="00462F88" w:rsidRDefault="00185234" w:rsidP="00D43C8A">
      <w:pPr>
        <w:rPr>
          <w:lang w:val="en-NZ"/>
        </w:rPr>
      </w:pPr>
      <w:r>
        <w:rPr>
          <w:i/>
          <w:lang w:val="en-NZ"/>
        </w:rPr>
        <w:t xml:space="preserve">In vitro </w:t>
      </w:r>
      <w:r>
        <w:rPr>
          <w:lang w:val="en-NZ"/>
        </w:rPr>
        <w:t xml:space="preserve">studies showed that alectinib is mainly metabolised by cytochrome p450 (CYP) isozyme CYP3A4 (40-50% of alectinib metabolism in human hepatocytes) to its major active metabolite M4. The geometric mean metabolite/parent exposure ratio at steady-state is 0.40. </w:t>
      </w:r>
      <w:r>
        <w:rPr>
          <w:lang w:val="en-NZ"/>
        </w:rPr>
        <w:lastRenderedPageBreak/>
        <w:t xml:space="preserve">M4 is subsequently metabolised by CYP3A4. </w:t>
      </w:r>
      <w:r w:rsidR="003143FB" w:rsidRPr="003143FB">
        <w:rPr>
          <w:lang w:val="en-NZ"/>
        </w:rPr>
        <w:t xml:space="preserve">Results from </w:t>
      </w:r>
      <w:r w:rsidR="003143FB">
        <w:rPr>
          <w:lang w:val="en-NZ"/>
        </w:rPr>
        <w:t>a</w:t>
      </w:r>
      <w:r w:rsidR="003143FB" w:rsidRPr="003143FB">
        <w:rPr>
          <w:lang w:val="en-NZ"/>
        </w:rPr>
        <w:t xml:space="preserve"> human mass balance study</w:t>
      </w:r>
      <w:r w:rsidR="003143FB">
        <w:rPr>
          <w:lang w:val="en-NZ"/>
        </w:rPr>
        <w:t xml:space="preserve"> utilising</w:t>
      </w:r>
      <w:r w:rsidR="003143FB" w:rsidRPr="003143FB">
        <w:rPr>
          <w:lang w:val="en-NZ"/>
        </w:rPr>
        <w:t xml:space="preserve"> </w:t>
      </w:r>
      <w:r w:rsidR="003143FB" w:rsidRPr="0080747B">
        <w:rPr>
          <w:vertAlign w:val="superscript"/>
          <w:lang w:val="en-NZ"/>
        </w:rPr>
        <w:t>14</w:t>
      </w:r>
      <w:r w:rsidR="003143FB" w:rsidRPr="00225D7A">
        <w:rPr>
          <w:lang w:val="en-NZ"/>
        </w:rPr>
        <w:t xml:space="preserve">C-labeled alectinib </w:t>
      </w:r>
      <w:r w:rsidR="003143FB" w:rsidRPr="003143FB">
        <w:rPr>
          <w:lang w:val="en-NZ"/>
        </w:rPr>
        <w:t>demonstrated</w:t>
      </w:r>
      <w:r w:rsidR="003143FB">
        <w:rPr>
          <w:lang w:val="en-NZ"/>
        </w:rPr>
        <w:t xml:space="preserve"> that</w:t>
      </w:r>
      <w:r w:rsidR="003143FB" w:rsidRPr="003143FB">
        <w:rPr>
          <w:lang w:val="en-NZ"/>
        </w:rPr>
        <w:t xml:space="preserve"> </w:t>
      </w:r>
      <w:r w:rsidR="003143FB">
        <w:rPr>
          <w:lang w:val="en-NZ"/>
        </w:rPr>
        <w:t>a</w:t>
      </w:r>
      <w:r>
        <w:rPr>
          <w:lang w:val="en-NZ"/>
        </w:rPr>
        <w:t>lectinib and M4 are the main circulating moieties in plasma, constituting 76% of the total radioactivity.</w:t>
      </w:r>
    </w:p>
    <w:p w14:paraId="2F077134" w14:textId="0A3785B7" w:rsidR="00D844B2" w:rsidRDefault="00D844B2" w:rsidP="00312E44">
      <w:pPr>
        <w:pStyle w:val="Heading2"/>
      </w:pPr>
      <w:r>
        <w:t>Excretion</w:t>
      </w:r>
    </w:p>
    <w:p w14:paraId="0A89B36F" w14:textId="7052A208" w:rsidR="00225D7A" w:rsidRPr="00225D7A" w:rsidRDefault="00225D7A" w:rsidP="00225D7A">
      <w:pPr>
        <w:rPr>
          <w:lang w:val="en-NZ"/>
        </w:rPr>
      </w:pPr>
      <w:r w:rsidRPr="00225D7A">
        <w:rPr>
          <w:lang w:val="en-NZ"/>
        </w:rPr>
        <w:t xml:space="preserve">Following administration of a single </w:t>
      </w:r>
      <w:r w:rsidR="009D4D33">
        <w:rPr>
          <w:lang w:val="en-NZ"/>
        </w:rPr>
        <w:t xml:space="preserve">oral </w:t>
      </w:r>
      <w:r w:rsidRPr="00225D7A">
        <w:rPr>
          <w:lang w:val="en-NZ"/>
        </w:rPr>
        <w:t xml:space="preserve">dose of </w:t>
      </w:r>
      <w:r w:rsidRPr="0080747B">
        <w:rPr>
          <w:vertAlign w:val="superscript"/>
          <w:lang w:val="en-NZ"/>
        </w:rPr>
        <w:t>14</w:t>
      </w:r>
      <w:r w:rsidRPr="00225D7A">
        <w:rPr>
          <w:lang w:val="en-NZ"/>
        </w:rPr>
        <w:t>C-labeled alectinib to</w:t>
      </w:r>
      <w:r w:rsidR="002C4DC5">
        <w:rPr>
          <w:lang w:val="en-NZ"/>
        </w:rPr>
        <w:t xml:space="preserve"> </w:t>
      </w:r>
      <w:r w:rsidRPr="00225D7A">
        <w:rPr>
          <w:lang w:val="en-NZ"/>
        </w:rPr>
        <w:t>healthy subjects</w:t>
      </w:r>
      <w:r w:rsidR="00EF3564">
        <w:rPr>
          <w:lang w:val="en-NZ"/>
        </w:rPr>
        <w:t>,</w:t>
      </w:r>
      <w:r w:rsidRPr="00225D7A">
        <w:rPr>
          <w:lang w:val="en-NZ"/>
        </w:rPr>
        <w:t xml:space="preserve"> the majority of radioactivity was excreted in f</w:t>
      </w:r>
      <w:r>
        <w:rPr>
          <w:lang w:val="en-NZ"/>
        </w:rPr>
        <w:t>a</w:t>
      </w:r>
      <w:r w:rsidRPr="00225D7A">
        <w:rPr>
          <w:lang w:val="en-NZ"/>
        </w:rPr>
        <w:t>eces (mean recovery</w:t>
      </w:r>
      <w:r w:rsidR="002C4DC5">
        <w:rPr>
          <w:lang w:val="en-NZ"/>
        </w:rPr>
        <w:t xml:space="preserve"> </w:t>
      </w:r>
      <w:r w:rsidRPr="00225D7A">
        <w:rPr>
          <w:lang w:val="en-NZ"/>
        </w:rPr>
        <w:t>97.8%, range 95.6%-100%)</w:t>
      </w:r>
      <w:r w:rsidR="009D4D33">
        <w:rPr>
          <w:lang w:val="en-NZ"/>
        </w:rPr>
        <w:t xml:space="preserve">. </w:t>
      </w:r>
      <w:r w:rsidR="002B2C40">
        <w:rPr>
          <w:lang w:val="en-NZ"/>
        </w:rPr>
        <w:t xml:space="preserve">Most </w:t>
      </w:r>
      <w:r w:rsidR="009D4D33">
        <w:rPr>
          <w:lang w:val="en-NZ"/>
        </w:rPr>
        <w:t xml:space="preserve">of the dose </w:t>
      </w:r>
      <w:r w:rsidR="002B2C40">
        <w:rPr>
          <w:lang w:val="en-NZ"/>
        </w:rPr>
        <w:t xml:space="preserve">(84%) </w:t>
      </w:r>
      <w:r w:rsidR="009D4D33">
        <w:rPr>
          <w:lang w:val="en-NZ"/>
        </w:rPr>
        <w:t xml:space="preserve">was excreted as unchanged alectinib </w:t>
      </w:r>
      <w:r w:rsidR="002B2C40">
        <w:rPr>
          <w:lang w:val="en-NZ"/>
        </w:rPr>
        <w:t xml:space="preserve">with </w:t>
      </w:r>
      <w:r w:rsidR="009D4D33">
        <w:rPr>
          <w:lang w:val="en-NZ"/>
        </w:rPr>
        <w:t>6%</w:t>
      </w:r>
      <w:r w:rsidR="002B2C40">
        <w:rPr>
          <w:lang w:val="en-NZ"/>
        </w:rPr>
        <w:t xml:space="preserve"> excreted</w:t>
      </w:r>
      <w:r w:rsidR="009D4D33">
        <w:rPr>
          <w:lang w:val="en-NZ"/>
        </w:rPr>
        <w:t xml:space="preserve"> as M4. </w:t>
      </w:r>
      <w:r w:rsidR="00D047A0">
        <w:rPr>
          <w:lang w:val="en-NZ"/>
        </w:rPr>
        <w:t>There was</w:t>
      </w:r>
      <w:r w:rsidR="00D047A0" w:rsidRPr="00225D7A">
        <w:rPr>
          <w:lang w:val="en-NZ"/>
        </w:rPr>
        <w:t xml:space="preserve"> </w:t>
      </w:r>
      <w:r w:rsidRPr="00225D7A">
        <w:rPr>
          <w:lang w:val="en-NZ"/>
        </w:rPr>
        <w:t>minimal excretion in urine (mean recovery 0.46%,</w:t>
      </w:r>
      <w:r w:rsidR="002C4DC5">
        <w:rPr>
          <w:lang w:val="en-NZ"/>
        </w:rPr>
        <w:t xml:space="preserve"> </w:t>
      </w:r>
      <w:r w:rsidRPr="00225D7A">
        <w:rPr>
          <w:lang w:val="en-NZ"/>
        </w:rPr>
        <w:t>range 0.30%-0.60%).</w:t>
      </w:r>
    </w:p>
    <w:p w14:paraId="35D30B8F" w14:textId="77777777" w:rsidR="00462F88" w:rsidRDefault="00225D7A" w:rsidP="00225D7A">
      <w:pPr>
        <w:rPr>
          <w:lang w:val="en-NZ"/>
        </w:rPr>
      </w:pPr>
      <w:r w:rsidRPr="00225D7A">
        <w:rPr>
          <w:lang w:val="en-NZ"/>
        </w:rPr>
        <w:t>Based on a population PK analysis, the apparent clearance (CL/F) was 81.9</w:t>
      </w:r>
      <w:r w:rsidR="002C4DC5">
        <w:rPr>
          <w:lang w:val="en-NZ"/>
        </w:rPr>
        <w:t xml:space="preserve"> </w:t>
      </w:r>
      <w:r w:rsidRPr="00225D7A">
        <w:rPr>
          <w:lang w:val="en-NZ"/>
        </w:rPr>
        <w:t>L/hour</w:t>
      </w:r>
      <w:r w:rsidR="009D4D33">
        <w:rPr>
          <w:lang w:val="en-NZ"/>
        </w:rPr>
        <w:t xml:space="preserve"> for </w:t>
      </w:r>
      <w:r w:rsidR="009D4D33" w:rsidRPr="00225D7A">
        <w:rPr>
          <w:lang w:val="en-NZ"/>
        </w:rPr>
        <w:t>alectinib</w:t>
      </w:r>
      <w:r w:rsidR="009D4D33">
        <w:rPr>
          <w:lang w:val="en-NZ"/>
        </w:rPr>
        <w:t xml:space="preserve"> and 217 L/hour for M4</w:t>
      </w:r>
      <w:r w:rsidRPr="00225D7A">
        <w:rPr>
          <w:lang w:val="en-NZ"/>
        </w:rPr>
        <w:t>. The geometric mean elimination half-life was 32.5 hours</w:t>
      </w:r>
      <w:r w:rsidR="009D4D33">
        <w:rPr>
          <w:lang w:val="en-NZ"/>
        </w:rPr>
        <w:t xml:space="preserve"> for </w:t>
      </w:r>
      <w:r w:rsidR="009D4D33" w:rsidRPr="00225D7A">
        <w:rPr>
          <w:lang w:val="en-NZ"/>
        </w:rPr>
        <w:t>alectinib</w:t>
      </w:r>
      <w:r w:rsidR="009D4D33">
        <w:rPr>
          <w:lang w:val="en-NZ"/>
        </w:rPr>
        <w:t xml:space="preserve"> and 30.7 hours for M4 in patients with ALK-positive NSCLC</w:t>
      </w:r>
      <w:r w:rsidRPr="00225D7A">
        <w:rPr>
          <w:lang w:val="en-NZ"/>
        </w:rPr>
        <w:t>.</w:t>
      </w:r>
    </w:p>
    <w:p w14:paraId="5EC5A1A9" w14:textId="2DE4991F" w:rsidR="0040421B" w:rsidRPr="0040421B" w:rsidRDefault="00225D7A" w:rsidP="00E01401">
      <w:pPr>
        <w:pStyle w:val="Heading2"/>
      </w:pPr>
      <w:r w:rsidRPr="004F69A3">
        <w:t>Pharmacokinetics in Special Populations</w:t>
      </w:r>
    </w:p>
    <w:p w14:paraId="5A1F94D9" w14:textId="2D1F06E4" w:rsidR="0012791B" w:rsidRDefault="0012791B" w:rsidP="00225D7A">
      <w:pPr>
        <w:rPr>
          <w:iCs/>
          <w:lang w:val="en-NZ"/>
        </w:rPr>
      </w:pPr>
      <w:r>
        <w:rPr>
          <w:iCs/>
          <w:lang w:val="en-NZ"/>
        </w:rPr>
        <w:t xml:space="preserve">Population PK analysis of data from two </w:t>
      </w:r>
      <w:r w:rsidR="003D1869">
        <w:rPr>
          <w:iCs/>
          <w:lang w:val="en-NZ"/>
        </w:rPr>
        <w:t>P</w:t>
      </w:r>
      <w:r>
        <w:rPr>
          <w:iCs/>
          <w:lang w:val="en-NZ"/>
        </w:rPr>
        <w:t>hase I/II clinical trials (Study 1 and Study 2) was undertaken to characterise the PK of alectinib and M4 in special populations.</w:t>
      </w:r>
    </w:p>
    <w:p w14:paraId="02C78665" w14:textId="21E19E5D" w:rsidR="00225D7A" w:rsidRDefault="0012791B" w:rsidP="00D43C8A">
      <w:pPr>
        <w:pStyle w:val="Heading3"/>
      </w:pPr>
      <w:r>
        <w:t>Effects of age, body weight, sex and race</w:t>
      </w:r>
    </w:p>
    <w:p w14:paraId="6B69FDB1" w14:textId="1A582795" w:rsidR="0012791B" w:rsidRPr="0012791B" w:rsidRDefault="00F530B5" w:rsidP="00225D7A">
      <w:pPr>
        <w:rPr>
          <w:lang w:val="en-NZ"/>
        </w:rPr>
      </w:pPr>
      <w:r>
        <w:rPr>
          <w:lang w:val="en-NZ"/>
        </w:rPr>
        <w:t>In the range of exposure achieved with the 600 mg twice daily dose, a</w:t>
      </w:r>
      <w:r w:rsidR="0012791B">
        <w:rPr>
          <w:lang w:val="en-NZ"/>
        </w:rPr>
        <w:t>ge, body weight, race and sex had no clinically meaningful effect on the systemic exposure of alectinib and M4. The pharmacokinetics of alectinib has not been studied in children.</w:t>
      </w:r>
    </w:p>
    <w:p w14:paraId="7B025282" w14:textId="065C5C52" w:rsidR="00225D7A" w:rsidRPr="00225D7A" w:rsidRDefault="001D5564" w:rsidP="00D43C8A">
      <w:pPr>
        <w:pStyle w:val="Heading3"/>
      </w:pPr>
      <w:r>
        <w:t>H</w:t>
      </w:r>
      <w:r w:rsidR="00225D7A" w:rsidRPr="00225D7A">
        <w:t>epatic impairment</w:t>
      </w:r>
    </w:p>
    <w:p w14:paraId="7DE6B01C" w14:textId="5672D416" w:rsidR="00225D7A" w:rsidRDefault="001059CD" w:rsidP="00225D7A">
      <w:pPr>
        <w:rPr>
          <w:lang w:val="en-NZ"/>
        </w:rPr>
      </w:pPr>
      <w:r>
        <w:rPr>
          <w:lang w:val="en-NZ"/>
        </w:rPr>
        <w:t>Mild hepatic impairment had no clinically meaningful effect on the systemic exposure of alectinib and M4. No dose adjustment is required in mild hepatic impairment. Mild hepatic impairment is defined as baseline total bilirubin (Br) ≤ the upper limit of normal (ULN) and baseline aspartate aminotransferase (AST) &gt; ULN or baseline total Br &gt; 1.0 to 1.5 times ULN and any baseline AST. Elimination of alectinib is predominantly through hepatic metabolism, and t</w:t>
      </w:r>
      <w:r w:rsidR="00225D7A" w:rsidRPr="00225D7A">
        <w:rPr>
          <w:lang w:val="en-NZ"/>
        </w:rPr>
        <w:t>he pharmacokinetics of alectinib has not been studied in patients with moderate</w:t>
      </w:r>
      <w:r w:rsidR="00E01401">
        <w:rPr>
          <w:lang w:val="en-NZ"/>
        </w:rPr>
        <w:t xml:space="preserve"> </w:t>
      </w:r>
      <w:r w:rsidR="00225D7A" w:rsidRPr="00225D7A">
        <w:rPr>
          <w:lang w:val="en-NZ"/>
        </w:rPr>
        <w:t>to severe hepatic impairment.</w:t>
      </w:r>
    </w:p>
    <w:p w14:paraId="016C118A" w14:textId="16F0BEDE" w:rsidR="00A9004E" w:rsidRDefault="00A9004E" w:rsidP="00D43C8A">
      <w:pPr>
        <w:pStyle w:val="Heading3"/>
      </w:pPr>
      <w:r>
        <w:t>Renal impairment</w:t>
      </w:r>
    </w:p>
    <w:p w14:paraId="54715FC0" w14:textId="77777777" w:rsidR="00462F88" w:rsidRDefault="00A9004E" w:rsidP="00225D7A">
      <w:pPr>
        <w:rPr>
          <w:lang w:val="en-NZ"/>
        </w:rPr>
      </w:pPr>
      <w:r>
        <w:rPr>
          <w:lang w:val="en-NZ"/>
        </w:rPr>
        <w:t xml:space="preserve">Mild to moderate renal impairment (creatinine clearance 30 to 89 mL/min) had no clinically meaningful effect on the systemic exposure of alectinib and </w:t>
      </w:r>
      <w:r w:rsidR="004F187B">
        <w:rPr>
          <w:lang w:val="en-NZ"/>
        </w:rPr>
        <w:t xml:space="preserve">the active metabolite </w:t>
      </w:r>
      <w:r>
        <w:rPr>
          <w:lang w:val="en-NZ"/>
        </w:rPr>
        <w:t xml:space="preserve">M4. </w:t>
      </w:r>
      <w:r w:rsidR="000E2914">
        <w:rPr>
          <w:lang w:val="en-NZ"/>
        </w:rPr>
        <w:t xml:space="preserve">No dose adjustment is required in mild to moderate renal impairment. </w:t>
      </w:r>
      <w:r>
        <w:rPr>
          <w:lang w:val="en-NZ"/>
        </w:rPr>
        <w:t xml:space="preserve">Negligible amounts of alectinib and M4 are excreted unchanged in urine (&lt;0.2% of the dose). The pharmacokinetics of alectinib has not been studied in patients with severe renal impairment, however due to the negligible renal clearance of </w:t>
      </w:r>
      <w:proofErr w:type="gramStart"/>
      <w:r>
        <w:rPr>
          <w:lang w:val="en-NZ"/>
        </w:rPr>
        <w:t>alectinib,</w:t>
      </w:r>
      <w:proofErr w:type="gramEnd"/>
      <w:r>
        <w:rPr>
          <w:lang w:val="en-NZ"/>
        </w:rPr>
        <w:t xml:space="preserve"> no dose adjustment is required in</w:t>
      </w:r>
      <w:r w:rsidR="00E90982">
        <w:rPr>
          <w:lang w:val="en-NZ"/>
        </w:rPr>
        <w:t xml:space="preserve"> severe</w:t>
      </w:r>
      <w:r>
        <w:rPr>
          <w:lang w:val="en-NZ"/>
        </w:rPr>
        <w:t xml:space="preserve"> renal impairment.</w:t>
      </w:r>
    </w:p>
    <w:p w14:paraId="7E6F54D0" w14:textId="7C6F49DB" w:rsidR="00DF2F66" w:rsidRDefault="00DF2F66" w:rsidP="00D43C8A">
      <w:pPr>
        <w:pStyle w:val="Heading3"/>
      </w:pPr>
      <w:r>
        <w:t>Other</w:t>
      </w:r>
    </w:p>
    <w:p w14:paraId="0B6125BC" w14:textId="77777777" w:rsidR="00462F88" w:rsidRDefault="00DF2F66" w:rsidP="00DF2F66">
      <w:pPr>
        <w:rPr>
          <w:lang w:val="en-NZ"/>
        </w:rPr>
      </w:pPr>
      <w:r w:rsidRPr="00DF2F66">
        <w:rPr>
          <w:lang w:val="en-NZ"/>
        </w:rPr>
        <w:t>Alectinib absorbs UV light between 200 and 400 nm and demonstrated phototoxic</w:t>
      </w:r>
      <w:r w:rsidR="002C4DC5">
        <w:rPr>
          <w:lang w:val="en-NZ"/>
        </w:rPr>
        <w:t xml:space="preserve"> </w:t>
      </w:r>
      <w:r w:rsidRPr="00DF2F66">
        <w:rPr>
          <w:lang w:val="en-NZ"/>
        </w:rPr>
        <w:t xml:space="preserve">potential in an </w:t>
      </w:r>
      <w:r w:rsidRPr="00DF2F66">
        <w:rPr>
          <w:i/>
          <w:iCs/>
          <w:lang w:val="en-NZ"/>
        </w:rPr>
        <w:t xml:space="preserve">in vitro </w:t>
      </w:r>
      <w:r w:rsidRPr="00DF2F66">
        <w:rPr>
          <w:lang w:val="en-NZ"/>
        </w:rPr>
        <w:t>photosafety test in cultured murine fibroblasts after UVA</w:t>
      </w:r>
      <w:r w:rsidR="002C4DC5">
        <w:rPr>
          <w:lang w:val="en-NZ"/>
        </w:rPr>
        <w:t xml:space="preserve"> </w:t>
      </w:r>
      <w:r w:rsidRPr="00DF2F66">
        <w:rPr>
          <w:lang w:val="en-NZ"/>
        </w:rPr>
        <w:t>irradiation</w:t>
      </w:r>
      <w:r>
        <w:rPr>
          <w:lang w:val="en-NZ"/>
        </w:rPr>
        <w:t>.</w:t>
      </w:r>
    </w:p>
    <w:p w14:paraId="2F077136" w14:textId="498488E1" w:rsidR="00D844B2" w:rsidRPr="005B2E24" w:rsidRDefault="00D844B2" w:rsidP="00AE74F3">
      <w:pPr>
        <w:pStyle w:val="Heading1"/>
        <w:rPr>
          <w:sz w:val="28"/>
          <w:szCs w:val="28"/>
        </w:rPr>
      </w:pPr>
      <w:r w:rsidRPr="005B2E24">
        <w:rPr>
          <w:sz w:val="28"/>
          <w:szCs w:val="28"/>
        </w:rPr>
        <w:t>C</w:t>
      </w:r>
      <w:r w:rsidR="00517398">
        <w:rPr>
          <w:sz w:val="28"/>
          <w:szCs w:val="28"/>
        </w:rPr>
        <w:t>LINICAL TRIALS</w:t>
      </w:r>
    </w:p>
    <w:p w14:paraId="4B55DD61" w14:textId="77777777" w:rsidR="00462F88" w:rsidRDefault="0087420D" w:rsidP="0087420D">
      <w:pPr>
        <w:rPr>
          <w:bCs/>
          <w:i/>
          <w:iCs/>
          <w:lang w:val="en-GB"/>
        </w:rPr>
      </w:pPr>
      <w:r w:rsidRPr="00E461AC">
        <w:rPr>
          <w:bCs/>
          <w:i/>
          <w:iCs/>
          <w:lang w:val="en-GB"/>
        </w:rPr>
        <w:t xml:space="preserve">ALECENSA is approved as monotherapy on the basis of overall response rate and duration of response rate from two single-arm, open-label, multicentre </w:t>
      </w:r>
      <w:r w:rsidR="003D1869">
        <w:rPr>
          <w:bCs/>
          <w:i/>
          <w:iCs/>
          <w:lang w:val="en-GB"/>
        </w:rPr>
        <w:t>P</w:t>
      </w:r>
      <w:r w:rsidRPr="00E461AC">
        <w:rPr>
          <w:bCs/>
          <w:i/>
          <w:iCs/>
          <w:lang w:val="en-GB"/>
        </w:rPr>
        <w:t xml:space="preserve">hase I/II clinical trials. </w:t>
      </w:r>
      <w:r w:rsidR="003D1869">
        <w:rPr>
          <w:bCs/>
          <w:i/>
          <w:iCs/>
          <w:lang w:val="en-GB"/>
        </w:rPr>
        <w:t>A condition of</w:t>
      </w:r>
      <w:r w:rsidRPr="00E461AC">
        <w:rPr>
          <w:bCs/>
          <w:i/>
          <w:iCs/>
          <w:lang w:val="en-GB"/>
        </w:rPr>
        <w:t xml:space="preserve"> approval </w:t>
      </w:r>
      <w:r w:rsidR="003D1869">
        <w:rPr>
          <w:bCs/>
          <w:i/>
          <w:iCs/>
          <w:lang w:val="en-GB"/>
        </w:rPr>
        <w:t>is the</w:t>
      </w:r>
      <w:r w:rsidR="003D1869" w:rsidRPr="00E461AC">
        <w:rPr>
          <w:bCs/>
          <w:i/>
          <w:iCs/>
          <w:lang w:val="en-GB"/>
        </w:rPr>
        <w:t xml:space="preserve"> </w:t>
      </w:r>
      <w:r w:rsidRPr="00E461AC">
        <w:rPr>
          <w:bCs/>
          <w:i/>
          <w:iCs/>
          <w:lang w:val="en-GB"/>
        </w:rPr>
        <w:t xml:space="preserve">submission </w:t>
      </w:r>
      <w:r w:rsidR="003D1869">
        <w:rPr>
          <w:bCs/>
          <w:i/>
          <w:iCs/>
          <w:lang w:val="en-GB"/>
        </w:rPr>
        <w:t>when available</w:t>
      </w:r>
      <w:r w:rsidRPr="00E461AC">
        <w:rPr>
          <w:bCs/>
          <w:i/>
          <w:iCs/>
          <w:lang w:val="en-GB"/>
        </w:rPr>
        <w:t xml:space="preserve"> of </w:t>
      </w:r>
      <w:r w:rsidR="003D1869">
        <w:rPr>
          <w:bCs/>
          <w:i/>
          <w:iCs/>
          <w:lang w:val="en-GB"/>
        </w:rPr>
        <w:t>the study report for a</w:t>
      </w:r>
      <w:r w:rsidR="003D1869" w:rsidRPr="00E461AC">
        <w:rPr>
          <w:bCs/>
          <w:i/>
          <w:iCs/>
          <w:lang w:val="en-GB"/>
        </w:rPr>
        <w:t xml:space="preserve"> </w:t>
      </w:r>
      <w:r w:rsidR="003D1869">
        <w:rPr>
          <w:bCs/>
          <w:i/>
          <w:iCs/>
          <w:lang w:val="en-GB"/>
        </w:rPr>
        <w:t>P</w:t>
      </w:r>
      <w:r w:rsidRPr="00E461AC">
        <w:rPr>
          <w:bCs/>
          <w:i/>
          <w:iCs/>
          <w:lang w:val="en-GB"/>
        </w:rPr>
        <w:t>hase III study (already underway) designed to provide further efficacy and safety data.</w:t>
      </w:r>
    </w:p>
    <w:p w14:paraId="72D246BA" w14:textId="77777777" w:rsidR="00462F88" w:rsidRDefault="0087420D" w:rsidP="0087420D">
      <w:pPr>
        <w:rPr>
          <w:lang w:val="en-US"/>
        </w:rPr>
      </w:pPr>
      <w:r w:rsidRPr="0087420D">
        <w:rPr>
          <w:lang w:val="en-US"/>
        </w:rPr>
        <w:lastRenderedPageBreak/>
        <w:t xml:space="preserve">The use of </w:t>
      </w:r>
      <w:r w:rsidR="00847830" w:rsidRPr="00847830">
        <w:rPr>
          <w:lang w:val="en-US"/>
        </w:rPr>
        <w:t xml:space="preserve">ALECENSA </w:t>
      </w:r>
      <w:r w:rsidRPr="0087420D">
        <w:rPr>
          <w:lang w:val="en-US"/>
        </w:rPr>
        <w:t xml:space="preserve">in the treatment of ALK-positive NSCLC patients previously treated with crizotinib was investigated in two multicentre, </w:t>
      </w:r>
      <w:proofErr w:type="gramStart"/>
      <w:r w:rsidRPr="0087420D">
        <w:rPr>
          <w:lang w:val="en-US"/>
        </w:rPr>
        <w:t>open-label</w:t>
      </w:r>
      <w:proofErr w:type="gramEnd"/>
      <w:r w:rsidRPr="0087420D">
        <w:rPr>
          <w:lang w:val="en-US"/>
        </w:rPr>
        <w:t xml:space="preserve">, single-arm studies, referred to </w:t>
      </w:r>
      <w:r w:rsidR="002B2C40">
        <w:rPr>
          <w:lang w:val="en-US"/>
        </w:rPr>
        <w:t>in this document</w:t>
      </w:r>
      <w:r w:rsidR="002B2C40" w:rsidRPr="0087420D">
        <w:rPr>
          <w:lang w:val="en-US"/>
        </w:rPr>
        <w:t xml:space="preserve"> </w:t>
      </w:r>
      <w:r w:rsidRPr="0087420D">
        <w:rPr>
          <w:lang w:val="en-US"/>
        </w:rPr>
        <w:t>as Study 1 and Study 2. Both studies enrolled patients with locally advanced or metastatic ALK-positive NSCLC, who had progressed on crizotinib, with documented ALK-positive NSCLC based on an FDA-approved test, and ECOG performance status of up to 2. Eligibility criteria permitted enrolment of patients with prior chemotherapy and prior CNS radiotherapy provided that CNS metastases were stable for at least two weeks.</w:t>
      </w:r>
    </w:p>
    <w:p w14:paraId="1E0D3E96" w14:textId="381AAFAD" w:rsidR="0087420D" w:rsidRDefault="0087420D" w:rsidP="0087420D">
      <w:pPr>
        <w:rPr>
          <w:lang w:val="en-US"/>
        </w:rPr>
      </w:pPr>
      <w:r w:rsidRPr="0087420D">
        <w:rPr>
          <w:lang w:val="en-US"/>
        </w:rPr>
        <w:t xml:space="preserve">All patients received ALECENSA 600 mg orally twice daily. The </w:t>
      </w:r>
      <w:r w:rsidR="00574E78">
        <w:rPr>
          <w:lang w:val="en-US"/>
        </w:rPr>
        <w:t>primary endpoint</w:t>
      </w:r>
      <w:r w:rsidRPr="0087420D">
        <w:rPr>
          <w:lang w:val="en-US"/>
        </w:rPr>
        <w:t xml:space="preserve"> in both studies was objective response rate (ORR)</w:t>
      </w:r>
      <w:r w:rsidR="000E7F4F">
        <w:rPr>
          <w:lang w:val="en-US"/>
        </w:rPr>
        <w:t xml:space="preserve"> in the overall population</w:t>
      </w:r>
      <w:r w:rsidR="00847830">
        <w:rPr>
          <w:lang w:val="en-US"/>
        </w:rPr>
        <w:t>,</w:t>
      </w:r>
      <w:r w:rsidRPr="0087420D">
        <w:rPr>
          <w:lang w:val="en-US"/>
        </w:rPr>
        <w:t xml:space="preserve"> according to Response Evaluation Criteria in Solid Tumours (RECIST v1.1) as evaluated </w:t>
      </w:r>
      <w:r w:rsidR="00847830">
        <w:rPr>
          <w:lang w:val="en-US"/>
        </w:rPr>
        <w:t>by an</w:t>
      </w:r>
      <w:r w:rsidRPr="0087420D">
        <w:rPr>
          <w:lang w:val="en-US"/>
        </w:rPr>
        <w:t xml:space="preserve"> Independent Review Committee (IRC). Additional outcome measures as evaluated by the IRC included duration of response (DOR), CNS ORR, and CNS DOR. </w:t>
      </w:r>
      <w:r w:rsidR="007F06B2">
        <w:rPr>
          <w:lang w:val="en-US"/>
        </w:rPr>
        <w:t>Study 2 included as</w:t>
      </w:r>
      <w:r w:rsidR="007F06B2" w:rsidRPr="00574E78">
        <w:rPr>
          <w:lang w:val="en-US"/>
        </w:rPr>
        <w:t xml:space="preserve"> co-primary endpoint </w:t>
      </w:r>
      <w:r w:rsidR="007F06B2">
        <w:rPr>
          <w:lang w:val="en-US"/>
        </w:rPr>
        <w:t>evaluation of</w:t>
      </w:r>
      <w:r w:rsidR="007F06B2" w:rsidRPr="00574E78">
        <w:rPr>
          <w:lang w:val="en-US"/>
        </w:rPr>
        <w:t xml:space="preserve"> ORR </w:t>
      </w:r>
      <w:r w:rsidR="007F06B2">
        <w:rPr>
          <w:lang w:val="en-US"/>
        </w:rPr>
        <w:t>by</w:t>
      </w:r>
      <w:r w:rsidR="007F06B2" w:rsidRPr="00574E78">
        <w:rPr>
          <w:lang w:val="en-US"/>
        </w:rPr>
        <w:t xml:space="preserve"> IRC using RECIST </w:t>
      </w:r>
      <w:r w:rsidR="007F06B2">
        <w:rPr>
          <w:lang w:val="en-US"/>
        </w:rPr>
        <w:t>v</w:t>
      </w:r>
      <w:r w:rsidR="007F06B2" w:rsidRPr="00574E78">
        <w:rPr>
          <w:lang w:val="en-US"/>
        </w:rPr>
        <w:t>1.1 in patients with prior exposure of cytotoxic chemotherapy treatments.</w:t>
      </w:r>
    </w:p>
    <w:p w14:paraId="27ED41CD" w14:textId="77777777" w:rsidR="00462F88" w:rsidRDefault="0087420D" w:rsidP="0087420D">
      <w:pPr>
        <w:rPr>
          <w:lang w:val="en-GB"/>
        </w:rPr>
      </w:pPr>
      <w:r w:rsidRPr="0087420D">
        <w:rPr>
          <w:lang w:val="en-GB"/>
        </w:rPr>
        <w:t xml:space="preserve">Study 1 was conducted in North America and </w:t>
      </w:r>
      <w:r w:rsidR="002510B0">
        <w:rPr>
          <w:lang w:val="en-GB"/>
        </w:rPr>
        <w:t>included</w:t>
      </w:r>
      <w:r w:rsidR="002510B0" w:rsidRPr="0087420D">
        <w:rPr>
          <w:lang w:val="en-GB"/>
        </w:rPr>
        <w:t xml:space="preserve"> </w:t>
      </w:r>
      <w:r w:rsidRPr="0087420D">
        <w:rPr>
          <w:lang w:val="en-GB"/>
        </w:rPr>
        <w:t>87 patients</w:t>
      </w:r>
      <w:r w:rsidR="003D1869">
        <w:rPr>
          <w:lang w:val="en-GB"/>
        </w:rPr>
        <w:t xml:space="preserve"> in the P</w:t>
      </w:r>
      <w:r w:rsidR="002510B0">
        <w:rPr>
          <w:lang w:val="en-GB"/>
        </w:rPr>
        <w:t>h</w:t>
      </w:r>
      <w:r w:rsidR="00A75414">
        <w:rPr>
          <w:lang w:val="en-GB"/>
        </w:rPr>
        <w:t>ase II part of the study</w:t>
      </w:r>
      <w:r w:rsidRPr="0087420D">
        <w:rPr>
          <w:lang w:val="en-GB"/>
        </w:rPr>
        <w:t>. Baseline demographic and disease characteristics in Study 1 were median age 54 years (range 29 to 79</w:t>
      </w:r>
      <w:r w:rsidR="006549AE">
        <w:rPr>
          <w:lang w:val="en-GB"/>
        </w:rPr>
        <w:t xml:space="preserve"> years</w:t>
      </w:r>
      <w:r w:rsidRPr="0087420D">
        <w:rPr>
          <w:lang w:val="en-GB"/>
        </w:rPr>
        <w:t xml:space="preserve">, 18% </w:t>
      </w:r>
      <w:r w:rsidR="006549AE">
        <w:rPr>
          <w:lang w:val="en-GB"/>
        </w:rPr>
        <w:t>≥ </w:t>
      </w:r>
      <w:r w:rsidRPr="0087420D">
        <w:rPr>
          <w:lang w:val="en-GB"/>
        </w:rPr>
        <w:t xml:space="preserve">65 </w:t>
      </w:r>
      <w:r w:rsidR="006549AE">
        <w:rPr>
          <w:lang w:val="en-GB"/>
        </w:rPr>
        <w:t>years</w:t>
      </w:r>
      <w:r w:rsidRPr="0087420D">
        <w:rPr>
          <w:lang w:val="en-GB"/>
        </w:rPr>
        <w:t>), 84% White and 8% Asian, 55% female, 35% ECOG performance status 0 and 55% ECOG performance status 1, 100% never or former smokers, 99% Stage IV, 94% adenocarcinoma, and 74% prior chemotherapy. The most common sites of extra-thoracic metastasis included 60% CNS (of whom 65% had received CNS radiation), 43% lymph nodes, 36% bone, and 34% liver.</w:t>
      </w:r>
    </w:p>
    <w:p w14:paraId="6B4CE380" w14:textId="07F04755" w:rsidR="0087420D" w:rsidRDefault="0087420D" w:rsidP="0087420D">
      <w:pPr>
        <w:rPr>
          <w:lang w:val="en-GB"/>
        </w:rPr>
      </w:pPr>
      <w:r w:rsidRPr="0087420D">
        <w:rPr>
          <w:lang w:val="en-GB"/>
        </w:rPr>
        <w:t xml:space="preserve">Study 2 was conducted internationally and </w:t>
      </w:r>
      <w:r w:rsidR="00A75414">
        <w:rPr>
          <w:lang w:val="en-GB"/>
        </w:rPr>
        <w:t>included</w:t>
      </w:r>
      <w:r w:rsidR="00A75414" w:rsidRPr="0087420D">
        <w:rPr>
          <w:lang w:val="en-GB"/>
        </w:rPr>
        <w:t xml:space="preserve"> </w:t>
      </w:r>
      <w:r w:rsidRPr="0087420D">
        <w:rPr>
          <w:lang w:val="en-GB"/>
        </w:rPr>
        <w:t>138 patients</w:t>
      </w:r>
      <w:r w:rsidR="003D1869">
        <w:rPr>
          <w:lang w:val="en-GB"/>
        </w:rPr>
        <w:t xml:space="preserve"> in the P</w:t>
      </w:r>
      <w:r w:rsidR="00A75414">
        <w:rPr>
          <w:lang w:val="en-GB"/>
        </w:rPr>
        <w:t>hase II part of the study</w:t>
      </w:r>
      <w:r w:rsidRPr="0087420D">
        <w:rPr>
          <w:lang w:val="en-GB"/>
        </w:rPr>
        <w:t>. Baseline demographic and disease characteristics in Study 2 were median age 52 years (range 22 to 79</w:t>
      </w:r>
      <w:r w:rsidR="008B4513">
        <w:rPr>
          <w:lang w:val="en-GB"/>
        </w:rPr>
        <w:t xml:space="preserve"> years</w:t>
      </w:r>
      <w:r w:rsidRPr="0087420D">
        <w:rPr>
          <w:lang w:val="en-GB"/>
        </w:rPr>
        <w:t>, 10%</w:t>
      </w:r>
      <w:r w:rsidR="008B4513">
        <w:rPr>
          <w:lang w:val="en-GB"/>
        </w:rPr>
        <w:t xml:space="preserve"> ≥</w:t>
      </w:r>
      <w:r w:rsidRPr="0087420D">
        <w:rPr>
          <w:lang w:val="en-GB"/>
        </w:rPr>
        <w:t xml:space="preserve"> 65 </w:t>
      </w:r>
      <w:r w:rsidR="008B4513">
        <w:rPr>
          <w:lang w:val="en-GB"/>
        </w:rPr>
        <w:t>years</w:t>
      </w:r>
      <w:r w:rsidRPr="0087420D">
        <w:rPr>
          <w:lang w:val="en-GB"/>
        </w:rPr>
        <w:t>), 67% White and 26% Asian, 56% female, 32% ECOG performance status 0 and 59% ECOG performance status 1, 98% never or former smokers, 99% Stage IV, 96% adenocarcinoma, and 80% prior chemotherapy. The most common sites of extra-thoracic metastasis included 61% CNS (of whom 73% had received CNS radiation), 51% bone, 38% lymph nodes, and 30% liver.</w:t>
      </w:r>
    </w:p>
    <w:p w14:paraId="6722C912" w14:textId="109B41E2" w:rsidR="00F46299" w:rsidRDefault="00F46299" w:rsidP="000327F1">
      <w:pPr>
        <w:pStyle w:val="Heading2"/>
      </w:pPr>
      <w:r>
        <w:t>Efficacy</w:t>
      </w:r>
    </w:p>
    <w:p w14:paraId="4522F9C5" w14:textId="5596FEEC" w:rsidR="00F46299" w:rsidRPr="00F46299" w:rsidRDefault="00F46299" w:rsidP="0087420D">
      <w:pPr>
        <w:rPr>
          <w:lang w:val="en-GB"/>
        </w:rPr>
      </w:pPr>
      <w:r>
        <w:rPr>
          <w:lang w:val="en-GB"/>
        </w:rPr>
        <w:t xml:space="preserve">Efficacy results from Studies 1 and 2 in all treated patients are summarised in Table 2. The median duration of follow-up was 17 months </w:t>
      </w:r>
      <w:r w:rsidR="006549AE">
        <w:rPr>
          <w:lang w:val="en-GB"/>
        </w:rPr>
        <w:t xml:space="preserve">in Study 1 </w:t>
      </w:r>
      <w:r>
        <w:rPr>
          <w:lang w:val="en-GB"/>
        </w:rPr>
        <w:t xml:space="preserve">and </w:t>
      </w:r>
      <w:r w:rsidR="006549AE">
        <w:rPr>
          <w:lang w:val="en-GB"/>
        </w:rPr>
        <w:t>21 months</w:t>
      </w:r>
      <w:r w:rsidR="006549AE" w:rsidRPr="006549AE">
        <w:rPr>
          <w:lang w:val="en-GB"/>
        </w:rPr>
        <w:t xml:space="preserve"> </w:t>
      </w:r>
      <w:r>
        <w:rPr>
          <w:lang w:val="en-GB"/>
        </w:rPr>
        <w:t xml:space="preserve">in Study 2 </w:t>
      </w:r>
      <w:r w:rsidR="006549AE">
        <w:rPr>
          <w:lang w:val="en-GB"/>
        </w:rPr>
        <w:t>for both IRC and Investigator assessments</w:t>
      </w:r>
      <w:r>
        <w:rPr>
          <w:lang w:val="en-GB"/>
        </w:rPr>
        <w:t xml:space="preserve">. </w:t>
      </w:r>
      <w:r w:rsidR="006549AE">
        <w:rPr>
          <w:lang w:val="en-GB"/>
        </w:rPr>
        <w:t>According to the IRC, a</w:t>
      </w:r>
      <w:r>
        <w:rPr>
          <w:lang w:val="en-GB"/>
        </w:rPr>
        <w:t xml:space="preserve">ll responses were partial responses. According to </w:t>
      </w:r>
      <w:r w:rsidR="006549AE">
        <w:rPr>
          <w:lang w:val="en-GB"/>
        </w:rPr>
        <w:t>I</w:t>
      </w:r>
      <w:r>
        <w:rPr>
          <w:lang w:val="en-GB"/>
        </w:rPr>
        <w:t>nvestigator assessment, 2 patients and 3 patients achieved a complete response in Study 1 and Study 2</w:t>
      </w:r>
      <w:r w:rsidR="00352443">
        <w:rPr>
          <w:lang w:val="en-GB"/>
        </w:rPr>
        <w:t>,</w:t>
      </w:r>
      <w:r>
        <w:rPr>
          <w:lang w:val="en-GB"/>
        </w:rPr>
        <w:t xml:space="preserve"> respectively.</w:t>
      </w:r>
    </w:p>
    <w:p w14:paraId="4F857F4A" w14:textId="756F2AED" w:rsidR="005C1D04" w:rsidRDefault="00D43C8A" w:rsidP="00D43C8A">
      <w:pPr>
        <w:pStyle w:val="Caption"/>
        <w:rPr>
          <w:b w:val="0"/>
        </w:rPr>
      </w:pPr>
      <w:proofErr w:type="gramStart"/>
      <w:r>
        <w:t xml:space="preserve">Table </w:t>
      </w:r>
      <w:r w:rsidR="00C728BF">
        <w:fldChar w:fldCharType="begin"/>
      </w:r>
      <w:r w:rsidR="00C728BF">
        <w:instrText xml:space="preserve"> SEQ Table \* ARABIC </w:instrText>
      </w:r>
      <w:r w:rsidR="00C728BF">
        <w:fldChar w:fldCharType="separate"/>
      </w:r>
      <w:r>
        <w:rPr>
          <w:noProof/>
        </w:rPr>
        <w:t>2</w:t>
      </w:r>
      <w:r w:rsidR="00C728BF">
        <w:rPr>
          <w:noProof/>
        </w:rPr>
        <w:fldChar w:fldCharType="end"/>
      </w:r>
      <w:r w:rsidR="005C1D04" w:rsidRPr="000252A5">
        <w:t>.</w:t>
      </w:r>
      <w:proofErr w:type="gramEnd"/>
      <w:r w:rsidR="005C1D04" w:rsidRPr="000252A5">
        <w:t xml:space="preserve"> </w:t>
      </w:r>
      <w:r w:rsidR="00B1696D">
        <w:t xml:space="preserve">Efficacy results in Studies 1 and 2 </w:t>
      </w:r>
      <w:r w:rsidR="00AC5061">
        <w:t xml:space="preserve">(ITT </w:t>
      </w:r>
      <w:r w:rsidR="00B1696D">
        <w:t>population)</w:t>
      </w:r>
    </w:p>
    <w:tbl>
      <w:tblPr>
        <w:tblStyle w:val="TableGrid"/>
        <w:tblW w:w="0" w:type="auto"/>
        <w:tblLook w:val="04A0" w:firstRow="1" w:lastRow="0" w:firstColumn="1" w:lastColumn="0" w:noHBand="0" w:noVBand="1"/>
        <w:tblDescription w:val="Table 2. Efficacy results in Studies 1 and 2 (ITT population)"/>
      </w:tblPr>
      <w:tblGrid>
        <w:gridCol w:w="3369"/>
        <w:gridCol w:w="1417"/>
        <w:gridCol w:w="1559"/>
        <w:gridCol w:w="1418"/>
        <w:gridCol w:w="1524"/>
      </w:tblGrid>
      <w:tr w:rsidR="00865832" w14:paraId="633AE14E" w14:textId="77777777" w:rsidTr="00D43C8A">
        <w:trPr>
          <w:tblHeader/>
        </w:trPr>
        <w:tc>
          <w:tcPr>
            <w:tcW w:w="3369" w:type="dxa"/>
          </w:tcPr>
          <w:p w14:paraId="5EC1BFE9" w14:textId="77777777" w:rsidR="00865832" w:rsidRDefault="00865832" w:rsidP="00D43C8A">
            <w:pPr>
              <w:spacing w:before="20" w:after="20"/>
              <w:rPr>
                <w:b/>
              </w:rPr>
            </w:pPr>
          </w:p>
        </w:tc>
        <w:tc>
          <w:tcPr>
            <w:tcW w:w="2976" w:type="dxa"/>
            <w:gridSpan w:val="2"/>
          </w:tcPr>
          <w:p w14:paraId="49EC3D5D" w14:textId="3AA74E1D" w:rsidR="00865832" w:rsidRDefault="00865832" w:rsidP="00D43C8A">
            <w:pPr>
              <w:spacing w:before="20" w:after="20"/>
              <w:jc w:val="center"/>
              <w:rPr>
                <w:b/>
              </w:rPr>
            </w:pPr>
            <w:r>
              <w:rPr>
                <w:b/>
              </w:rPr>
              <w:t>Study 1</w:t>
            </w:r>
            <w:r w:rsidRPr="000E001F">
              <w:rPr>
                <w:b/>
                <w:vertAlign w:val="superscript"/>
              </w:rPr>
              <w:t>1</w:t>
            </w:r>
          </w:p>
        </w:tc>
        <w:tc>
          <w:tcPr>
            <w:tcW w:w="2942" w:type="dxa"/>
            <w:gridSpan w:val="2"/>
          </w:tcPr>
          <w:p w14:paraId="06FAEBF6" w14:textId="3F6C7425" w:rsidR="00865832" w:rsidRDefault="00865832" w:rsidP="00D43C8A">
            <w:pPr>
              <w:spacing w:before="20" w:after="20"/>
              <w:jc w:val="center"/>
              <w:rPr>
                <w:b/>
              </w:rPr>
            </w:pPr>
            <w:r>
              <w:rPr>
                <w:b/>
              </w:rPr>
              <w:t>Study 2</w:t>
            </w:r>
            <w:r w:rsidRPr="000E001F">
              <w:rPr>
                <w:b/>
                <w:vertAlign w:val="superscript"/>
              </w:rPr>
              <w:t>2</w:t>
            </w:r>
          </w:p>
        </w:tc>
      </w:tr>
      <w:tr w:rsidR="00865832" w14:paraId="34F25660" w14:textId="77777777" w:rsidTr="00D43C8A">
        <w:trPr>
          <w:tblHeader/>
        </w:trPr>
        <w:tc>
          <w:tcPr>
            <w:tcW w:w="3369" w:type="dxa"/>
          </w:tcPr>
          <w:p w14:paraId="64E25C3A" w14:textId="77777777" w:rsidR="00865832" w:rsidRDefault="00865832" w:rsidP="00D43C8A">
            <w:pPr>
              <w:spacing w:before="20" w:after="20"/>
              <w:rPr>
                <w:b/>
              </w:rPr>
            </w:pPr>
            <w:r>
              <w:rPr>
                <w:b/>
              </w:rPr>
              <w:t>Efficacy Parameter</w:t>
            </w:r>
          </w:p>
        </w:tc>
        <w:tc>
          <w:tcPr>
            <w:tcW w:w="1417" w:type="dxa"/>
          </w:tcPr>
          <w:p w14:paraId="5AF916AD" w14:textId="77777777" w:rsidR="00865832" w:rsidRDefault="00865832" w:rsidP="00D43C8A">
            <w:pPr>
              <w:spacing w:before="20" w:after="20"/>
              <w:jc w:val="center"/>
              <w:rPr>
                <w:b/>
              </w:rPr>
            </w:pPr>
            <w:r>
              <w:rPr>
                <w:b/>
              </w:rPr>
              <w:t>IRC*</w:t>
            </w:r>
          </w:p>
        </w:tc>
        <w:tc>
          <w:tcPr>
            <w:tcW w:w="1559" w:type="dxa"/>
          </w:tcPr>
          <w:p w14:paraId="20E7E37C" w14:textId="77777777" w:rsidR="00865832" w:rsidRDefault="00865832" w:rsidP="00D43C8A">
            <w:pPr>
              <w:spacing w:before="20" w:after="20"/>
              <w:jc w:val="center"/>
              <w:rPr>
                <w:b/>
              </w:rPr>
            </w:pPr>
            <w:r>
              <w:rPr>
                <w:b/>
              </w:rPr>
              <w:t>Investigator</w:t>
            </w:r>
          </w:p>
        </w:tc>
        <w:tc>
          <w:tcPr>
            <w:tcW w:w="1418" w:type="dxa"/>
          </w:tcPr>
          <w:p w14:paraId="7B0ED074" w14:textId="77777777" w:rsidR="00865832" w:rsidRDefault="00865832" w:rsidP="00D43C8A">
            <w:pPr>
              <w:spacing w:before="20" w:after="20"/>
              <w:jc w:val="center"/>
              <w:rPr>
                <w:b/>
              </w:rPr>
            </w:pPr>
            <w:r>
              <w:rPr>
                <w:b/>
              </w:rPr>
              <w:t>IRC*</w:t>
            </w:r>
          </w:p>
        </w:tc>
        <w:tc>
          <w:tcPr>
            <w:tcW w:w="1524" w:type="dxa"/>
          </w:tcPr>
          <w:p w14:paraId="025FEC21" w14:textId="77777777" w:rsidR="00865832" w:rsidRDefault="00865832" w:rsidP="00D43C8A">
            <w:pPr>
              <w:spacing w:before="20" w:after="20"/>
              <w:jc w:val="center"/>
              <w:rPr>
                <w:b/>
              </w:rPr>
            </w:pPr>
            <w:r>
              <w:rPr>
                <w:b/>
              </w:rPr>
              <w:t>Investigator</w:t>
            </w:r>
          </w:p>
        </w:tc>
      </w:tr>
      <w:tr w:rsidR="00865832" w14:paraId="58E1DC03" w14:textId="77777777" w:rsidTr="00DA6E9B">
        <w:tc>
          <w:tcPr>
            <w:tcW w:w="3369" w:type="dxa"/>
          </w:tcPr>
          <w:p w14:paraId="242BCD7F" w14:textId="77777777" w:rsidR="00865832" w:rsidRDefault="00865832" w:rsidP="00D43C8A">
            <w:pPr>
              <w:spacing w:before="20"/>
              <w:rPr>
                <w:b/>
              </w:rPr>
            </w:pPr>
            <w:r>
              <w:rPr>
                <w:b/>
              </w:rPr>
              <w:t>ORR in ITT population</w:t>
            </w:r>
          </w:p>
          <w:p w14:paraId="3F773536" w14:textId="77777777" w:rsidR="00865832" w:rsidRDefault="00865832" w:rsidP="00D43C8A">
            <w:pPr>
              <w:spacing w:before="20"/>
              <w:ind w:left="426"/>
            </w:pPr>
            <w:r w:rsidRPr="005325F5">
              <w:t>(95% CI)</w:t>
            </w:r>
          </w:p>
          <w:p w14:paraId="5B413BAC" w14:textId="77777777" w:rsidR="00865832" w:rsidRDefault="00865832" w:rsidP="00D43C8A">
            <w:pPr>
              <w:spacing w:before="20" w:after="20"/>
              <w:ind w:left="425"/>
              <w:rPr>
                <w:b/>
              </w:rPr>
            </w:pPr>
            <w:r w:rsidRPr="00D52BEA">
              <w:t>Number of responders</w:t>
            </w:r>
          </w:p>
        </w:tc>
        <w:tc>
          <w:tcPr>
            <w:tcW w:w="1417" w:type="dxa"/>
            <w:vAlign w:val="center"/>
          </w:tcPr>
          <w:p w14:paraId="709B1444" w14:textId="77777777" w:rsidR="00865832" w:rsidRDefault="00865832" w:rsidP="00D43C8A">
            <w:pPr>
              <w:spacing w:before="20"/>
              <w:jc w:val="center"/>
            </w:pPr>
            <w:r>
              <w:t>n=87</w:t>
            </w:r>
          </w:p>
          <w:p w14:paraId="08656C4B" w14:textId="77777777" w:rsidR="00865832" w:rsidRDefault="00865832" w:rsidP="00D43C8A">
            <w:pPr>
              <w:spacing w:before="20"/>
              <w:jc w:val="center"/>
            </w:pPr>
            <w:r w:rsidRPr="00A2561A">
              <w:t>42.5%</w:t>
            </w:r>
          </w:p>
          <w:p w14:paraId="35F828D4" w14:textId="77777777" w:rsidR="00865832" w:rsidRDefault="00865832" w:rsidP="00D43C8A">
            <w:pPr>
              <w:spacing w:before="20"/>
              <w:jc w:val="center"/>
            </w:pPr>
            <w:r w:rsidRPr="00A2561A">
              <w:t>(32.0; 53.6)</w:t>
            </w:r>
          </w:p>
          <w:p w14:paraId="0C430D9B" w14:textId="77777777" w:rsidR="00865832" w:rsidRPr="00A2561A" w:rsidRDefault="00865832" w:rsidP="00D43C8A">
            <w:pPr>
              <w:spacing w:before="20"/>
              <w:jc w:val="center"/>
            </w:pPr>
            <w:r w:rsidRPr="00A2561A">
              <w:t>37</w:t>
            </w:r>
          </w:p>
        </w:tc>
        <w:tc>
          <w:tcPr>
            <w:tcW w:w="1559" w:type="dxa"/>
            <w:vAlign w:val="center"/>
          </w:tcPr>
          <w:p w14:paraId="036DBCD1" w14:textId="77777777" w:rsidR="00865832" w:rsidRDefault="00865832" w:rsidP="00D43C8A">
            <w:pPr>
              <w:spacing w:before="20"/>
              <w:jc w:val="center"/>
            </w:pPr>
            <w:r>
              <w:t>n=87</w:t>
            </w:r>
          </w:p>
          <w:p w14:paraId="23F158AC" w14:textId="77777777" w:rsidR="00865832" w:rsidRDefault="00865832" w:rsidP="00D43C8A">
            <w:pPr>
              <w:spacing w:before="20"/>
              <w:jc w:val="center"/>
            </w:pPr>
            <w:r w:rsidRPr="00A2561A">
              <w:t>52.9%</w:t>
            </w:r>
          </w:p>
          <w:p w14:paraId="7CE3818B" w14:textId="77777777" w:rsidR="00865832" w:rsidRDefault="00865832" w:rsidP="00D43C8A">
            <w:pPr>
              <w:spacing w:before="20"/>
              <w:jc w:val="center"/>
            </w:pPr>
            <w:r w:rsidRPr="00A2561A">
              <w:t>(41.9; 63.7)</w:t>
            </w:r>
          </w:p>
          <w:p w14:paraId="3EEDA124" w14:textId="77777777" w:rsidR="00865832" w:rsidRPr="00A2561A" w:rsidRDefault="00865832" w:rsidP="00D43C8A">
            <w:pPr>
              <w:spacing w:before="20"/>
              <w:jc w:val="center"/>
            </w:pPr>
            <w:r w:rsidRPr="00A2561A">
              <w:t>46</w:t>
            </w:r>
          </w:p>
        </w:tc>
        <w:tc>
          <w:tcPr>
            <w:tcW w:w="1418" w:type="dxa"/>
            <w:vAlign w:val="center"/>
          </w:tcPr>
          <w:p w14:paraId="3D4BAE48" w14:textId="77777777" w:rsidR="00865832" w:rsidRDefault="00865832" w:rsidP="00D43C8A">
            <w:pPr>
              <w:spacing w:before="20"/>
              <w:jc w:val="center"/>
            </w:pPr>
            <w:r>
              <w:t>n=138</w:t>
            </w:r>
          </w:p>
          <w:p w14:paraId="1B69CF95" w14:textId="77777777" w:rsidR="00865832" w:rsidRDefault="00865832" w:rsidP="00D43C8A">
            <w:pPr>
              <w:spacing w:before="20"/>
              <w:jc w:val="center"/>
            </w:pPr>
            <w:r w:rsidRPr="00A2561A">
              <w:t>44.9%</w:t>
            </w:r>
          </w:p>
          <w:p w14:paraId="454D4F49" w14:textId="77777777" w:rsidR="00865832" w:rsidRDefault="00865832" w:rsidP="00D43C8A">
            <w:pPr>
              <w:spacing w:before="20"/>
              <w:jc w:val="center"/>
            </w:pPr>
            <w:r w:rsidRPr="00A2561A">
              <w:t>(36.5; 53.6)</w:t>
            </w:r>
          </w:p>
          <w:p w14:paraId="41E77A49" w14:textId="77777777" w:rsidR="00865832" w:rsidRPr="00A2561A" w:rsidRDefault="00865832" w:rsidP="00D43C8A">
            <w:pPr>
              <w:spacing w:before="20"/>
              <w:jc w:val="center"/>
            </w:pPr>
            <w:r w:rsidRPr="00A2561A">
              <w:t>62</w:t>
            </w:r>
          </w:p>
        </w:tc>
        <w:tc>
          <w:tcPr>
            <w:tcW w:w="1524" w:type="dxa"/>
            <w:vAlign w:val="center"/>
          </w:tcPr>
          <w:p w14:paraId="684B2965" w14:textId="77777777" w:rsidR="00865832" w:rsidRDefault="00865832" w:rsidP="00D43C8A">
            <w:pPr>
              <w:spacing w:before="20"/>
              <w:jc w:val="center"/>
            </w:pPr>
            <w:r>
              <w:t>n=138</w:t>
            </w:r>
          </w:p>
          <w:p w14:paraId="267FF098" w14:textId="77777777" w:rsidR="00865832" w:rsidRDefault="00865832" w:rsidP="00D43C8A">
            <w:pPr>
              <w:spacing w:before="20"/>
              <w:jc w:val="center"/>
            </w:pPr>
            <w:r w:rsidRPr="00A2561A">
              <w:t>51.4%</w:t>
            </w:r>
          </w:p>
          <w:p w14:paraId="153DB616" w14:textId="77777777" w:rsidR="00865832" w:rsidRDefault="00865832" w:rsidP="00D43C8A">
            <w:pPr>
              <w:spacing w:before="20"/>
              <w:jc w:val="center"/>
            </w:pPr>
            <w:r w:rsidRPr="00A2561A">
              <w:t>(42.8; 60.0)</w:t>
            </w:r>
          </w:p>
          <w:p w14:paraId="7B7F2CAD" w14:textId="77777777" w:rsidR="00865832" w:rsidRPr="00A2561A" w:rsidRDefault="00865832" w:rsidP="00D43C8A">
            <w:pPr>
              <w:spacing w:before="20"/>
              <w:jc w:val="center"/>
            </w:pPr>
            <w:r w:rsidRPr="00A2561A">
              <w:t>71</w:t>
            </w:r>
          </w:p>
        </w:tc>
      </w:tr>
      <w:tr w:rsidR="00865832" w14:paraId="298BA59C" w14:textId="77777777" w:rsidTr="00DA6E9B">
        <w:tc>
          <w:tcPr>
            <w:tcW w:w="3369" w:type="dxa"/>
          </w:tcPr>
          <w:p w14:paraId="6BC23FF8" w14:textId="3EB07F77" w:rsidR="00865832" w:rsidRDefault="00865832" w:rsidP="00D43C8A">
            <w:pPr>
              <w:spacing w:before="20"/>
              <w:rPr>
                <w:b/>
              </w:rPr>
            </w:pPr>
            <w:r>
              <w:rPr>
                <w:b/>
              </w:rPr>
              <w:t>ORR in patients pre-treated with chemotherapy</w:t>
            </w:r>
          </w:p>
          <w:p w14:paraId="161D07FB" w14:textId="77777777" w:rsidR="00865832" w:rsidRDefault="00865832" w:rsidP="00D43C8A">
            <w:pPr>
              <w:spacing w:before="20"/>
              <w:ind w:left="426"/>
            </w:pPr>
            <w:r>
              <w:lastRenderedPageBreak/>
              <w:t>(95% CI)</w:t>
            </w:r>
          </w:p>
          <w:p w14:paraId="72C7D776" w14:textId="77777777" w:rsidR="00865832" w:rsidRPr="00123058" w:rsidRDefault="00865832" w:rsidP="00D43C8A">
            <w:pPr>
              <w:spacing w:before="20" w:after="20"/>
              <w:ind w:left="425"/>
            </w:pPr>
            <w:r>
              <w:t>Number of responders</w:t>
            </w:r>
          </w:p>
        </w:tc>
        <w:tc>
          <w:tcPr>
            <w:tcW w:w="1417" w:type="dxa"/>
            <w:vAlign w:val="center"/>
          </w:tcPr>
          <w:p w14:paraId="6D5365E0" w14:textId="2B049396" w:rsidR="00865832" w:rsidRPr="00A2561A" w:rsidRDefault="00865832" w:rsidP="00D43C8A">
            <w:pPr>
              <w:spacing w:before="20"/>
              <w:jc w:val="center"/>
            </w:pPr>
            <w:r>
              <w:lastRenderedPageBreak/>
              <w:t>n/a</w:t>
            </w:r>
          </w:p>
        </w:tc>
        <w:tc>
          <w:tcPr>
            <w:tcW w:w="1559" w:type="dxa"/>
            <w:vAlign w:val="center"/>
          </w:tcPr>
          <w:p w14:paraId="762DE9D3" w14:textId="699EBCD4" w:rsidR="00865832" w:rsidRPr="00A2561A" w:rsidRDefault="00865832" w:rsidP="00D43C8A">
            <w:pPr>
              <w:spacing w:before="20"/>
              <w:jc w:val="center"/>
            </w:pPr>
            <w:r>
              <w:t>n/a</w:t>
            </w:r>
          </w:p>
        </w:tc>
        <w:tc>
          <w:tcPr>
            <w:tcW w:w="1418" w:type="dxa"/>
            <w:shd w:val="clear" w:color="auto" w:fill="FFFFFF" w:themeFill="background1"/>
            <w:vAlign w:val="center"/>
          </w:tcPr>
          <w:p w14:paraId="5A704401" w14:textId="77777777" w:rsidR="00865832" w:rsidRPr="005325F5" w:rsidRDefault="00865832" w:rsidP="00D43C8A">
            <w:pPr>
              <w:spacing w:before="20"/>
              <w:jc w:val="center"/>
            </w:pPr>
            <w:r>
              <w:t>n=110</w:t>
            </w:r>
            <w:r w:rsidRPr="005325F5">
              <w:br/>
            </w:r>
            <w:r>
              <w:t>39.1%</w:t>
            </w:r>
          </w:p>
          <w:p w14:paraId="1FEDBA0D" w14:textId="77777777" w:rsidR="00865832" w:rsidRPr="005325F5" w:rsidRDefault="00865832" w:rsidP="00D43C8A">
            <w:pPr>
              <w:spacing w:before="20"/>
              <w:jc w:val="center"/>
            </w:pPr>
            <w:r w:rsidRPr="006A3BFA">
              <w:lastRenderedPageBreak/>
              <w:t>(29.9; 48.9)</w:t>
            </w:r>
          </w:p>
          <w:p w14:paraId="7E073679" w14:textId="512B1F71" w:rsidR="00865832" w:rsidRPr="005325F5" w:rsidRDefault="00865832" w:rsidP="00D43C8A">
            <w:pPr>
              <w:spacing w:before="20"/>
              <w:jc w:val="center"/>
            </w:pPr>
            <w:r>
              <w:t>43</w:t>
            </w:r>
          </w:p>
        </w:tc>
        <w:tc>
          <w:tcPr>
            <w:tcW w:w="1524" w:type="dxa"/>
            <w:shd w:val="clear" w:color="auto" w:fill="FFFFFF" w:themeFill="background1"/>
            <w:vAlign w:val="center"/>
          </w:tcPr>
          <w:p w14:paraId="75C1B12C" w14:textId="77777777" w:rsidR="00865832" w:rsidRPr="005325F5" w:rsidRDefault="00865832" w:rsidP="00D43C8A">
            <w:pPr>
              <w:spacing w:before="20"/>
              <w:jc w:val="center"/>
            </w:pPr>
            <w:r>
              <w:lastRenderedPageBreak/>
              <w:t>n=110</w:t>
            </w:r>
            <w:r w:rsidRPr="005325F5">
              <w:br/>
            </w:r>
            <w:r>
              <w:t>50.0%</w:t>
            </w:r>
          </w:p>
          <w:p w14:paraId="22B6D082" w14:textId="77777777" w:rsidR="00865832" w:rsidRPr="005325F5" w:rsidRDefault="00865832" w:rsidP="00D43C8A">
            <w:pPr>
              <w:spacing w:before="20"/>
              <w:jc w:val="center"/>
            </w:pPr>
            <w:r w:rsidRPr="006A3BFA">
              <w:lastRenderedPageBreak/>
              <w:t>(40.3; 59.7)</w:t>
            </w:r>
          </w:p>
          <w:p w14:paraId="5A69D7E0" w14:textId="7E622523" w:rsidR="00865832" w:rsidRPr="005325F5" w:rsidRDefault="00865832" w:rsidP="00D43C8A">
            <w:pPr>
              <w:spacing w:before="20"/>
              <w:jc w:val="center"/>
            </w:pPr>
            <w:r>
              <w:t>55</w:t>
            </w:r>
          </w:p>
        </w:tc>
      </w:tr>
      <w:tr w:rsidR="00865832" w14:paraId="4A2668E0" w14:textId="77777777" w:rsidTr="00DA6E9B">
        <w:tc>
          <w:tcPr>
            <w:tcW w:w="3369" w:type="dxa"/>
          </w:tcPr>
          <w:p w14:paraId="6F76E8EB" w14:textId="77777777" w:rsidR="00462F88" w:rsidRDefault="00865832" w:rsidP="00DA6E9B">
            <w:pPr>
              <w:keepNext/>
              <w:spacing w:before="20"/>
              <w:rPr>
                <w:b/>
              </w:rPr>
            </w:pPr>
            <w:r>
              <w:rPr>
                <w:b/>
              </w:rPr>
              <w:lastRenderedPageBreak/>
              <w:t>Median DOR (months) in ITT population</w:t>
            </w:r>
          </w:p>
          <w:p w14:paraId="29BFD93F" w14:textId="5402189C" w:rsidR="00865832" w:rsidRDefault="00865832" w:rsidP="00865832">
            <w:pPr>
              <w:keepNext/>
              <w:spacing w:before="20" w:after="20"/>
              <w:ind w:left="425"/>
              <w:rPr>
                <w:b/>
              </w:rPr>
            </w:pPr>
            <w:r w:rsidRPr="00865832">
              <w:t>(95% CI)</w:t>
            </w:r>
          </w:p>
        </w:tc>
        <w:tc>
          <w:tcPr>
            <w:tcW w:w="1417" w:type="dxa"/>
            <w:vAlign w:val="center"/>
          </w:tcPr>
          <w:p w14:paraId="3FFE17A2" w14:textId="77777777" w:rsidR="00865832" w:rsidRDefault="00865832" w:rsidP="00DA6E9B">
            <w:pPr>
              <w:keepNext/>
              <w:spacing w:before="20"/>
              <w:jc w:val="center"/>
            </w:pPr>
            <w:r>
              <w:t>n=37</w:t>
            </w:r>
          </w:p>
          <w:p w14:paraId="11DD8236" w14:textId="77777777" w:rsidR="00865832" w:rsidRPr="00A2561A" w:rsidRDefault="00865832" w:rsidP="00DA6E9B">
            <w:pPr>
              <w:keepNext/>
              <w:spacing w:before="20"/>
              <w:jc w:val="center"/>
            </w:pPr>
            <w:r w:rsidRPr="00A2561A">
              <w:t>14.9</w:t>
            </w:r>
          </w:p>
          <w:p w14:paraId="79D91BB8" w14:textId="77777777" w:rsidR="00865832" w:rsidRPr="00A2561A" w:rsidRDefault="00865832" w:rsidP="00DA6E9B">
            <w:pPr>
              <w:keepNext/>
              <w:spacing w:before="20" w:after="20"/>
              <w:jc w:val="center"/>
            </w:pPr>
            <w:r w:rsidRPr="00A2561A">
              <w:t>(7.5, NE)</w:t>
            </w:r>
          </w:p>
        </w:tc>
        <w:tc>
          <w:tcPr>
            <w:tcW w:w="1559" w:type="dxa"/>
            <w:vAlign w:val="center"/>
          </w:tcPr>
          <w:p w14:paraId="19095456" w14:textId="77777777" w:rsidR="00865832" w:rsidRDefault="00865832" w:rsidP="00DA6E9B">
            <w:pPr>
              <w:keepNext/>
              <w:spacing w:before="20"/>
              <w:jc w:val="center"/>
            </w:pPr>
            <w:r>
              <w:t>n=46</w:t>
            </w:r>
          </w:p>
          <w:p w14:paraId="15F52FB3" w14:textId="77777777" w:rsidR="00865832" w:rsidRPr="00A2561A" w:rsidRDefault="00865832" w:rsidP="00DA6E9B">
            <w:pPr>
              <w:keepNext/>
              <w:spacing w:before="20"/>
              <w:jc w:val="center"/>
            </w:pPr>
            <w:r w:rsidRPr="00A2561A">
              <w:t>13.3</w:t>
            </w:r>
          </w:p>
          <w:p w14:paraId="7A33B24D" w14:textId="77777777" w:rsidR="00865832" w:rsidRPr="00A2561A" w:rsidRDefault="00865832" w:rsidP="00DA6E9B">
            <w:pPr>
              <w:keepNext/>
              <w:spacing w:before="20" w:after="20"/>
              <w:jc w:val="center"/>
            </w:pPr>
            <w:r w:rsidRPr="00A2561A">
              <w:t>(8.8; 18.2)</w:t>
            </w:r>
          </w:p>
        </w:tc>
        <w:tc>
          <w:tcPr>
            <w:tcW w:w="1418" w:type="dxa"/>
            <w:vAlign w:val="center"/>
          </w:tcPr>
          <w:p w14:paraId="2C4C30BB" w14:textId="77777777" w:rsidR="00865832" w:rsidRDefault="00865832" w:rsidP="00DA6E9B">
            <w:pPr>
              <w:keepNext/>
              <w:spacing w:before="20"/>
              <w:jc w:val="center"/>
            </w:pPr>
            <w:r>
              <w:t>n=62</w:t>
            </w:r>
          </w:p>
          <w:p w14:paraId="01F63A0C" w14:textId="77777777" w:rsidR="00865832" w:rsidRPr="00A2561A" w:rsidRDefault="00865832" w:rsidP="00DA6E9B">
            <w:pPr>
              <w:keepNext/>
              <w:spacing w:before="20"/>
              <w:jc w:val="center"/>
            </w:pPr>
            <w:r w:rsidRPr="00A2561A">
              <w:t>15.2</w:t>
            </w:r>
          </w:p>
          <w:p w14:paraId="5E1D961B" w14:textId="77777777" w:rsidR="00865832" w:rsidRPr="00A2561A" w:rsidRDefault="00865832" w:rsidP="00DA6E9B">
            <w:pPr>
              <w:keepNext/>
              <w:spacing w:before="20" w:after="20"/>
              <w:jc w:val="center"/>
            </w:pPr>
            <w:r w:rsidRPr="00A2561A">
              <w:t>(11.2; 24.9)</w:t>
            </w:r>
          </w:p>
        </w:tc>
        <w:tc>
          <w:tcPr>
            <w:tcW w:w="1524" w:type="dxa"/>
            <w:vAlign w:val="center"/>
          </w:tcPr>
          <w:p w14:paraId="3014690C" w14:textId="77777777" w:rsidR="00865832" w:rsidRDefault="00865832" w:rsidP="00DA6E9B">
            <w:pPr>
              <w:keepNext/>
              <w:spacing w:before="20"/>
              <w:jc w:val="center"/>
            </w:pPr>
            <w:r>
              <w:t>n=71</w:t>
            </w:r>
          </w:p>
          <w:p w14:paraId="1A0EB6AC" w14:textId="77777777" w:rsidR="00865832" w:rsidRPr="00A2561A" w:rsidRDefault="00865832" w:rsidP="00DA6E9B">
            <w:pPr>
              <w:keepNext/>
              <w:spacing w:before="20"/>
              <w:jc w:val="center"/>
            </w:pPr>
            <w:r w:rsidRPr="00A2561A">
              <w:t>13.7</w:t>
            </w:r>
          </w:p>
          <w:p w14:paraId="418298A2" w14:textId="77777777" w:rsidR="00865832" w:rsidRPr="00A2561A" w:rsidRDefault="00865832" w:rsidP="00DA6E9B">
            <w:pPr>
              <w:keepNext/>
              <w:spacing w:before="20" w:after="20"/>
              <w:jc w:val="center"/>
            </w:pPr>
            <w:r w:rsidRPr="00A2561A">
              <w:t>(11.0; 20.3)</w:t>
            </w:r>
          </w:p>
        </w:tc>
      </w:tr>
    </w:tbl>
    <w:p w14:paraId="2CF11929" w14:textId="77777777" w:rsidR="00865832" w:rsidRDefault="00865832" w:rsidP="00865832">
      <w:pPr>
        <w:pStyle w:val="Paragraph"/>
        <w:spacing w:before="20" w:after="0" w:line="240" w:lineRule="exact"/>
        <w:rPr>
          <w:rFonts w:ascii="Times New Roman" w:hAnsi="Times New Roman"/>
          <w:sz w:val="20"/>
        </w:rPr>
      </w:pPr>
      <w:r w:rsidRPr="000E001F">
        <w:rPr>
          <w:rFonts w:ascii="Times New Roman" w:hAnsi="Times New Roman"/>
          <w:sz w:val="20"/>
          <w:vertAlign w:val="superscript"/>
        </w:rPr>
        <w:t>1</w:t>
      </w:r>
      <w:r>
        <w:rPr>
          <w:rFonts w:ascii="Times New Roman" w:hAnsi="Times New Roman"/>
          <w:sz w:val="20"/>
        </w:rPr>
        <w:t xml:space="preserve"> Data cutoff date: 22-Jan-2016</w:t>
      </w:r>
      <w:r>
        <w:rPr>
          <w:rFonts w:ascii="Times New Roman" w:hAnsi="Times New Roman"/>
          <w:sz w:val="20"/>
        </w:rPr>
        <w:tab/>
      </w:r>
      <w:r w:rsidRPr="000E001F">
        <w:rPr>
          <w:rFonts w:ascii="Times New Roman" w:hAnsi="Times New Roman"/>
          <w:sz w:val="20"/>
          <w:vertAlign w:val="superscript"/>
        </w:rPr>
        <w:t>2</w:t>
      </w:r>
      <w:r>
        <w:rPr>
          <w:rFonts w:ascii="Times New Roman" w:hAnsi="Times New Roman"/>
          <w:sz w:val="20"/>
        </w:rPr>
        <w:t xml:space="preserve"> Data cutoff date: 01-Feb-2016</w:t>
      </w:r>
    </w:p>
    <w:p w14:paraId="385F0AAB" w14:textId="77777777" w:rsidR="00865832" w:rsidRPr="00C86CAB" w:rsidRDefault="00865832" w:rsidP="00865832">
      <w:pPr>
        <w:pStyle w:val="Paragraph"/>
        <w:spacing w:before="20" w:after="0" w:line="240" w:lineRule="exact"/>
        <w:rPr>
          <w:rFonts w:ascii="Times New Roman" w:hAnsi="Times New Roman"/>
          <w:sz w:val="20"/>
          <w:szCs w:val="20"/>
        </w:rPr>
      </w:pPr>
      <w:r>
        <w:rPr>
          <w:rFonts w:ascii="Times New Roman" w:hAnsi="Times New Roman"/>
          <w:sz w:val="20"/>
        </w:rPr>
        <w:t xml:space="preserve">ITT=intent-to-treat; </w:t>
      </w:r>
      <w:r w:rsidRPr="00C86CAB">
        <w:rPr>
          <w:rFonts w:ascii="Times New Roman" w:hAnsi="Times New Roman"/>
          <w:sz w:val="20"/>
        </w:rPr>
        <w:t>CI</w:t>
      </w:r>
      <w:r w:rsidRPr="00C86CAB">
        <w:rPr>
          <w:rFonts w:ascii="Times New Roman" w:hAnsi="Times New Roman"/>
          <w:sz w:val="8"/>
        </w:rPr>
        <w:t> </w:t>
      </w:r>
      <w:r w:rsidRPr="00C86CAB">
        <w:rPr>
          <w:rFonts w:ascii="Times New Roman" w:hAnsi="Times New Roman"/>
          <w:sz w:val="20"/>
        </w:rPr>
        <w:sym w:font="Symbol" w:char="F03D"/>
      </w:r>
      <w:r w:rsidRPr="00C86CAB">
        <w:rPr>
          <w:rFonts w:ascii="Times New Roman" w:hAnsi="Times New Roman"/>
          <w:sz w:val="20"/>
        </w:rPr>
        <w:t xml:space="preserve">confidence interval; </w:t>
      </w:r>
      <w:r w:rsidRPr="00C86CAB">
        <w:rPr>
          <w:rFonts w:ascii="Times New Roman" w:hAnsi="Times New Roman"/>
          <w:sz w:val="20"/>
          <w:szCs w:val="20"/>
        </w:rPr>
        <w:t>IRC</w:t>
      </w:r>
      <w:r w:rsidRPr="00C86CAB">
        <w:rPr>
          <w:rFonts w:ascii="Times New Roman" w:hAnsi="Times New Roman"/>
          <w:sz w:val="20"/>
        </w:rPr>
        <w:sym w:font="Symbol" w:char="F03D"/>
      </w:r>
      <w:r w:rsidRPr="00C86CAB">
        <w:rPr>
          <w:rFonts w:ascii="Times New Roman" w:hAnsi="Times New Roman"/>
          <w:sz w:val="20"/>
        </w:rPr>
        <w:t xml:space="preserve">independent </w:t>
      </w:r>
      <w:r w:rsidRPr="00C86CAB">
        <w:rPr>
          <w:rFonts w:ascii="Times New Roman" w:hAnsi="Times New Roman"/>
          <w:sz w:val="20"/>
          <w:szCs w:val="20"/>
        </w:rPr>
        <w:t xml:space="preserve">review committee; </w:t>
      </w:r>
      <w:proofErr w:type="gramStart"/>
      <w:r>
        <w:rPr>
          <w:rFonts w:ascii="Times New Roman" w:hAnsi="Times New Roman"/>
          <w:sz w:val="20"/>
          <w:szCs w:val="20"/>
        </w:rPr>
        <w:t>n/a=</w:t>
      </w:r>
      <w:proofErr w:type="gramEnd"/>
      <w:r>
        <w:rPr>
          <w:rFonts w:ascii="Times New Roman" w:hAnsi="Times New Roman"/>
          <w:sz w:val="20"/>
          <w:szCs w:val="20"/>
        </w:rPr>
        <w:t xml:space="preserve">not applicable; </w:t>
      </w:r>
      <w:r w:rsidRPr="00C86CAB">
        <w:rPr>
          <w:rFonts w:ascii="Times New Roman" w:hAnsi="Times New Roman"/>
          <w:sz w:val="20"/>
          <w:szCs w:val="20"/>
        </w:rPr>
        <w:t>NE</w:t>
      </w:r>
      <w:r w:rsidRPr="00C86CAB">
        <w:rPr>
          <w:rFonts w:ascii="Times New Roman" w:hAnsi="Times New Roman"/>
          <w:sz w:val="20"/>
          <w:szCs w:val="20"/>
        </w:rPr>
        <w:sym w:font="Symbol" w:char="F03D"/>
      </w:r>
      <w:r w:rsidRPr="00C86CAB">
        <w:rPr>
          <w:rFonts w:ascii="Times New Roman" w:hAnsi="Times New Roman"/>
          <w:sz w:val="20"/>
          <w:szCs w:val="20"/>
        </w:rPr>
        <w:t xml:space="preserve">not estimable; </w:t>
      </w:r>
      <w:r>
        <w:rPr>
          <w:rFonts w:ascii="Times New Roman" w:hAnsi="Times New Roman"/>
          <w:sz w:val="20"/>
          <w:szCs w:val="20"/>
        </w:rPr>
        <w:t>ORR=objective response rate; DOR=duration of response</w:t>
      </w:r>
    </w:p>
    <w:p w14:paraId="3129149E" w14:textId="77777777" w:rsidR="00865832" w:rsidRPr="00352443" w:rsidRDefault="00865832" w:rsidP="00865832">
      <w:pPr>
        <w:pStyle w:val="Paragraph"/>
        <w:spacing w:before="20" w:after="0" w:line="240" w:lineRule="exact"/>
        <w:rPr>
          <w:rFonts w:ascii="Times New Roman" w:hAnsi="Times New Roman"/>
          <w:sz w:val="20"/>
          <w:szCs w:val="20"/>
        </w:rPr>
      </w:pPr>
      <w:r w:rsidRPr="00352443">
        <w:rPr>
          <w:rFonts w:ascii="Times New Roman" w:hAnsi="Times New Roman"/>
          <w:sz w:val="20"/>
          <w:szCs w:val="20"/>
          <w:vertAlign w:val="superscript"/>
        </w:rPr>
        <w:t>*</w:t>
      </w:r>
      <w:r>
        <w:rPr>
          <w:rFonts w:ascii="Times New Roman" w:hAnsi="Times New Roman"/>
          <w:sz w:val="20"/>
          <w:szCs w:val="20"/>
          <w:vertAlign w:val="superscript"/>
        </w:rPr>
        <w:t xml:space="preserve"> </w:t>
      </w:r>
      <w:r>
        <w:rPr>
          <w:rFonts w:ascii="Times New Roman" w:hAnsi="Times New Roman"/>
          <w:sz w:val="20"/>
          <w:szCs w:val="20"/>
        </w:rPr>
        <w:t>20 patients in Study 1 and 16 patients in Study 2 did not have measurable disease at baseline as per IRC assessment and could only be classified as a responder in the IRC analysis in the case of a complete response</w:t>
      </w:r>
    </w:p>
    <w:p w14:paraId="15392AFA" w14:textId="77777777" w:rsidR="00352443" w:rsidRPr="00C86DA1" w:rsidRDefault="00352443" w:rsidP="000327F1">
      <w:pPr>
        <w:pStyle w:val="Heading2"/>
      </w:pPr>
      <w:r w:rsidRPr="00C86DA1">
        <w:t>CNS Efficacy</w:t>
      </w:r>
    </w:p>
    <w:p w14:paraId="122A6B2B" w14:textId="54F7732E" w:rsidR="00435AEE" w:rsidRDefault="00352443" w:rsidP="00225D7A">
      <w:pPr>
        <w:rPr>
          <w:szCs w:val="24"/>
          <w:lang w:val="en-NZ"/>
        </w:rPr>
      </w:pPr>
      <w:r w:rsidRPr="00C86DA1">
        <w:rPr>
          <w:szCs w:val="24"/>
          <w:lang w:val="en-NZ"/>
        </w:rPr>
        <w:t>Results of ORR and DOR for CN</w:t>
      </w:r>
      <w:r w:rsidR="00E25265">
        <w:rPr>
          <w:szCs w:val="24"/>
          <w:lang w:val="en-NZ"/>
        </w:rPr>
        <w:t>S me</w:t>
      </w:r>
      <w:r w:rsidRPr="00C86DA1">
        <w:rPr>
          <w:szCs w:val="24"/>
          <w:lang w:val="en-NZ"/>
        </w:rPr>
        <w:t>ta</w:t>
      </w:r>
      <w:r w:rsidR="00E25265">
        <w:rPr>
          <w:szCs w:val="24"/>
          <w:lang w:val="en-NZ"/>
        </w:rPr>
        <w:t>s</w:t>
      </w:r>
      <w:r w:rsidRPr="00C86DA1">
        <w:rPr>
          <w:szCs w:val="24"/>
          <w:lang w:val="en-NZ"/>
        </w:rPr>
        <w:t>tases in a subgroup of 50 patients (pooled fro</w:t>
      </w:r>
      <w:r>
        <w:rPr>
          <w:szCs w:val="24"/>
          <w:lang w:val="en-NZ"/>
        </w:rPr>
        <w:t>m</w:t>
      </w:r>
      <w:r w:rsidRPr="00C86DA1">
        <w:rPr>
          <w:szCs w:val="24"/>
          <w:lang w:val="en-NZ"/>
        </w:rPr>
        <w:t xml:space="preserve"> both Studies 1 and 2) who had measurable CNS lesions at baseline according to RECIST v1.1 are summarised in Table 3. Thirty-four (68%) patients with measurable CNS lesions had received prior brain radiation, including 25 (50%) </w:t>
      </w:r>
      <w:proofErr w:type="gramStart"/>
      <w:r w:rsidRPr="00C86DA1">
        <w:rPr>
          <w:szCs w:val="24"/>
          <w:lang w:val="en-NZ"/>
        </w:rPr>
        <w:t>who</w:t>
      </w:r>
      <w:proofErr w:type="gramEnd"/>
      <w:r w:rsidRPr="00C86DA1">
        <w:rPr>
          <w:szCs w:val="24"/>
          <w:lang w:val="en-NZ"/>
        </w:rPr>
        <w:t xml:space="preserve"> had completed radiation treatment at least 6 months before starting treatment with ALECENSA. Responses were observed irrespective of prior brain radiation status.</w:t>
      </w:r>
    </w:p>
    <w:p w14:paraId="5D9AC760" w14:textId="3C04E9A5" w:rsidR="00435AEE" w:rsidRDefault="00D43C8A" w:rsidP="00D43C8A">
      <w:pPr>
        <w:pStyle w:val="Caption"/>
        <w:rPr>
          <w:b w:val="0"/>
          <w:szCs w:val="24"/>
          <w:lang w:val="en-NZ"/>
        </w:rPr>
      </w:pPr>
      <w:proofErr w:type="gramStart"/>
      <w:r>
        <w:t xml:space="preserve">Table </w:t>
      </w:r>
      <w:r w:rsidR="00C728BF">
        <w:fldChar w:fldCharType="begin"/>
      </w:r>
      <w:r w:rsidR="00C728BF">
        <w:instrText xml:space="preserve"> SEQ Table \* ARABIC </w:instrText>
      </w:r>
      <w:r w:rsidR="00C728BF">
        <w:fldChar w:fldCharType="separate"/>
      </w:r>
      <w:r>
        <w:rPr>
          <w:noProof/>
        </w:rPr>
        <w:t>3</w:t>
      </w:r>
      <w:r w:rsidR="00C728BF">
        <w:rPr>
          <w:noProof/>
        </w:rPr>
        <w:fldChar w:fldCharType="end"/>
      </w:r>
      <w:r w:rsidR="00435AEE">
        <w:rPr>
          <w:szCs w:val="24"/>
          <w:lang w:val="en-NZ"/>
        </w:rPr>
        <w:t>.</w:t>
      </w:r>
      <w:proofErr w:type="gramEnd"/>
      <w:r w:rsidR="00435AEE">
        <w:rPr>
          <w:szCs w:val="24"/>
          <w:lang w:val="en-NZ"/>
        </w:rPr>
        <w:t xml:space="preserve"> Efficacy results in the patients in Studies 1 and 2 combined who had measurable CNS lesions at baseline</w:t>
      </w:r>
    </w:p>
    <w:tbl>
      <w:tblPr>
        <w:tblStyle w:val="TableGrid"/>
        <w:tblW w:w="0" w:type="auto"/>
        <w:tblLook w:val="04A0" w:firstRow="1" w:lastRow="0" w:firstColumn="1" w:lastColumn="0" w:noHBand="0" w:noVBand="1"/>
        <w:tblDescription w:val="Table 3. Efficacy results in the patients in Studies 1 and 2 combined who had measurable CNS lesions at baseline"/>
      </w:tblPr>
      <w:tblGrid>
        <w:gridCol w:w="4643"/>
        <w:gridCol w:w="4644"/>
      </w:tblGrid>
      <w:tr w:rsidR="00435AEE" w14:paraId="30A55D70" w14:textId="77777777" w:rsidTr="00D43C8A">
        <w:trPr>
          <w:tblHeader/>
        </w:trPr>
        <w:tc>
          <w:tcPr>
            <w:tcW w:w="4643" w:type="dxa"/>
          </w:tcPr>
          <w:p w14:paraId="56416CBD" w14:textId="195B5B9F" w:rsidR="00435AEE" w:rsidRPr="00C86DA1" w:rsidRDefault="00435AEE" w:rsidP="00BF5D63">
            <w:pPr>
              <w:spacing w:before="20" w:after="20"/>
              <w:rPr>
                <w:b/>
                <w:szCs w:val="24"/>
                <w:lang w:val="en-NZ"/>
              </w:rPr>
            </w:pPr>
            <w:r w:rsidRPr="00C86DA1">
              <w:rPr>
                <w:b/>
                <w:szCs w:val="24"/>
                <w:lang w:val="en-NZ"/>
              </w:rPr>
              <w:t>Efficacy Parameter</w:t>
            </w:r>
          </w:p>
        </w:tc>
        <w:tc>
          <w:tcPr>
            <w:tcW w:w="4644" w:type="dxa"/>
            <w:vAlign w:val="center"/>
          </w:tcPr>
          <w:p w14:paraId="26F56EB8" w14:textId="26151B86" w:rsidR="00435AEE" w:rsidRPr="00C86DA1" w:rsidRDefault="00AC53D0" w:rsidP="00BF5D63">
            <w:pPr>
              <w:spacing w:before="20" w:after="20"/>
              <w:jc w:val="center"/>
              <w:rPr>
                <w:b/>
                <w:szCs w:val="24"/>
                <w:lang w:val="en-NZ"/>
              </w:rPr>
            </w:pPr>
            <w:r>
              <w:rPr>
                <w:b/>
                <w:szCs w:val="24"/>
                <w:lang w:val="en-NZ"/>
              </w:rPr>
              <w:t>n</w:t>
            </w:r>
            <w:r w:rsidR="00435AEE" w:rsidRPr="00C86DA1">
              <w:rPr>
                <w:b/>
                <w:szCs w:val="24"/>
                <w:lang w:val="en-NZ"/>
              </w:rPr>
              <w:t>=50</w:t>
            </w:r>
          </w:p>
        </w:tc>
      </w:tr>
      <w:tr w:rsidR="00435AEE" w14:paraId="21DFF2D4" w14:textId="77777777" w:rsidTr="00C86DA1">
        <w:tc>
          <w:tcPr>
            <w:tcW w:w="4643" w:type="dxa"/>
          </w:tcPr>
          <w:p w14:paraId="044C2A83" w14:textId="038A1BD5" w:rsidR="00435AEE" w:rsidRPr="00C86DA1" w:rsidRDefault="00435AEE" w:rsidP="00BF5D63">
            <w:pPr>
              <w:spacing w:before="20" w:after="20"/>
              <w:rPr>
                <w:b/>
                <w:szCs w:val="24"/>
                <w:lang w:val="en-NZ"/>
              </w:rPr>
            </w:pPr>
            <w:r w:rsidRPr="00C86DA1">
              <w:rPr>
                <w:b/>
                <w:szCs w:val="24"/>
                <w:lang w:val="en-NZ"/>
              </w:rPr>
              <w:t>CNS ORR</w:t>
            </w:r>
            <w:r w:rsidR="0052067C">
              <w:rPr>
                <w:b/>
                <w:szCs w:val="24"/>
                <w:lang w:val="en-NZ"/>
              </w:rPr>
              <w:t>*</w:t>
            </w:r>
          </w:p>
          <w:p w14:paraId="52FE6E4C" w14:textId="329BF41D" w:rsidR="00435AEE" w:rsidRPr="00C86DA1" w:rsidRDefault="00435AEE" w:rsidP="00BF5D63">
            <w:pPr>
              <w:spacing w:before="20" w:after="20"/>
              <w:rPr>
                <w:b/>
                <w:szCs w:val="24"/>
                <w:lang w:val="en-NZ"/>
              </w:rPr>
            </w:pPr>
            <w:r w:rsidRPr="00C86DA1">
              <w:rPr>
                <w:b/>
                <w:szCs w:val="24"/>
                <w:lang w:val="en-NZ"/>
              </w:rPr>
              <w:t>(95% CI)</w:t>
            </w:r>
          </w:p>
        </w:tc>
        <w:tc>
          <w:tcPr>
            <w:tcW w:w="4644" w:type="dxa"/>
            <w:vAlign w:val="center"/>
          </w:tcPr>
          <w:p w14:paraId="6E474992" w14:textId="77777777" w:rsidR="00435AEE" w:rsidRDefault="00435AEE" w:rsidP="00BF5D63">
            <w:pPr>
              <w:spacing w:before="20" w:after="20"/>
              <w:jc w:val="center"/>
              <w:rPr>
                <w:szCs w:val="24"/>
                <w:lang w:val="en-NZ"/>
              </w:rPr>
            </w:pPr>
            <w:r>
              <w:rPr>
                <w:szCs w:val="24"/>
                <w:lang w:val="en-NZ"/>
              </w:rPr>
              <w:t>64.0%</w:t>
            </w:r>
          </w:p>
          <w:p w14:paraId="05DA46EF" w14:textId="45CC8C39" w:rsidR="00435AEE" w:rsidRDefault="00435AEE" w:rsidP="00BF5D63">
            <w:pPr>
              <w:spacing w:before="20" w:after="20"/>
              <w:jc w:val="center"/>
              <w:rPr>
                <w:szCs w:val="24"/>
                <w:lang w:val="en-NZ"/>
              </w:rPr>
            </w:pPr>
            <w:r>
              <w:rPr>
                <w:szCs w:val="24"/>
                <w:lang w:val="en-NZ"/>
              </w:rPr>
              <w:t>(49.2; 77.1)</w:t>
            </w:r>
          </w:p>
        </w:tc>
      </w:tr>
      <w:tr w:rsidR="00435AEE" w14:paraId="5D665086" w14:textId="77777777" w:rsidTr="00C86DA1">
        <w:tc>
          <w:tcPr>
            <w:tcW w:w="4643" w:type="dxa"/>
          </w:tcPr>
          <w:p w14:paraId="277364BE" w14:textId="798B06CA" w:rsidR="00435AEE" w:rsidRPr="00C86DA1" w:rsidRDefault="00435AEE" w:rsidP="00BF5D63">
            <w:pPr>
              <w:spacing w:before="20" w:after="20"/>
              <w:ind w:left="454"/>
              <w:rPr>
                <w:b/>
                <w:szCs w:val="24"/>
                <w:lang w:val="en-NZ"/>
              </w:rPr>
            </w:pPr>
            <w:r w:rsidRPr="00C86DA1">
              <w:rPr>
                <w:b/>
                <w:szCs w:val="24"/>
                <w:lang w:val="en-NZ"/>
              </w:rPr>
              <w:t>Complete Response</w:t>
            </w:r>
            <w:r w:rsidR="0052067C">
              <w:rPr>
                <w:b/>
                <w:szCs w:val="24"/>
                <w:lang w:val="en-NZ"/>
              </w:rPr>
              <w:t xml:space="preserve"> (CR)</w:t>
            </w:r>
          </w:p>
        </w:tc>
        <w:tc>
          <w:tcPr>
            <w:tcW w:w="4644" w:type="dxa"/>
            <w:vAlign w:val="center"/>
          </w:tcPr>
          <w:p w14:paraId="10EC8992" w14:textId="234F5D87" w:rsidR="00435AEE" w:rsidRDefault="00435AEE" w:rsidP="00BF5D63">
            <w:pPr>
              <w:spacing w:before="20" w:after="20"/>
              <w:jc w:val="center"/>
              <w:rPr>
                <w:szCs w:val="24"/>
                <w:lang w:val="en-NZ"/>
              </w:rPr>
            </w:pPr>
            <w:r>
              <w:rPr>
                <w:szCs w:val="24"/>
                <w:lang w:val="en-NZ"/>
              </w:rPr>
              <w:t>22%</w:t>
            </w:r>
          </w:p>
        </w:tc>
      </w:tr>
      <w:tr w:rsidR="00435AEE" w14:paraId="0B2282DA" w14:textId="77777777" w:rsidTr="00C86DA1">
        <w:tc>
          <w:tcPr>
            <w:tcW w:w="4643" w:type="dxa"/>
          </w:tcPr>
          <w:p w14:paraId="392BFE25" w14:textId="6590729C" w:rsidR="00435AEE" w:rsidRPr="00C86DA1" w:rsidRDefault="00435AEE" w:rsidP="00BF5D63">
            <w:pPr>
              <w:spacing w:before="20" w:after="20"/>
              <w:ind w:left="454"/>
              <w:rPr>
                <w:b/>
                <w:szCs w:val="24"/>
                <w:lang w:val="en-NZ"/>
              </w:rPr>
            </w:pPr>
            <w:r w:rsidRPr="00C86DA1">
              <w:rPr>
                <w:b/>
                <w:szCs w:val="24"/>
                <w:lang w:val="en-NZ"/>
              </w:rPr>
              <w:t>Pa</w:t>
            </w:r>
            <w:r w:rsidR="00D51A37" w:rsidRPr="00D51A37">
              <w:rPr>
                <w:b/>
                <w:szCs w:val="24"/>
                <w:lang w:val="en-NZ"/>
              </w:rPr>
              <w:t>r</w:t>
            </w:r>
            <w:r w:rsidRPr="00C86DA1">
              <w:rPr>
                <w:b/>
                <w:szCs w:val="24"/>
                <w:lang w:val="en-NZ"/>
              </w:rPr>
              <w:t>t</w:t>
            </w:r>
            <w:r w:rsidR="00D51A37">
              <w:rPr>
                <w:b/>
                <w:szCs w:val="24"/>
                <w:lang w:val="en-NZ"/>
              </w:rPr>
              <w:t>i</w:t>
            </w:r>
            <w:r w:rsidRPr="00C86DA1">
              <w:rPr>
                <w:b/>
                <w:szCs w:val="24"/>
                <w:lang w:val="en-NZ"/>
              </w:rPr>
              <w:t>al Response</w:t>
            </w:r>
            <w:r w:rsidR="0052067C">
              <w:rPr>
                <w:b/>
                <w:szCs w:val="24"/>
                <w:lang w:val="en-NZ"/>
              </w:rPr>
              <w:t xml:space="preserve"> (PR)</w:t>
            </w:r>
          </w:p>
        </w:tc>
        <w:tc>
          <w:tcPr>
            <w:tcW w:w="4644" w:type="dxa"/>
            <w:vAlign w:val="center"/>
          </w:tcPr>
          <w:p w14:paraId="67C1A6A2" w14:textId="14A816FA" w:rsidR="00435AEE" w:rsidRDefault="00435AEE" w:rsidP="00BF5D63">
            <w:pPr>
              <w:spacing w:before="20" w:after="20"/>
              <w:jc w:val="center"/>
              <w:rPr>
                <w:szCs w:val="24"/>
                <w:lang w:val="en-NZ"/>
              </w:rPr>
            </w:pPr>
            <w:r>
              <w:rPr>
                <w:szCs w:val="24"/>
                <w:lang w:val="en-NZ"/>
              </w:rPr>
              <w:t>42%</w:t>
            </w:r>
          </w:p>
        </w:tc>
      </w:tr>
      <w:tr w:rsidR="00435AEE" w14:paraId="7366F399" w14:textId="77777777" w:rsidTr="00C86DA1">
        <w:tc>
          <w:tcPr>
            <w:tcW w:w="4643" w:type="dxa"/>
          </w:tcPr>
          <w:p w14:paraId="71A17931" w14:textId="77777777" w:rsidR="00435AEE" w:rsidRPr="00C86DA1" w:rsidRDefault="00435AEE" w:rsidP="00BF5D63">
            <w:pPr>
              <w:spacing w:before="20" w:after="20"/>
              <w:rPr>
                <w:b/>
                <w:szCs w:val="24"/>
                <w:lang w:val="en-NZ"/>
              </w:rPr>
            </w:pPr>
            <w:r w:rsidRPr="00C86DA1">
              <w:rPr>
                <w:b/>
                <w:szCs w:val="24"/>
                <w:lang w:val="en-NZ"/>
              </w:rPr>
              <w:t>CNS DOR in months</w:t>
            </w:r>
          </w:p>
          <w:p w14:paraId="46028B2F" w14:textId="6ED7BFF2" w:rsidR="00435AEE" w:rsidRPr="00C86DA1" w:rsidRDefault="00435AEE" w:rsidP="00BF5D63">
            <w:pPr>
              <w:spacing w:before="20" w:after="20"/>
              <w:rPr>
                <w:b/>
                <w:szCs w:val="24"/>
                <w:lang w:val="en-NZ"/>
              </w:rPr>
            </w:pPr>
            <w:r w:rsidRPr="00C86DA1">
              <w:rPr>
                <w:b/>
                <w:szCs w:val="24"/>
                <w:lang w:val="en-NZ"/>
              </w:rPr>
              <w:t>(95% CI)</w:t>
            </w:r>
          </w:p>
        </w:tc>
        <w:tc>
          <w:tcPr>
            <w:tcW w:w="4644" w:type="dxa"/>
            <w:vAlign w:val="center"/>
          </w:tcPr>
          <w:p w14:paraId="2B64BD8E" w14:textId="77777777" w:rsidR="00435AEE" w:rsidRDefault="00435AEE" w:rsidP="00BF5D63">
            <w:pPr>
              <w:spacing w:before="20" w:after="20"/>
              <w:jc w:val="center"/>
              <w:rPr>
                <w:szCs w:val="24"/>
                <w:lang w:val="en-NZ"/>
              </w:rPr>
            </w:pPr>
            <w:r>
              <w:rPr>
                <w:szCs w:val="24"/>
                <w:lang w:val="en-NZ"/>
              </w:rPr>
              <w:t>11.1</w:t>
            </w:r>
          </w:p>
          <w:p w14:paraId="6AA2676F" w14:textId="3900B12F" w:rsidR="00435AEE" w:rsidRDefault="00435AEE" w:rsidP="00BF5D63">
            <w:pPr>
              <w:spacing w:before="20" w:after="20"/>
              <w:jc w:val="center"/>
              <w:rPr>
                <w:szCs w:val="24"/>
                <w:lang w:val="en-NZ"/>
              </w:rPr>
            </w:pPr>
            <w:r>
              <w:rPr>
                <w:szCs w:val="24"/>
                <w:lang w:val="en-NZ"/>
              </w:rPr>
              <w:t>(7.6; NE)</w:t>
            </w:r>
          </w:p>
        </w:tc>
      </w:tr>
    </w:tbl>
    <w:p w14:paraId="645A629D" w14:textId="31976377" w:rsidR="0052067C" w:rsidRDefault="0052067C" w:rsidP="00BF5D63">
      <w:pPr>
        <w:spacing w:before="20"/>
        <w:ind w:left="198" w:hanging="198"/>
        <w:rPr>
          <w:sz w:val="20"/>
        </w:rPr>
      </w:pPr>
      <w:r>
        <w:rPr>
          <w:sz w:val="20"/>
        </w:rPr>
        <w:t xml:space="preserve">* </w:t>
      </w:r>
      <w:r w:rsidR="00380020">
        <w:rPr>
          <w:sz w:val="20"/>
        </w:rPr>
        <w:t>P</w:t>
      </w:r>
      <w:r w:rsidRPr="0052067C">
        <w:rPr>
          <w:sz w:val="20"/>
        </w:rPr>
        <w:t xml:space="preserve">roportion of patients </w:t>
      </w:r>
      <w:r>
        <w:rPr>
          <w:sz w:val="20"/>
        </w:rPr>
        <w:t>with</w:t>
      </w:r>
      <w:r w:rsidRPr="0052067C">
        <w:rPr>
          <w:sz w:val="20"/>
        </w:rPr>
        <w:t xml:space="preserve"> CR or PR of</w:t>
      </w:r>
      <w:r>
        <w:rPr>
          <w:sz w:val="20"/>
        </w:rPr>
        <w:t xml:space="preserve"> baseline </w:t>
      </w:r>
      <w:r w:rsidRPr="0052067C">
        <w:rPr>
          <w:sz w:val="20"/>
        </w:rPr>
        <w:t>CNS lesions</w:t>
      </w:r>
      <w:r w:rsidRPr="0052067C">
        <w:t xml:space="preserve"> </w:t>
      </w:r>
      <w:r w:rsidRPr="0052067C">
        <w:rPr>
          <w:sz w:val="20"/>
        </w:rPr>
        <w:t xml:space="preserve">based on </w:t>
      </w:r>
      <w:r w:rsidR="00463E82">
        <w:rPr>
          <w:sz w:val="20"/>
        </w:rPr>
        <w:t>radiographic review</w:t>
      </w:r>
      <w:r w:rsidR="00380020" w:rsidRPr="00380020">
        <w:rPr>
          <w:sz w:val="20"/>
        </w:rPr>
        <w:t xml:space="preserve"> </w:t>
      </w:r>
      <w:r w:rsidR="00380020">
        <w:rPr>
          <w:sz w:val="20"/>
        </w:rPr>
        <w:t xml:space="preserve">by </w:t>
      </w:r>
      <w:r w:rsidR="00380020" w:rsidRPr="0052067C">
        <w:rPr>
          <w:sz w:val="20"/>
        </w:rPr>
        <w:t>IRC</w:t>
      </w:r>
    </w:p>
    <w:p w14:paraId="5DCE999E" w14:textId="00261FF7" w:rsidR="005C1D04" w:rsidRDefault="001768F9" w:rsidP="00BF5D63">
      <w:pPr>
        <w:spacing w:before="20"/>
      </w:pPr>
      <w:r w:rsidRPr="00C86CAB">
        <w:rPr>
          <w:sz w:val="20"/>
        </w:rPr>
        <w:t>CI</w:t>
      </w:r>
      <w:r w:rsidRPr="00C86CAB">
        <w:rPr>
          <w:sz w:val="8"/>
        </w:rPr>
        <w:t> </w:t>
      </w:r>
      <w:r w:rsidRPr="00C86CAB">
        <w:rPr>
          <w:sz w:val="20"/>
        </w:rPr>
        <w:sym w:font="Symbol" w:char="F03D"/>
      </w:r>
      <w:r w:rsidRPr="00C86CAB">
        <w:rPr>
          <w:sz w:val="8"/>
        </w:rPr>
        <w:t> </w:t>
      </w:r>
      <w:r w:rsidRPr="00C86CAB">
        <w:rPr>
          <w:sz w:val="20"/>
        </w:rPr>
        <w:t xml:space="preserve">confidence interval; </w:t>
      </w:r>
      <w:r w:rsidR="00C86DA1">
        <w:rPr>
          <w:sz w:val="20"/>
          <w:szCs w:val="20"/>
        </w:rPr>
        <w:t>ORR=objective response rate;</w:t>
      </w:r>
      <w:r w:rsidR="00C86DA1" w:rsidRPr="00C86DA1">
        <w:rPr>
          <w:sz w:val="20"/>
        </w:rPr>
        <w:t xml:space="preserve"> </w:t>
      </w:r>
      <w:r w:rsidR="00C86DA1">
        <w:rPr>
          <w:sz w:val="20"/>
        </w:rPr>
        <w:t xml:space="preserve">DOR=duration of response; </w:t>
      </w:r>
      <w:r w:rsidRPr="00C86CAB">
        <w:rPr>
          <w:sz w:val="20"/>
          <w:szCs w:val="20"/>
        </w:rPr>
        <w:t>NE</w:t>
      </w:r>
      <w:r w:rsidRPr="00C86CAB">
        <w:rPr>
          <w:sz w:val="20"/>
          <w:szCs w:val="20"/>
        </w:rPr>
        <w:sym w:font="Symbol" w:char="F03D"/>
      </w:r>
      <w:r w:rsidRPr="00C86CAB">
        <w:rPr>
          <w:sz w:val="20"/>
          <w:szCs w:val="20"/>
        </w:rPr>
        <w:t>not estimable</w:t>
      </w:r>
    </w:p>
    <w:p w14:paraId="727A347B" w14:textId="51A4EF7E" w:rsidR="005C1D04" w:rsidRPr="005C1D04" w:rsidRDefault="005C1D04" w:rsidP="000327F1">
      <w:pPr>
        <w:pStyle w:val="Heading2"/>
      </w:pPr>
      <w:r w:rsidRPr="002C4DC5">
        <w:t>Quality of life (</w:t>
      </w:r>
      <w:proofErr w:type="spellStart"/>
      <w:r w:rsidRPr="002C4DC5">
        <w:t>QoL</w:t>
      </w:r>
      <w:proofErr w:type="spellEnd"/>
      <w:r w:rsidRPr="002C4DC5">
        <w:t>)</w:t>
      </w:r>
    </w:p>
    <w:p w14:paraId="6979E6E0" w14:textId="6522325C" w:rsidR="001E6D00" w:rsidRPr="001E6D00" w:rsidRDefault="001E6D00" w:rsidP="001E6D00">
      <w:pPr>
        <w:rPr>
          <w:lang w:val="en-GB"/>
        </w:rPr>
      </w:pPr>
      <w:r w:rsidRPr="001E6D00">
        <w:rPr>
          <w:lang w:val="en-GB"/>
        </w:rPr>
        <w:t xml:space="preserve">In Study 1, 79 patients (91%) completed questionnaires at baseline and during treatment to assess </w:t>
      </w:r>
      <w:r w:rsidR="001768F9">
        <w:rPr>
          <w:lang w:val="en-GB"/>
        </w:rPr>
        <w:t>QoL</w:t>
      </w:r>
      <w:r w:rsidRPr="001E6D00">
        <w:rPr>
          <w:lang w:val="en-GB"/>
        </w:rPr>
        <w:t>. The European Organization for Research and Treatment of Cancer (EORTC) Quality of Life Questionnaire (QLQ-C30) and Lung Cancer subscale (LC13) were used, in which clinically meaningful improvement is defined as a change from baseline of ≥10 points. A median change of 16.7 points was seen in the ‘Global Health Status’ domain (during Weeks 6 to 30). There were no detriments meeting the threshold for clinically meaningful change in any of the subscales assessed.</w:t>
      </w:r>
    </w:p>
    <w:p w14:paraId="459B9CFB" w14:textId="731EC5B6" w:rsidR="00AB04E9" w:rsidRDefault="00D844B2" w:rsidP="00AE74F3">
      <w:pPr>
        <w:pStyle w:val="Heading1"/>
        <w:rPr>
          <w:sz w:val="28"/>
          <w:szCs w:val="28"/>
        </w:rPr>
      </w:pPr>
      <w:r w:rsidRPr="00AB04E9">
        <w:rPr>
          <w:sz w:val="28"/>
          <w:szCs w:val="28"/>
        </w:rPr>
        <w:t>I</w:t>
      </w:r>
      <w:r w:rsidR="00517398">
        <w:rPr>
          <w:sz w:val="28"/>
          <w:szCs w:val="28"/>
        </w:rPr>
        <w:t>NDICATIONS</w:t>
      </w:r>
    </w:p>
    <w:p w14:paraId="06CBBABA" w14:textId="77777777" w:rsidR="00462F88" w:rsidRDefault="00D02E38" w:rsidP="000327F1">
      <w:pPr>
        <w:rPr>
          <w:b/>
          <w:bCs/>
          <w:caps/>
          <w:lang w:val="en-US"/>
        </w:rPr>
      </w:pPr>
      <w:r>
        <w:t>ALECENSA</w:t>
      </w:r>
      <w:r w:rsidR="00123643" w:rsidRPr="00123643">
        <w:rPr>
          <w:lang w:val="en-US"/>
        </w:rPr>
        <w:t xml:space="preserve"> is indicated for the treatment of patients </w:t>
      </w:r>
      <w:r w:rsidR="004C758B">
        <w:rPr>
          <w:lang w:val="en-US"/>
        </w:rPr>
        <w:t xml:space="preserve">with anaplastic lymphoma kinase </w:t>
      </w:r>
      <w:r w:rsidR="00123643" w:rsidRPr="00123643">
        <w:rPr>
          <w:lang w:val="en-US"/>
        </w:rPr>
        <w:t>(ALK)-positive, locally advanced or metastatic non-sma</w:t>
      </w:r>
      <w:r w:rsidR="004C758B">
        <w:rPr>
          <w:lang w:val="en-US"/>
        </w:rPr>
        <w:t xml:space="preserve">ll cell lung </w:t>
      </w:r>
      <w:proofErr w:type="gramStart"/>
      <w:r w:rsidR="004C758B">
        <w:rPr>
          <w:lang w:val="en-US"/>
        </w:rPr>
        <w:t>cancer (NSCLC) who</w:t>
      </w:r>
      <w:r w:rsidR="004874E2">
        <w:rPr>
          <w:lang w:val="en-US"/>
        </w:rPr>
        <w:t xml:space="preserve"> </w:t>
      </w:r>
      <w:r w:rsidR="00123643" w:rsidRPr="00123643">
        <w:rPr>
          <w:lang w:val="en-US"/>
        </w:rPr>
        <w:t>have</w:t>
      </w:r>
      <w:proofErr w:type="gramEnd"/>
      <w:r w:rsidR="00123643" w:rsidRPr="00123643">
        <w:rPr>
          <w:lang w:val="en-US"/>
        </w:rPr>
        <w:t xml:space="preserve"> progressed on or are intolerant to </w:t>
      </w:r>
      <w:proofErr w:type="spellStart"/>
      <w:r w:rsidR="00123643" w:rsidRPr="00123643">
        <w:rPr>
          <w:lang w:val="en-US"/>
        </w:rPr>
        <w:t>crizotinib</w:t>
      </w:r>
      <w:proofErr w:type="spellEnd"/>
      <w:r w:rsidR="00123643" w:rsidRPr="00123643">
        <w:rPr>
          <w:lang w:val="en-US"/>
        </w:rPr>
        <w:t>.</w:t>
      </w:r>
    </w:p>
    <w:p w14:paraId="74270DBF" w14:textId="3FD26DD1" w:rsidR="00613164" w:rsidRPr="00771141" w:rsidRDefault="00613164" w:rsidP="00771141">
      <w:pPr>
        <w:rPr>
          <w:lang w:val="en-US"/>
        </w:rPr>
      </w:pPr>
      <w:r>
        <w:rPr>
          <w:lang w:val="en-US"/>
        </w:rPr>
        <w:lastRenderedPageBreak/>
        <w:t>Note to Indication: This indication is approved based on tumour response rates and duration of response. An improvement in survival or disease-related symptoms has not been established.</w:t>
      </w:r>
    </w:p>
    <w:p w14:paraId="2F07713E" w14:textId="622E6AC5" w:rsidR="00D844B2" w:rsidRPr="00AB04E9" w:rsidRDefault="00D844B2" w:rsidP="00AE74F3">
      <w:pPr>
        <w:pStyle w:val="Heading1"/>
        <w:rPr>
          <w:sz w:val="28"/>
          <w:szCs w:val="28"/>
        </w:rPr>
      </w:pPr>
      <w:r w:rsidRPr="00AB04E9">
        <w:rPr>
          <w:sz w:val="28"/>
          <w:szCs w:val="28"/>
        </w:rPr>
        <w:t>C</w:t>
      </w:r>
      <w:r w:rsidR="00517398">
        <w:rPr>
          <w:sz w:val="28"/>
          <w:szCs w:val="28"/>
        </w:rPr>
        <w:t>ONTRAINDICATIONS</w:t>
      </w:r>
    </w:p>
    <w:p w14:paraId="5527BC34" w14:textId="4A255FA8" w:rsidR="00425B9B" w:rsidRPr="00425B9B" w:rsidRDefault="00D02E38" w:rsidP="000E4C61">
      <w:r>
        <w:rPr>
          <w:bCs/>
        </w:rPr>
        <w:t>ALECENSA</w:t>
      </w:r>
      <w:r w:rsidR="00D43C8A">
        <w:rPr>
          <w:lang w:val="en-US"/>
        </w:rPr>
        <w:t xml:space="preserve"> </w:t>
      </w:r>
      <w:r w:rsidR="00425B9B" w:rsidRPr="00425B9B">
        <w:rPr>
          <w:lang w:val="en-US"/>
        </w:rPr>
        <w:t xml:space="preserve">is contraindicated in patients with a known hypersensitivity to </w:t>
      </w:r>
      <w:proofErr w:type="spellStart"/>
      <w:r w:rsidR="00425B9B" w:rsidRPr="00425B9B">
        <w:rPr>
          <w:lang w:val="en-US"/>
        </w:rPr>
        <w:t>alectinib</w:t>
      </w:r>
      <w:proofErr w:type="spellEnd"/>
      <w:r w:rsidR="00425B9B" w:rsidRPr="00425B9B">
        <w:rPr>
          <w:lang w:val="en-US"/>
        </w:rPr>
        <w:t xml:space="preserve"> or any of the excipients</w:t>
      </w:r>
      <w:r w:rsidR="007A60C0">
        <w:rPr>
          <w:lang w:val="en-US"/>
        </w:rPr>
        <w:t>.</w:t>
      </w:r>
    </w:p>
    <w:p w14:paraId="2F077145" w14:textId="42315DBA" w:rsidR="00D844B2" w:rsidRPr="00AB04E9" w:rsidRDefault="00D844B2" w:rsidP="006B2A25">
      <w:pPr>
        <w:pStyle w:val="Heading1"/>
        <w:keepNext/>
        <w:rPr>
          <w:sz w:val="28"/>
          <w:szCs w:val="28"/>
        </w:rPr>
      </w:pPr>
      <w:r w:rsidRPr="00AB04E9">
        <w:rPr>
          <w:sz w:val="28"/>
          <w:szCs w:val="28"/>
        </w:rPr>
        <w:t>P</w:t>
      </w:r>
      <w:r w:rsidR="00517398">
        <w:rPr>
          <w:sz w:val="28"/>
          <w:szCs w:val="28"/>
        </w:rPr>
        <w:t>RECAUTIONS</w:t>
      </w:r>
    </w:p>
    <w:p w14:paraId="4C2EDC2E" w14:textId="122C4A6B" w:rsidR="00AB04E9" w:rsidRPr="00D43C8A" w:rsidRDefault="00AB04E9" w:rsidP="00D43C8A">
      <w:pPr>
        <w:pStyle w:val="Heading2"/>
      </w:pPr>
      <w:r w:rsidRPr="00D43C8A">
        <w:t>Interstitial lung disease (ILD)/</w:t>
      </w:r>
      <w:r w:rsidR="006B2A25" w:rsidRPr="00D43C8A">
        <w:t>p</w:t>
      </w:r>
      <w:r w:rsidRPr="00D43C8A">
        <w:t>neumonitis</w:t>
      </w:r>
    </w:p>
    <w:p w14:paraId="2F077146" w14:textId="3BC60B42" w:rsidR="00016089" w:rsidRDefault="00AD3EAA" w:rsidP="00AB04E9">
      <w:pPr>
        <w:rPr>
          <w:rFonts w:eastAsia="SimSun"/>
          <w:color w:val="000000"/>
          <w:szCs w:val="24"/>
          <w:lang w:val="en-US" w:eastAsia="zh-CN"/>
        </w:rPr>
      </w:pPr>
      <w:r w:rsidRPr="00AB04E9">
        <w:rPr>
          <w:rFonts w:eastAsia="Times New Roman"/>
          <w:szCs w:val="24"/>
          <w:lang w:val="en-US" w:eastAsia="zh-CN"/>
        </w:rPr>
        <w:t>Cases of</w:t>
      </w:r>
      <w:r w:rsidR="006B2A25">
        <w:rPr>
          <w:rFonts w:eastAsia="Times New Roman"/>
          <w:szCs w:val="24"/>
          <w:lang w:val="en-US" w:eastAsia="zh-CN"/>
        </w:rPr>
        <w:t xml:space="preserve"> severe</w:t>
      </w:r>
      <w:r w:rsidRPr="00AB04E9">
        <w:rPr>
          <w:rFonts w:eastAsia="Times New Roman"/>
          <w:szCs w:val="24"/>
          <w:lang w:val="en-US" w:eastAsia="zh-CN"/>
        </w:rPr>
        <w:t xml:space="preserve"> ILD/pneumonitis have been reported </w:t>
      </w:r>
      <w:r w:rsidR="00A24B3E" w:rsidRPr="00AB04E9">
        <w:rPr>
          <w:rFonts w:eastAsia="Times New Roman"/>
          <w:szCs w:val="24"/>
          <w:lang w:val="en-US" w:eastAsia="zh-CN"/>
        </w:rPr>
        <w:t xml:space="preserve">with </w:t>
      </w:r>
      <w:r w:rsidR="00A24B3E">
        <w:rPr>
          <w:bCs/>
        </w:rPr>
        <w:t xml:space="preserve">ALECENSA </w:t>
      </w:r>
      <w:r w:rsidRPr="00AB04E9">
        <w:rPr>
          <w:rFonts w:eastAsia="Times New Roman"/>
          <w:szCs w:val="24"/>
          <w:lang w:val="en-US" w:eastAsia="zh-CN"/>
        </w:rPr>
        <w:t xml:space="preserve">in clinical trials </w:t>
      </w:r>
      <w:r w:rsidR="00A24B3E">
        <w:rPr>
          <w:rFonts w:eastAsia="Times New Roman"/>
          <w:szCs w:val="24"/>
          <w:lang w:val="en-US" w:eastAsia="zh-CN"/>
        </w:rPr>
        <w:t xml:space="preserve">and post-marketing, </w:t>
      </w:r>
      <w:r>
        <w:rPr>
          <w:bCs/>
        </w:rPr>
        <w:t>including</w:t>
      </w:r>
      <w:r>
        <w:rPr>
          <w:rFonts w:eastAsia="Times New Roman"/>
          <w:szCs w:val="24"/>
          <w:lang w:val="en-US" w:eastAsia="zh-CN"/>
        </w:rPr>
        <w:t xml:space="preserve"> s</w:t>
      </w:r>
      <w:r w:rsidR="00B76987">
        <w:rPr>
          <w:rFonts w:eastAsia="Times New Roman"/>
          <w:szCs w:val="24"/>
          <w:lang w:val="en-US" w:eastAsia="zh-CN"/>
        </w:rPr>
        <w:t xml:space="preserve">evere ILD/pneumonitis (Grade 3) in one patient (0.4%) out of 253 patients exposed in the </w:t>
      </w:r>
      <w:r w:rsidR="00A24B3E">
        <w:rPr>
          <w:rFonts w:eastAsia="Times New Roman"/>
          <w:szCs w:val="24"/>
          <w:lang w:val="en-US" w:eastAsia="zh-CN"/>
        </w:rPr>
        <w:t>P</w:t>
      </w:r>
      <w:r w:rsidR="00B76987">
        <w:rPr>
          <w:rFonts w:eastAsia="Times New Roman"/>
          <w:szCs w:val="24"/>
          <w:lang w:val="en-US" w:eastAsia="zh-CN"/>
        </w:rPr>
        <w:t xml:space="preserve">hase </w:t>
      </w:r>
      <w:r w:rsidR="00A30382">
        <w:rPr>
          <w:rFonts w:eastAsia="Times New Roman"/>
          <w:szCs w:val="24"/>
          <w:lang w:val="en-US" w:eastAsia="zh-CN"/>
        </w:rPr>
        <w:t>I/</w:t>
      </w:r>
      <w:r w:rsidR="00B76987">
        <w:rPr>
          <w:rFonts w:eastAsia="Times New Roman"/>
          <w:szCs w:val="24"/>
          <w:lang w:val="en-US" w:eastAsia="zh-CN"/>
        </w:rPr>
        <w:t>II clinical trials</w:t>
      </w:r>
      <w:r w:rsidR="00A30382">
        <w:rPr>
          <w:rFonts w:eastAsia="Times New Roman"/>
          <w:szCs w:val="24"/>
          <w:lang w:val="en-US" w:eastAsia="zh-CN"/>
        </w:rPr>
        <w:t xml:space="preserve"> (</w:t>
      </w:r>
      <w:r w:rsidR="00A75414">
        <w:rPr>
          <w:rFonts w:eastAsia="Times New Roman"/>
          <w:szCs w:val="24"/>
          <w:lang w:val="en-US" w:eastAsia="zh-CN"/>
        </w:rPr>
        <w:t>Studies 1 and</w:t>
      </w:r>
      <w:r w:rsidR="00A30382">
        <w:rPr>
          <w:rFonts w:eastAsia="Times New Roman"/>
          <w:szCs w:val="24"/>
          <w:lang w:val="en-US" w:eastAsia="zh-CN"/>
        </w:rPr>
        <w:t xml:space="preserve"> 2)</w:t>
      </w:r>
      <w:r w:rsidR="00B76987">
        <w:rPr>
          <w:rFonts w:eastAsia="Times New Roman"/>
          <w:szCs w:val="24"/>
          <w:lang w:val="en-US" w:eastAsia="zh-CN"/>
        </w:rPr>
        <w:t>. Promptly investigate worsening of respiratory symptoms indicative of ILD/pneumonitis (e.g. dyspn</w:t>
      </w:r>
      <w:r w:rsidR="006B2A25">
        <w:rPr>
          <w:rFonts w:eastAsia="Times New Roman"/>
          <w:szCs w:val="24"/>
          <w:lang w:val="en-US" w:eastAsia="zh-CN"/>
        </w:rPr>
        <w:t>o</w:t>
      </w:r>
      <w:r w:rsidR="00B76987">
        <w:rPr>
          <w:rFonts w:eastAsia="Times New Roman"/>
          <w:szCs w:val="24"/>
          <w:lang w:val="en-US" w:eastAsia="zh-CN"/>
        </w:rPr>
        <w:t xml:space="preserve">ea, cough and fever) in any patient taking </w:t>
      </w:r>
      <w:r w:rsidR="00026A7E">
        <w:rPr>
          <w:rFonts w:eastAsia="Times New Roman"/>
          <w:szCs w:val="24"/>
          <w:lang w:val="en-US" w:eastAsia="zh-CN"/>
        </w:rPr>
        <w:t>ALECENSA</w:t>
      </w:r>
      <w:r w:rsidR="00B76987">
        <w:rPr>
          <w:rFonts w:eastAsia="Times New Roman"/>
          <w:szCs w:val="24"/>
          <w:lang w:val="en-US" w:eastAsia="zh-CN"/>
        </w:rPr>
        <w:t xml:space="preserve">. Immediately withhold treatment </w:t>
      </w:r>
      <w:r w:rsidR="00026A7E">
        <w:rPr>
          <w:rFonts w:eastAsia="Times New Roman"/>
          <w:szCs w:val="24"/>
          <w:lang w:val="en-US" w:eastAsia="zh-CN"/>
        </w:rPr>
        <w:t xml:space="preserve">with ALECENSA </w:t>
      </w:r>
      <w:r w:rsidR="00B76987">
        <w:rPr>
          <w:rFonts w:eastAsia="Times New Roman"/>
          <w:szCs w:val="24"/>
          <w:lang w:val="en-US" w:eastAsia="zh-CN"/>
        </w:rPr>
        <w:t xml:space="preserve">in patients diagnosed with ILD/pneumonitis and permanently discontinue it if no other potential causes of ILD/pneumonitis are identified </w:t>
      </w:r>
      <w:r w:rsidR="00AB04E9" w:rsidRPr="00AB04E9">
        <w:rPr>
          <w:rFonts w:eastAsia="SimSun"/>
          <w:color w:val="000000"/>
          <w:szCs w:val="24"/>
          <w:lang w:val="en-US" w:eastAsia="zh-CN"/>
        </w:rPr>
        <w:t>(</w:t>
      </w:r>
      <w:r w:rsidR="00AB04E9" w:rsidRPr="006B2A25">
        <w:rPr>
          <w:rFonts w:eastAsia="SimSun"/>
          <w:color w:val="000000"/>
          <w:szCs w:val="24"/>
          <w:lang w:val="en-US" w:eastAsia="zh-CN"/>
        </w:rPr>
        <w:t>see DOSAGE AND ADMINISTRATION</w:t>
      </w:r>
      <w:r w:rsidR="00AB04E9" w:rsidRPr="00AB04E9">
        <w:rPr>
          <w:rFonts w:eastAsia="SimSun"/>
          <w:color w:val="000000"/>
          <w:szCs w:val="24"/>
          <w:lang w:val="en-US" w:eastAsia="zh-CN"/>
        </w:rPr>
        <w:t>)</w:t>
      </w:r>
      <w:r w:rsidR="00AB04E9">
        <w:rPr>
          <w:rFonts w:eastAsia="SimSun"/>
          <w:color w:val="000000"/>
          <w:szCs w:val="24"/>
          <w:lang w:val="en-US" w:eastAsia="zh-CN"/>
        </w:rPr>
        <w:t>.</w:t>
      </w:r>
    </w:p>
    <w:p w14:paraId="1283A3D2" w14:textId="2659A9E4" w:rsidR="00AB04E9" w:rsidRPr="00AB04E9" w:rsidRDefault="00B76987" w:rsidP="005B3683">
      <w:pPr>
        <w:pStyle w:val="Heading2"/>
        <w:rPr>
          <w:lang w:val="en-US" w:eastAsia="zh-CN"/>
        </w:rPr>
      </w:pPr>
      <w:r>
        <w:rPr>
          <w:lang w:val="en-US" w:eastAsia="zh-CN"/>
        </w:rPr>
        <w:t>Hepatotoxicity</w:t>
      </w:r>
    </w:p>
    <w:p w14:paraId="5F307220" w14:textId="29BECAC2" w:rsidR="00AB04E9" w:rsidRDefault="00B76987" w:rsidP="00AB04E9">
      <w:pPr>
        <w:rPr>
          <w:rFonts w:eastAsia="SimSun"/>
          <w:color w:val="000000"/>
          <w:szCs w:val="24"/>
          <w:lang w:val="en-US" w:eastAsia="zh-CN"/>
        </w:rPr>
      </w:pPr>
      <w:r>
        <w:rPr>
          <w:rFonts w:eastAsia="SimSun"/>
          <w:color w:val="000000"/>
          <w:szCs w:val="24"/>
          <w:lang w:val="en-US" w:eastAsia="zh-CN"/>
        </w:rPr>
        <w:t xml:space="preserve">In the </w:t>
      </w:r>
      <w:r w:rsidR="002F4503">
        <w:rPr>
          <w:rFonts w:eastAsia="SimSun"/>
          <w:color w:val="000000"/>
          <w:szCs w:val="24"/>
          <w:lang w:val="en-US" w:eastAsia="zh-CN"/>
        </w:rPr>
        <w:t>P</w:t>
      </w:r>
      <w:r>
        <w:rPr>
          <w:rFonts w:eastAsia="SimSun"/>
          <w:color w:val="000000"/>
          <w:szCs w:val="24"/>
          <w:lang w:val="en-US" w:eastAsia="zh-CN"/>
        </w:rPr>
        <w:t xml:space="preserve">hase </w:t>
      </w:r>
      <w:r w:rsidR="00A75414">
        <w:rPr>
          <w:rFonts w:eastAsia="SimSun"/>
          <w:color w:val="000000"/>
          <w:szCs w:val="24"/>
          <w:lang w:val="en-US" w:eastAsia="zh-CN"/>
        </w:rPr>
        <w:t>I/</w:t>
      </w:r>
      <w:r>
        <w:rPr>
          <w:rFonts w:eastAsia="SimSun"/>
          <w:color w:val="000000"/>
          <w:szCs w:val="24"/>
          <w:lang w:val="en-US" w:eastAsia="zh-CN"/>
        </w:rPr>
        <w:t>II clinical trials</w:t>
      </w:r>
      <w:r w:rsidR="007A1DA6">
        <w:rPr>
          <w:rFonts w:eastAsia="SimSun"/>
          <w:color w:val="000000"/>
          <w:szCs w:val="24"/>
          <w:lang w:val="en-US" w:eastAsia="zh-CN"/>
        </w:rPr>
        <w:t xml:space="preserve"> </w:t>
      </w:r>
      <w:r w:rsidR="00A75414">
        <w:rPr>
          <w:rFonts w:eastAsia="SimSun"/>
          <w:color w:val="000000"/>
          <w:szCs w:val="24"/>
          <w:lang w:val="en-US" w:eastAsia="zh-CN"/>
        </w:rPr>
        <w:t>(Studies 1 and 2)</w:t>
      </w:r>
      <w:r>
        <w:rPr>
          <w:rFonts w:eastAsia="SimSun"/>
          <w:color w:val="000000"/>
          <w:szCs w:val="24"/>
          <w:lang w:val="en-US" w:eastAsia="zh-CN"/>
        </w:rPr>
        <w:t>, e</w:t>
      </w:r>
      <w:r w:rsidR="00AB04E9" w:rsidRPr="00AB04E9">
        <w:rPr>
          <w:rFonts w:eastAsia="SimSun"/>
          <w:color w:val="000000"/>
          <w:szCs w:val="24"/>
          <w:lang w:val="en-US" w:eastAsia="zh-CN"/>
        </w:rPr>
        <w:t xml:space="preserve">levations </w:t>
      </w:r>
      <w:r>
        <w:rPr>
          <w:rFonts w:eastAsia="SimSun"/>
          <w:color w:val="000000"/>
          <w:szCs w:val="24"/>
          <w:lang w:val="en-US" w:eastAsia="zh-CN"/>
        </w:rPr>
        <w:t>of</w:t>
      </w:r>
      <w:r w:rsidRPr="00AB04E9">
        <w:rPr>
          <w:rFonts w:eastAsia="SimSun"/>
          <w:color w:val="000000"/>
          <w:szCs w:val="24"/>
          <w:lang w:val="en-US" w:eastAsia="zh-CN"/>
        </w:rPr>
        <w:t xml:space="preserve"> </w:t>
      </w:r>
      <w:r w:rsidR="00AB04E9" w:rsidRPr="00AB04E9">
        <w:rPr>
          <w:rFonts w:eastAsia="SimSun"/>
          <w:color w:val="000000"/>
          <w:szCs w:val="24"/>
          <w:lang w:val="en-US" w:eastAsia="zh-CN"/>
        </w:rPr>
        <w:t>alanine aminotransferase (ALT)</w:t>
      </w:r>
      <w:r>
        <w:rPr>
          <w:rFonts w:eastAsia="SimSun"/>
          <w:color w:val="000000"/>
          <w:szCs w:val="24"/>
          <w:lang w:val="en-US" w:eastAsia="zh-CN"/>
        </w:rPr>
        <w:t xml:space="preserve">, </w:t>
      </w:r>
      <w:r w:rsidR="00AB04E9" w:rsidRPr="00AB04E9">
        <w:rPr>
          <w:rFonts w:eastAsia="SimSun"/>
          <w:color w:val="000000"/>
          <w:szCs w:val="24"/>
          <w:lang w:val="en-US" w:eastAsia="zh-CN"/>
        </w:rPr>
        <w:t xml:space="preserve">aspartate aminotransferase (AST) </w:t>
      </w:r>
      <w:r>
        <w:rPr>
          <w:rFonts w:eastAsia="SimSun"/>
          <w:color w:val="000000"/>
          <w:szCs w:val="24"/>
          <w:lang w:val="en-US" w:eastAsia="zh-CN"/>
        </w:rPr>
        <w:t>and</w:t>
      </w:r>
      <w:r w:rsidR="00AB04E9" w:rsidRPr="00AB04E9">
        <w:rPr>
          <w:rFonts w:eastAsia="SimSun"/>
          <w:color w:val="000000"/>
          <w:szCs w:val="24"/>
          <w:lang w:val="en-US" w:eastAsia="zh-CN"/>
        </w:rPr>
        <w:t xml:space="preserve"> bilirubin </w:t>
      </w:r>
      <w:r>
        <w:rPr>
          <w:rFonts w:eastAsia="SimSun"/>
          <w:color w:val="000000"/>
          <w:szCs w:val="24"/>
          <w:lang w:val="en-US" w:eastAsia="zh-CN"/>
        </w:rPr>
        <w:t>(including cases of blood bilirubin increased, hyperbilirubinaemia and bilirubin conjugated increased) were commonly reported as adverse events (incidences of 14%, 16% and 17% respectively). These were generally low grade, transient rises that occurred within the first three months of treatment and resolved with temporary interruption of ALECENSA treatment or dose reduction. Treatment interruption for ALT, AST or bilirubin rise occurred in 3.2%, 1.2% and 5.1% of patients, respectively. Dose reduction for ALT, AST or bilirubin rise occurred in 0.8%, 1.6% and 2.8% of patients, respectively.</w:t>
      </w:r>
    </w:p>
    <w:p w14:paraId="0577516B" w14:textId="77777777" w:rsidR="00462F88" w:rsidRDefault="007A1DA6" w:rsidP="00AB04E9">
      <w:pPr>
        <w:rPr>
          <w:rFonts w:eastAsia="SimSun"/>
          <w:color w:val="000000"/>
          <w:szCs w:val="24"/>
          <w:lang w:val="en-US" w:eastAsia="zh-CN"/>
        </w:rPr>
      </w:pPr>
      <w:r>
        <w:rPr>
          <w:rFonts w:eastAsia="SimSun"/>
          <w:color w:val="000000"/>
          <w:szCs w:val="24"/>
          <w:lang w:val="en-US" w:eastAsia="zh-CN"/>
        </w:rPr>
        <w:t>In the same studies, h</w:t>
      </w:r>
      <w:r w:rsidR="00F0503E">
        <w:rPr>
          <w:rFonts w:eastAsia="SimSun"/>
          <w:color w:val="000000"/>
          <w:szCs w:val="24"/>
          <w:lang w:val="en-US" w:eastAsia="zh-CN"/>
        </w:rPr>
        <w:t>igher grade elevations of ALT and AST (greater than 5-fold the ULN) occurred in 3.2% and 2.</w:t>
      </w:r>
      <w:r w:rsidR="00FD4CDE">
        <w:rPr>
          <w:rFonts w:eastAsia="SimSun"/>
          <w:color w:val="000000"/>
          <w:szCs w:val="24"/>
          <w:lang w:val="en-US" w:eastAsia="zh-CN"/>
        </w:rPr>
        <w:t>8</w:t>
      </w:r>
      <w:r w:rsidR="00F0503E">
        <w:rPr>
          <w:rFonts w:eastAsia="SimSun"/>
          <w:color w:val="000000"/>
          <w:szCs w:val="24"/>
          <w:lang w:val="en-US" w:eastAsia="zh-CN"/>
        </w:rPr>
        <w:t>% of patients, respectively. Two of these patients (0.8%) had documented drug</w:t>
      </w:r>
      <w:r>
        <w:rPr>
          <w:rFonts w:eastAsia="SimSun"/>
          <w:color w:val="000000"/>
          <w:szCs w:val="24"/>
          <w:lang w:val="en-US" w:eastAsia="zh-CN"/>
        </w:rPr>
        <w:t>-</w:t>
      </w:r>
      <w:r w:rsidR="00F0503E">
        <w:rPr>
          <w:rFonts w:eastAsia="SimSun"/>
          <w:color w:val="000000"/>
          <w:szCs w:val="24"/>
          <w:lang w:val="en-US" w:eastAsia="zh-CN"/>
        </w:rPr>
        <w:t xml:space="preserve">induced liver injury (DILI) on liver biopsy. Elevations of bilirubin greater than 3-fold the ULN occurred in 3.2% of patients. In 1.6%, 1.2% and 1.6% of patients, ALT, AST and bilirubin elevations, respectively, led to withdrawal from </w:t>
      </w:r>
      <w:r>
        <w:rPr>
          <w:rFonts w:eastAsia="SimSun"/>
          <w:color w:val="000000"/>
          <w:szCs w:val="24"/>
          <w:lang w:val="en-US" w:eastAsia="zh-CN"/>
        </w:rPr>
        <w:t>treatment</w:t>
      </w:r>
      <w:r w:rsidDel="007A1DA6">
        <w:rPr>
          <w:rFonts w:eastAsia="SimSun"/>
          <w:color w:val="000000"/>
          <w:szCs w:val="24"/>
          <w:lang w:val="en-US" w:eastAsia="zh-CN"/>
        </w:rPr>
        <w:t xml:space="preserve"> </w:t>
      </w:r>
      <w:r>
        <w:rPr>
          <w:rFonts w:eastAsia="SimSun"/>
          <w:color w:val="000000"/>
          <w:szCs w:val="24"/>
          <w:lang w:val="en-US" w:eastAsia="zh-CN"/>
        </w:rPr>
        <w:t>with ALECENSA</w:t>
      </w:r>
      <w:r w:rsidR="009F7637">
        <w:rPr>
          <w:rFonts w:eastAsia="SimSun"/>
          <w:color w:val="000000"/>
          <w:szCs w:val="24"/>
          <w:lang w:val="en-US" w:eastAsia="zh-CN"/>
        </w:rPr>
        <w:t xml:space="preserve">. Concurrent elevations in ALT or AST greater than or equal to three times the ULN and total bilirubin greater than or equal to two times the ULN, with normal alkaline phosphatase, occurred in 1 patient (0.2%) treated in </w:t>
      </w:r>
      <w:proofErr w:type="spellStart"/>
      <w:r w:rsidR="009F7637">
        <w:rPr>
          <w:rFonts w:eastAsia="SimSun"/>
          <w:color w:val="000000"/>
          <w:szCs w:val="24"/>
          <w:lang w:val="en-US" w:eastAsia="zh-CN"/>
        </w:rPr>
        <w:t>alectinib</w:t>
      </w:r>
      <w:proofErr w:type="spellEnd"/>
      <w:r w:rsidR="009F7637">
        <w:rPr>
          <w:rFonts w:eastAsia="SimSun"/>
          <w:color w:val="000000"/>
          <w:szCs w:val="24"/>
          <w:lang w:val="en-US" w:eastAsia="zh-CN"/>
        </w:rPr>
        <w:t xml:space="preserve"> clinical trials.</w:t>
      </w:r>
    </w:p>
    <w:p w14:paraId="0B2A1346" w14:textId="77777777" w:rsidR="00462F88" w:rsidRDefault="009F7637" w:rsidP="00AB04E9">
      <w:pPr>
        <w:rPr>
          <w:rFonts w:eastAsia="SimSun"/>
          <w:color w:val="000000"/>
          <w:szCs w:val="24"/>
          <w:lang w:val="en-US" w:eastAsia="zh-CN"/>
        </w:rPr>
      </w:pPr>
      <w:r>
        <w:rPr>
          <w:rFonts w:eastAsia="SimSun"/>
          <w:color w:val="000000"/>
          <w:szCs w:val="24"/>
          <w:lang w:val="en-US" w:eastAsia="zh-CN"/>
        </w:rPr>
        <w:t>Test for liver function (including ALT, AST, and total bilirubin) at baseline and then every 2 weeks during the first 3 months of treatment. Test periodical</w:t>
      </w:r>
      <w:r w:rsidR="00594EB5">
        <w:rPr>
          <w:rFonts w:eastAsia="SimSun"/>
          <w:color w:val="000000"/>
          <w:szCs w:val="24"/>
          <w:lang w:val="en-US" w:eastAsia="zh-CN"/>
        </w:rPr>
        <w:t>l</w:t>
      </w:r>
      <w:r>
        <w:rPr>
          <w:rFonts w:eastAsia="SimSun"/>
          <w:color w:val="000000"/>
          <w:szCs w:val="24"/>
          <w:lang w:val="en-US" w:eastAsia="zh-CN"/>
        </w:rPr>
        <w:t>y during treatment thereafter, with more frequent testing in patients who develop transaminase and bilirubin elevations. Based on the severity of the reaction, withhold ALECENSA and resume at a reduced dose, or permanently</w:t>
      </w:r>
      <w:r w:rsidR="00FD4CDE">
        <w:rPr>
          <w:rFonts w:eastAsia="SimSun"/>
          <w:color w:val="000000"/>
          <w:szCs w:val="24"/>
          <w:lang w:val="en-US" w:eastAsia="zh-CN"/>
        </w:rPr>
        <w:t xml:space="preserve"> discontinue ALECENSA as descri</w:t>
      </w:r>
      <w:r>
        <w:rPr>
          <w:rFonts w:eastAsia="SimSun"/>
          <w:color w:val="000000"/>
          <w:szCs w:val="24"/>
          <w:lang w:val="en-US" w:eastAsia="zh-CN"/>
        </w:rPr>
        <w:t>bed under DOSAGE AND ADMINISTRATION.</w:t>
      </w:r>
    </w:p>
    <w:p w14:paraId="74339D48" w14:textId="4D7B3842" w:rsidR="00AB04E9" w:rsidRPr="00D43C8A" w:rsidRDefault="00AB04E9" w:rsidP="00D43C8A">
      <w:pPr>
        <w:pStyle w:val="Heading2"/>
      </w:pPr>
      <w:r w:rsidRPr="00D43C8A">
        <w:lastRenderedPageBreak/>
        <w:t>Bradycardia</w:t>
      </w:r>
    </w:p>
    <w:p w14:paraId="628FEAB0" w14:textId="77777777" w:rsidR="00462F88" w:rsidRDefault="004E4AA2" w:rsidP="00AB04E9">
      <w:pPr>
        <w:rPr>
          <w:lang w:val="en-US"/>
        </w:rPr>
      </w:pPr>
      <w:r>
        <w:rPr>
          <w:lang w:val="en-US"/>
        </w:rPr>
        <w:t xml:space="preserve">There were 14 cases of sinus bradycardia (5.5%) and 7 cases of bradycardia (2.8%) reported in the </w:t>
      </w:r>
      <w:r w:rsidR="00297FB7">
        <w:rPr>
          <w:lang w:val="en-US"/>
        </w:rPr>
        <w:t>P</w:t>
      </w:r>
      <w:r>
        <w:rPr>
          <w:lang w:val="en-US"/>
        </w:rPr>
        <w:t xml:space="preserve">hase </w:t>
      </w:r>
      <w:r w:rsidR="00A1419D">
        <w:rPr>
          <w:lang w:val="en-US"/>
        </w:rPr>
        <w:t>I/</w:t>
      </w:r>
      <w:r>
        <w:rPr>
          <w:lang w:val="en-US"/>
        </w:rPr>
        <w:t>II clinical trials, some of which were s</w:t>
      </w:r>
      <w:r w:rsidR="00AB04E9" w:rsidRPr="00AB04E9">
        <w:rPr>
          <w:lang w:val="en-US"/>
        </w:rPr>
        <w:t>ymptomatic</w:t>
      </w:r>
      <w:r>
        <w:rPr>
          <w:lang w:val="en-US"/>
        </w:rPr>
        <w:t xml:space="preserve">. None were severe or serious. </w:t>
      </w:r>
      <w:r w:rsidR="00A1419D">
        <w:rPr>
          <w:lang w:val="en-US"/>
        </w:rPr>
        <w:t>O</w:t>
      </w:r>
      <w:r>
        <w:rPr>
          <w:lang w:val="en-US"/>
        </w:rPr>
        <w:t xml:space="preserve">f 221 patients treated with ALECENSA who had serial ECGs available </w:t>
      </w:r>
      <w:r w:rsidR="00A1419D">
        <w:rPr>
          <w:lang w:val="en-US"/>
        </w:rPr>
        <w:t xml:space="preserve">20% </w:t>
      </w:r>
      <w:r>
        <w:rPr>
          <w:lang w:val="en-US"/>
        </w:rPr>
        <w:t>had post-dose heart rates slower than 50 beats per minute (bpm).</w:t>
      </w:r>
    </w:p>
    <w:p w14:paraId="36BE24A8" w14:textId="683208FE" w:rsidR="00AB04E9" w:rsidRPr="0034616E" w:rsidRDefault="00AB04E9" w:rsidP="00AB04E9">
      <w:pPr>
        <w:rPr>
          <w:lang w:val="en-US"/>
        </w:rPr>
      </w:pPr>
      <w:r w:rsidRPr="00AB04E9">
        <w:rPr>
          <w:lang w:val="en-US"/>
        </w:rPr>
        <w:t xml:space="preserve">Heart rate and blood pressure should be monitored </w:t>
      </w:r>
      <w:r w:rsidR="004E4AA2">
        <w:rPr>
          <w:lang w:val="en-US"/>
        </w:rPr>
        <w:t>regularly</w:t>
      </w:r>
      <w:r w:rsidRPr="00AB04E9">
        <w:rPr>
          <w:lang w:val="en-US"/>
        </w:rPr>
        <w:t xml:space="preserve">. </w:t>
      </w:r>
      <w:r w:rsidR="004E4AA2">
        <w:rPr>
          <w:lang w:val="en-US"/>
        </w:rPr>
        <w:t>No d</w:t>
      </w:r>
      <w:r w:rsidRPr="00AB04E9">
        <w:rPr>
          <w:lang w:val="en-US"/>
        </w:rPr>
        <w:t xml:space="preserve">ose modification is required </w:t>
      </w:r>
      <w:r w:rsidR="004E4AA2">
        <w:rPr>
          <w:lang w:val="en-US"/>
        </w:rPr>
        <w:t>for</w:t>
      </w:r>
      <w:r w:rsidRPr="00AB04E9">
        <w:rPr>
          <w:lang w:val="en-US"/>
        </w:rPr>
        <w:t xml:space="preserve"> asymptomatic bradycardia. If symptomatic or life-threatening </w:t>
      </w:r>
      <w:r w:rsidR="004E4AA2">
        <w:rPr>
          <w:lang w:val="en-US"/>
        </w:rPr>
        <w:t>bradycardia occurs</w:t>
      </w:r>
      <w:r w:rsidRPr="00AB04E9">
        <w:rPr>
          <w:lang w:val="en-US"/>
        </w:rPr>
        <w:t xml:space="preserve">, </w:t>
      </w:r>
      <w:r w:rsidR="004E4AA2">
        <w:rPr>
          <w:lang w:val="en-US"/>
        </w:rPr>
        <w:t xml:space="preserve">adjust ALECENSA treatment as described under </w:t>
      </w:r>
      <w:r w:rsidRPr="0034616E">
        <w:rPr>
          <w:rFonts w:eastAsia="SimSun"/>
          <w:color w:val="000000"/>
          <w:szCs w:val="24"/>
          <w:lang w:val="en-US" w:eastAsia="zh-CN"/>
        </w:rPr>
        <w:t>DOSAGE AND ADMINISTRATION</w:t>
      </w:r>
      <w:r w:rsidR="00C93509" w:rsidRPr="0034616E">
        <w:rPr>
          <w:lang w:val="en-US"/>
        </w:rPr>
        <w:t>.</w:t>
      </w:r>
    </w:p>
    <w:p w14:paraId="294BBE78" w14:textId="77777777" w:rsidR="00C57469" w:rsidRDefault="00C57469" w:rsidP="005B3683">
      <w:pPr>
        <w:pStyle w:val="Heading2"/>
        <w:rPr>
          <w:lang w:val="en-US"/>
        </w:rPr>
      </w:pPr>
      <w:r>
        <w:rPr>
          <w:lang w:val="en-US"/>
        </w:rPr>
        <w:t>Severe myalgia and creatinine phosphokinase (CPK) elevation</w:t>
      </w:r>
    </w:p>
    <w:p w14:paraId="05BA9AC9" w14:textId="77777777" w:rsidR="00462F88" w:rsidRDefault="00C57469" w:rsidP="00C93509">
      <w:pPr>
        <w:rPr>
          <w:lang w:val="en-US"/>
        </w:rPr>
      </w:pPr>
      <w:r>
        <w:rPr>
          <w:lang w:val="en-US"/>
        </w:rPr>
        <w:t>Adverse events of myalgia/musculoskeletal pain were reported very commonly (30.8%) in patients tre</w:t>
      </w:r>
      <w:r w:rsidR="00FD4CDE">
        <w:rPr>
          <w:lang w:val="en-US"/>
        </w:rPr>
        <w:t xml:space="preserve">ated with ALECENSA in the </w:t>
      </w:r>
      <w:r w:rsidR="000053D4">
        <w:rPr>
          <w:lang w:val="en-US"/>
        </w:rPr>
        <w:t>P</w:t>
      </w:r>
      <w:r>
        <w:rPr>
          <w:lang w:val="en-US"/>
        </w:rPr>
        <w:t xml:space="preserve">hase </w:t>
      </w:r>
      <w:r w:rsidR="00E7033B">
        <w:rPr>
          <w:lang w:val="en-US"/>
        </w:rPr>
        <w:t>I/</w:t>
      </w:r>
      <w:r>
        <w:rPr>
          <w:lang w:val="en-US"/>
        </w:rPr>
        <w:t xml:space="preserve">II clinical trials. The majority of events were Grades 1 or 2 and three patients (1.2%) had a Grade 3 event. The </w:t>
      </w:r>
      <w:r w:rsidR="00020F54">
        <w:rPr>
          <w:lang w:val="en-US"/>
        </w:rPr>
        <w:t>ALECENSA</w:t>
      </w:r>
      <w:r>
        <w:rPr>
          <w:lang w:val="en-US"/>
        </w:rPr>
        <w:t xml:space="preserve"> dose was modified for two patients (0.8%), due to these events. Elevations of CPK occurred in 46% of 219 patients who had their CPK measured, and ten of these patients (5.0%) had Grade 3 elevations. Dose modifications for elevation of CPK occurred in 5.0% of patients.</w:t>
      </w:r>
    </w:p>
    <w:p w14:paraId="65A31618" w14:textId="462B49CA" w:rsidR="00C91279" w:rsidRPr="00C01203" w:rsidRDefault="00C57469" w:rsidP="00C93509">
      <w:pPr>
        <w:rPr>
          <w:lang w:val="en-US"/>
        </w:rPr>
      </w:pPr>
      <w:r>
        <w:rPr>
          <w:lang w:val="en-US"/>
        </w:rPr>
        <w:t>Advise patients to report any unexplained muscle pain, tenderness, or weakness. Assess CPK levels every fortnight for the first month of treatment and as clinically indicated in patients reporting symptoms. Based on the severity of the CPK elevation, withhold ALECENSA, then resume or reduce dose (see DOSAGE AND ADMINISTRATION).</w:t>
      </w:r>
    </w:p>
    <w:p w14:paraId="7BAAA3E2" w14:textId="59D6DBBB" w:rsidR="00C93509" w:rsidRPr="00C93509" w:rsidRDefault="00C93509" w:rsidP="005B3683">
      <w:pPr>
        <w:pStyle w:val="Heading2"/>
        <w:rPr>
          <w:lang w:val="en-US"/>
        </w:rPr>
      </w:pPr>
      <w:r w:rsidRPr="00C93509">
        <w:rPr>
          <w:lang w:val="en-US"/>
        </w:rPr>
        <w:t>Photosensitivity</w:t>
      </w:r>
    </w:p>
    <w:p w14:paraId="7D7C7467" w14:textId="77777777" w:rsidR="00462F88" w:rsidRDefault="00C93509" w:rsidP="00610BB0">
      <w:pPr>
        <w:rPr>
          <w:lang w:val="en-US"/>
        </w:rPr>
      </w:pPr>
      <w:r w:rsidRPr="00C93509">
        <w:rPr>
          <w:lang w:val="en-US"/>
        </w:rPr>
        <w:t xml:space="preserve">Photosensitivity </w:t>
      </w:r>
      <w:r w:rsidR="00C91279">
        <w:rPr>
          <w:lang w:val="en-US"/>
        </w:rPr>
        <w:t>and</w:t>
      </w:r>
      <w:r w:rsidR="00E7033B">
        <w:rPr>
          <w:lang w:val="en-US"/>
        </w:rPr>
        <w:t>/or</w:t>
      </w:r>
      <w:r w:rsidR="00C91279">
        <w:rPr>
          <w:lang w:val="en-US"/>
        </w:rPr>
        <w:t xml:space="preserve"> sunburn occurred in 30 (11.9%) patients exposed to ALECENSA in </w:t>
      </w:r>
      <w:r w:rsidR="00ED7DE2">
        <w:rPr>
          <w:lang w:val="en-US"/>
        </w:rPr>
        <w:t xml:space="preserve">the </w:t>
      </w:r>
      <w:r w:rsidR="00610BB0">
        <w:rPr>
          <w:lang w:val="en-US"/>
        </w:rPr>
        <w:t>P</w:t>
      </w:r>
      <w:r w:rsidR="00C91279">
        <w:rPr>
          <w:lang w:val="en-US"/>
        </w:rPr>
        <w:t xml:space="preserve">hase </w:t>
      </w:r>
      <w:r w:rsidR="0071492F">
        <w:rPr>
          <w:lang w:val="en-US"/>
        </w:rPr>
        <w:t>I/</w:t>
      </w:r>
      <w:r w:rsidR="00C91279">
        <w:rPr>
          <w:lang w:val="en-US"/>
        </w:rPr>
        <w:t>II clinical trials. Study participants were advised to avoid sun exposure and to use broad-spectrum sunscreen. All events were Grade 1 severity except for one Grade 2 event.</w:t>
      </w:r>
    </w:p>
    <w:p w14:paraId="1E3D4FBE" w14:textId="77777777" w:rsidR="00462F88" w:rsidRDefault="00C91279" w:rsidP="00C93509">
      <w:pPr>
        <w:rPr>
          <w:lang w:val="en-US"/>
        </w:rPr>
      </w:pPr>
      <w:r>
        <w:rPr>
          <w:lang w:val="en-US"/>
        </w:rPr>
        <w:t>Advise patients that they should avoid prolonged sun exposure and use a broad-spectrum Ultraviolet A (UVA)/Ultraviolet B (UVB) sunscreen and lip balm (both SPF ≥50)</w:t>
      </w:r>
      <w:r w:rsidR="00610BB0" w:rsidRPr="00610BB0">
        <w:rPr>
          <w:lang w:val="en-US"/>
        </w:rPr>
        <w:t xml:space="preserve"> </w:t>
      </w:r>
      <w:r w:rsidR="00610BB0">
        <w:rPr>
          <w:lang w:val="en-US"/>
        </w:rPr>
        <w:t>whilst taking ALECENSA and for at least 7 days after discontinuation</w:t>
      </w:r>
      <w:r>
        <w:rPr>
          <w:lang w:val="en-US"/>
        </w:rPr>
        <w:t>.</w:t>
      </w:r>
    </w:p>
    <w:p w14:paraId="2F07714D" w14:textId="2A8A7F2B" w:rsidR="00D844B2" w:rsidRDefault="00D844B2" w:rsidP="00312E44">
      <w:pPr>
        <w:pStyle w:val="Heading2"/>
      </w:pPr>
      <w:r>
        <w:t>Effects on fertility</w:t>
      </w:r>
    </w:p>
    <w:p w14:paraId="09E1CE5B" w14:textId="77777777" w:rsidR="00462F88" w:rsidRDefault="0084167B" w:rsidP="00385F31">
      <w:pPr>
        <w:rPr>
          <w:lang w:val="en-US"/>
        </w:rPr>
      </w:pPr>
      <w:r w:rsidRPr="0084167B">
        <w:rPr>
          <w:lang w:val="en-US"/>
        </w:rPr>
        <w:t>No fertility</w:t>
      </w:r>
      <w:r w:rsidR="00FB07C3">
        <w:rPr>
          <w:lang w:val="en-US"/>
        </w:rPr>
        <w:t>-specific</w:t>
      </w:r>
      <w:r w:rsidRPr="0084167B">
        <w:rPr>
          <w:lang w:val="en-US"/>
        </w:rPr>
        <w:t xml:space="preserve"> studies </w:t>
      </w:r>
      <w:r w:rsidR="00FB07C3">
        <w:rPr>
          <w:lang w:val="en-US"/>
        </w:rPr>
        <w:t xml:space="preserve">of </w:t>
      </w:r>
      <w:r w:rsidR="00F17BFE">
        <w:rPr>
          <w:lang w:val="en-US"/>
        </w:rPr>
        <w:t>alectinib</w:t>
      </w:r>
      <w:r w:rsidR="00FB07C3">
        <w:rPr>
          <w:lang w:val="en-US"/>
        </w:rPr>
        <w:t xml:space="preserve"> </w:t>
      </w:r>
      <w:r w:rsidRPr="0084167B">
        <w:rPr>
          <w:lang w:val="en-US"/>
        </w:rPr>
        <w:t>in animals have been performed.</w:t>
      </w:r>
    </w:p>
    <w:p w14:paraId="2F07714F" w14:textId="3128EB90" w:rsidR="00D844B2" w:rsidRDefault="00385F31" w:rsidP="00312E44">
      <w:pPr>
        <w:pStyle w:val="Heading2"/>
      </w:pPr>
      <w:r>
        <w:t>Use in p</w:t>
      </w:r>
      <w:r w:rsidR="00D844B2">
        <w:t>regnancy</w:t>
      </w:r>
      <w:r w:rsidR="0084792F">
        <w:t xml:space="preserve"> – Category </w:t>
      </w:r>
      <w:r w:rsidR="00AF43A2">
        <w:t>D</w:t>
      </w:r>
    </w:p>
    <w:p w14:paraId="041409C0" w14:textId="77777777" w:rsidR="00462F88" w:rsidRDefault="00CA41ED" w:rsidP="00D43C8A">
      <w:pPr>
        <w:rPr>
          <w:lang w:val="en-NZ"/>
        </w:rPr>
      </w:pPr>
      <w:r w:rsidRPr="00CA41ED">
        <w:rPr>
          <w:lang w:val="en-NZ"/>
        </w:rPr>
        <w:t xml:space="preserve">In animal studies, a maternal dose of alectinib </w:t>
      </w:r>
      <w:r w:rsidR="000D7B27" w:rsidRPr="000D7B27">
        <w:rPr>
          <w:lang w:val="en-NZ"/>
        </w:rPr>
        <w:t>(27 mg/kg/day)</w:t>
      </w:r>
      <w:r w:rsidR="000D7B27">
        <w:rPr>
          <w:lang w:val="en-NZ"/>
        </w:rPr>
        <w:t xml:space="preserve"> </w:t>
      </w:r>
      <w:r w:rsidRPr="00CA41ED">
        <w:rPr>
          <w:lang w:val="en-NZ"/>
        </w:rPr>
        <w:t>equivalent to 2.7-times the recommended human dose of 600 mg twice-daily (based on AUC) caused embryo-fetal loss (miscarriage)</w:t>
      </w:r>
      <w:r w:rsidR="000D7B27">
        <w:rPr>
          <w:lang w:val="en-NZ"/>
        </w:rPr>
        <w:t xml:space="preserve">, </w:t>
      </w:r>
      <w:r w:rsidR="000D7B27" w:rsidRPr="000D7B27">
        <w:rPr>
          <w:lang w:val="en-NZ"/>
        </w:rPr>
        <w:t>visceral malformation (retro-oesophageal subclavian) and skeletal variations (an increase in full supernumerary ribs and a corresponding decrease in short supernumerary ribs)</w:t>
      </w:r>
      <w:r w:rsidRPr="00CA41ED">
        <w:rPr>
          <w:lang w:val="en-NZ"/>
        </w:rPr>
        <w:t xml:space="preserve"> in pregnant rabbits. The same dose given to pregnant rats </w:t>
      </w:r>
      <w:r w:rsidR="000D7B27" w:rsidRPr="000D7B27">
        <w:rPr>
          <w:lang w:val="en-NZ"/>
        </w:rPr>
        <w:t>(4 times the clinical AUC)</w:t>
      </w:r>
      <w:r w:rsidR="000D7B27">
        <w:rPr>
          <w:lang w:val="en-NZ"/>
        </w:rPr>
        <w:t xml:space="preserve"> </w:t>
      </w:r>
      <w:r w:rsidR="000D7B27" w:rsidRPr="000D7B27">
        <w:rPr>
          <w:lang w:val="en-NZ"/>
        </w:rPr>
        <w:t>resulted in total litter loss. Alectinib at 9 mg/kg/day (2.5 times the clinical AUC) caused</w:t>
      </w:r>
      <w:r w:rsidRPr="00CA41ED">
        <w:rPr>
          <w:lang w:val="en-NZ"/>
        </w:rPr>
        <w:t xml:space="preserve"> small fetuses </w:t>
      </w:r>
      <w:r w:rsidR="001229E6">
        <w:rPr>
          <w:lang w:val="en-NZ"/>
        </w:rPr>
        <w:t>and fetal</w:t>
      </w:r>
      <w:r w:rsidRPr="00CA41ED">
        <w:rPr>
          <w:lang w:val="en-NZ"/>
        </w:rPr>
        <w:t xml:space="preserve"> abnormalities</w:t>
      </w:r>
      <w:r w:rsidR="001229E6">
        <w:rPr>
          <w:lang w:val="en-NZ"/>
        </w:rPr>
        <w:t xml:space="preserve"> </w:t>
      </w:r>
      <w:r w:rsidR="001229E6" w:rsidRPr="001229E6">
        <w:rPr>
          <w:lang w:val="en-NZ"/>
        </w:rPr>
        <w:t xml:space="preserve">(dilated ureter, </w:t>
      </w:r>
      <w:proofErr w:type="spellStart"/>
      <w:r w:rsidR="001229E6" w:rsidRPr="001229E6">
        <w:rPr>
          <w:lang w:val="en-NZ"/>
        </w:rPr>
        <w:t>thymic</w:t>
      </w:r>
      <w:proofErr w:type="spellEnd"/>
      <w:r w:rsidR="001229E6" w:rsidRPr="001229E6">
        <w:rPr>
          <w:lang w:val="en-NZ"/>
        </w:rPr>
        <w:t xml:space="preserve"> cord, small ventricle and thin ventricle wall of the heart, and decreased number of sacral and caudal vertebrae)</w:t>
      </w:r>
      <w:r w:rsidR="00570E11">
        <w:rPr>
          <w:lang w:val="en-NZ"/>
        </w:rPr>
        <w:t>.</w:t>
      </w:r>
    </w:p>
    <w:p w14:paraId="55A4F271" w14:textId="77777777" w:rsidR="00462F88" w:rsidRDefault="00363173" w:rsidP="00D43C8A">
      <w:r w:rsidRPr="00363173">
        <w:t xml:space="preserve">Based on animal studies and its mechanism of action, ALECENSA </w:t>
      </w:r>
      <w:r w:rsidR="00EA0485">
        <w:t>may</w:t>
      </w:r>
      <w:r w:rsidRPr="00363173">
        <w:t xml:space="preserve"> cause fetal harm </w:t>
      </w:r>
      <w:r w:rsidR="00F645B8">
        <w:t>if taken during pregnancy</w:t>
      </w:r>
      <w:r w:rsidRPr="00363173">
        <w:t xml:space="preserve">. </w:t>
      </w:r>
      <w:r>
        <w:t>No clinical studies of ALECENSA in pregnant women have been performed.</w:t>
      </w:r>
    </w:p>
    <w:p w14:paraId="42E55641" w14:textId="0FC6B89C" w:rsidR="000D71FC" w:rsidRDefault="000D71FC" w:rsidP="000D71FC">
      <w:pPr>
        <w:rPr>
          <w:lang w:val="en-GB"/>
        </w:rPr>
      </w:pPr>
      <w:r>
        <w:rPr>
          <w:lang w:val="en-GB"/>
        </w:rPr>
        <w:t>Advise a pregnant woman of the potential harm to the fetus.</w:t>
      </w:r>
    </w:p>
    <w:p w14:paraId="741EC386" w14:textId="77777777" w:rsidR="00462F88" w:rsidRDefault="00363173" w:rsidP="00D43C8A">
      <w:r>
        <w:lastRenderedPageBreak/>
        <w:t xml:space="preserve">Advise females </w:t>
      </w:r>
      <w:r w:rsidR="004C758B">
        <w:t xml:space="preserve">of </w:t>
      </w:r>
      <w:r>
        <w:t>reproductive</w:t>
      </w:r>
      <w:r w:rsidR="00B1117C" w:rsidRPr="00B1117C">
        <w:t xml:space="preserve"> potential </w:t>
      </w:r>
      <w:r>
        <w:t>to avoid pregnancy by using</w:t>
      </w:r>
      <w:r w:rsidR="00B1117C" w:rsidRPr="00B1117C">
        <w:t xml:space="preserve"> highly effective </w:t>
      </w:r>
      <w:r w:rsidRPr="00B1117C">
        <w:t>contracepti</w:t>
      </w:r>
      <w:r>
        <w:t>on</w:t>
      </w:r>
      <w:r w:rsidRPr="00B1117C">
        <w:t xml:space="preserve"> </w:t>
      </w:r>
      <w:r w:rsidR="00B1117C" w:rsidRPr="00B1117C">
        <w:t xml:space="preserve">during treatment </w:t>
      </w:r>
      <w:r w:rsidR="00EB7D35">
        <w:t xml:space="preserve">with ALECENSA </w:t>
      </w:r>
      <w:r w:rsidR="00B1117C" w:rsidRPr="00B1117C">
        <w:t xml:space="preserve">and for at least </w:t>
      </w:r>
      <w:r w:rsidR="000D71FC">
        <w:t>1 week</w:t>
      </w:r>
      <w:r w:rsidR="00B1117C" w:rsidRPr="00B1117C">
        <w:t xml:space="preserve"> </w:t>
      </w:r>
      <w:r w:rsidR="00EB7D35">
        <w:t>after the final</w:t>
      </w:r>
      <w:r w:rsidR="00B1117C" w:rsidRPr="00B1117C">
        <w:t xml:space="preserve"> dose</w:t>
      </w:r>
      <w:r w:rsidR="00B1117C">
        <w:t>.</w:t>
      </w:r>
    </w:p>
    <w:p w14:paraId="3B830EB8" w14:textId="77777777" w:rsidR="00462F88" w:rsidRDefault="00546CFD" w:rsidP="00546CFD">
      <w:pPr>
        <w:rPr>
          <w:lang w:val="en-GB"/>
        </w:rPr>
      </w:pPr>
      <w:r>
        <w:rPr>
          <w:lang w:val="en-GB"/>
        </w:rPr>
        <w:t xml:space="preserve">Based on genotoxicity findings (see PRECAUTIONS – Genotoxicity), advise </w:t>
      </w:r>
      <w:r w:rsidRPr="006E0305">
        <w:rPr>
          <w:lang w:val="en-GB"/>
        </w:rPr>
        <w:t>male</w:t>
      </w:r>
      <w:r>
        <w:rPr>
          <w:lang w:val="en-GB"/>
        </w:rPr>
        <w:t>s with female partners of reproductive potential to use highly effective contraception during treatment with ALECENSA and for 3 months following the final dose.</w:t>
      </w:r>
    </w:p>
    <w:p w14:paraId="72D73971" w14:textId="5B3FD960" w:rsidR="00570E11" w:rsidRPr="00570E11" w:rsidRDefault="00E421F0" w:rsidP="004C758B">
      <w:pPr>
        <w:rPr>
          <w:lang w:val="en-GB"/>
        </w:rPr>
      </w:pPr>
      <w:r>
        <w:rPr>
          <w:lang w:val="en-GB"/>
        </w:rPr>
        <w:t>Advise patients that they must inform their healthcare provider of a known or suspected pregnancy.</w:t>
      </w:r>
    </w:p>
    <w:p w14:paraId="4F49BC32" w14:textId="05FFDB36" w:rsidR="00CA41ED" w:rsidRPr="00CA41ED" w:rsidRDefault="00CA41ED" w:rsidP="00D43C8A">
      <w:pPr>
        <w:rPr>
          <w:b/>
          <w:i/>
        </w:rPr>
      </w:pPr>
      <w:r w:rsidRPr="00CA41ED">
        <w:rPr>
          <w:lang w:val="en-NZ" w:eastAsia="en-AU"/>
        </w:rPr>
        <w:t xml:space="preserve">The use of </w:t>
      </w:r>
      <w:r w:rsidR="00D02E38">
        <w:rPr>
          <w:lang w:eastAsia="en-AU"/>
        </w:rPr>
        <w:t>ALECENSA</w:t>
      </w:r>
      <w:r w:rsidRPr="00CA41ED">
        <w:rPr>
          <w:lang w:val="en-NZ" w:eastAsia="en-AU"/>
        </w:rPr>
        <w:t xml:space="preserve"> during </w:t>
      </w:r>
      <w:proofErr w:type="spellStart"/>
      <w:r w:rsidRPr="00CA41ED">
        <w:rPr>
          <w:lang w:val="en-NZ" w:eastAsia="en-AU"/>
        </w:rPr>
        <w:t>labor</w:t>
      </w:r>
      <w:proofErr w:type="spellEnd"/>
      <w:r w:rsidRPr="00CA41ED">
        <w:rPr>
          <w:lang w:val="en-NZ" w:eastAsia="en-AU"/>
        </w:rPr>
        <w:t xml:space="preserve"> and delivery has not been established.</w:t>
      </w:r>
    </w:p>
    <w:p w14:paraId="2F077152" w14:textId="55163059" w:rsidR="00D844B2" w:rsidRDefault="00D844B2" w:rsidP="00312E44">
      <w:pPr>
        <w:pStyle w:val="Heading2"/>
      </w:pPr>
      <w:r>
        <w:t>Use in lactation</w:t>
      </w:r>
    </w:p>
    <w:p w14:paraId="635A04EE" w14:textId="77777777" w:rsidR="00462F88" w:rsidRDefault="008A5042" w:rsidP="00D43C8A">
      <w:pPr>
        <w:rPr>
          <w:lang w:val="en-US"/>
        </w:rPr>
      </w:pPr>
      <w:r>
        <w:rPr>
          <w:lang w:val="en-US"/>
        </w:rPr>
        <w:t xml:space="preserve">There are no data on the presence of alectinib or its metabolites in human milk, the effects of alectinib on the breastfed infant, or its effects on milk production. Because of the potential for serious adverse reactions </w:t>
      </w:r>
      <w:r w:rsidR="0008337D">
        <w:rPr>
          <w:lang w:val="en-US"/>
        </w:rPr>
        <w:t xml:space="preserve">from alectinib </w:t>
      </w:r>
      <w:r>
        <w:rPr>
          <w:lang w:val="en-US"/>
        </w:rPr>
        <w:t>in breastfed infants, advise a lactating woman not to breast</w:t>
      </w:r>
      <w:r w:rsidR="00F531CE">
        <w:rPr>
          <w:lang w:val="en-US"/>
        </w:rPr>
        <w:t>-</w:t>
      </w:r>
      <w:r>
        <w:rPr>
          <w:lang w:val="en-US"/>
        </w:rPr>
        <w:t>feed during treatment with ALECENSA and for 1 week after the final dose.</w:t>
      </w:r>
    </w:p>
    <w:p w14:paraId="2F077154" w14:textId="2DD87054" w:rsidR="00D844B2" w:rsidRDefault="00D844B2" w:rsidP="00312E44">
      <w:pPr>
        <w:pStyle w:val="Heading2"/>
      </w:pPr>
      <w:r>
        <w:t>Paediatric use</w:t>
      </w:r>
    </w:p>
    <w:p w14:paraId="23B4BF58" w14:textId="77777777" w:rsidR="00462F88" w:rsidRDefault="00B1117C" w:rsidP="00D43C8A">
      <w:r w:rsidRPr="00B1117C">
        <w:rPr>
          <w:lang w:val="en-US"/>
        </w:rPr>
        <w:t xml:space="preserve">The safety and efficacy of </w:t>
      </w:r>
      <w:r w:rsidR="00D02E38">
        <w:t>ALECENSA</w:t>
      </w:r>
      <w:r w:rsidRPr="00B1117C">
        <w:rPr>
          <w:lang w:val="en-US"/>
        </w:rPr>
        <w:t xml:space="preserve"> in children and adolescents below 18 years of age have not been established</w:t>
      </w:r>
      <w:r>
        <w:rPr>
          <w:lang w:val="en-US"/>
        </w:rPr>
        <w:t>.</w:t>
      </w:r>
    </w:p>
    <w:p w14:paraId="1CCCF8CD" w14:textId="0F7C0411" w:rsidR="00552AA4" w:rsidRDefault="00552AA4" w:rsidP="00D43C8A">
      <w:pPr>
        <w:rPr>
          <w:lang w:val="en-NZ" w:eastAsia="zh-CN"/>
        </w:rPr>
      </w:pPr>
      <w:r w:rsidRPr="00B310CC">
        <w:rPr>
          <w:lang w:val="en-GB" w:eastAsia="zh-CN"/>
        </w:rPr>
        <w:t>Animal Data</w:t>
      </w:r>
      <w:r>
        <w:rPr>
          <w:lang w:val="en-GB" w:eastAsia="zh-CN"/>
        </w:rPr>
        <w:t>:</w:t>
      </w:r>
      <w:r w:rsidRPr="00B310CC">
        <w:rPr>
          <w:lang w:val="en-GB" w:eastAsia="zh-CN"/>
        </w:rPr>
        <w:t xml:space="preserve"> Juvenile animal studies have not been conducted using alectinib. In general toxicology studies, treatment of rats with doses of </w:t>
      </w:r>
      <w:r w:rsidR="001229E6">
        <w:rPr>
          <w:lang w:val="en-GB" w:eastAsia="zh-CN"/>
        </w:rPr>
        <w:t>≥ </w:t>
      </w:r>
      <w:r w:rsidR="001229E6" w:rsidRPr="001229E6">
        <w:rPr>
          <w:lang w:val="en-GB" w:eastAsia="zh-CN"/>
        </w:rPr>
        <w:t>27 mg/kg/day (AUC</w:t>
      </w:r>
      <w:r w:rsidR="001229E6" w:rsidRPr="001229E6">
        <w:rPr>
          <w:vertAlign w:val="subscript"/>
          <w:lang w:val="en-GB" w:eastAsia="zh-CN"/>
        </w:rPr>
        <w:t>0-24h</w:t>
      </w:r>
      <w:r w:rsidR="001229E6">
        <w:rPr>
          <w:lang w:val="en-GB" w:eastAsia="zh-CN"/>
        </w:rPr>
        <w:t xml:space="preserve"> 38200 </w:t>
      </w:r>
      <w:r w:rsidR="001229E6" w:rsidRPr="001229E6">
        <w:rPr>
          <w:lang w:val="en-GB" w:eastAsia="zh-CN"/>
        </w:rPr>
        <w:t>ng.h/mL)</w:t>
      </w:r>
      <w:r w:rsidR="001229E6">
        <w:rPr>
          <w:lang w:val="en-GB" w:eastAsia="zh-CN"/>
        </w:rPr>
        <w:t xml:space="preserve"> </w:t>
      </w:r>
      <w:r w:rsidRPr="00B310CC">
        <w:rPr>
          <w:lang w:val="en-GB" w:eastAsia="zh-CN"/>
        </w:rPr>
        <w:t>alectinib resulted in changes in the growing teeth and bones. Findings in teeth included discoloration and changes in tooth size along with histopathological disarrangement of the ameloblast and odontoblast layers</w:t>
      </w:r>
      <w:r w:rsidR="001229E6" w:rsidRPr="001229E6">
        <w:t xml:space="preserve"> </w:t>
      </w:r>
      <w:r w:rsidR="001229E6" w:rsidRPr="001229E6">
        <w:rPr>
          <w:lang w:val="en-GB" w:eastAsia="zh-CN"/>
        </w:rPr>
        <w:t>and degeneration/necrosis of ameloblasts</w:t>
      </w:r>
      <w:r w:rsidRPr="00B310CC">
        <w:rPr>
          <w:lang w:val="en-GB" w:eastAsia="zh-CN"/>
        </w:rPr>
        <w:t>. There were also decreases in the trabecular bone and increased osteoclast activity in the femur and sternum</w:t>
      </w:r>
      <w:r>
        <w:rPr>
          <w:lang w:val="en-GB" w:eastAsia="zh-CN"/>
        </w:rPr>
        <w:t>.</w:t>
      </w:r>
      <w:r w:rsidR="001229E6">
        <w:rPr>
          <w:lang w:val="en-GB" w:eastAsia="zh-CN"/>
        </w:rPr>
        <w:t xml:space="preserve"> </w:t>
      </w:r>
      <w:r w:rsidR="001229E6" w:rsidRPr="001229E6">
        <w:rPr>
          <w:lang w:val="en-GB" w:eastAsia="zh-CN"/>
        </w:rPr>
        <w:t xml:space="preserve">Increased plasma </w:t>
      </w:r>
      <w:r w:rsidR="001229E6">
        <w:rPr>
          <w:lang w:val="en-GB" w:eastAsia="zh-CN"/>
        </w:rPr>
        <w:t>alkaline phosphatase (</w:t>
      </w:r>
      <w:r w:rsidR="001229E6" w:rsidRPr="001229E6">
        <w:rPr>
          <w:lang w:val="en-GB" w:eastAsia="zh-CN"/>
        </w:rPr>
        <w:t>ALP</w:t>
      </w:r>
      <w:r w:rsidR="001229E6">
        <w:rPr>
          <w:lang w:val="en-GB" w:eastAsia="zh-CN"/>
        </w:rPr>
        <w:t>)</w:t>
      </w:r>
      <w:r w:rsidR="001229E6" w:rsidRPr="001229E6">
        <w:rPr>
          <w:lang w:val="en-GB" w:eastAsia="zh-CN"/>
        </w:rPr>
        <w:t xml:space="preserve"> of the bone isoform w</w:t>
      </w:r>
      <w:r w:rsidR="001229E6">
        <w:rPr>
          <w:lang w:val="en-GB" w:eastAsia="zh-CN"/>
        </w:rPr>
        <w:t>as observed at alectinib doses ≥ </w:t>
      </w:r>
      <w:r w:rsidR="001229E6" w:rsidRPr="001229E6">
        <w:rPr>
          <w:lang w:val="en-GB" w:eastAsia="zh-CN"/>
        </w:rPr>
        <w:t xml:space="preserve">6 mg/kg/day </w:t>
      </w:r>
      <w:proofErr w:type="gramStart"/>
      <w:r w:rsidR="001229E6" w:rsidRPr="001229E6">
        <w:rPr>
          <w:lang w:val="en-GB" w:eastAsia="zh-CN"/>
        </w:rPr>
        <w:t>(AUC</w:t>
      </w:r>
      <w:r w:rsidR="001229E6" w:rsidRPr="001229E6">
        <w:rPr>
          <w:vertAlign w:val="subscript"/>
          <w:lang w:val="en-GB" w:eastAsia="zh-CN"/>
        </w:rPr>
        <w:t>0-24h</w:t>
      </w:r>
      <w:r w:rsidR="001229E6" w:rsidRPr="001229E6">
        <w:rPr>
          <w:lang w:val="en-GB" w:eastAsia="zh-CN"/>
        </w:rPr>
        <w:t xml:space="preserve"> </w:t>
      </w:r>
      <w:r w:rsidR="00B01879">
        <w:rPr>
          <w:lang w:val="en-GB" w:eastAsia="zh-CN"/>
        </w:rPr>
        <w:t>13</w:t>
      </w:r>
      <w:r w:rsidR="00B01879" w:rsidRPr="00B01879">
        <w:rPr>
          <w:lang w:val="en-GB" w:eastAsia="zh-CN"/>
        </w:rPr>
        <w:t>900</w:t>
      </w:r>
      <w:r w:rsidR="00B01879">
        <w:rPr>
          <w:lang w:val="en-GB" w:eastAsia="zh-CN"/>
        </w:rPr>
        <w:t> </w:t>
      </w:r>
      <w:r w:rsidR="001229E6" w:rsidRPr="001229E6">
        <w:rPr>
          <w:lang w:val="en-GB" w:eastAsia="zh-CN"/>
        </w:rPr>
        <w:t>ng.h/mL)</w:t>
      </w:r>
      <w:proofErr w:type="gramEnd"/>
      <w:r w:rsidR="001229E6" w:rsidRPr="001229E6">
        <w:rPr>
          <w:lang w:val="en-GB" w:eastAsia="zh-CN"/>
        </w:rPr>
        <w:t>.</w:t>
      </w:r>
    </w:p>
    <w:p w14:paraId="715921C2" w14:textId="77777777" w:rsidR="00222D36" w:rsidRDefault="00222D36" w:rsidP="007A538E">
      <w:pPr>
        <w:pStyle w:val="Heading2"/>
      </w:pPr>
      <w:r>
        <w:t>Use in the elderly</w:t>
      </w:r>
    </w:p>
    <w:p w14:paraId="25FEA8EB" w14:textId="77777777" w:rsidR="00D43C8A" w:rsidRDefault="00222D36" w:rsidP="00222D36">
      <w:r>
        <w:t>Age does not have an effect on ALECENSA exposure (</w:t>
      </w:r>
      <w:r w:rsidRPr="00403048">
        <w:t xml:space="preserve">see PHARMACOLOGY, Pharmacokinetics in </w:t>
      </w:r>
      <w:r w:rsidR="00CE2A16" w:rsidRPr="00403048">
        <w:t>Special P</w:t>
      </w:r>
      <w:r w:rsidRPr="00403048">
        <w:t>opulations</w:t>
      </w:r>
      <w:r>
        <w:t>)</w:t>
      </w:r>
      <w:r w:rsidR="004045B9">
        <w:t>. However, clinical studies of ALECENSA did not include sufficient number of subjects aged 65 and older to determine whether they respond differently from younger subjects.</w:t>
      </w:r>
    </w:p>
    <w:p w14:paraId="2F077158" w14:textId="3E5A370C" w:rsidR="00D844B2" w:rsidRDefault="00D844B2" w:rsidP="00FA19FD">
      <w:pPr>
        <w:pStyle w:val="Heading2"/>
      </w:pPr>
      <w:r>
        <w:t>Genotoxicity</w:t>
      </w:r>
    </w:p>
    <w:p w14:paraId="3EA49126" w14:textId="39E699EC" w:rsidR="00CF2AE0" w:rsidRDefault="00CF2AE0" w:rsidP="00D43C8A">
      <w:pPr>
        <w:rPr>
          <w:b/>
          <w:bCs/>
          <w:i/>
        </w:rPr>
      </w:pPr>
      <w:r w:rsidRPr="00CF2AE0">
        <w:t xml:space="preserve">Alectinib was not mutagenic </w:t>
      </w:r>
      <w:r w:rsidRPr="00357F92">
        <w:t>in vitro</w:t>
      </w:r>
      <w:r w:rsidRPr="00CF2AE0">
        <w:t xml:space="preserve"> in the bacterial reverse mutation (Ames) assay but</w:t>
      </w:r>
      <w:r>
        <w:t xml:space="preserve"> </w:t>
      </w:r>
      <w:r w:rsidRPr="00CF2AE0">
        <w:t xml:space="preserve">induced a slight increase in numerical aberrations in the </w:t>
      </w:r>
      <w:r w:rsidRPr="00357F92">
        <w:t>in vitro</w:t>
      </w:r>
      <w:r w:rsidRPr="00CF2AE0">
        <w:t xml:space="preserve"> cytogenetic assay using</w:t>
      </w:r>
      <w:r>
        <w:t xml:space="preserve"> </w:t>
      </w:r>
      <w:r w:rsidRPr="00CF2AE0">
        <w:t>Chinese Hamster Lung (CHL) cells with metabolic activation, and micronuclei in a rat</w:t>
      </w:r>
      <w:r>
        <w:t xml:space="preserve"> </w:t>
      </w:r>
      <w:r w:rsidRPr="00CF2AE0">
        <w:t>bone marrow micronucleus test. The mechanism of micronucleus induction was</w:t>
      </w:r>
      <w:r>
        <w:t xml:space="preserve"> abnormal </w:t>
      </w:r>
      <w:r w:rsidRPr="00CF2AE0">
        <w:t>chromosome segregation (</w:t>
      </w:r>
      <w:proofErr w:type="spellStart"/>
      <w:r w:rsidRPr="00CF2AE0">
        <w:t>aneugenicity</w:t>
      </w:r>
      <w:proofErr w:type="spellEnd"/>
      <w:r w:rsidRPr="00CF2AE0">
        <w:t>), and not a clastogenic effect on</w:t>
      </w:r>
      <w:r>
        <w:t xml:space="preserve"> </w:t>
      </w:r>
      <w:r w:rsidRPr="00CF2AE0">
        <w:t>chromosomes</w:t>
      </w:r>
      <w:r>
        <w:t>.</w:t>
      </w:r>
    </w:p>
    <w:p w14:paraId="2F07715A" w14:textId="4A61229D" w:rsidR="00D844B2" w:rsidRPr="00CF2AE0" w:rsidRDefault="00D844B2" w:rsidP="00CF2AE0">
      <w:pPr>
        <w:pStyle w:val="Heading2"/>
        <w:rPr>
          <w:rFonts w:ascii="Times New Roman" w:hAnsi="Times New Roman"/>
          <w:b w:val="0"/>
          <w:bCs/>
          <w:i w:val="0"/>
        </w:rPr>
      </w:pPr>
      <w:r>
        <w:t>Carcinogenicity</w:t>
      </w:r>
    </w:p>
    <w:p w14:paraId="2F07715B" w14:textId="470180B6" w:rsidR="00385F31" w:rsidRDefault="00BD2596" w:rsidP="00D43C8A">
      <w:r w:rsidRPr="00BD2596">
        <w:rPr>
          <w:lang w:val="en-NZ"/>
        </w:rPr>
        <w:t>Carcinogenicity studies have not been performed to establish the carcinogenic potential</w:t>
      </w:r>
      <w:r w:rsidR="0008337D">
        <w:rPr>
          <w:lang w:val="en-NZ"/>
        </w:rPr>
        <w:t xml:space="preserve"> </w:t>
      </w:r>
      <w:r w:rsidRPr="00BD2596">
        <w:rPr>
          <w:lang w:val="en-NZ"/>
        </w:rPr>
        <w:t xml:space="preserve">of </w:t>
      </w:r>
      <w:r w:rsidR="00D02E38">
        <w:rPr>
          <w:bCs/>
        </w:rPr>
        <w:t>ALECENSA</w:t>
      </w:r>
      <w:r w:rsidRPr="00BD2596">
        <w:rPr>
          <w:lang w:val="en-NZ"/>
        </w:rPr>
        <w:t>.</w:t>
      </w:r>
    </w:p>
    <w:p w14:paraId="64AFD34F" w14:textId="77777777" w:rsidR="00BD2596" w:rsidRPr="004F69A3" w:rsidRDefault="00BD2596" w:rsidP="00BD2596">
      <w:pPr>
        <w:pStyle w:val="Heading2"/>
      </w:pPr>
      <w:r w:rsidRPr="004F69A3">
        <w:t>Ability to Drive and Use Machines</w:t>
      </w:r>
    </w:p>
    <w:p w14:paraId="7EF629F4" w14:textId="77777777" w:rsidR="00933913" w:rsidRDefault="00933913" w:rsidP="00BD2596">
      <w:pPr>
        <w:spacing w:line="276" w:lineRule="auto"/>
      </w:pPr>
      <w:r w:rsidRPr="000252A5">
        <w:t>No studies o</w:t>
      </w:r>
      <w:r>
        <w:t>f</w:t>
      </w:r>
      <w:r w:rsidRPr="000252A5">
        <w:t xml:space="preserve"> the effects on the ability to drive and to use machines have been performed.</w:t>
      </w:r>
    </w:p>
    <w:p w14:paraId="484A768F" w14:textId="56CF7708" w:rsidR="00BD2596" w:rsidRPr="000252A5" w:rsidRDefault="009A1545" w:rsidP="00BD2596">
      <w:pPr>
        <w:spacing w:line="276" w:lineRule="auto"/>
      </w:pPr>
      <w:r w:rsidRPr="009A1545">
        <w:lastRenderedPageBreak/>
        <w:t>Caution should be exercised when driving or operating machines as patients may experienc</w:t>
      </w:r>
      <w:r>
        <w:t>e symptomatic bradycardia (e.g.</w:t>
      </w:r>
      <w:r w:rsidRPr="009A1545">
        <w:t xml:space="preserve"> syncope, dizziness, </w:t>
      </w:r>
      <w:proofErr w:type="gramStart"/>
      <w:r w:rsidRPr="009A1545">
        <w:t>hypotension</w:t>
      </w:r>
      <w:proofErr w:type="gramEnd"/>
      <w:r w:rsidRPr="009A1545">
        <w:t>) or vision disorders while taking A</w:t>
      </w:r>
      <w:r>
        <w:t>LECENSA (see ADVERSE EFFECTS)</w:t>
      </w:r>
      <w:r w:rsidR="00933913">
        <w:t>.</w:t>
      </w:r>
    </w:p>
    <w:p w14:paraId="2F077166" w14:textId="211B5059" w:rsidR="00D844B2" w:rsidRPr="005B2E24" w:rsidRDefault="00D844B2" w:rsidP="0008337D">
      <w:pPr>
        <w:pStyle w:val="Heading1"/>
        <w:keepNext/>
        <w:rPr>
          <w:sz w:val="28"/>
          <w:szCs w:val="28"/>
        </w:rPr>
      </w:pPr>
      <w:r w:rsidRPr="005B2E24">
        <w:rPr>
          <w:sz w:val="28"/>
          <w:szCs w:val="28"/>
        </w:rPr>
        <w:t>I</w:t>
      </w:r>
      <w:r w:rsidR="00517398">
        <w:rPr>
          <w:sz w:val="28"/>
          <w:szCs w:val="28"/>
        </w:rPr>
        <w:t>NTERACTIONS WITH OTHER MEDICINES</w:t>
      </w:r>
    </w:p>
    <w:p w14:paraId="3F9491BD" w14:textId="7F7F23D8" w:rsidR="00051091" w:rsidRPr="007959AA" w:rsidRDefault="00051091" w:rsidP="005B3683">
      <w:pPr>
        <w:pStyle w:val="Heading2"/>
        <w:rPr>
          <w:lang w:val="en-US" w:eastAsia="en-GB"/>
        </w:rPr>
      </w:pPr>
      <w:r w:rsidRPr="007959AA">
        <w:rPr>
          <w:lang w:val="en-US" w:eastAsia="en-GB"/>
        </w:rPr>
        <w:t xml:space="preserve">Effects of alectinib on other </w:t>
      </w:r>
      <w:r w:rsidR="00397308" w:rsidRPr="007959AA">
        <w:rPr>
          <w:lang w:val="en-US" w:eastAsia="en-GB"/>
        </w:rPr>
        <w:t>medicines</w:t>
      </w:r>
    </w:p>
    <w:p w14:paraId="41A7DD19" w14:textId="77777777" w:rsidR="00051091" w:rsidRPr="00051091" w:rsidRDefault="00051091" w:rsidP="00D43C8A">
      <w:pPr>
        <w:pStyle w:val="Heading3"/>
        <w:rPr>
          <w:lang w:eastAsia="en-GB"/>
        </w:rPr>
      </w:pPr>
      <w:r w:rsidRPr="00051091">
        <w:rPr>
          <w:lang w:eastAsia="en-GB"/>
        </w:rPr>
        <w:t>CYP substrates</w:t>
      </w:r>
    </w:p>
    <w:p w14:paraId="46D96CF0" w14:textId="77777777" w:rsidR="00462F88" w:rsidRDefault="00051091" w:rsidP="002036FC">
      <w:pPr>
        <w:autoSpaceDE w:val="0"/>
        <w:autoSpaceDN w:val="0"/>
        <w:adjustRightInd w:val="0"/>
        <w:spacing w:line="300" w:lineRule="atLeast"/>
        <w:rPr>
          <w:rFonts w:eastAsia="SimSun"/>
          <w:szCs w:val="24"/>
          <w:lang w:val="en-US" w:eastAsia="en-GB"/>
        </w:rPr>
      </w:pPr>
      <w:r w:rsidRPr="00051091">
        <w:rPr>
          <w:rFonts w:eastAsia="SimSun"/>
          <w:i/>
          <w:szCs w:val="24"/>
          <w:lang w:val="en-US" w:eastAsia="en-GB"/>
        </w:rPr>
        <w:t>In vitro</w:t>
      </w:r>
      <w:r w:rsidRPr="00051091">
        <w:rPr>
          <w:rFonts w:eastAsia="SimSun"/>
          <w:szCs w:val="24"/>
          <w:lang w:val="en-US" w:eastAsia="en-GB"/>
        </w:rPr>
        <w:t xml:space="preserve"> studies </w:t>
      </w:r>
      <w:r w:rsidR="00DD3668">
        <w:rPr>
          <w:rFonts w:eastAsia="SimSun"/>
          <w:szCs w:val="24"/>
          <w:lang w:val="en-US" w:eastAsia="en-GB"/>
        </w:rPr>
        <w:t>suggest</w:t>
      </w:r>
      <w:r w:rsidR="00DD3668" w:rsidRPr="00051091">
        <w:rPr>
          <w:rFonts w:eastAsia="SimSun"/>
          <w:szCs w:val="24"/>
          <w:lang w:val="en-US" w:eastAsia="en-GB"/>
        </w:rPr>
        <w:t xml:space="preserve"> </w:t>
      </w:r>
      <w:r w:rsidRPr="00051091">
        <w:rPr>
          <w:rFonts w:eastAsia="SimSun"/>
          <w:szCs w:val="24"/>
          <w:lang w:val="en-US" w:eastAsia="en-GB"/>
        </w:rPr>
        <w:t xml:space="preserve">that </w:t>
      </w:r>
      <w:proofErr w:type="spellStart"/>
      <w:r w:rsidRPr="00051091">
        <w:rPr>
          <w:rFonts w:eastAsia="SimSun"/>
          <w:szCs w:val="24"/>
          <w:lang w:val="en-US" w:eastAsia="en-GB"/>
        </w:rPr>
        <w:t>alectinib</w:t>
      </w:r>
      <w:proofErr w:type="spellEnd"/>
      <w:r w:rsidRPr="00051091">
        <w:rPr>
          <w:rFonts w:eastAsia="SimSun"/>
          <w:szCs w:val="24"/>
          <w:lang w:val="en-US" w:eastAsia="en-GB"/>
        </w:rPr>
        <w:t xml:space="preserve"> </w:t>
      </w:r>
      <w:r w:rsidR="00DD3668">
        <w:rPr>
          <w:rFonts w:eastAsia="SimSun"/>
          <w:szCs w:val="24"/>
          <w:lang w:val="en-US" w:eastAsia="en-GB"/>
        </w:rPr>
        <w:t>and</w:t>
      </w:r>
      <w:r w:rsidRPr="00051091">
        <w:rPr>
          <w:rFonts w:eastAsia="SimSun"/>
          <w:szCs w:val="24"/>
          <w:lang w:val="en-US" w:eastAsia="en-GB"/>
        </w:rPr>
        <w:t xml:space="preserve"> M4</w:t>
      </w:r>
      <w:r w:rsidR="00DD3668">
        <w:rPr>
          <w:rFonts w:eastAsia="SimSun"/>
          <w:szCs w:val="24"/>
          <w:lang w:val="en-US" w:eastAsia="en-GB"/>
        </w:rPr>
        <w:t xml:space="preserve"> do not</w:t>
      </w:r>
      <w:r w:rsidRPr="00051091">
        <w:rPr>
          <w:rFonts w:eastAsia="SimSun"/>
          <w:szCs w:val="24"/>
          <w:lang w:val="en-US" w:eastAsia="en-GB"/>
        </w:rPr>
        <w:t xml:space="preserve"> inhibit CYP1A2, CYP2B6, CYP2C9, CYP2C19, or CYP2D6. </w:t>
      </w:r>
      <w:r w:rsidR="00DD3668">
        <w:rPr>
          <w:rFonts w:eastAsia="SimSun"/>
          <w:szCs w:val="24"/>
          <w:lang w:val="en-US" w:eastAsia="en-GB"/>
        </w:rPr>
        <w:t xml:space="preserve">No clinically meaningful effect on the exposure of midazolam (a sensitive CYP3A substrate) or </w:t>
      </w:r>
      <w:proofErr w:type="spellStart"/>
      <w:r w:rsidR="00DD3668">
        <w:rPr>
          <w:rFonts w:eastAsia="SimSun"/>
          <w:szCs w:val="24"/>
          <w:lang w:val="en-US" w:eastAsia="en-GB"/>
        </w:rPr>
        <w:t>repaglinide</w:t>
      </w:r>
      <w:proofErr w:type="spellEnd"/>
      <w:r w:rsidR="00DD3668">
        <w:rPr>
          <w:rFonts w:eastAsia="SimSun"/>
          <w:szCs w:val="24"/>
          <w:lang w:val="en-US" w:eastAsia="en-GB"/>
        </w:rPr>
        <w:t xml:space="preserve"> (a sensitive CYP2C8 substrate) is expected following co-administration with ALECENSA. No dose adjustment is required for co-administered CYP3A substrates.</w:t>
      </w:r>
    </w:p>
    <w:p w14:paraId="44AC573C" w14:textId="681D4B2A" w:rsidR="00051091" w:rsidRPr="00051091" w:rsidRDefault="00051091" w:rsidP="00D43C8A">
      <w:pPr>
        <w:pStyle w:val="Heading3"/>
        <w:rPr>
          <w:lang w:eastAsia="en-GB"/>
        </w:rPr>
      </w:pPr>
      <w:r w:rsidRPr="00051091">
        <w:rPr>
          <w:lang w:eastAsia="en-GB"/>
        </w:rPr>
        <w:t>P-</w:t>
      </w:r>
      <w:proofErr w:type="spellStart"/>
      <w:r w:rsidRPr="00051091">
        <w:rPr>
          <w:lang w:eastAsia="en-GB"/>
        </w:rPr>
        <w:t>gp</w:t>
      </w:r>
      <w:proofErr w:type="spellEnd"/>
      <w:r w:rsidRPr="00051091">
        <w:rPr>
          <w:lang w:eastAsia="en-GB"/>
        </w:rPr>
        <w:t xml:space="preserve"> and BCRP substrates</w:t>
      </w:r>
    </w:p>
    <w:p w14:paraId="75866899" w14:textId="77777777" w:rsidR="00462F88" w:rsidRDefault="00051091" w:rsidP="005B3683">
      <w:pPr>
        <w:autoSpaceDE w:val="0"/>
        <w:autoSpaceDN w:val="0"/>
        <w:adjustRightInd w:val="0"/>
        <w:spacing w:line="300" w:lineRule="atLeast"/>
        <w:rPr>
          <w:rFonts w:eastAsia="SimSun"/>
          <w:szCs w:val="24"/>
          <w:lang w:val="en-US" w:eastAsia="en-GB"/>
        </w:rPr>
      </w:pPr>
      <w:r w:rsidRPr="00051091">
        <w:rPr>
          <w:rFonts w:eastAsia="SimSun"/>
          <w:i/>
          <w:szCs w:val="24"/>
          <w:lang w:val="en-US" w:eastAsia="en-GB"/>
        </w:rPr>
        <w:t>In vitro</w:t>
      </w:r>
      <w:r w:rsidR="009B3CB6">
        <w:rPr>
          <w:rFonts w:eastAsia="SimSun"/>
          <w:szCs w:val="24"/>
          <w:lang w:val="en-US" w:eastAsia="en-GB"/>
        </w:rPr>
        <w:t xml:space="preserve"> studies suggest that</w:t>
      </w:r>
      <w:r w:rsidRPr="00051091">
        <w:rPr>
          <w:rFonts w:eastAsia="SimSun"/>
          <w:szCs w:val="24"/>
          <w:lang w:val="en-US" w:eastAsia="en-GB"/>
        </w:rPr>
        <w:t xml:space="preserve"> alectinib and M4 inhibit P-gp and BCRP. Therefore, alectinib may have the potential to increase plasma concentrations of co-administered</w:t>
      </w:r>
      <w:r w:rsidR="00397308">
        <w:rPr>
          <w:rFonts w:eastAsia="SimSun"/>
          <w:szCs w:val="24"/>
          <w:lang w:val="en-US" w:eastAsia="en-GB"/>
        </w:rPr>
        <w:t xml:space="preserve"> substrates of P</w:t>
      </w:r>
      <w:r w:rsidR="00397308">
        <w:rPr>
          <w:rFonts w:eastAsia="SimSun"/>
          <w:szCs w:val="24"/>
          <w:lang w:val="en-US" w:eastAsia="en-GB"/>
        </w:rPr>
        <w:noBreakHyphen/>
      </w:r>
      <w:r w:rsidRPr="00051091">
        <w:rPr>
          <w:rFonts w:eastAsia="SimSun"/>
          <w:szCs w:val="24"/>
          <w:lang w:val="en-US" w:eastAsia="en-GB"/>
        </w:rPr>
        <w:t>gp or BCRP transporters (the increase in exposure is not expe</w:t>
      </w:r>
      <w:r>
        <w:rPr>
          <w:rFonts w:eastAsia="SimSun"/>
          <w:szCs w:val="24"/>
          <w:lang w:val="en-US" w:eastAsia="en-GB"/>
        </w:rPr>
        <w:t>cted to be more than 2-fold)</w:t>
      </w:r>
      <w:r w:rsidRPr="00051091">
        <w:rPr>
          <w:rFonts w:eastAsia="SimSun"/>
          <w:szCs w:val="24"/>
          <w:lang w:val="en-US" w:eastAsia="en-GB"/>
        </w:rPr>
        <w:t xml:space="preserve">. </w:t>
      </w:r>
      <w:r w:rsidR="00397308">
        <w:rPr>
          <w:rFonts w:eastAsia="SimSun"/>
          <w:szCs w:val="24"/>
          <w:lang w:val="en-US" w:eastAsia="en-GB"/>
        </w:rPr>
        <w:t>A</w:t>
      </w:r>
      <w:r w:rsidR="00397308" w:rsidRPr="00051091">
        <w:rPr>
          <w:rFonts w:eastAsia="SimSun"/>
          <w:szCs w:val="24"/>
          <w:lang w:val="en-US" w:eastAsia="en-GB"/>
        </w:rPr>
        <w:t xml:space="preserve">ppropriate monitoring is recommended </w:t>
      </w:r>
      <w:r w:rsidR="00397308">
        <w:rPr>
          <w:rFonts w:eastAsia="SimSun"/>
          <w:szCs w:val="24"/>
          <w:lang w:val="en-US" w:eastAsia="en-GB"/>
        </w:rPr>
        <w:t>w</w:t>
      </w:r>
      <w:r w:rsidRPr="00051091">
        <w:rPr>
          <w:rFonts w:eastAsia="SimSun"/>
          <w:szCs w:val="24"/>
          <w:lang w:val="en-US" w:eastAsia="en-GB"/>
        </w:rPr>
        <w:t xml:space="preserve">hen </w:t>
      </w:r>
      <w:r w:rsidR="00397308">
        <w:rPr>
          <w:rFonts w:eastAsia="SimSun"/>
          <w:szCs w:val="24"/>
          <w:lang w:val="en-US" w:eastAsia="en-GB"/>
        </w:rPr>
        <w:t>ALECENSA</w:t>
      </w:r>
      <w:r w:rsidR="00397308" w:rsidRPr="00051091">
        <w:rPr>
          <w:rFonts w:eastAsia="SimSun"/>
          <w:szCs w:val="24"/>
          <w:lang w:val="en-US" w:eastAsia="en-GB"/>
        </w:rPr>
        <w:t xml:space="preserve"> </w:t>
      </w:r>
      <w:r w:rsidRPr="00051091">
        <w:rPr>
          <w:rFonts w:eastAsia="SimSun"/>
          <w:szCs w:val="24"/>
          <w:lang w:val="en-US" w:eastAsia="en-GB"/>
        </w:rPr>
        <w:t xml:space="preserve">is co-administered with P-gp or BCRP substrates with narrow therapeutic index (e.g. digoxin, dabigatran, </w:t>
      </w:r>
      <w:proofErr w:type="gramStart"/>
      <w:r w:rsidRPr="00051091">
        <w:rPr>
          <w:rFonts w:eastAsia="SimSun"/>
          <w:szCs w:val="24"/>
          <w:lang w:val="en-US" w:eastAsia="en-GB"/>
        </w:rPr>
        <w:t>methotrexate</w:t>
      </w:r>
      <w:proofErr w:type="gramEnd"/>
      <w:r w:rsidRPr="00051091">
        <w:rPr>
          <w:rFonts w:eastAsia="SimSun"/>
          <w:szCs w:val="24"/>
          <w:lang w:val="en-US" w:eastAsia="en-GB"/>
        </w:rPr>
        <w:t>).</w:t>
      </w:r>
    </w:p>
    <w:p w14:paraId="57B46ECA" w14:textId="1E35157F" w:rsidR="0025375A" w:rsidRDefault="0025375A" w:rsidP="00D43C8A">
      <w:pPr>
        <w:pStyle w:val="Heading3"/>
        <w:rPr>
          <w:lang w:eastAsia="en-GB"/>
        </w:rPr>
      </w:pPr>
      <w:r>
        <w:rPr>
          <w:lang w:eastAsia="en-GB"/>
        </w:rPr>
        <w:t>Other transporters</w:t>
      </w:r>
    </w:p>
    <w:p w14:paraId="64D85BA6" w14:textId="77777777" w:rsidR="00462F88" w:rsidRDefault="0025375A" w:rsidP="00051091">
      <w:pPr>
        <w:autoSpaceDE w:val="0"/>
        <w:autoSpaceDN w:val="0"/>
        <w:adjustRightInd w:val="0"/>
        <w:spacing w:after="250" w:line="300" w:lineRule="atLeast"/>
        <w:rPr>
          <w:rFonts w:eastAsia="SimSun"/>
          <w:szCs w:val="24"/>
          <w:lang w:val="en-US" w:eastAsia="en-GB"/>
        </w:rPr>
      </w:pPr>
      <w:r>
        <w:rPr>
          <w:rFonts w:eastAsia="SimSun"/>
          <w:szCs w:val="24"/>
          <w:lang w:val="en-US" w:eastAsia="en-GB"/>
        </w:rPr>
        <w:t xml:space="preserve">Alectinib did not inhibit OATP1B1, OATP1B3, OAT1, OAT3, or OCT2 transport activity </w:t>
      </w:r>
      <w:r w:rsidRPr="00A55678">
        <w:rPr>
          <w:rFonts w:eastAsia="SimSun"/>
          <w:i/>
          <w:szCs w:val="24"/>
          <w:lang w:val="en-US" w:eastAsia="en-GB"/>
        </w:rPr>
        <w:t>in vitro</w:t>
      </w:r>
      <w:r>
        <w:rPr>
          <w:rFonts w:eastAsia="SimSun"/>
          <w:szCs w:val="24"/>
          <w:lang w:val="en-US" w:eastAsia="en-GB"/>
        </w:rPr>
        <w:t>.</w:t>
      </w:r>
    </w:p>
    <w:p w14:paraId="41054353" w14:textId="4067B004" w:rsidR="00051091" w:rsidRPr="007959AA" w:rsidRDefault="00051091" w:rsidP="007A538E">
      <w:pPr>
        <w:pStyle w:val="Heading2"/>
        <w:rPr>
          <w:lang w:val="en-US" w:eastAsia="en-GB"/>
        </w:rPr>
      </w:pPr>
      <w:r w:rsidRPr="007959AA">
        <w:rPr>
          <w:lang w:val="en-US" w:eastAsia="en-GB"/>
        </w:rPr>
        <w:t xml:space="preserve">Effects of other </w:t>
      </w:r>
      <w:r w:rsidR="00397308" w:rsidRPr="007959AA">
        <w:rPr>
          <w:lang w:val="en-US" w:eastAsia="en-GB"/>
        </w:rPr>
        <w:t xml:space="preserve">medicines </w:t>
      </w:r>
      <w:r w:rsidRPr="007959AA">
        <w:rPr>
          <w:lang w:val="en-US" w:eastAsia="en-GB"/>
        </w:rPr>
        <w:t>on alectinib</w:t>
      </w:r>
    </w:p>
    <w:p w14:paraId="7931C143" w14:textId="72C7E280" w:rsidR="00612E12" w:rsidRPr="00EB6252" w:rsidRDefault="00612E12" w:rsidP="00D43C8A">
      <w:pPr>
        <w:pStyle w:val="Heading3"/>
      </w:pPr>
      <w:r w:rsidRPr="00EB6252">
        <w:t>CYP3A inducers</w:t>
      </w:r>
    </w:p>
    <w:p w14:paraId="04D02201" w14:textId="52C6D3DE" w:rsidR="00612E12" w:rsidRPr="0029141A" w:rsidRDefault="00612E12" w:rsidP="00612E12">
      <w:pPr>
        <w:autoSpaceDE w:val="0"/>
        <w:autoSpaceDN w:val="0"/>
        <w:adjustRightInd w:val="0"/>
        <w:spacing w:line="300" w:lineRule="atLeast"/>
      </w:pPr>
      <w:r w:rsidRPr="0029141A">
        <w:t>Co-administration of multiple oral doses of 600 mg rifampi</w:t>
      </w:r>
      <w:r>
        <w:t>ci</w:t>
      </w:r>
      <w:r w:rsidRPr="0029141A">
        <w:t>n once daily, a strong CYP3A inducer, with a single oral dose of 600 mg alectinib exhibited a minor effect on combined exposure of alectinib and M4 (geometric mean ratio with/without rifampi</w:t>
      </w:r>
      <w:r>
        <w:t>ci</w:t>
      </w:r>
      <w:r w:rsidRPr="0029141A">
        <w:t>n [90% confidence interval]: C</w:t>
      </w:r>
      <w:r w:rsidRPr="00467505">
        <w:rPr>
          <w:vertAlign w:val="subscript"/>
        </w:rPr>
        <w:t>max</w:t>
      </w:r>
      <w:r w:rsidRPr="0029141A">
        <w:t xml:space="preserve"> 0.96 [0.88 – 1.05], AUC</w:t>
      </w:r>
      <w:r w:rsidRPr="00467505">
        <w:rPr>
          <w:vertAlign w:val="subscript"/>
        </w:rPr>
        <w:t>inf</w:t>
      </w:r>
      <w:r w:rsidRPr="0029141A">
        <w:t xml:space="preserve"> 0.82 [0.74 – 0.90]). Therefore, no dose adjustments are required when </w:t>
      </w:r>
      <w:r w:rsidR="00C40A37">
        <w:t>ALECENSA</w:t>
      </w:r>
      <w:r w:rsidRPr="0029141A">
        <w:t xml:space="preserve"> is co-administered with </w:t>
      </w:r>
      <w:r w:rsidRPr="0029141A">
        <w:rPr>
          <w:lang w:eastAsia="en-GB"/>
        </w:rPr>
        <w:t>CYP3A</w:t>
      </w:r>
      <w:r w:rsidRPr="0029141A" w:rsidDel="00580586">
        <w:rPr>
          <w:lang w:eastAsia="en-GB"/>
        </w:rPr>
        <w:t xml:space="preserve"> </w:t>
      </w:r>
      <w:r w:rsidRPr="0029141A">
        <w:rPr>
          <w:lang w:eastAsia="en-GB"/>
        </w:rPr>
        <w:t>inducers</w:t>
      </w:r>
      <w:r w:rsidRPr="0029141A">
        <w:t>.</w:t>
      </w:r>
    </w:p>
    <w:p w14:paraId="3FB52634" w14:textId="77777777" w:rsidR="00612E12" w:rsidRPr="00EB6252" w:rsidRDefault="00612E12" w:rsidP="00D43C8A">
      <w:pPr>
        <w:pStyle w:val="Heading3"/>
      </w:pPr>
      <w:r w:rsidRPr="00EB6252">
        <w:t>CYP3A inhibitors</w:t>
      </w:r>
    </w:p>
    <w:p w14:paraId="23876851" w14:textId="008A4EE3" w:rsidR="00612E12" w:rsidRPr="0029141A" w:rsidRDefault="00612E12" w:rsidP="00612E12">
      <w:pPr>
        <w:autoSpaceDE w:val="0"/>
        <w:autoSpaceDN w:val="0"/>
        <w:adjustRightInd w:val="0"/>
        <w:spacing w:line="300" w:lineRule="atLeast"/>
      </w:pPr>
      <w:r w:rsidRPr="0029141A">
        <w:t>Co-administration of multiple oral doses of 400 mg posaconazole twice daily, a strong CYP3A inhibitor, with a single oral dose of 300 mg alectinib had a minor effect on combined exposure of alectinib and M4 (</w:t>
      </w:r>
      <w:r w:rsidRPr="0029141A">
        <w:rPr>
          <w:lang w:eastAsia="en-GB"/>
        </w:rPr>
        <w:t>geometric mean ratio with/without posaconazole [90% confidence interval]: C</w:t>
      </w:r>
      <w:r w:rsidRPr="00467505">
        <w:rPr>
          <w:vertAlign w:val="subscript"/>
          <w:lang w:eastAsia="en-GB"/>
        </w:rPr>
        <w:t xml:space="preserve">max </w:t>
      </w:r>
      <w:r w:rsidRPr="0029141A">
        <w:rPr>
          <w:lang w:eastAsia="en-GB"/>
        </w:rPr>
        <w:t>0.93 [0.81 – 1.08], AUC</w:t>
      </w:r>
      <w:r w:rsidRPr="00467505">
        <w:rPr>
          <w:vertAlign w:val="subscript"/>
          <w:lang w:eastAsia="en-GB"/>
        </w:rPr>
        <w:t>inf</w:t>
      </w:r>
      <w:r w:rsidRPr="0029141A">
        <w:rPr>
          <w:lang w:eastAsia="en-GB"/>
        </w:rPr>
        <w:t xml:space="preserve"> 1.36 [1.24 – 1.49]). Therefore, no dose adjustments are required when </w:t>
      </w:r>
      <w:r w:rsidR="00C40A37">
        <w:t>ALECENSA</w:t>
      </w:r>
      <w:r w:rsidR="00C40A37" w:rsidRPr="0029141A">
        <w:t xml:space="preserve"> </w:t>
      </w:r>
      <w:r w:rsidRPr="0029141A">
        <w:rPr>
          <w:lang w:eastAsia="en-GB"/>
        </w:rPr>
        <w:t xml:space="preserve">is co-administered with </w:t>
      </w:r>
      <w:r>
        <w:rPr>
          <w:lang w:eastAsia="en-GB"/>
        </w:rPr>
        <w:t>CYP3A inhibitors</w:t>
      </w:r>
      <w:r>
        <w:t>.</w:t>
      </w:r>
    </w:p>
    <w:p w14:paraId="60EFB0E9" w14:textId="77777777" w:rsidR="00462F88" w:rsidRDefault="00612E12" w:rsidP="00D43C8A">
      <w:pPr>
        <w:pStyle w:val="Heading3"/>
      </w:pPr>
      <w:r w:rsidRPr="00EB6252">
        <w:t>Medicinal products that increase gastric pH</w:t>
      </w:r>
    </w:p>
    <w:p w14:paraId="01F4AF28" w14:textId="5B40D31C" w:rsidR="00051091" w:rsidRDefault="00612E12" w:rsidP="00612E12">
      <w:pPr>
        <w:autoSpaceDE w:val="0"/>
        <w:autoSpaceDN w:val="0"/>
        <w:adjustRightInd w:val="0"/>
        <w:spacing w:line="300" w:lineRule="atLeast"/>
      </w:pPr>
      <w:r w:rsidRPr="0029141A">
        <w:t xml:space="preserve">Although the aqueous solubility of alectinib </w:t>
      </w:r>
      <w:r w:rsidRPr="0029141A">
        <w:rPr>
          <w:i/>
        </w:rPr>
        <w:t>in vitro</w:t>
      </w:r>
      <w:r w:rsidRPr="0029141A">
        <w:t xml:space="preserve"> is pH dependent, a dedicated clinical </w:t>
      </w:r>
      <w:r w:rsidRPr="0029141A">
        <w:rPr>
          <w:lang w:eastAsia="en-GB"/>
        </w:rPr>
        <w:t>drug-drug interaction study</w:t>
      </w:r>
      <w:r w:rsidRPr="0029141A">
        <w:t xml:space="preserve"> with 40 mg esomeprazole once daily, a proton pump inhibitor, demonstrated no clinically relevant effect on the combined exposure of </w:t>
      </w:r>
      <w:proofErr w:type="spellStart"/>
      <w:r w:rsidRPr="0029141A">
        <w:t>alectinib</w:t>
      </w:r>
      <w:proofErr w:type="spellEnd"/>
      <w:r w:rsidRPr="0029141A">
        <w:t xml:space="preserve"> and M4.</w:t>
      </w:r>
      <w:r w:rsidR="00D43C8A">
        <w:t xml:space="preserve"> </w:t>
      </w:r>
      <w:r w:rsidRPr="0029141A">
        <w:t xml:space="preserve">Therefore, no dose adjustments are required when </w:t>
      </w:r>
      <w:r w:rsidR="00C40A37">
        <w:t>ALECENSA</w:t>
      </w:r>
      <w:r w:rsidR="00C40A37" w:rsidRPr="0029141A">
        <w:t xml:space="preserve"> </w:t>
      </w:r>
      <w:r w:rsidRPr="0029141A">
        <w:t xml:space="preserve">is co-administered with </w:t>
      </w:r>
      <w:r w:rsidRPr="0029141A">
        <w:lastRenderedPageBreak/>
        <w:t>proton pump inhibitors or other drugs which raise gastric pH (e.g. H2 receptor antagonists or antacids).</w:t>
      </w:r>
    </w:p>
    <w:p w14:paraId="20E7A5AD" w14:textId="77777777" w:rsidR="00712E20" w:rsidRPr="00EB6252" w:rsidRDefault="00712E20" w:rsidP="00D43C8A">
      <w:pPr>
        <w:pStyle w:val="Heading3"/>
      </w:pPr>
      <w:r w:rsidRPr="00EB6252">
        <w:t xml:space="preserve">Effect of transporters on </w:t>
      </w:r>
      <w:proofErr w:type="spellStart"/>
      <w:r w:rsidRPr="00EB6252">
        <w:t>alectinib</w:t>
      </w:r>
      <w:proofErr w:type="spellEnd"/>
      <w:r w:rsidRPr="00EB6252">
        <w:t xml:space="preserve"> disposition</w:t>
      </w:r>
    </w:p>
    <w:p w14:paraId="072B3D9F" w14:textId="71FA9C47" w:rsidR="00712E20" w:rsidRPr="00612E12" w:rsidRDefault="00712E20" w:rsidP="00712E20">
      <w:pPr>
        <w:autoSpaceDE w:val="0"/>
        <w:autoSpaceDN w:val="0"/>
        <w:adjustRightInd w:val="0"/>
        <w:spacing w:line="300" w:lineRule="atLeast"/>
      </w:pPr>
      <w:r w:rsidRPr="0029141A">
        <w:t xml:space="preserve">Based on </w:t>
      </w:r>
      <w:r w:rsidRPr="0029141A">
        <w:rPr>
          <w:i/>
        </w:rPr>
        <w:t>in vitro</w:t>
      </w:r>
      <w:r w:rsidRPr="0029141A">
        <w:t xml:space="preserve"> data, a</w:t>
      </w:r>
      <w:r w:rsidRPr="0029141A">
        <w:rPr>
          <w:lang w:eastAsia="en-US"/>
        </w:rPr>
        <w:t>lectinib is not a substrate of P-gp</w:t>
      </w:r>
      <w:r>
        <w:rPr>
          <w:lang w:eastAsia="en-US"/>
        </w:rPr>
        <w:t>. A</w:t>
      </w:r>
      <w:r w:rsidRPr="0029141A">
        <w:rPr>
          <w:lang w:eastAsia="en-US"/>
        </w:rPr>
        <w:t>lectinib and M4 are not substrates of BCRP or Organic anion-transporting polypeptide (OATP) 1B1/B3. In contrast, M4 is a substrate of P-gp. Alectinib inhibits P-gp, and therefore, it is not expected that co-medication with P-gp inhibitors has a relevant effect on M4 exposure</w:t>
      </w:r>
      <w:r w:rsidR="00963F82">
        <w:rPr>
          <w:lang w:eastAsia="en-US"/>
        </w:rPr>
        <w:t>.</w:t>
      </w:r>
    </w:p>
    <w:p w14:paraId="2F077169" w14:textId="7350B59E" w:rsidR="00D844B2" w:rsidRDefault="00D844B2" w:rsidP="00051091">
      <w:pPr>
        <w:pStyle w:val="Heading1"/>
      </w:pPr>
      <w:r>
        <w:t>A</w:t>
      </w:r>
      <w:r w:rsidR="00517398">
        <w:t xml:space="preserve">DVERSE </w:t>
      </w:r>
      <w:r w:rsidR="00C728BF">
        <w:t>E</w:t>
      </w:r>
      <w:r w:rsidR="00517398">
        <w:t>FFECTS</w:t>
      </w:r>
    </w:p>
    <w:p w14:paraId="6476C5E7" w14:textId="33CBB6A7" w:rsidR="00023167" w:rsidRPr="00023167" w:rsidRDefault="00023167" w:rsidP="005B3683">
      <w:pPr>
        <w:pStyle w:val="Heading2"/>
        <w:rPr>
          <w:lang w:val="en-US" w:eastAsia="en-GB"/>
        </w:rPr>
      </w:pPr>
      <w:r w:rsidRPr="00023167">
        <w:rPr>
          <w:lang w:val="en-US" w:eastAsia="en-GB"/>
        </w:rPr>
        <w:t>Clinical trials</w:t>
      </w:r>
    </w:p>
    <w:p w14:paraId="77BABC4A" w14:textId="77777777" w:rsidR="00462F88" w:rsidRDefault="00E20B62" w:rsidP="00E20B62">
      <w:pPr>
        <w:rPr>
          <w:lang w:val="en-US"/>
        </w:rPr>
      </w:pPr>
      <w:r w:rsidRPr="00E20B62">
        <w:rPr>
          <w:lang w:val="en-US"/>
        </w:rPr>
        <w:t xml:space="preserve">The safety of </w:t>
      </w:r>
      <w:r w:rsidR="00D02E38">
        <w:t>ALECENSA</w:t>
      </w:r>
      <w:r w:rsidRPr="00E20B62">
        <w:rPr>
          <w:lang w:val="en-US"/>
        </w:rPr>
        <w:t xml:space="preserve"> has been evaluated in </w:t>
      </w:r>
      <w:r w:rsidR="00B0148C">
        <w:rPr>
          <w:lang w:val="en-US"/>
        </w:rPr>
        <w:t xml:space="preserve">two </w:t>
      </w:r>
      <w:r w:rsidR="003D1869">
        <w:rPr>
          <w:lang w:val="en-US"/>
        </w:rPr>
        <w:t>P</w:t>
      </w:r>
      <w:r w:rsidR="00B0148C">
        <w:rPr>
          <w:lang w:val="en-US"/>
        </w:rPr>
        <w:t xml:space="preserve">hase </w:t>
      </w:r>
      <w:r w:rsidR="0071492F">
        <w:rPr>
          <w:lang w:val="en-US"/>
        </w:rPr>
        <w:t>I/</w:t>
      </w:r>
      <w:r w:rsidR="00B0148C">
        <w:rPr>
          <w:lang w:val="en-US"/>
        </w:rPr>
        <w:t xml:space="preserve">II clinical trials (Studies 1 and 2) in </w:t>
      </w:r>
      <w:r w:rsidRPr="00E20B62">
        <w:rPr>
          <w:lang w:val="en-US"/>
        </w:rPr>
        <w:t>253 patients with ALK-positive non-small cell lung cancer (NSCLC) treated with the recomme</w:t>
      </w:r>
      <w:r>
        <w:rPr>
          <w:lang w:val="en-US"/>
        </w:rPr>
        <w:t>nded dose of 600 mg twice daily</w:t>
      </w:r>
      <w:r w:rsidRPr="00E20B62">
        <w:rPr>
          <w:lang w:val="en-US"/>
        </w:rPr>
        <w:t xml:space="preserve">. </w:t>
      </w:r>
      <w:r w:rsidR="00557480">
        <w:rPr>
          <w:lang w:val="en-US"/>
        </w:rPr>
        <w:t xml:space="preserve">Due to the single-arm design of these trials, no control adverse event data is available, and treatment emergent adverse event data is presented below. </w:t>
      </w:r>
      <w:r w:rsidRPr="00E20B62">
        <w:rPr>
          <w:lang w:val="en-US"/>
        </w:rPr>
        <w:t xml:space="preserve">The median duration of exposure to </w:t>
      </w:r>
      <w:r w:rsidR="00D02E38">
        <w:t>ALECENSA</w:t>
      </w:r>
      <w:r w:rsidRPr="00E20B62">
        <w:rPr>
          <w:lang w:val="en-US"/>
        </w:rPr>
        <w:t xml:space="preserve"> was </w:t>
      </w:r>
      <w:r w:rsidR="00557480">
        <w:rPr>
          <w:lang w:val="en-US"/>
        </w:rPr>
        <w:t>11 months (range 0-35 months) with 169 patients (67%) exposed for more than 6 months, and 123 patients (49%) for more than 12 months</w:t>
      </w:r>
      <w:r w:rsidRPr="00E20B62">
        <w:rPr>
          <w:lang w:val="en-US"/>
        </w:rPr>
        <w:t>.</w:t>
      </w:r>
      <w:r w:rsidR="00557480">
        <w:rPr>
          <w:lang w:val="en-US"/>
        </w:rPr>
        <w:t xml:space="preserve"> The characteristics of the population were:</w:t>
      </w:r>
      <w:r w:rsidR="0079179E">
        <w:rPr>
          <w:lang w:val="en-US"/>
        </w:rPr>
        <w:t xml:space="preserve"> </w:t>
      </w:r>
      <w:r w:rsidR="00557480">
        <w:rPr>
          <w:lang w:val="en-US"/>
        </w:rPr>
        <w:t>median age 53 years, 86% aged less than 65 years, 55% female, 74% White/18% Asian, 96% NSCLC adenocarcinoma histology, 98% never or former smokers, 91% with ECOG performance status 0 or 1, and 78% had prior chemotherapy treatment.</w:t>
      </w:r>
    </w:p>
    <w:p w14:paraId="5B247443" w14:textId="6662CF61" w:rsidR="00E20B62" w:rsidRDefault="00E20B62" w:rsidP="00E20B62">
      <w:pPr>
        <w:rPr>
          <w:lang w:val="en-US"/>
        </w:rPr>
      </w:pPr>
      <w:r w:rsidRPr="00E20B62">
        <w:rPr>
          <w:lang w:val="en-US"/>
        </w:rPr>
        <w:t xml:space="preserve">The most common adverse </w:t>
      </w:r>
      <w:r w:rsidR="00B9479D">
        <w:rPr>
          <w:lang w:val="en-US"/>
        </w:rPr>
        <w:t>event</w:t>
      </w:r>
      <w:r w:rsidR="00B9479D" w:rsidRPr="00E20B62">
        <w:rPr>
          <w:lang w:val="en-US"/>
        </w:rPr>
        <w:t xml:space="preserve">s </w:t>
      </w:r>
      <w:r w:rsidRPr="00E20B62">
        <w:rPr>
          <w:lang w:val="en-US"/>
        </w:rPr>
        <w:t>(</w:t>
      </w:r>
      <w:r w:rsidRPr="00E20B62">
        <w:rPr>
          <w:bCs/>
          <w:lang w:val="en-GB"/>
        </w:rPr>
        <w:t>≥ 20%)</w:t>
      </w:r>
      <w:r w:rsidRPr="00E20B62">
        <w:rPr>
          <w:b/>
          <w:bCs/>
          <w:lang w:val="en-GB"/>
        </w:rPr>
        <w:t xml:space="preserve"> </w:t>
      </w:r>
      <w:r w:rsidRPr="00E20B62">
        <w:rPr>
          <w:lang w:val="en-US"/>
        </w:rPr>
        <w:t xml:space="preserve">were </w:t>
      </w:r>
      <w:r w:rsidR="00557480">
        <w:rPr>
          <w:lang w:val="en-US"/>
        </w:rPr>
        <w:t xml:space="preserve">fatigue (44%, includes fatigue and asthenia), </w:t>
      </w:r>
      <w:r w:rsidRPr="00E20B62">
        <w:rPr>
          <w:lang w:val="en-US"/>
        </w:rPr>
        <w:t>constipation (</w:t>
      </w:r>
      <w:r w:rsidR="00557480" w:rsidRPr="00E20B62">
        <w:rPr>
          <w:lang w:val="en-US"/>
        </w:rPr>
        <w:t>3</w:t>
      </w:r>
      <w:r w:rsidR="00557480">
        <w:rPr>
          <w:lang w:val="en-US"/>
        </w:rPr>
        <w:t>6</w:t>
      </w:r>
      <w:r w:rsidRPr="00E20B62">
        <w:rPr>
          <w:lang w:val="en-US"/>
        </w:rPr>
        <w:t xml:space="preserve">%), </w:t>
      </w:r>
      <w:r w:rsidR="006C5CD0">
        <w:rPr>
          <w:lang w:val="en-US"/>
        </w:rPr>
        <w:t>o</w:t>
      </w:r>
      <w:r w:rsidRPr="00E20B62">
        <w:rPr>
          <w:lang w:val="en-US"/>
        </w:rPr>
        <w:t>edema (</w:t>
      </w:r>
      <w:r w:rsidR="00557480">
        <w:rPr>
          <w:lang w:val="en-US"/>
        </w:rPr>
        <w:t>34</w:t>
      </w:r>
      <w:r w:rsidRPr="00E20B62">
        <w:rPr>
          <w:lang w:val="en-US"/>
        </w:rPr>
        <w:t>%</w:t>
      </w:r>
      <w:r w:rsidR="00557480">
        <w:rPr>
          <w:lang w:val="en-US"/>
        </w:rPr>
        <w:t xml:space="preserve">, includes peripheral, </w:t>
      </w:r>
      <w:proofErr w:type="spellStart"/>
      <w:r w:rsidR="00557480">
        <w:rPr>
          <w:lang w:val="en-US"/>
        </w:rPr>
        <w:t>generali</w:t>
      </w:r>
      <w:r w:rsidR="0079179E">
        <w:rPr>
          <w:lang w:val="en-US"/>
        </w:rPr>
        <w:t>s</w:t>
      </w:r>
      <w:r w:rsidR="00557480">
        <w:rPr>
          <w:lang w:val="en-US"/>
        </w:rPr>
        <w:t>ed</w:t>
      </w:r>
      <w:proofErr w:type="spellEnd"/>
      <w:r w:rsidR="00557480">
        <w:rPr>
          <w:lang w:val="en-US"/>
        </w:rPr>
        <w:t>, eyelid, periorbital</w:t>
      </w:r>
      <w:r w:rsidRPr="00E20B62">
        <w:rPr>
          <w:lang w:val="en-US"/>
        </w:rPr>
        <w:t>)</w:t>
      </w:r>
      <w:r w:rsidR="00557480">
        <w:rPr>
          <w:lang w:val="en-US"/>
        </w:rPr>
        <w:t>,</w:t>
      </w:r>
      <w:r w:rsidR="00D85BCE">
        <w:rPr>
          <w:lang w:val="en-US"/>
        </w:rPr>
        <w:t xml:space="preserve"> </w:t>
      </w:r>
      <w:r w:rsidRPr="00E20B62">
        <w:rPr>
          <w:lang w:val="en-US"/>
        </w:rPr>
        <w:t>myalgia (</w:t>
      </w:r>
      <w:r w:rsidR="00557480">
        <w:rPr>
          <w:lang w:val="en-US"/>
        </w:rPr>
        <w:t>31</w:t>
      </w:r>
      <w:r w:rsidRPr="00E20B62">
        <w:rPr>
          <w:lang w:val="en-US"/>
        </w:rPr>
        <w:t>%</w:t>
      </w:r>
      <w:r w:rsidR="00557480">
        <w:rPr>
          <w:lang w:val="en-US"/>
        </w:rPr>
        <w:t>, includes myalgia and musculoskeletal pain</w:t>
      </w:r>
      <w:r w:rsidRPr="00E20B62">
        <w:rPr>
          <w:lang w:val="en-US"/>
        </w:rPr>
        <w:t>)</w:t>
      </w:r>
      <w:r w:rsidR="00557480">
        <w:rPr>
          <w:lang w:val="en-US"/>
        </w:rPr>
        <w:t xml:space="preserve">, nausea (22%), cough (21%), rash (20%, includes rash, maculopapular rash, acneiform dermatitis, erythema, </w:t>
      </w:r>
      <w:proofErr w:type="spellStart"/>
      <w:r w:rsidR="00557480">
        <w:rPr>
          <w:lang w:val="en-US"/>
        </w:rPr>
        <w:t>generali</w:t>
      </w:r>
      <w:r w:rsidR="0079179E">
        <w:rPr>
          <w:lang w:val="en-US"/>
        </w:rPr>
        <w:t>s</w:t>
      </w:r>
      <w:r w:rsidR="00557480">
        <w:rPr>
          <w:lang w:val="en-US"/>
        </w:rPr>
        <w:t>ed</w:t>
      </w:r>
      <w:proofErr w:type="spellEnd"/>
      <w:r w:rsidR="00557480">
        <w:rPr>
          <w:lang w:val="en-US"/>
        </w:rPr>
        <w:t xml:space="preserve"> rash, </w:t>
      </w:r>
      <w:proofErr w:type="spellStart"/>
      <w:r w:rsidR="00557480">
        <w:rPr>
          <w:lang w:val="en-US"/>
        </w:rPr>
        <w:t>p</w:t>
      </w:r>
      <w:r w:rsidR="00062B4C">
        <w:rPr>
          <w:lang w:val="en-US"/>
        </w:rPr>
        <w:t>a</w:t>
      </w:r>
      <w:r w:rsidR="00557480">
        <w:rPr>
          <w:lang w:val="en-US"/>
        </w:rPr>
        <w:t>pular</w:t>
      </w:r>
      <w:proofErr w:type="spellEnd"/>
      <w:r w:rsidR="00557480">
        <w:rPr>
          <w:lang w:val="en-US"/>
        </w:rPr>
        <w:t xml:space="preserve"> rash, pruritic rash, and macular rash) and headache (20%)</w:t>
      </w:r>
      <w:r w:rsidRPr="00E20B62">
        <w:rPr>
          <w:lang w:val="en-US"/>
        </w:rPr>
        <w:t>.</w:t>
      </w:r>
    </w:p>
    <w:p w14:paraId="03520135" w14:textId="045FABA9" w:rsidR="00062B4C" w:rsidRDefault="00062B4C" w:rsidP="00E20B62">
      <w:pPr>
        <w:rPr>
          <w:lang w:val="en-US"/>
        </w:rPr>
      </w:pPr>
      <w:r>
        <w:rPr>
          <w:lang w:val="en-US"/>
        </w:rPr>
        <w:t>The following adverse events of specific concern are discussed in detail in the PRECAUTIONS section:</w:t>
      </w:r>
    </w:p>
    <w:p w14:paraId="1B4409BB" w14:textId="375C405D" w:rsidR="00062B4C" w:rsidRDefault="00062B4C" w:rsidP="004D0609">
      <w:pPr>
        <w:pStyle w:val="ListParagraph"/>
        <w:numPr>
          <w:ilvl w:val="0"/>
          <w:numId w:val="31"/>
        </w:numPr>
        <w:rPr>
          <w:lang w:val="en-US"/>
        </w:rPr>
      </w:pPr>
      <w:r>
        <w:rPr>
          <w:lang w:val="en-US"/>
        </w:rPr>
        <w:t>Interstitial Lung Disease (ILD)/pneumonitis</w:t>
      </w:r>
    </w:p>
    <w:p w14:paraId="25D826A5" w14:textId="1CC4046D" w:rsidR="00062B4C" w:rsidRDefault="00062B4C" w:rsidP="004D0609">
      <w:pPr>
        <w:pStyle w:val="ListParagraph"/>
        <w:numPr>
          <w:ilvl w:val="0"/>
          <w:numId w:val="31"/>
        </w:numPr>
        <w:rPr>
          <w:lang w:val="en-US"/>
        </w:rPr>
      </w:pPr>
      <w:r>
        <w:rPr>
          <w:lang w:val="en-US"/>
        </w:rPr>
        <w:t>Hepatotoxicity</w:t>
      </w:r>
    </w:p>
    <w:p w14:paraId="674CA7BA" w14:textId="287C8373" w:rsidR="00062B4C" w:rsidRDefault="00062B4C" w:rsidP="004D0609">
      <w:pPr>
        <w:pStyle w:val="ListParagraph"/>
        <w:numPr>
          <w:ilvl w:val="0"/>
          <w:numId w:val="31"/>
        </w:numPr>
        <w:rPr>
          <w:lang w:val="en-US"/>
        </w:rPr>
      </w:pPr>
      <w:r>
        <w:rPr>
          <w:lang w:val="en-US"/>
        </w:rPr>
        <w:t>Bradycardia</w:t>
      </w:r>
    </w:p>
    <w:p w14:paraId="3382E36A" w14:textId="4C244994" w:rsidR="00062B4C" w:rsidRDefault="00062B4C" w:rsidP="004D0609">
      <w:pPr>
        <w:pStyle w:val="ListParagraph"/>
        <w:numPr>
          <w:ilvl w:val="0"/>
          <w:numId w:val="31"/>
        </w:numPr>
        <w:rPr>
          <w:lang w:val="en-US"/>
        </w:rPr>
      </w:pPr>
      <w:r>
        <w:rPr>
          <w:lang w:val="en-US"/>
        </w:rPr>
        <w:t>Severe myalgia and creatine phosphokinase (CPK) elevation</w:t>
      </w:r>
    </w:p>
    <w:p w14:paraId="0A52A8B7" w14:textId="6E6E2DF3" w:rsidR="00062B4C" w:rsidRPr="00062B4C" w:rsidRDefault="00062B4C" w:rsidP="004D0609">
      <w:pPr>
        <w:pStyle w:val="ListParagraph"/>
        <w:numPr>
          <w:ilvl w:val="0"/>
          <w:numId w:val="31"/>
        </w:numPr>
        <w:rPr>
          <w:lang w:val="en-US"/>
        </w:rPr>
      </w:pPr>
      <w:r>
        <w:rPr>
          <w:lang w:val="en-US"/>
        </w:rPr>
        <w:t>Photosensitivity</w:t>
      </w:r>
    </w:p>
    <w:p w14:paraId="25541AD1" w14:textId="77777777" w:rsidR="00462F88" w:rsidRDefault="00A70293" w:rsidP="00E20B62">
      <w:pPr>
        <w:rPr>
          <w:lang w:val="en-US"/>
        </w:rPr>
      </w:pPr>
      <w:r>
        <w:rPr>
          <w:lang w:val="en-US"/>
        </w:rPr>
        <w:t>Serious adverse events occurred in 22% of patients</w:t>
      </w:r>
      <w:r w:rsidR="0079179E">
        <w:rPr>
          <w:lang w:val="en-US"/>
        </w:rPr>
        <w:t>.</w:t>
      </w:r>
      <w:r>
        <w:rPr>
          <w:lang w:val="en-US"/>
        </w:rPr>
        <w:t xml:space="preserve"> </w:t>
      </w:r>
      <w:r w:rsidR="0079179E">
        <w:rPr>
          <w:lang w:val="en-US"/>
        </w:rPr>
        <w:t>T</w:t>
      </w:r>
      <w:r>
        <w:rPr>
          <w:lang w:val="en-US"/>
        </w:rPr>
        <w:t>he most frequent reported serious adverse events were pulmonary embolism (1.2%), dyspn</w:t>
      </w:r>
      <w:r w:rsidR="0079179E">
        <w:rPr>
          <w:lang w:val="en-US"/>
        </w:rPr>
        <w:t>o</w:t>
      </w:r>
      <w:r>
        <w:rPr>
          <w:lang w:val="en-US"/>
        </w:rPr>
        <w:t xml:space="preserve">ea (1.2%) and hyperbilirubinaemia (1.2%). Fatal adverse reactions occurred in 2.8% of patients and included </w:t>
      </w:r>
      <w:proofErr w:type="spellStart"/>
      <w:r>
        <w:rPr>
          <w:lang w:val="en-US"/>
        </w:rPr>
        <w:t>haemorrh</w:t>
      </w:r>
      <w:r w:rsidR="0079179E">
        <w:rPr>
          <w:lang w:val="en-US"/>
        </w:rPr>
        <w:t>a</w:t>
      </w:r>
      <w:r>
        <w:rPr>
          <w:lang w:val="en-US"/>
        </w:rPr>
        <w:t>ge</w:t>
      </w:r>
      <w:proofErr w:type="spellEnd"/>
      <w:r>
        <w:rPr>
          <w:lang w:val="en-US"/>
        </w:rPr>
        <w:t xml:space="preserve"> (0.8%), intestinal perforation (0.4%), dyspn</w:t>
      </w:r>
      <w:r w:rsidR="0079179E">
        <w:rPr>
          <w:lang w:val="en-US"/>
        </w:rPr>
        <w:t>o</w:t>
      </w:r>
      <w:r>
        <w:rPr>
          <w:lang w:val="en-US"/>
        </w:rPr>
        <w:t>ea (0.4%), pulmonary embolism (0.4%), endocarditis (0.4%) and unknown adverse reaction (0.4%).</w:t>
      </w:r>
    </w:p>
    <w:p w14:paraId="52F7EF37" w14:textId="77777777" w:rsidR="00462F88" w:rsidRDefault="00A70293" w:rsidP="00E20B62">
      <w:pPr>
        <w:rPr>
          <w:lang w:val="en-US"/>
        </w:rPr>
      </w:pPr>
      <w:r>
        <w:rPr>
          <w:lang w:val="en-US"/>
        </w:rPr>
        <w:t>Adverse events led to permanent discontinuatio</w:t>
      </w:r>
      <w:r w:rsidR="00923A21">
        <w:rPr>
          <w:lang w:val="en-US"/>
        </w:rPr>
        <w:t>n of ALECENSA in 6% of patients,</w:t>
      </w:r>
      <w:r>
        <w:rPr>
          <w:lang w:val="en-US"/>
        </w:rPr>
        <w:t xml:space="preserve"> </w:t>
      </w:r>
      <w:r w:rsidR="00923A21">
        <w:rPr>
          <w:lang w:val="en-US"/>
        </w:rPr>
        <w:t>m</w:t>
      </w:r>
      <w:r>
        <w:rPr>
          <w:lang w:val="en-US"/>
        </w:rPr>
        <w:t>ost frequently due to hyperbilirubin</w:t>
      </w:r>
      <w:r w:rsidR="00BB2497">
        <w:rPr>
          <w:lang w:val="en-US"/>
        </w:rPr>
        <w:t>a</w:t>
      </w:r>
      <w:r>
        <w:rPr>
          <w:lang w:val="en-US"/>
        </w:rPr>
        <w:t xml:space="preserve">emia (1.6%), increased ALT levels (1.6%), and increased AST levels (1.2%). At </w:t>
      </w:r>
      <w:proofErr w:type="spellStart"/>
      <w:r>
        <w:rPr>
          <w:lang w:val="en-US"/>
        </w:rPr>
        <w:t>leaset</w:t>
      </w:r>
      <w:proofErr w:type="spellEnd"/>
      <w:r>
        <w:rPr>
          <w:lang w:val="en-US"/>
        </w:rPr>
        <w:t xml:space="preserve"> one dose reduction or interruption was required for 33% of patients initia</w:t>
      </w:r>
      <w:r w:rsidR="0079179E">
        <w:rPr>
          <w:lang w:val="en-US"/>
        </w:rPr>
        <w:t>t</w:t>
      </w:r>
      <w:r>
        <w:rPr>
          <w:lang w:val="en-US"/>
        </w:rPr>
        <w:t>ing treatment at the recommended dose, and the median time to first dose reduction or interruption was 56 days. The most frequent adverse reactions that led to dose changes were elevations in bilirubin (6.3%)</w:t>
      </w:r>
      <w:r w:rsidR="004B58CD">
        <w:rPr>
          <w:lang w:val="en-US"/>
        </w:rPr>
        <w:t xml:space="preserve">, </w:t>
      </w:r>
      <w:r>
        <w:rPr>
          <w:lang w:val="en-US"/>
        </w:rPr>
        <w:t>CPK (4.3%)</w:t>
      </w:r>
      <w:r w:rsidR="004B58CD">
        <w:rPr>
          <w:lang w:val="en-US"/>
        </w:rPr>
        <w:t xml:space="preserve">, </w:t>
      </w:r>
      <w:r>
        <w:rPr>
          <w:lang w:val="en-US"/>
        </w:rPr>
        <w:t>ALT (4.0%)</w:t>
      </w:r>
      <w:r w:rsidR="004B58CD">
        <w:rPr>
          <w:lang w:val="en-US"/>
        </w:rPr>
        <w:t xml:space="preserve"> or </w:t>
      </w:r>
      <w:r>
        <w:rPr>
          <w:lang w:val="en-US"/>
        </w:rPr>
        <w:t>AST (2.8%)</w:t>
      </w:r>
      <w:r w:rsidR="004B58CD">
        <w:rPr>
          <w:lang w:val="en-US"/>
        </w:rPr>
        <w:t>,</w:t>
      </w:r>
      <w:r>
        <w:rPr>
          <w:lang w:val="en-US"/>
        </w:rPr>
        <w:t xml:space="preserve"> and vomiting (3.2%).</w:t>
      </w:r>
    </w:p>
    <w:p w14:paraId="12B6BEFA" w14:textId="77777777" w:rsidR="00462F88" w:rsidRDefault="00E20B62" w:rsidP="00E20B62">
      <w:pPr>
        <w:rPr>
          <w:lang w:val="en-GB"/>
        </w:rPr>
      </w:pPr>
      <w:r w:rsidRPr="00E20B62">
        <w:rPr>
          <w:lang w:val="en-US"/>
        </w:rPr>
        <w:lastRenderedPageBreak/>
        <w:t xml:space="preserve">Table </w:t>
      </w:r>
      <w:r w:rsidR="005D74CE">
        <w:rPr>
          <w:lang w:val="en-US"/>
        </w:rPr>
        <w:t>4</w:t>
      </w:r>
      <w:r w:rsidRPr="00E20B62">
        <w:rPr>
          <w:lang w:val="en-US"/>
        </w:rPr>
        <w:t xml:space="preserve"> </w:t>
      </w:r>
      <w:proofErr w:type="spellStart"/>
      <w:r w:rsidRPr="00E20B62">
        <w:rPr>
          <w:lang w:val="en-US"/>
        </w:rPr>
        <w:t>summari</w:t>
      </w:r>
      <w:r w:rsidR="006C5CD0">
        <w:rPr>
          <w:lang w:val="en-US"/>
        </w:rPr>
        <w:t>s</w:t>
      </w:r>
      <w:r w:rsidRPr="00E20B62">
        <w:rPr>
          <w:lang w:val="en-US"/>
        </w:rPr>
        <w:t>es</w:t>
      </w:r>
      <w:proofErr w:type="spellEnd"/>
      <w:r w:rsidRPr="00E20B62">
        <w:rPr>
          <w:lang w:val="en-US"/>
        </w:rPr>
        <w:t xml:space="preserve"> the </w:t>
      </w:r>
      <w:r w:rsidR="00A20C1B">
        <w:rPr>
          <w:lang w:val="en-US"/>
        </w:rPr>
        <w:t xml:space="preserve">most common treatment-emergent </w:t>
      </w:r>
      <w:r w:rsidRPr="00E20B62">
        <w:rPr>
          <w:lang w:val="en-US"/>
        </w:rPr>
        <w:t xml:space="preserve">adverse </w:t>
      </w:r>
      <w:r w:rsidR="00A20C1B">
        <w:rPr>
          <w:lang w:val="en-US"/>
        </w:rPr>
        <w:t>events</w:t>
      </w:r>
      <w:r w:rsidR="00A20C1B" w:rsidRPr="00E20B62">
        <w:rPr>
          <w:lang w:val="en-US"/>
        </w:rPr>
        <w:t xml:space="preserve"> </w:t>
      </w:r>
      <w:r w:rsidR="00902EA1">
        <w:rPr>
          <w:lang w:val="en-US"/>
        </w:rPr>
        <w:t>(</w:t>
      </w:r>
      <w:r w:rsidR="00902EA1">
        <w:rPr>
          <w:lang w:val="en-GB"/>
        </w:rPr>
        <w:t>≥</w:t>
      </w:r>
      <w:r w:rsidR="00902EA1" w:rsidRPr="00E20B62">
        <w:rPr>
          <w:lang w:val="en-GB"/>
        </w:rPr>
        <w:t>10</w:t>
      </w:r>
      <w:r w:rsidR="00902EA1">
        <w:rPr>
          <w:lang w:val="en-GB"/>
        </w:rPr>
        <w:t xml:space="preserve">% any grade and ≥2% Grade 3-5) </w:t>
      </w:r>
      <w:r w:rsidRPr="00E20B62">
        <w:rPr>
          <w:lang w:val="en-US"/>
        </w:rPr>
        <w:t xml:space="preserve">occurring in patients </w:t>
      </w:r>
      <w:r w:rsidRPr="00E20B62" w:rsidDel="00F819C1">
        <w:rPr>
          <w:lang w:val="en-US"/>
        </w:rPr>
        <w:t xml:space="preserve">who received </w:t>
      </w:r>
      <w:r w:rsidR="00D02E38">
        <w:t>ALECENSA</w:t>
      </w:r>
      <w:r w:rsidRPr="00E20B62" w:rsidDel="00F819C1">
        <w:rPr>
          <w:lang w:val="en-US"/>
        </w:rPr>
        <w:t xml:space="preserve"> </w:t>
      </w:r>
      <w:r w:rsidR="006C5CD0">
        <w:rPr>
          <w:lang w:val="en-US"/>
        </w:rPr>
        <w:t xml:space="preserve">in </w:t>
      </w:r>
      <w:r w:rsidR="00A20C1B">
        <w:rPr>
          <w:lang w:val="en-US"/>
        </w:rPr>
        <w:t>Studies 1 and 2</w:t>
      </w:r>
      <w:r w:rsidRPr="00E20B62">
        <w:rPr>
          <w:lang w:val="en-GB"/>
        </w:rPr>
        <w:t>.</w:t>
      </w:r>
    </w:p>
    <w:p w14:paraId="31830F43" w14:textId="0CA0DFCF" w:rsidR="00E20B62" w:rsidRDefault="00D43C8A" w:rsidP="00D43C8A">
      <w:pPr>
        <w:pStyle w:val="Caption"/>
        <w:rPr>
          <w:b w:val="0"/>
          <w:bCs w:val="0"/>
          <w:lang w:val="en-GB"/>
        </w:rPr>
      </w:pPr>
      <w:proofErr w:type="gramStart"/>
      <w:r>
        <w:t xml:space="preserve">Table </w:t>
      </w:r>
      <w:r w:rsidR="00C728BF">
        <w:fldChar w:fldCharType="begin"/>
      </w:r>
      <w:r w:rsidR="00C728BF">
        <w:instrText xml:space="preserve"> SEQ Table \* ARABIC </w:instrText>
      </w:r>
      <w:r w:rsidR="00C728BF">
        <w:fldChar w:fldCharType="separate"/>
      </w:r>
      <w:r>
        <w:rPr>
          <w:noProof/>
        </w:rPr>
        <w:t>4</w:t>
      </w:r>
      <w:r w:rsidR="00C728BF">
        <w:rPr>
          <w:noProof/>
        </w:rPr>
        <w:fldChar w:fldCharType="end"/>
      </w:r>
      <w:r w:rsidR="00E20B62" w:rsidRPr="00E20B62">
        <w:rPr>
          <w:lang w:val="en-GB"/>
        </w:rPr>
        <w:t xml:space="preserve">Table </w:t>
      </w:r>
      <w:r w:rsidR="005D74CE">
        <w:rPr>
          <w:lang w:val="en-GB"/>
        </w:rPr>
        <w:t>4</w:t>
      </w:r>
      <w:r w:rsidR="004B58CD">
        <w:rPr>
          <w:lang w:val="en-GB"/>
        </w:rPr>
        <w:t>.</w:t>
      </w:r>
      <w:proofErr w:type="gramEnd"/>
      <w:r w:rsidR="00E20B62" w:rsidRPr="00E20B62">
        <w:rPr>
          <w:lang w:val="en-GB"/>
        </w:rPr>
        <w:t xml:space="preserve"> </w:t>
      </w:r>
      <w:r w:rsidR="00761244">
        <w:rPr>
          <w:lang w:val="en-GB"/>
        </w:rPr>
        <w:t xml:space="preserve">Treatment-emergent adverse events occurring very commonly (≥10%) at any grade or ≥2% </w:t>
      </w:r>
      <w:r w:rsidR="004B58CD">
        <w:rPr>
          <w:lang w:val="en-GB"/>
        </w:rPr>
        <w:t xml:space="preserve">at </w:t>
      </w:r>
      <w:r w:rsidR="00761244">
        <w:rPr>
          <w:lang w:val="en-GB"/>
        </w:rPr>
        <w:t>Grade 3-</w:t>
      </w:r>
      <w:r w:rsidR="00291F76">
        <w:rPr>
          <w:lang w:val="en-GB"/>
        </w:rPr>
        <w:t>5</w:t>
      </w:r>
      <w:r w:rsidR="006C5CD0">
        <w:rPr>
          <w:lang w:val="en-GB"/>
        </w:rPr>
        <w:t xml:space="preserve"> in </w:t>
      </w:r>
      <w:r w:rsidR="00E20B62" w:rsidRPr="00E20B62">
        <w:rPr>
          <w:lang w:val="en-GB"/>
        </w:rPr>
        <w:t xml:space="preserve">patients treated with </w:t>
      </w:r>
      <w:r w:rsidR="00D02E38">
        <w:t>ALECENSA</w:t>
      </w:r>
      <w:r w:rsidR="00E20B62" w:rsidRPr="00E20B62">
        <w:rPr>
          <w:lang w:val="en-GB"/>
        </w:rPr>
        <w:t xml:space="preserve"> in </w:t>
      </w:r>
      <w:r w:rsidR="00761244">
        <w:rPr>
          <w:lang w:val="en-GB"/>
        </w:rPr>
        <w:t>Studies 1 and 2.</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4. Treatment-emergent adverse events occurring very commonly (≥10%) at any grade or ≥2% at Grade 3-5 in patients treated with ALECENSA in Studies 1 and 2."/>
      </w:tblPr>
      <w:tblGrid>
        <w:gridCol w:w="2367"/>
        <w:gridCol w:w="2343"/>
        <w:gridCol w:w="2073"/>
      </w:tblGrid>
      <w:tr w:rsidR="00676EA2" w:rsidRPr="00E20B62" w14:paraId="4EA2F298" w14:textId="77777777" w:rsidTr="00D43C8A">
        <w:trPr>
          <w:tblHeader/>
        </w:trPr>
        <w:tc>
          <w:tcPr>
            <w:tcW w:w="2367" w:type="dxa"/>
          </w:tcPr>
          <w:p w14:paraId="08BCAF0A" w14:textId="492DB9C0" w:rsidR="00676EA2" w:rsidRPr="004161CA" w:rsidRDefault="00676EA2" w:rsidP="00286778">
            <w:pPr>
              <w:rPr>
                <w:b/>
                <w:sz w:val="22"/>
                <w:lang w:val="en-GB"/>
              </w:rPr>
            </w:pPr>
            <w:r w:rsidRPr="004161CA">
              <w:rPr>
                <w:b/>
                <w:sz w:val="22"/>
                <w:lang w:val="en-GB"/>
              </w:rPr>
              <w:t xml:space="preserve">Adverse </w:t>
            </w:r>
            <w:r>
              <w:rPr>
                <w:b/>
                <w:sz w:val="22"/>
                <w:lang w:val="en-GB"/>
              </w:rPr>
              <w:t>Events</w:t>
            </w:r>
            <w:r w:rsidRPr="004161CA">
              <w:rPr>
                <w:b/>
                <w:sz w:val="22"/>
                <w:lang w:val="en-GB"/>
              </w:rPr>
              <w:t xml:space="preserve"> (MedDRA)</w:t>
            </w:r>
          </w:p>
        </w:tc>
        <w:tc>
          <w:tcPr>
            <w:tcW w:w="4416" w:type="dxa"/>
            <w:gridSpan w:val="2"/>
          </w:tcPr>
          <w:p w14:paraId="4B446043" w14:textId="133EFAAB" w:rsidR="00676EA2" w:rsidRPr="004161CA" w:rsidRDefault="00676EA2" w:rsidP="00286778">
            <w:pPr>
              <w:jc w:val="center"/>
              <w:rPr>
                <w:b/>
                <w:sz w:val="22"/>
                <w:lang w:val="en-US"/>
              </w:rPr>
            </w:pPr>
            <w:r>
              <w:rPr>
                <w:b/>
                <w:sz w:val="22"/>
                <w:lang w:val="en-GB"/>
              </w:rPr>
              <w:t>ALECENSA (n=253)</w:t>
            </w:r>
          </w:p>
        </w:tc>
      </w:tr>
      <w:tr w:rsidR="00676EA2" w:rsidRPr="00E20B62" w14:paraId="0454A420" w14:textId="77777777" w:rsidTr="00D43C8A">
        <w:trPr>
          <w:tblHeader/>
        </w:trPr>
        <w:tc>
          <w:tcPr>
            <w:tcW w:w="2367" w:type="dxa"/>
            <w:shd w:val="clear" w:color="auto" w:fill="auto"/>
          </w:tcPr>
          <w:p w14:paraId="5C418FDA" w14:textId="77777777" w:rsidR="00676EA2" w:rsidRPr="004161CA" w:rsidRDefault="00676EA2" w:rsidP="00E20B62">
            <w:pPr>
              <w:rPr>
                <w:b/>
                <w:sz w:val="22"/>
                <w:lang w:val="en-US"/>
              </w:rPr>
            </w:pPr>
            <w:r w:rsidRPr="004161CA">
              <w:rPr>
                <w:b/>
                <w:bCs/>
                <w:sz w:val="22"/>
                <w:lang w:val="en-GB"/>
              </w:rPr>
              <w:t>System Organ Class</w:t>
            </w:r>
          </w:p>
        </w:tc>
        <w:tc>
          <w:tcPr>
            <w:tcW w:w="2343" w:type="dxa"/>
            <w:shd w:val="clear" w:color="auto" w:fill="auto"/>
          </w:tcPr>
          <w:p w14:paraId="45C047A7" w14:textId="37A3276F" w:rsidR="00676EA2" w:rsidRPr="00D43C8A" w:rsidRDefault="00676EA2" w:rsidP="00D43C8A">
            <w:pPr>
              <w:jc w:val="center"/>
              <w:rPr>
                <w:b/>
                <w:sz w:val="22"/>
                <w:lang w:val="en-GB"/>
              </w:rPr>
            </w:pPr>
            <w:r w:rsidRPr="004161CA">
              <w:rPr>
                <w:b/>
                <w:sz w:val="22"/>
                <w:lang w:val="en-GB"/>
              </w:rPr>
              <w:t>All Grades (%)</w:t>
            </w:r>
          </w:p>
        </w:tc>
        <w:tc>
          <w:tcPr>
            <w:tcW w:w="2073" w:type="dxa"/>
            <w:shd w:val="clear" w:color="auto" w:fill="auto"/>
          </w:tcPr>
          <w:p w14:paraId="4A5FB68F" w14:textId="6BF1D5C7" w:rsidR="00676EA2" w:rsidRPr="00D43C8A" w:rsidRDefault="00676EA2" w:rsidP="00D43C8A">
            <w:pPr>
              <w:jc w:val="center"/>
              <w:rPr>
                <w:b/>
                <w:sz w:val="22"/>
                <w:lang w:val="en-GB"/>
              </w:rPr>
            </w:pPr>
            <w:r w:rsidRPr="004161CA">
              <w:rPr>
                <w:b/>
                <w:sz w:val="22"/>
                <w:lang w:val="en-GB"/>
              </w:rPr>
              <w:t>Grade 3–</w:t>
            </w:r>
            <w:r>
              <w:rPr>
                <w:b/>
                <w:sz w:val="22"/>
                <w:lang w:val="en-GB"/>
              </w:rPr>
              <w:t>5</w:t>
            </w:r>
            <w:r w:rsidRPr="004161CA">
              <w:rPr>
                <w:b/>
                <w:sz w:val="22"/>
                <w:vertAlign w:val="superscript"/>
                <w:lang w:val="en-GB"/>
              </w:rPr>
              <w:t>*</w:t>
            </w:r>
            <w:r w:rsidRPr="004161CA">
              <w:rPr>
                <w:b/>
                <w:sz w:val="22"/>
                <w:lang w:val="en-GB"/>
              </w:rPr>
              <w:t xml:space="preserve"> (%)</w:t>
            </w:r>
          </w:p>
        </w:tc>
      </w:tr>
      <w:tr w:rsidR="00676EA2" w:rsidRPr="00E20B62" w14:paraId="0E8B59C4" w14:textId="77777777" w:rsidTr="002774CB">
        <w:tc>
          <w:tcPr>
            <w:tcW w:w="2367" w:type="dxa"/>
            <w:shd w:val="clear" w:color="auto" w:fill="auto"/>
          </w:tcPr>
          <w:p w14:paraId="0166C829" w14:textId="768005E2" w:rsidR="00676EA2" w:rsidRPr="00676EA2" w:rsidRDefault="00676EA2" w:rsidP="00E20B62">
            <w:pPr>
              <w:rPr>
                <w:sz w:val="22"/>
                <w:lang w:val="en-US"/>
              </w:rPr>
            </w:pPr>
            <w:proofErr w:type="spellStart"/>
            <w:r>
              <w:rPr>
                <w:sz w:val="22"/>
                <w:lang w:val="en-US"/>
              </w:rPr>
              <w:t>Fatigue</w:t>
            </w:r>
            <w:r>
              <w:rPr>
                <w:sz w:val="22"/>
                <w:vertAlign w:val="superscript"/>
                <w:lang w:val="en-US"/>
              </w:rPr>
              <w:t>a</w:t>
            </w:r>
            <w:proofErr w:type="spellEnd"/>
          </w:p>
        </w:tc>
        <w:tc>
          <w:tcPr>
            <w:tcW w:w="2343" w:type="dxa"/>
            <w:shd w:val="clear" w:color="auto" w:fill="auto"/>
          </w:tcPr>
          <w:p w14:paraId="5F197009" w14:textId="1D8B948E" w:rsidR="00676EA2" w:rsidRPr="004161CA" w:rsidRDefault="00676EA2" w:rsidP="00286778">
            <w:pPr>
              <w:jc w:val="center"/>
              <w:rPr>
                <w:sz w:val="22"/>
                <w:lang w:val="en-US"/>
              </w:rPr>
            </w:pPr>
            <w:r>
              <w:rPr>
                <w:sz w:val="22"/>
                <w:lang w:val="en-US"/>
              </w:rPr>
              <w:t>44</w:t>
            </w:r>
          </w:p>
        </w:tc>
        <w:tc>
          <w:tcPr>
            <w:tcW w:w="2073" w:type="dxa"/>
            <w:shd w:val="clear" w:color="auto" w:fill="auto"/>
          </w:tcPr>
          <w:p w14:paraId="6DEBEA60" w14:textId="5B30544E" w:rsidR="00676EA2" w:rsidRPr="004161CA" w:rsidRDefault="00676EA2" w:rsidP="00286778">
            <w:pPr>
              <w:ind w:right="737"/>
              <w:jc w:val="right"/>
              <w:rPr>
                <w:sz w:val="22"/>
                <w:lang w:val="en-US"/>
              </w:rPr>
            </w:pPr>
            <w:r>
              <w:rPr>
                <w:sz w:val="22"/>
                <w:lang w:val="en-US"/>
              </w:rPr>
              <w:t>1.6</w:t>
            </w:r>
          </w:p>
        </w:tc>
      </w:tr>
      <w:tr w:rsidR="00676EA2" w:rsidRPr="00E20B62" w14:paraId="4C061186" w14:textId="77777777" w:rsidTr="002774CB">
        <w:tc>
          <w:tcPr>
            <w:tcW w:w="2367" w:type="dxa"/>
            <w:shd w:val="clear" w:color="auto" w:fill="auto"/>
          </w:tcPr>
          <w:p w14:paraId="767C2DFA" w14:textId="77777777" w:rsidR="00676EA2" w:rsidRPr="004161CA" w:rsidRDefault="00676EA2" w:rsidP="00E20B62">
            <w:pPr>
              <w:rPr>
                <w:sz w:val="22"/>
                <w:lang w:val="en-US"/>
              </w:rPr>
            </w:pPr>
            <w:r w:rsidRPr="004161CA">
              <w:rPr>
                <w:sz w:val="22"/>
                <w:lang w:val="en-US"/>
              </w:rPr>
              <w:t>Constipation</w:t>
            </w:r>
          </w:p>
        </w:tc>
        <w:tc>
          <w:tcPr>
            <w:tcW w:w="2343" w:type="dxa"/>
            <w:shd w:val="clear" w:color="auto" w:fill="auto"/>
          </w:tcPr>
          <w:p w14:paraId="14FCBA85" w14:textId="7EF6E391" w:rsidR="00676EA2" w:rsidRPr="004161CA" w:rsidRDefault="00676EA2" w:rsidP="00286778">
            <w:pPr>
              <w:jc w:val="center"/>
              <w:rPr>
                <w:sz w:val="22"/>
                <w:lang w:val="en-US"/>
              </w:rPr>
            </w:pPr>
            <w:r w:rsidRPr="004161CA">
              <w:rPr>
                <w:sz w:val="22"/>
                <w:lang w:val="en-US"/>
              </w:rPr>
              <w:t>3</w:t>
            </w:r>
            <w:r>
              <w:rPr>
                <w:sz w:val="22"/>
                <w:lang w:val="en-US"/>
              </w:rPr>
              <w:t>6</w:t>
            </w:r>
          </w:p>
        </w:tc>
        <w:tc>
          <w:tcPr>
            <w:tcW w:w="2073" w:type="dxa"/>
            <w:shd w:val="clear" w:color="auto" w:fill="auto"/>
          </w:tcPr>
          <w:p w14:paraId="3E8C4CF8" w14:textId="77777777" w:rsidR="00676EA2" w:rsidRPr="004161CA" w:rsidRDefault="00676EA2" w:rsidP="009D6B51">
            <w:pPr>
              <w:ind w:right="737"/>
              <w:jc w:val="right"/>
              <w:rPr>
                <w:sz w:val="22"/>
                <w:lang w:val="en-US"/>
              </w:rPr>
            </w:pPr>
            <w:r w:rsidRPr="004161CA">
              <w:rPr>
                <w:sz w:val="22"/>
                <w:lang w:val="en-US"/>
              </w:rPr>
              <w:t>0</w:t>
            </w:r>
          </w:p>
        </w:tc>
      </w:tr>
      <w:tr w:rsidR="00676EA2" w:rsidRPr="00E20B62" w14:paraId="4C5D8975" w14:textId="77777777" w:rsidTr="002774CB">
        <w:tc>
          <w:tcPr>
            <w:tcW w:w="2367" w:type="dxa"/>
            <w:shd w:val="clear" w:color="auto" w:fill="auto"/>
          </w:tcPr>
          <w:p w14:paraId="774DA301" w14:textId="7DCEDBEC" w:rsidR="00676EA2" w:rsidRPr="004161CA" w:rsidRDefault="00676EA2" w:rsidP="00E20B62">
            <w:pPr>
              <w:rPr>
                <w:sz w:val="22"/>
                <w:lang w:val="en-US"/>
              </w:rPr>
            </w:pPr>
            <w:proofErr w:type="spellStart"/>
            <w:r w:rsidRPr="004161CA">
              <w:rPr>
                <w:sz w:val="22"/>
                <w:lang w:val="en-US"/>
              </w:rPr>
              <w:t>Oedema</w:t>
            </w:r>
            <w:r>
              <w:rPr>
                <w:sz w:val="22"/>
                <w:vertAlign w:val="superscript"/>
                <w:lang w:val="en-US"/>
              </w:rPr>
              <w:t>b</w:t>
            </w:r>
            <w:proofErr w:type="spellEnd"/>
          </w:p>
        </w:tc>
        <w:tc>
          <w:tcPr>
            <w:tcW w:w="2343" w:type="dxa"/>
            <w:shd w:val="clear" w:color="auto" w:fill="auto"/>
          </w:tcPr>
          <w:p w14:paraId="78735DC0" w14:textId="59352ECB" w:rsidR="00676EA2" w:rsidRPr="004161CA" w:rsidDel="00676EA2" w:rsidRDefault="00676EA2" w:rsidP="00286778">
            <w:pPr>
              <w:jc w:val="center"/>
              <w:rPr>
                <w:sz w:val="22"/>
                <w:lang w:val="en-US"/>
              </w:rPr>
            </w:pPr>
            <w:r>
              <w:rPr>
                <w:sz w:val="22"/>
                <w:lang w:val="en-US"/>
              </w:rPr>
              <w:t>34</w:t>
            </w:r>
          </w:p>
        </w:tc>
        <w:tc>
          <w:tcPr>
            <w:tcW w:w="2073" w:type="dxa"/>
            <w:shd w:val="clear" w:color="auto" w:fill="auto"/>
          </w:tcPr>
          <w:p w14:paraId="7CE0850F" w14:textId="32A1E8EC" w:rsidR="00676EA2" w:rsidRPr="004161CA" w:rsidRDefault="00676EA2" w:rsidP="00286778">
            <w:pPr>
              <w:ind w:right="737"/>
              <w:jc w:val="right"/>
              <w:rPr>
                <w:sz w:val="22"/>
                <w:lang w:val="en-US"/>
              </w:rPr>
            </w:pPr>
            <w:r>
              <w:rPr>
                <w:sz w:val="22"/>
                <w:lang w:val="en-US"/>
              </w:rPr>
              <w:t>0.8</w:t>
            </w:r>
          </w:p>
        </w:tc>
      </w:tr>
      <w:tr w:rsidR="00676EA2" w:rsidRPr="00E20B62" w14:paraId="028D47A2" w14:textId="77777777" w:rsidTr="002774CB">
        <w:tc>
          <w:tcPr>
            <w:tcW w:w="2367" w:type="dxa"/>
            <w:shd w:val="clear" w:color="auto" w:fill="auto"/>
          </w:tcPr>
          <w:p w14:paraId="7BF03C19" w14:textId="00E16FE6" w:rsidR="00676EA2" w:rsidRPr="004161CA" w:rsidRDefault="00676EA2" w:rsidP="00E20B62">
            <w:pPr>
              <w:rPr>
                <w:sz w:val="22"/>
                <w:lang w:val="en-US"/>
              </w:rPr>
            </w:pPr>
            <w:proofErr w:type="spellStart"/>
            <w:r w:rsidRPr="004161CA">
              <w:rPr>
                <w:sz w:val="22"/>
                <w:lang w:val="en-US"/>
              </w:rPr>
              <w:t>Myalgia</w:t>
            </w:r>
            <w:r>
              <w:rPr>
                <w:sz w:val="22"/>
                <w:vertAlign w:val="superscript"/>
                <w:lang w:val="en-US"/>
              </w:rPr>
              <w:t>c</w:t>
            </w:r>
            <w:proofErr w:type="spellEnd"/>
          </w:p>
        </w:tc>
        <w:tc>
          <w:tcPr>
            <w:tcW w:w="2343" w:type="dxa"/>
            <w:shd w:val="clear" w:color="auto" w:fill="auto"/>
          </w:tcPr>
          <w:p w14:paraId="4A3E952D" w14:textId="1E87989A" w:rsidR="00676EA2" w:rsidRPr="004161CA" w:rsidRDefault="00676EA2" w:rsidP="00286778">
            <w:pPr>
              <w:jc w:val="center"/>
              <w:rPr>
                <w:sz w:val="22"/>
                <w:lang w:val="en-US"/>
              </w:rPr>
            </w:pPr>
            <w:r>
              <w:rPr>
                <w:sz w:val="22"/>
                <w:lang w:val="en-US"/>
              </w:rPr>
              <w:t>31</w:t>
            </w:r>
          </w:p>
        </w:tc>
        <w:tc>
          <w:tcPr>
            <w:tcW w:w="2073" w:type="dxa"/>
            <w:shd w:val="clear" w:color="auto" w:fill="auto"/>
          </w:tcPr>
          <w:p w14:paraId="5DEDB032" w14:textId="707691A5" w:rsidR="00676EA2" w:rsidRPr="004161CA" w:rsidRDefault="00676EA2" w:rsidP="00286778">
            <w:pPr>
              <w:ind w:right="737"/>
              <w:jc w:val="right"/>
              <w:rPr>
                <w:sz w:val="22"/>
                <w:lang w:val="en-US"/>
              </w:rPr>
            </w:pPr>
            <w:r>
              <w:rPr>
                <w:sz w:val="22"/>
                <w:lang w:val="en-US"/>
              </w:rPr>
              <w:t>1.2</w:t>
            </w:r>
          </w:p>
        </w:tc>
      </w:tr>
      <w:tr w:rsidR="00676EA2" w:rsidRPr="00E20B62" w14:paraId="2C7F0839" w14:textId="77777777" w:rsidTr="002774CB">
        <w:tc>
          <w:tcPr>
            <w:tcW w:w="2367" w:type="dxa"/>
            <w:shd w:val="clear" w:color="auto" w:fill="auto"/>
          </w:tcPr>
          <w:p w14:paraId="1FDB1AB2" w14:textId="77777777" w:rsidR="00676EA2" w:rsidRPr="004161CA" w:rsidRDefault="00676EA2" w:rsidP="00E20B62">
            <w:pPr>
              <w:rPr>
                <w:sz w:val="22"/>
                <w:lang w:val="en-US"/>
              </w:rPr>
            </w:pPr>
            <w:r w:rsidRPr="004161CA">
              <w:rPr>
                <w:sz w:val="22"/>
                <w:lang w:val="en-US"/>
              </w:rPr>
              <w:t>Nausea</w:t>
            </w:r>
          </w:p>
        </w:tc>
        <w:tc>
          <w:tcPr>
            <w:tcW w:w="2343" w:type="dxa"/>
            <w:shd w:val="clear" w:color="auto" w:fill="auto"/>
          </w:tcPr>
          <w:p w14:paraId="339BF069" w14:textId="60852F54" w:rsidR="00676EA2" w:rsidRPr="004161CA" w:rsidRDefault="00676EA2" w:rsidP="00286778">
            <w:pPr>
              <w:jc w:val="center"/>
              <w:rPr>
                <w:sz w:val="22"/>
                <w:lang w:val="en-US"/>
              </w:rPr>
            </w:pPr>
            <w:r>
              <w:rPr>
                <w:sz w:val="22"/>
                <w:lang w:val="en-US"/>
              </w:rPr>
              <w:t>22</w:t>
            </w:r>
          </w:p>
        </w:tc>
        <w:tc>
          <w:tcPr>
            <w:tcW w:w="2073" w:type="dxa"/>
            <w:shd w:val="clear" w:color="auto" w:fill="auto"/>
          </w:tcPr>
          <w:p w14:paraId="0062CC82" w14:textId="163D6053" w:rsidR="00676EA2" w:rsidRPr="004161CA" w:rsidRDefault="00676EA2" w:rsidP="00286778">
            <w:pPr>
              <w:ind w:right="737"/>
              <w:jc w:val="right"/>
              <w:rPr>
                <w:sz w:val="22"/>
                <w:lang w:val="en-US"/>
              </w:rPr>
            </w:pPr>
            <w:r w:rsidRPr="004161CA">
              <w:rPr>
                <w:sz w:val="22"/>
                <w:lang w:val="en-US"/>
              </w:rPr>
              <w:t>0</w:t>
            </w:r>
            <w:r>
              <w:rPr>
                <w:sz w:val="22"/>
                <w:lang w:val="en-US"/>
              </w:rPr>
              <w:t>.4</w:t>
            </w:r>
          </w:p>
        </w:tc>
      </w:tr>
      <w:tr w:rsidR="00676EA2" w:rsidRPr="00E20B62" w14:paraId="1A8FB6CB" w14:textId="77777777" w:rsidTr="002774CB">
        <w:tc>
          <w:tcPr>
            <w:tcW w:w="2367" w:type="dxa"/>
            <w:shd w:val="clear" w:color="auto" w:fill="auto"/>
          </w:tcPr>
          <w:p w14:paraId="18AE6835" w14:textId="6AC3A31F" w:rsidR="00676EA2" w:rsidRPr="004161CA" w:rsidRDefault="00676EA2" w:rsidP="005C76D9">
            <w:pPr>
              <w:ind w:right="737"/>
              <w:rPr>
                <w:sz w:val="22"/>
                <w:lang w:val="en-US"/>
              </w:rPr>
            </w:pPr>
            <w:r>
              <w:rPr>
                <w:sz w:val="22"/>
                <w:lang w:val="en-US"/>
              </w:rPr>
              <w:t>Cough</w:t>
            </w:r>
          </w:p>
        </w:tc>
        <w:tc>
          <w:tcPr>
            <w:tcW w:w="2343" w:type="dxa"/>
            <w:shd w:val="clear" w:color="auto" w:fill="auto"/>
          </w:tcPr>
          <w:p w14:paraId="75E073FF" w14:textId="6E55BFFD" w:rsidR="00676EA2" w:rsidRPr="004161CA" w:rsidRDefault="00676EA2" w:rsidP="00286778">
            <w:pPr>
              <w:jc w:val="center"/>
              <w:rPr>
                <w:sz w:val="22"/>
                <w:lang w:val="en-US"/>
              </w:rPr>
            </w:pPr>
            <w:r w:rsidRPr="004161CA">
              <w:rPr>
                <w:sz w:val="22"/>
                <w:lang w:val="en-US"/>
              </w:rPr>
              <w:t>2</w:t>
            </w:r>
            <w:r>
              <w:rPr>
                <w:sz w:val="22"/>
                <w:lang w:val="en-US"/>
              </w:rPr>
              <w:t>1</w:t>
            </w:r>
          </w:p>
        </w:tc>
        <w:tc>
          <w:tcPr>
            <w:tcW w:w="2073" w:type="dxa"/>
            <w:shd w:val="clear" w:color="auto" w:fill="auto"/>
          </w:tcPr>
          <w:p w14:paraId="3ECEE710" w14:textId="6AB3440B" w:rsidR="00676EA2" w:rsidRPr="004161CA" w:rsidRDefault="00676EA2" w:rsidP="00286778">
            <w:pPr>
              <w:ind w:right="737"/>
              <w:jc w:val="right"/>
              <w:rPr>
                <w:sz w:val="22"/>
                <w:lang w:val="en-US"/>
              </w:rPr>
            </w:pPr>
            <w:r>
              <w:rPr>
                <w:sz w:val="22"/>
                <w:lang w:val="en-US"/>
              </w:rPr>
              <w:t>0</w:t>
            </w:r>
          </w:p>
        </w:tc>
      </w:tr>
      <w:tr w:rsidR="00676EA2" w:rsidRPr="00E20B62" w14:paraId="0B8BDA7C" w14:textId="77777777" w:rsidTr="002774CB">
        <w:tc>
          <w:tcPr>
            <w:tcW w:w="2367" w:type="dxa"/>
            <w:shd w:val="clear" w:color="auto" w:fill="auto"/>
          </w:tcPr>
          <w:p w14:paraId="1A0697A2" w14:textId="76E574DF" w:rsidR="00676EA2" w:rsidRPr="004161CA" w:rsidRDefault="00676EA2" w:rsidP="005C76D9">
            <w:pPr>
              <w:ind w:right="737"/>
              <w:rPr>
                <w:sz w:val="22"/>
                <w:lang w:val="en-US"/>
              </w:rPr>
            </w:pPr>
            <w:proofErr w:type="spellStart"/>
            <w:r w:rsidRPr="004161CA">
              <w:rPr>
                <w:sz w:val="22"/>
                <w:lang w:val="en-US"/>
              </w:rPr>
              <w:t>Rash</w:t>
            </w:r>
            <w:r>
              <w:rPr>
                <w:sz w:val="22"/>
                <w:vertAlign w:val="superscript"/>
                <w:lang w:val="en-US"/>
              </w:rPr>
              <w:t>d</w:t>
            </w:r>
            <w:proofErr w:type="spellEnd"/>
          </w:p>
        </w:tc>
        <w:tc>
          <w:tcPr>
            <w:tcW w:w="2343" w:type="dxa"/>
            <w:shd w:val="clear" w:color="auto" w:fill="auto"/>
          </w:tcPr>
          <w:p w14:paraId="09F3D0FC" w14:textId="5BC17CA1" w:rsidR="00676EA2" w:rsidRPr="004161CA" w:rsidRDefault="00676EA2" w:rsidP="00286778">
            <w:pPr>
              <w:jc w:val="center"/>
              <w:rPr>
                <w:sz w:val="22"/>
                <w:lang w:val="en-US"/>
              </w:rPr>
            </w:pPr>
            <w:r>
              <w:rPr>
                <w:sz w:val="22"/>
                <w:lang w:val="en-US"/>
              </w:rPr>
              <w:t>20</w:t>
            </w:r>
          </w:p>
        </w:tc>
        <w:tc>
          <w:tcPr>
            <w:tcW w:w="2073" w:type="dxa"/>
            <w:shd w:val="clear" w:color="auto" w:fill="auto"/>
          </w:tcPr>
          <w:p w14:paraId="69A510B0" w14:textId="6D945C43" w:rsidR="00676EA2" w:rsidRPr="004161CA" w:rsidRDefault="00676EA2" w:rsidP="00286778">
            <w:pPr>
              <w:ind w:right="737"/>
              <w:jc w:val="right"/>
              <w:rPr>
                <w:sz w:val="22"/>
                <w:lang w:val="en-US"/>
              </w:rPr>
            </w:pPr>
            <w:r w:rsidRPr="004161CA">
              <w:rPr>
                <w:sz w:val="22"/>
                <w:lang w:val="en-US"/>
              </w:rPr>
              <w:t>0</w:t>
            </w:r>
            <w:r>
              <w:rPr>
                <w:sz w:val="22"/>
                <w:lang w:val="en-US"/>
              </w:rPr>
              <w:t>.4</w:t>
            </w:r>
          </w:p>
        </w:tc>
      </w:tr>
      <w:tr w:rsidR="00676EA2" w:rsidRPr="00E20B62" w14:paraId="6F835A0C" w14:textId="77777777" w:rsidTr="002774CB">
        <w:tc>
          <w:tcPr>
            <w:tcW w:w="2367" w:type="dxa"/>
            <w:shd w:val="clear" w:color="auto" w:fill="auto"/>
          </w:tcPr>
          <w:p w14:paraId="0B095AF6" w14:textId="650010B5" w:rsidR="00676EA2" w:rsidRPr="004161CA" w:rsidDel="00676EA2" w:rsidRDefault="00676EA2" w:rsidP="00676EA2">
            <w:pPr>
              <w:rPr>
                <w:sz w:val="22"/>
                <w:lang w:val="en-US"/>
              </w:rPr>
            </w:pPr>
            <w:r>
              <w:rPr>
                <w:sz w:val="22"/>
                <w:lang w:val="en-US"/>
              </w:rPr>
              <w:t>Headache</w:t>
            </w:r>
          </w:p>
        </w:tc>
        <w:tc>
          <w:tcPr>
            <w:tcW w:w="2343" w:type="dxa"/>
            <w:shd w:val="clear" w:color="auto" w:fill="auto"/>
          </w:tcPr>
          <w:p w14:paraId="00F3489E" w14:textId="33D8F3B1" w:rsidR="00676EA2" w:rsidRPr="004161CA" w:rsidDel="00676EA2" w:rsidRDefault="00676EA2" w:rsidP="00286778">
            <w:pPr>
              <w:jc w:val="center"/>
              <w:rPr>
                <w:sz w:val="22"/>
                <w:lang w:val="en-US"/>
              </w:rPr>
            </w:pPr>
            <w:r>
              <w:rPr>
                <w:sz w:val="22"/>
                <w:lang w:val="en-US"/>
              </w:rPr>
              <w:t>20</w:t>
            </w:r>
          </w:p>
        </w:tc>
        <w:tc>
          <w:tcPr>
            <w:tcW w:w="2073" w:type="dxa"/>
            <w:shd w:val="clear" w:color="auto" w:fill="auto"/>
          </w:tcPr>
          <w:p w14:paraId="10358030" w14:textId="0BFED3F5" w:rsidR="00676EA2" w:rsidRPr="004161CA" w:rsidRDefault="00676EA2" w:rsidP="00286778">
            <w:pPr>
              <w:ind w:right="737"/>
              <w:jc w:val="right"/>
              <w:rPr>
                <w:sz w:val="22"/>
                <w:lang w:val="en-US"/>
              </w:rPr>
            </w:pPr>
            <w:r>
              <w:rPr>
                <w:sz w:val="22"/>
                <w:lang w:val="en-US"/>
              </w:rPr>
              <w:t>1.2</w:t>
            </w:r>
          </w:p>
        </w:tc>
      </w:tr>
      <w:tr w:rsidR="00676EA2" w:rsidRPr="00E20B62" w14:paraId="0FFE59EA" w14:textId="77777777" w:rsidTr="002774CB">
        <w:tc>
          <w:tcPr>
            <w:tcW w:w="2367" w:type="dxa"/>
            <w:shd w:val="clear" w:color="auto" w:fill="auto"/>
          </w:tcPr>
          <w:p w14:paraId="5D96EAEA" w14:textId="35CA6D7E" w:rsidR="00676EA2" w:rsidRDefault="00676EA2" w:rsidP="00676EA2">
            <w:pPr>
              <w:rPr>
                <w:sz w:val="22"/>
                <w:lang w:val="en-US"/>
              </w:rPr>
            </w:pPr>
            <w:r>
              <w:rPr>
                <w:sz w:val="22"/>
                <w:lang w:val="en-US"/>
              </w:rPr>
              <w:t>Diarrhoea</w:t>
            </w:r>
          </w:p>
        </w:tc>
        <w:tc>
          <w:tcPr>
            <w:tcW w:w="2343" w:type="dxa"/>
            <w:shd w:val="clear" w:color="auto" w:fill="auto"/>
          </w:tcPr>
          <w:p w14:paraId="01BF0880" w14:textId="0EC5FE87" w:rsidR="00676EA2" w:rsidRDefault="00676EA2" w:rsidP="00286778">
            <w:pPr>
              <w:jc w:val="center"/>
              <w:rPr>
                <w:sz w:val="22"/>
                <w:lang w:val="en-US"/>
              </w:rPr>
            </w:pPr>
            <w:r>
              <w:rPr>
                <w:sz w:val="22"/>
                <w:lang w:val="en-US"/>
              </w:rPr>
              <w:t>18</w:t>
            </w:r>
          </w:p>
        </w:tc>
        <w:tc>
          <w:tcPr>
            <w:tcW w:w="2073" w:type="dxa"/>
            <w:shd w:val="clear" w:color="auto" w:fill="auto"/>
          </w:tcPr>
          <w:p w14:paraId="18B5C2C9" w14:textId="13F76425" w:rsidR="00676EA2" w:rsidRDefault="00676EA2" w:rsidP="00286778">
            <w:pPr>
              <w:ind w:right="737"/>
              <w:jc w:val="right"/>
              <w:rPr>
                <w:sz w:val="22"/>
                <w:lang w:val="en-US"/>
              </w:rPr>
            </w:pPr>
            <w:r>
              <w:rPr>
                <w:sz w:val="22"/>
                <w:lang w:val="en-US"/>
              </w:rPr>
              <w:t>1.2</w:t>
            </w:r>
          </w:p>
        </w:tc>
      </w:tr>
      <w:tr w:rsidR="00676EA2" w:rsidRPr="00E20B62" w14:paraId="0ACCC2A7" w14:textId="77777777" w:rsidTr="002774CB">
        <w:tc>
          <w:tcPr>
            <w:tcW w:w="2367" w:type="dxa"/>
            <w:shd w:val="clear" w:color="auto" w:fill="auto"/>
          </w:tcPr>
          <w:p w14:paraId="4CEB4EB9" w14:textId="4444DD34" w:rsidR="00676EA2" w:rsidRDefault="00676EA2" w:rsidP="00676EA2">
            <w:pPr>
              <w:rPr>
                <w:sz w:val="22"/>
                <w:lang w:val="en-US"/>
              </w:rPr>
            </w:pPr>
            <w:r>
              <w:rPr>
                <w:sz w:val="22"/>
                <w:lang w:val="en-US"/>
              </w:rPr>
              <w:t>Dyspnoea</w:t>
            </w:r>
          </w:p>
        </w:tc>
        <w:tc>
          <w:tcPr>
            <w:tcW w:w="2343" w:type="dxa"/>
            <w:shd w:val="clear" w:color="auto" w:fill="auto"/>
          </w:tcPr>
          <w:p w14:paraId="7A37FCAD" w14:textId="1EAC4B60" w:rsidR="00676EA2" w:rsidRDefault="00676EA2" w:rsidP="00286778">
            <w:pPr>
              <w:jc w:val="center"/>
              <w:rPr>
                <w:sz w:val="22"/>
                <w:lang w:val="en-US"/>
              </w:rPr>
            </w:pPr>
            <w:r>
              <w:rPr>
                <w:sz w:val="22"/>
                <w:lang w:val="en-US"/>
              </w:rPr>
              <w:t>17</w:t>
            </w:r>
          </w:p>
        </w:tc>
        <w:tc>
          <w:tcPr>
            <w:tcW w:w="2073" w:type="dxa"/>
            <w:shd w:val="clear" w:color="auto" w:fill="auto"/>
          </w:tcPr>
          <w:p w14:paraId="50E56126" w14:textId="0BB52268" w:rsidR="00676EA2" w:rsidRPr="00286778" w:rsidRDefault="00676EA2" w:rsidP="00286778">
            <w:pPr>
              <w:ind w:right="737"/>
              <w:jc w:val="right"/>
              <w:rPr>
                <w:sz w:val="22"/>
                <w:vertAlign w:val="superscript"/>
                <w:lang w:val="en-US"/>
              </w:rPr>
            </w:pPr>
            <w:r>
              <w:rPr>
                <w:sz w:val="22"/>
                <w:lang w:val="en-US"/>
              </w:rPr>
              <w:t>3.6</w:t>
            </w:r>
            <w:r>
              <w:rPr>
                <w:sz w:val="22"/>
                <w:vertAlign w:val="superscript"/>
                <w:lang w:val="en-US"/>
              </w:rPr>
              <w:t>e</w:t>
            </w:r>
          </w:p>
        </w:tc>
      </w:tr>
      <w:tr w:rsidR="00676EA2" w:rsidRPr="00E20B62" w14:paraId="51BBF67F" w14:textId="77777777" w:rsidTr="002774CB">
        <w:tc>
          <w:tcPr>
            <w:tcW w:w="2367" w:type="dxa"/>
            <w:shd w:val="clear" w:color="auto" w:fill="auto"/>
          </w:tcPr>
          <w:p w14:paraId="5426E67E" w14:textId="6AA6B65B" w:rsidR="00676EA2" w:rsidRDefault="00676EA2" w:rsidP="00676EA2">
            <w:pPr>
              <w:rPr>
                <w:sz w:val="22"/>
                <w:lang w:val="en-US"/>
              </w:rPr>
            </w:pPr>
            <w:r>
              <w:rPr>
                <w:sz w:val="22"/>
                <w:lang w:val="en-US"/>
              </w:rPr>
              <w:t>Back Pain</w:t>
            </w:r>
          </w:p>
        </w:tc>
        <w:tc>
          <w:tcPr>
            <w:tcW w:w="2343" w:type="dxa"/>
            <w:shd w:val="clear" w:color="auto" w:fill="auto"/>
          </w:tcPr>
          <w:p w14:paraId="73656376" w14:textId="616EB3C5" w:rsidR="00676EA2" w:rsidRDefault="00676EA2" w:rsidP="00286778">
            <w:pPr>
              <w:jc w:val="center"/>
              <w:rPr>
                <w:sz w:val="22"/>
                <w:lang w:val="en-US"/>
              </w:rPr>
            </w:pPr>
            <w:r>
              <w:rPr>
                <w:sz w:val="22"/>
                <w:lang w:val="en-US"/>
              </w:rPr>
              <w:t>15</w:t>
            </w:r>
          </w:p>
        </w:tc>
        <w:tc>
          <w:tcPr>
            <w:tcW w:w="2073" w:type="dxa"/>
            <w:shd w:val="clear" w:color="auto" w:fill="auto"/>
          </w:tcPr>
          <w:p w14:paraId="13A59118" w14:textId="3CE0C4C3" w:rsidR="00676EA2" w:rsidRDefault="00676EA2" w:rsidP="00286778">
            <w:pPr>
              <w:ind w:right="737"/>
              <w:jc w:val="right"/>
              <w:rPr>
                <w:sz w:val="22"/>
                <w:lang w:val="en-US"/>
              </w:rPr>
            </w:pPr>
            <w:r>
              <w:rPr>
                <w:sz w:val="22"/>
                <w:lang w:val="en-US"/>
              </w:rPr>
              <w:t>0</w:t>
            </w:r>
          </w:p>
        </w:tc>
      </w:tr>
      <w:tr w:rsidR="00C04EF8" w:rsidRPr="00E20B62" w14:paraId="1704A515" w14:textId="77777777" w:rsidTr="002774CB">
        <w:tc>
          <w:tcPr>
            <w:tcW w:w="2367" w:type="dxa"/>
            <w:shd w:val="clear" w:color="auto" w:fill="auto"/>
          </w:tcPr>
          <w:p w14:paraId="02B76C3A" w14:textId="0D721789" w:rsidR="00C04EF8" w:rsidRDefault="00C04EF8" w:rsidP="004E534D">
            <w:pPr>
              <w:rPr>
                <w:sz w:val="22"/>
                <w:lang w:val="en-US"/>
              </w:rPr>
            </w:pPr>
            <w:r>
              <w:rPr>
                <w:sz w:val="22"/>
                <w:lang w:val="en-US"/>
              </w:rPr>
              <w:t xml:space="preserve">Upper </w:t>
            </w:r>
            <w:r w:rsidR="00244E9E">
              <w:rPr>
                <w:sz w:val="22"/>
                <w:lang w:val="en-US"/>
              </w:rPr>
              <w:t>r</w:t>
            </w:r>
            <w:r>
              <w:rPr>
                <w:sz w:val="22"/>
                <w:lang w:val="en-US"/>
              </w:rPr>
              <w:t xml:space="preserve">espiratory </w:t>
            </w:r>
            <w:r w:rsidR="00244E9E">
              <w:rPr>
                <w:sz w:val="22"/>
                <w:lang w:val="en-US"/>
              </w:rPr>
              <w:t>t</w:t>
            </w:r>
            <w:r>
              <w:rPr>
                <w:sz w:val="22"/>
                <w:lang w:val="en-US"/>
              </w:rPr>
              <w:t xml:space="preserve">ract </w:t>
            </w:r>
            <w:r w:rsidR="00244E9E">
              <w:rPr>
                <w:sz w:val="22"/>
                <w:lang w:val="en-US"/>
              </w:rPr>
              <w:t>i</w:t>
            </w:r>
            <w:r>
              <w:rPr>
                <w:sz w:val="22"/>
                <w:lang w:val="en-US"/>
              </w:rPr>
              <w:t>nfection</w:t>
            </w:r>
          </w:p>
        </w:tc>
        <w:tc>
          <w:tcPr>
            <w:tcW w:w="2343" w:type="dxa"/>
            <w:shd w:val="clear" w:color="auto" w:fill="auto"/>
          </w:tcPr>
          <w:p w14:paraId="51BF9E4C" w14:textId="499D290F" w:rsidR="00C04EF8" w:rsidRDefault="00C04EF8" w:rsidP="00286778">
            <w:pPr>
              <w:jc w:val="center"/>
              <w:rPr>
                <w:sz w:val="22"/>
                <w:lang w:val="en-US"/>
              </w:rPr>
            </w:pPr>
            <w:r>
              <w:rPr>
                <w:sz w:val="22"/>
                <w:lang w:val="en-US"/>
              </w:rPr>
              <w:t>14</w:t>
            </w:r>
          </w:p>
        </w:tc>
        <w:tc>
          <w:tcPr>
            <w:tcW w:w="2073" w:type="dxa"/>
            <w:shd w:val="clear" w:color="auto" w:fill="auto"/>
          </w:tcPr>
          <w:p w14:paraId="3F28B06A" w14:textId="230B8306" w:rsidR="00C04EF8" w:rsidRDefault="00C04EF8" w:rsidP="00286778">
            <w:pPr>
              <w:ind w:right="737"/>
              <w:jc w:val="right"/>
              <w:rPr>
                <w:sz w:val="22"/>
                <w:lang w:val="en-US"/>
              </w:rPr>
            </w:pPr>
            <w:r>
              <w:rPr>
                <w:sz w:val="22"/>
                <w:lang w:val="en-US"/>
              </w:rPr>
              <w:t>0</w:t>
            </w:r>
          </w:p>
        </w:tc>
      </w:tr>
      <w:tr w:rsidR="00C04EF8" w:rsidRPr="00E20B62" w14:paraId="1F181AED" w14:textId="77777777" w:rsidTr="002774CB">
        <w:tc>
          <w:tcPr>
            <w:tcW w:w="2367" w:type="dxa"/>
            <w:shd w:val="clear" w:color="auto" w:fill="auto"/>
          </w:tcPr>
          <w:p w14:paraId="5FD3A20A" w14:textId="11C0596D" w:rsidR="00C04EF8" w:rsidRDefault="00C04EF8" w:rsidP="00676EA2">
            <w:pPr>
              <w:rPr>
                <w:sz w:val="22"/>
                <w:lang w:val="en-US"/>
              </w:rPr>
            </w:pPr>
            <w:r>
              <w:rPr>
                <w:sz w:val="22"/>
                <w:lang w:val="en-US"/>
              </w:rPr>
              <w:t>Vomiting</w:t>
            </w:r>
          </w:p>
        </w:tc>
        <w:tc>
          <w:tcPr>
            <w:tcW w:w="2343" w:type="dxa"/>
            <w:shd w:val="clear" w:color="auto" w:fill="auto"/>
          </w:tcPr>
          <w:p w14:paraId="54FC4CCC" w14:textId="7BC393B0" w:rsidR="00C04EF8" w:rsidRDefault="00C04EF8" w:rsidP="00286778">
            <w:pPr>
              <w:jc w:val="center"/>
              <w:rPr>
                <w:sz w:val="22"/>
                <w:lang w:val="en-US"/>
              </w:rPr>
            </w:pPr>
            <w:r>
              <w:rPr>
                <w:sz w:val="22"/>
                <w:lang w:val="en-US"/>
              </w:rPr>
              <w:t>13</w:t>
            </w:r>
          </w:p>
        </w:tc>
        <w:tc>
          <w:tcPr>
            <w:tcW w:w="2073" w:type="dxa"/>
            <w:shd w:val="clear" w:color="auto" w:fill="auto"/>
          </w:tcPr>
          <w:p w14:paraId="6E1B0EEA" w14:textId="33D9C5CA" w:rsidR="00C04EF8" w:rsidRDefault="00C04EF8" w:rsidP="00286778">
            <w:pPr>
              <w:ind w:right="737"/>
              <w:jc w:val="right"/>
              <w:rPr>
                <w:sz w:val="22"/>
                <w:lang w:val="en-US"/>
              </w:rPr>
            </w:pPr>
            <w:r>
              <w:rPr>
                <w:sz w:val="22"/>
                <w:lang w:val="en-US"/>
              </w:rPr>
              <w:t>0.4</w:t>
            </w:r>
          </w:p>
        </w:tc>
      </w:tr>
      <w:tr w:rsidR="00C04EF8" w:rsidRPr="00E20B62" w14:paraId="6BFA4C66" w14:textId="77777777" w:rsidTr="002774CB">
        <w:tc>
          <w:tcPr>
            <w:tcW w:w="2367" w:type="dxa"/>
            <w:shd w:val="clear" w:color="auto" w:fill="auto"/>
          </w:tcPr>
          <w:p w14:paraId="42F09732" w14:textId="60421AAF" w:rsidR="00C04EF8" w:rsidRDefault="00C04EF8" w:rsidP="00676EA2">
            <w:pPr>
              <w:rPr>
                <w:sz w:val="22"/>
                <w:lang w:val="en-US"/>
              </w:rPr>
            </w:pPr>
            <w:r>
              <w:rPr>
                <w:sz w:val="22"/>
                <w:lang w:val="en-US"/>
              </w:rPr>
              <w:t>Increased weight</w:t>
            </w:r>
          </w:p>
        </w:tc>
        <w:tc>
          <w:tcPr>
            <w:tcW w:w="2343" w:type="dxa"/>
            <w:shd w:val="clear" w:color="auto" w:fill="auto"/>
          </w:tcPr>
          <w:p w14:paraId="22E5236C" w14:textId="04A4BE7F" w:rsidR="00C04EF8" w:rsidRDefault="00C04EF8" w:rsidP="00286778">
            <w:pPr>
              <w:jc w:val="center"/>
              <w:rPr>
                <w:sz w:val="22"/>
                <w:lang w:val="en-US"/>
              </w:rPr>
            </w:pPr>
            <w:r>
              <w:rPr>
                <w:sz w:val="22"/>
                <w:lang w:val="en-US"/>
              </w:rPr>
              <w:t>13</w:t>
            </w:r>
          </w:p>
        </w:tc>
        <w:tc>
          <w:tcPr>
            <w:tcW w:w="2073" w:type="dxa"/>
            <w:shd w:val="clear" w:color="auto" w:fill="auto"/>
          </w:tcPr>
          <w:p w14:paraId="4B8C99EF" w14:textId="07ECD83E" w:rsidR="00C04EF8" w:rsidRDefault="00C04EF8" w:rsidP="00286778">
            <w:pPr>
              <w:ind w:right="737"/>
              <w:jc w:val="right"/>
              <w:rPr>
                <w:sz w:val="22"/>
                <w:lang w:val="en-US"/>
              </w:rPr>
            </w:pPr>
            <w:r>
              <w:rPr>
                <w:sz w:val="22"/>
                <w:lang w:val="en-US"/>
              </w:rPr>
              <w:t>0.8</w:t>
            </w:r>
          </w:p>
        </w:tc>
      </w:tr>
      <w:tr w:rsidR="00C04EF8" w:rsidRPr="00E20B62" w14:paraId="74BF44B2" w14:textId="77777777" w:rsidTr="002774CB">
        <w:tc>
          <w:tcPr>
            <w:tcW w:w="2367" w:type="dxa"/>
            <w:shd w:val="clear" w:color="auto" w:fill="auto"/>
          </w:tcPr>
          <w:p w14:paraId="2D021ECC" w14:textId="56576D9F" w:rsidR="00C04EF8" w:rsidRDefault="00C04EF8" w:rsidP="004E534D">
            <w:pPr>
              <w:rPr>
                <w:sz w:val="22"/>
                <w:lang w:val="en-US"/>
              </w:rPr>
            </w:pPr>
            <w:r w:rsidRPr="004161CA">
              <w:rPr>
                <w:sz w:val="22"/>
                <w:lang w:val="en-US"/>
              </w:rPr>
              <w:t xml:space="preserve">Vision </w:t>
            </w:r>
            <w:proofErr w:type="spellStart"/>
            <w:r w:rsidR="00244E9E">
              <w:rPr>
                <w:sz w:val="22"/>
                <w:lang w:val="en-US"/>
              </w:rPr>
              <w:t>d</w:t>
            </w:r>
            <w:r w:rsidRPr="004161CA">
              <w:rPr>
                <w:sz w:val="22"/>
                <w:lang w:val="en-US"/>
              </w:rPr>
              <w:t>isorder</w:t>
            </w:r>
            <w:r>
              <w:rPr>
                <w:sz w:val="22"/>
                <w:vertAlign w:val="superscript"/>
                <w:lang w:val="en-US"/>
              </w:rPr>
              <w:t>f</w:t>
            </w:r>
            <w:proofErr w:type="spellEnd"/>
          </w:p>
        </w:tc>
        <w:tc>
          <w:tcPr>
            <w:tcW w:w="2343" w:type="dxa"/>
            <w:shd w:val="clear" w:color="auto" w:fill="auto"/>
          </w:tcPr>
          <w:p w14:paraId="45644E80" w14:textId="77B0F102" w:rsidR="00C04EF8" w:rsidRDefault="00C04EF8" w:rsidP="00286778">
            <w:pPr>
              <w:jc w:val="center"/>
              <w:rPr>
                <w:sz w:val="22"/>
                <w:lang w:val="en-US"/>
              </w:rPr>
            </w:pPr>
            <w:r>
              <w:rPr>
                <w:sz w:val="22"/>
                <w:lang w:val="en-US"/>
              </w:rPr>
              <w:t>12</w:t>
            </w:r>
          </w:p>
        </w:tc>
        <w:tc>
          <w:tcPr>
            <w:tcW w:w="2073" w:type="dxa"/>
            <w:shd w:val="clear" w:color="auto" w:fill="auto"/>
          </w:tcPr>
          <w:p w14:paraId="34246EE6" w14:textId="7CEAB7A2" w:rsidR="00C04EF8" w:rsidRDefault="00C04EF8" w:rsidP="00286778">
            <w:pPr>
              <w:ind w:right="737"/>
              <w:jc w:val="right"/>
              <w:rPr>
                <w:sz w:val="22"/>
                <w:lang w:val="en-US"/>
              </w:rPr>
            </w:pPr>
            <w:r>
              <w:rPr>
                <w:sz w:val="22"/>
                <w:lang w:val="en-US"/>
              </w:rPr>
              <w:t>0</w:t>
            </w:r>
          </w:p>
        </w:tc>
      </w:tr>
      <w:tr w:rsidR="00C04EF8" w:rsidRPr="00E20B62" w14:paraId="1714376E" w14:textId="77777777" w:rsidTr="002774CB">
        <w:tc>
          <w:tcPr>
            <w:tcW w:w="2367" w:type="dxa"/>
            <w:shd w:val="clear" w:color="auto" w:fill="auto"/>
          </w:tcPr>
          <w:p w14:paraId="0A06A161" w14:textId="70479634" w:rsidR="00C04EF8" w:rsidRPr="004161CA" w:rsidRDefault="00C04EF8" w:rsidP="00676EA2">
            <w:pPr>
              <w:rPr>
                <w:sz w:val="22"/>
                <w:lang w:val="en-US"/>
              </w:rPr>
            </w:pPr>
            <w:r>
              <w:rPr>
                <w:sz w:val="22"/>
                <w:lang w:val="en-US"/>
              </w:rPr>
              <w:t>Dizziness</w:t>
            </w:r>
          </w:p>
        </w:tc>
        <w:tc>
          <w:tcPr>
            <w:tcW w:w="2343" w:type="dxa"/>
            <w:shd w:val="clear" w:color="auto" w:fill="auto"/>
          </w:tcPr>
          <w:p w14:paraId="3B69AF86" w14:textId="0C3CBEEB" w:rsidR="00C04EF8" w:rsidRDefault="00C04EF8" w:rsidP="00286778">
            <w:pPr>
              <w:jc w:val="center"/>
              <w:rPr>
                <w:sz w:val="22"/>
                <w:lang w:val="en-US"/>
              </w:rPr>
            </w:pPr>
            <w:r>
              <w:rPr>
                <w:sz w:val="22"/>
                <w:lang w:val="en-US"/>
              </w:rPr>
              <w:t>12</w:t>
            </w:r>
          </w:p>
        </w:tc>
        <w:tc>
          <w:tcPr>
            <w:tcW w:w="2073" w:type="dxa"/>
            <w:shd w:val="clear" w:color="auto" w:fill="auto"/>
          </w:tcPr>
          <w:p w14:paraId="607F84BD" w14:textId="20ABB6E4" w:rsidR="00C04EF8" w:rsidRDefault="00C04EF8" w:rsidP="00286778">
            <w:pPr>
              <w:ind w:right="737"/>
              <w:jc w:val="right"/>
              <w:rPr>
                <w:sz w:val="22"/>
                <w:lang w:val="en-US"/>
              </w:rPr>
            </w:pPr>
            <w:r>
              <w:rPr>
                <w:sz w:val="22"/>
                <w:lang w:val="en-US"/>
              </w:rPr>
              <w:t>0</w:t>
            </w:r>
          </w:p>
        </w:tc>
      </w:tr>
      <w:tr w:rsidR="00676EA2" w:rsidRPr="00E20B62" w14:paraId="3D8ABDFB" w14:textId="77777777" w:rsidTr="002774CB">
        <w:tc>
          <w:tcPr>
            <w:tcW w:w="2367" w:type="dxa"/>
            <w:shd w:val="clear" w:color="auto" w:fill="auto"/>
          </w:tcPr>
          <w:p w14:paraId="0F4978E1" w14:textId="73154074" w:rsidR="00676EA2" w:rsidRPr="00286778" w:rsidRDefault="00676EA2" w:rsidP="004E534D">
            <w:pPr>
              <w:rPr>
                <w:sz w:val="22"/>
                <w:vertAlign w:val="superscript"/>
                <w:lang w:val="en-US"/>
              </w:rPr>
            </w:pPr>
            <w:r w:rsidRPr="004161CA">
              <w:rPr>
                <w:sz w:val="22"/>
                <w:lang w:val="en-US"/>
              </w:rPr>
              <w:t xml:space="preserve">Photosensitivity </w:t>
            </w:r>
            <w:proofErr w:type="spellStart"/>
            <w:r w:rsidR="00244E9E">
              <w:rPr>
                <w:sz w:val="22"/>
                <w:lang w:val="en-US"/>
              </w:rPr>
              <w:t>r</w:t>
            </w:r>
            <w:r w:rsidRPr="004161CA">
              <w:rPr>
                <w:sz w:val="22"/>
                <w:lang w:val="en-US"/>
              </w:rPr>
              <w:t>eaction</w:t>
            </w:r>
            <w:r w:rsidR="00C04EF8">
              <w:rPr>
                <w:sz w:val="22"/>
                <w:vertAlign w:val="superscript"/>
                <w:lang w:val="en-US"/>
              </w:rPr>
              <w:t>g</w:t>
            </w:r>
            <w:proofErr w:type="spellEnd"/>
          </w:p>
        </w:tc>
        <w:tc>
          <w:tcPr>
            <w:tcW w:w="2343" w:type="dxa"/>
            <w:shd w:val="clear" w:color="auto" w:fill="auto"/>
          </w:tcPr>
          <w:p w14:paraId="10AEFB33" w14:textId="28D722CD" w:rsidR="00676EA2" w:rsidRPr="004161CA" w:rsidRDefault="00C04EF8" w:rsidP="00286778">
            <w:pPr>
              <w:jc w:val="center"/>
              <w:rPr>
                <w:sz w:val="22"/>
                <w:lang w:val="en-US"/>
              </w:rPr>
            </w:pPr>
            <w:r>
              <w:rPr>
                <w:sz w:val="22"/>
                <w:lang w:val="en-US"/>
              </w:rPr>
              <w:t>12</w:t>
            </w:r>
          </w:p>
        </w:tc>
        <w:tc>
          <w:tcPr>
            <w:tcW w:w="2073" w:type="dxa"/>
            <w:shd w:val="clear" w:color="auto" w:fill="auto"/>
          </w:tcPr>
          <w:p w14:paraId="23E7947E" w14:textId="77777777" w:rsidR="00676EA2" w:rsidRPr="004161CA" w:rsidRDefault="00676EA2" w:rsidP="009A1545">
            <w:pPr>
              <w:ind w:right="737"/>
              <w:jc w:val="right"/>
              <w:rPr>
                <w:sz w:val="22"/>
                <w:lang w:val="en-US"/>
              </w:rPr>
            </w:pPr>
            <w:r w:rsidRPr="004161CA">
              <w:rPr>
                <w:sz w:val="22"/>
                <w:lang w:val="en-US"/>
              </w:rPr>
              <w:t>0</w:t>
            </w:r>
          </w:p>
        </w:tc>
      </w:tr>
      <w:tr w:rsidR="00C04EF8" w:rsidRPr="00E20B62" w14:paraId="50BC84C5" w14:textId="77777777" w:rsidTr="002774CB">
        <w:tc>
          <w:tcPr>
            <w:tcW w:w="2367" w:type="dxa"/>
            <w:shd w:val="clear" w:color="auto" w:fill="auto"/>
          </w:tcPr>
          <w:p w14:paraId="5AE5975B" w14:textId="4F829727" w:rsidR="00C04EF8" w:rsidRPr="004161CA" w:rsidRDefault="00C04EF8" w:rsidP="00E20B62">
            <w:pPr>
              <w:rPr>
                <w:sz w:val="22"/>
                <w:lang w:val="en-US"/>
              </w:rPr>
            </w:pPr>
            <w:r>
              <w:rPr>
                <w:sz w:val="22"/>
                <w:lang w:val="en-US"/>
              </w:rPr>
              <w:t>Insomnia</w:t>
            </w:r>
          </w:p>
        </w:tc>
        <w:tc>
          <w:tcPr>
            <w:tcW w:w="2343" w:type="dxa"/>
            <w:shd w:val="clear" w:color="auto" w:fill="auto"/>
          </w:tcPr>
          <w:p w14:paraId="34EC7319" w14:textId="0CDEC1E3" w:rsidR="00C04EF8" w:rsidRPr="004161CA" w:rsidDel="00C04EF8" w:rsidRDefault="00C04EF8" w:rsidP="00286778">
            <w:pPr>
              <w:jc w:val="center"/>
              <w:rPr>
                <w:sz w:val="22"/>
                <w:lang w:val="en-US"/>
              </w:rPr>
            </w:pPr>
            <w:r>
              <w:rPr>
                <w:sz w:val="22"/>
                <w:lang w:val="en-US"/>
              </w:rPr>
              <w:t>10</w:t>
            </w:r>
          </w:p>
        </w:tc>
        <w:tc>
          <w:tcPr>
            <w:tcW w:w="2073" w:type="dxa"/>
            <w:shd w:val="clear" w:color="auto" w:fill="auto"/>
          </w:tcPr>
          <w:p w14:paraId="6E085547" w14:textId="450A65BF" w:rsidR="00C04EF8" w:rsidRPr="004161CA" w:rsidRDefault="00C04EF8" w:rsidP="009A1545">
            <w:pPr>
              <w:ind w:right="737"/>
              <w:jc w:val="right"/>
              <w:rPr>
                <w:sz w:val="22"/>
                <w:lang w:val="en-US"/>
              </w:rPr>
            </w:pPr>
            <w:r>
              <w:rPr>
                <w:sz w:val="22"/>
                <w:lang w:val="en-US"/>
              </w:rPr>
              <w:t>0</w:t>
            </w:r>
          </w:p>
        </w:tc>
      </w:tr>
    </w:tbl>
    <w:p w14:paraId="54B1DFF3" w14:textId="605EE50B" w:rsidR="00E20B62" w:rsidRDefault="00E20B62" w:rsidP="002774CB">
      <w:pPr>
        <w:shd w:val="clear" w:color="auto" w:fill="FFFFFF"/>
        <w:tabs>
          <w:tab w:val="left" w:pos="142"/>
        </w:tabs>
        <w:spacing w:before="40"/>
        <w:ind w:left="312" w:hanging="142"/>
        <w:rPr>
          <w:rFonts w:eastAsia="Times New Roman"/>
          <w:sz w:val="20"/>
          <w:szCs w:val="24"/>
          <w:lang w:val="en-US" w:eastAsia="en-US"/>
        </w:rPr>
      </w:pPr>
      <w:r w:rsidRPr="00E20B62">
        <w:rPr>
          <w:rFonts w:eastAsia="Times New Roman"/>
          <w:sz w:val="20"/>
          <w:szCs w:val="24"/>
          <w:vertAlign w:val="superscript"/>
          <w:lang w:val="en-US" w:eastAsia="en-US"/>
        </w:rPr>
        <w:t>*</w:t>
      </w:r>
      <w:r w:rsidR="00244E9E">
        <w:rPr>
          <w:rFonts w:eastAsia="Times New Roman"/>
          <w:sz w:val="20"/>
          <w:szCs w:val="24"/>
          <w:vertAlign w:val="superscript"/>
          <w:lang w:val="en-US" w:eastAsia="en-US"/>
        </w:rPr>
        <w:tab/>
      </w:r>
      <w:r w:rsidR="00F45988">
        <w:rPr>
          <w:rFonts w:eastAsia="Times New Roman"/>
          <w:sz w:val="20"/>
          <w:szCs w:val="24"/>
          <w:lang w:val="en-US" w:eastAsia="en-US"/>
        </w:rPr>
        <w:t>Per Common Terminology Criteria for Adverse Events (CTCAE) version 4.0</w:t>
      </w:r>
    </w:p>
    <w:p w14:paraId="6A9C93EA" w14:textId="16F96221" w:rsidR="00F45988" w:rsidRPr="00F45988" w:rsidRDefault="00F45988" w:rsidP="002774CB">
      <w:pPr>
        <w:shd w:val="clear" w:color="auto" w:fill="FFFFFF"/>
        <w:tabs>
          <w:tab w:val="left" w:pos="142"/>
        </w:tabs>
        <w:ind w:left="312" w:hanging="142"/>
        <w:rPr>
          <w:rFonts w:eastAsia="Times New Roman"/>
          <w:sz w:val="20"/>
          <w:szCs w:val="24"/>
          <w:lang w:val="en-US" w:eastAsia="en-US"/>
        </w:rPr>
      </w:pPr>
      <w:proofErr w:type="spellStart"/>
      <w:proofErr w:type="gramStart"/>
      <w:r>
        <w:rPr>
          <w:rFonts w:eastAsia="Times New Roman"/>
          <w:sz w:val="20"/>
          <w:szCs w:val="24"/>
          <w:vertAlign w:val="superscript"/>
          <w:lang w:val="en-US" w:eastAsia="en-US"/>
        </w:rPr>
        <w:t>a</w:t>
      </w:r>
      <w:proofErr w:type="spellEnd"/>
      <w:proofErr w:type="gramEnd"/>
      <w:r w:rsidR="00244E9E">
        <w:rPr>
          <w:rFonts w:eastAsia="Times New Roman"/>
          <w:sz w:val="20"/>
          <w:szCs w:val="24"/>
          <w:vertAlign w:val="superscript"/>
          <w:lang w:val="en-US" w:eastAsia="en-US"/>
        </w:rPr>
        <w:tab/>
      </w:r>
      <w:r>
        <w:rPr>
          <w:rFonts w:eastAsia="Times New Roman"/>
          <w:sz w:val="20"/>
          <w:szCs w:val="24"/>
          <w:lang w:val="en-US" w:eastAsia="en-US"/>
        </w:rPr>
        <w:t>Includes fatigue and asthenia</w:t>
      </w:r>
    </w:p>
    <w:p w14:paraId="46E93F79" w14:textId="17CC4D14" w:rsidR="00E20B62" w:rsidRPr="00E20B62" w:rsidRDefault="00F45988" w:rsidP="002774CB">
      <w:pPr>
        <w:shd w:val="clear" w:color="auto" w:fill="FFFFFF"/>
        <w:tabs>
          <w:tab w:val="left" w:pos="142"/>
        </w:tabs>
        <w:ind w:left="312" w:hanging="142"/>
        <w:rPr>
          <w:rFonts w:eastAsia="SimSun"/>
          <w:sz w:val="20"/>
          <w:szCs w:val="24"/>
          <w:lang w:val="en-US" w:eastAsia="zh-CN"/>
        </w:rPr>
      </w:pPr>
      <w:proofErr w:type="gramStart"/>
      <w:r>
        <w:rPr>
          <w:rFonts w:eastAsia="Times New Roman"/>
          <w:sz w:val="20"/>
          <w:szCs w:val="24"/>
          <w:vertAlign w:val="superscript"/>
          <w:lang w:val="en-US" w:eastAsia="en-US"/>
        </w:rPr>
        <w:t>b</w:t>
      </w:r>
      <w:proofErr w:type="gramEnd"/>
      <w:r w:rsidR="00244E9E">
        <w:rPr>
          <w:rFonts w:eastAsia="Times New Roman"/>
          <w:sz w:val="20"/>
          <w:szCs w:val="24"/>
          <w:vertAlign w:val="superscript"/>
          <w:lang w:val="en-US" w:eastAsia="en-US"/>
        </w:rPr>
        <w:tab/>
      </w:r>
      <w:r w:rsidR="001F1A4B">
        <w:rPr>
          <w:rFonts w:eastAsia="SimSun"/>
          <w:sz w:val="20"/>
          <w:szCs w:val="24"/>
          <w:lang w:val="en-US" w:eastAsia="zh-CN"/>
        </w:rPr>
        <w:t>I</w:t>
      </w:r>
      <w:r w:rsidR="00E20B62" w:rsidRPr="00E20B62">
        <w:rPr>
          <w:rFonts w:eastAsia="SimSun"/>
          <w:sz w:val="20"/>
          <w:szCs w:val="24"/>
          <w:lang w:val="en-US" w:eastAsia="zh-CN"/>
        </w:rPr>
        <w:t>ncludes peripheral</w:t>
      </w:r>
      <w:r>
        <w:rPr>
          <w:rFonts w:eastAsia="SimSun"/>
          <w:sz w:val="20"/>
          <w:szCs w:val="24"/>
          <w:lang w:val="en-US" w:eastAsia="zh-CN"/>
        </w:rPr>
        <w:t xml:space="preserve"> </w:t>
      </w:r>
      <w:proofErr w:type="spellStart"/>
      <w:r>
        <w:rPr>
          <w:rFonts w:eastAsia="SimSun"/>
          <w:sz w:val="20"/>
          <w:szCs w:val="24"/>
          <w:lang w:val="en-US" w:eastAsia="zh-CN"/>
        </w:rPr>
        <w:t>o</w:t>
      </w:r>
      <w:r w:rsidRPr="00E20B62">
        <w:rPr>
          <w:rFonts w:eastAsia="SimSun"/>
          <w:sz w:val="20"/>
          <w:szCs w:val="24"/>
          <w:lang w:val="en-US" w:eastAsia="zh-CN"/>
        </w:rPr>
        <w:t>edema</w:t>
      </w:r>
      <w:proofErr w:type="spellEnd"/>
      <w:r w:rsidR="00E20B62" w:rsidRPr="00E20B62">
        <w:rPr>
          <w:rFonts w:eastAsia="SimSun"/>
          <w:sz w:val="20"/>
          <w:szCs w:val="24"/>
          <w:lang w:val="en-US" w:eastAsia="zh-CN"/>
        </w:rPr>
        <w:t xml:space="preserve">, </w:t>
      </w:r>
      <w:proofErr w:type="spellStart"/>
      <w:r w:rsidR="006C5CD0">
        <w:rPr>
          <w:rFonts w:eastAsia="SimSun"/>
          <w:sz w:val="20"/>
          <w:szCs w:val="24"/>
          <w:lang w:val="en-US" w:eastAsia="zh-CN"/>
        </w:rPr>
        <w:t>o</w:t>
      </w:r>
      <w:r w:rsidR="00E20B62" w:rsidRPr="00E20B62">
        <w:rPr>
          <w:rFonts w:eastAsia="SimSun"/>
          <w:sz w:val="20"/>
          <w:szCs w:val="24"/>
          <w:lang w:val="en-US" w:eastAsia="zh-CN"/>
        </w:rPr>
        <w:t>edema</w:t>
      </w:r>
      <w:proofErr w:type="spellEnd"/>
      <w:r w:rsidR="00E20B62" w:rsidRPr="00E20B62">
        <w:rPr>
          <w:rFonts w:eastAsia="SimSun"/>
          <w:sz w:val="20"/>
          <w:szCs w:val="24"/>
          <w:lang w:val="en-US" w:eastAsia="zh-CN"/>
        </w:rPr>
        <w:t xml:space="preserve">, </w:t>
      </w:r>
      <w:proofErr w:type="spellStart"/>
      <w:r w:rsidR="00E20B62" w:rsidRPr="00E20B62">
        <w:rPr>
          <w:rFonts w:eastAsia="SimSun"/>
          <w:sz w:val="20"/>
          <w:szCs w:val="24"/>
          <w:lang w:val="en-US" w:eastAsia="zh-CN"/>
        </w:rPr>
        <w:t>generali</w:t>
      </w:r>
      <w:r w:rsidR="00244E9E">
        <w:rPr>
          <w:rFonts w:eastAsia="SimSun"/>
          <w:sz w:val="20"/>
          <w:szCs w:val="24"/>
          <w:lang w:val="en-US" w:eastAsia="zh-CN"/>
        </w:rPr>
        <w:t>s</w:t>
      </w:r>
      <w:r w:rsidR="00E20B62" w:rsidRPr="00E20B62">
        <w:rPr>
          <w:rFonts w:eastAsia="SimSun"/>
          <w:sz w:val="20"/>
          <w:szCs w:val="24"/>
          <w:lang w:val="en-US" w:eastAsia="zh-CN"/>
        </w:rPr>
        <w:t>ed</w:t>
      </w:r>
      <w:proofErr w:type="spellEnd"/>
      <w:r w:rsidR="00E20B62" w:rsidRPr="00E20B62">
        <w:rPr>
          <w:rFonts w:eastAsia="SimSun"/>
          <w:sz w:val="20"/>
          <w:szCs w:val="24"/>
          <w:lang w:val="en-US" w:eastAsia="zh-CN"/>
        </w:rPr>
        <w:t xml:space="preserve"> </w:t>
      </w:r>
      <w:proofErr w:type="spellStart"/>
      <w:r w:rsidR="006C5CD0">
        <w:rPr>
          <w:rFonts w:eastAsia="SimSun"/>
          <w:sz w:val="20"/>
          <w:szCs w:val="24"/>
          <w:lang w:val="en-US" w:eastAsia="zh-CN"/>
        </w:rPr>
        <w:t>o</w:t>
      </w:r>
      <w:r w:rsidR="00E20B62" w:rsidRPr="00E20B62">
        <w:rPr>
          <w:rFonts w:eastAsia="SimSun"/>
          <w:sz w:val="20"/>
          <w:szCs w:val="24"/>
          <w:lang w:val="en-US" w:eastAsia="zh-CN"/>
        </w:rPr>
        <w:t>edema</w:t>
      </w:r>
      <w:proofErr w:type="spellEnd"/>
      <w:r w:rsidR="00E20B62" w:rsidRPr="00E20B62">
        <w:rPr>
          <w:rFonts w:eastAsia="SimSun"/>
          <w:sz w:val="20"/>
          <w:szCs w:val="24"/>
          <w:lang w:val="en-US" w:eastAsia="zh-CN"/>
        </w:rPr>
        <w:t xml:space="preserve">, eyelid </w:t>
      </w:r>
      <w:proofErr w:type="spellStart"/>
      <w:r w:rsidR="006C5CD0">
        <w:rPr>
          <w:rFonts w:eastAsia="SimSun"/>
          <w:sz w:val="20"/>
          <w:szCs w:val="24"/>
          <w:lang w:val="en-US" w:eastAsia="zh-CN"/>
        </w:rPr>
        <w:t>o</w:t>
      </w:r>
      <w:r w:rsidR="00E20B62" w:rsidRPr="00E20B62">
        <w:rPr>
          <w:rFonts w:eastAsia="SimSun"/>
          <w:sz w:val="20"/>
          <w:szCs w:val="24"/>
          <w:lang w:val="en-US" w:eastAsia="zh-CN"/>
        </w:rPr>
        <w:t>edema</w:t>
      </w:r>
      <w:proofErr w:type="spellEnd"/>
      <w:r w:rsidR="00E20B62" w:rsidRPr="00E20B62">
        <w:rPr>
          <w:rFonts w:eastAsia="SimSun"/>
          <w:sz w:val="20"/>
          <w:szCs w:val="24"/>
          <w:lang w:val="en-US" w:eastAsia="zh-CN"/>
        </w:rPr>
        <w:t xml:space="preserve">, periorbital </w:t>
      </w:r>
      <w:proofErr w:type="spellStart"/>
      <w:r w:rsidR="006C5CD0">
        <w:rPr>
          <w:rFonts w:eastAsia="SimSun"/>
          <w:sz w:val="20"/>
          <w:szCs w:val="24"/>
          <w:lang w:val="en-US" w:eastAsia="zh-CN"/>
        </w:rPr>
        <w:t>o</w:t>
      </w:r>
      <w:r w:rsidR="00E20B62" w:rsidRPr="00E20B62">
        <w:rPr>
          <w:rFonts w:eastAsia="SimSun"/>
          <w:sz w:val="20"/>
          <w:szCs w:val="24"/>
          <w:lang w:val="en-US" w:eastAsia="zh-CN"/>
        </w:rPr>
        <w:t>edema</w:t>
      </w:r>
      <w:proofErr w:type="spellEnd"/>
    </w:p>
    <w:p w14:paraId="7D34E8C2" w14:textId="35EEBDA0" w:rsidR="00E20B62" w:rsidRPr="00E20B62" w:rsidRDefault="001F1A4B" w:rsidP="002774CB">
      <w:pPr>
        <w:shd w:val="clear" w:color="auto" w:fill="FFFFFF"/>
        <w:tabs>
          <w:tab w:val="left" w:pos="142"/>
        </w:tabs>
        <w:ind w:left="312" w:hanging="142"/>
        <w:rPr>
          <w:rFonts w:eastAsia="SimSun"/>
          <w:sz w:val="20"/>
          <w:szCs w:val="24"/>
          <w:lang w:val="en-US" w:eastAsia="zh-CN"/>
        </w:rPr>
      </w:pPr>
      <w:proofErr w:type="gramStart"/>
      <w:r>
        <w:rPr>
          <w:rFonts w:eastAsia="SimSun"/>
          <w:sz w:val="20"/>
          <w:szCs w:val="24"/>
          <w:vertAlign w:val="superscript"/>
          <w:lang w:val="en-US" w:eastAsia="zh-CN"/>
        </w:rPr>
        <w:t>c</w:t>
      </w:r>
      <w:proofErr w:type="gramEnd"/>
      <w:r w:rsidR="00244E9E">
        <w:rPr>
          <w:rFonts w:eastAsia="SimSun"/>
          <w:sz w:val="20"/>
          <w:szCs w:val="24"/>
          <w:vertAlign w:val="superscript"/>
          <w:lang w:val="en-US" w:eastAsia="zh-CN"/>
        </w:rPr>
        <w:tab/>
      </w:r>
      <w:r>
        <w:rPr>
          <w:rFonts w:eastAsia="SimSun"/>
          <w:sz w:val="20"/>
          <w:szCs w:val="24"/>
          <w:lang w:val="en-US" w:eastAsia="zh-CN"/>
        </w:rPr>
        <w:t>I</w:t>
      </w:r>
      <w:r w:rsidR="00E20B62" w:rsidRPr="00E20B62">
        <w:rPr>
          <w:rFonts w:eastAsia="SimSun"/>
          <w:sz w:val="20"/>
          <w:szCs w:val="24"/>
          <w:lang w:val="en-US" w:eastAsia="zh-CN"/>
        </w:rPr>
        <w:t>ncludes myalgia and musculoskeletal pain</w:t>
      </w:r>
    </w:p>
    <w:p w14:paraId="71D25894" w14:textId="2BF4BB79" w:rsidR="00E20B62" w:rsidRDefault="001F1A4B" w:rsidP="002774CB">
      <w:pPr>
        <w:shd w:val="clear" w:color="auto" w:fill="FFFFFF"/>
        <w:tabs>
          <w:tab w:val="left" w:pos="142"/>
        </w:tabs>
        <w:ind w:left="312" w:hanging="142"/>
        <w:rPr>
          <w:rFonts w:eastAsia="SimSun"/>
          <w:sz w:val="20"/>
          <w:szCs w:val="24"/>
          <w:lang w:val="en-US" w:eastAsia="zh-CN"/>
        </w:rPr>
      </w:pPr>
      <w:proofErr w:type="gramStart"/>
      <w:r>
        <w:rPr>
          <w:rFonts w:eastAsia="SimSun"/>
          <w:sz w:val="20"/>
          <w:szCs w:val="24"/>
          <w:vertAlign w:val="superscript"/>
          <w:lang w:val="en-US" w:eastAsia="zh-CN"/>
        </w:rPr>
        <w:lastRenderedPageBreak/>
        <w:t>d</w:t>
      </w:r>
      <w:proofErr w:type="gramEnd"/>
      <w:r>
        <w:rPr>
          <w:rFonts w:eastAsia="SimSun"/>
          <w:sz w:val="20"/>
          <w:szCs w:val="24"/>
          <w:vertAlign w:val="superscript"/>
          <w:lang w:val="en-US" w:eastAsia="zh-CN"/>
        </w:rPr>
        <w:t xml:space="preserve"> </w:t>
      </w:r>
      <w:r w:rsidR="00244E9E">
        <w:rPr>
          <w:rFonts w:eastAsia="SimSun"/>
          <w:sz w:val="20"/>
          <w:szCs w:val="24"/>
          <w:vertAlign w:val="superscript"/>
          <w:lang w:val="en-US" w:eastAsia="zh-CN"/>
        </w:rPr>
        <w:tab/>
      </w:r>
      <w:r>
        <w:rPr>
          <w:rFonts w:eastAsia="SimSun"/>
          <w:sz w:val="20"/>
          <w:szCs w:val="24"/>
          <w:lang w:val="en-US" w:eastAsia="zh-CN"/>
        </w:rPr>
        <w:t>I</w:t>
      </w:r>
      <w:r w:rsidR="00E20B62" w:rsidRPr="00E20B62">
        <w:rPr>
          <w:rFonts w:eastAsia="SimSun"/>
          <w:sz w:val="20"/>
          <w:szCs w:val="24"/>
          <w:lang w:val="en-US" w:eastAsia="zh-CN"/>
        </w:rPr>
        <w:t>ncludes rash, maculopapular</w:t>
      </w:r>
      <w:r>
        <w:rPr>
          <w:rFonts w:eastAsia="SimSun"/>
          <w:sz w:val="20"/>
          <w:szCs w:val="24"/>
          <w:lang w:val="en-US" w:eastAsia="zh-CN"/>
        </w:rPr>
        <w:t xml:space="preserve"> </w:t>
      </w:r>
      <w:r w:rsidRPr="00E20B62">
        <w:rPr>
          <w:rFonts w:eastAsia="SimSun"/>
          <w:sz w:val="20"/>
          <w:szCs w:val="24"/>
          <w:lang w:val="en-US" w:eastAsia="zh-CN"/>
        </w:rPr>
        <w:t>rash</w:t>
      </w:r>
      <w:r w:rsidR="00E20B62" w:rsidRPr="00E20B62">
        <w:rPr>
          <w:rFonts w:eastAsia="SimSun"/>
          <w:sz w:val="20"/>
          <w:szCs w:val="24"/>
          <w:lang w:val="en-US" w:eastAsia="zh-CN"/>
        </w:rPr>
        <w:t>, acneiform</w:t>
      </w:r>
      <w:r>
        <w:rPr>
          <w:rFonts w:eastAsia="SimSun"/>
          <w:sz w:val="20"/>
          <w:szCs w:val="24"/>
          <w:lang w:val="en-US" w:eastAsia="zh-CN"/>
        </w:rPr>
        <w:t xml:space="preserve"> </w:t>
      </w:r>
      <w:r w:rsidRPr="00E20B62">
        <w:rPr>
          <w:rFonts w:eastAsia="SimSun"/>
          <w:sz w:val="20"/>
          <w:szCs w:val="24"/>
          <w:lang w:val="en-US" w:eastAsia="zh-CN"/>
        </w:rPr>
        <w:t>dermatitis</w:t>
      </w:r>
      <w:r w:rsidR="00E20B62" w:rsidRPr="00E20B62">
        <w:rPr>
          <w:rFonts w:eastAsia="SimSun"/>
          <w:sz w:val="20"/>
          <w:szCs w:val="24"/>
          <w:lang w:val="en-US" w:eastAsia="zh-CN"/>
        </w:rPr>
        <w:t xml:space="preserve">, erythema, </w:t>
      </w:r>
      <w:proofErr w:type="spellStart"/>
      <w:r w:rsidR="00E20B62" w:rsidRPr="00E20B62">
        <w:rPr>
          <w:rFonts w:eastAsia="SimSun"/>
          <w:sz w:val="20"/>
          <w:szCs w:val="24"/>
          <w:lang w:val="en-US" w:eastAsia="zh-CN"/>
        </w:rPr>
        <w:t>generali</w:t>
      </w:r>
      <w:r w:rsidR="00244E9E">
        <w:rPr>
          <w:rFonts w:eastAsia="SimSun"/>
          <w:sz w:val="20"/>
          <w:szCs w:val="24"/>
          <w:lang w:val="en-US" w:eastAsia="zh-CN"/>
        </w:rPr>
        <w:t>s</w:t>
      </w:r>
      <w:r w:rsidR="00E20B62" w:rsidRPr="00E20B62">
        <w:rPr>
          <w:rFonts w:eastAsia="SimSun"/>
          <w:sz w:val="20"/>
          <w:szCs w:val="24"/>
          <w:lang w:val="en-US" w:eastAsia="zh-CN"/>
        </w:rPr>
        <w:t>ed</w:t>
      </w:r>
      <w:proofErr w:type="spellEnd"/>
      <w:r>
        <w:rPr>
          <w:rFonts w:eastAsia="SimSun"/>
          <w:sz w:val="20"/>
          <w:szCs w:val="24"/>
          <w:lang w:val="en-US" w:eastAsia="zh-CN"/>
        </w:rPr>
        <w:t xml:space="preserve"> </w:t>
      </w:r>
      <w:r w:rsidRPr="00E20B62">
        <w:rPr>
          <w:rFonts w:eastAsia="SimSun"/>
          <w:sz w:val="20"/>
          <w:szCs w:val="24"/>
          <w:lang w:val="en-US" w:eastAsia="zh-CN"/>
        </w:rPr>
        <w:t>rash</w:t>
      </w:r>
      <w:r w:rsidR="00E20B62" w:rsidRPr="00E20B62">
        <w:rPr>
          <w:rFonts w:eastAsia="SimSun"/>
          <w:sz w:val="20"/>
          <w:szCs w:val="24"/>
          <w:lang w:val="en-US" w:eastAsia="zh-CN"/>
        </w:rPr>
        <w:t xml:space="preserve">, </w:t>
      </w:r>
      <w:proofErr w:type="spellStart"/>
      <w:r>
        <w:rPr>
          <w:rFonts w:eastAsia="SimSun"/>
          <w:sz w:val="20"/>
          <w:szCs w:val="24"/>
          <w:lang w:val="en-US" w:eastAsia="zh-CN"/>
        </w:rPr>
        <w:t>p</w:t>
      </w:r>
      <w:r w:rsidR="00D70753">
        <w:rPr>
          <w:rFonts w:eastAsia="SimSun"/>
          <w:sz w:val="20"/>
          <w:szCs w:val="24"/>
          <w:lang w:val="en-US" w:eastAsia="zh-CN"/>
        </w:rPr>
        <w:t>a</w:t>
      </w:r>
      <w:r>
        <w:rPr>
          <w:rFonts w:eastAsia="SimSun"/>
          <w:sz w:val="20"/>
          <w:szCs w:val="24"/>
          <w:lang w:val="en-US" w:eastAsia="zh-CN"/>
        </w:rPr>
        <w:t>pular</w:t>
      </w:r>
      <w:proofErr w:type="spellEnd"/>
      <w:r w:rsidRPr="001F1A4B">
        <w:rPr>
          <w:rFonts w:eastAsia="SimSun"/>
          <w:sz w:val="20"/>
          <w:szCs w:val="24"/>
          <w:lang w:val="en-US" w:eastAsia="zh-CN"/>
        </w:rPr>
        <w:t xml:space="preserve"> </w:t>
      </w:r>
      <w:r w:rsidRPr="00E20B62">
        <w:rPr>
          <w:rFonts w:eastAsia="SimSun"/>
          <w:sz w:val="20"/>
          <w:szCs w:val="24"/>
          <w:lang w:val="en-US" w:eastAsia="zh-CN"/>
        </w:rPr>
        <w:t>rash</w:t>
      </w:r>
      <w:r w:rsidR="00E20B62" w:rsidRPr="00E20B62">
        <w:rPr>
          <w:rFonts w:eastAsia="SimSun"/>
          <w:sz w:val="20"/>
          <w:szCs w:val="24"/>
          <w:lang w:val="en-US" w:eastAsia="zh-CN"/>
        </w:rPr>
        <w:t xml:space="preserve">, pruritic </w:t>
      </w:r>
      <w:r w:rsidRPr="00E20B62">
        <w:rPr>
          <w:rFonts w:eastAsia="SimSun"/>
          <w:sz w:val="20"/>
          <w:szCs w:val="24"/>
          <w:lang w:val="en-US" w:eastAsia="zh-CN"/>
        </w:rPr>
        <w:t xml:space="preserve">rash </w:t>
      </w:r>
      <w:r w:rsidR="00E20B62" w:rsidRPr="00E20B62">
        <w:rPr>
          <w:rFonts w:eastAsia="SimSun"/>
          <w:sz w:val="20"/>
          <w:szCs w:val="24"/>
          <w:lang w:val="en-US" w:eastAsia="zh-CN"/>
        </w:rPr>
        <w:t>and macular</w:t>
      </w:r>
      <w:r>
        <w:rPr>
          <w:rFonts w:eastAsia="SimSun"/>
          <w:sz w:val="20"/>
          <w:szCs w:val="24"/>
          <w:lang w:val="en-US" w:eastAsia="zh-CN"/>
        </w:rPr>
        <w:t xml:space="preserve"> </w:t>
      </w:r>
      <w:r w:rsidRPr="00E20B62">
        <w:rPr>
          <w:rFonts w:eastAsia="SimSun"/>
          <w:sz w:val="20"/>
          <w:szCs w:val="24"/>
          <w:lang w:val="en-US" w:eastAsia="zh-CN"/>
        </w:rPr>
        <w:t>rash</w:t>
      </w:r>
    </w:p>
    <w:p w14:paraId="1FE60D62" w14:textId="7B9B915F" w:rsidR="001F1A4B" w:rsidRPr="001F1A4B" w:rsidRDefault="001F1A4B" w:rsidP="002774CB">
      <w:pPr>
        <w:shd w:val="clear" w:color="auto" w:fill="FFFFFF"/>
        <w:tabs>
          <w:tab w:val="left" w:pos="142"/>
        </w:tabs>
        <w:ind w:left="312" w:hanging="142"/>
        <w:rPr>
          <w:rFonts w:eastAsia="SimSun"/>
          <w:sz w:val="20"/>
          <w:szCs w:val="24"/>
          <w:lang w:val="en-US" w:eastAsia="zh-CN"/>
        </w:rPr>
      </w:pPr>
      <w:proofErr w:type="gramStart"/>
      <w:r>
        <w:rPr>
          <w:rFonts w:eastAsia="SimSun"/>
          <w:sz w:val="20"/>
          <w:szCs w:val="24"/>
          <w:vertAlign w:val="superscript"/>
          <w:lang w:val="en-US" w:eastAsia="zh-CN"/>
        </w:rPr>
        <w:t>e</w:t>
      </w:r>
      <w:proofErr w:type="gramEnd"/>
      <w:r w:rsidR="00244E9E">
        <w:rPr>
          <w:rFonts w:eastAsia="SimSun"/>
          <w:sz w:val="20"/>
          <w:szCs w:val="24"/>
          <w:lang w:val="en-US" w:eastAsia="zh-CN"/>
        </w:rPr>
        <w:tab/>
      </w:r>
      <w:r>
        <w:rPr>
          <w:rFonts w:eastAsia="SimSun"/>
          <w:sz w:val="20"/>
          <w:szCs w:val="24"/>
          <w:lang w:val="en-US" w:eastAsia="zh-CN"/>
        </w:rPr>
        <w:t>Includes one Grade 5 event</w:t>
      </w:r>
    </w:p>
    <w:p w14:paraId="346D2362" w14:textId="70E862A0" w:rsidR="001F1A4B" w:rsidRPr="00E20B62" w:rsidRDefault="001F1A4B" w:rsidP="002774CB">
      <w:pPr>
        <w:shd w:val="clear" w:color="auto" w:fill="FFFFFF"/>
        <w:tabs>
          <w:tab w:val="left" w:pos="142"/>
        </w:tabs>
        <w:ind w:left="312" w:hanging="142"/>
        <w:rPr>
          <w:rFonts w:eastAsia="SimSun"/>
          <w:sz w:val="20"/>
          <w:szCs w:val="24"/>
          <w:lang w:val="en-US" w:eastAsia="zh-CN"/>
        </w:rPr>
      </w:pPr>
      <w:proofErr w:type="gramStart"/>
      <w:r>
        <w:rPr>
          <w:rFonts w:eastAsia="SimSun"/>
          <w:sz w:val="20"/>
          <w:szCs w:val="24"/>
          <w:vertAlign w:val="superscript"/>
          <w:lang w:val="en-US" w:eastAsia="zh-CN"/>
        </w:rPr>
        <w:t>f</w:t>
      </w:r>
      <w:proofErr w:type="gramEnd"/>
      <w:r w:rsidR="00244E9E">
        <w:rPr>
          <w:rFonts w:eastAsia="SimSun"/>
          <w:sz w:val="20"/>
          <w:szCs w:val="24"/>
          <w:lang w:val="en-US" w:eastAsia="zh-CN"/>
        </w:rPr>
        <w:tab/>
      </w:r>
      <w:r>
        <w:rPr>
          <w:rFonts w:eastAsia="SimSun"/>
          <w:sz w:val="20"/>
          <w:szCs w:val="24"/>
          <w:lang w:val="en-US" w:eastAsia="zh-CN"/>
        </w:rPr>
        <w:t>I</w:t>
      </w:r>
      <w:r w:rsidRPr="00E20B62">
        <w:rPr>
          <w:rFonts w:eastAsia="SimSun"/>
          <w:sz w:val="20"/>
          <w:szCs w:val="24"/>
          <w:lang w:val="en-US" w:eastAsia="zh-CN"/>
        </w:rPr>
        <w:t>ncludes blurred vision, vitreous floaters, visual impairment,</w:t>
      </w:r>
      <w:r>
        <w:rPr>
          <w:rFonts w:eastAsia="SimSun"/>
          <w:sz w:val="20"/>
          <w:szCs w:val="24"/>
          <w:lang w:val="en-US" w:eastAsia="zh-CN"/>
        </w:rPr>
        <w:t xml:space="preserve"> </w:t>
      </w:r>
      <w:r w:rsidRPr="00E20B62">
        <w:rPr>
          <w:rFonts w:eastAsia="SimSun"/>
          <w:sz w:val="20"/>
          <w:szCs w:val="24"/>
          <w:lang w:val="en-US" w:eastAsia="zh-CN"/>
        </w:rPr>
        <w:t>reduced visual acuity, asthenopia, and diplopia</w:t>
      </w:r>
    </w:p>
    <w:p w14:paraId="5D7B7515" w14:textId="7EA7FA1B" w:rsidR="00E20B62" w:rsidRPr="00F47230" w:rsidRDefault="001F1A4B" w:rsidP="002774CB">
      <w:pPr>
        <w:shd w:val="clear" w:color="auto" w:fill="FFFFFF"/>
        <w:tabs>
          <w:tab w:val="left" w:pos="142"/>
        </w:tabs>
        <w:ind w:left="312" w:hanging="142"/>
        <w:rPr>
          <w:rFonts w:eastAsia="SimSun"/>
          <w:sz w:val="20"/>
          <w:szCs w:val="24"/>
          <w:vertAlign w:val="superscript"/>
          <w:lang w:val="en-US" w:eastAsia="zh-CN"/>
        </w:rPr>
      </w:pPr>
      <w:proofErr w:type="gramStart"/>
      <w:r w:rsidRPr="00F47230">
        <w:rPr>
          <w:rFonts w:eastAsia="SimSun"/>
          <w:sz w:val="20"/>
          <w:szCs w:val="24"/>
          <w:vertAlign w:val="superscript"/>
          <w:lang w:val="en-US" w:eastAsia="zh-CN"/>
        </w:rPr>
        <w:t>g</w:t>
      </w:r>
      <w:proofErr w:type="gramEnd"/>
      <w:r w:rsidR="00244E9E">
        <w:rPr>
          <w:rFonts w:eastAsia="SimSun"/>
          <w:sz w:val="20"/>
          <w:szCs w:val="24"/>
          <w:vertAlign w:val="superscript"/>
          <w:lang w:val="en-US" w:eastAsia="zh-CN"/>
        </w:rPr>
        <w:tab/>
      </w:r>
      <w:r>
        <w:rPr>
          <w:rFonts w:eastAsia="SimSun"/>
          <w:sz w:val="20"/>
          <w:szCs w:val="24"/>
          <w:lang w:val="en-US" w:eastAsia="zh-CN"/>
        </w:rPr>
        <w:t>Includes photosensitivity reaction and sunburn</w:t>
      </w:r>
    </w:p>
    <w:p w14:paraId="26413962" w14:textId="645F53C1" w:rsidR="00461F3B" w:rsidRPr="007959AA" w:rsidRDefault="00461F3B" w:rsidP="00D43C8A">
      <w:pPr>
        <w:pStyle w:val="Heading3"/>
        <w:rPr>
          <w:lang w:eastAsia="en-GB"/>
        </w:rPr>
      </w:pPr>
      <w:r w:rsidRPr="007959AA">
        <w:rPr>
          <w:lang w:eastAsia="en-GB"/>
        </w:rPr>
        <w:t>Laboratory Abnormalities</w:t>
      </w:r>
    </w:p>
    <w:p w14:paraId="2F43287D" w14:textId="70201CEB" w:rsidR="00461F3B" w:rsidRDefault="00F271DB" w:rsidP="00461F3B">
      <w:pPr>
        <w:rPr>
          <w:bCs/>
          <w:iCs/>
        </w:rPr>
      </w:pPr>
      <w:r>
        <w:rPr>
          <w:lang w:val="en-NZ"/>
        </w:rPr>
        <w:t xml:space="preserve">Table 5 summarises the most common </w:t>
      </w:r>
      <w:r w:rsidR="00461F3B" w:rsidRPr="00461F3B">
        <w:rPr>
          <w:lang w:val="en-NZ"/>
        </w:rPr>
        <w:t xml:space="preserve">treatment-emergent </w:t>
      </w:r>
      <w:r>
        <w:rPr>
          <w:lang w:val="en-NZ"/>
        </w:rPr>
        <w:t xml:space="preserve">shifts in key </w:t>
      </w:r>
      <w:r w:rsidR="00461F3B" w:rsidRPr="00461F3B">
        <w:rPr>
          <w:lang w:val="en-NZ"/>
        </w:rPr>
        <w:t xml:space="preserve">laboratory abnormalities occurring in patients </w:t>
      </w:r>
      <w:r>
        <w:rPr>
          <w:lang w:val="en-NZ"/>
        </w:rPr>
        <w:t>who received</w:t>
      </w:r>
      <w:r w:rsidR="00461F3B" w:rsidRPr="00461F3B">
        <w:rPr>
          <w:lang w:val="en-NZ"/>
        </w:rPr>
        <w:t xml:space="preserve"> </w:t>
      </w:r>
      <w:r w:rsidR="00D02E38">
        <w:rPr>
          <w:bCs/>
          <w:iCs/>
        </w:rPr>
        <w:t>ALECENSA</w:t>
      </w:r>
      <w:r>
        <w:rPr>
          <w:bCs/>
          <w:iCs/>
        </w:rPr>
        <w:t xml:space="preserve"> in Studies 1 and 2</w:t>
      </w:r>
      <w:r w:rsidR="00461F3B">
        <w:rPr>
          <w:bCs/>
          <w:iCs/>
        </w:rPr>
        <w:t>.</w:t>
      </w:r>
    </w:p>
    <w:p w14:paraId="51CDFB38" w14:textId="29C09F31" w:rsidR="005E5127" w:rsidRDefault="00D43C8A" w:rsidP="00D43C8A">
      <w:pPr>
        <w:pStyle w:val="Caption"/>
        <w:rPr>
          <w:b w:val="0"/>
          <w:lang w:val="en-US"/>
        </w:rPr>
      </w:pPr>
      <w:proofErr w:type="gramStart"/>
      <w:r>
        <w:t xml:space="preserve">Table </w:t>
      </w:r>
      <w:r w:rsidR="00C728BF">
        <w:fldChar w:fldCharType="begin"/>
      </w:r>
      <w:r w:rsidR="00C728BF">
        <w:instrText xml:space="preserve"> SEQ Table \* ARABIC </w:instrText>
      </w:r>
      <w:r w:rsidR="00C728BF">
        <w:fldChar w:fldCharType="separate"/>
      </w:r>
      <w:r>
        <w:rPr>
          <w:noProof/>
        </w:rPr>
        <w:t>5</w:t>
      </w:r>
      <w:r w:rsidR="00C728BF">
        <w:rPr>
          <w:noProof/>
        </w:rPr>
        <w:fldChar w:fldCharType="end"/>
      </w:r>
      <w:r w:rsidR="00322B7D">
        <w:rPr>
          <w:lang w:val="en-US"/>
        </w:rPr>
        <w:t>.</w:t>
      </w:r>
      <w:proofErr w:type="gramEnd"/>
      <w:r w:rsidR="00461F3B" w:rsidRPr="00461F3B">
        <w:rPr>
          <w:lang w:val="en-US"/>
        </w:rPr>
        <w:t xml:space="preserve"> </w:t>
      </w:r>
      <w:r w:rsidR="006B20E0">
        <w:rPr>
          <w:lang w:val="en-US"/>
        </w:rPr>
        <w:t>Treatment-emergent shifts in k</w:t>
      </w:r>
      <w:r w:rsidR="00461F3B" w:rsidRPr="00461F3B">
        <w:rPr>
          <w:lang w:val="en-US"/>
        </w:rPr>
        <w:t>ey laboratory abnormalities</w:t>
      </w:r>
      <w:r w:rsidR="006B20E0">
        <w:rPr>
          <w:lang w:val="en-US"/>
        </w:rPr>
        <w:t xml:space="preserve"> occurring in ≥20% (all Grades) or ≥2% (Grade 3-4) of patients treated with ALECENSA in Studies 1 and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5. Treatment-emergent shifts in key laboratory abnormalities occurring in ≥20% (all Grades) or ≥2% (Grade 3-4) of patients treated with ALECENSA in Studies 1 and 2"/>
      </w:tblPr>
      <w:tblGrid>
        <w:gridCol w:w="534"/>
        <w:gridCol w:w="4110"/>
        <w:gridCol w:w="2127"/>
        <w:gridCol w:w="2085"/>
      </w:tblGrid>
      <w:tr w:rsidR="00461F3B" w:rsidRPr="00461F3B" w14:paraId="17E927FF" w14:textId="77777777" w:rsidTr="00D43C8A">
        <w:trPr>
          <w:tblHeader/>
        </w:trPr>
        <w:tc>
          <w:tcPr>
            <w:tcW w:w="4644" w:type="dxa"/>
            <w:gridSpan w:val="2"/>
            <w:shd w:val="clear" w:color="auto" w:fill="auto"/>
          </w:tcPr>
          <w:p w14:paraId="74DC55BB" w14:textId="0E752632" w:rsidR="00461F3B" w:rsidRPr="004161CA" w:rsidRDefault="00461F3B" w:rsidP="00461F3B">
            <w:pPr>
              <w:spacing w:line="300" w:lineRule="atLeast"/>
              <w:rPr>
                <w:rFonts w:eastAsia="Times New Roman"/>
                <w:b/>
                <w:sz w:val="22"/>
                <w:lang w:val="en-US" w:eastAsia="zh-CN"/>
              </w:rPr>
            </w:pPr>
            <w:r w:rsidRPr="004161CA">
              <w:rPr>
                <w:rFonts w:eastAsia="Times New Roman"/>
                <w:b/>
                <w:sz w:val="22"/>
                <w:lang w:val="en-US" w:eastAsia="zh-CN"/>
              </w:rPr>
              <w:t>Parameter</w:t>
            </w:r>
          </w:p>
        </w:tc>
        <w:tc>
          <w:tcPr>
            <w:tcW w:w="4212" w:type="dxa"/>
            <w:gridSpan w:val="2"/>
            <w:shd w:val="clear" w:color="auto" w:fill="auto"/>
          </w:tcPr>
          <w:p w14:paraId="43D1D202" w14:textId="46650821" w:rsidR="00461F3B" w:rsidRPr="004161CA" w:rsidRDefault="003C43CB" w:rsidP="00461F3B">
            <w:pPr>
              <w:spacing w:line="300" w:lineRule="atLeast"/>
              <w:jc w:val="center"/>
              <w:rPr>
                <w:rFonts w:eastAsia="Times New Roman"/>
                <w:b/>
                <w:sz w:val="22"/>
                <w:lang w:val="en-US" w:eastAsia="zh-CN"/>
              </w:rPr>
            </w:pPr>
            <w:r w:rsidRPr="004161CA">
              <w:rPr>
                <w:rFonts w:eastAsia="Times New Roman"/>
                <w:b/>
                <w:sz w:val="22"/>
                <w:lang w:val="en-US" w:eastAsia="zh-CN"/>
              </w:rPr>
              <w:t>A</w:t>
            </w:r>
            <w:r>
              <w:rPr>
                <w:rFonts w:eastAsia="Times New Roman"/>
                <w:b/>
                <w:sz w:val="22"/>
                <w:lang w:val="en-US" w:eastAsia="zh-CN"/>
              </w:rPr>
              <w:t>LECENSA</w:t>
            </w:r>
          </w:p>
          <w:p w14:paraId="35D7190F" w14:textId="2281FFFA" w:rsidR="00461F3B" w:rsidRPr="004161CA" w:rsidRDefault="00461F3B" w:rsidP="00D43C8A">
            <w:pPr>
              <w:spacing w:line="300" w:lineRule="atLeast"/>
              <w:jc w:val="center"/>
              <w:rPr>
                <w:rFonts w:eastAsia="Times New Roman"/>
                <w:b/>
                <w:sz w:val="22"/>
                <w:lang w:val="en-US" w:eastAsia="zh-CN"/>
              </w:rPr>
            </w:pPr>
            <w:r w:rsidRPr="004161CA">
              <w:rPr>
                <w:rFonts w:eastAsia="Times New Roman"/>
                <w:b/>
                <w:sz w:val="22"/>
                <w:lang w:val="en-US" w:eastAsia="zh-CN"/>
              </w:rPr>
              <w:t>N= 250</w:t>
            </w:r>
          </w:p>
        </w:tc>
      </w:tr>
      <w:tr w:rsidR="00461F3B" w:rsidRPr="00461F3B" w14:paraId="28CC341E" w14:textId="77777777" w:rsidTr="00D25C69">
        <w:tc>
          <w:tcPr>
            <w:tcW w:w="4644" w:type="dxa"/>
            <w:gridSpan w:val="2"/>
            <w:shd w:val="clear" w:color="auto" w:fill="auto"/>
          </w:tcPr>
          <w:p w14:paraId="66B0296A" w14:textId="77777777" w:rsidR="00461F3B" w:rsidRPr="004161CA" w:rsidRDefault="00461F3B" w:rsidP="00461F3B">
            <w:pPr>
              <w:spacing w:line="300" w:lineRule="atLeast"/>
              <w:rPr>
                <w:rFonts w:eastAsia="Times New Roman"/>
                <w:b/>
                <w:sz w:val="22"/>
                <w:lang w:val="en-US" w:eastAsia="zh-CN"/>
              </w:rPr>
            </w:pPr>
          </w:p>
        </w:tc>
        <w:tc>
          <w:tcPr>
            <w:tcW w:w="2127" w:type="dxa"/>
            <w:shd w:val="clear" w:color="auto" w:fill="auto"/>
          </w:tcPr>
          <w:p w14:paraId="0F31C82A" w14:textId="71F539C3" w:rsidR="00461F3B" w:rsidRPr="004161CA" w:rsidRDefault="00461F3B" w:rsidP="00461F3B">
            <w:pPr>
              <w:spacing w:line="300" w:lineRule="atLeast"/>
              <w:jc w:val="center"/>
              <w:rPr>
                <w:rFonts w:eastAsia="Times New Roman"/>
                <w:b/>
                <w:sz w:val="22"/>
                <w:lang w:val="en-US" w:eastAsia="zh-CN"/>
              </w:rPr>
            </w:pPr>
            <w:r w:rsidRPr="004161CA">
              <w:rPr>
                <w:rFonts w:eastAsia="Times New Roman"/>
                <w:b/>
                <w:sz w:val="22"/>
                <w:lang w:val="en-US" w:eastAsia="zh-CN"/>
              </w:rPr>
              <w:t>All Grade</w:t>
            </w:r>
            <w:r w:rsidR="003C43CB">
              <w:rPr>
                <w:rFonts w:eastAsia="Times New Roman"/>
                <w:b/>
                <w:sz w:val="22"/>
                <w:lang w:val="en-US" w:eastAsia="zh-CN"/>
              </w:rPr>
              <w:t>s</w:t>
            </w:r>
            <w:r w:rsidRPr="004161CA">
              <w:rPr>
                <w:rFonts w:eastAsia="Times New Roman"/>
                <w:b/>
                <w:sz w:val="22"/>
                <w:lang w:val="en-US" w:eastAsia="zh-CN"/>
              </w:rPr>
              <w:t xml:space="preserve"> (%)</w:t>
            </w:r>
          </w:p>
        </w:tc>
        <w:tc>
          <w:tcPr>
            <w:tcW w:w="2085" w:type="dxa"/>
            <w:shd w:val="clear" w:color="auto" w:fill="auto"/>
          </w:tcPr>
          <w:p w14:paraId="03D8A204" w14:textId="457837CA" w:rsidR="00461F3B" w:rsidRPr="004161CA" w:rsidRDefault="00461F3B" w:rsidP="00BF37CC">
            <w:pPr>
              <w:spacing w:line="300" w:lineRule="atLeast"/>
              <w:jc w:val="center"/>
              <w:rPr>
                <w:rFonts w:eastAsia="Times New Roman"/>
                <w:b/>
                <w:sz w:val="22"/>
                <w:lang w:val="en-US" w:eastAsia="zh-CN"/>
              </w:rPr>
            </w:pPr>
            <w:r w:rsidRPr="004161CA">
              <w:rPr>
                <w:rFonts w:eastAsia="Times New Roman"/>
                <w:b/>
                <w:sz w:val="22"/>
                <w:lang w:val="en-US" w:eastAsia="zh-CN"/>
              </w:rPr>
              <w:t>Grade 3 -4</w:t>
            </w:r>
            <w:r w:rsidR="00BF37CC" w:rsidRPr="004161CA">
              <w:rPr>
                <w:rFonts w:eastAsia="Times New Roman"/>
                <w:b/>
                <w:sz w:val="22"/>
                <w:lang w:val="en-US" w:eastAsia="zh-CN"/>
              </w:rPr>
              <w:t>*</w:t>
            </w:r>
            <w:r w:rsidR="002C5FFC">
              <w:rPr>
                <w:rFonts w:eastAsia="Times New Roman"/>
                <w:b/>
                <w:sz w:val="22"/>
                <w:lang w:val="en-US" w:eastAsia="zh-CN"/>
              </w:rPr>
              <w:t xml:space="preserve"> </w:t>
            </w:r>
            <w:r w:rsidRPr="004161CA">
              <w:rPr>
                <w:rFonts w:eastAsia="Times New Roman"/>
                <w:b/>
                <w:sz w:val="22"/>
                <w:lang w:val="en-US" w:eastAsia="zh-CN"/>
              </w:rPr>
              <w:t>(%)</w:t>
            </w:r>
          </w:p>
        </w:tc>
      </w:tr>
      <w:tr w:rsidR="00461F3B" w:rsidRPr="00461F3B" w14:paraId="45FDE9F2" w14:textId="77777777" w:rsidTr="00D25C69">
        <w:tc>
          <w:tcPr>
            <w:tcW w:w="4644" w:type="dxa"/>
            <w:gridSpan w:val="2"/>
            <w:shd w:val="clear" w:color="auto" w:fill="auto"/>
          </w:tcPr>
          <w:p w14:paraId="3CF8335F" w14:textId="77777777" w:rsidR="00461F3B" w:rsidRPr="004161CA" w:rsidRDefault="00461F3B" w:rsidP="00461F3B">
            <w:pPr>
              <w:spacing w:line="300" w:lineRule="atLeast"/>
              <w:rPr>
                <w:rFonts w:eastAsia="Times New Roman"/>
                <w:b/>
                <w:sz w:val="22"/>
                <w:lang w:val="en-US" w:eastAsia="zh-CN"/>
              </w:rPr>
            </w:pPr>
            <w:r w:rsidRPr="004161CA">
              <w:rPr>
                <w:rFonts w:eastAsia="Times New Roman"/>
                <w:b/>
                <w:sz w:val="22"/>
                <w:lang w:val="en-US" w:eastAsia="zh-CN"/>
              </w:rPr>
              <w:t>Chemistry</w:t>
            </w:r>
          </w:p>
        </w:tc>
        <w:tc>
          <w:tcPr>
            <w:tcW w:w="2127" w:type="dxa"/>
            <w:shd w:val="clear" w:color="auto" w:fill="auto"/>
          </w:tcPr>
          <w:p w14:paraId="18D7A080" w14:textId="77777777" w:rsidR="00461F3B" w:rsidRPr="004161CA" w:rsidRDefault="00461F3B" w:rsidP="00461F3B">
            <w:pPr>
              <w:spacing w:line="300" w:lineRule="atLeast"/>
              <w:jc w:val="center"/>
              <w:rPr>
                <w:rFonts w:eastAsia="Times New Roman"/>
                <w:sz w:val="22"/>
                <w:lang w:val="en-US" w:eastAsia="zh-CN"/>
              </w:rPr>
            </w:pPr>
          </w:p>
        </w:tc>
        <w:tc>
          <w:tcPr>
            <w:tcW w:w="2085" w:type="dxa"/>
            <w:shd w:val="clear" w:color="auto" w:fill="auto"/>
          </w:tcPr>
          <w:p w14:paraId="233511F0" w14:textId="77777777" w:rsidR="00461F3B" w:rsidRPr="004161CA" w:rsidRDefault="00461F3B" w:rsidP="00461F3B">
            <w:pPr>
              <w:spacing w:line="300" w:lineRule="atLeast"/>
              <w:jc w:val="center"/>
              <w:rPr>
                <w:rFonts w:eastAsia="Times New Roman"/>
                <w:sz w:val="22"/>
                <w:lang w:val="en-US" w:eastAsia="zh-CN"/>
              </w:rPr>
            </w:pPr>
          </w:p>
        </w:tc>
      </w:tr>
      <w:tr w:rsidR="00461F3B" w:rsidRPr="00461F3B" w14:paraId="54C13A8F" w14:textId="77777777" w:rsidTr="00D25C69">
        <w:tc>
          <w:tcPr>
            <w:tcW w:w="534" w:type="dxa"/>
            <w:tcBorders>
              <w:right w:val="nil"/>
            </w:tcBorders>
            <w:shd w:val="clear" w:color="auto" w:fill="auto"/>
          </w:tcPr>
          <w:p w14:paraId="3904C6E0" w14:textId="77777777" w:rsidR="00461F3B" w:rsidRPr="004161CA" w:rsidRDefault="00461F3B" w:rsidP="00461F3B">
            <w:pPr>
              <w:spacing w:line="300" w:lineRule="atLeast"/>
              <w:rPr>
                <w:rFonts w:eastAsia="Times New Roman"/>
                <w:sz w:val="22"/>
                <w:lang w:val="en-US" w:eastAsia="zh-CN"/>
              </w:rPr>
            </w:pPr>
          </w:p>
        </w:tc>
        <w:tc>
          <w:tcPr>
            <w:tcW w:w="4110" w:type="dxa"/>
            <w:tcBorders>
              <w:left w:val="nil"/>
            </w:tcBorders>
            <w:shd w:val="clear" w:color="auto" w:fill="auto"/>
          </w:tcPr>
          <w:p w14:paraId="074E50AD" w14:textId="300123AA" w:rsidR="00461F3B" w:rsidRPr="004161CA" w:rsidRDefault="003C43CB" w:rsidP="003C43CB">
            <w:pPr>
              <w:spacing w:line="300" w:lineRule="atLeast"/>
              <w:rPr>
                <w:rFonts w:eastAsia="Times New Roman"/>
                <w:sz w:val="22"/>
                <w:lang w:val="en-US" w:eastAsia="zh-CN"/>
              </w:rPr>
            </w:pPr>
            <w:r w:rsidRPr="004161CA">
              <w:rPr>
                <w:rFonts w:eastAsia="Times New Roman"/>
                <w:sz w:val="22"/>
                <w:lang w:val="en-US" w:eastAsia="zh-CN"/>
              </w:rPr>
              <w:t xml:space="preserve">Increased AST </w:t>
            </w:r>
          </w:p>
        </w:tc>
        <w:tc>
          <w:tcPr>
            <w:tcW w:w="2127" w:type="dxa"/>
            <w:shd w:val="clear" w:color="auto" w:fill="auto"/>
          </w:tcPr>
          <w:p w14:paraId="6279B365" w14:textId="36C1FE16" w:rsidR="00461F3B" w:rsidRPr="004161CA" w:rsidRDefault="003C43CB" w:rsidP="00461F3B">
            <w:pPr>
              <w:spacing w:line="300" w:lineRule="atLeast"/>
              <w:jc w:val="center"/>
              <w:rPr>
                <w:rFonts w:eastAsia="Times New Roman"/>
                <w:sz w:val="22"/>
                <w:lang w:val="en-US" w:eastAsia="zh-CN"/>
              </w:rPr>
            </w:pPr>
            <w:r>
              <w:rPr>
                <w:rFonts w:eastAsia="Times New Roman"/>
                <w:sz w:val="22"/>
                <w:lang w:val="en-US" w:eastAsia="zh-CN"/>
              </w:rPr>
              <w:t>53</w:t>
            </w:r>
          </w:p>
        </w:tc>
        <w:tc>
          <w:tcPr>
            <w:tcW w:w="2085" w:type="dxa"/>
            <w:shd w:val="clear" w:color="auto" w:fill="auto"/>
          </w:tcPr>
          <w:p w14:paraId="71E40C85" w14:textId="4B3D56DA" w:rsidR="00461F3B" w:rsidRPr="004161CA" w:rsidRDefault="003C43CB" w:rsidP="00461F3B">
            <w:pPr>
              <w:spacing w:line="300" w:lineRule="atLeast"/>
              <w:jc w:val="center"/>
              <w:rPr>
                <w:rFonts w:eastAsia="Times New Roman"/>
                <w:sz w:val="22"/>
                <w:lang w:val="en-US" w:eastAsia="zh-CN"/>
              </w:rPr>
            </w:pPr>
            <w:r>
              <w:rPr>
                <w:rFonts w:eastAsia="Times New Roman"/>
                <w:sz w:val="22"/>
                <w:lang w:val="en-US" w:eastAsia="zh-CN"/>
              </w:rPr>
              <w:t>3.6</w:t>
            </w:r>
          </w:p>
        </w:tc>
      </w:tr>
      <w:tr w:rsidR="00461F3B" w:rsidRPr="00461F3B" w14:paraId="7557F30F" w14:textId="77777777" w:rsidTr="00D25C69">
        <w:tc>
          <w:tcPr>
            <w:tcW w:w="534" w:type="dxa"/>
            <w:tcBorders>
              <w:right w:val="nil"/>
            </w:tcBorders>
            <w:shd w:val="clear" w:color="auto" w:fill="auto"/>
          </w:tcPr>
          <w:p w14:paraId="13F05D8A" w14:textId="77777777" w:rsidR="00461F3B" w:rsidRPr="004161CA" w:rsidRDefault="00461F3B" w:rsidP="00461F3B">
            <w:pPr>
              <w:spacing w:line="300" w:lineRule="atLeast"/>
              <w:rPr>
                <w:rFonts w:eastAsia="Times New Roman"/>
                <w:sz w:val="22"/>
                <w:lang w:val="en-US" w:eastAsia="zh-CN"/>
              </w:rPr>
            </w:pPr>
          </w:p>
        </w:tc>
        <w:tc>
          <w:tcPr>
            <w:tcW w:w="4110" w:type="dxa"/>
            <w:tcBorders>
              <w:left w:val="nil"/>
            </w:tcBorders>
            <w:shd w:val="clear" w:color="auto" w:fill="auto"/>
          </w:tcPr>
          <w:p w14:paraId="07412598" w14:textId="0B39C044" w:rsidR="00461F3B" w:rsidRPr="004161CA" w:rsidRDefault="003C43CB" w:rsidP="00461F3B">
            <w:pPr>
              <w:spacing w:line="300" w:lineRule="atLeast"/>
              <w:rPr>
                <w:rFonts w:eastAsia="Times New Roman"/>
                <w:sz w:val="22"/>
                <w:lang w:val="en-US" w:eastAsia="zh-CN"/>
              </w:rPr>
            </w:pPr>
            <w:r>
              <w:rPr>
                <w:rFonts w:eastAsia="Times New Roman"/>
                <w:sz w:val="22"/>
                <w:lang w:val="en-US" w:eastAsia="zh-CN"/>
              </w:rPr>
              <w:t>Increased ALP</w:t>
            </w:r>
          </w:p>
        </w:tc>
        <w:tc>
          <w:tcPr>
            <w:tcW w:w="2127" w:type="dxa"/>
            <w:shd w:val="clear" w:color="auto" w:fill="auto"/>
          </w:tcPr>
          <w:p w14:paraId="694BDD02" w14:textId="4191A6BA" w:rsidR="00461F3B" w:rsidRPr="004161CA" w:rsidRDefault="003C43CB" w:rsidP="00461F3B">
            <w:pPr>
              <w:spacing w:line="300" w:lineRule="atLeast"/>
              <w:jc w:val="center"/>
              <w:rPr>
                <w:rFonts w:eastAsia="Times New Roman"/>
                <w:sz w:val="22"/>
                <w:lang w:val="en-US" w:eastAsia="zh-CN"/>
              </w:rPr>
            </w:pPr>
            <w:r>
              <w:rPr>
                <w:rFonts w:eastAsia="Times New Roman"/>
                <w:sz w:val="22"/>
                <w:lang w:val="en-US" w:eastAsia="zh-CN"/>
              </w:rPr>
              <w:t>50</w:t>
            </w:r>
          </w:p>
        </w:tc>
        <w:tc>
          <w:tcPr>
            <w:tcW w:w="2085" w:type="dxa"/>
            <w:shd w:val="clear" w:color="auto" w:fill="auto"/>
          </w:tcPr>
          <w:p w14:paraId="1E6A76B0" w14:textId="0BB605FD" w:rsidR="00461F3B" w:rsidRPr="004161CA" w:rsidRDefault="003C43CB" w:rsidP="00461F3B">
            <w:pPr>
              <w:spacing w:line="300" w:lineRule="atLeast"/>
              <w:jc w:val="center"/>
              <w:rPr>
                <w:rFonts w:eastAsia="Times New Roman"/>
                <w:sz w:val="22"/>
                <w:lang w:val="en-US" w:eastAsia="zh-CN"/>
              </w:rPr>
            </w:pPr>
            <w:r>
              <w:rPr>
                <w:rFonts w:eastAsia="Times New Roman"/>
                <w:sz w:val="22"/>
                <w:lang w:val="en-US" w:eastAsia="zh-CN"/>
              </w:rPr>
              <w:t>1</w:t>
            </w:r>
            <w:r w:rsidR="00461F3B" w:rsidRPr="004161CA">
              <w:rPr>
                <w:rFonts w:eastAsia="Times New Roman"/>
                <w:sz w:val="22"/>
                <w:lang w:val="en-US" w:eastAsia="zh-CN"/>
              </w:rPr>
              <w:t>.2</w:t>
            </w:r>
          </w:p>
        </w:tc>
      </w:tr>
      <w:tr w:rsidR="003C43CB" w:rsidRPr="00461F3B" w14:paraId="34C5B2C3" w14:textId="77777777" w:rsidTr="00D25C69">
        <w:tc>
          <w:tcPr>
            <w:tcW w:w="534" w:type="dxa"/>
            <w:tcBorders>
              <w:right w:val="nil"/>
            </w:tcBorders>
            <w:shd w:val="clear" w:color="auto" w:fill="auto"/>
          </w:tcPr>
          <w:p w14:paraId="5A810F41" w14:textId="77777777" w:rsidR="003C43CB" w:rsidRPr="004161CA" w:rsidRDefault="003C43CB" w:rsidP="00461F3B">
            <w:pPr>
              <w:spacing w:line="300" w:lineRule="atLeast"/>
              <w:rPr>
                <w:rFonts w:eastAsia="Times New Roman"/>
                <w:sz w:val="22"/>
                <w:lang w:val="en-US" w:eastAsia="zh-CN"/>
              </w:rPr>
            </w:pPr>
          </w:p>
        </w:tc>
        <w:tc>
          <w:tcPr>
            <w:tcW w:w="4110" w:type="dxa"/>
            <w:tcBorders>
              <w:left w:val="nil"/>
            </w:tcBorders>
            <w:shd w:val="clear" w:color="auto" w:fill="auto"/>
          </w:tcPr>
          <w:p w14:paraId="24331D43" w14:textId="2857BBA0" w:rsidR="003C43CB" w:rsidRPr="003C43CB" w:rsidRDefault="003C43CB" w:rsidP="00461F3B">
            <w:pPr>
              <w:spacing w:line="300" w:lineRule="atLeast"/>
              <w:rPr>
                <w:rFonts w:eastAsia="Times New Roman"/>
                <w:sz w:val="22"/>
                <w:lang w:val="en-US" w:eastAsia="zh-CN"/>
              </w:rPr>
            </w:pPr>
            <w:r>
              <w:rPr>
                <w:rFonts w:eastAsia="Times New Roman"/>
                <w:sz w:val="22"/>
                <w:lang w:val="en-US" w:eastAsia="zh-CN"/>
              </w:rPr>
              <w:t xml:space="preserve">Increased </w:t>
            </w:r>
            <w:proofErr w:type="spellStart"/>
            <w:r>
              <w:rPr>
                <w:rFonts w:eastAsia="Times New Roman"/>
                <w:sz w:val="22"/>
                <w:lang w:val="en-US" w:eastAsia="zh-CN"/>
              </w:rPr>
              <w:t>CPK</w:t>
            </w:r>
            <w:r>
              <w:rPr>
                <w:rFonts w:eastAsia="Times New Roman"/>
                <w:sz w:val="22"/>
                <w:vertAlign w:val="superscript"/>
                <w:lang w:val="en-US" w:eastAsia="zh-CN"/>
              </w:rPr>
              <w:t>a</w:t>
            </w:r>
            <w:proofErr w:type="spellEnd"/>
          </w:p>
        </w:tc>
        <w:tc>
          <w:tcPr>
            <w:tcW w:w="2127" w:type="dxa"/>
            <w:shd w:val="clear" w:color="auto" w:fill="auto"/>
          </w:tcPr>
          <w:p w14:paraId="57F6555A" w14:textId="7999E4A2" w:rsidR="003C43CB" w:rsidRPr="004161CA" w:rsidDel="003C43CB" w:rsidRDefault="003C43CB" w:rsidP="00461F3B">
            <w:pPr>
              <w:spacing w:line="300" w:lineRule="atLeast"/>
              <w:jc w:val="center"/>
              <w:rPr>
                <w:rFonts w:eastAsia="Times New Roman"/>
                <w:sz w:val="22"/>
                <w:lang w:val="en-US" w:eastAsia="zh-CN"/>
              </w:rPr>
            </w:pPr>
            <w:r>
              <w:rPr>
                <w:rFonts w:eastAsia="Times New Roman"/>
                <w:sz w:val="22"/>
                <w:lang w:val="en-US" w:eastAsia="zh-CN"/>
              </w:rPr>
              <w:t>46</w:t>
            </w:r>
          </w:p>
        </w:tc>
        <w:tc>
          <w:tcPr>
            <w:tcW w:w="2085" w:type="dxa"/>
            <w:shd w:val="clear" w:color="auto" w:fill="auto"/>
          </w:tcPr>
          <w:p w14:paraId="20353883" w14:textId="52337DAA" w:rsidR="003C43CB" w:rsidRPr="004161CA" w:rsidDel="003C43CB" w:rsidRDefault="003C43CB" w:rsidP="00461F3B">
            <w:pPr>
              <w:spacing w:line="300" w:lineRule="atLeast"/>
              <w:jc w:val="center"/>
              <w:rPr>
                <w:rFonts w:eastAsia="Times New Roman"/>
                <w:sz w:val="22"/>
                <w:lang w:val="en-US" w:eastAsia="zh-CN"/>
              </w:rPr>
            </w:pPr>
            <w:r>
              <w:rPr>
                <w:rFonts w:eastAsia="Times New Roman"/>
                <w:sz w:val="22"/>
                <w:lang w:val="en-US" w:eastAsia="zh-CN"/>
              </w:rPr>
              <w:t>5.0</w:t>
            </w:r>
          </w:p>
        </w:tc>
      </w:tr>
      <w:tr w:rsidR="003C43CB" w:rsidRPr="00461F3B" w14:paraId="39ACB32D" w14:textId="77777777" w:rsidTr="00D25C69">
        <w:tc>
          <w:tcPr>
            <w:tcW w:w="534" w:type="dxa"/>
            <w:tcBorders>
              <w:right w:val="nil"/>
            </w:tcBorders>
            <w:shd w:val="clear" w:color="auto" w:fill="auto"/>
          </w:tcPr>
          <w:p w14:paraId="16F12F7F" w14:textId="77777777" w:rsidR="003C43CB" w:rsidRPr="004161CA" w:rsidRDefault="003C43CB" w:rsidP="00461F3B">
            <w:pPr>
              <w:spacing w:line="300" w:lineRule="atLeast"/>
              <w:rPr>
                <w:rFonts w:eastAsia="Times New Roman"/>
                <w:sz w:val="22"/>
                <w:lang w:val="en-US" w:eastAsia="zh-CN"/>
              </w:rPr>
            </w:pPr>
          </w:p>
        </w:tc>
        <w:tc>
          <w:tcPr>
            <w:tcW w:w="4110" w:type="dxa"/>
            <w:tcBorders>
              <w:left w:val="nil"/>
            </w:tcBorders>
            <w:shd w:val="clear" w:color="auto" w:fill="auto"/>
          </w:tcPr>
          <w:p w14:paraId="3DB7D6EE" w14:textId="0DBDE52E" w:rsidR="003C43CB" w:rsidRDefault="003C43CB" w:rsidP="00461F3B">
            <w:pPr>
              <w:spacing w:line="300" w:lineRule="atLeast"/>
              <w:rPr>
                <w:rFonts w:eastAsia="Times New Roman"/>
                <w:sz w:val="22"/>
                <w:lang w:val="en-US" w:eastAsia="zh-CN"/>
              </w:rPr>
            </w:pPr>
            <w:r>
              <w:rPr>
                <w:rFonts w:eastAsia="Times New Roman"/>
                <w:sz w:val="22"/>
                <w:lang w:val="en-US" w:eastAsia="zh-CN"/>
              </w:rPr>
              <w:t>Hyperbilirubinaemia</w:t>
            </w:r>
          </w:p>
        </w:tc>
        <w:tc>
          <w:tcPr>
            <w:tcW w:w="2127" w:type="dxa"/>
            <w:shd w:val="clear" w:color="auto" w:fill="auto"/>
          </w:tcPr>
          <w:p w14:paraId="50BD405A" w14:textId="0DE259FF" w:rsidR="003C43CB" w:rsidRDefault="003C43CB" w:rsidP="00461F3B">
            <w:pPr>
              <w:spacing w:line="300" w:lineRule="atLeast"/>
              <w:jc w:val="center"/>
              <w:rPr>
                <w:rFonts w:eastAsia="Times New Roman"/>
                <w:sz w:val="22"/>
                <w:lang w:val="en-US" w:eastAsia="zh-CN"/>
              </w:rPr>
            </w:pPr>
            <w:r>
              <w:rPr>
                <w:rFonts w:eastAsia="Times New Roman"/>
                <w:sz w:val="22"/>
                <w:lang w:val="en-US" w:eastAsia="zh-CN"/>
              </w:rPr>
              <w:t>42</w:t>
            </w:r>
          </w:p>
        </w:tc>
        <w:tc>
          <w:tcPr>
            <w:tcW w:w="2085" w:type="dxa"/>
            <w:shd w:val="clear" w:color="auto" w:fill="auto"/>
          </w:tcPr>
          <w:p w14:paraId="075A9903" w14:textId="33E5E576" w:rsidR="003C43CB" w:rsidRDefault="003C43CB" w:rsidP="00461F3B">
            <w:pPr>
              <w:spacing w:line="300" w:lineRule="atLeast"/>
              <w:jc w:val="center"/>
              <w:rPr>
                <w:rFonts w:eastAsia="Times New Roman"/>
                <w:sz w:val="22"/>
                <w:lang w:val="en-US" w:eastAsia="zh-CN"/>
              </w:rPr>
            </w:pPr>
            <w:r>
              <w:rPr>
                <w:rFonts w:eastAsia="Times New Roman"/>
                <w:sz w:val="22"/>
                <w:lang w:val="en-US" w:eastAsia="zh-CN"/>
              </w:rPr>
              <w:t>3.2</w:t>
            </w:r>
          </w:p>
        </w:tc>
      </w:tr>
      <w:tr w:rsidR="003C43CB" w:rsidRPr="00461F3B" w14:paraId="7632BFDA" w14:textId="77777777" w:rsidTr="00D25C69">
        <w:tc>
          <w:tcPr>
            <w:tcW w:w="534" w:type="dxa"/>
            <w:tcBorders>
              <w:right w:val="nil"/>
            </w:tcBorders>
            <w:shd w:val="clear" w:color="auto" w:fill="auto"/>
          </w:tcPr>
          <w:p w14:paraId="6CA12E35" w14:textId="77777777" w:rsidR="003C43CB" w:rsidRPr="004161CA" w:rsidRDefault="003C43CB" w:rsidP="00461F3B">
            <w:pPr>
              <w:spacing w:line="300" w:lineRule="atLeast"/>
              <w:rPr>
                <w:rFonts w:eastAsia="Times New Roman"/>
                <w:sz w:val="22"/>
                <w:lang w:val="en-US" w:eastAsia="zh-CN"/>
              </w:rPr>
            </w:pPr>
          </w:p>
        </w:tc>
        <w:tc>
          <w:tcPr>
            <w:tcW w:w="4110" w:type="dxa"/>
            <w:tcBorders>
              <w:left w:val="nil"/>
            </w:tcBorders>
            <w:shd w:val="clear" w:color="auto" w:fill="auto"/>
          </w:tcPr>
          <w:p w14:paraId="7E76AA13" w14:textId="625B699C" w:rsidR="003C43CB" w:rsidRPr="003C43CB" w:rsidRDefault="003C43CB" w:rsidP="00461F3B">
            <w:pPr>
              <w:spacing w:line="300" w:lineRule="atLeast"/>
              <w:rPr>
                <w:rFonts w:eastAsia="Times New Roman"/>
                <w:sz w:val="22"/>
                <w:lang w:val="en-US" w:eastAsia="zh-CN"/>
              </w:rPr>
            </w:pPr>
            <w:proofErr w:type="spellStart"/>
            <w:r>
              <w:rPr>
                <w:rFonts w:eastAsia="Times New Roman"/>
                <w:sz w:val="22"/>
                <w:lang w:val="en-US" w:eastAsia="zh-CN"/>
              </w:rPr>
              <w:t>Hyperglycaemia</w:t>
            </w:r>
            <w:r>
              <w:rPr>
                <w:rFonts w:eastAsia="Times New Roman"/>
                <w:sz w:val="22"/>
                <w:vertAlign w:val="superscript"/>
                <w:lang w:val="en-US" w:eastAsia="zh-CN"/>
              </w:rPr>
              <w:t>b</w:t>
            </w:r>
            <w:proofErr w:type="spellEnd"/>
          </w:p>
        </w:tc>
        <w:tc>
          <w:tcPr>
            <w:tcW w:w="2127" w:type="dxa"/>
            <w:shd w:val="clear" w:color="auto" w:fill="auto"/>
          </w:tcPr>
          <w:p w14:paraId="2967A0A7" w14:textId="0BDDE4D5" w:rsidR="003C43CB" w:rsidRDefault="003C43CB" w:rsidP="00461F3B">
            <w:pPr>
              <w:spacing w:line="300" w:lineRule="atLeast"/>
              <w:jc w:val="center"/>
              <w:rPr>
                <w:rFonts w:eastAsia="Times New Roman"/>
                <w:sz w:val="22"/>
                <w:lang w:val="en-US" w:eastAsia="zh-CN"/>
              </w:rPr>
            </w:pPr>
            <w:r>
              <w:rPr>
                <w:rFonts w:eastAsia="Times New Roman"/>
                <w:sz w:val="22"/>
                <w:lang w:val="en-US" w:eastAsia="zh-CN"/>
              </w:rPr>
              <w:t>40</w:t>
            </w:r>
          </w:p>
        </w:tc>
        <w:tc>
          <w:tcPr>
            <w:tcW w:w="2085" w:type="dxa"/>
            <w:shd w:val="clear" w:color="auto" w:fill="auto"/>
          </w:tcPr>
          <w:p w14:paraId="078AE2FD" w14:textId="034F1CBB" w:rsidR="003C43CB" w:rsidRDefault="003C43CB" w:rsidP="00461F3B">
            <w:pPr>
              <w:spacing w:line="300" w:lineRule="atLeast"/>
              <w:jc w:val="center"/>
              <w:rPr>
                <w:rFonts w:eastAsia="Times New Roman"/>
                <w:sz w:val="22"/>
                <w:lang w:val="en-US" w:eastAsia="zh-CN"/>
              </w:rPr>
            </w:pPr>
            <w:r>
              <w:rPr>
                <w:rFonts w:eastAsia="Times New Roman"/>
                <w:sz w:val="22"/>
                <w:lang w:val="en-US" w:eastAsia="zh-CN"/>
              </w:rPr>
              <w:t>2.0</w:t>
            </w:r>
          </w:p>
        </w:tc>
      </w:tr>
      <w:tr w:rsidR="00461F3B" w:rsidRPr="00461F3B" w14:paraId="4DE60C14" w14:textId="77777777" w:rsidTr="00D25C69">
        <w:tc>
          <w:tcPr>
            <w:tcW w:w="534" w:type="dxa"/>
            <w:tcBorders>
              <w:right w:val="nil"/>
            </w:tcBorders>
            <w:shd w:val="clear" w:color="auto" w:fill="auto"/>
          </w:tcPr>
          <w:p w14:paraId="4A147E56" w14:textId="77777777" w:rsidR="00461F3B" w:rsidRPr="004161CA" w:rsidRDefault="00461F3B" w:rsidP="00461F3B">
            <w:pPr>
              <w:spacing w:line="300" w:lineRule="atLeast"/>
              <w:rPr>
                <w:rFonts w:eastAsia="Times New Roman"/>
                <w:sz w:val="22"/>
                <w:lang w:val="en-US" w:eastAsia="zh-CN"/>
              </w:rPr>
            </w:pPr>
          </w:p>
        </w:tc>
        <w:tc>
          <w:tcPr>
            <w:tcW w:w="4110" w:type="dxa"/>
            <w:tcBorders>
              <w:left w:val="nil"/>
            </w:tcBorders>
            <w:shd w:val="clear" w:color="auto" w:fill="auto"/>
          </w:tcPr>
          <w:p w14:paraId="0F3F74B3" w14:textId="77777777" w:rsidR="00461F3B" w:rsidRPr="004161CA" w:rsidRDefault="00461F3B" w:rsidP="00461F3B">
            <w:pPr>
              <w:spacing w:line="300" w:lineRule="atLeast"/>
              <w:rPr>
                <w:rFonts w:eastAsia="Times New Roman"/>
                <w:sz w:val="22"/>
                <w:lang w:val="en-US" w:eastAsia="zh-CN"/>
              </w:rPr>
            </w:pPr>
            <w:r w:rsidRPr="004161CA">
              <w:rPr>
                <w:rFonts w:eastAsia="Times New Roman"/>
                <w:sz w:val="22"/>
                <w:lang w:val="en-US" w:eastAsia="zh-CN"/>
              </w:rPr>
              <w:t xml:space="preserve">Increased ALT </w:t>
            </w:r>
          </w:p>
        </w:tc>
        <w:tc>
          <w:tcPr>
            <w:tcW w:w="2127" w:type="dxa"/>
            <w:shd w:val="clear" w:color="auto" w:fill="auto"/>
          </w:tcPr>
          <w:p w14:paraId="106CA722" w14:textId="61107B46" w:rsidR="00461F3B" w:rsidRPr="004161CA" w:rsidRDefault="008C47DC" w:rsidP="00461F3B">
            <w:pPr>
              <w:spacing w:line="300" w:lineRule="atLeast"/>
              <w:jc w:val="center"/>
              <w:rPr>
                <w:rFonts w:eastAsia="Times New Roman"/>
                <w:sz w:val="22"/>
                <w:lang w:val="en-US" w:eastAsia="zh-CN"/>
              </w:rPr>
            </w:pPr>
            <w:r>
              <w:rPr>
                <w:rFonts w:eastAsia="Times New Roman"/>
                <w:sz w:val="22"/>
                <w:lang w:val="en-US" w:eastAsia="zh-CN"/>
              </w:rPr>
              <w:t>36</w:t>
            </w:r>
          </w:p>
        </w:tc>
        <w:tc>
          <w:tcPr>
            <w:tcW w:w="2085" w:type="dxa"/>
            <w:shd w:val="clear" w:color="auto" w:fill="auto"/>
          </w:tcPr>
          <w:p w14:paraId="33548E5B" w14:textId="50560764" w:rsidR="00461F3B" w:rsidRPr="004161CA" w:rsidRDefault="00461F3B" w:rsidP="008C47DC">
            <w:pPr>
              <w:spacing w:line="300" w:lineRule="atLeast"/>
              <w:jc w:val="center"/>
              <w:rPr>
                <w:rFonts w:eastAsia="Times New Roman"/>
                <w:sz w:val="22"/>
                <w:lang w:val="en-US" w:eastAsia="zh-CN"/>
              </w:rPr>
            </w:pPr>
            <w:r w:rsidRPr="004161CA">
              <w:rPr>
                <w:rFonts w:eastAsia="Times New Roman"/>
                <w:sz w:val="22"/>
                <w:lang w:val="en-US" w:eastAsia="zh-CN"/>
              </w:rPr>
              <w:t>4.</w:t>
            </w:r>
            <w:r w:rsidR="008C47DC">
              <w:rPr>
                <w:rFonts w:eastAsia="Times New Roman"/>
                <w:sz w:val="22"/>
                <w:lang w:val="en-US" w:eastAsia="zh-CN"/>
              </w:rPr>
              <w:t>8</w:t>
            </w:r>
          </w:p>
        </w:tc>
      </w:tr>
      <w:tr w:rsidR="00461F3B" w:rsidRPr="00461F3B" w14:paraId="73369372" w14:textId="77777777" w:rsidTr="00D25C69">
        <w:tc>
          <w:tcPr>
            <w:tcW w:w="534" w:type="dxa"/>
            <w:tcBorders>
              <w:right w:val="nil"/>
            </w:tcBorders>
            <w:shd w:val="clear" w:color="auto" w:fill="auto"/>
          </w:tcPr>
          <w:p w14:paraId="0D6A3F00" w14:textId="77777777" w:rsidR="00461F3B" w:rsidRPr="004161CA" w:rsidRDefault="00461F3B" w:rsidP="00461F3B">
            <w:pPr>
              <w:spacing w:line="300" w:lineRule="atLeast"/>
              <w:rPr>
                <w:rFonts w:eastAsia="Times New Roman"/>
                <w:sz w:val="22"/>
                <w:lang w:val="en-US" w:eastAsia="zh-CN"/>
              </w:rPr>
            </w:pPr>
          </w:p>
        </w:tc>
        <w:tc>
          <w:tcPr>
            <w:tcW w:w="4110" w:type="dxa"/>
            <w:tcBorders>
              <w:left w:val="nil"/>
            </w:tcBorders>
            <w:shd w:val="clear" w:color="auto" w:fill="auto"/>
          </w:tcPr>
          <w:p w14:paraId="3FFF8D69" w14:textId="0F6674CD" w:rsidR="00461F3B" w:rsidRPr="004161CA" w:rsidRDefault="00922B76" w:rsidP="00461F3B">
            <w:pPr>
              <w:spacing w:line="300" w:lineRule="atLeast"/>
              <w:rPr>
                <w:rFonts w:eastAsia="Times New Roman"/>
                <w:sz w:val="22"/>
                <w:lang w:val="en-US" w:eastAsia="zh-CN"/>
              </w:rPr>
            </w:pPr>
            <w:r>
              <w:rPr>
                <w:rFonts w:eastAsia="Times New Roman"/>
                <w:sz w:val="22"/>
                <w:lang w:val="en-US" w:eastAsia="zh-CN"/>
              </w:rPr>
              <w:t>Hypocalcaemia</w:t>
            </w:r>
            <w:r w:rsidR="00461F3B" w:rsidRPr="004161CA">
              <w:rPr>
                <w:rFonts w:eastAsia="Times New Roman"/>
                <w:sz w:val="22"/>
                <w:lang w:val="en-US" w:eastAsia="zh-CN"/>
              </w:rPr>
              <w:t xml:space="preserve"> </w:t>
            </w:r>
          </w:p>
        </w:tc>
        <w:tc>
          <w:tcPr>
            <w:tcW w:w="2127" w:type="dxa"/>
            <w:shd w:val="clear" w:color="auto" w:fill="auto"/>
          </w:tcPr>
          <w:p w14:paraId="49E0C7A4" w14:textId="689B9E68" w:rsidR="00461F3B" w:rsidRPr="004161CA" w:rsidRDefault="00922B76" w:rsidP="00461F3B">
            <w:pPr>
              <w:spacing w:line="300" w:lineRule="atLeast"/>
              <w:jc w:val="center"/>
              <w:rPr>
                <w:rFonts w:eastAsia="Times New Roman"/>
                <w:sz w:val="22"/>
                <w:lang w:val="en-US" w:eastAsia="zh-CN"/>
              </w:rPr>
            </w:pPr>
            <w:r>
              <w:rPr>
                <w:rFonts w:eastAsia="Times New Roman"/>
                <w:sz w:val="22"/>
                <w:lang w:val="en-US" w:eastAsia="zh-CN"/>
              </w:rPr>
              <w:t>35</w:t>
            </w:r>
          </w:p>
        </w:tc>
        <w:tc>
          <w:tcPr>
            <w:tcW w:w="2085" w:type="dxa"/>
            <w:shd w:val="clear" w:color="auto" w:fill="auto"/>
          </w:tcPr>
          <w:p w14:paraId="4F57B7E4" w14:textId="3518F5FE" w:rsidR="00461F3B" w:rsidRPr="004161CA" w:rsidRDefault="00922B76" w:rsidP="00461F3B">
            <w:pPr>
              <w:spacing w:line="300" w:lineRule="atLeast"/>
              <w:jc w:val="center"/>
              <w:rPr>
                <w:rFonts w:eastAsia="Times New Roman"/>
                <w:sz w:val="22"/>
                <w:lang w:val="en-US" w:eastAsia="zh-CN"/>
              </w:rPr>
            </w:pPr>
            <w:r>
              <w:rPr>
                <w:rFonts w:eastAsia="Times New Roman"/>
                <w:sz w:val="22"/>
                <w:lang w:val="en-US" w:eastAsia="zh-CN"/>
              </w:rPr>
              <w:t>0</w:t>
            </w:r>
            <w:r w:rsidR="00461F3B" w:rsidRPr="004161CA">
              <w:rPr>
                <w:rFonts w:eastAsia="Times New Roman"/>
                <w:sz w:val="22"/>
                <w:lang w:val="en-US" w:eastAsia="zh-CN"/>
              </w:rPr>
              <w:t>.4</w:t>
            </w:r>
          </w:p>
        </w:tc>
      </w:tr>
      <w:tr w:rsidR="00922B76" w:rsidRPr="00461F3B" w14:paraId="6CABFF87" w14:textId="77777777" w:rsidTr="00D25C69">
        <w:tc>
          <w:tcPr>
            <w:tcW w:w="534" w:type="dxa"/>
            <w:tcBorders>
              <w:right w:val="nil"/>
            </w:tcBorders>
            <w:shd w:val="clear" w:color="auto" w:fill="auto"/>
          </w:tcPr>
          <w:p w14:paraId="31E9C866" w14:textId="77777777" w:rsidR="00922B76" w:rsidRPr="004161CA" w:rsidRDefault="00922B76" w:rsidP="00461F3B">
            <w:pPr>
              <w:spacing w:line="300" w:lineRule="atLeast"/>
              <w:rPr>
                <w:rFonts w:eastAsia="Times New Roman"/>
                <w:sz w:val="22"/>
                <w:lang w:val="en-US" w:eastAsia="zh-CN"/>
              </w:rPr>
            </w:pPr>
          </w:p>
        </w:tc>
        <w:tc>
          <w:tcPr>
            <w:tcW w:w="4110" w:type="dxa"/>
            <w:tcBorders>
              <w:left w:val="nil"/>
            </w:tcBorders>
            <w:shd w:val="clear" w:color="auto" w:fill="auto"/>
          </w:tcPr>
          <w:p w14:paraId="70B9AF64" w14:textId="51416B3E" w:rsidR="00922B76" w:rsidRPr="004161CA" w:rsidDel="00922B76" w:rsidRDefault="00922B76" w:rsidP="00461F3B">
            <w:pPr>
              <w:spacing w:line="300" w:lineRule="atLeast"/>
              <w:rPr>
                <w:rFonts w:eastAsia="Times New Roman"/>
                <w:sz w:val="22"/>
                <w:lang w:val="en-US" w:eastAsia="zh-CN"/>
              </w:rPr>
            </w:pPr>
            <w:proofErr w:type="spellStart"/>
            <w:r>
              <w:rPr>
                <w:rFonts w:eastAsia="Times New Roman"/>
                <w:sz w:val="22"/>
                <w:lang w:val="en-US" w:eastAsia="zh-CN"/>
              </w:rPr>
              <w:t>Hypokalaemia</w:t>
            </w:r>
            <w:proofErr w:type="spellEnd"/>
          </w:p>
        </w:tc>
        <w:tc>
          <w:tcPr>
            <w:tcW w:w="2127" w:type="dxa"/>
            <w:shd w:val="clear" w:color="auto" w:fill="auto"/>
          </w:tcPr>
          <w:p w14:paraId="1E8A9454" w14:textId="18072901" w:rsidR="00922B76" w:rsidRPr="004161CA" w:rsidDel="00922B76" w:rsidRDefault="00922B76" w:rsidP="00461F3B">
            <w:pPr>
              <w:spacing w:line="300" w:lineRule="atLeast"/>
              <w:jc w:val="center"/>
              <w:rPr>
                <w:rFonts w:eastAsia="Times New Roman"/>
                <w:sz w:val="22"/>
                <w:lang w:val="en-US" w:eastAsia="zh-CN"/>
              </w:rPr>
            </w:pPr>
            <w:r>
              <w:rPr>
                <w:rFonts w:eastAsia="Times New Roman"/>
                <w:sz w:val="22"/>
                <w:lang w:val="en-US" w:eastAsia="zh-CN"/>
              </w:rPr>
              <w:t>31</w:t>
            </w:r>
          </w:p>
        </w:tc>
        <w:tc>
          <w:tcPr>
            <w:tcW w:w="2085" w:type="dxa"/>
            <w:shd w:val="clear" w:color="auto" w:fill="auto"/>
          </w:tcPr>
          <w:p w14:paraId="45691DE0" w14:textId="0C1E7F58" w:rsidR="00922B76" w:rsidRPr="004161CA" w:rsidDel="00922B76" w:rsidRDefault="00922B76" w:rsidP="00461F3B">
            <w:pPr>
              <w:spacing w:line="300" w:lineRule="atLeast"/>
              <w:jc w:val="center"/>
              <w:rPr>
                <w:rFonts w:eastAsia="Times New Roman"/>
                <w:sz w:val="22"/>
                <w:lang w:val="en-US" w:eastAsia="zh-CN"/>
              </w:rPr>
            </w:pPr>
            <w:r>
              <w:rPr>
                <w:rFonts w:eastAsia="Times New Roman"/>
                <w:sz w:val="22"/>
                <w:lang w:val="en-US" w:eastAsia="zh-CN"/>
              </w:rPr>
              <w:t>4.4</w:t>
            </w:r>
          </w:p>
        </w:tc>
      </w:tr>
      <w:tr w:rsidR="003C43CB" w:rsidRPr="00461F3B" w14:paraId="7E0535BC" w14:textId="77777777" w:rsidTr="00D25C69">
        <w:tc>
          <w:tcPr>
            <w:tcW w:w="534" w:type="dxa"/>
            <w:tcBorders>
              <w:right w:val="nil"/>
            </w:tcBorders>
            <w:shd w:val="clear" w:color="auto" w:fill="auto"/>
          </w:tcPr>
          <w:p w14:paraId="3436F751" w14:textId="77777777" w:rsidR="003C43CB" w:rsidRPr="004161CA" w:rsidRDefault="003C43CB" w:rsidP="00461F3B">
            <w:pPr>
              <w:spacing w:line="300" w:lineRule="atLeast"/>
              <w:rPr>
                <w:rFonts w:eastAsia="Times New Roman"/>
                <w:sz w:val="22"/>
                <w:lang w:val="en-US" w:eastAsia="zh-CN"/>
              </w:rPr>
            </w:pPr>
          </w:p>
        </w:tc>
        <w:tc>
          <w:tcPr>
            <w:tcW w:w="4110" w:type="dxa"/>
            <w:tcBorders>
              <w:left w:val="nil"/>
            </w:tcBorders>
            <w:shd w:val="clear" w:color="auto" w:fill="auto"/>
          </w:tcPr>
          <w:p w14:paraId="3BBAB891" w14:textId="19A1CE91" w:rsidR="003C43CB" w:rsidRPr="00CF3158" w:rsidRDefault="003C43CB" w:rsidP="000735D0">
            <w:pPr>
              <w:spacing w:line="300" w:lineRule="atLeast"/>
              <w:rPr>
                <w:rFonts w:eastAsia="Times New Roman"/>
                <w:sz w:val="22"/>
                <w:lang w:val="en-US" w:eastAsia="zh-CN"/>
              </w:rPr>
            </w:pPr>
            <w:r w:rsidRPr="004161CA">
              <w:rPr>
                <w:rFonts w:eastAsia="Times New Roman"/>
                <w:sz w:val="22"/>
                <w:lang w:val="en-US" w:eastAsia="zh-CN"/>
              </w:rPr>
              <w:t xml:space="preserve">Increased </w:t>
            </w:r>
            <w:proofErr w:type="spellStart"/>
            <w:r w:rsidR="000735D0">
              <w:rPr>
                <w:rFonts w:eastAsia="Times New Roman"/>
                <w:sz w:val="22"/>
                <w:lang w:val="en-US" w:eastAsia="zh-CN"/>
              </w:rPr>
              <w:t>c</w:t>
            </w:r>
            <w:r w:rsidRPr="004161CA">
              <w:rPr>
                <w:rFonts w:eastAsia="Times New Roman"/>
                <w:sz w:val="22"/>
                <w:lang w:val="en-US" w:eastAsia="zh-CN"/>
              </w:rPr>
              <w:t>reatinine</w:t>
            </w:r>
            <w:r w:rsidR="00CF3158">
              <w:rPr>
                <w:rFonts w:eastAsia="Times New Roman"/>
                <w:sz w:val="22"/>
                <w:vertAlign w:val="superscript"/>
                <w:lang w:val="en-US" w:eastAsia="zh-CN"/>
              </w:rPr>
              <w:t>c</w:t>
            </w:r>
            <w:proofErr w:type="spellEnd"/>
          </w:p>
        </w:tc>
        <w:tc>
          <w:tcPr>
            <w:tcW w:w="2127" w:type="dxa"/>
            <w:shd w:val="clear" w:color="auto" w:fill="auto"/>
          </w:tcPr>
          <w:p w14:paraId="054759DD" w14:textId="1048FA60" w:rsidR="003C43CB" w:rsidRPr="004161CA" w:rsidRDefault="0076085B" w:rsidP="00461F3B">
            <w:pPr>
              <w:spacing w:line="300" w:lineRule="atLeast"/>
              <w:jc w:val="center"/>
              <w:rPr>
                <w:rFonts w:eastAsia="Times New Roman"/>
                <w:sz w:val="22"/>
                <w:lang w:val="en-US" w:eastAsia="zh-CN"/>
              </w:rPr>
            </w:pPr>
            <w:r>
              <w:rPr>
                <w:rFonts w:eastAsia="Times New Roman"/>
                <w:sz w:val="22"/>
                <w:lang w:val="en-US" w:eastAsia="zh-CN"/>
              </w:rPr>
              <w:t>31</w:t>
            </w:r>
          </w:p>
        </w:tc>
        <w:tc>
          <w:tcPr>
            <w:tcW w:w="2085" w:type="dxa"/>
            <w:shd w:val="clear" w:color="auto" w:fill="auto"/>
          </w:tcPr>
          <w:p w14:paraId="1D4F15D4" w14:textId="4908B7FA" w:rsidR="003C43CB" w:rsidRPr="004161CA" w:rsidRDefault="0076085B" w:rsidP="00461F3B">
            <w:pPr>
              <w:spacing w:line="300" w:lineRule="atLeast"/>
              <w:jc w:val="center"/>
              <w:rPr>
                <w:rFonts w:eastAsia="Times New Roman"/>
                <w:sz w:val="22"/>
                <w:lang w:val="en-US" w:eastAsia="zh-CN"/>
              </w:rPr>
            </w:pPr>
            <w:r>
              <w:rPr>
                <w:rFonts w:eastAsia="Times New Roman"/>
                <w:sz w:val="22"/>
                <w:lang w:val="en-US" w:eastAsia="zh-CN"/>
              </w:rPr>
              <w:t>0</w:t>
            </w:r>
          </w:p>
        </w:tc>
      </w:tr>
      <w:tr w:rsidR="003C43CB" w:rsidRPr="00461F3B" w14:paraId="1EE0B80A" w14:textId="77777777" w:rsidTr="00D25C69">
        <w:tc>
          <w:tcPr>
            <w:tcW w:w="534" w:type="dxa"/>
            <w:tcBorders>
              <w:right w:val="nil"/>
            </w:tcBorders>
            <w:shd w:val="clear" w:color="auto" w:fill="auto"/>
          </w:tcPr>
          <w:p w14:paraId="79E1900E" w14:textId="77777777" w:rsidR="003C43CB" w:rsidRPr="004161CA" w:rsidRDefault="003C43CB" w:rsidP="00461F3B">
            <w:pPr>
              <w:spacing w:line="300" w:lineRule="atLeast"/>
              <w:rPr>
                <w:rFonts w:eastAsia="Times New Roman"/>
                <w:sz w:val="22"/>
                <w:lang w:val="en-US" w:eastAsia="zh-CN"/>
              </w:rPr>
            </w:pPr>
          </w:p>
        </w:tc>
        <w:tc>
          <w:tcPr>
            <w:tcW w:w="4110" w:type="dxa"/>
            <w:tcBorders>
              <w:left w:val="nil"/>
            </w:tcBorders>
            <w:shd w:val="clear" w:color="auto" w:fill="auto"/>
          </w:tcPr>
          <w:p w14:paraId="5D606E75" w14:textId="682A493E" w:rsidR="003C43CB" w:rsidRPr="004161CA" w:rsidRDefault="003C43CB" w:rsidP="00461F3B">
            <w:pPr>
              <w:spacing w:line="300" w:lineRule="atLeast"/>
              <w:rPr>
                <w:rFonts w:eastAsia="Times New Roman"/>
                <w:sz w:val="22"/>
                <w:lang w:val="en-US" w:eastAsia="zh-CN"/>
              </w:rPr>
            </w:pPr>
            <w:r>
              <w:rPr>
                <w:rFonts w:eastAsia="Times New Roman"/>
                <w:sz w:val="22"/>
                <w:lang w:val="en-US" w:eastAsia="zh-CN"/>
              </w:rPr>
              <w:t>Hypophosphataemia</w:t>
            </w:r>
          </w:p>
        </w:tc>
        <w:tc>
          <w:tcPr>
            <w:tcW w:w="2127" w:type="dxa"/>
            <w:shd w:val="clear" w:color="auto" w:fill="auto"/>
          </w:tcPr>
          <w:p w14:paraId="577A64A1" w14:textId="25A2A5F5" w:rsidR="003C43CB" w:rsidRPr="004161CA" w:rsidRDefault="0076085B" w:rsidP="00461F3B">
            <w:pPr>
              <w:spacing w:line="300" w:lineRule="atLeast"/>
              <w:jc w:val="center"/>
              <w:rPr>
                <w:rFonts w:eastAsia="Times New Roman"/>
                <w:sz w:val="22"/>
                <w:lang w:val="en-US" w:eastAsia="zh-CN"/>
              </w:rPr>
            </w:pPr>
            <w:r>
              <w:rPr>
                <w:rFonts w:eastAsia="Times New Roman"/>
                <w:sz w:val="22"/>
                <w:lang w:val="en-US" w:eastAsia="zh-CN"/>
              </w:rPr>
              <w:t>23</w:t>
            </w:r>
          </w:p>
        </w:tc>
        <w:tc>
          <w:tcPr>
            <w:tcW w:w="2085" w:type="dxa"/>
            <w:shd w:val="clear" w:color="auto" w:fill="auto"/>
          </w:tcPr>
          <w:p w14:paraId="0D73646F" w14:textId="5E50C0F8" w:rsidR="003C43CB" w:rsidRPr="004161CA" w:rsidRDefault="0076085B" w:rsidP="00461F3B">
            <w:pPr>
              <w:spacing w:line="300" w:lineRule="atLeast"/>
              <w:jc w:val="center"/>
              <w:rPr>
                <w:rFonts w:eastAsia="Times New Roman"/>
                <w:sz w:val="22"/>
                <w:lang w:val="en-US" w:eastAsia="zh-CN"/>
              </w:rPr>
            </w:pPr>
            <w:r>
              <w:rPr>
                <w:rFonts w:eastAsia="Times New Roman"/>
                <w:sz w:val="22"/>
                <w:lang w:val="en-US" w:eastAsia="zh-CN"/>
              </w:rPr>
              <w:t>3.2</w:t>
            </w:r>
          </w:p>
        </w:tc>
      </w:tr>
      <w:tr w:rsidR="003C43CB" w:rsidRPr="00461F3B" w14:paraId="444CCC83" w14:textId="77777777" w:rsidTr="00D25C69">
        <w:tc>
          <w:tcPr>
            <w:tcW w:w="534" w:type="dxa"/>
            <w:tcBorders>
              <w:right w:val="nil"/>
            </w:tcBorders>
            <w:shd w:val="clear" w:color="auto" w:fill="auto"/>
          </w:tcPr>
          <w:p w14:paraId="7A2E1C9F" w14:textId="77777777" w:rsidR="003C43CB" w:rsidRPr="004161CA" w:rsidRDefault="003C43CB" w:rsidP="00461F3B">
            <w:pPr>
              <w:spacing w:line="300" w:lineRule="atLeast"/>
              <w:rPr>
                <w:rFonts w:eastAsia="Times New Roman"/>
                <w:sz w:val="22"/>
                <w:lang w:val="en-US" w:eastAsia="zh-CN"/>
              </w:rPr>
            </w:pPr>
          </w:p>
        </w:tc>
        <w:tc>
          <w:tcPr>
            <w:tcW w:w="4110" w:type="dxa"/>
            <w:tcBorders>
              <w:left w:val="nil"/>
            </w:tcBorders>
            <w:shd w:val="clear" w:color="auto" w:fill="auto"/>
          </w:tcPr>
          <w:p w14:paraId="560CF77F" w14:textId="7F190B4E" w:rsidR="003C43CB" w:rsidRPr="004161CA" w:rsidRDefault="003C43CB" w:rsidP="00461F3B">
            <w:pPr>
              <w:spacing w:line="300" w:lineRule="atLeast"/>
              <w:rPr>
                <w:rFonts w:eastAsia="Times New Roman"/>
                <w:sz w:val="22"/>
                <w:lang w:val="en-US" w:eastAsia="zh-CN"/>
              </w:rPr>
            </w:pPr>
            <w:r>
              <w:rPr>
                <w:rFonts w:eastAsia="Times New Roman"/>
                <w:sz w:val="22"/>
                <w:lang w:val="en-US" w:eastAsia="zh-CN"/>
              </w:rPr>
              <w:t>Hyponatraemia</w:t>
            </w:r>
          </w:p>
        </w:tc>
        <w:tc>
          <w:tcPr>
            <w:tcW w:w="2127" w:type="dxa"/>
            <w:shd w:val="clear" w:color="auto" w:fill="auto"/>
          </w:tcPr>
          <w:p w14:paraId="4A7FA704" w14:textId="32344827" w:rsidR="003C43CB" w:rsidRPr="004161CA" w:rsidRDefault="0076085B" w:rsidP="00461F3B">
            <w:pPr>
              <w:spacing w:line="300" w:lineRule="atLeast"/>
              <w:jc w:val="center"/>
              <w:rPr>
                <w:rFonts w:eastAsia="Times New Roman"/>
                <w:sz w:val="22"/>
                <w:lang w:val="en-US" w:eastAsia="zh-CN"/>
              </w:rPr>
            </w:pPr>
            <w:r>
              <w:rPr>
                <w:rFonts w:eastAsia="Times New Roman"/>
                <w:sz w:val="22"/>
                <w:lang w:val="en-US" w:eastAsia="zh-CN"/>
              </w:rPr>
              <w:t>25</w:t>
            </w:r>
          </w:p>
        </w:tc>
        <w:tc>
          <w:tcPr>
            <w:tcW w:w="2085" w:type="dxa"/>
            <w:shd w:val="clear" w:color="auto" w:fill="auto"/>
          </w:tcPr>
          <w:p w14:paraId="1E37232A" w14:textId="3D3C506E" w:rsidR="003C43CB" w:rsidRPr="004161CA" w:rsidRDefault="0076085B" w:rsidP="00461F3B">
            <w:pPr>
              <w:spacing w:line="300" w:lineRule="atLeast"/>
              <w:jc w:val="center"/>
              <w:rPr>
                <w:rFonts w:eastAsia="Times New Roman"/>
                <w:sz w:val="22"/>
                <w:lang w:val="en-US" w:eastAsia="zh-CN"/>
              </w:rPr>
            </w:pPr>
            <w:r>
              <w:rPr>
                <w:rFonts w:eastAsia="Times New Roman"/>
                <w:sz w:val="22"/>
                <w:lang w:val="en-US" w:eastAsia="zh-CN"/>
              </w:rPr>
              <w:t>2.0</w:t>
            </w:r>
          </w:p>
        </w:tc>
      </w:tr>
      <w:tr w:rsidR="00461F3B" w:rsidRPr="00461F3B" w14:paraId="15CC10AF" w14:textId="77777777" w:rsidTr="00D25C69">
        <w:tc>
          <w:tcPr>
            <w:tcW w:w="4644" w:type="dxa"/>
            <w:gridSpan w:val="2"/>
            <w:shd w:val="clear" w:color="auto" w:fill="auto"/>
          </w:tcPr>
          <w:p w14:paraId="391D98B9" w14:textId="4B2762E0" w:rsidR="00461F3B" w:rsidRPr="004161CA" w:rsidRDefault="00461F3B" w:rsidP="00461F3B">
            <w:pPr>
              <w:spacing w:line="300" w:lineRule="atLeast"/>
              <w:rPr>
                <w:rFonts w:eastAsia="Times New Roman"/>
                <w:b/>
                <w:sz w:val="22"/>
                <w:lang w:val="en-US" w:eastAsia="zh-CN"/>
              </w:rPr>
            </w:pPr>
            <w:proofErr w:type="spellStart"/>
            <w:r w:rsidRPr="004161CA">
              <w:rPr>
                <w:rFonts w:eastAsia="Times New Roman"/>
                <w:b/>
                <w:sz w:val="22"/>
                <w:lang w:val="en-US" w:eastAsia="zh-CN"/>
              </w:rPr>
              <w:t>H</w:t>
            </w:r>
            <w:r w:rsidR="00BA5F87" w:rsidRPr="004161CA">
              <w:rPr>
                <w:rFonts w:eastAsia="Times New Roman"/>
                <w:b/>
                <w:sz w:val="22"/>
                <w:lang w:val="en-US" w:eastAsia="zh-CN"/>
              </w:rPr>
              <w:t>a</w:t>
            </w:r>
            <w:r w:rsidRPr="004161CA">
              <w:rPr>
                <w:rFonts w:eastAsia="Times New Roman"/>
                <w:b/>
                <w:sz w:val="22"/>
                <w:lang w:val="en-US" w:eastAsia="zh-CN"/>
              </w:rPr>
              <w:t>ematology</w:t>
            </w:r>
            <w:proofErr w:type="spellEnd"/>
          </w:p>
        </w:tc>
        <w:tc>
          <w:tcPr>
            <w:tcW w:w="2127" w:type="dxa"/>
            <w:shd w:val="clear" w:color="auto" w:fill="auto"/>
          </w:tcPr>
          <w:p w14:paraId="3F78BF22" w14:textId="77777777" w:rsidR="00461F3B" w:rsidRPr="004161CA" w:rsidRDefault="00461F3B" w:rsidP="00461F3B">
            <w:pPr>
              <w:spacing w:line="300" w:lineRule="atLeast"/>
              <w:jc w:val="center"/>
              <w:rPr>
                <w:rFonts w:eastAsia="Times New Roman"/>
                <w:sz w:val="22"/>
                <w:lang w:val="en-US" w:eastAsia="zh-CN"/>
              </w:rPr>
            </w:pPr>
          </w:p>
        </w:tc>
        <w:tc>
          <w:tcPr>
            <w:tcW w:w="2085" w:type="dxa"/>
            <w:shd w:val="clear" w:color="auto" w:fill="auto"/>
          </w:tcPr>
          <w:p w14:paraId="16495199" w14:textId="77777777" w:rsidR="00461F3B" w:rsidRPr="004161CA" w:rsidRDefault="00461F3B" w:rsidP="00461F3B">
            <w:pPr>
              <w:spacing w:line="300" w:lineRule="atLeast"/>
              <w:jc w:val="center"/>
              <w:rPr>
                <w:rFonts w:eastAsia="Times New Roman"/>
                <w:sz w:val="22"/>
                <w:lang w:val="en-US" w:eastAsia="zh-CN"/>
              </w:rPr>
            </w:pPr>
          </w:p>
        </w:tc>
      </w:tr>
      <w:tr w:rsidR="00461F3B" w:rsidRPr="00461F3B" w14:paraId="28C80290" w14:textId="77777777" w:rsidTr="00D25C69">
        <w:tc>
          <w:tcPr>
            <w:tcW w:w="534" w:type="dxa"/>
            <w:tcBorders>
              <w:right w:val="nil"/>
            </w:tcBorders>
            <w:shd w:val="clear" w:color="auto" w:fill="auto"/>
          </w:tcPr>
          <w:p w14:paraId="50A8C298" w14:textId="77777777" w:rsidR="00461F3B" w:rsidRPr="004161CA" w:rsidRDefault="00461F3B" w:rsidP="00461F3B">
            <w:pPr>
              <w:spacing w:line="300" w:lineRule="atLeast"/>
              <w:rPr>
                <w:rFonts w:eastAsia="Times New Roman"/>
                <w:sz w:val="22"/>
                <w:lang w:val="en-US" w:eastAsia="zh-CN"/>
              </w:rPr>
            </w:pPr>
          </w:p>
        </w:tc>
        <w:tc>
          <w:tcPr>
            <w:tcW w:w="4110" w:type="dxa"/>
            <w:tcBorders>
              <w:left w:val="nil"/>
            </w:tcBorders>
            <w:shd w:val="clear" w:color="auto" w:fill="auto"/>
          </w:tcPr>
          <w:p w14:paraId="753E23D2" w14:textId="12591DEA" w:rsidR="00461F3B" w:rsidRPr="004161CA" w:rsidRDefault="003D4E4F" w:rsidP="00461F3B">
            <w:pPr>
              <w:spacing w:line="300" w:lineRule="atLeast"/>
              <w:rPr>
                <w:rFonts w:eastAsia="Times New Roman"/>
                <w:sz w:val="22"/>
                <w:lang w:val="en-US" w:eastAsia="zh-CN"/>
              </w:rPr>
            </w:pPr>
            <w:r>
              <w:rPr>
                <w:rFonts w:eastAsia="Times New Roman"/>
                <w:sz w:val="22"/>
                <w:lang w:val="en-US" w:eastAsia="zh-CN"/>
              </w:rPr>
              <w:t>Anaemia</w:t>
            </w:r>
          </w:p>
        </w:tc>
        <w:tc>
          <w:tcPr>
            <w:tcW w:w="2127" w:type="dxa"/>
            <w:shd w:val="clear" w:color="auto" w:fill="auto"/>
          </w:tcPr>
          <w:p w14:paraId="6BF130FD" w14:textId="7FDD64C8" w:rsidR="00461F3B" w:rsidRPr="004161CA" w:rsidRDefault="003D4E4F" w:rsidP="00461F3B">
            <w:pPr>
              <w:spacing w:line="300" w:lineRule="atLeast"/>
              <w:jc w:val="center"/>
              <w:rPr>
                <w:rFonts w:eastAsia="Times New Roman"/>
                <w:sz w:val="22"/>
                <w:lang w:val="en-US" w:eastAsia="zh-CN"/>
              </w:rPr>
            </w:pPr>
            <w:r>
              <w:rPr>
                <w:rFonts w:eastAsia="Times New Roman"/>
                <w:sz w:val="22"/>
                <w:lang w:val="en-US" w:eastAsia="zh-CN"/>
              </w:rPr>
              <w:t>60</w:t>
            </w:r>
          </w:p>
        </w:tc>
        <w:tc>
          <w:tcPr>
            <w:tcW w:w="2085" w:type="dxa"/>
            <w:shd w:val="clear" w:color="auto" w:fill="auto"/>
          </w:tcPr>
          <w:p w14:paraId="1EF143F0" w14:textId="77777777" w:rsidR="00461F3B" w:rsidRPr="004161CA" w:rsidRDefault="00461F3B" w:rsidP="00461F3B">
            <w:pPr>
              <w:spacing w:line="300" w:lineRule="atLeast"/>
              <w:jc w:val="center"/>
              <w:rPr>
                <w:rFonts w:eastAsia="Times New Roman"/>
                <w:sz w:val="22"/>
                <w:lang w:val="en-US" w:eastAsia="zh-CN"/>
              </w:rPr>
            </w:pPr>
            <w:r w:rsidRPr="004161CA">
              <w:rPr>
                <w:rFonts w:eastAsia="Times New Roman"/>
                <w:sz w:val="22"/>
                <w:lang w:val="en-US" w:eastAsia="zh-CN"/>
              </w:rPr>
              <w:t>2.0</w:t>
            </w:r>
          </w:p>
        </w:tc>
      </w:tr>
      <w:tr w:rsidR="003D4E4F" w:rsidRPr="00461F3B" w14:paraId="60DC869E" w14:textId="77777777" w:rsidTr="00D25C69">
        <w:tc>
          <w:tcPr>
            <w:tcW w:w="534" w:type="dxa"/>
            <w:tcBorders>
              <w:right w:val="nil"/>
            </w:tcBorders>
            <w:shd w:val="clear" w:color="auto" w:fill="auto"/>
          </w:tcPr>
          <w:p w14:paraId="63F8ACC1" w14:textId="77777777" w:rsidR="003D4E4F" w:rsidRPr="004161CA" w:rsidRDefault="003D4E4F" w:rsidP="00461F3B">
            <w:pPr>
              <w:spacing w:line="300" w:lineRule="atLeast"/>
              <w:rPr>
                <w:rFonts w:eastAsia="Times New Roman"/>
                <w:sz w:val="22"/>
                <w:lang w:val="en-US" w:eastAsia="zh-CN"/>
              </w:rPr>
            </w:pPr>
          </w:p>
        </w:tc>
        <w:tc>
          <w:tcPr>
            <w:tcW w:w="4110" w:type="dxa"/>
            <w:tcBorders>
              <w:left w:val="nil"/>
            </w:tcBorders>
            <w:shd w:val="clear" w:color="auto" w:fill="auto"/>
          </w:tcPr>
          <w:p w14:paraId="56084E3D" w14:textId="75412B6D" w:rsidR="003D4E4F" w:rsidRPr="004161CA" w:rsidDel="003D4E4F" w:rsidRDefault="003D4E4F" w:rsidP="00461F3B">
            <w:pPr>
              <w:spacing w:line="300" w:lineRule="atLeast"/>
              <w:rPr>
                <w:rFonts w:eastAsia="Times New Roman"/>
                <w:sz w:val="22"/>
                <w:lang w:val="en-US" w:eastAsia="zh-CN"/>
              </w:rPr>
            </w:pPr>
            <w:proofErr w:type="spellStart"/>
            <w:r>
              <w:rPr>
                <w:rFonts w:eastAsia="Times New Roman"/>
                <w:sz w:val="22"/>
                <w:lang w:val="en-US" w:eastAsia="zh-CN"/>
              </w:rPr>
              <w:t>Lymphopenia</w:t>
            </w:r>
            <w:r w:rsidR="009D6B51">
              <w:rPr>
                <w:rFonts w:eastAsia="SimSun"/>
                <w:sz w:val="20"/>
                <w:szCs w:val="24"/>
                <w:vertAlign w:val="superscript"/>
                <w:lang w:val="en-US" w:eastAsia="zh-CN"/>
              </w:rPr>
              <w:t>d</w:t>
            </w:r>
            <w:proofErr w:type="spellEnd"/>
          </w:p>
        </w:tc>
        <w:tc>
          <w:tcPr>
            <w:tcW w:w="2127" w:type="dxa"/>
            <w:shd w:val="clear" w:color="auto" w:fill="auto"/>
          </w:tcPr>
          <w:p w14:paraId="17AE6A1B" w14:textId="2B7E4B0B" w:rsidR="003D4E4F" w:rsidRPr="004161CA" w:rsidRDefault="003D4E4F" w:rsidP="00461F3B">
            <w:pPr>
              <w:spacing w:line="300" w:lineRule="atLeast"/>
              <w:jc w:val="center"/>
              <w:rPr>
                <w:rFonts w:eastAsia="Times New Roman"/>
                <w:sz w:val="22"/>
                <w:lang w:val="en-US" w:eastAsia="zh-CN"/>
              </w:rPr>
            </w:pPr>
            <w:r>
              <w:rPr>
                <w:rFonts w:eastAsia="Times New Roman"/>
                <w:sz w:val="22"/>
                <w:lang w:val="en-US" w:eastAsia="zh-CN"/>
              </w:rPr>
              <w:t>25</w:t>
            </w:r>
          </w:p>
        </w:tc>
        <w:tc>
          <w:tcPr>
            <w:tcW w:w="2085" w:type="dxa"/>
            <w:shd w:val="clear" w:color="auto" w:fill="auto"/>
          </w:tcPr>
          <w:p w14:paraId="19294F86" w14:textId="501A020A" w:rsidR="003D4E4F" w:rsidRPr="004161CA" w:rsidRDefault="003D4E4F" w:rsidP="00461F3B">
            <w:pPr>
              <w:spacing w:line="300" w:lineRule="atLeast"/>
              <w:jc w:val="center"/>
              <w:rPr>
                <w:rFonts w:eastAsia="Times New Roman"/>
                <w:sz w:val="22"/>
                <w:lang w:val="en-US" w:eastAsia="zh-CN"/>
              </w:rPr>
            </w:pPr>
            <w:r>
              <w:rPr>
                <w:rFonts w:eastAsia="Times New Roman"/>
                <w:sz w:val="22"/>
                <w:lang w:val="en-US" w:eastAsia="zh-CN"/>
              </w:rPr>
              <w:t>4.6</w:t>
            </w:r>
          </w:p>
        </w:tc>
      </w:tr>
    </w:tbl>
    <w:p w14:paraId="6945489E" w14:textId="684D607B" w:rsidR="00461F3B" w:rsidRPr="00461F3B" w:rsidRDefault="00461F3B" w:rsidP="00FA19FD">
      <w:pPr>
        <w:shd w:val="clear" w:color="auto" w:fill="FFFFFF"/>
        <w:spacing w:before="40"/>
        <w:rPr>
          <w:rFonts w:eastAsia="SimSun"/>
          <w:sz w:val="20"/>
          <w:szCs w:val="20"/>
          <w:lang w:val="en-US" w:eastAsia="zh-CN"/>
        </w:rPr>
      </w:pPr>
      <w:r w:rsidRPr="00461F3B">
        <w:rPr>
          <w:rFonts w:eastAsia="SimSun"/>
          <w:sz w:val="20"/>
          <w:szCs w:val="20"/>
          <w:lang w:val="en-US" w:eastAsia="zh-CN"/>
        </w:rPr>
        <w:t>AST</w:t>
      </w:r>
      <w:r w:rsidR="00E375D2">
        <w:rPr>
          <w:rFonts w:eastAsia="SimSun"/>
          <w:sz w:val="20"/>
          <w:szCs w:val="20"/>
          <w:lang w:val="en-US" w:eastAsia="zh-CN"/>
        </w:rPr>
        <w:t>=</w:t>
      </w:r>
      <w:r w:rsidR="000735D0">
        <w:rPr>
          <w:rFonts w:eastAsia="SimSun"/>
          <w:sz w:val="20"/>
          <w:szCs w:val="20"/>
          <w:lang w:val="en-US" w:eastAsia="zh-CN"/>
        </w:rPr>
        <w:t>a</w:t>
      </w:r>
      <w:r w:rsidRPr="00461F3B">
        <w:rPr>
          <w:rFonts w:eastAsia="SimSun"/>
          <w:sz w:val="20"/>
          <w:szCs w:val="20"/>
          <w:lang w:val="en-US" w:eastAsia="zh-CN"/>
        </w:rPr>
        <w:t xml:space="preserve">spartate </w:t>
      </w:r>
      <w:r w:rsidR="000735D0">
        <w:rPr>
          <w:rFonts w:eastAsia="SimSun"/>
          <w:sz w:val="20"/>
          <w:szCs w:val="20"/>
          <w:lang w:val="en-US" w:eastAsia="zh-CN"/>
        </w:rPr>
        <w:t>a</w:t>
      </w:r>
      <w:r w:rsidRPr="00461F3B">
        <w:rPr>
          <w:rFonts w:eastAsia="SimSun"/>
          <w:sz w:val="20"/>
          <w:szCs w:val="20"/>
          <w:lang w:val="en-US" w:eastAsia="zh-CN"/>
        </w:rPr>
        <w:t>minotransferase</w:t>
      </w:r>
      <w:r w:rsidR="00E375D2">
        <w:rPr>
          <w:rFonts w:eastAsia="SimSun"/>
          <w:sz w:val="20"/>
          <w:szCs w:val="20"/>
          <w:lang w:val="en-US" w:eastAsia="zh-CN"/>
        </w:rPr>
        <w:t>; ALP=alkaline phosphatase; CPK=creatine phosphokinas</w:t>
      </w:r>
      <w:r w:rsidR="000735D0">
        <w:rPr>
          <w:rFonts w:eastAsia="SimSun"/>
          <w:sz w:val="20"/>
          <w:szCs w:val="20"/>
          <w:lang w:val="en-US" w:eastAsia="zh-CN"/>
        </w:rPr>
        <w:t>e</w:t>
      </w:r>
      <w:r w:rsidR="00E375D2">
        <w:rPr>
          <w:rFonts w:eastAsia="SimSun"/>
          <w:sz w:val="20"/>
          <w:szCs w:val="20"/>
          <w:lang w:val="en-US" w:eastAsia="zh-CN"/>
        </w:rPr>
        <w:t xml:space="preserve">; </w:t>
      </w:r>
      <w:r w:rsidRPr="00461F3B">
        <w:rPr>
          <w:rFonts w:eastAsia="SimSun"/>
          <w:sz w:val="20"/>
          <w:szCs w:val="20"/>
          <w:lang w:val="en-US" w:eastAsia="zh-CN"/>
        </w:rPr>
        <w:t>ALT</w:t>
      </w:r>
      <w:r w:rsidR="00E375D2">
        <w:rPr>
          <w:rFonts w:eastAsia="SimSun"/>
          <w:sz w:val="20"/>
          <w:szCs w:val="20"/>
          <w:lang w:val="en-US" w:eastAsia="zh-CN"/>
        </w:rPr>
        <w:t>=</w:t>
      </w:r>
      <w:r w:rsidR="000735D0">
        <w:rPr>
          <w:rFonts w:eastAsia="SimSun"/>
          <w:sz w:val="20"/>
          <w:szCs w:val="20"/>
          <w:lang w:val="en-US" w:eastAsia="zh-CN"/>
        </w:rPr>
        <w:t>a</w:t>
      </w:r>
      <w:r w:rsidRPr="00461F3B">
        <w:rPr>
          <w:rFonts w:eastAsia="SimSun"/>
          <w:sz w:val="20"/>
          <w:szCs w:val="20"/>
          <w:lang w:val="en-US" w:eastAsia="zh-CN"/>
        </w:rPr>
        <w:t xml:space="preserve">lanine </w:t>
      </w:r>
      <w:r w:rsidR="000735D0">
        <w:rPr>
          <w:rFonts w:eastAsia="SimSun"/>
          <w:sz w:val="20"/>
          <w:szCs w:val="20"/>
          <w:lang w:val="en-US" w:eastAsia="zh-CN"/>
        </w:rPr>
        <w:t>a</w:t>
      </w:r>
      <w:r w:rsidRPr="00461F3B">
        <w:rPr>
          <w:rFonts w:eastAsia="SimSun"/>
          <w:sz w:val="20"/>
          <w:szCs w:val="20"/>
          <w:lang w:val="en-US" w:eastAsia="zh-CN"/>
        </w:rPr>
        <w:t>minotransferase</w:t>
      </w:r>
    </w:p>
    <w:p w14:paraId="21FFBFCC" w14:textId="416C3038" w:rsidR="00461F3B" w:rsidRPr="00461F3B" w:rsidRDefault="00461F3B" w:rsidP="00461F3B">
      <w:pPr>
        <w:shd w:val="clear" w:color="auto" w:fill="FFFFFF"/>
        <w:rPr>
          <w:rFonts w:eastAsia="SimSun"/>
          <w:sz w:val="20"/>
          <w:szCs w:val="20"/>
          <w:lang w:val="en-US" w:eastAsia="zh-CN"/>
        </w:rPr>
      </w:pPr>
      <w:r w:rsidRPr="00461F3B">
        <w:rPr>
          <w:rFonts w:eastAsia="SimSun"/>
          <w:sz w:val="20"/>
          <w:szCs w:val="20"/>
          <w:vertAlign w:val="superscript"/>
          <w:lang w:val="en-US" w:eastAsia="zh-CN"/>
        </w:rPr>
        <w:t xml:space="preserve">* </w:t>
      </w:r>
      <w:r w:rsidR="00E375D2">
        <w:rPr>
          <w:rFonts w:eastAsia="SimSun"/>
          <w:sz w:val="20"/>
          <w:szCs w:val="20"/>
          <w:lang w:val="en-US" w:eastAsia="zh-CN"/>
        </w:rPr>
        <w:t>Per CTCAE version 4.0</w:t>
      </w:r>
    </w:p>
    <w:p w14:paraId="6B6DCC40" w14:textId="26279556" w:rsidR="00461F3B" w:rsidRDefault="00E375D2" w:rsidP="00461F3B">
      <w:pPr>
        <w:shd w:val="clear" w:color="auto" w:fill="FFFFFF"/>
        <w:rPr>
          <w:rFonts w:eastAsia="SimSun"/>
          <w:sz w:val="20"/>
          <w:szCs w:val="24"/>
          <w:lang w:val="en-US" w:eastAsia="zh-CN"/>
        </w:rPr>
      </w:pPr>
      <w:proofErr w:type="gramStart"/>
      <w:r w:rsidRPr="00BF37CC">
        <w:rPr>
          <w:rFonts w:eastAsia="SimSun"/>
          <w:sz w:val="20"/>
          <w:szCs w:val="24"/>
          <w:vertAlign w:val="superscript"/>
          <w:lang w:val="en-US" w:eastAsia="zh-CN"/>
        </w:rPr>
        <w:lastRenderedPageBreak/>
        <w:t>a</w:t>
      </w:r>
      <w:proofErr w:type="gramEnd"/>
      <w:r w:rsidRPr="00BF37CC">
        <w:rPr>
          <w:rFonts w:eastAsia="SimSun"/>
          <w:sz w:val="20"/>
          <w:szCs w:val="24"/>
          <w:vertAlign w:val="superscript"/>
          <w:lang w:val="en-US" w:eastAsia="zh-CN"/>
        </w:rPr>
        <w:t xml:space="preserve"> </w:t>
      </w:r>
      <w:r w:rsidRPr="00BF37CC">
        <w:rPr>
          <w:rFonts w:eastAsia="SimSun"/>
          <w:sz w:val="20"/>
          <w:szCs w:val="24"/>
          <w:lang w:val="en-US" w:eastAsia="zh-CN"/>
        </w:rPr>
        <w:t>n=219 for CPK (baseline values missing for 92 patients, presumed normal in generating statistics)</w:t>
      </w:r>
    </w:p>
    <w:p w14:paraId="4BA93C7A" w14:textId="6AF7F377" w:rsidR="00E375D2" w:rsidRDefault="00E375D2" w:rsidP="00461F3B">
      <w:pPr>
        <w:shd w:val="clear" w:color="auto" w:fill="FFFFFF"/>
        <w:rPr>
          <w:rFonts w:eastAsia="SimSun"/>
          <w:sz w:val="20"/>
          <w:szCs w:val="24"/>
          <w:lang w:val="en-US" w:eastAsia="zh-CN"/>
        </w:rPr>
      </w:pPr>
      <w:proofErr w:type="gramStart"/>
      <w:r>
        <w:rPr>
          <w:rFonts w:eastAsia="SimSun"/>
          <w:sz w:val="20"/>
          <w:szCs w:val="24"/>
          <w:vertAlign w:val="superscript"/>
          <w:lang w:val="en-US" w:eastAsia="zh-CN"/>
        </w:rPr>
        <w:t>b</w:t>
      </w:r>
      <w:proofErr w:type="gramEnd"/>
      <w:r>
        <w:rPr>
          <w:rFonts w:eastAsia="SimSun"/>
          <w:sz w:val="20"/>
          <w:szCs w:val="24"/>
          <w:lang w:val="en-US" w:eastAsia="zh-CN"/>
        </w:rPr>
        <w:t xml:space="preserve"> n=152 for fasting blood glucose (baseline values missing for 5 patients)</w:t>
      </w:r>
    </w:p>
    <w:p w14:paraId="56802B19" w14:textId="612505F6" w:rsidR="00E375D2" w:rsidRDefault="00E375D2" w:rsidP="00461F3B">
      <w:pPr>
        <w:shd w:val="clear" w:color="auto" w:fill="FFFFFF"/>
        <w:rPr>
          <w:rFonts w:eastAsia="SimSun"/>
          <w:sz w:val="20"/>
          <w:szCs w:val="24"/>
          <w:lang w:val="en-US" w:eastAsia="zh-CN"/>
        </w:rPr>
      </w:pPr>
      <w:proofErr w:type="gramStart"/>
      <w:r>
        <w:rPr>
          <w:rFonts w:eastAsia="SimSun"/>
          <w:sz w:val="20"/>
          <w:szCs w:val="24"/>
          <w:vertAlign w:val="superscript"/>
          <w:lang w:val="en-US" w:eastAsia="zh-CN"/>
        </w:rPr>
        <w:t>c</w:t>
      </w:r>
      <w:proofErr w:type="gramEnd"/>
      <w:r>
        <w:rPr>
          <w:rFonts w:eastAsia="SimSun"/>
          <w:sz w:val="20"/>
          <w:szCs w:val="24"/>
          <w:vertAlign w:val="superscript"/>
          <w:lang w:val="en-US" w:eastAsia="zh-CN"/>
        </w:rPr>
        <w:t xml:space="preserve"> </w:t>
      </w:r>
      <w:r>
        <w:rPr>
          <w:rFonts w:eastAsia="SimSun"/>
          <w:sz w:val="20"/>
          <w:szCs w:val="24"/>
          <w:lang w:val="en-US" w:eastAsia="zh-CN"/>
        </w:rPr>
        <w:t>According to CTCAE criteria based on ULN, and not baseline values</w:t>
      </w:r>
    </w:p>
    <w:p w14:paraId="64CC7750" w14:textId="05CD232E" w:rsidR="00E375D2" w:rsidRDefault="00E375D2" w:rsidP="00023167">
      <w:pPr>
        <w:shd w:val="clear" w:color="auto" w:fill="FFFFFF"/>
        <w:rPr>
          <w:rFonts w:eastAsia="SimSun"/>
          <w:sz w:val="20"/>
          <w:szCs w:val="24"/>
          <w:lang w:val="en-US" w:eastAsia="zh-CN"/>
        </w:rPr>
      </w:pPr>
      <w:proofErr w:type="gramStart"/>
      <w:r>
        <w:rPr>
          <w:rFonts w:eastAsia="SimSun"/>
          <w:sz w:val="20"/>
          <w:szCs w:val="24"/>
          <w:vertAlign w:val="superscript"/>
          <w:lang w:val="en-US" w:eastAsia="zh-CN"/>
        </w:rPr>
        <w:t>d</w:t>
      </w:r>
      <w:proofErr w:type="gramEnd"/>
      <w:r>
        <w:rPr>
          <w:rFonts w:eastAsia="SimSun"/>
          <w:sz w:val="20"/>
          <w:szCs w:val="24"/>
          <w:lang w:val="en-US" w:eastAsia="zh-CN"/>
        </w:rPr>
        <w:t xml:space="preserve"> n=218 for lymphocyte count (with baseline values missing for 6 of these patients)</w:t>
      </w:r>
    </w:p>
    <w:p w14:paraId="2F077171" w14:textId="2F32DEE0" w:rsidR="00D844B2" w:rsidRPr="005B2E24" w:rsidRDefault="00D844B2" w:rsidP="00AD2623">
      <w:pPr>
        <w:pStyle w:val="Heading1"/>
        <w:keepNext/>
        <w:rPr>
          <w:sz w:val="28"/>
          <w:szCs w:val="28"/>
        </w:rPr>
      </w:pPr>
      <w:r w:rsidRPr="005B2E24">
        <w:rPr>
          <w:sz w:val="28"/>
          <w:szCs w:val="28"/>
        </w:rPr>
        <w:t>D</w:t>
      </w:r>
      <w:r w:rsidR="00517398">
        <w:rPr>
          <w:sz w:val="28"/>
          <w:szCs w:val="28"/>
        </w:rPr>
        <w:t>OSAGE AND ADMINISTRATION</w:t>
      </w:r>
    </w:p>
    <w:p w14:paraId="78E0F72B" w14:textId="77777777" w:rsidR="00FC0BA3" w:rsidRPr="00FC0BA3" w:rsidRDefault="00FC0BA3" w:rsidP="00AD2623">
      <w:pPr>
        <w:pStyle w:val="Heading2"/>
        <w:rPr>
          <w:lang w:val="en-US" w:eastAsia="zh-CN"/>
        </w:rPr>
      </w:pPr>
      <w:r w:rsidRPr="00FC0BA3">
        <w:rPr>
          <w:lang w:val="en-US" w:eastAsia="zh-CN"/>
        </w:rPr>
        <w:t>Standard Dosage</w:t>
      </w:r>
    </w:p>
    <w:p w14:paraId="69772361" w14:textId="4CC03198" w:rsidR="00FC0BA3" w:rsidRPr="00FC0BA3" w:rsidRDefault="00FC0BA3" w:rsidP="00FC0BA3">
      <w:pPr>
        <w:spacing w:after="250" w:line="300" w:lineRule="atLeast"/>
        <w:rPr>
          <w:rFonts w:eastAsia="SimSun"/>
          <w:szCs w:val="24"/>
          <w:lang w:val="en-US" w:eastAsia="en-GB"/>
        </w:rPr>
      </w:pPr>
      <w:r w:rsidRPr="00FC0BA3">
        <w:rPr>
          <w:rFonts w:eastAsia="SimSun"/>
          <w:szCs w:val="24"/>
          <w:lang w:val="en-US" w:eastAsia="en-GB"/>
        </w:rPr>
        <w:t xml:space="preserve">The recommended dose of </w:t>
      </w:r>
      <w:r w:rsidR="00D02E38">
        <w:rPr>
          <w:rFonts w:eastAsia="SimSun"/>
          <w:szCs w:val="24"/>
          <w:lang w:eastAsia="en-GB"/>
        </w:rPr>
        <w:t>ALECENSA</w:t>
      </w:r>
      <w:r w:rsidRPr="00FC0BA3">
        <w:rPr>
          <w:rFonts w:eastAsia="SimSun"/>
          <w:szCs w:val="24"/>
          <w:lang w:val="en-US" w:eastAsia="en-GB"/>
        </w:rPr>
        <w:t xml:space="preserve"> is 600 mg (four 150 mg capsules) given orally, twice daily with food (total daily dose of 1200 mg).</w:t>
      </w:r>
    </w:p>
    <w:p w14:paraId="4B09D3E5" w14:textId="77777777" w:rsidR="00462F88" w:rsidRDefault="00D02E38" w:rsidP="00FC0BA3">
      <w:pPr>
        <w:spacing w:after="250" w:line="300" w:lineRule="atLeast"/>
        <w:rPr>
          <w:rFonts w:eastAsia="SimSun"/>
          <w:szCs w:val="24"/>
          <w:lang w:val="en-US" w:eastAsia="en-GB"/>
        </w:rPr>
      </w:pPr>
      <w:r>
        <w:rPr>
          <w:rFonts w:eastAsia="SimSun"/>
          <w:szCs w:val="24"/>
          <w:lang w:eastAsia="en-GB"/>
        </w:rPr>
        <w:t>ALECENSA</w:t>
      </w:r>
      <w:r w:rsidR="00FC0BA3" w:rsidRPr="00FC0BA3">
        <w:rPr>
          <w:rFonts w:eastAsia="SimSun"/>
          <w:szCs w:val="24"/>
          <w:lang w:val="en-US" w:eastAsia="en-GB"/>
        </w:rPr>
        <w:t xml:space="preserve"> hard capsules should be swallowed whole and must not be opened or dissolved.</w:t>
      </w:r>
    </w:p>
    <w:p w14:paraId="6A464730" w14:textId="07C927D5" w:rsidR="00FC0BA3" w:rsidRPr="00FC0BA3" w:rsidRDefault="00FC0BA3" w:rsidP="00FC0BA3">
      <w:pPr>
        <w:pStyle w:val="Heading2"/>
        <w:rPr>
          <w:lang w:val="en-US" w:eastAsia="zh-CN"/>
        </w:rPr>
      </w:pPr>
      <w:r w:rsidRPr="00FC0BA3">
        <w:rPr>
          <w:lang w:val="en-US" w:eastAsia="zh-CN"/>
        </w:rPr>
        <w:t>Duration of Treatment</w:t>
      </w:r>
    </w:p>
    <w:p w14:paraId="2525E411" w14:textId="4EFFB2FB" w:rsidR="00FC0BA3" w:rsidRPr="00FC0BA3" w:rsidRDefault="00FC0BA3" w:rsidP="00FC0BA3">
      <w:pPr>
        <w:spacing w:after="250" w:line="300" w:lineRule="atLeast"/>
        <w:rPr>
          <w:rFonts w:eastAsia="SimSun"/>
          <w:szCs w:val="24"/>
          <w:lang w:val="en-US" w:eastAsia="zh-CN"/>
        </w:rPr>
      </w:pPr>
      <w:r w:rsidRPr="00FC0BA3">
        <w:rPr>
          <w:rFonts w:eastAsia="SimSun"/>
          <w:szCs w:val="24"/>
          <w:lang w:val="en-US" w:eastAsia="zh-CN"/>
        </w:rPr>
        <w:t xml:space="preserve">Treatment with </w:t>
      </w:r>
      <w:r w:rsidR="00D02E38">
        <w:rPr>
          <w:rFonts w:eastAsia="SimSun"/>
          <w:szCs w:val="24"/>
          <w:lang w:eastAsia="zh-CN"/>
        </w:rPr>
        <w:t>ALECENSA</w:t>
      </w:r>
      <w:r w:rsidRPr="00FC0BA3">
        <w:rPr>
          <w:rFonts w:eastAsia="SimSun"/>
          <w:szCs w:val="24"/>
          <w:lang w:val="en-US" w:eastAsia="zh-CN"/>
        </w:rPr>
        <w:t xml:space="preserve"> should be continued until disease progression or unacceptable toxicity.</w:t>
      </w:r>
    </w:p>
    <w:p w14:paraId="39AB1BAB" w14:textId="77777777" w:rsidR="00FC0BA3" w:rsidRPr="00FC0BA3" w:rsidRDefault="00FC0BA3" w:rsidP="00FC0BA3">
      <w:pPr>
        <w:pStyle w:val="Heading2"/>
        <w:rPr>
          <w:lang w:val="en-US" w:eastAsia="zh-CN"/>
        </w:rPr>
      </w:pPr>
      <w:r w:rsidRPr="00FC0BA3">
        <w:rPr>
          <w:lang w:val="en-US" w:eastAsia="zh-CN"/>
        </w:rPr>
        <w:t>Delayed or Missed Doses</w:t>
      </w:r>
    </w:p>
    <w:p w14:paraId="74515180" w14:textId="6BDB1C85" w:rsidR="00FC0BA3" w:rsidRPr="00FC0BA3" w:rsidRDefault="00C2186E" w:rsidP="00FC0BA3">
      <w:pPr>
        <w:spacing w:after="250" w:line="300" w:lineRule="atLeast"/>
        <w:rPr>
          <w:rFonts w:eastAsia="SimSun"/>
          <w:szCs w:val="24"/>
          <w:lang w:val="en-US" w:eastAsia="en-GB"/>
        </w:rPr>
      </w:pPr>
      <w:r>
        <w:rPr>
          <w:rFonts w:eastAsia="SimSun"/>
          <w:szCs w:val="24"/>
          <w:lang w:val="en-US" w:eastAsia="zh-CN"/>
        </w:rPr>
        <w:t>Advise patients that i</w:t>
      </w:r>
      <w:r w:rsidR="00FC0BA3" w:rsidRPr="00FC0BA3">
        <w:rPr>
          <w:rFonts w:eastAsia="SimSun"/>
          <w:szCs w:val="24"/>
          <w:lang w:val="en-US" w:eastAsia="zh-CN"/>
        </w:rPr>
        <w:t xml:space="preserve">f a dose of </w:t>
      </w:r>
      <w:r w:rsidR="00D02E38">
        <w:rPr>
          <w:rFonts w:eastAsia="SimSun"/>
          <w:szCs w:val="24"/>
          <w:lang w:eastAsia="zh-CN"/>
        </w:rPr>
        <w:t>ALECENSA</w:t>
      </w:r>
      <w:r w:rsidR="00FC0BA3" w:rsidRPr="00FC0BA3">
        <w:rPr>
          <w:rFonts w:eastAsia="SimSun"/>
          <w:szCs w:val="24"/>
          <w:lang w:val="en-US" w:eastAsia="zh-CN"/>
        </w:rPr>
        <w:t xml:space="preserve"> is missed, </w:t>
      </w:r>
      <w:r>
        <w:rPr>
          <w:rFonts w:eastAsia="SimSun"/>
          <w:szCs w:val="24"/>
          <w:lang w:val="en-US" w:eastAsia="zh-CN"/>
        </w:rPr>
        <w:t xml:space="preserve">or if the patient vomits after taking a dose of ALECENSA, </w:t>
      </w:r>
      <w:r w:rsidR="00FC0BA3" w:rsidRPr="00FC0BA3">
        <w:rPr>
          <w:rFonts w:eastAsia="SimSun"/>
          <w:szCs w:val="24"/>
          <w:lang w:val="en-US" w:eastAsia="zh-CN"/>
        </w:rPr>
        <w:t xml:space="preserve">patients </w:t>
      </w:r>
      <w:r>
        <w:rPr>
          <w:rFonts w:eastAsia="SimSun"/>
          <w:szCs w:val="24"/>
          <w:lang w:val="en-US" w:eastAsia="zh-CN"/>
        </w:rPr>
        <w:t>should be advised not to take an extra dose, but to take the next dose at the regular time.</w:t>
      </w:r>
    </w:p>
    <w:p w14:paraId="6EB0884B" w14:textId="7FBEEA88" w:rsidR="00FC0BA3" w:rsidRPr="00FC0BA3" w:rsidRDefault="00D43C8A" w:rsidP="00FC0BA3">
      <w:pPr>
        <w:pStyle w:val="Heading2"/>
        <w:rPr>
          <w:lang w:val="en-US" w:eastAsia="zh-CN"/>
        </w:rPr>
      </w:pPr>
      <w:r>
        <w:rPr>
          <w:lang w:val="en-US" w:eastAsia="zh-CN"/>
        </w:rPr>
        <w:t>Dose Modifications</w:t>
      </w:r>
    </w:p>
    <w:p w14:paraId="05699B90" w14:textId="320A091F" w:rsidR="00FC0BA3" w:rsidRPr="00FC0BA3" w:rsidRDefault="00FC0BA3" w:rsidP="00FC0BA3">
      <w:pPr>
        <w:shd w:val="clear" w:color="auto" w:fill="FFFFFF"/>
        <w:autoSpaceDE w:val="0"/>
        <w:autoSpaceDN w:val="0"/>
        <w:adjustRightInd w:val="0"/>
        <w:rPr>
          <w:rFonts w:eastAsia="SimSun"/>
          <w:szCs w:val="24"/>
          <w:lang w:val="en-US" w:eastAsia="zh-CN"/>
        </w:rPr>
      </w:pPr>
      <w:r w:rsidRPr="00FC0BA3">
        <w:rPr>
          <w:rFonts w:eastAsia="SimSun"/>
          <w:szCs w:val="24"/>
          <w:lang w:val="en-US" w:eastAsia="zh-CN"/>
        </w:rPr>
        <w:t xml:space="preserve">Management of adverse events may require temporary interruption, dose reduction, or discontinuation of treatment with </w:t>
      </w:r>
      <w:r w:rsidR="00D02E38">
        <w:rPr>
          <w:rFonts w:eastAsia="SimSun"/>
          <w:szCs w:val="24"/>
          <w:lang w:eastAsia="zh-CN"/>
        </w:rPr>
        <w:t>ALECENSA</w:t>
      </w:r>
      <w:r w:rsidRPr="00FC0BA3">
        <w:rPr>
          <w:rFonts w:eastAsia="SimSun"/>
          <w:szCs w:val="24"/>
          <w:lang w:val="en-US" w:eastAsia="en-GB"/>
        </w:rPr>
        <w:t xml:space="preserve">. The dose of </w:t>
      </w:r>
      <w:r w:rsidR="00D02E38">
        <w:rPr>
          <w:rFonts w:eastAsia="SimSun"/>
          <w:szCs w:val="24"/>
          <w:lang w:eastAsia="en-GB"/>
        </w:rPr>
        <w:t>ALECENSA</w:t>
      </w:r>
      <w:r w:rsidRPr="00FC0BA3">
        <w:rPr>
          <w:rFonts w:eastAsia="SimSun"/>
          <w:szCs w:val="24"/>
          <w:lang w:val="en-US" w:eastAsia="en-GB"/>
        </w:rPr>
        <w:t xml:space="preserve"> should be reduced in steps of 150 mg twice daily based on tolerability</w:t>
      </w:r>
      <w:r w:rsidR="006806C2">
        <w:rPr>
          <w:rFonts w:eastAsia="SimSun"/>
          <w:szCs w:val="24"/>
          <w:lang w:val="en-US" w:eastAsia="en-GB"/>
        </w:rPr>
        <w:t xml:space="preserve"> (Table 6)</w:t>
      </w:r>
      <w:r w:rsidRPr="00FC0BA3">
        <w:rPr>
          <w:rFonts w:eastAsia="SimSun"/>
          <w:szCs w:val="24"/>
          <w:lang w:val="en-US" w:eastAsia="en-GB"/>
        </w:rPr>
        <w:t xml:space="preserve">. </w:t>
      </w:r>
      <w:r w:rsidR="006806C2">
        <w:rPr>
          <w:rFonts w:eastAsia="SimSun"/>
          <w:szCs w:val="24"/>
          <w:lang w:val="en-US" w:eastAsia="en-GB"/>
        </w:rPr>
        <w:t>Dose modification guid</w:t>
      </w:r>
      <w:r w:rsidR="00813114">
        <w:rPr>
          <w:rFonts w:eastAsia="SimSun"/>
          <w:szCs w:val="24"/>
          <w:lang w:val="en-US" w:eastAsia="en-GB"/>
        </w:rPr>
        <w:t>e</w:t>
      </w:r>
      <w:r w:rsidR="006806C2">
        <w:rPr>
          <w:rFonts w:eastAsia="SimSun"/>
          <w:szCs w:val="24"/>
          <w:lang w:val="en-US" w:eastAsia="en-GB"/>
        </w:rPr>
        <w:t>lines for specific adverse even</w:t>
      </w:r>
      <w:r w:rsidR="00287F60">
        <w:rPr>
          <w:rFonts w:eastAsia="SimSun"/>
          <w:szCs w:val="24"/>
          <w:lang w:val="en-US" w:eastAsia="en-GB"/>
        </w:rPr>
        <w:t>ts</w:t>
      </w:r>
      <w:r w:rsidR="006806C2">
        <w:rPr>
          <w:rFonts w:eastAsia="SimSun"/>
          <w:szCs w:val="24"/>
          <w:lang w:val="en-US" w:eastAsia="en-GB"/>
        </w:rPr>
        <w:t xml:space="preserve"> are provided in Table 7 (see also PRECAUTIONS). </w:t>
      </w:r>
      <w:r w:rsidR="00D02E38">
        <w:rPr>
          <w:rFonts w:eastAsia="SimSun"/>
          <w:szCs w:val="24"/>
          <w:lang w:eastAsia="en-GB"/>
        </w:rPr>
        <w:t>ALECENSA</w:t>
      </w:r>
      <w:r w:rsidRPr="00FC0BA3">
        <w:rPr>
          <w:rFonts w:eastAsia="SimSun"/>
          <w:szCs w:val="24"/>
          <w:lang w:val="en-US" w:eastAsia="en-GB"/>
        </w:rPr>
        <w:t xml:space="preserve"> treatment should be permanently discontinued if patients are unable to tolerate the 300 mg twice daily dose.</w:t>
      </w:r>
    </w:p>
    <w:p w14:paraId="1B76FB41" w14:textId="0972B944" w:rsidR="00FC0BA3" w:rsidRDefault="00D43C8A" w:rsidP="00D43C8A">
      <w:pPr>
        <w:pStyle w:val="Caption"/>
        <w:rPr>
          <w:rFonts w:eastAsia="SimSun"/>
          <w:b w:val="0"/>
          <w:szCs w:val="24"/>
          <w:lang w:val="en-GB" w:eastAsia="en-GB"/>
        </w:rPr>
      </w:pPr>
      <w:proofErr w:type="gramStart"/>
      <w:r>
        <w:t xml:space="preserve">Table </w:t>
      </w:r>
      <w:r w:rsidR="00C728BF">
        <w:fldChar w:fldCharType="begin"/>
      </w:r>
      <w:r w:rsidR="00C728BF">
        <w:instrText xml:space="preserve"> SEQ Table \* ARABIC </w:instrText>
      </w:r>
      <w:r w:rsidR="00C728BF">
        <w:fldChar w:fldCharType="separate"/>
      </w:r>
      <w:r>
        <w:rPr>
          <w:noProof/>
        </w:rPr>
        <w:t>6</w:t>
      </w:r>
      <w:r w:rsidR="00C728BF">
        <w:rPr>
          <w:noProof/>
        </w:rPr>
        <w:fldChar w:fldCharType="end"/>
      </w:r>
      <w:r w:rsidR="00322B7D">
        <w:rPr>
          <w:rFonts w:eastAsia="SimSun"/>
          <w:szCs w:val="24"/>
          <w:lang w:val="en-GB" w:eastAsia="en-GB"/>
        </w:rPr>
        <w:t>.</w:t>
      </w:r>
      <w:proofErr w:type="gramEnd"/>
      <w:r w:rsidR="005D74CE">
        <w:rPr>
          <w:rFonts w:eastAsia="SimSun"/>
          <w:szCs w:val="24"/>
          <w:lang w:val="en-GB" w:eastAsia="en-GB"/>
        </w:rPr>
        <w:t xml:space="preserve"> </w:t>
      </w:r>
      <w:r w:rsidR="006A4D53">
        <w:rPr>
          <w:rFonts w:eastAsia="SimSun"/>
          <w:szCs w:val="24"/>
          <w:lang w:val="en-GB" w:eastAsia="en-GB"/>
        </w:rPr>
        <w:t>ALECENSA general d</w:t>
      </w:r>
      <w:r w:rsidR="00FC0BA3" w:rsidRPr="00FC0BA3">
        <w:rPr>
          <w:rFonts w:eastAsia="SimSun"/>
          <w:szCs w:val="24"/>
          <w:lang w:val="en-GB" w:eastAsia="en-GB"/>
        </w:rPr>
        <w:t xml:space="preserve">ose </w:t>
      </w:r>
      <w:r w:rsidR="006A4D53">
        <w:rPr>
          <w:rFonts w:eastAsia="SimSun"/>
          <w:szCs w:val="24"/>
          <w:lang w:val="en-GB" w:eastAsia="en-GB"/>
        </w:rPr>
        <w:t>r</w:t>
      </w:r>
      <w:r w:rsidR="00FC0BA3" w:rsidRPr="00FC0BA3">
        <w:rPr>
          <w:rFonts w:eastAsia="SimSun"/>
          <w:szCs w:val="24"/>
          <w:lang w:val="en-GB" w:eastAsia="en-GB"/>
        </w:rPr>
        <w:t xml:space="preserve">eduction </w:t>
      </w:r>
      <w:r w:rsidR="006A4D53">
        <w:rPr>
          <w:rFonts w:eastAsia="SimSun"/>
          <w:szCs w:val="24"/>
          <w:lang w:val="en-GB" w:eastAsia="en-GB"/>
        </w:rPr>
        <w:t>s</w:t>
      </w:r>
      <w:r w:rsidR="00FC0BA3" w:rsidRPr="00FC0BA3">
        <w:rPr>
          <w:rFonts w:eastAsia="SimSun"/>
          <w:szCs w:val="24"/>
          <w:lang w:val="en-GB" w:eastAsia="en-GB"/>
        </w:rPr>
        <w:t>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Table 6. ALECENSA general dose reduction schedule"/>
      </w:tblPr>
      <w:tblGrid>
        <w:gridCol w:w="4428"/>
        <w:gridCol w:w="4428"/>
      </w:tblGrid>
      <w:tr w:rsidR="00FC0BA3" w:rsidRPr="00FC0BA3" w14:paraId="5A8240C1" w14:textId="77777777" w:rsidTr="00D43C8A">
        <w:trPr>
          <w:tblHeader/>
        </w:trPr>
        <w:tc>
          <w:tcPr>
            <w:tcW w:w="4428" w:type="dxa"/>
            <w:shd w:val="clear" w:color="auto" w:fill="auto"/>
            <w:vAlign w:val="center"/>
          </w:tcPr>
          <w:p w14:paraId="18469D35" w14:textId="067FA714" w:rsidR="00FC0BA3" w:rsidRPr="004161CA" w:rsidRDefault="00FC0BA3" w:rsidP="00FF5020">
            <w:pPr>
              <w:shd w:val="clear" w:color="auto" w:fill="FFFFFF"/>
              <w:spacing w:line="300" w:lineRule="atLeast"/>
              <w:rPr>
                <w:rFonts w:eastAsia="Times New Roman"/>
                <w:b/>
                <w:sz w:val="22"/>
                <w:lang w:val="en-GB" w:eastAsia="en-GB"/>
              </w:rPr>
            </w:pPr>
            <w:r w:rsidRPr="004161CA">
              <w:rPr>
                <w:rFonts w:eastAsia="Times New Roman"/>
                <w:b/>
                <w:sz w:val="22"/>
                <w:lang w:val="en-GB" w:eastAsia="en-GB"/>
              </w:rPr>
              <w:t xml:space="preserve">Dose </w:t>
            </w:r>
            <w:r w:rsidR="006A4D53">
              <w:rPr>
                <w:rFonts w:eastAsia="Times New Roman"/>
                <w:b/>
                <w:sz w:val="22"/>
                <w:lang w:val="en-GB" w:eastAsia="en-GB"/>
              </w:rPr>
              <w:t>event</w:t>
            </w:r>
          </w:p>
        </w:tc>
        <w:tc>
          <w:tcPr>
            <w:tcW w:w="4428" w:type="dxa"/>
            <w:shd w:val="clear" w:color="auto" w:fill="auto"/>
            <w:vAlign w:val="center"/>
          </w:tcPr>
          <w:p w14:paraId="6809C973" w14:textId="6A397079" w:rsidR="00FC0BA3" w:rsidRPr="004161CA" w:rsidRDefault="006A4D53" w:rsidP="00FF5020">
            <w:pPr>
              <w:shd w:val="clear" w:color="auto" w:fill="FFFFFF"/>
              <w:spacing w:line="300" w:lineRule="atLeast"/>
              <w:rPr>
                <w:rFonts w:eastAsia="Times New Roman"/>
                <w:b/>
                <w:sz w:val="22"/>
                <w:lang w:val="en-GB" w:eastAsia="en-GB"/>
              </w:rPr>
            </w:pPr>
            <w:r>
              <w:rPr>
                <w:rFonts w:eastAsia="Times New Roman"/>
                <w:b/>
                <w:sz w:val="22"/>
                <w:lang w:val="en-GB" w:eastAsia="en-GB"/>
              </w:rPr>
              <w:t>Change dose to</w:t>
            </w:r>
          </w:p>
        </w:tc>
      </w:tr>
      <w:tr w:rsidR="00FC0BA3" w:rsidRPr="00FC0BA3" w14:paraId="2678A7E5" w14:textId="77777777" w:rsidTr="00F23770">
        <w:trPr>
          <w:trHeight w:val="399"/>
        </w:trPr>
        <w:tc>
          <w:tcPr>
            <w:tcW w:w="4428" w:type="dxa"/>
            <w:shd w:val="clear" w:color="auto" w:fill="auto"/>
            <w:vAlign w:val="center"/>
          </w:tcPr>
          <w:p w14:paraId="51FB0F3E" w14:textId="77777777" w:rsidR="00FC0BA3" w:rsidRPr="004161CA" w:rsidRDefault="00FC0BA3" w:rsidP="00FF5020">
            <w:pPr>
              <w:shd w:val="clear" w:color="auto" w:fill="FFFFFF"/>
              <w:spacing w:line="300" w:lineRule="atLeast"/>
              <w:rPr>
                <w:rFonts w:eastAsia="Times New Roman"/>
                <w:sz w:val="22"/>
                <w:lang w:val="en-GB" w:eastAsia="en-GB"/>
              </w:rPr>
            </w:pPr>
            <w:r w:rsidRPr="004161CA">
              <w:rPr>
                <w:rFonts w:eastAsia="Times New Roman"/>
                <w:sz w:val="22"/>
                <w:lang w:val="en-GB" w:eastAsia="en-GB"/>
              </w:rPr>
              <w:t>Starting Dose</w:t>
            </w:r>
          </w:p>
        </w:tc>
        <w:tc>
          <w:tcPr>
            <w:tcW w:w="4428" w:type="dxa"/>
            <w:shd w:val="clear" w:color="auto" w:fill="auto"/>
            <w:vAlign w:val="center"/>
          </w:tcPr>
          <w:p w14:paraId="2784A347" w14:textId="77777777" w:rsidR="00FC0BA3" w:rsidRPr="004161CA" w:rsidRDefault="00FC0BA3" w:rsidP="00FF5020">
            <w:pPr>
              <w:shd w:val="clear" w:color="auto" w:fill="FFFFFF"/>
              <w:spacing w:line="300" w:lineRule="atLeast"/>
              <w:rPr>
                <w:rFonts w:eastAsia="Times New Roman"/>
                <w:sz w:val="22"/>
                <w:lang w:val="en-GB" w:eastAsia="en-GB"/>
              </w:rPr>
            </w:pPr>
            <w:r w:rsidRPr="004161CA">
              <w:rPr>
                <w:rFonts w:eastAsia="Times New Roman"/>
                <w:sz w:val="22"/>
                <w:lang w:val="en-GB" w:eastAsia="en-GB"/>
              </w:rPr>
              <w:t>600 mg twice daily</w:t>
            </w:r>
          </w:p>
        </w:tc>
      </w:tr>
      <w:tr w:rsidR="00FC0BA3" w:rsidRPr="00FC0BA3" w14:paraId="2C80105F" w14:textId="77777777" w:rsidTr="00F23770">
        <w:tc>
          <w:tcPr>
            <w:tcW w:w="4428" w:type="dxa"/>
            <w:shd w:val="clear" w:color="auto" w:fill="auto"/>
            <w:vAlign w:val="center"/>
          </w:tcPr>
          <w:p w14:paraId="7DCDD281" w14:textId="77777777" w:rsidR="00FC0BA3" w:rsidRPr="004161CA" w:rsidRDefault="00FC0BA3" w:rsidP="00FF5020">
            <w:pPr>
              <w:shd w:val="clear" w:color="auto" w:fill="FFFFFF"/>
              <w:spacing w:line="300" w:lineRule="atLeast"/>
              <w:rPr>
                <w:rFonts w:eastAsia="Times New Roman"/>
                <w:sz w:val="22"/>
                <w:lang w:val="en-GB" w:eastAsia="en-GB"/>
              </w:rPr>
            </w:pPr>
            <w:r w:rsidRPr="004161CA">
              <w:rPr>
                <w:rFonts w:eastAsia="Times New Roman"/>
                <w:sz w:val="22"/>
                <w:lang w:val="en-GB" w:eastAsia="en-GB"/>
              </w:rPr>
              <w:t>First dose reduction</w:t>
            </w:r>
          </w:p>
        </w:tc>
        <w:tc>
          <w:tcPr>
            <w:tcW w:w="4428" w:type="dxa"/>
            <w:shd w:val="clear" w:color="auto" w:fill="auto"/>
            <w:vAlign w:val="center"/>
          </w:tcPr>
          <w:p w14:paraId="5C11A8A8" w14:textId="77777777" w:rsidR="00FC0BA3" w:rsidRPr="004161CA" w:rsidRDefault="00FC0BA3" w:rsidP="00FF5020">
            <w:pPr>
              <w:shd w:val="clear" w:color="auto" w:fill="FFFFFF"/>
              <w:spacing w:line="300" w:lineRule="atLeast"/>
              <w:rPr>
                <w:rFonts w:eastAsia="Times New Roman"/>
                <w:sz w:val="22"/>
                <w:lang w:val="en-GB" w:eastAsia="en-GB"/>
              </w:rPr>
            </w:pPr>
            <w:r w:rsidRPr="004161CA">
              <w:rPr>
                <w:rFonts w:eastAsia="Times New Roman"/>
                <w:sz w:val="22"/>
                <w:lang w:val="en-GB" w:eastAsia="en-GB"/>
              </w:rPr>
              <w:t>450 mg twice daily</w:t>
            </w:r>
          </w:p>
        </w:tc>
      </w:tr>
      <w:tr w:rsidR="00FC0BA3" w:rsidRPr="00FC0BA3" w14:paraId="380F0203" w14:textId="77777777" w:rsidTr="00F23770">
        <w:tc>
          <w:tcPr>
            <w:tcW w:w="4428" w:type="dxa"/>
            <w:shd w:val="clear" w:color="auto" w:fill="auto"/>
            <w:vAlign w:val="center"/>
          </w:tcPr>
          <w:p w14:paraId="4800D019" w14:textId="77777777" w:rsidR="00FC0BA3" w:rsidRPr="004161CA" w:rsidRDefault="00FC0BA3" w:rsidP="00FF5020">
            <w:pPr>
              <w:shd w:val="clear" w:color="auto" w:fill="FFFFFF"/>
              <w:spacing w:line="300" w:lineRule="atLeast"/>
              <w:rPr>
                <w:rFonts w:eastAsia="Times New Roman"/>
                <w:sz w:val="22"/>
                <w:lang w:val="en-GB" w:eastAsia="en-GB"/>
              </w:rPr>
            </w:pPr>
            <w:r w:rsidRPr="004161CA">
              <w:rPr>
                <w:rFonts w:eastAsia="Times New Roman"/>
                <w:sz w:val="22"/>
                <w:lang w:val="en-GB" w:eastAsia="en-GB"/>
              </w:rPr>
              <w:t>Second dose reduction</w:t>
            </w:r>
          </w:p>
        </w:tc>
        <w:tc>
          <w:tcPr>
            <w:tcW w:w="4428" w:type="dxa"/>
            <w:shd w:val="clear" w:color="auto" w:fill="auto"/>
            <w:vAlign w:val="center"/>
          </w:tcPr>
          <w:p w14:paraId="623C22C6" w14:textId="77777777" w:rsidR="00FC0BA3" w:rsidRPr="004161CA" w:rsidRDefault="00FC0BA3" w:rsidP="00FF5020">
            <w:pPr>
              <w:shd w:val="clear" w:color="auto" w:fill="FFFFFF"/>
              <w:spacing w:line="300" w:lineRule="atLeast"/>
              <w:rPr>
                <w:rFonts w:eastAsia="Times New Roman"/>
                <w:sz w:val="22"/>
                <w:lang w:val="en-GB" w:eastAsia="en-GB"/>
              </w:rPr>
            </w:pPr>
            <w:r w:rsidRPr="004161CA">
              <w:rPr>
                <w:rFonts w:eastAsia="Times New Roman"/>
                <w:sz w:val="22"/>
                <w:lang w:val="en-GB" w:eastAsia="en-GB"/>
              </w:rPr>
              <w:t>300 mg twice daily</w:t>
            </w:r>
          </w:p>
        </w:tc>
      </w:tr>
    </w:tbl>
    <w:p w14:paraId="7FF9D3BF" w14:textId="66582123" w:rsidR="00FC0BA3" w:rsidRDefault="00D43C8A" w:rsidP="00D43C8A">
      <w:pPr>
        <w:pStyle w:val="Caption"/>
        <w:rPr>
          <w:rFonts w:eastAsia="SimSun"/>
          <w:b w:val="0"/>
          <w:szCs w:val="24"/>
          <w:lang w:val="en-US" w:eastAsia="zh-CN"/>
        </w:rPr>
      </w:pPr>
      <w:proofErr w:type="gramStart"/>
      <w:r>
        <w:t xml:space="preserve">Table </w:t>
      </w:r>
      <w:r w:rsidR="00C728BF">
        <w:fldChar w:fldCharType="begin"/>
      </w:r>
      <w:r w:rsidR="00C728BF">
        <w:instrText xml:space="preserve"> SEQ Table \* ARABIC </w:instrText>
      </w:r>
      <w:r w:rsidR="00C728BF">
        <w:fldChar w:fldCharType="separate"/>
      </w:r>
      <w:r>
        <w:rPr>
          <w:noProof/>
        </w:rPr>
        <w:t>7</w:t>
      </w:r>
      <w:r w:rsidR="00C728BF">
        <w:rPr>
          <w:noProof/>
        </w:rPr>
        <w:fldChar w:fldCharType="end"/>
      </w:r>
      <w:r w:rsidR="00322B7D">
        <w:rPr>
          <w:rFonts w:eastAsia="SimSun"/>
          <w:szCs w:val="24"/>
          <w:lang w:val="en-US" w:eastAsia="zh-CN"/>
        </w:rPr>
        <w:t>.</w:t>
      </w:r>
      <w:proofErr w:type="gramEnd"/>
      <w:r w:rsidR="00FC0BA3" w:rsidRPr="00FC0BA3">
        <w:rPr>
          <w:rFonts w:eastAsia="SimSun"/>
          <w:szCs w:val="24"/>
          <w:lang w:val="en-US" w:eastAsia="zh-CN"/>
        </w:rPr>
        <w:t xml:space="preserve"> Dose </w:t>
      </w:r>
      <w:r w:rsidR="00517205">
        <w:rPr>
          <w:rFonts w:eastAsia="SimSun"/>
          <w:szCs w:val="24"/>
          <w:lang w:val="en-US" w:eastAsia="zh-CN"/>
        </w:rPr>
        <w:t>m</w:t>
      </w:r>
      <w:r w:rsidR="00517205" w:rsidRPr="00FC0BA3">
        <w:rPr>
          <w:rFonts w:eastAsia="SimSun"/>
          <w:szCs w:val="24"/>
          <w:lang w:val="en-US" w:eastAsia="zh-CN"/>
        </w:rPr>
        <w:t xml:space="preserve">odification </w:t>
      </w:r>
      <w:r w:rsidR="00517205">
        <w:rPr>
          <w:rFonts w:eastAsia="SimSun"/>
          <w:szCs w:val="24"/>
          <w:lang w:val="en-US" w:eastAsia="zh-CN"/>
        </w:rPr>
        <w:t>g</w:t>
      </w:r>
      <w:r w:rsidR="00517205" w:rsidRPr="00FC0BA3">
        <w:rPr>
          <w:rFonts w:eastAsia="SimSun"/>
          <w:szCs w:val="24"/>
          <w:lang w:val="en-US" w:eastAsia="zh-CN"/>
        </w:rPr>
        <w:t xml:space="preserve">uidelines </w:t>
      </w:r>
      <w:r w:rsidR="00FC0BA3" w:rsidRPr="00FC0BA3">
        <w:rPr>
          <w:rFonts w:eastAsia="SimSun"/>
          <w:szCs w:val="24"/>
          <w:lang w:val="en-US" w:eastAsia="zh-CN"/>
        </w:rPr>
        <w:t xml:space="preserve">for </w:t>
      </w:r>
      <w:r w:rsidR="00517205">
        <w:rPr>
          <w:rFonts w:eastAsia="SimSun"/>
          <w:szCs w:val="24"/>
          <w:lang w:val="en-US" w:eastAsia="zh-CN"/>
        </w:rPr>
        <w:t>specific adverse events</w:t>
      </w:r>
      <w:r w:rsidR="00431B9E">
        <w:rPr>
          <w:rFonts w:eastAsia="SimSun"/>
          <w:szCs w:val="24"/>
          <w:lang w:val="en-US" w:eastAsia="zh-CN"/>
        </w:rPr>
        <w:t xml:space="preserve"> (see also PRECAUTIONS)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FC0BA3" w:rsidRPr="00FC0BA3" w14:paraId="4005C3D2" w14:textId="77777777" w:rsidTr="00D43C8A">
        <w:trPr>
          <w:tblHeader/>
        </w:trPr>
        <w:tc>
          <w:tcPr>
            <w:tcW w:w="4428" w:type="dxa"/>
            <w:shd w:val="clear" w:color="auto" w:fill="auto"/>
          </w:tcPr>
          <w:p w14:paraId="639985B8" w14:textId="0FBE486A" w:rsidR="00FC0BA3" w:rsidRPr="004161CA" w:rsidRDefault="00FC0BA3" w:rsidP="00D43C8A">
            <w:pPr>
              <w:spacing w:line="300" w:lineRule="atLeast"/>
              <w:rPr>
                <w:rFonts w:eastAsia="SimSun"/>
                <w:b/>
                <w:sz w:val="22"/>
                <w:lang w:val="en-GB" w:eastAsia="zh-CN"/>
              </w:rPr>
            </w:pPr>
            <w:r w:rsidRPr="004161CA">
              <w:rPr>
                <w:rFonts w:eastAsia="SimSun"/>
                <w:b/>
                <w:sz w:val="22"/>
                <w:lang w:val="en-GB" w:eastAsia="zh-CN"/>
              </w:rPr>
              <w:t>Grade</w:t>
            </w:r>
          </w:p>
        </w:tc>
        <w:tc>
          <w:tcPr>
            <w:tcW w:w="4428" w:type="dxa"/>
            <w:shd w:val="clear" w:color="auto" w:fill="auto"/>
          </w:tcPr>
          <w:p w14:paraId="13ABC734" w14:textId="11ECBE96" w:rsidR="00FC0BA3" w:rsidRPr="004161CA" w:rsidRDefault="00D02E38" w:rsidP="00D43C8A">
            <w:pPr>
              <w:spacing w:line="300" w:lineRule="atLeast"/>
              <w:rPr>
                <w:rFonts w:eastAsia="SimSun"/>
                <w:b/>
                <w:sz w:val="22"/>
                <w:lang w:val="en-GB" w:eastAsia="zh-CN"/>
              </w:rPr>
            </w:pPr>
            <w:r>
              <w:rPr>
                <w:rFonts w:eastAsia="SimSun"/>
                <w:b/>
                <w:sz w:val="22"/>
                <w:lang w:eastAsia="zh-CN"/>
              </w:rPr>
              <w:t>ALECENSA</w:t>
            </w:r>
            <w:r w:rsidR="00FC0BA3" w:rsidRPr="004161CA">
              <w:rPr>
                <w:rFonts w:eastAsia="SimSun"/>
                <w:b/>
                <w:sz w:val="22"/>
                <w:lang w:val="en-GB" w:eastAsia="zh-CN"/>
              </w:rPr>
              <w:t xml:space="preserve"> Treatment</w:t>
            </w:r>
          </w:p>
        </w:tc>
      </w:tr>
      <w:tr w:rsidR="00287F60" w:rsidRPr="00FC0BA3" w14:paraId="41B1CAF6" w14:textId="77777777" w:rsidTr="00D43C8A">
        <w:tc>
          <w:tcPr>
            <w:tcW w:w="4428" w:type="dxa"/>
            <w:shd w:val="clear" w:color="auto" w:fill="auto"/>
          </w:tcPr>
          <w:p w14:paraId="6197ED93" w14:textId="4510C750" w:rsidR="00287F60" w:rsidRPr="004161CA" w:rsidRDefault="00287F60" w:rsidP="00D43C8A">
            <w:pPr>
              <w:spacing w:line="300" w:lineRule="atLeast"/>
              <w:rPr>
                <w:rFonts w:eastAsia="SimSun"/>
                <w:sz w:val="22"/>
                <w:lang w:val="en-GB" w:eastAsia="zh-CN"/>
              </w:rPr>
            </w:pPr>
            <w:r>
              <w:rPr>
                <w:rFonts w:eastAsia="SimSun"/>
                <w:sz w:val="22"/>
                <w:lang w:val="en-GB" w:eastAsia="zh-CN"/>
              </w:rPr>
              <w:t>Interstitial Lung Disease (ILD)/</w:t>
            </w:r>
            <w:r w:rsidR="00923186">
              <w:rPr>
                <w:rFonts w:eastAsia="SimSun"/>
                <w:sz w:val="22"/>
                <w:lang w:val="en-GB" w:eastAsia="zh-CN"/>
              </w:rPr>
              <w:t>P</w:t>
            </w:r>
            <w:r>
              <w:rPr>
                <w:rFonts w:eastAsia="SimSun"/>
                <w:sz w:val="22"/>
                <w:lang w:val="en-GB" w:eastAsia="zh-CN"/>
              </w:rPr>
              <w:t>neumonitis (all Grades)</w:t>
            </w:r>
          </w:p>
        </w:tc>
        <w:tc>
          <w:tcPr>
            <w:tcW w:w="4428" w:type="dxa"/>
            <w:shd w:val="clear" w:color="auto" w:fill="auto"/>
          </w:tcPr>
          <w:p w14:paraId="1C81FC1E" w14:textId="2D828623" w:rsidR="00287F60" w:rsidRPr="004161CA" w:rsidRDefault="00923186" w:rsidP="00D43C8A">
            <w:pPr>
              <w:spacing w:line="300" w:lineRule="atLeast"/>
              <w:rPr>
                <w:rFonts w:eastAsia="SimSun"/>
                <w:sz w:val="22"/>
                <w:lang w:val="en-GB" w:eastAsia="zh-CN"/>
              </w:rPr>
            </w:pPr>
            <w:r w:rsidRPr="00923186">
              <w:rPr>
                <w:rFonts w:eastAsia="SimSun"/>
                <w:sz w:val="22"/>
                <w:lang w:val="en-GB" w:eastAsia="zh-CN"/>
              </w:rPr>
              <w:t>Immediately interrupt and</w:t>
            </w:r>
            <w:r w:rsidR="00D43C8A">
              <w:rPr>
                <w:rFonts w:eastAsia="SimSun"/>
                <w:sz w:val="22"/>
                <w:lang w:val="en-GB" w:eastAsia="zh-CN"/>
              </w:rPr>
              <w:t xml:space="preserve"> </w:t>
            </w:r>
            <w:r w:rsidRPr="00923186">
              <w:rPr>
                <w:rFonts w:eastAsia="SimSun"/>
                <w:sz w:val="22"/>
                <w:lang w:val="en-GB" w:eastAsia="zh-CN"/>
              </w:rPr>
              <w:t>permanently discontinue if no other potential causes of ILD/pneumonitis have been identified</w:t>
            </w:r>
            <w:r w:rsidR="00F7618E">
              <w:rPr>
                <w:rFonts w:eastAsia="SimSun"/>
                <w:sz w:val="22"/>
                <w:lang w:val="en-GB" w:eastAsia="zh-CN"/>
              </w:rPr>
              <w:t>.</w:t>
            </w:r>
          </w:p>
        </w:tc>
      </w:tr>
      <w:tr w:rsidR="00287F60" w:rsidRPr="00FC0BA3" w14:paraId="08066B6F" w14:textId="77777777" w:rsidTr="00D43C8A">
        <w:tc>
          <w:tcPr>
            <w:tcW w:w="4428" w:type="dxa"/>
            <w:shd w:val="clear" w:color="auto" w:fill="auto"/>
          </w:tcPr>
          <w:p w14:paraId="38363664" w14:textId="6374C5CE" w:rsidR="00287F60" w:rsidRPr="004161CA" w:rsidRDefault="00287F60" w:rsidP="00D43C8A">
            <w:pPr>
              <w:spacing w:line="300" w:lineRule="atLeast"/>
              <w:rPr>
                <w:rFonts w:eastAsia="SimSun"/>
                <w:sz w:val="22"/>
                <w:lang w:val="en-US" w:eastAsia="zh-CN"/>
              </w:rPr>
            </w:pPr>
            <w:r w:rsidRPr="004161CA">
              <w:rPr>
                <w:rFonts w:eastAsia="SimSun"/>
                <w:sz w:val="22"/>
                <w:lang w:val="en-GB" w:eastAsia="zh-CN"/>
              </w:rPr>
              <w:lastRenderedPageBreak/>
              <w:t>ALT or AST elevation of Grade ≥</w:t>
            </w:r>
            <w:r w:rsidR="00923186">
              <w:rPr>
                <w:rFonts w:eastAsia="SimSun"/>
                <w:sz w:val="22"/>
                <w:lang w:val="en-GB" w:eastAsia="zh-CN"/>
              </w:rPr>
              <w:t xml:space="preserve"> </w:t>
            </w:r>
            <w:r w:rsidRPr="004161CA">
              <w:rPr>
                <w:rFonts w:eastAsia="SimSun"/>
                <w:sz w:val="22"/>
                <w:lang w:val="en-GB" w:eastAsia="zh-CN"/>
              </w:rPr>
              <w:t xml:space="preserve">3 (&gt; 5 times ULN) </w:t>
            </w:r>
            <w:r w:rsidRPr="00923186">
              <w:rPr>
                <w:rFonts w:eastAsia="SimSun"/>
                <w:sz w:val="22"/>
                <w:lang w:val="en-GB" w:eastAsia="zh-CN"/>
              </w:rPr>
              <w:t>with</w:t>
            </w:r>
            <w:r w:rsidRPr="004161CA">
              <w:rPr>
                <w:rFonts w:eastAsia="SimSun"/>
                <w:sz w:val="22"/>
                <w:lang w:val="en-GB" w:eastAsia="zh-CN"/>
              </w:rPr>
              <w:t xml:space="preserve"> total bilirubin </w:t>
            </w:r>
            <w:r w:rsidRPr="004161CA">
              <w:rPr>
                <w:rFonts w:eastAsia="SimSun"/>
                <w:sz w:val="22"/>
                <w:lang w:val="en-GB" w:eastAsia="zh-CN"/>
              </w:rPr>
              <w:sym w:font="Symbol" w:char="F0A3"/>
            </w:r>
            <w:r w:rsidRPr="004161CA">
              <w:rPr>
                <w:rFonts w:eastAsia="SimSun"/>
                <w:sz w:val="22"/>
                <w:lang w:val="en-GB" w:eastAsia="zh-CN"/>
              </w:rPr>
              <w:t xml:space="preserve"> 2 times ULN</w:t>
            </w:r>
          </w:p>
        </w:tc>
        <w:tc>
          <w:tcPr>
            <w:tcW w:w="4428" w:type="dxa"/>
            <w:shd w:val="clear" w:color="auto" w:fill="auto"/>
          </w:tcPr>
          <w:p w14:paraId="12D171C6" w14:textId="00F53127" w:rsidR="00287F60" w:rsidRPr="004161CA" w:rsidRDefault="00287F60" w:rsidP="00D43C8A">
            <w:pPr>
              <w:spacing w:line="300" w:lineRule="atLeast"/>
              <w:rPr>
                <w:rFonts w:eastAsia="SimSun"/>
                <w:sz w:val="22"/>
                <w:lang w:val="en-GB" w:eastAsia="zh-CN"/>
              </w:rPr>
            </w:pPr>
            <w:r w:rsidRPr="004161CA">
              <w:rPr>
                <w:rFonts w:eastAsia="SimSun"/>
                <w:sz w:val="22"/>
                <w:lang w:val="en-GB" w:eastAsia="zh-CN"/>
              </w:rPr>
              <w:t xml:space="preserve">Temporarily withhold until recovery to baseline or </w:t>
            </w:r>
            <w:r w:rsidRPr="004161CA">
              <w:rPr>
                <w:rFonts w:eastAsia="SimSun"/>
                <w:sz w:val="22"/>
                <w:lang w:val="en-GB" w:eastAsia="zh-CN"/>
              </w:rPr>
              <w:sym w:font="Symbol" w:char="F0A3"/>
            </w:r>
            <w:r w:rsidRPr="004161CA">
              <w:rPr>
                <w:rFonts w:eastAsia="SimSun"/>
                <w:sz w:val="22"/>
                <w:lang w:val="en-GB" w:eastAsia="zh-CN"/>
              </w:rPr>
              <w:t> Grade 1 (</w:t>
            </w:r>
            <w:r w:rsidRPr="004161CA">
              <w:rPr>
                <w:rFonts w:eastAsia="SimSun"/>
                <w:sz w:val="22"/>
                <w:lang w:val="en-GB" w:eastAsia="zh-CN"/>
              </w:rPr>
              <w:sym w:font="Symbol" w:char="F0A3"/>
            </w:r>
            <w:r w:rsidRPr="004161CA">
              <w:rPr>
                <w:rFonts w:eastAsia="SimSun"/>
                <w:sz w:val="22"/>
                <w:lang w:val="en-GB" w:eastAsia="zh-CN"/>
              </w:rPr>
              <w:t xml:space="preserve"> 3 times ULN), then resume at reduced dose (see Table 6)</w:t>
            </w:r>
            <w:r w:rsidR="00F7618E">
              <w:rPr>
                <w:rFonts w:eastAsia="SimSun"/>
                <w:sz w:val="22"/>
                <w:lang w:val="en-GB" w:eastAsia="zh-CN"/>
              </w:rPr>
              <w:t>.</w:t>
            </w:r>
          </w:p>
        </w:tc>
      </w:tr>
      <w:tr w:rsidR="00287F60" w:rsidRPr="00FC0BA3" w14:paraId="6E05B7CE" w14:textId="77777777" w:rsidTr="00D43C8A">
        <w:trPr>
          <w:trHeight w:val="1096"/>
        </w:trPr>
        <w:tc>
          <w:tcPr>
            <w:tcW w:w="4428" w:type="dxa"/>
            <w:shd w:val="clear" w:color="auto" w:fill="auto"/>
          </w:tcPr>
          <w:p w14:paraId="30ED11F4" w14:textId="11D54BA0" w:rsidR="00287F60" w:rsidRPr="004161CA" w:rsidRDefault="00287F60" w:rsidP="004B3A71">
            <w:pPr>
              <w:spacing w:line="300" w:lineRule="atLeast"/>
              <w:rPr>
                <w:rFonts w:eastAsia="SimSun"/>
                <w:sz w:val="22"/>
                <w:lang w:val="en-GB" w:eastAsia="zh-CN"/>
              </w:rPr>
            </w:pPr>
            <w:r w:rsidRPr="004161CA">
              <w:rPr>
                <w:rFonts w:eastAsia="SimSun"/>
                <w:sz w:val="22"/>
                <w:lang w:val="en-GB" w:eastAsia="zh-CN"/>
              </w:rPr>
              <w:t xml:space="preserve">ALT or AST elevation of Grade ≥ 2 (&gt; 3 times ULN) </w:t>
            </w:r>
            <w:r w:rsidRPr="004B3A71">
              <w:rPr>
                <w:rFonts w:eastAsia="SimSun"/>
                <w:sz w:val="22"/>
                <w:lang w:val="en-GB" w:eastAsia="zh-CN"/>
              </w:rPr>
              <w:t>with</w:t>
            </w:r>
            <w:r w:rsidRPr="004161CA">
              <w:rPr>
                <w:rFonts w:eastAsia="SimSun"/>
                <w:sz w:val="22"/>
                <w:lang w:val="en-GB" w:eastAsia="zh-CN"/>
              </w:rPr>
              <w:t xml:space="preserve"> total bilirubin elevation </w:t>
            </w:r>
            <w:r w:rsidR="004B3A71">
              <w:rPr>
                <w:rFonts w:eastAsia="SimSun"/>
                <w:sz w:val="22"/>
                <w:lang w:val="en-GB" w:eastAsia="zh-CN"/>
              </w:rPr>
              <w:t>&gt;</w:t>
            </w:r>
            <w:r w:rsidRPr="004161CA">
              <w:rPr>
                <w:rFonts w:eastAsia="SimSun"/>
                <w:sz w:val="22"/>
                <w:lang w:val="en-GB" w:eastAsia="zh-CN"/>
              </w:rPr>
              <w:t xml:space="preserve"> 2 times ULN in the absence of cholestasis or haemolysis </w:t>
            </w:r>
          </w:p>
        </w:tc>
        <w:tc>
          <w:tcPr>
            <w:tcW w:w="4428" w:type="dxa"/>
            <w:shd w:val="clear" w:color="auto" w:fill="auto"/>
          </w:tcPr>
          <w:p w14:paraId="11D68700" w14:textId="596B568B" w:rsidR="00287F60" w:rsidRPr="004161CA" w:rsidRDefault="00287F60" w:rsidP="00FF5020">
            <w:pPr>
              <w:spacing w:line="300" w:lineRule="atLeast"/>
              <w:rPr>
                <w:rFonts w:eastAsia="SimSun"/>
                <w:sz w:val="22"/>
                <w:lang w:val="en-GB" w:eastAsia="zh-CN"/>
              </w:rPr>
            </w:pPr>
            <w:r w:rsidRPr="004161CA">
              <w:rPr>
                <w:rFonts w:eastAsia="SimSun"/>
                <w:sz w:val="22"/>
                <w:lang w:val="en-GB" w:eastAsia="zh-CN"/>
              </w:rPr>
              <w:t xml:space="preserve">Permanently discontinue </w:t>
            </w:r>
            <w:r>
              <w:rPr>
                <w:rFonts w:eastAsia="SimSun"/>
                <w:sz w:val="22"/>
                <w:lang w:eastAsia="zh-CN"/>
              </w:rPr>
              <w:t>ALECENSA</w:t>
            </w:r>
            <w:r w:rsidR="00F7618E">
              <w:rPr>
                <w:rFonts w:eastAsia="SimSun"/>
                <w:sz w:val="22"/>
                <w:lang w:eastAsia="zh-CN"/>
              </w:rPr>
              <w:t>.</w:t>
            </w:r>
          </w:p>
        </w:tc>
      </w:tr>
      <w:tr w:rsidR="00287F60" w:rsidRPr="00FC0BA3" w14:paraId="3550812F" w14:textId="77777777" w:rsidTr="00D43C8A">
        <w:trPr>
          <w:trHeight w:val="1539"/>
        </w:trPr>
        <w:tc>
          <w:tcPr>
            <w:tcW w:w="4428" w:type="dxa"/>
            <w:shd w:val="clear" w:color="auto" w:fill="auto"/>
          </w:tcPr>
          <w:p w14:paraId="7BABBC35" w14:textId="1F834949" w:rsidR="00287F60" w:rsidRPr="004161CA" w:rsidRDefault="004B3A71" w:rsidP="00D43C8A">
            <w:pPr>
              <w:spacing w:line="300" w:lineRule="atLeast"/>
              <w:rPr>
                <w:rFonts w:eastAsia="SimSun"/>
                <w:sz w:val="22"/>
                <w:lang w:val="en-GB" w:eastAsia="zh-CN"/>
              </w:rPr>
            </w:pPr>
            <w:proofErr w:type="spellStart"/>
            <w:r w:rsidRPr="004B3A71">
              <w:rPr>
                <w:rFonts w:eastAsia="SimSun"/>
                <w:sz w:val="22"/>
                <w:lang w:val="en-GB" w:eastAsia="zh-CN"/>
              </w:rPr>
              <w:t>Bradycardia</w:t>
            </w:r>
            <w:r w:rsidRPr="004B3A71">
              <w:rPr>
                <w:rFonts w:eastAsia="SimSun"/>
                <w:sz w:val="22"/>
                <w:vertAlign w:val="superscript"/>
                <w:lang w:val="en-GB" w:eastAsia="zh-CN"/>
              </w:rPr>
              <w:t>a</w:t>
            </w:r>
            <w:proofErr w:type="spellEnd"/>
            <w:r w:rsidRPr="004B3A71">
              <w:rPr>
                <w:rFonts w:eastAsia="SimSun"/>
                <w:sz w:val="22"/>
                <w:lang w:val="en-GB" w:eastAsia="zh-CN"/>
              </w:rPr>
              <w:t xml:space="preserve"> Grade 2 or Grade 3 (symptomatic,</w:t>
            </w:r>
            <w:r>
              <w:rPr>
                <w:rFonts w:eastAsia="SimSun"/>
                <w:sz w:val="22"/>
                <w:lang w:val="en-GB" w:eastAsia="zh-CN"/>
              </w:rPr>
              <w:t> </w:t>
            </w:r>
            <w:r w:rsidRPr="004B3A71">
              <w:rPr>
                <w:rFonts w:eastAsia="SimSun"/>
                <w:sz w:val="22"/>
                <w:lang w:val="en-GB" w:eastAsia="zh-CN"/>
              </w:rPr>
              <w:t>may be severe and medically significant, medical intervention indicated)</w:t>
            </w:r>
          </w:p>
        </w:tc>
        <w:tc>
          <w:tcPr>
            <w:tcW w:w="4428" w:type="dxa"/>
            <w:shd w:val="clear" w:color="auto" w:fill="auto"/>
          </w:tcPr>
          <w:p w14:paraId="14CB262D" w14:textId="77777777" w:rsidR="00462F88" w:rsidRDefault="009F1A72" w:rsidP="00B43452">
            <w:pPr>
              <w:keepNext/>
              <w:spacing w:line="300" w:lineRule="atLeast"/>
              <w:rPr>
                <w:rFonts w:eastAsia="SimSun"/>
                <w:sz w:val="22"/>
                <w:lang w:val="en-GB" w:eastAsia="zh-CN"/>
              </w:rPr>
            </w:pPr>
            <w:r w:rsidRPr="009F1A72">
              <w:rPr>
                <w:rFonts w:eastAsia="SimSun"/>
                <w:sz w:val="22"/>
                <w:lang w:val="en-GB" w:eastAsia="zh-CN"/>
              </w:rPr>
              <w:t xml:space="preserve">Temporarily withhold until recovery to </w:t>
            </w:r>
            <w:r>
              <w:rPr>
                <w:rFonts w:eastAsia="SimSun"/>
                <w:sz w:val="22"/>
                <w:lang w:val="en-GB" w:eastAsia="zh-CN"/>
              </w:rPr>
              <w:t>≤ </w:t>
            </w:r>
            <w:r w:rsidRPr="009F1A72">
              <w:rPr>
                <w:rFonts w:eastAsia="SimSun"/>
                <w:sz w:val="22"/>
                <w:lang w:val="en-GB" w:eastAsia="zh-CN"/>
              </w:rPr>
              <w:t>Grade 1 (asymptomatic) bradycardia or to a heart rate of ≥ 60 bpm. Evaluate concomitant medications known to cause bradycardia, as well as anti-hypertensive medications.</w:t>
            </w:r>
          </w:p>
          <w:p w14:paraId="7C99F2EF" w14:textId="77777777" w:rsidR="00462F88" w:rsidRDefault="009F1A72" w:rsidP="00B43452">
            <w:pPr>
              <w:keepNext/>
              <w:spacing w:line="300" w:lineRule="atLeast"/>
              <w:rPr>
                <w:rFonts w:eastAsia="SimSun"/>
                <w:sz w:val="22"/>
                <w:lang w:val="en-GB" w:eastAsia="zh-CN"/>
              </w:rPr>
            </w:pPr>
            <w:r w:rsidRPr="009F1A72">
              <w:rPr>
                <w:rFonts w:eastAsia="SimSun"/>
                <w:sz w:val="22"/>
                <w:lang w:val="en-GB" w:eastAsia="zh-CN"/>
              </w:rPr>
              <w:t xml:space="preserve">If contributing concomitant medication is identified and discontinued, or its dose is adjusted, resume at previous dose upon recovery to </w:t>
            </w:r>
            <w:r>
              <w:rPr>
                <w:rFonts w:eastAsia="SimSun"/>
                <w:sz w:val="22"/>
                <w:lang w:val="en-GB" w:eastAsia="zh-CN"/>
              </w:rPr>
              <w:t xml:space="preserve">≤ </w:t>
            </w:r>
            <w:r w:rsidRPr="009F1A72">
              <w:rPr>
                <w:rFonts w:eastAsia="SimSun"/>
                <w:sz w:val="22"/>
                <w:lang w:val="en-GB" w:eastAsia="zh-CN"/>
              </w:rPr>
              <w:t>Grade 1 (asymptomatic) bradycardia or to a heart rate of ≥ 60 bpm.</w:t>
            </w:r>
          </w:p>
          <w:p w14:paraId="06603EA9" w14:textId="5084400C" w:rsidR="00287F60" w:rsidRPr="004161CA" w:rsidRDefault="009F1A72" w:rsidP="00B43452">
            <w:pPr>
              <w:keepNext/>
              <w:spacing w:line="300" w:lineRule="atLeast"/>
              <w:rPr>
                <w:rFonts w:eastAsia="SimSun"/>
                <w:sz w:val="22"/>
                <w:lang w:val="en-GB" w:eastAsia="zh-CN"/>
              </w:rPr>
            </w:pPr>
            <w:r w:rsidRPr="009F1A72">
              <w:rPr>
                <w:rFonts w:eastAsia="SimSun"/>
                <w:sz w:val="22"/>
                <w:lang w:val="en-GB" w:eastAsia="zh-CN"/>
              </w:rPr>
              <w:t>If no contributing concomitant medication is identified, or if contributing concomitant medications are not discontinued or dose modified, res</w:t>
            </w:r>
            <w:r>
              <w:rPr>
                <w:rFonts w:eastAsia="SimSun"/>
                <w:sz w:val="22"/>
                <w:lang w:val="en-GB" w:eastAsia="zh-CN"/>
              </w:rPr>
              <w:t>ume at reduced dose (see Table 6</w:t>
            </w:r>
            <w:r w:rsidRPr="009F1A72">
              <w:rPr>
                <w:rFonts w:eastAsia="SimSun"/>
                <w:sz w:val="22"/>
                <w:lang w:val="en-GB" w:eastAsia="zh-CN"/>
              </w:rPr>
              <w:t>) upon recovery to ≤</w:t>
            </w:r>
            <w:r>
              <w:rPr>
                <w:rFonts w:eastAsia="SimSun"/>
                <w:sz w:val="22"/>
                <w:lang w:val="en-GB" w:eastAsia="zh-CN"/>
              </w:rPr>
              <w:t> </w:t>
            </w:r>
            <w:r w:rsidRPr="009F1A72">
              <w:rPr>
                <w:rFonts w:eastAsia="SimSun"/>
                <w:sz w:val="22"/>
                <w:lang w:val="en-GB" w:eastAsia="zh-CN"/>
              </w:rPr>
              <w:t>Grade 1 (asymptomatic) bradycardia or to a heart rate of ≥ 60 bpm.</w:t>
            </w:r>
          </w:p>
        </w:tc>
      </w:tr>
      <w:tr w:rsidR="00287F60" w:rsidRPr="00FC0BA3" w14:paraId="770B07D3" w14:textId="77777777" w:rsidTr="00D43C8A">
        <w:trPr>
          <w:trHeight w:val="424"/>
        </w:trPr>
        <w:tc>
          <w:tcPr>
            <w:tcW w:w="4428" w:type="dxa"/>
            <w:shd w:val="clear" w:color="auto" w:fill="auto"/>
          </w:tcPr>
          <w:p w14:paraId="4DE04007" w14:textId="304CA2AD" w:rsidR="00287F60" w:rsidRPr="004161CA" w:rsidRDefault="00287F60" w:rsidP="00FF5020">
            <w:pPr>
              <w:spacing w:line="300" w:lineRule="atLeast"/>
              <w:rPr>
                <w:rFonts w:eastAsia="SimSun"/>
                <w:sz w:val="22"/>
                <w:lang w:val="en-GB" w:eastAsia="zh-CN"/>
              </w:rPr>
            </w:pPr>
            <w:r w:rsidRPr="004161CA">
              <w:rPr>
                <w:rFonts w:eastAsia="SimSun"/>
                <w:sz w:val="22"/>
                <w:lang w:val="en-GB" w:eastAsia="zh-CN"/>
              </w:rPr>
              <w:t>Bradycardia</w:t>
            </w:r>
            <w:r w:rsidRPr="004161CA">
              <w:rPr>
                <w:rFonts w:eastAsia="SimSun"/>
                <w:sz w:val="22"/>
                <w:vertAlign w:val="superscript"/>
                <w:lang w:val="en-US" w:eastAsia="zh-CN"/>
              </w:rPr>
              <w:t>a</w:t>
            </w:r>
            <w:r w:rsidR="00D43C8A">
              <w:rPr>
                <w:rFonts w:eastAsia="SimSun"/>
                <w:sz w:val="22"/>
                <w:vertAlign w:val="superscript"/>
                <w:lang w:val="en-US" w:eastAsia="zh-CN"/>
              </w:rPr>
              <w:t xml:space="preserve"> </w:t>
            </w:r>
            <w:r w:rsidR="0020358A">
              <w:rPr>
                <w:rFonts w:eastAsia="SimSun"/>
                <w:sz w:val="22"/>
                <w:lang w:val="en-GB" w:eastAsia="zh-CN"/>
              </w:rPr>
              <w:t>Grade 4 (</w:t>
            </w:r>
            <w:r w:rsidRPr="004161CA">
              <w:rPr>
                <w:rFonts w:eastAsia="SimSun"/>
                <w:sz w:val="22"/>
                <w:lang w:val="en-GB" w:eastAsia="zh-CN"/>
              </w:rPr>
              <w:t xml:space="preserve">life-threatening </w:t>
            </w:r>
            <w:r w:rsidR="0020358A">
              <w:rPr>
                <w:rFonts w:eastAsia="SimSun"/>
                <w:sz w:val="22"/>
                <w:lang w:val="en-GB" w:eastAsia="zh-CN"/>
              </w:rPr>
              <w:t xml:space="preserve">consequences, </w:t>
            </w:r>
            <w:r w:rsidRPr="004161CA">
              <w:rPr>
                <w:rFonts w:eastAsia="SimSun"/>
                <w:sz w:val="22"/>
                <w:lang w:val="en-GB" w:eastAsia="zh-CN"/>
              </w:rPr>
              <w:t>urgent intervention indicate</w:t>
            </w:r>
            <w:r w:rsidR="00251794">
              <w:rPr>
                <w:rFonts w:eastAsia="SimSun"/>
                <w:sz w:val="22"/>
                <w:lang w:val="en-GB" w:eastAsia="zh-CN"/>
              </w:rPr>
              <w:t>d</w:t>
            </w:r>
            <w:r w:rsidR="0020358A">
              <w:rPr>
                <w:rFonts w:eastAsia="SimSun"/>
                <w:sz w:val="22"/>
                <w:lang w:val="en-GB" w:eastAsia="zh-CN"/>
              </w:rPr>
              <w:t>)</w:t>
            </w:r>
          </w:p>
        </w:tc>
        <w:tc>
          <w:tcPr>
            <w:tcW w:w="4428" w:type="dxa"/>
            <w:shd w:val="clear" w:color="auto" w:fill="auto"/>
          </w:tcPr>
          <w:p w14:paraId="3BAEFDF3" w14:textId="77777777" w:rsidR="00287F60" w:rsidRPr="004161CA" w:rsidRDefault="00287F60" w:rsidP="00FF5020">
            <w:pPr>
              <w:spacing w:line="300" w:lineRule="atLeast"/>
              <w:rPr>
                <w:rFonts w:eastAsia="SimSun"/>
                <w:sz w:val="22"/>
                <w:lang w:val="en-GB" w:eastAsia="zh-CN"/>
              </w:rPr>
            </w:pPr>
            <w:r w:rsidRPr="004161CA">
              <w:rPr>
                <w:rFonts w:eastAsia="SimSun"/>
                <w:sz w:val="22"/>
                <w:lang w:val="en-GB" w:eastAsia="zh-CN"/>
              </w:rPr>
              <w:t>Permanently discontinue if no contributing concomitant medication is identified.</w:t>
            </w:r>
          </w:p>
          <w:p w14:paraId="43512C5E" w14:textId="683335E4" w:rsidR="00287F60" w:rsidRPr="004161CA" w:rsidRDefault="00287F60" w:rsidP="00FF5020">
            <w:pPr>
              <w:spacing w:line="300" w:lineRule="atLeast"/>
              <w:rPr>
                <w:rFonts w:eastAsia="SimSun"/>
                <w:sz w:val="22"/>
                <w:lang w:val="en-GB" w:eastAsia="zh-CN"/>
              </w:rPr>
            </w:pPr>
            <w:r w:rsidRPr="004161CA">
              <w:rPr>
                <w:rFonts w:eastAsia="SimSun"/>
                <w:sz w:val="22"/>
                <w:lang w:val="en-GB" w:eastAsia="zh-CN"/>
              </w:rPr>
              <w:t>If contributing concomitant medication</w:t>
            </w:r>
            <w:r w:rsidR="00251794">
              <w:rPr>
                <w:rFonts w:eastAsia="SimSun"/>
                <w:sz w:val="22"/>
                <w:lang w:val="en-GB" w:eastAsia="zh-CN"/>
              </w:rPr>
              <w:t xml:space="preserve"> is identified and discontinued</w:t>
            </w:r>
            <w:r w:rsidR="0020358A">
              <w:rPr>
                <w:rFonts w:eastAsia="SimSun"/>
                <w:sz w:val="22"/>
                <w:lang w:val="en-GB" w:eastAsia="zh-CN"/>
              </w:rPr>
              <w:t>,</w:t>
            </w:r>
            <w:r w:rsidR="0020358A">
              <w:t xml:space="preserve"> </w:t>
            </w:r>
            <w:r w:rsidR="0020358A" w:rsidRPr="0020358A">
              <w:rPr>
                <w:rFonts w:eastAsia="SimSun"/>
                <w:sz w:val="22"/>
                <w:lang w:val="en-GB" w:eastAsia="zh-CN"/>
              </w:rPr>
              <w:t>or its dose is adjusted,</w:t>
            </w:r>
            <w:r w:rsidRPr="004161CA">
              <w:rPr>
                <w:rFonts w:eastAsia="SimSun"/>
                <w:sz w:val="22"/>
                <w:lang w:val="en-GB" w:eastAsia="zh-CN"/>
              </w:rPr>
              <w:t xml:space="preserve"> resume at reduced dose (see Table 6) </w:t>
            </w:r>
            <w:r w:rsidR="0020358A">
              <w:rPr>
                <w:rFonts w:eastAsia="SimSun"/>
                <w:sz w:val="22"/>
                <w:lang w:val="en-GB" w:eastAsia="zh-CN"/>
              </w:rPr>
              <w:t xml:space="preserve">upon recovery to ≤ Grade 1 (asymptomatic) bradycardia or to a heart rate of ≥ 60 bpm, </w:t>
            </w:r>
            <w:r w:rsidRPr="004161CA">
              <w:rPr>
                <w:rFonts w:eastAsia="SimSun"/>
                <w:sz w:val="22"/>
                <w:lang w:val="en-GB" w:eastAsia="zh-CN"/>
              </w:rPr>
              <w:t>with frequent monitoring as clinically indicated.</w:t>
            </w:r>
          </w:p>
          <w:p w14:paraId="2F053D3D" w14:textId="1C1FEADE" w:rsidR="00287F60" w:rsidRPr="004161CA" w:rsidRDefault="00287F60" w:rsidP="00FF5020">
            <w:pPr>
              <w:spacing w:line="300" w:lineRule="atLeast"/>
              <w:rPr>
                <w:rFonts w:eastAsia="SimSun"/>
                <w:sz w:val="22"/>
                <w:lang w:val="en-GB" w:eastAsia="zh-CN"/>
              </w:rPr>
            </w:pPr>
            <w:r w:rsidRPr="004161CA">
              <w:rPr>
                <w:rFonts w:eastAsia="SimSun"/>
                <w:sz w:val="22"/>
                <w:lang w:val="en-GB" w:eastAsia="zh-CN"/>
              </w:rPr>
              <w:t>Permanently discontinue in case of recurrence.</w:t>
            </w:r>
          </w:p>
        </w:tc>
      </w:tr>
      <w:tr w:rsidR="0032168E" w:rsidRPr="00FC0BA3" w14:paraId="218C2E03" w14:textId="77777777" w:rsidTr="00D43C8A">
        <w:trPr>
          <w:trHeight w:val="1267"/>
        </w:trPr>
        <w:tc>
          <w:tcPr>
            <w:tcW w:w="4428" w:type="dxa"/>
            <w:shd w:val="clear" w:color="auto" w:fill="auto"/>
          </w:tcPr>
          <w:p w14:paraId="55021DAB" w14:textId="3D0936C6" w:rsidR="0032168E" w:rsidRDefault="0032168E" w:rsidP="00FF5020">
            <w:pPr>
              <w:spacing w:line="300" w:lineRule="atLeast"/>
              <w:rPr>
                <w:rFonts w:eastAsia="SimSun"/>
                <w:sz w:val="22"/>
                <w:lang w:val="en-GB" w:eastAsia="zh-CN"/>
              </w:rPr>
            </w:pPr>
            <w:r>
              <w:rPr>
                <w:rFonts w:eastAsia="SimSun"/>
                <w:sz w:val="22"/>
                <w:lang w:val="en-GB" w:eastAsia="zh-CN"/>
              </w:rPr>
              <w:t>CPK elevation &gt; 5 times ULN</w:t>
            </w:r>
          </w:p>
        </w:tc>
        <w:tc>
          <w:tcPr>
            <w:tcW w:w="4428" w:type="dxa"/>
            <w:shd w:val="clear" w:color="auto" w:fill="auto"/>
          </w:tcPr>
          <w:p w14:paraId="4D39129F" w14:textId="007A419E" w:rsidR="0032168E" w:rsidRDefault="0032168E" w:rsidP="0032168E">
            <w:pPr>
              <w:spacing w:line="300" w:lineRule="atLeast"/>
              <w:rPr>
                <w:rFonts w:eastAsia="SimSun"/>
                <w:sz w:val="22"/>
                <w:lang w:val="en-GB" w:eastAsia="zh-CN"/>
              </w:rPr>
            </w:pPr>
            <w:r w:rsidRPr="0032168E">
              <w:rPr>
                <w:rFonts w:eastAsia="SimSun" w:hint="eastAsia"/>
                <w:sz w:val="22"/>
                <w:lang w:val="en-GB" w:eastAsia="zh-CN"/>
              </w:rPr>
              <w:t>Temporarily withhold</w:t>
            </w:r>
            <w:r w:rsidR="00F7618E">
              <w:rPr>
                <w:rFonts w:eastAsia="SimSun"/>
                <w:sz w:val="22"/>
                <w:lang w:val="en-GB" w:eastAsia="zh-CN"/>
              </w:rPr>
              <w:t xml:space="preserve"> </w:t>
            </w:r>
            <w:r w:rsidRPr="0032168E">
              <w:rPr>
                <w:rFonts w:eastAsia="SimSun" w:hint="eastAsia"/>
                <w:sz w:val="22"/>
                <w:lang w:val="en-GB" w:eastAsia="zh-CN"/>
              </w:rPr>
              <w:t xml:space="preserve">until recovery to baseline or to </w:t>
            </w:r>
            <w:r>
              <w:rPr>
                <w:rFonts w:eastAsia="SimSun"/>
                <w:sz w:val="22"/>
                <w:lang w:val="en-GB" w:eastAsia="zh-CN"/>
              </w:rPr>
              <w:t>≤</w:t>
            </w:r>
            <w:r w:rsidR="00F7618E">
              <w:rPr>
                <w:rFonts w:eastAsia="SimSun" w:hint="eastAsia"/>
                <w:sz w:val="22"/>
                <w:lang w:val="en-GB" w:eastAsia="zh-CN"/>
              </w:rPr>
              <w:t xml:space="preserve"> 2.5 times ULN, then resume</w:t>
            </w:r>
            <w:r>
              <w:rPr>
                <w:rFonts w:eastAsia="SimSun"/>
                <w:sz w:val="22"/>
                <w:lang w:val="en-GB" w:eastAsia="zh-CN"/>
              </w:rPr>
              <w:t xml:space="preserve"> at same dose.</w:t>
            </w:r>
          </w:p>
        </w:tc>
      </w:tr>
      <w:tr w:rsidR="00287F60" w:rsidRPr="00FC0BA3" w14:paraId="09248422" w14:textId="77777777" w:rsidTr="00D43C8A">
        <w:trPr>
          <w:trHeight w:val="1539"/>
        </w:trPr>
        <w:tc>
          <w:tcPr>
            <w:tcW w:w="4428" w:type="dxa"/>
            <w:shd w:val="clear" w:color="auto" w:fill="auto"/>
          </w:tcPr>
          <w:p w14:paraId="5FF20583" w14:textId="04E61E2A" w:rsidR="00574A62" w:rsidRPr="004161CA" w:rsidRDefault="00287F60" w:rsidP="00F7618E">
            <w:pPr>
              <w:spacing w:line="300" w:lineRule="atLeast"/>
              <w:rPr>
                <w:rFonts w:eastAsia="SimSun"/>
                <w:sz w:val="22"/>
                <w:lang w:val="en-GB" w:eastAsia="zh-CN"/>
              </w:rPr>
            </w:pPr>
            <w:r>
              <w:rPr>
                <w:rFonts w:eastAsia="SimSun"/>
                <w:sz w:val="22"/>
                <w:lang w:val="en-GB" w:eastAsia="zh-CN"/>
              </w:rPr>
              <w:lastRenderedPageBreak/>
              <w:t xml:space="preserve">CPK elevation &gt; </w:t>
            </w:r>
            <w:r w:rsidR="00574A62">
              <w:rPr>
                <w:rFonts w:eastAsia="SimSun"/>
                <w:sz w:val="22"/>
                <w:lang w:val="en-GB" w:eastAsia="zh-CN"/>
              </w:rPr>
              <w:t>10</w:t>
            </w:r>
            <w:r>
              <w:rPr>
                <w:rFonts w:eastAsia="SimSun"/>
                <w:sz w:val="22"/>
                <w:lang w:val="en-GB" w:eastAsia="zh-CN"/>
              </w:rPr>
              <w:t xml:space="preserve"> </w:t>
            </w:r>
            <w:r w:rsidR="00F7618E">
              <w:rPr>
                <w:rFonts w:eastAsia="SimSun"/>
                <w:sz w:val="22"/>
                <w:lang w:val="en-GB" w:eastAsia="zh-CN"/>
              </w:rPr>
              <w:t>times</w:t>
            </w:r>
            <w:r>
              <w:rPr>
                <w:rFonts w:eastAsia="SimSun"/>
                <w:sz w:val="22"/>
                <w:lang w:val="en-GB" w:eastAsia="zh-CN"/>
              </w:rPr>
              <w:t xml:space="preserve"> ULN</w:t>
            </w:r>
            <w:r w:rsidR="00F7618E">
              <w:rPr>
                <w:rFonts w:eastAsia="SimSun"/>
                <w:sz w:val="22"/>
                <w:lang w:val="en-GB" w:eastAsia="zh-CN"/>
              </w:rPr>
              <w:t xml:space="preserve"> or second occurrence </w:t>
            </w:r>
            <w:r w:rsidR="00574A62">
              <w:rPr>
                <w:rFonts w:eastAsia="SimSun"/>
                <w:sz w:val="22"/>
                <w:lang w:val="en-GB" w:eastAsia="zh-CN"/>
              </w:rPr>
              <w:t xml:space="preserve">of CPK elevation &gt; 5 </w:t>
            </w:r>
            <w:r w:rsidR="00F7618E">
              <w:rPr>
                <w:rFonts w:eastAsia="SimSun"/>
                <w:sz w:val="22"/>
                <w:lang w:val="en-GB" w:eastAsia="zh-CN"/>
              </w:rPr>
              <w:t>times</w:t>
            </w:r>
            <w:r w:rsidR="00574A62">
              <w:rPr>
                <w:rFonts w:eastAsia="SimSun"/>
                <w:sz w:val="22"/>
                <w:lang w:val="en-GB" w:eastAsia="zh-CN"/>
              </w:rPr>
              <w:t xml:space="preserve"> ULN</w:t>
            </w:r>
          </w:p>
        </w:tc>
        <w:tc>
          <w:tcPr>
            <w:tcW w:w="4428" w:type="dxa"/>
            <w:shd w:val="clear" w:color="auto" w:fill="auto"/>
          </w:tcPr>
          <w:p w14:paraId="62CA6228" w14:textId="42D6C8C3" w:rsidR="00287F60" w:rsidRPr="004161CA" w:rsidRDefault="00287F60" w:rsidP="00F7618E">
            <w:pPr>
              <w:spacing w:line="300" w:lineRule="atLeast"/>
              <w:rPr>
                <w:rFonts w:eastAsia="SimSun"/>
                <w:sz w:val="22"/>
                <w:lang w:val="en-GB" w:eastAsia="zh-CN"/>
              </w:rPr>
            </w:pPr>
            <w:r>
              <w:rPr>
                <w:rFonts w:eastAsia="SimSun"/>
                <w:sz w:val="22"/>
                <w:lang w:val="en-GB" w:eastAsia="zh-CN"/>
              </w:rPr>
              <w:t>Temporarily withhold</w:t>
            </w:r>
            <w:r w:rsidR="006923FA">
              <w:rPr>
                <w:rFonts w:eastAsia="SimSun"/>
                <w:sz w:val="22"/>
                <w:lang w:val="en-GB" w:eastAsia="zh-CN"/>
              </w:rPr>
              <w:t xml:space="preserve"> </w:t>
            </w:r>
            <w:r>
              <w:rPr>
                <w:rFonts w:eastAsia="SimSun"/>
                <w:sz w:val="22"/>
                <w:lang w:val="en-GB" w:eastAsia="zh-CN"/>
              </w:rPr>
              <w:t xml:space="preserve">until recovery to baseline or to ≤ 2.5 </w:t>
            </w:r>
            <w:r w:rsidR="00F7618E">
              <w:rPr>
                <w:rFonts w:eastAsia="SimSun"/>
                <w:sz w:val="22"/>
                <w:lang w:val="en-GB" w:eastAsia="zh-CN"/>
              </w:rPr>
              <w:t>times</w:t>
            </w:r>
            <w:r>
              <w:rPr>
                <w:rFonts w:eastAsia="SimSun"/>
                <w:sz w:val="22"/>
                <w:lang w:val="en-GB" w:eastAsia="zh-CN"/>
              </w:rPr>
              <w:t xml:space="preserve"> ULN, then resume at </w:t>
            </w:r>
            <w:r w:rsidR="006923FA">
              <w:rPr>
                <w:rFonts w:eastAsia="SimSun"/>
                <w:sz w:val="22"/>
                <w:lang w:val="en-GB" w:eastAsia="zh-CN"/>
              </w:rPr>
              <w:t>reduced</w:t>
            </w:r>
            <w:r>
              <w:rPr>
                <w:rFonts w:eastAsia="SimSun"/>
                <w:sz w:val="22"/>
                <w:lang w:val="en-GB" w:eastAsia="zh-CN"/>
              </w:rPr>
              <w:t xml:space="preserve"> dose</w:t>
            </w:r>
            <w:r w:rsidR="00F7618E">
              <w:rPr>
                <w:rFonts w:eastAsia="SimSun"/>
                <w:sz w:val="22"/>
                <w:lang w:val="en-GB" w:eastAsia="zh-CN"/>
              </w:rPr>
              <w:t xml:space="preserve"> as per</w:t>
            </w:r>
            <w:r w:rsidR="006923FA">
              <w:rPr>
                <w:rFonts w:eastAsia="SimSun"/>
                <w:sz w:val="22"/>
                <w:lang w:val="en-GB" w:eastAsia="zh-CN"/>
              </w:rPr>
              <w:t xml:space="preserve"> Table 6</w:t>
            </w:r>
            <w:r>
              <w:rPr>
                <w:rFonts w:eastAsia="SimSun"/>
                <w:sz w:val="22"/>
                <w:lang w:val="en-GB" w:eastAsia="zh-CN"/>
              </w:rPr>
              <w:t>.</w:t>
            </w:r>
          </w:p>
        </w:tc>
      </w:tr>
    </w:tbl>
    <w:p w14:paraId="1F57EAF5" w14:textId="3EA60522" w:rsidR="00A32C20" w:rsidRDefault="00A32C20" w:rsidP="00FF5020">
      <w:pPr>
        <w:spacing w:line="300" w:lineRule="atLeast"/>
        <w:rPr>
          <w:rFonts w:eastAsia="SimSun"/>
          <w:sz w:val="20"/>
          <w:szCs w:val="20"/>
          <w:lang w:val="en-GB" w:eastAsia="zh-CN"/>
        </w:rPr>
      </w:pPr>
      <w:r>
        <w:rPr>
          <w:rFonts w:eastAsia="SimSun"/>
          <w:sz w:val="20"/>
          <w:szCs w:val="20"/>
          <w:lang w:val="en-GB" w:eastAsia="zh-CN"/>
        </w:rPr>
        <w:t xml:space="preserve">ILD=interstitial lung disease; </w:t>
      </w:r>
      <w:r w:rsidR="00FC0BA3" w:rsidRPr="00FC0BA3">
        <w:rPr>
          <w:rFonts w:eastAsia="SimSun"/>
          <w:sz w:val="20"/>
          <w:szCs w:val="20"/>
          <w:lang w:val="en-GB" w:eastAsia="zh-CN"/>
        </w:rPr>
        <w:t>AL</w:t>
      </w:r>
      <w:r w:rsidR="00F7618E">
        <w:rPr>
          <w:rFonts w:eastAsia="SimSun"/>
          <w:sz w:val="20"/>
          <w:szCs w:val="20"/>
          <w:lang w:val="en-GB" w:eastAsia="zh-CN"/>
        </w:rPr>
        <w:t>T = alanine transaminase; AST =</w:t>
      </w:r>
      <w:r w:rsidR="00FC0BA3" w:rsidRPr="00FC0BA3">
        <w:rPr>
          <w:rFonts w:eastAsia="SimSun"/>
          <w:sz w:val="20"/>
          <w:szCs w:val="20"/>
          <w:lang w:val="en-GB" w:eastAsia="zh-CN"/>
        </w:rPr>
        <w:t>aspartate transaminase</w:t>
      </w:r>
      <w:r w:rsidR="00A63599" w:rsidRPr="00A63599">
        <w:rPr>
          <w:rFonts w:eastAsia="SimSun"/>
          <w:sz w:val="20"/>
          <w:szCs w:val="20"/>
          <w:lang w:val="en-GB" w:eastAsia="zh-CN"/>
        </w:rPr>
        <w:t xml:space="preserve">; ULN=upper limit of normal; </w:t>
      </w:r>
      <w:r>
        <w:rPr>
          <w:rFonts w:eastAsia="SimSun"/>
          <w:sz w:val="20"/>
          <w:szCs w:val="20"/>
          <w:lang w:val="en-GB" w:eastAsia="zh-CN"/>
        </w:rPr>
        <w:t>CPK=creatine phosphokinase</w:t>
      </w:r>
    </w:p>
    <w:p w14:paraId="2B73A036" w14:textId="554505A4" w:rsidR="005E5127" w:rsidRPr="00D43C8A" w:rsidRDefault="00A63599" w:rsidP="005E5127">
      <w:pPr>
        <w:spacing w:line="300" w:lineRule="atLeast"/>
        <w:rPr>
          <w:rFonts w:eastAsia="SimSun"/>
          <w:sz w:val="20"/>
          <w:szCs w:val="20"/>
          <w:lang w:val="en-US" w:eastAsia="zh-CN"/>
        </w:rPr>
      </w:pPr>
      <w:proofErr w:type="gramStart"/>
      <w:r w:rsidRPr="00A63599">
        <w:rPr>
          <w:rFonts w:eastAsia="SimSun"/>
          <w:sz w:val="20"/>
          <w:szCs w:val="20"/>
          <w:vertAlign w:val="superscript"/>
          <w:lang w:val="en-US" w:eastAsia="zh-CN"/>
        </w:rPr>
        <w:t>a</w:t>
      </w:r>
      <w:proofErr w:type="gramEnd"/>
      <w:r w:rsidRPr="00A63599">
        <w:rPr>
          <w:rFonts w:eastAsia="SimSun"/>
          <w:sz w:val="20"/>
          <w:szCs w:val="20"/>
          <w:vertAlign w:val="superscript"/>
          <w:lang w:val="en-US" w:eastAsia="zh-CN"/>
        </w:rPr>
        <w:t xml:space="preserve"> </w:t>
      </w:r>
      <w:r w:rsidR="006E322D" w:rsidRPr="00F7618E">
        <w:rPr>
          <w:rFonts w:eastAsia="SimSun"/>
          <w:sz w:val="20"/>
          <w:szCs w:val="20"/>
          <w:lang w:val="en-US" w:eastAsia="zh-CN"/>
        </w:rPr>
        <w:t>Bradycardia=h</w:t>
      </w:r>
      <w:r w:rsidRPr="00A63599">
        <w:rPr>
          <w:rFonts w:eastAsia="SimSun"/>
          <w:sz w:val="20"/>
          <w:szCs w:val="20"/>
          <w:lang w:val="en-US" w:eastAsia="zh-CN"/>
        </w:rPr>
        <w:t>eart rate less than 60 beats per minute (bpm)</w:t>
      </w:r>
    </w:p>
    <w:p w14:paraId="193CFB3F" w14:textId="487D3120" w:rsidR="007A60C0" w:rsidRDefault="007A60C0" w:rsidP="00D43C8A">
      <w:pPr>
        <w:pStyle w:val="Heading2"/>
        <w:rPr>
          <w:lang w:eastAsia="zh-CN"/>
        </w:rPr>
      </w:pPr>
      <w:r>
        <w:rPr>
          <w:lang w:eastAsia="zh-CN"/>
        </w:rPr>
        <w:t>Special Dosage Instructions</w:t>
      </w:r>
    </w:p>
    <w:p w14:paraId="3AED9BC2" w14:textId="05D275B1" w:rsidR="007A60C0" w:rsidRDefault="007A60C0" w:rsidP="00D43C8A">
      <w:pPr>
        <w:pStyle w:val="Heading3"/>
        <w:rPr>
          <w:lang w:eastAsia="zh-CN"/>
        </w:rPr>
      </w:pPr>
      <w:r w:rsidRPr="007A60C0">
        <w:rPr>
          <w:lang w:eastAsia="zh-CN"/>
        </w:rPr>
        <w:t>Children</w:t>
      </w:r>
    </w:p>
    <w:p w14:paraId="645B584D" w14:textId="53F6362D" w:rsidR="007A60C0" w:rsidRDefault="007A60C0" w:rsidP="007A60C0">
      <w:pPr>
        <w:spacing w:line="300" w:lineRule="atLeast"/>
        <w:rPr>
          <w:rFonts w:eastAsia="SimSun"/>
          <w:szCs w:val="24"/>
          <w:lang w:val="en-NZ" w:eastAsia="zh-CN"/>
        </w:rPr>
      </w:pPr>
      <w:r w:rsidRPr="007A60C0">
        <w:rPr>
          <w:rFonts w:eastAsia="SimSun"/>
          <w:szCs w:val="24"/>
          <w:lang w:val="en-NZ" w:eastAsia="zh-CN"/>
        </w:rPr>
        <w:t xml:space="preserve">The safety and efficacy of </w:t>
      </w:r>
      <w:r w:rsidR="00D02E38">
        <w:rPr>
          <w:rFonts w:eastAsia="SimSun"/>
          <w:szCs w:val="24"/>
          <w:lang w:val="en-GB" w:eastAsia="zh-CN"/>
        </w:rPr>
        <w:t>ALECENSA</w:t>
      </w:r>
      <w:r w:rsidRPr="007A60C0">
        <w:rPr>
          <w:rFonts w:eastAsia="SimSun"/>
          <w:szCs w:val="24"/>
          <w:lang w:val="en-NZ" w:eastAsia="zh-CN"/>
        </w:rPr>
        <w:t xml:space="preserve"> in children and adolescents </w:t>
      </w:r>
      <w:r w:rsidR="00F84053">
        <w:rPr>
          <w:rFonts w:eastAsia="SimSun"/>
          <w:szCs w:val="24"/>
          <w:lang w:val="en-NZ" w:eastAsia="zh-CN"/>
        </w:rPr>
        <w:t xml:space="preserve">below </w:t>
      </w:r>
      <w:r w:rsidRPr="007A60C0">
        <w:rPr>
          <w:rFonts w:eastAsia="SimSun"/>
          <w:szCs w:val="24"/>
          <w:lang w:val="en-NZ" w:eastAsia="zh-CN"/>
        </w:rPr>
        <w:t>18 years</w:t>
      </w:r>
      <w:r w:rsidR="00F84053">
        <w:rPr>
          <w:rFonts w:eastAsia="SimSun"/>
          <w:szCs w:val="24"/>
          <w:lang w:val="en-NZ" w:eastAsia="zh-CN"/>
        </w:rPr>
        <w:t xml:space="preserve"> of age</w:t>
      </w:r>
      <w:r w:rsidRPr="007A60C0">
        <w:rPr>
          <w:rFonts w:eastAsia="SimSun"/>
          <w:szCs w:val="24"/>
          <w:lang w:val="en-NZ" w:eastAsia="zh-CN"/>
        </w:rPr>
        <w:t xml:space="preserve"> have not</w:t>
      </w:r>
      <w:r w:rsidR="00F84053">
        <w:rPr>
          <w:rFonts w:eastAsia="SimSun"/>
          <w:szCs w:val="24"/>
          <w:lang w:val="en-NZ" w:eastAsia="zh-CN"/>
        </w:rPr>
        <w:t xml:space="preserve"> </w:t>
      </w:r>
      <w:r w:rsidRPr="007A60C0">
        <w:rPr>
          <w:rFonts w:eastAsia="SimSun"/>
          <w:szCs w:val="24"/>
          <w:lang w:val="en-NZ" w:eastAsia="zh-CN"/>
        </w:rPr>
        <w:t xml:space="preserve">been </w:t>
      </w:r>
      <w:r w:rsidR="00F84053">
        <w:rPr>
          <w:rFonts w:eastAsia="SimSun"/>
          <w:szCs w:val="24"/>
          <w:lang w:val="en-NZ" w:eastAsia="zh-CN"/>
        </w:rPr>
        <w:t>established</w:t>
      </w:r>
      <w:r w:rsidRPr="007A60C0">
        <w:rPr>
          <w:rFonts w:eastAsia="SimSun"/>
          <w:szCs w:val="24"/>
          <w:lang w:val="en-NZ" w:eastAsia="zh-CN"/>
        </w:rPr>
        <w:t>.</w:t>
      </w:r>
    </w:p>
    <w:p w14:paraId="1F576076" w14:textId="3571D869" w:rsidR="007A60C0" w:rsidRDefault="007A60C0" w:rsidP="00D43C8A">
      <w:pPr>
        <w:pStyle w:val="Heading3"/>
        <w:rPr>
          <w:lang w:eastAsia="zh-CN"/>
        </w:rPr>
      </w:pPr>
      <w:r>
        <w:rPr>
          <w:lang w:eastAsia="zh-CN"/>
        </w:rPr>
        <w:t>Elderly</w:t>
      </w:r>
    </w:p>
    <w:p w14:paraId="761C4437" w14:textId="19396EB6" w:rsidR="007A60C0" w:rsidRDefault="007A60C0" w:rsidP="007A60C0">
      <w:pPr>
        <w:spacing w:line="300" w:lineRule="atLeast"/>
        <w:rPr>
          <w:rFonts w:eastAsia="SimSun"/>
          <w:szCs w:val="24"/>
          <w:lang w:val="en-NZ" w:eastAsia="zh-CN"/>
        </w:rPr>
      </w:pPr>
      <w:r w:rsidRPr="007A60C0">
        <w:rPr>
          <w:rFonts w:eastAsia="SimSun"/>
          <w:szCs w:val="24"/>
          <w:lang w:val="en-NZ" w:eastAsia="zh-CN"/>
        </w:rPr>
        <w:t xml:space="preserve">No dose adjustment of </w:t>
      </w:r>
      <w:r w:rsidR="00D02E38">
        <w:rPr>
          <w:rFonts w:eastAsia="SimSun"/>
          <w:szCs w:val="24"/>
          <w:lang w:val="en-GB" w:eastAsia="zh-CN"/>
        </w:rPr>
        <w:t>ALECENSA</w:t>
      </w:r>
      <w:r w:rsidRPr="007A60C0">
        <w:rPr>
          <w:rFonts w:eastAsia="SimSun"/>
          <w:szCs w:val="24"/>
          <w:lang w:val="en-NZ" w:eastAsia="zh-CN"/>
        </w:rPr>
        <w:t xml:space="preserve"> is required in </w:t>
      </w:r>
      <w:proofErr w:type="gramStart"/>
      <w:r w:rsidRPr="007A60C0">
        <w:rPr>
          <w:rFonts w:eastAsia="SimSun"/>
          <w:szCs w:val="24"/>
          <w:lang w:val="en-NZ" w:eastAsia="zh-CN"/>
        </w:rPr>
        <w:t>patients</w:t>
      </w:r>
      <w:proofErr w:type="gramEnd"/>
      <w:r w:rsidRPr="007A60C0">
        <w:rPr>
          <w:rFonts w:eastAsia="SimSun"/>
          <w:szCs w:val="24"/>
          <w:lang w:val="en-NZ" w:eastAsia="zh-CN"/>
        </w:rPr>
        <w:t xml:space="preserve"> </w:t>
      </w:r>
      <w:r w:rsidRPr="007A60C0">
        <w:rPr>
          <w:rFonts w:eastAsia="SimSun" w:hint="eastAsia"/>
          <w:szCs w:val="24"/>
          <w:lang w:val="en-NZ" w:eastAsia="zh-CN"/>
        </w:rPr>
        <w:t>≥</w:t>
      </w:r>
      <w:r w:rsidRPr="007A60C0">
        <w:rPr>
          <w:rFonts w:eastAsia="SimSun"/>
          <w:szCs w:val="24"/>
          <w:lang w:val="en-NZ" w:eastAsia="zh-CN"/>
        </w:rPr>
        <w:t xml:space="preserve"> 65 years of age.</w:t>
      </w:r>
    </w:p>
    <w:p w14:paraId="5C21757E" w14:textId="0121588E" w:rsidR="007A60C0" w:rsidRDefault="007A60C0" w:rsidP="00D43C8A">
      <w:pPr>
        <w:pStyle w:val="Heading3"/>
        <w:rPr>
          <w:lang w:eastAsia="zh-CN"/>
        </w:rPr>
      </w:pPr>
      <w:r>
        <w:rPr>
          <w:lang w:eastAsia="zh-CN"/>
        </w:rPr>
        <w:t>Renal Impairment</w:t>
      </w:r>
    </w:p>
    <w:p w14:paraId="19E51558" w14:textId="27892EC5" w:rsidR="007A60C0" w:rsidRPr="00D43C8A" w:rsidRDefault="007A60C0" w:rsidP="007A60C0">
      <w:pPr>
        <w:spacing w:line="300" w:lineRule="atLeast"/>
        <w:rPr>
          <w:rFonts w:eastAsia="SimSun"/>
          <w:szCs w:val="24"/>
          <w:lang w:val="en-NZ" w:eastAsia="zh-CN"/>
        </w:rPr>
      </w:pPr>
      <w:r w:rsidRPr="007A60C0">
        <w:rPr>
          <w:rFonts w:eastAsia="SimSun"/>
          <w:szCs w:val="24"/>
          <w:lang w:val="en-NZ" w:eastAsia="zh-CN"/>
        </w:rPr>
        <w:t xml:space="preserve">No dose adjustment is required in patients with </w:t>
      </w:r>
      <w:r>
        <w:rPr>
          <w:rFonts w:eastAsia="SimSun"/>
          <w:szCs w:val="24"/>
          <w:lang w:val="en-NZ" w:eastAsia="zh-CN"/>
        </w:rPr>
        <w:t>renal impairment</w:t>
      </w:r>
      <w:r w:rsidR="004C758B">
        <w:rPr>
          <w:rFonts w:eastAsia="SimSun"/>
          <w:szCs w:val="24"/>
          <w:lang w:val="en-NZ" w:eastAsia="zh-CN"/>
        </w:rPr>
        <w:t xml:space="preserve"> </w:t>
      </w:r>
      <w:r w:rsidRPr="007A60C0">
        <w:rPr>
          <w:rFonts w:eastAsia="SimSun"/>
          <w:szCs w:val="24"/>
          <w:lang w:eastAsia="zh-CN"/>
        </w:rPr>
        <w:t>(</w:t>
      </w:r>
      <w:r w:rsidRPr="00403048">
        <w:rPr>
          <w:rFonts w:eastAsia="SimSun"/>
          <w:szCs w:val="24"/>
          <w:lang w:eastAsia="zh-CN"/>
        </w:rPr>
        <w:t>see</w:t>
      </w:r>
      <w:r w:rsidRPr="007A60C0">
        <w:rPr>
          <w:rFonts w:eastAsia="SimSun"/>
          <w:szCs w:val="24"/>
          <w:lang w:eastAsia="zh-CN"/>
        </w:rPr>
        <w:t xml:space="preserve"> </w:t>
      </w:r>
      <w:r w:rsidRPr="00403048">
        <w:rPr>
          <w:rFonts w:eastAsia="SimSun"/>
          <w:szCs w:val="24"/>
          <w:lang w:eastAsia="zh-CN"/>
        </w:rPr>
        <w:t>PHARMACOLOGY, Pharmacokinetics in Special Populations</w:t>
      </w:r>
      <w:r w:rsidRPr="007A60C0">
        <w:rPr>
          <w:rFonts w:eastAsia="SimSun"/>
          <w:szCs w:val="24"/>
          <w:lang w:eastAsia="zh-CN"/>
        </w:rPr>
        <w:t>)</w:t>
      </w:r>
      <w:r>
        <w:rPr>
          <w:rFonts w:eastAsia="SimSun"/>
          <w:szCs w:val="24"/>
          <w:lang w:eastAsia="zh-CN"/>
        </w:rPr>
        <w:t>.</w:t>
      </w:r>
    </w:p>
    <w:p w14:paraId="6AB8850B" w14:textId="57DAC236" w:rsidR="007A60C0" w:rsidRDefault="007A60C0" w:rsidP="00D43C8A">
      <w:pPr>
        <w:pStyle w:val="Heading3"/>
        <w:rPr>
          <w:lang w:eastAsia="zh-CN"/>
        </w:rPr>
      </w:pPr>
      <w:r>
        <w:rPr>
          <w:lang w:eastAsia="zh-CN"/>
        </w:rPr>
        <w:t>Hepatic Impairment</w:t>
      </w:r>
    </w:p>
    <w:p w14:paraId="43D4DACD" w14:textId="1607A164" w:rsidR="007A60C0" w:rsidRPr="004C758B" w:rsidRDefault="007A60C0" w:rsidP="007A60C0">
      <w:pPr>
        <w:spacing w:line="300" w:lineRule="atLeast"/>
        <w:rPr>
          <w:rFonts w:eastAsia="SimSun"/>
          <w:szCs w:val="24"/>
          <w:lang w:val="en-NZ" w:eastAsia="zh-CN"/>
        </w:rPr>
      </w:pPr>
      <w:r w:rsidRPr="007A60C0">
        <w:rPr>
          <w:rFonts w:eastAsia="SimSun"/>
          <w:szCs w:val="24"/>
          <w:lang w:val="en-NZ" w:eastAsia="zh-CN"/>
        </w:rPr>
        <w:t xml:space="preserve">No dose adjustment is required in patients </w:t>
      </w:r>
      <w:r>
        <w:rPr>
          <w:rFonts w:eastAsia="SimSun"/>
          <w:szCs w:val="24"/>
          <w:lang w:val="en-NZ" w:eastAsia="zh-CN"/>
        </w:rPr>
        <w:t>with mild hepatic impairment</w:t>
      </w:r>
      <w:r w:rsidRPr="007A60C0">
        <w:rPr>
          <w:rFonts w:eastAsia="SimSun"/>
          <w:szCs w:val="24"/>
          <w:lang w:val="en-NZ" w:eastAsia="zh-CN"/>
        </w:rPr>
        <w:t xml:space="preserve">. </w:t>
      </w:r>
      <w:r w:rsidR="00D02E38">
        <w:rPr>
          <w:rFonts w:eastAsia="SimSun"/>
          <w:szCs w:val="24"/>
          <w:lang w:val="en-GB" w:eastAsia="zh-CN"/>
        </w:rPr>
        <w:t>ALECENSA</w:t>
      </w:r>
      <w:r w:rsidR="004C758B">
        <w:rPr>
          <w:rFonts w:eastAsia="SimSun"/>
          <w:szCs w:val="24"/>
          <w:lang w:val="en-NZ" w:eastAsia="zh-CN"/>
        </w:rPr>
        <w:t xml:space="preserve"> </w:t>
      </w:r>
      <w:r w:rsidRPr="007A60C0">
        <w:rPr>
          <w:rFonts w:eastAsia="SimSun"/>
          <w:szCs w:val="24"/>
          <w:lang w:val="en-NZ" w:eastAsia="zh-CN"/>
        </w:rPr>
        <w:t>has not been studied in patients with moderate to severe hepatic impairment</w:t>
      </w:r>
      <w:r>
        <w:rPr>
          <w:rFonts w:eastAsia="SimSun"/>
          <w:szCs w:val="24"/>
          <w:lang w:val="en-NZ" w:eastAsia="zh-CN"/>
        </w:rPr>
        <w:t xml:space="preserve"> </w:t>
      </w:r>
      <w:r w:rsidRPr="007A60C0">
        <w:rPr>
          <w:rFonts w:eastAsia="SimSun"/>
          <w:szCs w:val="24"/>
          <w:lang w:eastAsia="zh-CN"/>
        </w:rPr>
        <w:t xml:space="preserve">(see </w:t>
      </w:r>
      <w:r w:rsidRPr="00403048">
        <w:rPr>
          <w:rFonts w:eastAsia="SimSun"/>
          <w:szCs w:val="24"/>
          <w:lang w:eastAsia="zh-CN"/>
        </w:rPr>
        <w:t>PHARMACOLOGY,</w:t>
      </w:r>
      <w:r w:rsidR="00D43C8A">
        <w:rPr>
          <w:rFonts w:eastAsia="SimSun"/>
          <w:szCs w:val="24"/>
          <w:lang w:eastAsia="zh-CN"/>
        </w:rPr>
        <w:t xml:space="preserve"> </w:t>
      </w:r>
      <w:r w:rsidRPr="00403048">
        <w:rPr>
          <w:rFonts w:eastAsia="SimSun"/>
          <w:szCs w:val="24"/>
          <w:lang w:eastAsia="zh-CN"/>
        </w:rPr>
        <w:t>Pharmacokinetics in Special Populations</w:t>
      </w:r>
      <w:r w:rsidRPr="007A60C0">
        <w:rPr>
          <w:rFonts w:eastAsia="SimSun"/>
          <w:szCs w:val="24"/>
          <w:lang w:eastAsia="zh-CN"/>
        </w:rPr>
        <w:t>)</w:t>
      </w:r>
      <w:r>
        <w:rPr>
          <w:rFonts w:eastAsia="SimSun"/>
          <w:szCs w:val="24"/>
          <w:lang w:eastAsia="zh-CN"/>
        </w:rPr>
        <w:t>.</w:t>
      </w:r>
    </w:p>
    <w:p w14:paraId="2F07717C" w14:textId="1733621C" w:rsidR="00D844B2" w:rsidRPr="005B2E24" w:rsidRDefault="00D844B2" w:rsidP="00AE74F3">
      <w:pPr>
        <w:pStyle w:val="Heading1"/>
        <w:rPr>
          <w:sz w:val="28"/>
          <w:szCs w:val="28"/>
        </w:rPr>
      </w:pPr>
      <w:r w:rsidRPr="005B2E24">
        <w:rPr>
          <w:sz w:val="28"/>
          <w:szCs w:val="28"/>
        </w:rPr>
        <w:t>O</w:t>
      </w:r>
      <w:r w:rsidR="00517398">
        <w:rPr>
          <w:sz w:val="28"/>
          <w:szCs w:val="28"/>
        </w:rPr>
        <w:t>VERDOSAGE</w:t>
      </w:r>
    </w:p>
    <w:p w14:paraId="436D4354" w14:textId="77777777" w:rsidR="00462F88" w:rsidRDefault="009F451E" w:rsidP="007877AA">
      <w:pPr>
        <w:rPr>
          <w:lang w:val="en-GB"/>
        </w:rPr>
      </w:pPr>
      <w:r w:rsidRPr="009F451E">
        <w:rPr>
          <w:lang w:val="en-NZ"/>
        </w:rPr>
        <w:t xml:space="preserve">No experience with </w:t>
      </w:r>
      <w:proofErr w:type="spellStart"/>
      <w:r w:rsidRPr="009F451E">
        <w:rPr>
          <w:lang w:val="en-NZ"/>
        </w:rPr>
        <w:t>overdosage</w:t>
      </w:r>
      <w:proofErr w:type="spellEnd"/>
      <w:r w:rsidRPr="009F451E">
        <w:rPr>
          <w:lang w:val="en-NZ"/>
        </w:rPr>
        <w:t xml:space="preserve"> is available from the pivotal clinical trials</w:t>
      </w:r>
      <w:r w:rsidR="00977556">
        <w:rPr>
          <w:lang w:val="en-NZ"/>
        </w:rPr>
        <w:t xml:space="preserve"> and there is no specific antidote for </w:t>
      </w:r>
      <w:proofErr w:type="spellStart"/>
      <w:r w:rsidR="00977556">
        <w:rPr>
          <w:lang w:val="en-NZ"/>
        </w:rPr>
        <w:t>overdosage</w:t>
      </w:r>
      <w:proofErr w:type="spellEnd"/>
      <w:r w:rsidR="00977556">
        <w:rPr>
          <w:lang w:val="en-NZ"/>
        </w:rPr>
        <w:t xml:space="preserve"> with ALECENSA</w:t>
      </w:r>
      <w:r w:rsidR="007877AA" w:rsidRPr="007877AA">
        <w:rPr>
          <w:lang w:val="en-GB"/>
        </w:rPr>
        <w:t xml:space="preserve">. </w:t>
      </w:r>
      <w:r w:rsidRPr="009F451E">
        <w:rPr>
          <w:lang w:val="en-NZ"/>
        </w:rPr>
        <w:t>Patients who experience overdose should be closely supervised</w:t>
      </w:r>
      <w:r w:rsidR="007877AA" w:rsidRPr="007877AA">
        <w:rPr>
          <w:lang w:val="en-GB"/>
        </w:rPr>
        <w:t xml:space="preserve"> and supportive care instituted. </w:t>
      </w:r>
      <w:r w:rsidR="00977556">
        <w:rPr>
          <w:lang w:val="en-GB"/>
        </w:rPr>
        <w:t>Alectinib is &gt;99% bound to plasma proteins and haemodialysis is likely to be ineffective in the treatment of overdose.</w:t>
      </w:r>
    </w:p>
    <w:p w14:paraId="2F077181" w14:textId="3909AE37" w:rsidR="00D844B2" w:rsidRDefault="00D844B2" w:rsidP="00D844B2">
      <w:r w:rsidRPr="00B96372">
        <w:t>For information on the management of overdose, contact the Poison Information Centre on 131126 (Australia).</w:t>
      </w:r>
    </w:p>
    <w:p w14:paraId="2F077190" w14:textId="65BAA5E5" w:rsidR="00D844B2" w:rsidRPr="005B2E24" w:rsidRDefault="00D844B2" w:rsidP="00AE74F3">
      <w:pPr>
        <w:pStyle w:val="Heading1"/>
        <w:rPr>
          <w:sz w:val="28"/>
          <w:szCs w:val="28"/>
        </w:rPr>
      </w:pPr>
      <w:r w:rsidRPr="005B2E24">
        <w:rPr>
          <w:sz w:val="28"/>
          <w:szCs w:val="28"/>
        </w:rPr>
        <w:t>P</w:t>
      </w:r>
      <w:r w:rsidR="00517398">
        <w:rPr>
          <w:sz w:val="28"/>
          <w:szCs w:val="28"/>
        </w:rPr>
        <w:t>RESENTATION</w:t>
      </w:r>
      <w:r w:rsidRPr="005B2E24">
        <w:rPr>
          <w:sz w:val="28"/>
          <w:szCs w:val="28"/>
        </w:rPr>
        <w:t xml:space="preserve"> </w:t>
      </w:r>
      <w:r w:rsidR="00517398">
        <w:rPr>
          <w:sz w:val="28"/>
          <w:szCs w:val="28"/>
        </w:rPr>
        <w:t>AND STORAGE CONDITIONS</w:t>
      </w:r>
    </w:p>
    <w:p w14:paraId="7415C551" w14:textId="25502EB9" w:rsidR="00ED6B14" w:rsidRDefault="00D02E38" w:rsidP="00ED6B14">
      <w:pPr>
        <w:rPr>
          <w:lang w:val="en-NZ"/>
        </w:rPr>
      </w:pPr>
      <w:r>
        <w:rPr>
          <w:lang w:val="en-GB"/>
        </w:rPr>
        <w:t>ALECENSA</w:t>
      </w:r>
      <w:r w:rsidR="00ED6B14" w:rsidRPr="00ED6B14">
        <w:rPr>
          <w:lang w:val="en-NZ"/>
        </w:rPr>
        <w:t xml:space="preserve"> capsules, </w:t>
      </w:r>
      <w:r w:rsidR="00ED6B14">
        <w:rPr>
          <w:lang w:val="en-NZ"/>
        </w:rPr>
        <w:t xml:space="preserve">containing </w:t>
      </w:r>
      <w:r w:rsidR="00ED6B14" w:rsidRPr="00ED6B14">
        <w:rPr>
          <w:lang w:val="en-NZ"/>
        </w:rPr>
        <w:t xml:space="preserve">150 mg </w:t>
      </w:r>
      <w:r w:rsidR="00ED6B14">
        <w:rPr>
          <w:lang w:val="en-NZ"/>
        </w:rPr>
        <w:t xml:space="preserve">alectinib, </w:t>
      </w:r>
      <w:r w:rsidR="00ED6B14" w:rsidRPr="00ED6B14">
        <w:rPr>
          <w:lang w:val="en-NZ"/>
        </w:rPr>
        <w:t>are white</w:t>
      </w:r>
      <w:r w:rsidR="00ED6B14">
        <w:rPr>
          <w:lang w:val="en-NZ"/>
        </w:rPr>
        <w:t xml:space="preserve"> </w:t>
      </w:r>
      <w:r w:rsidR="00ED6B14" w:rsidRPr="00ED6B14">
        <w:rPr>
          <w:lang w:val="en-NZ"/>
        </w:rPr>
        <w:t>capsules with “ALE” printed in black</w:t>
      </w:r>
      <w:r w:rsidR="00ED6B14">
        <w:rPr>
          <w:lang w:val="en-NZ"/>
        </w:rPr>
        <w:t xml:space="preserve"> </w:t>
      </w:r>
      <w:r w:rsidR="00ED6B14" w:rsidRPr="00ED6B14">
        <w:rPr>
          <w:lang w:val="en-NZ"/>
        </w:rPr>
        <w:t>ink on the cap and “150 mg” printed in black ink on the body.</w:t>
      </w:r>
    </w:p>
    <w:p w14:paraId="1211BBBF" w14:textId="493E3FF2" w:rsidR="009C6AA0" w:rsidRDefault="00D02E38" w:rsidP="00ED6B14">
      <w:pPr>
        <w:rPr>
          <w:lang w:val="en-NZ"/>
        </w:rPr>
      </w:pPr>
      <w:r>
        <w:rPr>
          <w:lang w:val="en-GB"/>
        </w:rPr>
        <w:t>ALECENSA</w:t>
      </w:r>
      <w:r w:rsidR="009C6AA0" w:rsidRPr="009C6AA0">
        <w:rPr>
          <w:lang w:val="en-NZ"/>
        </w:rPr>
        <w:t xml:space="preserve"> </w:t>
      </w:r>
      <w:r w:rsidR="009C6AA0">
        <w:rPr>
          <w:lang w:val="en-NZ"/>
        </w:rPr>
        <w:t xml:space="preserve">capsules are packaged in </w:t>
      </w:r>
      <w:proofErr w:type="spellStart"/>
      <w:r w:rsidR="009C6AA0" w:rsidRPr="009C6AA0">
        <w:rPr>
          <w:lang w:val="en-NZ"/>
        </w:rPr>
        <w:t>aluminum</w:t>
      </w:r>
      <w:proofErr w:type="spellEnd"/>
      <w:r w:rsidR="009C6AA0" w:rsidRPr="009C6AA0">
        <w:rPr>
          <w:lang w:val="en-NZ"/>
        </w:rPr>
        <w:t xml:space="preserve"> foil blister seale</w:t>
      </w:r>
      <w:r w:rsidR="00053FE9">
        <w:rPr>
          <w:lang w:val="en-NZ"/>
        </w:rPr>
        <w:t xml:space="preserve">d with an </w:t>
      </w:r>
      <w:proofErr w:type="spellStart"/>
      <w:r w:rsidR="00053FE9">
        <w:rPr>
          <w:lang w:val="en-NZ"/>
        </w:rPr>
        <w:t>aluminum</w:t>
      </w:r>
      <w:proofErr w:type="spellEnd"/>
      <w:r w:rsidR="00053FE9">
        <w:rPr>
          <w:lang w:val="en-NZ"/>
        </w:rPr>
        <w:t xml:space="preserve"> lidding foil containing 8 capsules per blister.</w:t>
      </w:r>
    </w:p>
    <w:p w14:paraId="41936084" w14:textId="3B4D7955" w:rsidR="00F434D8" w:rsidRDefault="00F434D8" w:rsidP="00ED6B14">
      <w:pPr>
        <w:rPr>
          <w:lang w:val="en-NZ"/>
        </w:rPr>
      </w:pPr>
      <w:r>
        <w:rPr>
          <w:lang w:val="en-NZ"/>
        </w:rPr>
        <w:t xml:space="preserve">Each </w:t>
      </w:r>
      <w:r w:rsidR="00D02E38">
        <w:rPr>
          <w:lang w:val="en-GB"/>
        </w:rPr>
        <w:t>ALECENSA</w:t>
      </w:r>
      <w:r w:rsidR="00053FE9">
        <w:rPr>
          <w:lang w:val="en-GB"/>
        </w:rPr>
        <w:t xml:space="preserve"> multi</w:t>
      </w:r>
      <w:r>
        <w:rPr>
          <w:lang w:val="en-NZ"/>
        </w:rPr>
        <w:t xml:space="preserve">pack contains </w:t>
      </w:r>
      <w:r w:rsidR="00E80C13">
        <w:rPr>
          <w:lang w:val="en-NZ"/>
        </w:rPr>
        <w:t>224</w:t>
      </w:r>
      <w:r>
        <w:rPr>
          <w:lang w:val="en-NZ"/>
        </w:rPr>
        <w:t xml:space="preserve"> </w:t>
      </w:r>
      <w:r w:rsidR="00053FE9">
        <w:rPr>
          <w:lang w:val="en-NZ"/>
        </w:rPr>
        <w:t xml:space="preserve">(4 packs of 56) </w:t>
      </w:r>
      <w:r>
        <w:rPr>
          <w:lang w:val="en-NZ"/>
        </w:rPr>
        <w:t>capsules.</w:t>
      </w:r>
    </w:p>
    <w:p w14:paraId="62CE79BB" w14:textId="07B7251D" w:rsidR="005231BC" w:rsidRPr="00ED6B14" w:rsidRDefault="005239CA" w:rsidP="00ED6B14">
      <w:pPr>
        <w:rPr>
          <w:lang w:val="en-NZ"/>
        </w:rPr>
      </w:pPr>
      <w:r>
        <w:rPr>
          <w:lang w:val="en-US"/>
        </w:rPr>
        <w:t>S</w:t>
      </w:r>
      <w:r w:rsidR="005231BC" w:rsidRPr="005231BC">
        <w:rPr>
          <w:lang w:val="en-US"/>
        </w:rPr>
        <w:t xml:space="preserve">tore </w:t>
      </w:r>
      <w:r>
        <w:rPr>
          <w:lang w:val="en-US"/>
        </w:rPr>
        <w:t>below</w:t>
      </w:r>
      <w:r w:rsidRPr="005231BC">
        <w:rPr>
          <w:lang w:val="en-US"/>
        </w:rPr>
        <w:t xml:space="preserve"> </w:t>
      </w:r>
      <w:r w:rsidR="005231BC" w:rsidRPr="005231BC">
        <w:rPr>
          <w:lang w:val="en-US"/>
        </w:rPr>
        <w:t>30°C</w:t>
      </w:r>
      <w:r w:rsidR="005231BC">
        <w:rPr>
          <w:lang w:val="en-US"/>
        </w:rPr>
        <w:t xml:space="preserve">. </w:t>
      </w:r>
      <w:proofErr w:type="gramStart"/>
      <w:r>
        <w:rPr>
          <w:lang w:val="en-US"/>
        </w:rPr>
        <w:t>Store in</w:t>
      </w:r>
      <w:r w:rsidR="005231BC" w:rsidRPr="005231BC">
        <w:rPr>
          <w:lang w:val="en-US"/>
        </w:rPr>
        <w:t xml:space="preserve"> the original </w:t>
      </w:r>
      <w:r>
        <w:rPr>
          <w:lang w:val="en-US"/>
        </w:rPr>
        <w:t>package</w:t>
      </w:r>
      <w:r w:rsidRPr="005231BC">
        <w:rPr>
          <w:lang w:val="en-US"/>
        </w:rPr>
        <w:t xml:space="preserve"> </w:t>
      </w:r>
      <w:r w:rsidR="005231BC" w:rsidRPr="005231BC">
        <w:rPr>
          <w:lang w:val="en-US"/>
        </w:rPr>
        <w:t>to protect from light and moisture.</w:t>
      </w:r>
      <w:proofErr w:type="gramEnd"/>
    </w:p>
    <w:p w14:paraId="632743FC" w14:textId="57E2B46A" w:rsidR="00965C11" w:rsidRPr="005231BC" w:rsidRDefault="00965C11" w:rsidP="005231BC">
      <w:pPr>
        <w:rPr>
          <w:lang w:val="en-US"/>
        </w:rPr>
      </w:pPr>
      <w:r w:rsidRPr="00965C11">
        <w:rPr>
          <w:lang w:val="en-NZ"/>
        </w:rPr>
        <w:lastRenderedPageBreak/>
        <w:t>This medicine should not be used after the expiry date (EXP) shown on the pack.</w:t>
      </w:r>
    </w:p>
    <w:p w14:paraId="5446C810" w14:textId="2537611E" w:rsidR="00462F88" w:rsidRDefault="00093012" w:rsidP="00676ECC">
      <w:pPr>
        <w:pStyle w:val="Heading1"/>
        <w:rPr>
          <w:sz w:val="28"/>
          <w:szCs w:val="28"/>
        </w:rPr>
      </w:pPr>
      <w:r w:rsidRPr="005B2E24">
        <w:rPr>
          <w:sz w:val="28"/>
          <w:szCs w:val="28"/>
        </w:rPr>
        <w:t>D</w:t>
      </w:r>
      <w:r w:rsidR="00517398">
        <w:rPr>
          <w:sz w:val="28"/>
          <w:szCs w:val="28"/>
        </w:rPr>
        <w:t>ISPOSAL OF MEDICINES</w:t>
      </w:r>
    </w:p>
    <w:p w14:paraId="5A2A8D7C" w14:textId="77777777" w:rsidR="00462F88" w:rsidRDefault="00093012" w:rsidP="00F42704">
      <w:r w:rsidRPr="00E459E1">
        <w:t>The release of medicines into the e</w:t>
      </w:r>
      <w:r w:rsidR="00F42704">
        <w:t>nvironment should be minimised.</w:t>
      </w:r>
      <w:r w:rsidRPr="00E459E1">
        <w:t xml:space="preserve"> Medicines should no</w:t>
      </w:r>
      <w:r w:rsidR="00F42704">
        <w:t xml:space="preserve">t be disposed of via wastewater </w:t>
      </w:r>
      <w:r w:rsidRPr="00E459E1">
        <w:t>and disposal through household waste should be avoided. Unused or expired</w:t>
      </w:r>
      <w:r w:rsidR="00F42704">
        <w:t xml:space="preserve"> medicine should be returned to </w:t>
      </w:r>
      <w:r w:rsidRPr="00E459E1">
        <w:t>a pharmacy for disposal.</w:t>
      </w:r>
    </w:p>
    <w:p w14:paraId="2F0771A3" w14:textId="4A65D62E" w:rsidR="00D844B2" w:rsidRPr="005B2E24" w:rsidRDefault="00D844B2" w:rsidP="00B43452">
      <w:pPr>
        <w:pStyle w:val="Heading1"/>
        <w:keepNext/>
        <w:rPr>
          <w:sz w:val="28"/>
          <w:szCs w:val="28"/>
        </w:rPr>
      </w:pPr>
      <w:r w:rsidRPr="005B2E24">
        <w:rPr>
          <w:sz w:val="28"/>
          <w:szCs w:val="28"/>
        </w:rPr>
        <w:t>N</w:t>
      </w:r>
      <w:r w:rsidR="00517398">
        <w:rPr>
          <w:sz w:val="28"/>
          <w:szCs w:val="28"/>
        </w:rPr>
        <w:t>AME AND ADDRESS OF THE SPONSOR</w:t>
      </w:r>
    </w:p>
    <w:p w14:paraId="2F0771A4" w14:textId="77777777" w:rsidR="00D844B2" w:rsidRPr="00074007" w:rsidRDefault="00D844B2" w:rsidP="00D43C8A">
      <w:pPr>
        <w:spacing w:before="0" w:after="0"/>
        <w:rPr>
          <w:lang w:val="en-GB"/>
        </w:rPr>
      </w:pPr>
      <w:r w:rsidRPr="00074007">
        <w:rPr>
          <w:lang w:val="en-GB"/>
        </w:rPr>
        <w:t>Roche Products Pty Limited</w:t>
      </w:r>
    </w:p>
    <w:p w14:paraId="2F0771A5" w14:textId="77777777" w:rsidR="00D844B2" w:rsidRPr="00074007" w:rsidRDefault="00D844B2" w:rsidP="00D43C8A">
      <w:pPr>
        <w:spacing w:before="0" w:after="0"/>
        <w:rPr>
          <w:lang w:val="en-GB"/>
        </w:rPr>
      </w:pPr>
      <w:r w:rsidRPr="00074007">
        <w:rPr>
          <w:lang w:val="en-GB"/>
        </w:rPr>
        <w:t>ABN 70 000 132 865</w:t>
      </w:r>
    </w:p>
    <w:p w14:paraId="2F0771A6" w14:textId="77777777" w:rsidR="00D844B2" w:rsidRPr="00074007" w:rsidRDefault="00D844B2" w:rsidP="00D43C8A">
      <w:pPr>
        <w:spacing w:before="0" w:after="0"/>
        <w:rPr>
          <w:lang w:val="en-GB"/>
        </w:rPr>
      </w:pPr>
      <w:r w:rsidRPr="00074007">
        <w:rPr>
          <w:lang w:val="en-GB"/>
        </w:rPr>
        <w:t>4</w:t>
      </w:r>
      <w:r w:rsidRPr="00074007">
        <w:rPr>
          <w:lang w:val="en-GB"/>
        </w:rPr>
        <w:sym w:font="Symbol" w:char="F02D"/>
      </w:r>
      <w:r w:rsidRPr="00074007">
        <w:rPr>
          <w:lang w:val="en-GB"/>
        </w:rPr>
        <w:t>10 Inman Road</w:t>
      </w:r>
    </w:p>
    <w:p w14:paraId="2F0771A7" w14:textId="077B2C22" w:rsidR="00D844B2" w:rsidRDefault="00D844B2" w:rsidP="00D43C8A">
      <w:pPr>
        <w:spacing w:before="0" w:after="0"/>
        <w:rPr>
          <w:lang w:val="en-GB"/>
        </w:rPr>
      </w:pPr>
      <w:r w:rsidRPr="00074007">
        <w:rPr>
          <w:lang w:val="en-GB"/>
        </w:rPr>
        <w:t>Dee Why</w:t>
      </w:r>
      <w:r w:rsidR="00462F88">
        <w:rPr>
          <w:lang w:val="en-GB"/>
        </w:rPr>
        <w:t xml:space="preserve"> </w:t>
      </w:r>
      <w:proofErr w:type="gramStart"/>
      <w:r w:rsidRPr="00074007">
        <w:rPr>
          <w:lang w:val="en-GB"/>
        </w:rPr>
        <w:t>NSW</w:t>
      </w:r>
      <w:r w:rsidR="00D43C8A">
        <w:rPr>
          <w:lang w:val="en-GB"/>
        </w:rPr>
        <w:t xml:space="preserve"> </w:t>
      </w:r>
      <w:r w:rsidRPr="00074007">
        <w:rPr>
          <w:lang w:val="en-GB"/>
        </w:rPr>
        <w:t xml:space="preserve"> 2099</w:t>
      </w:r>
      <w:proofErr w:type="gramEnd"/>
    </w:p>
    <w:p w14:paraId="2F0771A8" w14:textId="77777777" w:rsidR="00D844B2" w:rsidRDefault="00D844B2" w:rsidP="00D43C8A">
      <w:pPr>
        <w:spacing w:before="0" w:after="0"/>
        <w:rPr>
          <w:lang w:val="en-GB"/>
        </w:rPr>
      </w:pPr>
      <w:r>
        <w:rPr>
          <w:lang w:val="en-GB"/>
        </w:rPr>
        <w:t>AUSTRALIA</w:t>
      </w:r>
    </w:p>
    <w:p w14:paraId="2F0771AB" w14:textId="4A1F1F20" w:rsidR="00377A7E" w:rsidRDefault="00D844B2" w:rsidP="00D844B2">
      <w:pPr>
        <w:rPr>
          <w:color w:val="000000"/>
          <w:lang w:val="en-GB"/>
        </w:rPr>
      </w:pPr>
      <w:r>
        <w:rPr>
          <w:color w:val="000000"/>
          <w:lang w:val="en-GB"/>
        </w:rPr>
        <w:t>Customer enquiries: 1800 233 950</w:t>
      </w:r>
    </w:p>
    <w:p w14:paraId="2F0771B4" w14:textId="727F2198" w:rsidR="00D844B2" w:rsidRPr="005B2E24" w:rsidRDefault="00D844B2" w:rsidP="00AE74F3">
      <w:pPr>
        <w:pStyle w:val="Heading1"/>
        <w:rPr>
          <w:sz w:val="28"/>
          <w:szCs w:val="28"/>
        </w:rPr>
      </w:pPr>
      <w:r w:rsidRPr="005B2E24">
        <w:rPr>
          <w:sz w:val="28"/>
          <w:szCs w:val="28"/>
        </w:rPr>
        <w:t>P</w:t>
      </w:r>
      <w:r w:rsidR="00517398">
        <w:rPr>
          <w:sz w:val="28"/>
          <w:szCs w:val="28"/>
        </w:rPr>
        <w:t>OISON SCHEDULE OF THE MEDICINE</w:t>
      </w:r>
    </w:p>
    <w:p w14:paraId="2F0771B6" w14:textId="0A03B31A" w:rsidR="00D844B2" w:rsidRPr="007877AA" w:rsidRDefault="00C66638" w:rsidP="001C077E">
      <w:r>
        <w:t>Schedule 4 – Prescription Only Medicine</w:t>
      </w:r>
    </w:p>
    <w:p w14:paraId="2F0771B7" w14:textId="3808DF24" w:rsidR="00D844B2" w:rsidRPr="005B2E24" w:rsidRDefault="00D844B2" w:rsidP="00AE74F3">
      <w:pPr>
        <w:pStyle w:val="Heading1"/>
        <w:rPr>
          <w:sz w:val="28"/>
          <w:szCs w:val="28"/>
        </w:rPr>
      </w:pPr>
      <w:r w:rsidRPr="005B2E24">
        <w:rPr>
          <w:sz w:val="28"/>
          <w:szCs w:val="28"/>
        </w:rPr>
        <w:t>D</w:t>
      </w:r>
      <w:r w:rsidR="00517398">
        <w:rPr>
          <w:sz w:val="28"/>
          <w:szCs w:val="28"/>
        </w:rPr>
        <w:t>ATE OF FIRST INCLUSTION IN THE AUSTRALIAN REGISTER OF THERAPEUTIC GOODS (THE ARTG)</w:t>
      </w:r>
    </w:p>
    <w:p w14:paraId="2F0771BF" w14:textId="3D29CF85" w:rsidR="00AA2523" w:rsidRPr="008763A3" w:rsidRDefault="002248C8" w:rsidP="00D844B2">
      <w:r>
        <w:t>14 March 2017</w:t>
      </w:r>
    </w:p>
    <w:sectPr w:rsidR="00AA2523" w:rsidRPr="008763A3" w:rsidSect="004A60B2">
      <w:headerReference w:type="default" r:id="rId14"/>
      <w:footerReference w:type="default" r:id="rId15"/>
      <w:pgSz w:w="11907" w:h="16839" w:code="9"/>
      <w:pgMar w:top="1418" w:right="1418" w:bottom="1418" w:left="1418" w:header="567" w:footer="56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E4C54C" w14:textId="77777777" w:rsidR="00D43C8A" w:rsidRDefault="00D43C8A" w:rsidP="000471CA">
      <w:r>
        <w:separator/>
      </w:r>
    </w:p>
  </w:endnote>
  <w:endnote w:type="continuationSeparator" w:id="0">
    <w:p w14:paraId="144029FA" w14:textId="77777777" w:rsidR="00D43C8A" w:rsidRDefault="00D43C8A" w:rsidP="000471CA">
      <w:r>
        <w:continuationSeparator/>
      </w:r>
    </w:p>
  </w:endnote>
  <w:endnote w:type="continuationNotice" w:id="1">
    <w:p w14:paraId="4935B3A9" w14:textId="77777777" w:rsidR="00D43C8A" w:rsidRDefault="00D43C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inion">
    <w:altName w:val="Cambria Math"/>
    <w:charset w:val="00"/>
    <w:family w:val="roman"/>
    <w:pitch w:val="variable"/>
    <w:sig w:usb0="00000001"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771C6" w14:textId="0564AD76" w:rsidR="00D43C8A" w:rsidRPr="00DA1628" w:rsidRDefault="00D43C8A" w:rsidP="005C5A1F">
    <w:pPr>
      <w:pStyle w:val="Footer"/>
      <w:pBdr>
        <w:top w:val="single" w:sz="4" w:space="1" w:color="auto"/>
      </w:pBdr>
      <w:tabs>
        <w:tab w:val="clear" w:pos="4513"/>
        <w:tab w:val="clear" w:pos="9026"/>
        <w:tab w:val="right" w:pos="9072"/>
      </w:tabs>
      <w:rPr>
        <w:sz w:val="16"/>
        <w:szCs w:val="16"/>
      </w:rPr>
    </w:pPr>
    <w:r>
      <w:rPr>
        <w:color w:val="000000"/>
        <w:sz w:val="16"/>
        <w:szCs w:val="16"/>
      </w:rPr>
      <w:t>Alecensa</w:t>
    </w:r>
    <w:r w:rsidRPr="00DA1628">
      <w:rPr>
        <w:color w:val="000000"/>
        <w:sz w:val="16"/>
        <w:szCs w:val="16"/>
        <w:vertAlign w:val="superscript"/>
      </w:rPr>
      <w:sym w:font="Symbol" w:char="F0D2"/>
    </w:r>
    <w:r w:rsidRPr="00DA1628">
      <w:rPr>
        <w:color w:val="000000"/>
        <w:sz w:val="16"/>
        <w:szCs w:val="16"/>
      </w:rPr>
      <w:t xml:space="preserve"> </w:t>
    </w:r>
    <w:r>
      <w:rPr>
        <w:color w:val="000000"/>
        <w:sz w:val="16"/>
        <w:szCs w:val="16"/>
      </w:rPr>
      <w:t>170314</w:t>
    </w:r>
    <w:r w:rsidRPr="00DA1628">
      <w:rPr>
        <w:color w:val="000000"/>
        <w:sz w:val="16"/>
        <w:szCs w:val="16"/>
      </w:rPr>
      <w:tab/>
      <w:t xml:space="preserve">Page </w:t>
    </w:r>
    <w:r w:rsidRPr="00DA1628">
      <w:rPr>
        <w:color w:val="000000"/>
        <w:sz w:val="16"/>
        <w:szCs w:val="16"/>
      </w:rPr>
      <w:fldChar w:fldCharType="begin"/>
    </w:r>
    <w:r w:rsidRPr="00DA1628">
      <w:rPr>
        <w:color w:val="000000"/>
        <w:sz w:val="16"/>
        <w:szCs w:val="16"/>
      </w:rPr>
      <w:instrText xml:space="preserve"> PAGE  \* Arabic  \* MERGEFORMAT </w:instrText>
    </w:r>
    <w:r w:rsidRPr="00DA1628">
      <w:rPr>
        <w:color w:val="000000"/>
        <w:sz w:val="16"/>
        <w:szCs w:val="16"/>
      </w:rPr>
      <w:fldChar w:fldCharType="separate"/>
    </w:r>
    <w:r w:rsidR="00C728BF">
      <w:rPr>
        <w:noProof/>
        <w:color w:val="000000"/>
        <w:sz w:val="16"/>
        <w:szCs w:val="16"/>
      </w:rPr>
      <w:t>1</w:t>
    </w:r>
    <w:r w:rsidRPr="00DA1628">
      <w:rPr>
        <w:color w:val="00000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D0471" w14:textId="77777777" w:rsidR="00D43C8A" w:rsidRDefault="00D43C8A" w:rsidP="000471CA">
      <w:r>
        <w:separator/>
      </w:r>
    </w:p>
  </w:footnote>
  <w:footnote w:type="continuationSeparator" w:id="0">
    <w:p w14:paraId="57B995DC" w14:textId="77777777" w:rsidR="00D43C8A" w:rsidRDefault="00D43C8A" w:rsidP="000471CA">
      <w:r>
        <w:continuationSeparator/>
      </w:r>
    </w:p>
  </w:footnote>
  <w:footnote w:type="continuationNotice" w:id="1">
    <w:p w14:paraId="5888BD9F" w14:textId="77777777" w:rsidR="00D43C8A" w:rsidRDefault="00D43C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E658E" w14:textId="2E35332A" w:rsidR="00D43C8A" w:rsidRPr="00D43C8A" w:rsidRDefault="00D43C8A" w:rsidP="00D43C8A">
    <w:pPr>
      <w:pBdr>
        <w:top w:val="single" w:sz="4" w:space="1" w:color="auto"/>
        <w:left w:val="single" w:sz="4" w:space="4" w:color="auto"/>
        <w:bottom w:val="single" w:sz="4" w:space="1" w:color="auto"/>
        <w:right w:val="single" w:sz="4" w:space="4" w:color="auto"/>
      </w:pBdr>
      <w:shd w:val="clear" w:color="auto" w:fill="E4F2E0"/>
      <w:spacing w:before="40" w:after="40"/>
      <w:rPr>
        <w:b/>
        <w:sz w:val="20"/>
        <w:szCs w:val="20"/>
      </w:rPr>
    </w:pPr>
    <w:r w:rsidRPr="00D361CA">
      <w:rPr>
        <w:b/>
        <w:sz w:val="20"/>
        <w:szCs w:val="20"/>
      </w:rPr>
      <w:t xml:space="preserve">Attachment 1: Product information for </w:t>
    </w:r>
    <w:proofErr w:type="spellStart"/>
    <w:r w:rsidR="00AD3DEB" w:rsidRPr="00AD3DEB">
      <w:rPr>
        <w:b/>
        <w:sz w:val="20"/>
        <w:szCs w:val="20"/>
      </w:rPr>
      <w:t>AusPAR</w:t>
    </w:r>
    <w:proofErr w:type="spellEnd"/>
    <w:r w:rsidR="00AD3DEB" w:rsidRPr="00AD3DEB">
      <w:rPr>
        <w:b/>
        <w:sz w:val="20"/>
        <w:szCs w:val="20"/>
      </w:rPr>
      <w:t xml:space="preserve"> </w:t>
    </w:r>
    <w:proofErr w:type="spellStart"/>
    <w:r w:rsidR="00AD3DEB" w:rsidRPr="00AD3DEB">
      <w:rPr>
        <w:b/>
        <w:sz w:val="20"/>
        <w:szCs w:val="20"/>
      </w:rPr>
      <w:t>Alecensa</w:t>
    </w:r>
    <w:proofErr w:type="spellEnd"/>
    <w:r w:rsidR="00AD3DEB" w:rsidRPr="00AD3DEB">
      <w:rPr>
        <w:b/>
        <w:sz w:val="20"/>
        <w:szCs w:val="20"/>
      </w:rPr>
      <w:t xml:space="preserve"> </w:t>
    </w:r>
    <w:proofErr w:type="spellStart"/>
    <w:r w:rsidR="00AD3DEB" w:rsidRPr="00AD3DEB">
      <w:rPr>
        <w:b/>
        <w:sz w:val="20"/>
        <w:szCs w:val="20"/>
      </w:rPr>
      <w:t>Alectinic</w:t>
    </w:r>
    <w:proofErr w:type="spellEnd"/>
    <w:r w:rsidR="00AD3DEB" w:rsidRPr="00AD3DEB">
      <w:rPr>
        <w:b/>
        <w:sz w:val="20"/>
        <w:szCs w:val="20"/>
      </w:rPr>
      <w:t xml:space="preserve"> hydrochloride Roche Products Pty Limited PM-2015-04677-1-4 Final 27 November 2017</w:t>
    </w:r>
    <w:r w:rsidRPr="00D361CA">
      <w:rPr>
        <w:b/>
        <w:sz w:val="20"/>
        <w:szCs w:val="20"/>
      </w:rPr>
      <w:t xml:space="preserve">. This Product Information was approved at the time this </w:t>
    </w:r>
    <w:proofErr w:type="spellStart"/>
    <w:r w:rsidRPr="00D361CA">
      <w:rPr>
        <w:b/>
        <w:sz w:val="20"/>
        <w:szCs w:val="20"/>
      </w:rPr>
      <w:t>AusPAR</w:t>
    </w:r>
    <w:proofErr w:type="spellEnd"/>
    <w:r w:rsidRPr="00D361CA">
      <w:rPr>
        <w:b/>
        <w:sz w:val="20"/>
        <w:szCs w:val="20"/>
      </w:rPr>
      <w:t xml:space="preserve"> was published.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33C"/>
    <w:multiLevelType w:val="hybridMultilevel"/>
    <w:tmpl w:val="65B2C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C61C64"/>
    <w:multiLevelType w:val="hybridMultilevel"/>
    <w:tmpl w:val="A36CED04"/>
    <w:lvl w:ilvl="0" w:tplc="5A387CB4">
      <w:start w:val="11"/>
      <w:numFmt w:val="bullet"/>
      <w:lvlText w:val=""/>
      <w:lvlJc w:val="left"/>
      <w:pPr>
        <w:ind w:left="720" w:hanging="360"/>
      </w:pPr>
      <w:rPr>
        <w:rFonts w:ascii="Symbol" w:eastAsia="SimSu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10D02695"/>
    <w:multiLevelType w:val="hybridMultilevel"/>
    <w:tmpl w:val="C6D80A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118A02F2"/>
    <w:multiLevelType w:val="hybridMultilevel"/>
    <w:tmpl w:val="2870DC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331759D"/>
    <w:multiLevelType w:val="hybridMultilevel"/>
    <w:tmpl w:val="39A285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9C67C3E"/>
    <w:multiLevelType w:val="hybridMultilevel"/>
    <w:tmpl w:val="CF6AB2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FF70ADF"/>
    <w:multiLevelType w:val="hybridMultilevel"/>
    <w:tmpl w:val="C9928AB2"/>
    <w:lvl w:ilvl="0" w:tplc="B97A2034">
      <w:numFmt w:val="bullet"/>
      <w:lvlText w:val="-"/>
      <w:lvlJc w:val="left"/>
      <w:pPr>
        <w:ind w:left="720" w:hanging="360"/>
      </w:pPr>
      <w:rPr>
        <w:rFonts w:ascii="Times New Roman" w:eastAsia="PMingLiU"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40F0723"/>
    <w:multiLevelType w:val="hybridMultilevel"/>
    <w:tmpl w:val="0A7481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73F617D"/>
    <w:multiLevelType w:val="hybridMultilevel"/>
    <w:tmpl w:val="8E26DF9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99149CA"/>
    <w:multiLevelType w:val="hybridMultilevel"/>
    <w:tmpl w:val="F94462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5634936"/>
    <w:multiLevelType w:val="hybridMultilevel"/>
    <w:tmpl w:val="AF6A08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35DA1D10"/>
    <w:multiLevelType w:val="hybridMultilevel"/>
    <w:tmpl w:val="3A6825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7B43474"/>
    <w:multiLevelType w:val="hybridMultilevel"/>
    <w:tmpl w:val="E34EAF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A23065D"/>
    <w:multiLevelType w:val="hybridMultilevel"/>
    <w:tmpl w:val="BFE0A1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DB16E9B"/>
    <w:multiLevelType w:val="hybridMultilevel"/>
    <w:tmpl w:val="1736C63C"/>
    <w:lvl w:ilvl="0" w:tplc="0C09000F">
      <w:start w:val="1"/>
      <w:numFmt w:val="decimal"/>
      <w:lvlText w:val="%1."/>
      <w:lvlJc w:val="left"/>
      <w:pPr>
        <w:ind w:left="775" w:hanging="360"/>
      </w:p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15">
    <w:nsid w:val="3FF433D1"/>
    <w:multiLevelType w:val="hybridMultilevel"/>
    <w:tmpl w:val="B2446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767E7A"/>
    <w:multiLevelType w:val="hybridMultilevel"/>
    <w:tmpl w:val="C8062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73F7F0B"/>
    <w:multiLevelType w:val="hybridMultilevel"/>
    <w:tmpl w:val="186A0B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88B4B31"/>
    <w:multiLevelType w:val="hybridMultilevel"/>
    <w:tmpl w:val="D6B46B7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B176C4C"/>
    <w:multiLevelType w:val="hybridMultilevel"/>
    <w:tmpl w:val="19147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E98673C"/>
    <w:multiLevelType w:val="hybridMultilevel"/>
    <w:tmpl w:val="98B28E0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2850546"/>
    <w:multiLevelType w:val="hybridMultilevel"/>
    <w:tmpl w:val="18747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51124AA"/>
    <w:multiLevelType w:val="hybridMultilevel"/>
    <w:tmpl w:val="DB6A26B8"/>
    <w:lvl w:ilvl="0" w:tplc="D9CABD14">
      <w:start w:val="1"/>
      <w:numFmt w:val="bullet"/>
      <w:pStyle w:val="Heading7"/>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6C4557C"/>
    <w:multiLevelType w:val="hybridMultilevel"/>
    <w:tmpl w:val="575AA1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79536DF"/>
    <w:multiLevelType w:val="hybridMultilevel"/>
    <w:tmpl w:val="407C34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989245C"/>
    <w:multiLevelType w:val="hybridMultilevel"/>
    <w:tmpl w:val="0A8282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599208EB"/>
    <w:multiLevelType w:val="hybridMultilevel"/>
    <w:tmpl w:val="820201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E3421C7"/>
    <w:multiLevelType w:val="hybridMultilevel"/>
    <w:tmpl w:val="13946F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1BF79F6"/>
    <w:multiLevelType w:val="hybridMultilevel"/>
    <w:tmpl w:val="61D6C2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2C1342F"/>
    <w:multiLevelType w:val="hybridMultilevel"/>
    <w:tmpl w:val="49C0A7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73345FAE"/>
    <w:multiLevelType w:val="hybridMultilevel"/>
    <w:tmpl w:val="A97A183E"/>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31">
    <w:nsid w:val="75517558"/>
    <w:multiLevelType w:val="hybridMultilevel"/>
    <w:tmpl w:val="5A82A5A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D115B1A"/>
    <w:multiLevelType w:val="hybridMultilevel"/>
    <w:tmpl w:val="74EE68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7D1857B0"/>
    <w:multiLevelType w:val="hybridMultilevel"/>
    <w:tmpl w:val="3CA4AB36"/>
    <w:lvl w:ilvl="0" w:tplc="CA34CED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3"/>
  </w:num>
  <w:num w:numId="3">
    <w:abstractNumId w:val="18"/>
  </w:num>
  <w:num w:numId="4">
    <w:abstractNumId w:val="13"/>
  </w:num>
  <w:num w:numId="5">
    <w:abstractNumId w:val="8"/>
  </w:num>
  <w:num w:numId="6">
    <w:abstractNumId w:val="22"/>
  </w:num>
  <w:num w:numId="7">
    <w:abstractNumId w:val="33"/>
  </w:num>
  <w:num w:numId="8">
    <w:abstractNumId w:val="0"/>
  </w:num>
  <w:num w:numId="9">
    <w:abstractNumId w:val="28"/>
  </w:num>
  <w:num w:numId="10">
    <w:abstractNumId w:val="7"/>
  </w:num>
  <w:num w:numId="11">
    <w:abstractNumId w:val="15"/>
  </w:num>
  <w:num w:numId="12">
    <w:abstractNumId w:val="6"/>
  </w:num>
  <w:num w:numId="13">
    <w:abstractNumId w:val="19"/>
  </w:num>
  <w:num w:numId="14">
    <w:abstractNumId w:val="31"/>
  </w:num>
  <w:num w:numId="15">
    <w:abstractNumId w:val="17"/>
  </w:num>
  <w:num w:numId="16">
    <w:abstractNumId w:val="25"/>
  </w:num>
  <w:num w:numId="17">
    <w:abstractNumId w:val="11"/>
  </w:num>
  <w:num w:numId="18">
    <w:abstractNumId w:val="4"/>
  </w:num>
  <w:num w:numId="19">
    <w:abstractNumId w:val="20"/>
  </w:num>
  <w:num w:numId="20">
    <w:abstractNumId w:val="29"/>
  </w:num>
  <w:num w:numId="21">
    <w:abstractNumId w:val="2"/>
  </w:num>
  <w:num w:numId="22">
    <w:abstractNumId w:val="10"/>
  </w:num>
  <w:num w:numId="23">
    <w:abstractNumId w:val="32"/>
  </w:num>
  <w:num w:numId="24">
    <w:abstractNumId w:val="21"/>
  </w:num>
  <w:num w:numId="25">
    <w:abstractNumId w:val="23"/>
  </w:num>
  <w:num w:numId="26">
    <w:abstractNumId w:val="24"/>
  </w:num>
  <w:num w:numId="27">
    <w:abstractNumId w:val="5"/>
  </w:num>
  <w:num w:numId="28">
    <w:abstractNumId w:val="16"/>
  </w:num>
  <w:num w:numId="29">
    <w:abstractNumId w:val="26"/>
  </w:num>
  <w:num w:numId="30">
    <w:abstractNumId w:val="1"/>
  </w:num>
  <w:num w:numId="31">
    <w:abstractNumId w:val="12"/>
  </w:num>
  <w:num w:numId="32">
    <w:abstractNumId w:val="14"/>
  </w:num>
  <w:num w:numId="33">
    <w:abstractNumId w:val="3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1D1"/>
    <w:rsid w:val="000053D4"/>
    <w:rsid w:val="00012773"/>
    <w:rsid w:val="00016089"/>
    <w:rsid w:val="00020F54"/>
    <w:rsid w:val="00021CD9"/>
    <w:rsid w:val="00023167"/>
    <w:rsid w:val="00026A7E"/>
    <w:rsid w:val="00030ECA"/>
    <w:rsid w:val="000327F1"/>
    <w:rsid w:val="000354E2"/>
    <w:rsid w:val="000471CA"/>
    <w:rsid w:val="00051091"/>
    <w:rsid w:val="00053FE9"/>
    <w:rsid w:val="000627A0"/>
    <w:rsid w:val="00062B4C"/>
    <w:rsid w:val="00065C8A"/>
    <w:rsid w:val="000735D0"/>
    <w:rsid w:val="0008337D"/>
    <w:rsid w:val="000840F6"/>
    <w:rsid w:val="00084DC0"/>
    <w:rsid w:val="000867FF"/>
    <w:rsid w:val="00087522"/>
    <w:rsid w:val="00091567"/>
    <w:rsid w:val="00093012"/>
    <w:rsid w:val="000932C5"/>
    <w:rsid w:val="000A2AE4"/>
    <w:rsid w:val="000A3DA0"/>
    <w:rsid w:val="000A3EAE"/>
    <w:rsid w:val="000B118C"/>
    <w:rsid w:val="000B6AB2"/>
    <w:rsid w:val="000C170B"/>
    <w:rsid w:val="000C4574"/>
    <w:rsid w:val="000D1E3A"/>
    <w:rsid w:val="000D60E3"/>
    <w:rsid w:val="000D71FC"/>
    <w:rsid w:val="000D7B27"/>
    <w:rsid w:val="000E001F"/>
    <w:rsid w:val="000E2914"/>
    <w:rsid w:val="000E4C61"/>
    <w:rsid w:val="000E6C5F"/>
    <w:rsid w:val="000E7F4F"/>
    <w:rsid w:val="000F351E"/>
    <w:rsid w:val="000F6AB4"/>
    <w:rsid w:val="000F7DBC"/>
    <w:rsid w:val="001059CD"/>
    <w:rsid w:val="00107C89"/>
    <w:rsid w:val="0011064F"/>
    <w:rsid w:val="00115027"/>
    <w:rsid w:val="00116F8E"/>
    <w:rsid w:val="001229E6"/>
    <w:rsid w:val="00123058"/>
    <w:rsid w:val="00123643"/>
    <w:rsid w:val="0012791B"/>
    <w:rsid w:val="00132B26"/>
    <w:rsid w:val="00133874"/>
    <w:rsid w:val="00141D4A"/>
    <w:rsid w:val="00143A99"/>
    <w:rsid w:val="001467C3"/>
    <w:rsid w:val="001509EF"/>
    <w:rsid w:val="001510FE"/>
    <w:rsid w:val="00153B87"/>
    <w:rsid w:val="0015543C"/>
    <w:rsid w:val="00163ACB"/>
    <w:rsid w:val="0016619E"/>
    <w:rsid w:val="00166DFE"/>
    <w:rsid w:val="00172A8E"/>
    <w:rsid w:val="00173738"/>
    <w:rsid w:val="001765CA"/>
    <w:rsid w:val="001768F9"/>
    <w:rsid w:val="00176F90"/>
    <w:rsid w:val="00181388"/>
    <w:rsid w:val="00182981"/>
    <w:rsid w:val="00185234"/>
    <w:rsid w:val="001A13D3"/>
    <w:rsid w:val="001A1A17"/>
    <w:rsid w:val="001A1DF0"/>
    <w:rsid w:val="001A20FF"/>
    <w:rsid w:val="001A27D6"/>
    <w:rsid w:val="001A567D"/>
    <w:rsid w:val="001C00FE"/>
    <w:rsid w:val="001C077E"/>
    <w:rsid w:val="001D5564"/>
    <w:rsid w:val="001E0934"/>
    <w:rsid w:val="001E52E4"/>
    <w:rsid w:val="001E6D00"/>
    <w:rsid w:val="001F1A4B"/>
    <w:rsid w:val="001F3069"/>
    <w:rsid w:val="001F345B"/>
    <w:rsid w:val="001F3F96"/>
    <w:rsid w:val="001F48B4"/>
    <w:rsid w:val="001F4A23"/>
    <w:rsid w:val="001F5863"/>
    <w:rsid w:val="00202A1D"/>
    <w:rsid w:val="0020358A"/>
    <w:rsid w:val="002036FC"/>
    <w:rsid w:val="00210F0E"/>
    <w:rsid w:val="00217798"/>
    <w:rsid w:val="00222D36"/>
    <w:rsid w:val="002248C8"/>
    <w:rsid w:val="00225D7A"/>
    <w:rsid w:val="00241723"/>
    <w:rsid w:val="00244E9E"/>
    <w:rsid w:val="00245B85"/>
    <w:rsid w:val="002510B0"/>
    <w:rsid w:val="00251794"/>
    <w:rsid w:val="0025375A"/>
    <w:rsid w:val="002604E0"/>
    <w:rsid w:val="0026132B"/>
    <w:rsid w:val="00274631"/>
    <w:rsid w:val="002774CB"/>
    <w:rsid w:val="002826A6"/>
    <w:rsid w:val="00282D80"/>
    <w:rsid w:val="00286778"/>
    <w:rsid w:val="00287F60"/>
    <w:rsid w:val="00291F4C"/>
    <w:rsid w:val="00291F76"/>
    <w:rsid w:val="00297FB7"/>
    <w:rsid w:val="002A0290"/>
    <w:rsid w:val="002A7A49"/>
    <w:rsid w:val="002B239E"/>
    <w:rsid w:val="002B2704"/>
    <w:rsid w:val="002B2C40"/>
    <w:rsid w:val="002B518B"/>
    <w:rsid w:val="002C4DC5"/>
    <w:rsid w:val="002C5FFC"/>
    <w:rsid w:val="002C7A8C"/>
    <w:rsid w:val="002C7EA8"/>
    <w:rsid w:val="002D5842"/>
    <w:rsid w:val="002F230C"/>
    <w:rsid w:val="002F4503"/>
    <w:rsid w:val="002F76D7"/>
    <w:rsid w:val="0031042B"/>
    <w:rsid w:val="003107B4"/>
    <w:rsid w:val="00311D7E"/>
    <w:rsid w:val="00312E44"/>
    <w:rsid w:val="003143FB"/>
    <w:rsid w:val="0032168E"/>
    <w:rsid w:val="00322B7D"/>
    <w:rsid w:val="00324711"/>
    <w:rsid w:val="00325CF0"/>
    <w:rsid w:val="00326BD6"/>
    <w:rsid w:val="00334D0C"/>
    <w:rsid w:val="003415C0"/>
    <w:rsid w:val="0034616E"/>
    <w:rsid w:val="00352443"/>
    <w:rsid w:val="00357916"/>
    <w:rsid w:val="00357F92"/>
    <w:rsid w:val="00360A8C"/>
    <w:rsid w:val="00363173"/>
    <w:rsid w:val="00364FB7"/>
    <w:rsid w:val="00365377"/>
    <w:rsid w:val="0037205A"/>
    <w:rsid w:val="00373407"/>
    <w:rsid w:val="003756E1"/>
    <w:rsid w:val="00377A7E"/>
    <w:rsid w:val="00380020"/>
    <w:rsid w:val="00385D70"/>
    <w:rsid w:val="00385F31"/>
    <w:rsid w:val="00397308"/>
    <w:rsid w:val="003A4089"/>
    <w:rsid w:val="003A7BE2"/>
    <w:rsid w:val="003B27B1"/>
    <w:rsid w:val="003B590A"/>
    <w:rsid w:val="003C120F"/>
    <w:rsid w:val="003C24F4"/>
    <w:rsid w:val="003C43CB"/>
    <w:rsid w:val="003C65BA"/>
    <w:rsid w:val="003D1869"/>
    <w:rsid w:val="003D4E4F"/>
    <w:rsid w:val="003D7AE2"/>
    <w:rsid w:val="003F2E69"/>
    <w:rsid w:val="003F38D7"/>
    <w:rsid w:val="003F3C82"/>
    <w:rsid w:val="003F492C"/>
    <w:rsid w:val="003F6DCA"/>
    <w:rsid w:val="00400E62"/>
    <w:rsid w:val="0040150F"/>
    <w:rsid w:val="00402E64"/>
    <w:rsid w:val="00403048"/>
    <w:rsid w:val="0040421B"/>
    <w:rsid w:val="004045B9"/>
    <w:rsid w:val="0040461C"/>
    <w:rsid w:val="00415155"/>
    <w:rsid w:val="004161CA"/>
    <w:rsid w:val="00421C55"/>
    <w:rsid w:val="004230FF"/>
    <w:rsid w:val="00424E0F"/>
    <w:rsid w:val="00425B9B"/>
    <w:rsid w:val="00431B9E"/>
    <w:rsid w:val="00435AEE"/>
    <w:rsid w:val="0044331B"/>
    <w:rsid w:val="004436C8"/>
    <w:rsid w:val="0044709B"/>
    <w:rsid w:val="004500DC"/>
    <w:rsid w:val="00457513"/>
    <w:rsid w:val="00461F3B"/>
    <w:rsid w:val="00462F88"/>
    <w:rsid w:val="00463E82"/>
    <w:rsid w:val="00464976"/>
    <w:rsid w:val="004734F3"/>
    <w:rsid w:val="004765DB"/>
    <w:rsid w:val="00477205"/>
    <w:rsid w:val="004805A5"/>
    <w:rsid w:val="00480DF7"/>
    <w:rsid w:val="004874E2"/>
    <w:rsid w:val="004907BB"/>
    <w:rsid w:val="004916D4"/>
    <w:rsid w:val="004A60B2"/>
    <w:rsid w:val="004B1D6E"/>
    <w:rsid w:val="004B3A71"/>
    <w:rsid w:val="004B5828"/>
    <w:rsid w:val="004B58CD"/>
    <w:rsid w:val="004C28BF"/>
    <w:rsid w:val="004C73A2"/>
    <w:rsid w:val="004C758B"/>
    <w:rsid w:val="004D031B"/>
    <w:rsid w:val="004D0609"/>
    <w:rsid w:val="004D3CF2"/>
    <w:rsid w:val="004E4AA2"/>
    <w:rsid w:val="004E534D"/>
    <w:rsid w:val="004E7B2C"/>
    <w:rsid w:val="004F06F8"/>
    <w:rsid w:val="004F0793"/>
    <w:rsid w:val="004F187B"/>
    <w:rsid w:val="004F2D57"/>
    <w:rsid w:val="005071B6"/>
    <w:rsid w:val="005071E1"/>
    <w:rsid w:val="0051603B"/>
    <w:rsid w:val="00517205"/>
    <w:rsid w:val="00517398"/>
    <w:rsid w:val="0052067C"/>
    <w:rsid w:val="00520B84"/>
    <w:rsid w:val="00522659"/>
    <w:rsid w:val="005231BC"/>
    <w:rsid w:val="005239CA"/>
    <w:rsid w:val="00532DCC"/>
    <w:rsid w:val="005469A1"/>
    <w:rsid w:val="00546CFD"/>
    <w:rsid w:val="00550BC1"/>
    <w:rsid w:val="00552AA4"/>
    <w:rsid w:val="00557480"/>
    <w:rsid w:val="00561047"/>
    <w:rsid w:val="00567D6F"/>
    <w:rsid w:val="00570E11"/>
    <w:rsid w:val="00574A62"/>
    <w:rsid w:val="00574E78"/>
    <w:rsid w:val="005750ED"/>
    <w:rsid w:val="00582A30"/>
    <w:rsid w:val="00586D2F"/>
    <w:rsid w:val="005942FC"/>
    <w:rsid w:val="0059476A"/>
    <w:rsid w:val="00594C3E"/>
    <w:rsid w:val="00594EB5"/>
    <w:rsid w:val="005B1167"/>
    <w:rsid w:val="005B2E24"/>
    <w:rsid w:val="005B3683"/>
    <w:rsid w:val="005B6021"/>
    <w:rsid w:val="005C1D04"/>
    <w:rsid w:val="005C5A1F"/>
    <w:rsid w:val="005C76D9"/>
    <w:rsid w:val="005D2820"/>
    <w:rsid w:val="005D74CE"/>
    <w:rsid w:val="005E5127"/>
    <w:rsid w:val="005E62B0"/>
    <w:rsid w:val="005E6CDE"/>
    <w:rsid w:val="005F46D7"/>
    <w:rsid w:val="005F7F62"/>
    <w:rsid w:val="0060123A"/>
    <w:rsid w:val="006023FA"/>
    <w:rsid w:val="00602C58"/>
    <w:rsid w:val="00610BB0"/>
    <w:rsid w:val="006112D9"/>
    <w:rsid w:val="00612D4D"/>
    <w:rsid w:val="00612E12"/>
    <w:rsid w:val="00613164"/>
    <w:rsid w:val="00613DB5"/>
    <w:rsid w:val="006274A6"/>
    <w:rsid w:val="00630BC7"/>
    <w:rsid w:val="00633837"/>
    <w:rsid w:val="00640113"/>
    <w:rsid w:val="00641609"/>
    <w:rsid w:val="00641620"/>
    <w:rsid w:val="006518DC"/>
    <w:rsid w:val="006549AE"/>
    <w:rsid w:val="006609E7"/>
    <w:rsid w:val="006637DB"/>
    <w:rsid w:val="00672ED7"/>
    <w:rsid w:val="00676EA2"/>
    <w:rsid w:val="00676ECC"/>
    <w:rsid w:val="00677666"/>
    <w:rsid w:val="006806C2"/>
    <w:rsid w:val="006816E6"/>
    <w:rsid w:val="006840FE"/>
    <w:rsid w:val="00684F64"/>
    <w:rsid w:val="00686E75"/>
    <w:rsid w:val="00687074"/>
    <w:rsid w:val="006923FA"/>
    <w:rsid w:val="00692516"/>
    <w:rsid w:val="006928ED"/>
    <w:rsid w:val="006965C3"/>
    <w:rsid w:val="006972BA"/>
    <w:rsid w:val="006A3E49"/>
    <w:rsid w:val="006A4D53"/>
    <w:rsid w:val="006A6C6E"/>
    <w:rsid w:val="006B0C5B"/>
    <w:rsid w:val="006B20E0"/>
    <w:rsid w:val="006B2A25"/>
    <w:rsid w:val="006B7683"/>
    <w:rsid w:val="006C59EB"/>
    <w:rsid w:val="006C5CD0"/>
    <w:rsid w:val="006C77F0"/>
    <w:rsid w:val="006D0AB3"/>
    <w:rsid w:val="006E0305"/>
    <w:rsid w:val="006E322D"/>
    <w:rsid w:val="006E4BDA"/>
    <w:rsid w:val="006F0642"/>
    <w:rsid w:val="006F071B"/>
    <w:rsid w:val="006F0CE5"/>
    <w:rsid w:val="006F2E1D"/>
    <w:rsid w:val="006F3108"/>
    <w:rsid w:val="006F62CD"/>
    <w:rsid w:val="00712E20"/>
    <w:rsid w:val="0071492F"/>
    <w:rsid w:val="00720925"/>
    <w:rsid w:val="0072332E"/>
    <w:rsid w:val="00723A88"/>
    <w:rsid w:val="007324AC"/>
    <w:rsid w:val="00733592"/>
    <w:rsid w:val="0073773F"/>
    <w:rsid w:val="00737D0B"/>
    <w:rsid w:val="0074053F"/>
    <w:rsid w:val="0074468D"/>
    <w:rsid w:val="00756424"/>
    <w:rsid w:val="00757052"/>
    <w:rsid w:val="00757057"/>
    <w:rsid w:val="007577C1"/>
    <w:rsid w:val="0076060D"/>
    <w:rsid w:val="0076085B"/>
    <w:rsid w:val="00761244"/>
    <w:rsid w:val="007641AE"/>
    <w:rsid w:val="00770C74"/>
    <w:rsid w:val="00771141"/>
    <w:rsid w:val="00776CD8"/>
    <w:rsid w:val="00783CE3"/>
    <w:rsid w:val="007877AA"/>
    <w:rsid w:val="0079179E"/>
    <w:rsid w:val="007959AA"/>
    <w:rsid w:val="00797140"/>
    <w:rsid w:val="007A1DA6"/>
    <w:rsid w:val="007A472E"/>
    <w:rsid w:val="007A538E"/>
    <w:rsid w:val="007A60C0"/>
    <w:rsid w:val="007A6128"/>
    <w:rsid w:val="007A6E30"/>
    <w:rsid w:val="007B46D6"/>
    <w:rsid w:val="007C2216"/>
    <w:rsid w:val="007C5020"/>
    <w:rsid w:val="007D58DB"/>
    <w:rsid w:val="007F06B2"/>
    <w:rsid w:val="008003FE"/>
    <w:rsid w:val="00802B6F"/>
    <w:rsid w:val="00805960"/>
    <w:rsid w:val="0080747B"/>
    <w:rsid w:val="00813114"/>
    <w:rsid w:val="00815E47"/>
    <w:rsid w:val="0083306F"/>
    <w:rsid w:val="00835E51"/>
    <w:rsid w:val="0084167B"/>
    <w:rsid w:val="00843799"/>
    <w:rsid w:val="00846146"/>
    <w:rsid w:val="00846667"/>
    <w:rsid w:val="00847830"/>
    <w:rsid w:val="0084792F"/>
    <w:rsid w:val="0085216C"/>
    <w:rsid w:val="00852EA3"/>
    <w:rsid w:val="00865832"/>
    <w:rsid w:val="0087420D"/>
    <w:rsid w:val="0087623B"/>
    <w:rsid w:val="008863CE"/>
    <w:rsid w:val="008906E9"/>
    <w:rsid w:val="008A3DEC"/>
    <w:rsid w:val="008A5042"/>
    <w:rsid w:val="008B4513"/>
    <w:rsid w:val="008C4322"/>
    <w:rsid w:val="008C461F"/>
    <w:rsid w:val="008C47DC"/>
    <w:rsid w:val="008C51D1"/>
    <w:rsid w:val="008C6A04"/>
    <w:rsid w:val="008D6EC0"/>
    <w:rsid w:val="008D786B"/>
    <w:rsid w:val="008E18FE"/>
    <w:rsid w:val="008E2044"/>
    <w:rsid w:val="008E352B"/>
    <w:rsid w:val="008E3BBD"/>
    <w:rsid w:val="008E74A1"/>
    <w:rsid w:val="008F2845"/>
    <w:rsid w:val="008F536E"/>
    <w:rsid w:val="008F5A59"/>
    <w:rsid w:val="008F7B1B"/>
    <w:rsid w:val="00901B61"/>
    <w:rsid w:val="00902CA7"/>
    <w:rsid w:val="00902EA1"/>
    <w:rsid w:val="00905CF1"/>
    <w:rsid w:val="009137C5"/>
    <w:rsid w:val="00922B76"/>
    <w:rsid w:val="00923186"/>
    <w:rsid w:val="00923A21"/>
    <w:rsid w:val="00930DEF"/>
    <w:rsid w:val="00931B31"/>
    <w:rsid w:val="00933913"/>
    <w:rsid w:val="00941973"/>
    <w:rsid w:val="00947011"/>
    <w:rsid w:val="00947E29"/>
    <w:rsid w:val="00953A98"/>
    <w:rsid w:val="00963F82"/>
    <w:rsid w:val="00965C11"/>
    <w:rsid w:val="009739C4"/>
    <w:rsid w:val="00973B50"/>
    <w:rsid w:val="00974610"/>
    <w:rsid w:val="00977556"/>
    <w:rsid w:val="009865DB"/>
    <w:rsid w:val="0099290D"/>
    <w:rsid w:val="0099724B"/>
    <w:rsid w:val="00997FE2"/>
    <w:rsid w:val="009A1545"/>
    <w:rsid w:val="009B3CB6"/>
    <w:rsid w:val="009B5E75"/>
    <w:rsid w:val="009B7F53"/>
    <w:rsid w:val="009C690D"/>
    <w:rsid w:val="009C6AA0"/>
    <w:rsid w:val="009D33F1"/>
    <w:rsid w:val="009D48B5"/>
    <w:rsid w:val="009D4D33"/>
    <w:rsid w:val="009D6B51"/>
    <w:rsid w:val="009D6EC5"/>
    <w:rsid w:val="009E047D"/>
    <w:rsid w:val="009E18BE"/>
    <w:rsid w:val="009F1A72"/>
    <w:rsid w:val="009F2A2F"/>
    <w:rsid w:val="009F451E"/>
    <w:rsid w:val="009F56B7"/>
    <w:rsid w:val="009F7637"/>
    <w:rsid w:val="009F79C3"/>
    <w:rsid w:val="00A11545"/>
    <w:rsid w:val="00A1419D"/>
    <w:rsid w:val="00A20C1B"/>
    <w:rsid w:val="00A216A9"/>
    <w:rsid w:val="00A22D23"/>
    <w:rsid w:val="00A24B3E"/>
    <w:rsid w:val="00A2561A"/>
    <w:rsid w:val="00A263A8"/>
    <w:rsid w:val="00A30382"/>
    <w:rsid w:val="00A315F5"/>
    <w:rsid w:val="00A32C20"/>
    <w:rsid w:val="00A336E3"/>
    <w:rsid w:val="00A35EE2"/>
    <w:rsid w:val="00A4073A"/>
    <w:rsid w:val="00A439FF"/>
    <w:rsid w:val="00A50C10"/>
    <w:rsid w:val="00A533ED"/>
    <w:rsid w:val="00A55678"/>
    <w:rsid w:val="00A56920"/>
    <w:rsid w:val="00A613AE"/>
    <w:rsid w:val="00A62FB2"/>
    <w:rsid w:val="00A63599"/>
    <w:rsid w:val="00A64C8D"/>
    <w:rsid w:val="00A70293"/>
    <w:rsid w:val="00A718DC"/>
    <w:rsid w:val="00A7217C"/>
    <w:rsid w:val="00A74FEE"/>
    <w:rsid w:val="00A75414"/>
    <w:rsid w:val="00A759B6"/>
    <w:rsid w:val="00A9004E"/>
    <w:rsid w:val="00A937C1"/>
    <w:rsid w:val="00AA134F"/>
    <w:rsid w:val="00AA1389"/>
    <w:rsid w:val="00AA2523"/>
    <w:rsid w:val="00AA373C"/>
    <w:rsid w:val="00AA5CB0"/>
    <w:rsid w:val="00AA5FF8"/>
    <w:rsid w:val="00AA6AD0"/>
    <w:rsid w:val="00AB04E9"/>
    <w:rsid w:val="00AB073C"/>
    <w:rsid w:val="00AB56CF"/>
    <w:rsid w:val="00AB7226"/>
    <w:rsid w:val="00AC5061"/>
    <w:rsid w:val="00AC53D0"/>
    <w:rsid w:val="00AD2623"/>
    <w:rsid w:val="00AD3DEB"/>
    <w:rsid w:val="00AD3EAA"/>
    <w:rsid w:val="00AD52E8"/>
    <w:rsid w:val="00AD531B"/>
    <w:rsid w:val="00AD646A"/>
    <w:rsid w:val="00AE74F3"/>
    <w:rsid w:val="00AF29C4"/>
    <w:rsid w:val="00AF43A2"/>
    <w:rsid w:val="00AF6272"/>
    <w:rsid w:val="00B0148C"/>
    <w:rsid w:val="00B01879"/>
    <w:rsid w:val="00B0635E"/>
    <w:rsid w:val="00B075FA"/>
    <w:rsid w:val="00B1117C"/>
    <w:rsid w:val="00B1696D"/>
    <w:rsid w:val="00B20C59"/>
    <w:rsid w:val="00B22C80"/>
    <w:rsid w:val="00B2435B"/>
    <w:rsid w:val="00B310CC"/>
    <w:rsid w:val="00B41C94"/>
    <w:rsid w:val="00B43452"/>
    <w:rsid w:val="00B43B74"/>
    <w:rsid w:val="00B55CEE"/>
    <w:rsid w:val="00B60B13"/>
    <w:rsid w:val="00B62634"/>
    <w:rsid w:val="00B64224"/>
    <w:rsid w:val="00B64CAA"/>
    <w:rsid w:val="00B67C13"/>
    <w:rsid w:val="00B74041"/>
    <w:rsid w:val="00B74921"/>
    <w:rsid w:val="00B75CFF"/>
    <w:rsid w:val="00B76987"/>
    <w:rsid w:val="00B831D7"/>
    <w:rsid w:val="00B85B88"/>
    <w:rsid w:val="00B87004"/>
    <w:rsid w:val="00B901F5"/>
    <w:rsid w:val="00B906EB"/>
    <w:rsid w:val="00B9479D"/>
    <w:rsid w:val="00BA3C98"/>
    <w:rsid w:val="00BA5F87"/>
    <w:rsid w:val="00BB222C"/>
    <w:rsid w:val="00BB2497"/>
    <w:rsid w:val="00BB25EF"/>
    <w:rsid w:val="00BB392E"/>
    <w:rsid w:val="00BB3B0D"/>
    <w:rsid w:val="00BB3C8F"/>
    <w:rsid w:val="00BB6D65"/>
    <w:rsid w:val="00BC052F"/>
    <w:rsid w:val="00BC152A"/>
    <w:rsid w:val="00BC5FD1"/>
    <w:rsid w:val="00BD2596"/>
    <w:rsid w:val="00BD5E2F"/>
    <w:rsid w:val="00BD5FB9"/>
    <w:rsid w:val="00BD6E6C"/>
    <w:rsid w:val="00BE2915"/>
    <w:rsid w:val="00BE60EC"/>
    <w:rsid w:val="00BF16C2"/>
    <w:rsid w:val="00BF37CC"/>
    <w:rsid w:val="00BF5D63"/>
    <w:rsid w:val="00BF5FA8"/>
    <w:rsid w:val="00C01203"/>
    <w:rsid w:val="00C04EF8"/>
    <w:rsid w:val="00C10E0A"/>
    <w:rsid w:val="00C13A3F"/>
    <w:rsid w:val="00C20111"/>
    <w:rsid w:val="00C2186E"/>
    <w:rsid w:val="00C25B09"/>
    <w:rsid w:val="00C25CBC"/>
    <w:rsid w:val="00C345D2"/>
    <w:rsid w:val="00C40A37"/>
    <w:rsid w:val="00C46B1E"/>
    <w:rsid w:val="00C4750C"/>
    <w:rsid w:val="00C54384"/>
    <w:rsid w:val="00C565E1"/>
    <w:rsid w:val="00C57469"/>
    <w:rsid w:val="00C6348B"/>
    <w:rsid w:val="00C663C7"/>
    <w:rsid w:val="00C66638"/>
    <w:rsid w:val="00C70A79"/>
    <w:rsid w:val="00C71583"/>
    <w:rsid w:val="00C728BF"/>
    <w:rsid w:val="00C81076"/>
    <w:rsid w:val="00C85463"/>
    <w:rsid w:val="00C856C2"/>
    <w:rsid w:val="00C86DA1"/>
    <w:rsid w:val="00C87322"/>
    <w:rsid w:val="00C87506"/>
    <w:rsid w:val="00C90201"/>
    <w:rsid w:val="00C91279"/>
    <w:rsid w:val="00C93509"/>
    <w:rsid w:val="00C93CA2"/>
    <w:rsid w:val="00C94867"/>
    <w:rsid w:val="00CA41ED"/>
    <w:rsid w:val="00CA5AD2"/>
    <w:rsid w:val="00CA65E8"/>
    <w:rsid w:val="00CB1FF7"/>
    <w:rsid w:val="00CC2C65"/>
    <w:rsid w:val="00CC6224"/>
    <w:rsid w:val="00CC6DAC"/>
    <w:rsid w:val="00CE1EC7"/>
    <w:rsid w:val="00CE2A16"/>
    <w:rsid w:val="00CE4299"/>
    <w:rsid w:val="00CF2AE0"/>
    <w:rsid w:val="00CF3158"/>
    <w:rsid w:val="00CF3480"/>
    <w:rsid w:val="00CF5A2F"/>
    <w:rsid w:val="00CF648A"/>
    <w:rsid w:val="00CF7B8E"/>
    <w:rsid w:val="00D02E38"/>
    <w:rsid w:val="00D047A0"/>
    <w:rsid w:val="00D06AF6"/>
    <w:rsid w:val="00D15BDB"/>
    <w:rsid w:val="00D2463C"/>
    <w:rsid w:val="00D25C69"/>
    <w:rsid w:val="00D27178"/>
    <w:rsid w:val="00D27D9D"/>
    <w:rsid w:val="00D32F80"/>
    <w:rsid w:val="00D33ABF"/>
    <w:rsid w:val="00D352E2"/>
    <w:rsid w:val="00D3765B"/>
    <w:rsid w:val="00D420DE"/>
    <w:rsid w:val="00D42BD7"/>
    <w:rsid w:val="00D43C8A"/>
    <w:rsid w:val="00D51A37"/>
    <w:rsid w:val="00D5389E"/>
    <w:rsid w:val="00D567E8"/>
    <w:rsid w:val="00D6351D"/>
    <w:rsid w:val="00D672E4"/>
    <w:rsid w:val="00D70753"/>
    <w:rsid w:val="00D74006"/>
    <w:rsid w:val="00D81795"/>
    <w:rsid w:val="00D844B2"/>
    <w:rsid w:val="00D85443"/>
    <w:rsid w:val="00D85BCE"/>
    <w:rsid w:val="00D93CB2"/>
    <w:rsid w:val="00D9517A"/>
    <w:rsid w:val="00D97D31"/>
    <w:rsid w:val="00DA1628"/>
    <w:rsid w:val="00DA1BF7"/>
    <w:rsid w:val="00DA5EBC"/>
    <w:rsid w:val="00DA6E9B"/>
    <w:rsid w:val="00DB2923"/>
    <w:rsid w:val="00DB3343"/>
    <w:rsid w:val="00DB7EEF"/>
    <w:rsid w:val="00DD3668"/>
    <w:rsid w:val="00DD684E"/>
    <w:rsid w:val="00DD69A6"/>
    <w:rsid w:val="00DD74FE"/>
    <w:rsid w:val="00DE0FC2"/>
    <w:rsid w:val="00DF2F66"/>
    <w:rsid w:val="00E01401"/>
    <w:rsid w:val="00E02B4D"/>
    <w:rsid w:val="00E046B6"/>
    <w:rsid w:val="00E12BD7"/>
    <w:rsid w:val="00E12F57"/>
    <w:rsid w:val="00E13CD7"/>
    <w:rsid w:val="00E14193"/>
    <w:rsid w:val="00E20B62"/>
    <w:rsid w:val="00E25265"/>
    <w:rsid w:val="00E25297"/>
    <w:rsid w:val="00E36EA6"/>
    <w:rsid w:val="00E375D2"/>
    <w:rsid w:val="00E421F0"/>
    <w:rsid w:val="00E461AC"/>
    <w:rsid w:val="00E4632D"/>
    <w:rsid w:val="00E558C7"/>
    <w:rsid w:val="00E5636E"/>
    <w:rsid w:val="00E645CD"/>
    <w:rsid w:val="00E7033B"/>
    <w:rsid w:val="00E71862"/>
    <w:rsid w:val="00E71CB0"/>
    <w:rsid w:val="00E760E1"/>
    <w:rsid w:val="00E80C13"/>
    <w:rsid w:val="00E83B83"/>
    <w:rsid w:val="00E90982"/>
    <w:rsid w:val="00E9422F"/>
    <w:rsid w:val="00E95191"/>
    <w:rsid w:val="00EA0485"/>
    <w:rsid w:val="00EB0F7D"/>
    <w:rsid w:val="00EB732A"/>
    <w:rsid w:val="00EB7D35"/>
    <w:rsid w:val="00ED2978"/>
    <w:rsid w:val="00ED29D1"/>
    <w:rsid w:val="00ED6B14"/>
    <w:rsid w:val="00ED7DE2"/>
    <w:rsid w:val="00EE4FAD"/>
    <w:rsid w:val="00EE61C4"/>
    <w:rsid w:val="00EE746D"/>
    <w:rsid w:val="00EF3564"/>
    <w:rsid w:val="00EF76B3"/>
    <w:rsid w:val="00F0092A"/>
    <w:rsid w:val="00F03BF3"/>
    <w:rsid w:val="00F0503E"/>
    <w:rsid w:val="00F142C0"/>
    <w:rsid w:val="00F147F4"/>
    <w:rsid w:val="00F17BFE"/>
    <w:rsid w:val="00F23770"/>
    <w:rsid w:val="00F252E7"/>
    <w:rsid w:val="00F2598C"/>
    <w:rsid w:val="00F271DB"/>
    <w:rsid w:val="00F31D09"/>
    <w:rsid w:val="00F34BBA"/>
    <w:rsid w:val="00F35831"/>
    <w:rsid w:val="00F3722F"/>
    <w:rsid w:val="00F41213"/>
    <w:rsid w:val="00F41406"/>
    <w:rsid w:val="00F42704"/>
    <w:rsid w:val="00F429F4"/>
    <w:rsid w:val="00F434D8"/>
    <w:rsid w:val="00F44F7D"/>
    <w:rsid w:val="00F456A6"/>
    <w:rsid w:val="00F45988"/>
    <w:rsid w:val="00F46299"/>
    <w:rsid w:val="00F47230"/>
    <w:rsid w:val="00F51B40"/>
    <w:rsid w:val="00F530B5"/>
    <w:rsid w:val="00F530D3"/>
    <w:rsid w:val="00F531CE"/>
    <w:rsid w:val="00F533F7"/>
    <w:rsid w:val="00F55C36"/>
    <w:rsid w:val="00F60C99"/>
    <w:rsid w:val="00F645B8"/>
    <w:rsid w:val="00F7618E"/>
    <w:rsid w:val="00F82430"/>
    <w:rsid w:val="00F84053"/>
    <w:rsid w:val="00F876CF"/>
    <w:rsid w:val="00F91462"/>
    <w:rsid w:val="00F93B93"/>
    <w:rsid w:val="00FA19FD"/>
    <w:rsid w:val="00FA1F01"/>
    <w:rsid w:val="00FA37ED"/>
    <w:rsid w:val="00FA6AFF"/>
    <w:rsid w:val="00FA743C"/>
    <w:rsid w:val="00FB07C3"/>
    <w:rsid w:val="00FB51D5"/>
    <w:rsid w:val="00FC0BA3"/>
    <w:rsid w:val="00FC1C1C"/>
    <w:rsid w:val="00FC7E81"/>
    <w:rsid w:val="00FD4CDE"/>
    <w:rsid w:val="00FD7A5B"/>
    <w:rsid w:val="00FE00F5"/>
    <w:rsid w:val="00FE0478"/>
    <w:rsid w:val="00FF345D"/>
    <w:rsid w:val="00FF5020"/>
    <w:rsid w:val="00FF5F6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077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D43C8A"/>
    <w:pPr>
      <w:spacing w:before="120" w:after="120"/>
    </w:pPr>
    <w:rPr>
      <w:rFonts w:ascii="Times New Roman" w:hAnsi="Times New Roman"/>
      <w:sz w:val="24"/>
      <w:szCs w:val="22"/>
      <w:lang w:eastAsia="zh-TW"/>
    </w:rPr>
  </w:style>
  <w:style w:type="paragraph" w:styleId="Heading1">
    <w:name w:val="heading 1"/>
    <w:next w:val="Normal"/>
    <w:link w:val="Heading1Char"/>
    <w:uiPriority w:val="9"/>
    <w:qFormat/>
    <w:rsid w:val="00D43C8A"/>
    <w:pPr>
      <w:spacing w:before="360" w:after="60"/>
      <w:outlineLvl w:val="0"/>
    </w:pPr>
    <w:rPr>
      <w:rFonts w:ascii="Times New Roman Bold" w:hAnsi="Times New Roman Bold"/>
      <w:b/>
      <w:bCs/>
      <w:caps/>
      <w:sz w:val="26"/>
      <w:szCs w:val="26"/>
      <w:lang w:val="en-GB" w:eastAsia="zh-TW"/>
    </w:rPr>
  </w:style>
  <w:style w:type="paragraph" w:styleId="Heading2">
    <w:name w:val="heading 2"/>
    <w:basedOn w:val="Heading1"/>
    <w:next w:val="Normal"/>
    <w:link w:val="Heading2Char"/>
    <w:uiPriority w:val="9"/>
    <w:unhideWhenUsed/>
    <w:qFormat/>
    <w:rsid w:val="00D43C8A"/>
    <w:pPr>
      <w:keepNext/>
      <w:spacing w:before="240" w:after="120"/>
      <w:outlineLvl w:val="1"/>
    </w:pPr>
    <w:rPr>
      <w:bCs w:val="0"/>
      <w:i/>
      <w:caps w:val="0"/>
      <w:sz w:val="24"/>
      <w:szCs w:val="22"/>
    </w:rPr>
  </w:style>
  <w:style w:type="paragraph" w:styleId="Heading3">
    <w:name w:val="heading 3"/>
    <w:basedOn w:val="Normal"/>
    <w:next w:val="Normal"/>
    <w:link w:val="Heading3Char"/>
    <w:uiPriority w:val="9"/>
    <w:unhideWhenUsed/>
    <w:qFormat/>
    <w:rsid w:val="00D43C8A"/>
    <w:pPr>
      <w:outlineLvl w:val="2"/>
    </w:pPr>
    <w:rPr>
      <w:i/>
      <w:lang w:val="en-NZ"/>
    </w:rPr>
  </w:style>
  <w:style w:type="paragraph" w:styleId="Heading4">
    <w:name w:val="heading 4"/>
    <w:basedOn w:val="Normal"/>
    <w:next w:val="Normal"/>
    <w:link w:val="Heading4Char"/>
    <w:uiPriority w:val="9"/>
    <w:unhideWhenUsed/>
    <w:qFormat/>
    <w:rsid w:val="00AA2523"/>
    <w:pPr>
      <w:keepNext/>
      <w:keepLines/>
      <w:spacing w:after="60"/>
      <w:outlineLvl w:val="3"/>
    </w:pPr>
    <w:rPr>
      <w:rFonts w:ascii="Times New Roman Bold" w:hAnsi="Times New Roman Bold"/>
      <w:b/>
      <w:bCs/>
      <w:iCs/>
    </w:rPr>
  </w:style>
  <w:style w:type="paragraph" w:styleId="Heading5">
    <w:name w:val="heading 5"/>
    <w:basedOn w:val="Normal"/>
    <w:next w:val="Normal"/>
    <w:link w:val="Heading5Char"/>
    <w:uiPriority w:val="9"/>
    <w:unhideWhenUsed/>
    <w:qFormat/>
    <w:rsid w:val="00DD684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DD684E"/>
    <w:pPr>
      <w:keepNext/>
      <w:keepLines/>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CF3480"/>
    <w:pPr>
      <w:keepNext/>
      <w:keepLines/>
      <w:numPr>
        <w:numId w:val="6"/>
      </w:numPr>
      <w:ind w:left="357" w:hanging="357"/>
      <w:outlineLvl w:val="6"/>
    </w:pPr>
    <w:rPr>
      <w:i/>
      <w:iCs/>
      <w:lang w:val="en-US"/>
    </w:rPr>
  </w:style>
  <w:style w:type="paragraph" w:styleId="Heading8">
    <w:name w:val="heading 8"/>
    <w:aliases w:val="CAS Registry Number"/>
    <w:basedOn w:val="Normal"/>
    <w:next w:val="Normal"/>
    <w:link w:val="Heading8Char"/>
    <w:uiPriority w:val="9"/>
    <w:unhideWhenUsed/>
    <w:qFormat/>
    <w:rsid w:val="0011064F"/>
    <w:pPr>
      <w:keepNext/>
      <w:keepLines/>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D844B2"/>
    <w:pPr>
      <w:keepNext/>
      <w:keepLines/>
      <w:spacing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eastAsia="zh-TW"/>
    </w:rPr>
  </w:style>
  <w:style w:type="character" w:customStyle="1" w:styleId="Heading1Char">
    <w:name w:val="Heading 1 Char"/>
    <w:link w:val="Heading1"/>
    <w:uiPriority w:val="9"/>
    <w:rsid w:val="00D43C8A"/>
    <w:rPr>
      <w:rFonts w:ascii="Times New Roman Bold" w:hAnsi="Times New Roman Bold"/>
      <w:b/>
      <w:bCs/>
      <w:caps/>
      <w:sz w:val="26"/>
      <w:szCs w:val="26"/>
      <w:lang w:val="en-GB" w:eastAsia="zh-TW"/>
    </w:rPr>
  </w:style>
  <w:style w:type="character" w:customStyle="1" w:styleId="Heading2Char">
    <w:name w:val="Heading 2 Char"/>
    <w:link w:val="Heading2"/>
    <w:uiPriority w:val="9"/>
    <w:rsid w:val="00D43C8A"/>
    <w:rPr>
      <w:rFonts w:ascii="Times New Roman Bold" w:hAnsi="Times New Roman Bold"/>
      <w:b/>
      <w:i/>
      <w:sz w:val="24"/>
      <w:szCs w:val="22"/>
      <w:lang w:val="en-GB" w:eastAsia="zh-TW"/>
    </w:rPr>
  </w:style>
  <w:style w:type="character" w:customStyle="1" w:styleId="Heading3Char">
    <w:name w:val="Heading 3 Char"/>
    <w:link w:val="Heading3"/>
    <w:uiPriority w:val="9"/>
    <w:rsid w:val="00D43C8A"/>
    <w:rPr>
      <w:rFonts w:ascii="Times New Roman" w:hAnsi="Times New Roman"/>
      <w:i/>
      <w:sz w:val="24"/>
      <w:szCs w:val="22"/>
      <w:lang w:val="en-NZ" w:eastAsia="zh-TW"/>
    </w:rPr>
  </w:style>
  <w:style w:type="character" w:customStyle="1" w:styleId="Heading4Char">
    <w:name w:val="Heading 4 Char"/>
    <w:link w:val="Heading4"/>
    <w:uiPriority w:val="9"/>
    <w:rsid w:val="00AA2523"/>
    <w:rPr>
      <w:rFonts w:ascii="Times New Roman Bold" w:hAnsi="Times New Roman Bold"/>
      <w:b/>
      <w:bCs/>
      <w:iCs/>
      <w:sz w:val="24"/>
      <w:szCs w:val="22"/>
    </w:rPr>
  </w:style>
  <w:style w:type="character" w:customStyle="1" w:styleId="Heading5Char">
    <w:name w:val="Heading 5 Char"/>
    <w:link w:val="Heading5"/>
    <w:uiPriority w:val="9"/>
    <w:rsid w:val="00DD684E"/>
    <w:rPr>
      <w:rFonts w:ascii="Cambria" w:eastAsia="PMingLiU" w:hAnsi="Cambria" w:cs="Times New Roman"/>
      <w:color w:val="243F60"/>
    </w:rPr>
  </w:style>
  <w:style w:type="character" w:customStyle="1" w:styleId="Heading6Char">
    <w:name w:val="Heading 6 Char"/>
    <w:link w:val="Heading6"/>
    <w:uiPriority w:val="9"/>
    <w:rsid w:val="00DD684E"/>
    <w:rPr>
      <w:rFonts w:ascii="Cambria" w:eastAsia="PMingLiU" w:hAnsi="Cambria" w:cs="Times New Roman"/>
      <w:i/>
      <w:iCs/>
      <w:color w:val="243F60"/>
    </w:rPr>
  </w:style>
  <w:style w:type="character" w:customStyle="1" w:styleId="Heading7Char">
    <w:name w:val="Heading 7 Char"/>
    <w:aliases w:val="Text from TGA PI form Char"/>
    <w:link w:val="Heading7"/>
    <w:uiPriority w:val="9"/>
    <w:rsid w:val="00CF3480"/>
    <w:rPr>
      <w:rFonts w:ascii="Times New Roman" w:hAnsi="Times New Roman"/>
      <w:i/>
      <w:iCs/>
      <w:sz w:val="24"/>
      <w:szCs w:val="22"/>
      <w:lang w:val="en-US"/>
    </w:rPr>
  </w:style>
  <w:style w:type="character" w:customStyle="1" w:styleId="Heading8Char">
    <w:name w:val="Heading 8 Char"/>
    <w:aliases w:val="CAS Registry Number Char"/>
    <w:link w:val="Heading8"/>
    <w:uiPriority w:val="9"/>
    <w:rsid w:val="0011064F"/>
    <w:rPr>
      <w:rFonts w:ascii="Times New Roman" w:hAnsi="Times New Roman"/>
      <w:color w:val="404040"/>
      <w:sz w:val="24"/>
    </w:rPr>
  </w:style>
  <w:style w:type="character" w:customStyle="1" w:styleId="Heading9Char">
    <w:name w:val="Heading 9 Char"/>
    <w:aliases w:val="Active ingredient Char"/>
    <w:link w:val="Heading9"/>
    <w:uiPriority w:val="9"/>
    <w:rsid w:val="00D844B2"/>
    <w:rPr>
      <w:rFonts w:ascii="Times New Roman" w:hAnsi="Times New Roman"/>
      <w:i/>
      <w:iCs/>
      <w:sz w:val="24"/>
    </w:rPr>
  </w:style>
  <w:style w:type="paragraph" w:styleId="Title">
    <w:name w:val="Title"/>
    <w:basedOn w:val="Normal"/>
    <w:next w:val="Normal"/>
    <w:link w:val="TitleChar"/>
    <w:uiPriority w:val="10"/>
    <w:qFormat/>
    <w:rsid w:val="00D43C8A"/>
    <w:pPr>
      <w:spacing w:before="240" w:after="240"/>
    </w:pPr>
    <w:rPr>
      <w:sz w:val="36"/>
      <w:szCs w:val="36"/>
    </w:rPr>
  </w:style>
  <w:style w:type="character" w:customStyle="1" w:styleId="TitleChar">
    <w:name w:val="Title Char"/>
    <w:link w:val="Title"/>
    <w:uiPriority w:val="10"/>
    <w:rsid w:val="00D43C8A"/>
    <w:rPr>
      <w:rFonts w:ascii="Times New Roman" w:hAnsi="Times New Roman"/>
      <w:sz w:val="36"/>
      <w:szCs w:val="36"/>
      <w:lang w:eastAsia="zh-TW"/>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iPriority w:val="99"/>
    <w:unhideWhenUsed/>
    <w:rsid w:val="000471CA"/>
    <w:pPr>
      <w:tabs>
        <w:tab w:val="center" w:pos="4513"/>
        <w:tab w:val="right" w:pos="9026"/>
      </w:tabs>
    </w:pPr>
  </w:style>
  <w:style w:type="character" w:customStyle="1" w:styleId="FooterChar">
    <w:name w:val="Footer Char"/>
    <w:link w:val="Footer"/>
    <w:uiPriority w:val="99"/>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pPr>
    <w:rPr>
      <w:rFonts w:eastAsia="Times New Roman"/>
      <w:i/>
      <w:szCs w:val="20"/>
      <w:lang w:val="en-US" w:eastAsia="ja-JP"/>
    </w:rPr>
  </w:style>
  <w:style w:type="character" w:customStyle="1" w:styleId="BodyText3Char">
    <w:name w:val="Body Text 3 Char"/>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link w:val="PIexplanation"/>
    <w:rsid w:val="00D844B2"/>
    <w:rPr>
      <w:rFonts w:ascii="Times New Roman" w:eastAsia="Times New Roman" w:hAnsi="Times New Roman"/>
      <w:i/>
      <w:color w:val="FF0000"/>
      <w:sz w:val="22"/>
      <w:lang w:eastAsia="ja-JP"/>
    </w:rPr>
  </w:style>
  <w:style w:type="character" w:customStyle="1" w:styleId="BodyTextPIChar">
    <w:name w:val="Body Text PI Char"/>
    <w:link w:val="BodyTextPI"/>
    <w:rsid w:val="00D844B2"/>
    <w:rPr>
      <w:rFonts w:ascii="Times New Roman" w:eastAsia="Times New Roman" w:hAnsi="Times New Roman"/>
      <w:i w:val="0"/>
      <w:color w:val="FF0000"/>
      <w:sz w:val="22"/>
      <w:lang w:val="en-GB" w:eastAsia="ja-JP"/>
    </w:rPr>
  </w:style>
  <w:style w:type="paragraph" w:styleId="BodyText2">
    <w:name w:val="Body Text 2"/>
    <w:basedOn w:val="Normal"/>
    <w:link w:val="BodyText2Char"/>
    <w:uiPriority w:val="99"/>
    <w:semiHidden/>
    <w:unhideWhenUsed/>
    <w:rsid w:val="00093012"/>
    <w:pPr>
      <w:spacing w:line="480" w:lineRule="auto"/>
    </w:pPr>
  </w:style>
  <w:style w:type="character" w:customStyle="1" w:styleId="BodyText2Char">
    <w:name w:val="Body Text 2 Char"/>
    <w:link w:val="BodyText2"/>
    <w:uiPriority w:val="99"/>
    <w:semiHidden/>
    <w:rsid w:val="00093012"/>
    <w:rPr>
      <w:rFonts w:ascii="Times New Roman" w:hAnsi="Times New Roman"/>
      <w:sz w:val="24"/>
      <w:szCs w:val="22"/>
    </w:rPr>
  </w:style>
  <w:style w:type="character" w:styleId="CommentReference">
    <w:name w:val="annotation reference"/>
    <w:uiPriority w:val="99"/>
    <w:semiHidden/>
    <w:unhideWhenUsed/>
    <w:rsid w:val="00AA134F"/>
    <w:rPr>
      <w:sz w:val="16"/>
      <w:szCs w:val="16"/>
    </w:rPr>
  </w:style>
  <w:style w:type="paragraph" w:styleId="CommentText">
    <w:name w:val="annotation text"/>
    <w:basedOn w:val="Normal"/>
    <w:link w:val="CommentTextChar"/>
    <w:uiPriority w:val="99"/>
    <w:unhideWhenUsed/>
    <w:rsid w:val="00AA134F"/>
    <w:rPr>
      <w:sz w:val="20"/>
      <w:szCs w:val="20"/>
    </w:rPr>
  </w:style>
  <w:style w:type="character" w:customStyle="1" w:styleId="CommentTextChar">
    <w:name w:val="Comment Text Char"/>
    <w:link w:val="CommentText"/>
    <w:uiPriority w:val="99"/>
    <w:rsid w:val="00AA134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134F"/>
    <w:rPr>
      <w:b/>
      <w:bCs/>
    </w:rPr>
  </w:style>
  <w:style w:type="character" w:customStyle="1" w:styleId="CommentSubjectChar">
    <w:name w:val="Comment Subject Char"/>
    <w:link w:val="CommentSubject"/>
    <w:uiPriority w:val="99"/>
    <w:semiHidden/>
    <w:rsid w:val="00AA134F"/>
    <w:rPr>
      <w:rFonts w:ascii="Times New Roman" w:hAnsi="Times New Roman"/>
      <w:b/>
      <w:bCs/>
    </w:rPr>
  </w:style>
  <w:style w:type="paragraph" w:customStyle="1" w:styleId="Paragraph">
    <w:name w:val="Paragraph"/>
    <w:basedOn w:val="Normal"/>
    <w:link w:val="ParagraphChar"/>
    <w:uiPriority w:val="99"/>
    <w:qFormat/>
    <w:rsid w:val="005C1D04"/>
    <w:pPr>
      <w:spacing w:after="250" w:line="300" w:lineRule="atLeast"/>
    </w:pPr>
    <w:rPr>
      <w:rFonts w:ascii="Arial" w:eastAsia="SimSun" w:hAnsi="Arial"/>
      <w:sz w:val="22"/>
      <w:szCs w:val="24"/>
      <w:lang w:val="en-US" w:eastAsia="zh-CN"/>
    </w:rPr>
  </w:style>
  <w:style w:type="paragraph" w:customStyle="1" w:styleId="TabFigNote">
    <w:name w:val="TabFig Note"/>
    <w:basedOn w:val="Normal"/>
    <w:link w:val="TabFigNoteChar"/>
    <w:rsid w:val="005C1D04"/>
    <w:pPr>
      <w:keepNext/>
      <w:keepLines/>
      <w:spacing w:before="40" w:line="240" w:lineRule="exact"/>
      <w:ind w:left="29"/>
    </w:pPr>
    <w:rPr>
      <w:rFonts w:ascii="Arial" w:eastAsia="SimSun" w:hAnsi="Arial"/>
      <w:sz w:val="20"/>
      <w:szCs w:val="24"/>
      <w:lang w:val="en-US" w:eastAsia="zh-CN"/>
    </w:rPr>
  </w:style>
  <w:style w:type="character" w:customStyle="1" w:styleId="ParagraphChar">
    <w:name w:val="Paragraph Char"/>
    <w:link w:val="Paragraph"/>
    <w:uiPriority w:val="99"/>
    <w:rsid w:val="005C1D04"/>
    <w:rPr>
      <w:rFonts w:ascii="Arial" w:eastAsia="SimSun" w:hAnsi="Arial"/>
      <w:sz w:val="22"/>
      <w:szCs w:val="24"/>
      <w:lang w:val="en-US" w:eastAsia="zh-CN"/>
    </w:rPr>
  </w:style>
  <w:style w:type="character" w:customStyle="1" w:styleId="TabFigNoteChar">
    <w:name w:val="TabFig Note Char"/>
    <w:link w:val="TabFigNote"/>
    <w:locked/>
    <w:rsid w:val="005C1D04"/>
    <w:rPr>
      <w:rFonts w:ascii="Arial" w:eastAsia="SimSun" w:hAnsi="Arial"/>
      <w:szCs w:val="24"/>
      <w:lang w:val="en-US" w:eastAsia="zh-CN"/>
    </w:rPr>
  </w:style>
  <w:style w:type="table" w:styleId="TableGrid">
    <w:name w:val="Table Grid"/>
    <w:basedOn w:val="TableNormal"/>
    <w:uiPriority w:val="59"/>
    <w:rsid w:val="005E5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632D"/>
    <w:rPr>
      <w:rFonts w:ascii="Times New Roman" w:hAnsi="Times New Roman"/>
      <w:sz w:val="24"/>
      <w:szCs w:val="22"/>
      <w:lang w:eastAsia="zh-TW"/>
    </w:rPr>
  </w:style>
  <w:style w:type="character" w:styleId="Emphasis">
    <w:name w:val="Emphasis"/>
    <w:uiPriority w:val="20"/>
    <w:qFormat/>
    <w:rsid w:val="00D43C8A"/>
    <w:rPr>
      <w:rFonts w:ascii="Times New Roman" w:hAnsi="Times New Roman"/>
      <w:i/>
      <w:sz w:val="24"/>
    </w:rPr>
  </w:style>
  <w:style w:type="paragraph" w:styleId="Caption">
    <w:name w:val="caption"/>
    <w:basedOn w:val="Normal"/>
    <w:next w:val="Normal"/>
    <w:uiPriority w:val="35"/>
    <w:unhideWhenUsed/>
    <w:qFormat/>
    <w:rsid w:val="00D43C8A"/>
    <w:pPr>
      <w:spacing w:before="0" w:after="200"/>
    </w:pPr>
    <w:rPr>
      <w:b/>
      <w:bCs/>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w:qFormat/>
    <w:rsid w:val="00D43C8A"/>
    <w:pPr>
      <w:spacing w:before="120" w:after="120"/>
    </w:pPr>
    <w:rPr>
      <w:rFonts w:ascii="Times New Roman" w:hAnsi="Times New Roman"/>
      <w:sz w:val="24"/>
      <w:szCs w:val="22"/>
      <w:lang w:eastAsia="zh-TW"/>
    </w:rPr>
  </w:style>
  <w:style w:type="paragraph" w:styleId="Heading1">
    <w:name w:val="heading 1"/>
    <w:next w:val="Normal"/>
    <w:link w:val="Heading1Char"/>
    <w:uiPriority w:val="9"/>
    <w:qFormat/>
    <w:rsid w:val="00D43C8A"/>
    <w:pPr>
      <w:spacing w:before="360" w:after="60"/>
      <w:outlineLvl w:val="0"/>
    </w:pPr>
    <w:rPr>
      <w:rFonts w:ascii="Times New Roman Bold" w:hAnsi="Times New Roman Bold"/>
      <w:b/>
      <w:bCs/>
      <w:caps/>
      <w:sz w:val="26"/>
      <w:szCs w:val="26"/>
      <w:lang w:val="en-GB" w:eastAsia="zh-TW"/>
    </w:rPr>
  </w:style>
  <w:style w:type="paragraph" w:styleId="Heading2">
    <w:name w:val="heading 2"/>
    <w:basedOn w:val="Heading1"/>
    <w:next w:val="Normal"/>
    <w:link w:val="Heading2Char"/>
    <w:uiPriority w:val="9"/>
    <w:unhideWhenUsed/>
    <w:qFormat/>
    <w:rsid w:val="00D43C8A"/>
    <w:pPr>
      <w:keepNext/>
      <w:spacing w:before="240" w:after="120"/>
      <w:outlineLvl w:val="1"/>
    </w:pPr>
    <w:rPr>
      <w:bCs w:val="0"/>
      <w:i/>
      <w:caps w:val="0"/>
      <w:sz w:val="24"/>
      <w:szCs w:val="22"/>
    </w:rPr>
  </w:style>
  <w:style w:type="paragraph" w:styleId="Heading3">
    <w:name w:val="heading 3"/>
    <w:basedOn w:val="Normal"/>
    <w:next w:val="Normal"/>
    <w:link w:val="Heading3Char"/>
    <w:uiPriority w:val="9"/>
    <w:unhideWhenUsed/>
    <w:qFormat/>
    <w:rsid w:val="00D43C8A"/>
    <w:pPr>
      <w:outlineLvl w:val="2"/>
    </w:pPr>
    <w:rPr>
      <w:i/>
      <w:lang w:val="en-NZ"/>
    </w:rPr>
  </w:style>
  <w:style w:type="paragraph" w:styleId="Heading4">
    <w:name w:val="heading 4"/>
    <w:basedOn w:val="Normal"/>
    <w:next w:val="Normal"/>
    <w:link w:val="Heading4Char"/>
    <w:uiPriority w:val="9"/>
    <w:unhideWhenUsed/>
    <w:qFormat/>
    <w:rsid w:val="00AA2523"/>
    <w:pPr>
      <w:keepNext/>
      <w:keepLines/>
      <w:spacing w:after="60"/>
      <w:outlineLvl w:val="3"/>
    </w:pPr>
    <w:rPr>
      <w:rFonts w:ascii="Times New Roman Bold" w:hAnsi="Times New Roman Bold"/>
      <w:b/>
      <w:bCs/>
      <w:iCs/>
    </w:rPr>
  </w:style>
  <w:style w:type="paragraph" w:styleId="Heading5">
    <w:name w:val="heading 5"/>
    <w:basedOn w:val="Normal"/>
    <w:next w:val="Normal"/>
    <w:link w:val="Heading5Char"/>
    <w:uiPriority w:val="9"/>
    <w:unhideWhenUsed/>
    <w:qFormat/>
    <w:rsid w:val="00DD684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DD684E"/>
    <w:pPr>
      <w:keepNext/>
      <w:keepLines/>
      <w:spacing w:before="200"/>
      <w:outlineLvl w:val="5"/>
    </w:pPr>
    <w:rPr>
      <w:rFonts w:ascii="Cambria" w:hAnsi="Cambria"/>
      <w:i/>
      <w:iCs/>
      <w:color w:val="243F60"/>
    </w:rPr>
  </w:style>
  <w:style w:type="paragraph" w:styleId="Heading7">
    <w:name w:val="heading 7"/>
    <w:aliases w:val="Text from TGA PI form"/>
    <w:basedOn w:val="Normal"/>
    <w:next w:val="Normal"/>
    <w:link w:val="Heading7Char"/>
    <w:uiPriority w:val="9"/>
    <w:unhideWhenUsed/>
    <w:qFormat/>
    <w:rsid w:val="00CF3480"/>
    <w:pPr>
      <w:keepNext/>
      <w:keepLines/>
      <w:numPr>
        <w:numId w:val="6"/>
      </w:numPr>
      <w:ind w:left="357" w:hanging="357"/>
      <w:outlineLvl w:val="6"/>
    </w:pPr>
    <w:rPr>
      <w:i/>
      <w:iCs/>
      <w:lang w:val="en-US"/>
    </w:rPr>
  </w:style>
  <w:style w:type="paragraph" w:styleId="Heading8">
    <w:name w:val="heading 8"/>
    <w:aliases w:val="CAS Registry Number"/>
    <w:basedOn w:val="Normal"/>
    <w:next w:val="Normal"/>
    <w:link w:val="Heading8Char"/>
    <w:uiPriority w:val="9"/>
    <w:unhideWhenUsed/>
    <w:qFormat/>
    <w:rsid w:val="0011064F"/>
    <w:pPr>
      <w:keepNext/>
      <w:keepLines/>
      <w:spacing w:before="60" w:after="60"/>
      <w:outlineLvl w:val="7"/>
    </w:pPr>
    <w:rPr>
      <w:color w:val="404040"/>
      <w:szCs w:val="20"/>
    </w:rPr>
  </w:style>
  <w:style w:type="paragraph" w:styleId="Heading9">
    <w:name w:val="heading 9"/>
    <w:aliases w:val="Active ingredient"/>
    <w:basedOn w:val="Normal"/>
    <w:next w:val="Normal"/>
    <w:link w:val="Heading9Char"/>
    <w:uiPriority w:val="9"/>
    <w:unhideWhenUsed/>
    <w:qFormat/>
    <w:rsid w:val="00D844B2"/>
    <w:pPr>
      <w:keepNext/>
      <w:keepLines/>
      <w:spacing w:after="160"/>
      <w:outlineLvl w:val="8"/>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58DB"/>
    <w:rPr>
      <w:rFonts w:ascii="Minion" w:hAnsi="Minion"/>
      <w:sz w:val="22"/>
      <w:szCs w:val="22"/>
      <w:lang w:val="en-US" w:eastAsia="zh-TW"/>
    </w:rPr>
  </w:style>
  <w:style w:type="character" w:customStyle="1" w:styleId="Heading1Char">
    <w:name w:val="Heading 1 Char"/>
    <w:link w:val="Heading1"/>
    <w:uiPriority w:val="9"/>
    <w:rsid w:val="00D43C8A"/>
    <w:rPr>
      <w:rFonts w:ascii="Times New Roman Bold" w:hAnsi="Times New Roman Bold"/>
      <w:b/>
      <w:bCs/>
      <w:caps/>
      <w:sz w:val="26"/>
      <w:szCs w:val="26"/>
      <w:lang w:val="en-GB" w:eastAsia="zh-TW"/>
    </w:rPr>
  </w:style>
  <w:style w:type="character" w:customStyle="1" w:styleId="Heading2Char">
    <w:name w:val="Heading 2 Char"/>
    <w:link w:val="Heading2"/>
    <w:uiPriority w:val="9"/>
    <w:rsid w:val="00D43C8A"/>
    <w:rPr>
      <w:rFonts w:ascii="Times New Roman Bold" w:hAnsi="Times New Roman Bold"/>
      <w:b/>
      <w:i/>
      <w:sz w:val="24"/>
      <w:szCs w:val="22"/>
      <w:lang w:val="en-GB" w:eastAsia="zh-TW"/>
    </w:rPr>
  </w:style>
  <w:style w:type="character" w:customStyle="1" w:styleId="Heading3Char">
    <w:name w:val="Heading 3 Char"/>
    <w:link w:val="Heading3"/>
    <w:uiPriority w:val="9"/>
    <w:rsid w:val="00D43C8A"/>
    <w:rPr>
      <w:rFonts w:ascii="Times New Roman" w:hAnsi="Times New Roman"/>
      <w:i/>
      <w:sz w:val="24"/>
      <w:szCs w:val="22"/>
      <w:lang w:val="en-NZ" w:eastAsia="zh-TW"/>
    </w:rPr>
  </w:style>
  <w:style w:type="character" w:customStyle="1" w:styleId="Heading4Char">
    <w:name w:val="Heading 4 Char"/>
    <w:link w:val="Heading4"/>
    <w:uiPriority w:val="9"/>
    <w:rsid w:val="00AA2523"/>
    <w:rPr>
      <w:rFonts w:ascii="Times New Roman Bold" w:hAnsi="Times New Roman Bold"/>
      <w:b/>
      <w:bCs/>
      <w:iCs/>
      <w:sz w:val="24"/>
      <w:szCs w:val="22"/>
    </w:rPr>
  </w:style>
  <w:style w:type="character" w:customStyle="1" w:styleId="Heading5Char">
    <w:name w:val="Heading 5 Char"/>
    <w:link w:val="Heading5"/>
    <w:uiPriority w:val="9"/>
    <w:rsid w:val="00DD684E"/>
    <w:rPr>
      <w:rFonts w:ascii="Cambria" w:eastAsia="PMingLiU" w:hAnsi="Cambria" w:cs="Times New Roman"/>
      <w:color w:val="243F60"/>
    </w:rPr>
  </w:style>
  <w:style w:type="character" w:customStyle="1" w:styleId="Heading6Char">
    <w:name w:val="Heading 6 Char"/>
    <w:link w:val="Heading6"/>
    <w:uiPriority w:val="9"/>
    <w:rsid w:val="00DD684E"/>
    <w:rPr>
      <w:rFonts w:ascii="Cambria" w:eastAsia="PMingLiU" w:hAnsi="Cambria" w:cs="Times New Roman"/>
      <w:i/>
      <w:iCs/>
      <w:color w:val="243F60"/>
    </w:rPr>
  </w:style>
  <w:style w:type="character" w:customStyle="1" w:styleId="Heading7Char">
    <w:name w:val="Heading 7 Char"/>
    <w:aliases w:val="Text from TGA PI form Char"/>
    <w:link w:val="Heading7"/>
    <w:uiPriority w:val="9"/>
    <w:rsid w:val="00CF3480"/>
    <w:rPr>
      <w:rFonts w:ascii="Times New Roman" w:hAnsi="Times New Roman"/>
      <w:i/>
      <w:iCs/>
      <w:sz w:val="24"/>
      <w:szCs w:val="22"/>
      <w:lang w:val="en-US"/>
    </w:rPr>
  </w:style>
  <w:style w:type="character" w:customStyle="1" w:styleId="Heading8Char">
    <w:name w:val="Heading 8 Char"/>
    <w:aliases w:val="CAS Registry Number Char"/>
    <w:link w:val="Heading8"/>
    <w:uiPriority w:val="9"/>
    <w:rsid w:val="0011064F"/>
    <w:rPr>
      <w:rFonts w:ascii="Times New Roman" w:hAnsi="Times New Roman"/>
      <w:color w:val="404040"/>
      <w:sz w:val="24"/>
    </w:rPr>
  </w:style>
  <w:style w:type="character" w:customStyle="1" w:styleId="Heading9Char">
    <w:name w:val="Heading 9 Char"/>
    <w:aliases w:val="Active ingredient Char"/>
    <w:link w:val="Heading9"/>
    <w:uiPriority w:val="9"/>
    <w:rsid w:val="00D844B2"/>
    <w:rPr>
      <w:rFonts w:ascii="Times New Roman" w:hAnsi="Times New Roman"/>
      <w:i/>
      <w:iCs/>
      <w:sz w:val="24"/>
    </w:rPr>
  </w:style>
  <w:style w:type="paragraph" w:styleId="Title">
    <w:name w:val="Title"/>
    <w:basedOn w:val="Normal"/>
    <w:next w:val="Normal"/>
    <w:link w:val="TitleChar"/>
    <w:uiPriority w:val="10"/>
    <w:qFormat/>
    <w:rsid w:val="00D43C8A"/>
    <w:pPr>
      <w:spacing w:before="240" w:after="240"/>
    </w:pPr>
    <w:rPr>
      <w:sz w:val="36"/>
      <w:szCs w:val="36"/>
    </w:rPr>
  </w:style>
  <w:style w:type="character" w:customStyle="1" w:styleId="TitleChar">
    <w:name w:val="Title Char"/>
    <w:link w:val="Title"/>
    <w:uiPriority w:val="10"/>
    <w:rsid w:val="00D43C8A"/>
    <w:rPr>
      <w:rFonts w:ascii="Times New Roman" w:hAnsi="Times New Roman"/>
      <w:sz w:val="36"/>
      <w:szCs w:val="36"/>
      <w:lang w:eastAsia="zh-TW"/>
    </w:rPr>
  </w:style>
  <w:style w:type="paragraph" w:styleId="ListParagraph">
    <w:name w:val="List Paragraph"/>
    <w:basedOn w:val="Normal"/>
    <w:uiPriority w:val="34"/>
    <w:qFormat/>
    <w:rsid w:val="00DD684E"/>
    <w:pPr>
      <w:ind w:left="720"/>
      <w:contextualSpacing/>
    </w:pPr>
  </w:style>
  <w:style w:type="character" w:styleId="BookTitle">
    <w:name w:val="Book Title"/>
    <w:uiPriority w:val="33"/>
    <w:qFormat/>
    <w:rsid w:val="00DD684E"/>
    <w:rPr>
      <w:b/>
      <w:bCs/>
      <w:smallCaps/>
      <w:spacing w:val="5"/>
    </w:rPr>
  </w:style>
  <w:style w:type="character" w:styleId="IntenseReference">
    <w:name w:val="Intense Reference"/>
    <w:uiPriority w:val="32"/>
    <w:qFormat/>
    <w:rsid w:val="00DD684E"/>
    <w:rPr>
      <w:b/>
      <w:bCs/>
      <w:smallCaps/>
      <w:color w:val="C0504D"/>
      <w:spacing w:val="5"/>
      <w:u w:val="single"/>
    </w:rPr>
  </w:style>
  <w:style w:type="character" w:styleId="SubtleReference">
    <w:name w:val="Subtle Reference"/>
    <w:uiPriority w:val="31"/>
    <w:qFormat/>
    <w:rsid w:val="00DD684E"/>
    <w:rPr>
      <w:smallCaps/>
      <w:color w:val="C0504D"/>
      <w:u w:val="single"/>
    </w:rPr>
  </w:style>
  <w:style w:type="paragraph" w:styleId="IntenseQuote">
    <w:name w:val="Intense Quote"/>
    <w:basedOn w:val="Normal"/>
    <w:next w:val="Normal"/>
    <w:link w:val="IntenseQuoteChar"/>
    <w:uiPriority w:val="30"/>
    <w:qFormat/>
    <w:rsid w:val="00DD684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D684E"/>
    <w:rPr>
      <w:rFonts w:ascii="Minion" w:hAnsi="Minion"/>
      <w:b/>
      <w:bCs/>
      <w:i/>
      <w:iCs/>
      <w:color w:val="4F81BD"/>
    </w:rPr>
  </w:style>
  <w:style w:type="paragraph" w:styleId="Quote">
    <w:name w:val="Quote"/>
    <w:basedOn w:val="Normal"/>
    <w:next w:val="Normal"/>
    <w:link w:val="QuoteChar"/>
    <w:uiPriority w:val="29"/>
    <w:qFormat/>
    <w:rsid w:val="00DD684E"/>
    <w:rPr>
      <w:i/>
      <w:iCs/>
      <w:color w:val="000000"/>
    </w:rPr>
  </w:style>
  <w:style w:type="character" w:customStyle="1" w:styleId="QuoteChar">
    <w:name w:val="Quote Char"/>
    <w:link w:val="Quote"/>
    <w:uiPriority w:val="29"/>
    <w:rsid w:val="00DD684E"/>
    <w:rPr>
      <w:rFonts w:ascii="Minion" w:hAnsi="Minion"/>
      <w:i/>
      <w:iCs/>
      <w:color w:val="000000"/>
    </w:rPr>
  </w:style>
  <w:style w:type="paragraph" w:styleId="Header">
    <w:name w:val="header"/>
    <w:basedOn w:val="Normal"/>
    <w:link w:val="HeaderChar"/>
    <w:uiPriority w:val="99"/>
    <w:unhideWhenUsed/>
    <w:rsid w:val="000471CA"/>
    <w:pPr>
      <w:tabs>
        <w:tab w:val="center" w:pos="4513"/>
        <w:tab w:val="right" w:pos="9026"/>
      </w:tabs>
    </w:pPr>
  </w:style>
  <w:style w:type="character" w:customStyle="1" w:styleId="HeaderChar">
    <w:name w:val="Header Char"/>
    <w:link w:val="Header"/>
    <w:uiPriority w:val="99"/>
    <w:rsid w:val="000471CA"/>
    <w:rPr>
      <w:rFonts w:ascii="Minion" w:hAnsi="Minion"/>
      <w:sz w:val="22"/>
      <w:szCs w:val="22"/>
      <w:lang w:val="en-US"/>
    </w:rPr>
  </w:style>
  <w:style w:type="paragraph" w:styleId="Footer">
    <w:name w:val="footer"/>
    <w:basedOn w:val="Normal"/>
    <w:link w:val="FooterChar"/>
    <w:uiPriority w:val="99"/>
    <w:unhideWhenUsed/>
    <w:rsid w:val="000471CA"/>
    <w:pPr>
      <w:tabs>
        <w:tab w:val="center" w:pos="4513"/>
        <w:tab w:val="right" w:pos="9026"/>
      </w:tabs>
    </w:pPr>
  </w:style>
  <w:style w:type="character" w:customStyle="1" w:styleId="FooterChar">
    <w:name w:val="Footer Char"/>
    <w:link w:val="Footer"/>
    <w:uiPriority w:val="99"/>
    <w:rsid w:val="000471CA"/>
    <w:rPr>
      <w:rFonts w:ascii="Minion" w:hAnsi="Minion"/>
      <w:sz w:val="22"/>
      <w:szCs w:val="22"/>
      <w:lang w:val="en-US"/>
    </w:rPr>
  </w:style>
  <w:style w:type="paragraph" w:styleId="BalloonText">
    <w:name w:val="Balloon Text"/>
    <w:basedOn w:val="Normal"/>
    <w:link w:val="BalloonTextChar"/>
    <w:uiPriority w:val="99"/>
    <w:semiHidden/>
    <w:unhideWhenUsed/>
    <w:rsid w:val="000471CA"/>
    <w:rPr>
      <w:rFonts w:ascii="Tahoma" w:hAnsi="Tahoma" w:cs="Tahoma"/>
      <w:sz w:val="16"/>
      <w:szCs w:val="16"/>
    </w:rPr>
  </w:style>
  <w:style w:type="character" w:customStyle="1" w:styleId="BalloonTextChar">
    <w:name w:val="Balloon Text Char"/>
    <w:link w:val="BalloonText"/>
    <w:uiPriority w:val="99"/>
    <w:semiHidden/>
    <w:rsid w:val="000471CA"/>
    <w:rPr>
      <w:rFonts w:ascii="Tahoma" w:hAnsi="Tahoma" w:cs="Tahoma"/>
      <w:sz w:val="16"/>
      <w:szCs w:val="16"/>
      <w:lang w:val="en-US"/>
    </w:rPr>
  </w:style>
  <w:style w:type="paragraph" w:styleId="BodyText3">
    <w:name w:val="Body Text 3"/>
    <w:basedOn w:val="Normal"/>
    <w:link w:val="BodyText3Char"/>
    <w:rsid w:val="00D844B2"/>
    <w:pPr>
      <w:spacing w:line="280" w:lineRule="atLeast"/>
    </w:pPr>
    <w:rPr>
      <w:rFonts w:eastAsia="Times New Roman"/>
      <w:i/>
      <w:szCs w:val="20"/>
      <w:lang w:val="en-US" w:eastAsia="ja-JP"/>
    </w:rPr>
  </w:style>
  <w:style w:type="character" w:customStyle="1" w:styleId="BodyText3Char">
    <w:name w:val="Body Text 3 Char"/>
    <w:link w:val="BodyText3"/>
    <w:rsid w:val="00D844B2"/>
    <w:rPr>
      <w:rFonts w:ascii="Times New Roman" w:eastAsia="Times New Roman" w:hAnsi="Times New Roman"/>
      <w:i/>
      <w:sz w:val="24"/>
      <w:lang w:val="en-US" w:eastAsia="ja-JP"/>
    </w:rPr>
  </w:style>
  <w:style w:type="paragraph" w:customStyle="1" w:styleId="PIexplanation">
    <w:name w:val="PI explanation"/>
    <w:basedOn w:val="Normal"/>
    <w:link w:val="PIexplanationChar"/>
    <w:rsid w:val="00D844B2"/>
    <w:rPr>
      <w:rFonts w:eastAsia="Times New Roman"/>
      <w:i/>
      <w:color w:val="FF0000"/>
      <w:sz w:val="22"/>
      <w:szCs w:val="20"/>
      <w:lang w:eastAsia="ja-JP"/>
    </w:rPr>
  </w:style>
  <w:style w:type="paragraph" w:customStyle="1" w:styleId="TextTi12">
    <w:name w:val="Text:Ti12"/>
    <w:basedOn w:val="Normal"/>
    <w:link w:val="TextTi12Char"/>
    <w:rsid w:val="00D844B2"/>
    <w:pPr>
      <w:spacing w:after="170" w:line="280" w:lineRule="atLeast"/>
    </w:pPr>
    <w:rPr>
      <w:rFonts w:eastAsia="Times New Roman"/>
      <w:szCs w:val="20"/>
      <w:lang w:val="en-US" w:eastAsia="ja-JP"/>
    </w:rPr>
  </w:style>
  <w:style w:type="character" w:customStyle="1" w:styleId="TextTi12Char">
    <w:name w:val="Text:Ti12 Char"/>
    <w:link w:val="TextTi12"/>
    <w:rsid w:val="00D844B2"/>
    <w:rPr>
      <w:rFonts w:ascii="Times New Roman" w:eastAsia="Times New Roman" w:hAnsi="Times New Roman"/>
      <w:sz w:val="24"/>
      <w:lang w:val="en-US" w:eastAsia="ja-JP"/>
    </w:rPr>
  </w:style>
  <w:style w:type="paragraph" w:customStyle="1" w:styleId="BodyTextPI">
    <w:name w:val="Body Text PI"/>
    <w:basedOn w:val="PIexplanation"/>
    <w:link w:val="BodyTextPIChar"/>
    <w:rsid w:val="00D844B2"/>
    <w:pPr>
      <w:jc w:val="both"/>
    </w:pPr>
    <w:rPr>
      <w:i w:val="0"/>
      <w:lang w:val="en-GB"/>
    </w:rPr>
  </w:style>
  <w:style w:type="character" w:customStyle="1" w:styleId="PIexplanationChar">
    <w:name w:val="PI explanation Char"/>
    <w:link w:val="PIexplanation"/>
    <w:rsid w:val="00D844B2"/>
    <w:rPr>
      <w:rFonts w:ascii="Times New Roman" w:eastAsia="Times New Roman" w:hAnsi="Times New Roman"/>
      <w:i/>
      <w:color w:val="FF0000"/>
      <w:sz w:val="22"/>
      <w:lang w:eastAsia="ja-JP"/>
    </w:rPr>
  </w:style>
  <w:style w:type="character" w:customStyle="1" w:styleId="BodyTextPIChar">
    <w:name w:val="Body Text PI Char"/>
    <w:link w:val="BodyTextPI"/>
    <w:rsid w:val="00D844B2"/>
    <w:rPr>
      <w:rFonts w:ascii="Times New Roman" w:eastAsia="Times New Roman" w:hAnsi="Times New Roman"/>
      <w:i w:val="0"/>
      <w:color w:val="FF0000"/>
      <w:sz w:val="22"/>
      <w:lang w:val="en-GB" w:eastAsia="ja-JP"/>
    </w:rPr>
  </w:style>
  <w:style w:type="paragraph" w:styleId="BodyText2">
    <w:name w:val="Body Text 2"/>
    <w:basedOn w:val="Normal"/>
    <w:link w:val="BodyText2Char"/>
    <w:uiPriority w:val="99"/>
    <w:semiHidden/>
    <w:unhideWhenUsed/>
    <w:rsid w:val="00093012"/>
    <w:pPr>
      <w:spacing w:line="480" w:lineRule="auto"/>
    </w:pPr>
  </w:style>
  <w:style w:type="character" w:customStyle="1" w:styleId="BodyText2Char">
    <w:name w:val="Body Text 2 Char"/>
    <w:link w:val="BodyText2"/>
    <w:uiPriority w:val="99"/>
    <w:semiHidden/>
    <w:rsid w:val="00093012"/>
    <w:rPr>
      <w:rFonts w:ascii="Times New Roman" w:hAnsi="Times New Roman"/>
      <w:sz w:val="24"/>
      <w:szCs w:val="22"/>
    </w:rPr>
  </w:style>
  <w:style w:type="character" w:styleId="CommentReference">
    <w:name w:val="annotation reference"/>
    <w:uiPriority w:val="99"/>
    <w:semiHidden/>
    <w:unhideWhenUsed/>
    <w:rsid w:val="00AA134F"/>
    <w:rPr>
      <w:sz w:val="16"/>
      <w:szCs w:val="16"/>
    </w:rPr>
  </w:style>
  <w:style w:type="paragraph" w:styleId="CommentText">
    <w:name w:val="annotation text"/>
    <w:basedOn w:val="Normal"/>
    <w:link w:val="CommentTextChar"/>
    <w:uiPriority w:val="99"/>
    <w:unhideWhenUsed/>
    <w:rsid w:val="00AA134F"/>
    <w:rPr>
      <w:sz w:val="20"/>
      <w:szCs w:val="20"/>
    </w:rPr>
  </w:style>
  <w:style w:type="character" w:customStyle="1" w:styleId="CommentTextChar">
    <w:name w:val="Comment Text Char"/>
    <w:link w:val="CommentText"/>
    <w:uiPriority w:val="99"/>
    <w:rsid w:val="00AA134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A134F"/>
    <w:rPr>
      <w:b/>
      <w:bCs/>
    </w:rPr>
  </w:style>
  <w:style w:type="character" w:customStyle="1" w:styleId="CommentSubjectChar">
    <w:name w:val="Comment Subject Char"/>
    <w:link w:val="CommentSubject"/>
    <w:uiPriority w:val="99"/>
    <w:semiHidden/>
    <w:rsid w:val="00AA134F"/>
    <w:rPr>
      <w:rFonts w:ascii="Times New Roman" w:hAnsi="Times New Roman"/>
      <w:b/>
      <w:bCs/>
    </w:rPr>
  </w:style>
  <w:style w:type="paragraph" w:customStyle="1" w:styleId="Paragraph">
    <w:name w:val="Paragraph"/>
    <w:basedOn w:val="Normal"/>
    <w:link w:val="ParagraphChar"/>
    <w:uiPriority w:val="99"/>
    <w:qFormat/>
    <w:rsid w:val="005C1D04"/>
    <w:pPr>
      <w:spacing w:after="250" w:line="300" w:lineRule="atLeast"/>
    </w:pPr>
    <w:rPr>
      <w:rFonts w:ascii="Arial" w:eastAsia="SimSun" w:hAnsi="Arial"/>
      <w:sz w:val="22"/>
      <w:szCs w:val="24"/>
      <w:lang w:val="en-US" w:eastAsia="zh-CN"/>
    </w:rPr>
  </w:style>
  <w:style w:type="paragraph" w:customStyle="1" w:styleId="TabFigNote">
    <w:name w:val="TabFig Note"/>
    <w:basedOn w:val="Normal"/>
    <w:link w:val="TabFigNoteChar"/>
    <w:rsid w:val="005C1D04"/>
    <w:pPr>
      <w:keepNext/>
      <w:keepLines/>
      <w:spacing w:before="40" w:line="240" w:lineRule="exact"/>
      <w:ind w:left="29"/>
    </w:pPr>
    <w:rPr>
      <w:rFonts w:ascii="Arial" w:eastAsia="SimSun" w:hAnsi="Arial"/>
      <w:sz w:val="20"/>
      <w:szCs w:val="24"/>
      <w:lang w:val="en-US" w:eastAsia="zh-CN"/>
    </w:rPr>
  </w:style>
  <w:style w:type="character" w:customStyle="1" w:styleId="ParagraphChar">
    <w:name w:val="Paragraph Char"/>
    <w:link w:val="Paragraph"/>
    <w:uiPriority w:val="99"/>
    <w:rsid w:val="005C1D04"/>
    <w:rPr>
      <w:rFonts w:ascii="Arial" w:eastAsia="SimSun" w:hAnsi="Arial"/>
      <w:sz w:val="22"/>
      <w:szCs w:val="24"/>
      <w:lang w:val="en-US" w:eastAsia="zh-CN"/>
    </w:rPr>
  </w:style>
  <w:style w:type="character" w:customStyle="1" w:styleId="TabFigNoteChar">
    <w:name w:val="TabFig Note Char"/>
    <w:link w:val="TabFigNote"/>
    <w:locked/>
    <w:rsid w:val="005C1D04"/>
    <w:rPr>
      <w:rFonts w:ascii="Arial" w:eastAsia="SimSun" w:hAnsi="Arial"/>
      <w:szCs w:val="24"/>
      <w:lang w:val="en-US" w:eastAsia="zh-CN"/>
    </w:rPr>
  </w:style>
  <w:style w:type="table" w:styleId="TableGrid">
    <w:name w:val="Table Grid"/>
    <w:basedOn w:val="TableNormal"/>
    <w:uiPriority w:val="59"/>
    <w:rsid w:val="005E5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632D"/>
    <w:rPr>
      <w:rFonts w:ascii="Times New Roman" w:hAnsi="Times New Roman"/>
      <w:sz w:val="24"/>
      <w:szCs w:val="22"/>
      <w:lang w:eastAsia="zh-TW"/>
    </w:rPr>
  </w:style>
  <w:style w:type="character" w:styleId="Emphasis">
    <w:name w:val="Emphasis"/>
    <w:uiPriority w:val="20"/>
    <w:qFormat/>
    <w:rsid w:val="00D43C8A"/>
    <w:rPr>
      <w:rFonts w:ascii="Times New Roman" w:hAnsi="Times New Roman"/>
      <w:i/>
      <w:sz w:val="24"/>
    </w:rPr>
  </w:style>
  <w:style w:type="paragraph" w:styleId="Caption">
    <w:name w:val="caption"/>
    <w:basedOn w:val="Normal"/>
    <w:next w:val="Normal"/>
    <w:uiPriority w:val="35"/>
    <w:unhideWhenUsed/>
    <w:qFormat/>
    <w:rsid w:val="00D43C8A"/>
    <w:pPr>
      <w:spacing w:before="0" w:after="200"/>
    </w:pPr>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D06331D6A742469AADE9EFADAB3D4F" ma:contentTypeVersion="1" ma:contentTypeDescription="Create a new document." ma:contentTypeScope="" ma:versionID="2fd50a7a271a79019224a25ee4eee8aa">
  <xsd:schema xmlns:xsd="http://www.w3.org/2001/XMLSchema" xmlns:xs="http://www.w3.org/2001/XMLSchema" xmlns:p="http://schemas.microsoft.com/office/2006/metadata/properties" xmlns:ns1="http://schemas.microsoft.com/sharepoint/v3" xmlns:ns2="0A88CE96-30C2-477D-87C4-2AE6CE4461F5" xmlns:ns3="449f861e-c314-4883-a1ef-ff03a61c0822" xmlns:ns4="f191ad30-9ade-4f0c-b78e-cf30469879ae" xmlns:ns5="http://schemas.microsoft.com/sharepoint/v4" targetNamespace="http://schemas.microsoft.com/office/2006/metadata/properties" ma:root="true" ma:fieldsID="ec4b0985abf8653ddd4a497088cf1b1f" ns1:_="" ns2:_="" ns3:_="" ns4:_="" ns5:_="">
    <xsd:import namespace="http://schemas.microsoft.com/sharepoint/v3"/>
    <xsd:import namespace="0A88CE96-30C2-477D-87C4-2AE6CE4461F5"/>
    <xsd:import namespace="449f861e-c314-4883-a1ef-ff03a61c0822"/>
    <xsd:import namespace="f191ad30-9ade-4f0c-b78e-cf30469879ae"/>
    <xsd:import namespace="http://schemas.microsoft.com/sharepoint/v4"/>
    <xsd:element name="properties">
      <xsd:complexType>
        <xsd:sequence>
          <xsd:element name="documentManagement">
            <xsd:complexType>
              <xsd:all>
                <xsd:element ref="ns2:GdtDocumentType" minOccurs="0"/>
                <xsd:element ref="ns3:FileSizeOrChildItemCount" minOccurs="0"/>
                <xsd:element ref="ns3:TaxKeywordTaxHTField" minOccurs="0"/>
                <xsd:element ref="ns4:TaxCatchAll" minOccurs="0"/>
                <xsd:element ref="ns1:_dlc_ExpireDateSaved" minOccurs="0"/>
                <xsd:element ref="ns1:_dlc_ExpireDate" minOccurs="0"/>
                <xsd:element ref="ns1:_dlc_Exempt" minOccurs="0"/>
                <xsd:element ref="ns1:_vti_ItemDeclaredRecord" minOccurs="0"/>
                <xsd:element ref="ns5:IconOverlay"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dlc_Exempt" ma:index="15" nillable="true" ma:displayName="Exempt from Policy" ma:hidden="true" ma:internalName="_dlc_Exempt" ma:readOnly="true">
      <xsd:simpleType>
        <xsd:restriction base="dms:Unknown"/>
      </xsd:simpleType>
    </xsd:element>
    <xsd:element name="_vti_ItemDeclaredRecord" ma:index="16" nillable="true" ma:displayName="Declared Record" ma:description="" ma:hidden="true" ma:indexed="true" ma:internalName="_vti_ItemDeclaredRecord" ma:readOnly="true">
      <xsd:simpleType>
        <xsd:restriction base="dms:DateTime"/>
      </xsd:simpleType>
    </xsd:element>
    <xsd:element name="_vti_ItemHoldRecordStatus" ma:index="1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88CE96-30C2-477D-87C4-2AE6CE4461F5" elementFormDefault="qualified">
    <xsd:import namespace="http://schemas.microsoft.com/office/2006/documentManagement/types"/>
    <xsd:import namespace="http://schemas.microsoft.com/office/infopath/2007/PartnerControls"/>
    <xsd:element name="GdtDocumentType" ma:index="8" nillable="true" ma:displayName="Document Type" ma:indexed="true" ma:list="{14C195C2-F5DB-468F-8335-4789DC0A7841}" ma:internalName="GdtDocumentType" ma:readOnly="fals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49f861e-c314-4883-a1ef-ff03a61c0822" elementFormDefault="qualified">
    <xsd:import namespace="http://schemas.microsoft.com/office/2006/documentManagement/types"/>
    <xsd:import namespace="http://schemas.microsoft.com/office/infopath/2007/PartnerControls"/>
    <xsd:element name="FileSizeOrChildItemCount" ma:index="9" nillable="true" ma:displayName="Size" ma:default="0" ma:internalName="FileSizeOrChildItemCount" ma:readOnly="true">
      <xsd:simpleType>
        <xsd:restriction base="dms:Text"/>
      </xsd:simpleType>
    </xsd:element>
    <xsd:element name="TaxKeywordTaxHTField" ma:index="11" nillable="true" ma:taxonomy="true" ma:internalName="TaxKeywordTaxHTField" ma:taxonomyFieldName="TaxKeyword"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6823f70-8dc2-4ba2-977b-5bd1aad93cff}" ma:internalName="TaxCatchAll" ma:showField="CatchAllData" ma:web="449f861e-c314-4883-a1ef-ff03a61c082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f191ad30-9ade-4f0c-b78e-cf30469879ae"/>
    <TaxKeywordTaxHTField xmlns="449f861e-c314-4883-a1ef-ff03a61c0822">
      <Terms xmlns="http://schemas.microsoft.com/office/infopath/2007/PartnerControls"/>
    </TaxKeywordTaxHTField>
    <IconOverlay xmlns="http://schemas.microsoft.com/sharepoint/v4" xsi:nil="true"/>
    <GdtDocumentType xmlns="0A88CE96-30C2-477D-87C4-2AE6CE4461F5" xsi:nil="true"/>
    <_dlc_ExpireDateSaved xmlns="http://schemas.microsoft.com/sharepoint/v3" xsi:nil="true"/>
    <_dlc_ExpireDate xmlns="http://schemas.microsoft.com/sharepoint/v3">2020-01-10T17:42:47+00:00</_dlc_ExpireDate>
    <FileSizeOrChildItemCount xmlns="449f861e-c314-4883-a1ef-ff03a61c0822">124 KB</FileSizeOrChildItemCou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E580DE-A42E-4942-B981-8D0EF8D7092B}">
  <ds:schemaRefs>
    <ds:schemaRef ds:uri="http://schemas.microsoft.com/sharepoint/v3/contenttype/forms"/>
  </ds:schemaRefs>
</ds:datastoreItem>
</file>

<file path=customXml/itemProps2.xml><?xml version="1.0" encoding="utf-8"?>
<ds:datastoreItem xmlns:ds="http://schemas.openxmlformats.org/officeDocument/2006/customXml" ds:itemID="{A6A36EE3-BD4C-47CB-81F6-07042B2DB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88CE96-30C2-477D-87C4-2AE6CE4461F5"/>
    <ds:schemaRef ds:uri="449f861e-c314-4883-a1ef-ff03a61c0822"/>
    <ds:schemaRef ds:uri="f191ad30-9ade-4f0c-b78e-cf30469879a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465B7-16FF-41BD-AD8A-10508F8939B7}">
  <ds:schemaRefs>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microsoft.com/office/2006/metadata/properties"/>
    <ds:schemaRef ds:uri="http://purl.org/dc/terms/"/>
    <ds:schemaRef ds:uri="f191ad30-9ade-4f0c-b78e-cf30469879ae"/>
    <ds:schemaRef ds:uri="0A88CE96-30C2-477D-87C4-2AE6CE4461F5"/>
    <ds:schemaRef ds:uri="http://schemas.microsoft.com/sharepoint/v3"/>
    <ds:schemaRef ds:uri="http://schemas.openxmlformats.org/package/2006/metadata/core-properties"/>
    <ds:schemaRef ds:uri="http://schemas.microsoft.com/sharepoint/v4"/>
    <ds:schemaRef ds:uri="449f861e-c314-4883-a1ef-ff03a61c0822"/>
  </ds:schemaRefs>
</ds:datastoreItem>
</file>

<file path=customXml/itemProps4.xml><?xml version="1.0" encoding="utf-8"?>
<ds:datastoreItem xmlns:ds="http://schemas.openxmlformats.org/officeDocument/2006/customXml" ds:itemID="{E70B2A25-ECC8-4320-A282-54F5AF9A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5476</Words>
  <Characters>30943</Characters>
  <Application>Microsoft Office Word</Application>
  <DocSecurity>0</DocSecurity>
  <Lines>754</Lines>
  <Paragraphs>479</Paragraphs>
  <ScaleCrop>false</ScaleCrop>
  <HeadingPairs>
    <vt:vector size="2" baseType="variant">
      <vt:variant>
        <vt:lpstr>Title</vt:lpstr>
      </vt:variant>
      <vt:variant>
        <vt:i4>1</vt:i4>
      </vt:variant>
    </vt:vector>
  </HeadingPairs>
  <TitlesOfParts>
    <vt:vector size="1" baseType="lpstr">
      <vt:lpstr/>
    </vt:vector>
  </TitlesOfParts>
  <Company>F. Hoffmann-La Roche, Ltd.</Company>
  <LinksUpToDate>false</LinksUpToDate>
  <CharactersWithSpaces>35940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Therapeutic Goods Administration (TGA) </cp:lastModifiedBy>
  <cp:revision>7</cp:revision>
  <cp:lastPrinted>2017-03-15T02:37:00Z</cp:lastPrinted>
  <dcterms:created xsi:type="dcterms:W3CDTF">2017-12-04T05:48:00Z</dcterms:created>
  <dcterms:modified xsi:type="dcterms:W3CDTF">2017-12-05T03:21:00Z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0x010100BDD06331D6A742469AADE9EFADAB3D4F</vt:lpwstr>
  </property>
  <property fmtid="{D5CDD505-2E9C-101B-9397-08002B2CF9AE}" pid="3" name="Platypus_REG Status">
    <vt:lpwstr>1</vt:lpwstr>
  </property>
  <property fmtid="{D5CDD505-2E9C-101B-9397-08002B2CF9AE}" pid="4" name="Platypus_REG Country">
    <vt:lpwstr>2</vt:lpwstr>
  </property>
  <property fmtid="{D5CDD505-2E9C-101B-9397-08002B2CF9AE}" pid="5" name="REG_Team_Members">
    <vt:lpwstr/>
  </property>
  <property fmtid="{D5CDD505-2E9C-101B-9397-08002B2CF9AE}" pid="6" name="Platypus_REG Primary Group">
    <vt:lpwstr>3</vt:lpwstr>
  </property>
  <property fmtid="{D5CDD505-2E9C-101B-9397-08002B2CF9AE}" pid="7" name="Platypus_REG NON_CONDOR Process Type">
    <vt:lpwstr>2</vt:lpwstr>
  </property>
  <property fmtid="{D5CDD505-2E9C-101B-9397-08002B2CF9AE}" pid="8" name="Platypus_REG Category">
    <vt:lpwstr>3</vt:lpwstr>
  </property>
  <property fmtid="{D5CDD505-2E9C-101B-9397-08002B2CF9AE}" pid="9" name="Platypus_REG NON-CONDOR Process Type">
    <vt:lpwstr>2</vt:lpwstr>
  </property>
  <property fmtid="{D5CDD505-2E9C-101B-9397-08002B2CF9AE}" pid="10" name="Platypus_REG Registration Activities">
    <vt:lpwstr>8</vt:lpwstr>
  </property>
  <property fmtid="{D5CDD505-2E9C-101B-9397-08002B2CF9AE}" pid="11" name="_dlc_policyId">
    <vt:lpwstr>/team/201238ac/GDTDocuments</vt:lpwstr>
  </property>
  <property fmtid="{D5CDD505-2E9C-101B-9397-08002B2CF9AE}" pid="12" name="ItemRetentionFormula">
    <vt:lpwstr>&lt;formula id="Roche.Common.Coremap.ExpirationFormula" /&gt;</vt:lpwstr>
  </property>
  <property fmtid="{D5CDD505-2E9C-101B-9397-08002B2CF9AE}" pid="13" name="TaxKeyword">
    <vt:lpwstr/>
  </property>
</Properties>
</file>