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162F4" w14:textId="77777777" w:rsidR="00D52399" w:rsidRPr="008827DF" w:rsidRDefault="006C73C2">
      <w:pPr>
        <w:pStyle w:val="Heading1"/>
        <w:numPr>
          <w:ilvl w:val="0"/>
          <w:numId w:val="3"/>
        </w:numPr>
        <w:rPr>
          <w:color w:val="auto"/>
        </w:rPr>
      </w:pPr>
      <w:bookmarkStart w:id="0" w:name="_GoBack"/>
      <w:bookmarkEnd w:id="0"/>
      <w:r w:rsidRPr="008827DF">
        <w:rPr>
          <w:color w:val="auto"/>
        </w:rPr>
        <w:t>NAME OF THE MEDICINE</w:t>
      </w:r>
    </w:p>
    <w:p w14:paraId="65AE0753" w14:textId="77777777" w:rsidR="00D52399" w:rsidRDefault="00D52399"/>
    <w:p w14:paraId="605BEF70" w14:textId="77777777" w:rsidR="00D52399" w:rsidRPr="008827DF" w:rsidRDefault="008827DF" w:rsidP="008827DF">
      <w:r>
        <w:t>Alecensa (alectinib) 150 mg hard capsules</w:t>
      </w:r>
    </w:p>
    <w:p w14:paraId="41FD984B" w14:textId="77777777" w:rsidR="00D52399" w:rsidRDefault="00615052">
      <w:pPr>
        <w:pStyle w:val="Heading1"/>
        <w:numPr>
          <w:ilvl w:val="0"/>
          <w:numId w:val="3"/>
        </w:numPr>
      </w:pPr>
      <w:r>
        <w:t>QUALITATIVE AND QUANTITATIVE COMPOSITION</w:t>
      </w:r>
    </w:p>
    <w:p w14:paraId="38C851B5" w14:textId="77777777" w:rsidR="00D52399" w:rsidRDefault="00D52399"/>
    <w:p w14:paraId="77F36C22" w14:textId="77777777" w:rsidR="00D52399" w:rsidRDefault="004A21C6" w:rsidP="004A21C6">
      <w:r w:rsidRPr="004A21C6">
        <w:t>Each capsule contains 161.3 mg alectinib hydrochloride equivalent to 150 mg alectinib.</w:t>
      </w:r>
      <w:r w:rsidR="00615052">
        <w:t xml:space="preserve"> </w:t>
      </w:r>
    </w:p>
    <w:p w14:paraId="50885D52" w14:textId="77777777" w:rsidR="005E4B35" w:rsidRDefault="005E4B35" w:rsidP="004A21C6"/>
    <w:p w14:paraId="1A70EE21" w14:textId="77777777" w:rsidR="005E4B35" w:rsidRDefault="005E4B35" w:rsidP="004A21C6">
      <w:r>
        <w:t xml:space="preserve">Alectinib hydrochloride </w:t>
      </w:r>
      <w:r w:rsidRPr="006274A6">
        <w:t>is a tyrosine kinase inhibitor for oral administration</w:t>
      </w:r>
      <w:r>
        <w:t>. The molecular formula is C</w:t>
      </w:r>
      <w:r w:rsidRPr="00D9517A">
        <w:rPr>
          <w:vertAlign w:val="subscript"/>
        </w:rPr>
        <w:t>30</w:t>
      </w:r>
      <w:r>
        <w:t>H</w:t>
      </w:r>
      <w:r w:rsidRPr="00D9517A">
        <w:rPr>
          <w:vertAlign w:val="subscript"/>
        </w:rPr>
        <w:t>3</w:t>
      </w:r>
      <w:r>
        <w:rPr>
          <w:vertAlign w:val="subscript"/>
        </w:rPr>
        <w:t>5</w:t>
      </w:r>
      <w:r w:rsidRPr="006F071B">
        <w:t>Cl</w:t>
      </w:r>
      <w:r>
        <w:t>N</w:t>
      </w:r>
      <w:r w:rsidRPr="00D9517A">
        <w:rPr>
          <w:vertAlign w:val="subscript"/>
        </w:rPr>
        <w:t>4</w:t>
      </w:r>
      <w:r>
        <w:t>O</w:t>
      </w:r>
      <w:r w:rsidRPr="00D9517A">
        <w:rPr>
          <w:vertAlign w:val="subscript"/>
        </w:rPr>
        <w:t>2</w:t>
      </w:r>
      <w:r>
        <w:t xml:space="preserve"> HCl. The molecular weight is 482.62 g/mol (free base form) and 519.08 g/mol (hydrochloride salt). Alectinib hydrochloride is described chemically as: </w:t>
      </w:r>
      <w:r w:rsidRPr="006274A6">
        <w:t>9-ethyl-6</w:t>
      </w:r>
      <w:proofErr w:type="gramStart"/>
      <w:r w:rsidRPr="006274A6">
        <w:t>,6</w:t>
      </w:r>
      <w:proofErr w:type="gramEnd"/>
      <w:r w:rsidRPr="006274A6">
        <w:t>-dimethyl-8-[4-(mor</w:t>
      </w:r>
      <w:r>
        <w:t>pholin-4-yl)piperidin-1-yl]-11-</w:t>
      </w:r>
      <w:r w:rsidRPr="006274A6">
        <w:t>oxo-6,11-dihydro-5</w:t>
      </w:r>
      <w:r w:rsidRPr="006274A6">
        <w:rPr>
          <w:i/>
          <w:iCs/>
        </w:rPr>
        <w:t>H</w:t>
      </w:r>
      <w:r w:rsidRPr="006274A6">
        <w:t>-benzo</w:t>
      </w:r>
      <w:r>
        <w:t xml:space="preserve"> </w:t>
      </w:r>
      <w:r w:rsidRPr="006274A6">
        <w:t>[</w:t>
      </w:r>
      <w:r w:rsidRPr="006274A6">
        <w:rPr>
          <w:i/>
          <w:iCs/>
        </w:rPr>
        <w:t>b</w:t>
      </w:r>
      <w:r w:rsidRPr="006274A6">
        <w:t>]carbazole-3-carbonitrile hydrochloride</w:t>
      </w:r>
      <w:r>
        <w:t>. Alectinib HCl is a white to yellow white powder or powder with lumps, with a pKa of 7.05 (base).</w:t>
      </w:r>
      <w:r w:rsidRPr="00DE0FC2">
        <w:t xml:space="preserve"> </w:t>
      </w:r>
      <w:r>
        <w:t>It</w:t>
      </w:r>
      <w:r w:rsidRPr="00DE0FC2">
        <w:t xml:space="preserve"> has low solubility in aqueous buffers across the pH range, and low to high solubility in organic solvents.</w:t>
      </w:r>
    </w:p>
    <w:p w14:paraId="796C2B92" w14:textId="77777777" w:rsidR="00D52399" w:rsidRDefault="00615052">
      <w:pPr>
        <w:pStyle w:val="Heading4"/>
      </w:pPr>
      <w:r>
        <w:t>Excipients with known effect</w:t>
      </w:r>
    </w:p>
    <w:p w14:paraId="45D07A19" w14:textId="77777777" w:rsidR="00D52399" w:rsidRDefault="00D52399">
      <w:pPr>
        <w:rPr>
          <w:u w:val="single"/>
        </w:rPr>
      </w:pPr>
    </w:p>
    <w:p w14:paraId="69E8E6DF" w14:textId="77777777" w:rsidR="0018079E" w:rsidRDefault="0018079E" w:rsidP="0018079E">
      <w:pPr>
        <w:rPr>
          <w:lang w:val="en-US" w:eastAsia="ja-JP"/>
        </w:rPr>
      </w:pPr>
      <w:r w:rsidRPr="00036521">
        <w:rPr>
          <w:shd w:val="clear" w:color="auto" w:fill="FFFFFF" w:themeFill="background1"/>
          <w:lang w:val="en-US" w:eastAsia="ja-JP"/>
        </w:rPr>
        <w:t>Each capsule contains 33.7 mg lactose monohydrate and 6 mg sodium (as sodium lauryl</w:t>
      </w:r>
      <w:r w:rsidRPr="00036521">
        <w:rPr>
          <w:lang w:val="en-US" w:eastAsia="ja-JP"/>
        </w:rPr>
        <w:t xml:space="preserve"> sulfate).</w:t>
      </w:r>
    </w:p>
    <w:p w14:paraId="26EDF864" w14:textId="77777777" w:rsidR="0018079E" w:rsidRDefault="0018079E">
      <w:pPr>
        <w:rPr>
          <w:u w:val="single"/>
        </w:rPr>
      </w:pPr>
    </w:p>
    <w:p w14:paraId="125EE614" w14:textId="77777777" w:rsidR="00D52399" w:rsidRDefault="00615052">
      <w:pPr>
        <w:rPr>
          <w:u w:val="single"/>
        </w:rPr>
      </w:pPr>
      <w:bookmarkStart w:id="1" w:name="_gjdgxs" w:colFirst="0" w:colLast="0"/>
      <w:bookmarkEnd w:id="1"/>
      <w:r>
        <w:t>For the full list of excipients, see section 6.1.</w:t>
      </w:r>
    </w:p>
    <w:p w14:paraId="5DAD4742" w14:textId="77777777" w:rsidR="00D52399" w:rsidRDefault="00615052">
      <w:pPr>
        <w:pStyle w:val="Heading1"/>
        <w:numPr>
          <w:ilvl w:val="0"/>
          <w:numId w:val="3"/>
        </w:numPr>
      </w:pPr>
      <w:r>
        <w:t>PHARMACEUTICAL FORM</w:t>
      </w:r>
    </w:p>
    <w:p w14:paraId="5B939F71" w14:textId="77777777" w:rsidR="00D52399" w:rsidRDefault="00D52399"/>
    <w:p w14:paraId="4958A48A" w14:textId="77777777" w:rsidR="00FD2ADD" w:rsidRDefault="00FD2ADD" w:rsidP="00FD2ADD">
      <w:r>
        <w:t>W</w:t>
      </w:r>
      <w:r w:rsidRPr="00ED6B14">
        <w:t>hite</w:t>
      </w:r>
      <w:r>
        <w:t xml:space="preserve"> hard </w:t>
      </w:r>
      <w:r w:rsidRPr="00ED6B14">
        <w:t>capsule</w:t>
      </w:r>
      <w:r>
        <w:t xml:space="preserve"> </w:t>
      </w:r>
      <w:r w:rsidRPr="00036521">
        <w:rPr>
          <w:lang w:val="en-US" w:eastAsia="ja-JP"/>
        </w:rPr>
        <w:t>of 19.2 mm length</w:t>
      </w:r>
      <w:r w:rsidRPr="00ED6B14">
        <w:t xml:space="preserve"> with “ALE” printed in black</w:t>
      </w:r>
      <w:r>
        <w:t xml:space="preserve"> </w:t>
      </w:r>
      <w:r w:rsidRPr="00ED6B14">
        <w:t>ink on the cap and “150 mg” printed in black ink on the body.</w:t>
      </w:r>
    </w:p>
    <w:p w14:paraId="68AD30F3" w14:textId="77777777" w:rsidR="00D52399" w:rsidRDefault="00615052">
      <w:pPr>
        <w:pStyle w:val="Heading1"/>
        <w:numPr>
          <w:ilvl w:val="0"/>
          <w:numId w:val="3"/>
        </w:numPr>
      </w:pPr>
      <w:r>
        <w:t>CLINICAL PARTICULARS</w:t>
      </w:r>
    </w:p>
    <w:p w14:paraId="573BCCEB" w14:textId="77777777" w:rsidR="00D52399" w:rsidRDefault="00D82AB1">
      <w:pPr>
        <w:pStyle w:val="Heading2"/>
        <w:numPr>
          <w:ilvl w:val="0"/>
          <w:numId w:val="1"/>
        </w:numPr>
        <w:ind w:left="0" w:firstLine="0"/>
      </w:pPr>
      <w:r>
        <w:t>THERAPEUTIC INDICATIONS</w:t>
      </w:r>
    </w:p>
    <w:p w14:paraId="2C3129C4" w14:textId="77777777" w:rsidR="00D52399" w:rsidRDefault="00D52399"/>
    <w:p w14:paraId="751C083C" w14:textId="77777777" w:rsidR="00FD2ADD" w:rsidRDefault="00FD2ADD" w:rsidP="00FD2ADD">
      <w:r>
        <w:t>Alecensa</w:t>
      </w:r>
      <w:r w:rsidRPr="00123643">
        <w:t xml:space="preserve"> is indicated for the treatment of patients </w:t>
      </w:r>
      <w:r>
        <w:t xml:space="preserve">with anaplastic lymphoma kinase </w:t>
      </w:r>
      <w:r w:rsidRPr="00123643">
        <w:t>(ALK)-positive, locally advanced or metastatic non-sma</w:t>
      </w:r>
      <w:r>
        <w:t>ll cell lung cancer (NSCLC)</w:t>
      </w:r>
      <w:r w:rsidRPr="00123643">
        <w:t xml:space="preserve">. </w:t>
      </w:r>
    </w:p>
    <w:p w14:paraId="4F74E34D" w14:textId="77777777" w:rsidR="00D52399" w:rsidRDefault="00D82AB1">
      <w:pPr>
        <w:pStyle w:val="Heading2"/>
        <w:numPr>
          <w:ilvl w:val="1"/>
          <w:numId w:val="2"/>
        </w:numPr>
        <w:ind w:left="0" w:firstLine="0"/>
      </w:pPr>
      <w:r>
        <w:t>DOSE AND METHOD OF ADMINISTRATION</w:t>
      </w:r>
    </w:p>
    <w:p w14:paraId="5240E467" w14:textId="77777777" w:rsidR="00FD2ADD" w:rsidRDefault="00FD2ADD" w:rsidP="00FD2ADD"/>
    <w:p w14:paraId="1E871EAF" w14:textId="77777777" w:rsidR="00FD2ADD" w:rsidRDefault="00FD2ADD" w:rsidP="00FD2ADD">
      <w:r w:rsidRPr="001A5551">
        <w:t>A validated ALK assay is required for the selection of ALK-positive NSCLC patients. ALK</w:t>
      </w:r>
      <w:r>
        <w:noBreakHyphen/>
      </w:r>
      <w:r w:rsidRPr="001A5551">
        <w:t>positive NSCLC status should be established prior to initiation of Alecensa therapy</w:t>
      </w:r>
      <w:r>
        <w:t>.</w:t>
      </w:r>
    </w:p>
    <w:p w14:paraId="40B0DC31" w14:textId="77777777" w:rsidR="00D52399" w:rsidRDefault="00615052" w:rsidP="0047298D">
      <w:pPr>
        <w:pStyle w:val="Heading3"/>
        <w:keepNext/>
      </w:pPr>
      <w:r>
        <w:t>Dose</w:t>
      </w:r>
    </w:p>
    <w:p w14:paraId="5BFC1B9E" w14:textId="77777777" w:rsidR="0047298D" w:rsidRDefault="0047298D" w:rsidP="0047298D">
      <w:pPr>
        <w:keepNext/>
      </w:pPr>
    </w:p>
    <w:p w14:paraId="71BC51BD" w14:textId="77777777" w:rsidR="0047298D" w:rsidRPr="00FC0BA3" w:rsidRDefault="0047298D" w:rsidP="0047298D">
      <w:pPr>
        <w:rPr>
          <w:lang w:eastAsia="en-GB"/>
        </w:rPr>
      </w:pPr>
      <w:r w:rsidRPr="00FC0BA3">
        <w:rPr>
          <w:lang w:eastAsia="en-GB"/>
        </w:rPr>
        <w:t xml:space="preserve">The recommended dose of </w:t>
      </w:r>
      <w:r>
        <w:rPr>
          <w:lang w:eastAsia="en-GB"/>
        </w:rPr>
        <w:t>Alecensa</w:t>
      </w:r>
      <w:r w:rsidRPr="00FC0BA3">
        <w:rPr>
          <w:lang w:eastAsia="en-GB"/>
        </w:rPr>
        <w:t xml:space="preserve"> is 600 mg (four 150 mg capsules) given orally, twice daily with food (total daily dose of 1200 mg).</w:t>
      </w:r>
    </w:p>
    <w:p w14:paraId="6098BB97" w14:textId="77777777" w:rsidR="0047298D" w:rsidRPr="00FC0BA3" w:rsidRDefault="0047298D" w:rsidP="005C668C">
      <w:pPr>
        <w:pStyle w:val="Heading4"/>
        <w:keepNext/>
      </w:pPr>
      <w:r w:rsidRPr="00FC0BA3">
        <w:lastRenderedPageBreak/>
        <w:t>Duration of Treatment</w:t>
      </w:r>
    </w:p>
    <w:p w14:paraId="5E617A7A" w14:textId="77777777" w:rsidR="0047298D" w:rsidRDefault="0047298D" w:rsidP="005C668C">
      <w:pPr>
        <w:keepNext/>
      </w:pPr>
    </w:p>
    <w:p w14:paraId="5CA4865E" w14:textId="77777777" w:rsidR="0047298D" w:rsidRPr="00FC0BA3" w:rsidRDefault="0047298D" w:rsidP="0047298D">
      <w:r>
        <w:t>It is recommended that patients are treated</w:t>
      </w:r>
      <w:r w:rsidRPr="00FC0BA3">
        <w:t xml:space="preserve"> with </w:t>
      </w:r>
      <w:r>
        <w:t>Alecensa</w:t>
      </w:r>
      <w:r w:rsidRPr="00FC0BA3">
        <w:t xml:space="preserve"> until disease progression or unacceptable toxicity.</w:t>
      </w:r>
    </w:p>
    <w:p w14:paraId="2EC39B24" w14:textId="77777777" w:rsidR="0047298D" w:rsidRPr="00FC0BA3" w:rsidRDefault="0047298D" w:rsidP="0047298D">
      <w:pPr>
        <w:pStyle w:val="Heading4"/>
      </w:pPr>
      <w:r w:rsidRPr="00FC0BA3">
        <w:t>Delayed or Missed Doses</w:t>
      </w:r>
    </w:p>
    <w:p w14:paraId="21238980" w14:textId="77777777" w:rsidR="0047298D" w:rsidRDefault="0047298D" w:rsidP="0047298D"/>
    <w:p w14:paraId="6B5EA9AC" w14:textId="77777777" w:rsidR="0047298D" w:rsidRPr="00FC0BA3" w:rsidRDefault="0047298D" w:rsidP="0047298D">
      <w:pPr>
        <w:rPr>
          <w:lang w:eastAsia="en-GB"/>
        </w:rPr>
      </w:pPr>
      <w:r>
        <w:t>Advise patients that i</w:t>
      </w:r>
      <w:r w:rsidRPr="00FC0BA3">
        <w:t xml:space="preserve">f a dose of </w:t>
      </w:r>
      <w:r>
        <w:t>Alecensa</w:t>
      </w:r>
      <w:r w:rsidRPr="00FC0BA3">
        <w:t xml:space="preserve"> is missed, </w:t>
      </w:r>
      <w:r>
        <w:t xml:space="preserve">or if the patient vomits after taking a dose of Alecensa, </w:t>
      </w:r>
      <w:r w:rsidRPr="00FC0BA3">
        <w:t xml:space="preserve">patients </w:t>
      </w:r>
      <w:r>
        <w:t>should be advised not to take an extra dose, but to take the next dose at the regular time.</w:t>
      </w:r>
    </w:p>
    <w:p w14:paraId="29A011D7" w14:textId="77777777" w:rsidR="0047298D" w:rsidRPr="00FC0BA3" w:rsidRDefault="0047298D" w:rsidP="0047298D">
      <w:pPr>
        <w:pStyle w:val="Heading4"/>
      </w:pPr>
      <w:r w:rsidRPr="00FC0BA3">
        <w:t xml:space="preserve">Dose Modifications </w:t>
      </w:r>
    </w:p>
    <w:p w14:paraId="7CD91D60" w14:textId="77777777" w:rsidR="0047298D" w:rsidRDefault="0047298D" w:rsidP="0047298D"/>
    <w:p w14:paraId="3048D586" w14:textId="77777777" w:rsidR="0047298D" w:rsidRPr="001A5551" w:rsidRDefault="0047298D" w:rsidP="0047298D">
      <w:r w:rsidRPr="001A5551">
        <w:t xml:space="preserve">Management of adverse events may require temporary interruption, dose reduction, or discontinuation of treatment with Alecensa. The dose of Alecensa should be reduced in steps of 150 mg twice daily based on tolerability (Table </w:t>
      </w:r>
      <w:r w:rsidR="006672A3">
        <w:t>1</w:t>
      </w:r>
      <w:r w:rsidRPr="001A5551">
        <w:t xml:space="preserve">). Dose modification guidelines for specific adverse events are provided in Table </w:t>
      </w:r>
      <w:r w:rsidR="006672A3">
        <w:t>2</w:t>
      </w:r>
      <w:r w:rsidRPr="001A5551">
        <w:t xml:space="preserve"> (see also </w:t>
      </w:r>
      <w:r>
        <w:t>section 4.4</w:t>
      </w:r>
      <w:r w:rsidRPr="001A5551">
        <w:t>). Alecensa treatment should be permanently discontinued if patients are unable to tolerate the 300 mg twice daily dose.</w:t>
      </w:r>
    </w:p>
    <w:p w14:paraId="75345403" w14:textId="77777777" w:rsidR="0047298D" w:rsidRDefault="0047298D" w:rsidP="0047298D">
      <w:pPr>
        <w:rPr>
          <w:lang w:eastAsia="en-GB"/>
        </w:rPr>
      </w:pPr>
    </w:p>
    <w:p w14:paraId="7387EB3A" w14:textId="77777777" w:rsidR="0047298D" w:rsidRDefault="0047298D" w:rsidP="0047298D">
      <w:pPr>
        <w:pStyle w:val="Tableheading"/>
        <w:rPr>
          <w:lang w:val="en-GB" w:eastAsia="en-GB"/>
        </w:rPr>
      </w:pPr>
      <w:proofErr w:type="gramStart"/>
      <w:r w:rsidRPr="00FC0BA3">
        <w:rPr>
          <w:lang w:val="en-GB" w:eastAsia="en-GB"/>
        </w:rPr>
        <w:t xml:space="preserve">Table </w:t>
      </w:r>
      <w:r w:rsidR="006672A3">
        <w:rPr>
          <w:lang w:val="en-GB" w:eastAsia="en-GB"/>
        </w:rPr>
        <w:t>1</w:t>
      </w:r>
      <w:r>
        <w:rPr>
          <w:lang w:val="en-GB" w:eastAsia="en-GB"/>
        </w:rPr>
        <w:t>.</w:t>
      </w:r>
      <w:proofErr w:type="gramEnd"/>
      <w:r>
        <w:rPr>
          <w:lang w:val="en-GB" w:eastAsia="en-GB"/>
        </w:rPr>
        <w:tab/>
        <w:t>Alecensa general d</w:t>
      </w:r>
      <w:r w:rsidRPr="00FC0BA3">
        <w:rPr>
          <w:lang w:val="en-GB" w:eastAsia="en-GB"/>
        </w:rPr>
        <w:t xml:space="preserve">ose </w:t>
      </w:r>
      <w:r>
        <w:rPr>
          <w:lang w:val="en-GB" w:eastAsia="en-GB"/>
        </w:rPr>
        <w:t>r</w:t>
      </w:r>
      <w:r w:rsidRPr="00FC0BA3">
        <w:rPr>
          <w:lang w:val="en-GB" w:eastAsia="en-GB"/>
        </w:rPr>
        <w:t xml:space="preserve">eduction </w:t>
      </w:r>
      <w:r>
        <w:rPr>
          <w:lang w:val="en-GB" w:eastAsia="en-GB"/>
        </w:rPr>
        <w:t>s</w:t>
      </w:r>
      <w:r w:rsidRPr="00FC0BA3">
        <w:rPr>
          <w:lang w:val="en-GB" w:eastAsia="en-GB"/>
        </w:rPr>
        <w:t>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7298D" w:rsidRPr="00B73308" w14:paraId="7169EB12" w14:textId="77777777" w:rsidTr="00BE69D7">
        <w:tc>
          <w:tcPr>
            <w:tcW w:w="4428" w:type="dxa"/>
            <w:shd w:val="clear" w:color="auto" w:fill="auto"/>
            <w:vAlign w:val="center"/>
          </w:tcPr>
          <w:p w14:paraId="4057FEE4" w14:textId="77777777" w:rsidR="0047298D" w:rsidRPr="00B73308" w:rsidRDefault="0047298D" w:rsidP="00BE69D7">
            <w:pPr>
              <w:pStyle w:val="Tabletext"/>
              <w:rPr>
                <w:b/>
                <w:lang w:val="en-GB" w:eastAsia="en-GB"/>
              </w:rPr>
            </w:pPr>
            <w:r w:rsidRPr="00B73308">
              <w:rPr>
                <w:b/>
                <w:lang w:val="en-GB" w:eastAsia="en-GB"/>
              </w:rPr>
              <w:t>Dose event</w:t>
            </w:r>
          </w:p>
        </w:tc>
        <w:tc>
          <w:tcPr>
            <w:tcW w:w="4428" w:type="dxa"/>
            <w:shd w:val="clear" w:color="auto" w:fill="auto"/>
            <w:vAlign w:val="center"/>
          </w:tcPr>
          <w:p w14:paraId="0ADA3D2F" w14:textId="77777777" w:rsidR="0047298D" w:rsidRPr="00B73308" w:rsidRDefault="0047298D" w:rsidP="00BE69D7">
            <w:pPr>
              <w:pStyle w:val="Tabletext"/>
              <w:rPr>
                <w:b/>
                <w:lang w:val="en-GB" w:eastAsia="en-GB"/>
              </w:rPr>
            </w:pPr>
            <w:r w:rsidRPr="00B73308">
              <w:rPr>
                <w:b/>
                <w:lang w:val="en-GB" w:eastAsia="en-GB"/>
              </w:rPr>
              <w:t>Change dose to</w:t>
            </w:r>
          </w:p>
        </w:tc>
      </w:tr>
      <w:tr w:rsidR="0047298D" w:rsidRPr="00FC0BA3" w14:paraId="5A6182C1" w14:textId="77777777" w:rsidTr="0047298D">
        <w:trPr>
          <w:trHeight w:val="323"/>
        </w:trPr>
        <w:tc>
          <w:tcPr>
            <w:tcW w:w="4428" w:type="dxa"/>
            <w:shd w:val="clear" w:color="auto" w:fill="auto"/>
            <w:vAlign w:val="center"/>
          </w:tcPr>
          <w:p w14:paraId="076BF7D2" w14:textId="77777777" w:rsidR="0047298D" w:rsidRPr="004161CA" w:rsidRDefault="0047298D" w:rsidP="00BE69D7">
            <w:pPr>
              <w:pStyle w:val="Tabletext"/>
              <w:rPr>
                <w:lang w:val="en-GB" w:eastAsia="en-GB"/>
              </w:rPr>
            </w:pPr>
            <w:r w:rsidRPr="004161CA">
              <w:rPr>
                <w:lang w:val="en-GB" w:eastAsia="en-GB"/>
              </w:rPr>
              <w:t>Starting Dose</w:t>
            </w:r>
          </w:p>
        </w:tc>
        <w:tc>
          <w:tcPr>
            <w:tcW w:w="4428" w:type="dxa"/>
            <w:shd w:val="clear" w:color="auto" w:fill="auto"/>
            <w:vAlign w:val="center"/>
          </w:tcPr>
          <w:p w14:paraId="540EE484" w14:textId="77777777" w:rsidR="0047298D" w:rsidRPr="004161CA" w:rsidRDefault="0047298D" w:rsidP="00BE69D7">
            <w:pPr>
              <w:pStyle w:val="Tabletext"/>
              <w:rPr>
                <w:lang w:val="en-GB" w:eastAsia="en-GB"/>
              </w:rPr>
            </w:pPr>
            <w:r w:rsidRPr="004161CA">
              <w:rPr>
                <w:lang w:val="en-GB" w:eastAsia="en-GB"/>
              </w:rPr>
              <w:t>600 mg twice daily</w:t>
            </w:r>
          </w:p>
        </w:tc>
      </w:tr>
      <w:tr w:rsidR="0047298D" w:rsidRPr="00FC0BA3" w14:paraId="12FE53A6" w14:textId="77777777" w:rsidTr="00BE69D7">
        <w:tc>
          <w:tcPr>
            <w:tcW w:w="4428" w:type="dxa"/>
            <w:shd w:val="clear" w:color="auto" w:fill="auto"/>
            <w:vAlign w:val="center"/>
          </w:tcPr>
          <w:p w14:paraId="69E2080B" w14:textId="77777777" w:rsidR="0047298D" w:rsidRPr="004161CA" w:rsidRDefault="0047298D" w:rsidP="00BE69D7">
            <w:pPr>
              <w:pStyle w:val="Tabletext"/>
              <w:rPr>
                <w:lang w:val="en-GB" w:eastAsia="en-GB"/>
              </w:rPr>
            </w:pPr>
            <w:r w:rsidRPr="004161CA">
              <w:rPr>
                <w:lang w:val="en-GB" w:eastAsia="en-GB"/>
              </w:rPr>
              <w:t>First dose reduction</w:t>
            </w:r>
          </w:p>
        </w:tc>
        <w:tc>
          <w:tcPr>
            <w:tcW w:w="4428" w:type="dxa"/>
            <w:shd w:val="clear" w:color="auto" w:fill="auto"/>
            <w:vAlign w:val="center"/>
          </w:tcPr>
          <w:p w14:paraId="1F5B7759" w14:textId="77777777" w:rsidR="0047298D" w:rsidRPr="004161CA" w:rsidRDefault="0047298D" w:rsidP="00BE69D7">
            <w:pPr>
              <w:pStyle w:val="Tabletext"/>
              <w:rPr>
                <w:lang w:val="en-GB" w:eastAsia="en-GB"/>
              </w:rPr>
            </w:pPr>
            <w:r w:rsidRPr="004161CA">
              <w:rPr>
                <w:lang w:val="en-GB" w:eastAsia="en-GB"/>
              </w:rPr>
              <w:t>450 mg twice daily</w:t>
            </w:r>
          </w:p>
        </w:tc>
      </w:tr>
      <w:tr w:rsidR="0047298D" w:rsidRPr="00FC0BA3" w14:paraId="528953CA" w14:textId="77777777" w:rsidTr="00BE69D7">
        <w:tc>
          <w:tcPr>
            <w:tcW w:w="4428" w:type="dxa"/>
            <w:shd w:val="clear" w:color="auto" w:fill="auto"/>
            <w:vAlign w:val="center"/>
          </w:tcPr>
          <w:p w14:paraId="41DBB144" w14:textId="77777777" w:rsidR="0047298D" w:rsidRPr="004161CA" w:rsidRDefault="0047298D" w:rsidP="00BE69D7">
            <w:pPr>
              <w:pStyle w:val="Tabletext"/>
              <w:rPr>
                <w:lang w:val="en-GB" w:eastAsia="en-GB"/>
              </w:rPr>
            </w:pPr>
            <w:r w:rsidRPr="004161CA">
              <w:rPr>
                <w:lang w:val="en-GB" w:eastAsia="en-GB"/>
              </w:rPr>
              <w:t>Second dose reduction</w:t>
            </w:r>
          </w:p>
        </w:tc>
        <w:tc>
          <w:tcPr>
            <w:tcW w:w="4428" w:type="dxa"/>
            <w:shd w:val="clear" w:color="auto" w:fill="auto"/>
            <w:vAlign w:val="center"/>
          </w:tcPr>
          <w:p w14:paraId="242C4CC1" w14:textId="77777777" w:rsidR="0047298D" w:rsidRPr="004161CA" w:rsidRDefault="0047298D" w:rsidP="00BE69D7">
            <w:pPr>
              <w:pStyle w:val="Tabletext"/>
              <w:rPr>
                <w:lang w:val="en-GB" w:eastAsia="en-GB"/>
              </w:rPr>
            </w:pPr>
            <w:r w:rsidRPr="004161CA">
              <w:rPr>
                <w:lang w:val="en-GB" w:eastAsia="en-GB"/>
              </w:rPr>
              <w:t>300 mg twice daily</w:t>
            </w:r>
          </w:p>
        </w:tc>
      </w:tr>
    </w:tbl>
    <w:p w14:paraId="796057C0" w14:textId="77777777" w:rsidR="0047298D" w:rsidRDefault="0047298D" w:rsidP="0047298D"/>
    <w:p w14:paraId="00136C1F" w14:textId="77777777" w:rsidR="0047298D" w:rsidRPr="009752BC" w:rsidRDefault="0047298D" w:rsidP="0047298D">
      <w:pPr>
        <w:pStyle w:val="Tableheading"/>
      </w:pPr>
      <w:proofErr w:type="gramStart"/>
      <w:r w:rsidRPr="009752BC">
        <w:t xml:space="preserve">Table </w:t>
      </w:r>
      <w:r w:rsidR="006672A3">
        <w:t>2</w:t>
      </w:r>
      <w:r w:rsidRPr="009752BC">
        <w:t>.</w:t>
      </w:r>
      <w:proofErr w:type="gramEnd"/>
      <w:r w:rsidRPr="009752BC">
        <w:tab/>
        <w:t xml:space="preserve">Dose modification guidelines for specific adverse events (see also </w:t>
      </w:r>
      <w:r w:rsidR="008B2698">
        <w:t>section 4.4</w:t>
      </w:r>
      <w:r w:rsidRPr="009752B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7298D" w:rsidRPr="00B73308" w14:paraId="3ED37C3C" w14:textId="77777777" w:rsidTr="00BE69D7">
        <w:trPr>
          <w:tblHeader/>
        </w:trPr>
        <w:tc>
          <w:tcPr>
            <w:tcW w:w="4428" w:type="dxa"/>
            <w:shd w:val="clear" w:color="auto" w:fill="auto"/>
          </w:tcPr>
          <w:p w14:paraId="04278F0C" w14:textId="77777777" w:rsidR="0047298D" w:rsidRPr="00B73308" w:rsidRDefault="0047298D" w:rsidP="00BE69D7">
            <w:pPr>
              <w:pStyle w:val="Tabletext"/>
              <w:keepNext/>
              <w:rPr>
                <w:b/>
                <w:lang w:val="en-GB"/>
              </w:rPr>
            </w:pPr>
            <w:r w:rsidRPr="00B73308">
              <w:rPr>
                <w:b/>
                <w:lang w:val="en-GB"/>
              </w:rPr>
              <w:t>Grade</w:t>
            </w:r>
          </w:p>
        </w:tc>
        <w:tc>
          <w:tcPr>
            <w:tcW w:w="4428" w:type="dxa"/>
            <w:shd w:val="clear" w:color="auto" w:fill="auto"/>
          </w:tcPr>
          <w:p w14:paraId="7CA77229" w14:textId="77777777" w:rsidR="0047298D" w:rsidRPr="00B73308" w:rsidRDefault="0047298D" w:rsidP="00BE69D7">
            <w:pPr>
              <w:pStyle w:val="Tabletext"/>
              <w:keepNext/>
              <w:rPr>
                <w:b/>
                <w:lang w:val="en-GB"/>
              </w:rPr>
            </w:pPr>
            <w:r w:rsidRPr="00B73308">
              <w:rPr>
                <w:b/>
              </w:rPr>
              <w:t>Alecensa</w:t>
            </w:r>
            <w:r w:rsidRPr="00B73308">
              <w:rPr>
                <w:b/>
                <w:lang w:val="en-GB"/>
              </w:rPr>
              <w:t xml:space="preserve"> Treatment</w:t>
            </w:r>
          </w:p>
        </w:tc>
      </w:tr>
      <w:tr w:rsidR="0047298D" w:rsidRPr="00FC0BA3" w14:paraId="1864E95A" w14:textId="77777777" w:rsidTr="00BE69D7">
        <w:tc>
          <w:tcPr>
            <w:tcW w:w="4428" w:type="dxa"/>
            <w:shd w:val="clear" w:color="auto" w:fill="auto"/>
          </w:tcPr>
          <w:p w14:paraId="5251DC71" w14:textId="77777777" w:rsidR="0047298D" w:rsidRPr="004161CA" w:rsidRDefault="0047298D" w:rsidP="00BE69D7">
            <w:pPr>
              <w:pStyle w:val="Tabletext"/>
              <w:keepNext/>
              <w:rPr>
                <w:lang w:val="en-GB"/>
              </w:rPr>
            </w:pPr>
            <w:r>
              <w:rPr>
                <w:lang w:val="en-GB"/>
              </w:rPr>
              <w:t>Interstitial Lung Disease (ILD)/Pneumonitis (all Grades)</w:t>
            </w:r>
          </w:p>
        </w:tc>
        <w:tc>
          <w:tcPr>
            <w:tcW w:w="4428" w:type="dxa"/>
            <w:shd w:val="clear" w:color="auto" w:fill="auto"/>
          </w:tcPr>
          <w:p w14:paraId="2982C24E" w14:textId="77777777" w:rsidR="0047298D" w:rsidRPr="004161CA" w:rsidRDefault="0047298D" w:rsidP="006672A3">
            <w:pPr>
              <w:pStyle w:val="Tabletext"/>
              <w:keepNext/>
              <w:rPr>
                <w:lang w:val="en-GB"/>
              </w:rPr>
            </w:pPr>
            <w:r w:rsidRPr="00923186">
              <w:rPr>
                <w:lang w:val="en-GB"/>
              </w:rPr>
              <w:t>Immediately interrupt and permanently discontinue if no other potential causes of ILD/pneumonitis have been identified</w:t>
            </w:r>
            <w:r>
              <w:rPr>
                <w:lang w:val="en-GB"/>
              </w:rPr>
              <w:t>.</w:t>
            </w:r>
          </w:p>
        </w:tc>
      </w:tr>
      <w:tr w:rsidR="0047298D" w:rsidRPr="00FC0BA3" w14:paraId="2BC84FF7" w14:textId="77777777" w:rsidTr="00BE69D7">
        <w:tc>
          <w:tcPr>
            <w:tcW w:w="4428" w:type="dxa"/>
            <w:shd w:val="clear" w:color="auto" w:fill="auto"/>
          </w:tcPr>
          <w:p w14:paraId="7258F251" w14:textId="77777777" w:rsidR="0047298D" w:rsidRPr="004161CA" w:rsidRDefault="0047298D" w:rsidP="00BE69D7">
            <w:pPr>
              <w:pStyle w:val="Tabletext"/>
              <w:keepNext/>
            </w:pPr>
            <w:r w:rsidRPr="004161CA">
              <w:rPr>
                <w:lang w:val="en-GB"/>
              </w:rPr>
              <w:t>ALT or AST elevation of Grade ≥</w:t>
            </w:r>
            <w:r>
              <w:rPr>
                <w:lang w:val="en-GB"/>
              </w:rPr>
              <w:t xml:space="preserve"> </w:t>
            </w:r>
            <w:r w:rsidRPr="004161CA">
              <w:rPr>
                <w:lang w:val="en-GB"/>
              </w:rPr>
              <w:t xml:space="preserve">3 (&gt; 5 times ULN) </w:t>
            </w:r>
            <w:r w:rsidRPr="00923186">
              <w:rPr>
                <w:lang w:val="en-GB"/>
              </w:rPr>
              <w:t>with</w:t>
            </w:r>
            <w:r w:rsidRPr="004161CA">
              <w:rPr>
                <w:lang w:val="en-GB"/>
              </w:rPr>
              <w:t xml:space="preserve"> total bilirubin </w:t>
            </w:r>
            <w:r w:rsidRPr="004161CA">
              <w:rPr>
                <w:lang w:val="en-GB"/>
              </w:rPr>
              <w:sym w:font="Symbol" w:char="F0A3"/>
            </w:r>
            <w:r w:rsidRPr="004161CA">
              <w:rPr>
                <w:lang w:val="en-GB"/>
              </w:rPr>
              <w:t xml:space="preserve"> 2 times ULN</w:t>
            </w:r>
          </w:p>
        </w:tc>
        <w:tc>
          <w:tcPr>
            <w:tcW w:w="4428" w:type="dxa"/>
            <w:shd w:val="clear" w:color="auto" w:fill="auto"/>
          </w:tcPr>
          <w:p w14:paraId="5954F859" w14:textId="77777777" w:rsidR="0047298D" w:rsidRPr="004161CA" w:rsidRDefault="0047298D" w:rsidP="006672A3">
            <w:pPr>
              <w:pStyle w:val="Tabletext"/>
              <w:keepNext/>
              <w:rPr>
                <w:lang w:val="en-GB"/>
              </w:rPr>
            </w:pPr>
            <w:r w:rsidRPr="004161CA">
              <w:rPr>
                <w:lang w:val="en-GB"/>
              </w:rPr>
              <w:t xml:space="preserve">Temporarily withhold until recovery to baseline or </w:t>
            </w:r>
            <w:r w:rsidRPr="004161CA">
              <w:rPr>
                <w:lang w:val="en-GB"/>
              </w:rPr>
              <w:sym w:font="Symbol" w:char="F0A3"/>
            </w:r>
            <w:r w:rsidRPr="004161CA">
              <w:rPr>
                <w:lang w:val="en-GB"/>
              </w:rPr>
              <w:t> Grade 1 (</w:t>
            </w:r>
            <w:r w:rsidRPr="004161CA">
              <w:rPr>
                <w:lang w:val="en-GB"/>
              </w:rPr>
              <w:sym w:font="Symbol" w:char="F0A3"/>
            </w:r>
            <w:r w:rsidRPr="004161CA">
              <w:rPr>
                <w:lang w:val="en-GB"/>
              </w:rPr>
              <w:t xml:space="preserve"> 3 times ULN), then resume at reduced dose (see Table </w:t>
            </w:r>
            <w:r w:rsidR="006672A3">
              <w:rPr>
                <w:lang w:val="en-GB"/>
              </w:rPr>
              <w:t>1</w:t>
            </w:r>
            <w:r w:rsidRPr="004161CA">
              <w:rPr>
                <w:lang w:val="en-GB"/>
              </w:rPr>
              <w:t>)</w:t>
            </w:r>
            <w:r>
              <w:rPr>
                <w:lang w:val="en-GB"/>
              </w:rPr>
              <w:t>.</w:t>
            </w:r>
          </w:p>
        </w:tc>
      </w:tr>
      <w:tr w:rsidR="0047298D" w:rsidRPr="00FC0BA3" w14:paraId="0CBD998D" w14:textId="77777777" w:rsidTr="00BE69D7">
        <w:trPr>
          <w:trHeight w:val="1096"/>
        </w:trPr>
        <w:tc>
          <w:tcPr>
            <w:tcW w:w="4428" w:type="dxa"/>
            <w:shd w:val="clear" w:color="auto" w:fill="auto"/>
          </w:tcPr>
          <w:p w14:paraId="3EB08435" w14:textId="77777777" w:rsidR="0047298D" w:rsidRPr="004161CA" w:rsidRDefault="0047298D" w:rsidP="00BE69D7">
            <w:pPr>
              <w:pStyle w:val="Tabletext"/>
              <w:rPr>
                <w:lang w:val="en-GB"/>
              </w:rPr>
            </w:pPr>
            <w:r w:rsidRPr="004161CA">
              <w:rPr>
                <w:lang w:val="en-GB"/>
              </w:rPr>
              <w:t xml:space="preserve">ALT or AST elevation of Grade ≥ 2 (&gt; 3 times ULN) </w:t>
            </w:r>
            <w:r w:rsidRPr="004B3A71">
              <w:rPr>
                <w:lang w:val="en-GB"/>
              </w:rPr>
              <w:t>with</w:t>
            </w:r>
            <w:r w:rsidRPr="004161CA">
              <w:rPr>
                <w:lang w:val="en-GB"/>
              </w:rPr>
              <w:t xml:space="preserve"> total bilirubin elevation </w:t>
            </w:r>
            <w:r>
              <w:rPr>
                <w:lang w:val="en-GB"/>
              </w:rPr>
              <w:t>&gt;</w:t>
            </w:r>
            <w:r w:rsidRPr="004161CA">
              <w:rPr>
                <w:lang w:val="en-GB"/>
              </w:rPr>
              <w:t xml:space="preserve"> 2 times ULN in the absence of cholestasis or haemolysis </w:t>
            </w:r>
          </w:p>
        </w:tc>
        <w:tc>
          <w:tcPr>
            <w:tcW w:w="4428" w:type="dxa"/>
            <w:shd w:val="clear" w:color="auto" w:fill="auto"/>
          </w:tcPr>
          <w:p w14:paraId="14CCB80D" w14:textId="77777777" w:rsidR="0047298D" w:rsidRPr="004161CA" w:rsidRDefault="0047298D" w:rsidP="00BE69D7">
            <w:pPr>
              <w:pStyle w:val="Tabletext"/>
              <w:rPr>
                <w:lang w:val="en-GB"/>
              </w:rPr>
            </w:pPr>
            <w:r w:rsidRPr="004161CA">
              <w:rPr>
                <w:lang w:val="en-GB"/>
              </w:rPr>
              <w:t xml:space="preserve">Permanently discontinue </w:t>
            </w:r>
            <w:r>
              <w:t>Alecensa.</w:t>
            </w:r>
          </w:p>
        </w:tc>
      </w:tr>
      <w:tr w:rsidR="0047298D" w:rsidRPr="00FC0BA3" w14:paraId="44EEA312" w14:textId="77777777" w:rsidTr="00BE69D7">
        <w:trPr>
          <w:trHeight w:val="1539"/>
        </w:trPr>
        <w:tc>
          <w:tcPr>
            <w:tcW w:w="4428" w:type="dxa"/>
            <w:shd w:val="clear" w:color="auto" w:fill="auto"/>
          </w:tcPr>
          <w:p w14:paraId="60B86CFE" w14:textId="77777777" w:rsidR="0047298D" w:rsidRPr="004161CA" w:rsidRDefault="0047298D" w:rsidP="005C668C">
            <w:pPr>
              <w:pStyle w:val="Tabletext"/>
              <w:keepNext/>
              <w:rPr>
                <w:lang w:val="en-GB"/>
              </w:rPr>
            </w:pPr>
            <w:proofErr w:type="spellStart"/>
            <w:r w:rsidRPr="004B3A71">
              <w:rPr>
                <w:lang w:val="en-GB"/>
              </w:rPr>
              <w:lastRenderedPageBreak/>
              <w:t>Bradycardia</w:t>
            </w:r>
            <w:r w:rsidRPr="004B3A71">
              <w:rPr>
                <w:vertAlign w:val="superscript"/>
                <w:lang w:val="en-GB"/>
              </w:rPr>
              <w:t>a</w:t>
            </w:r>
            <w:proofErr w:type="spellEnd"/>
            <w:r w:rsidRPr="004B3A71">
              <w:rPr>
                <w:lang w:val="en-GB"/>
              </w:rPr>
              <w:t xml:space="preserve"> Grade 2 or Grade 3 (symptomatic,</w:t>
            </w:r>
            <w:r>
              <w:rPr>
                <w:lang w:val="en-GB"/>
              </w:rPr>
              <w:t> </w:t>
            </w:r>
            <w:r w:rsidRPr="004B3A71">
              <w:rPr>
                <w:lang w:val="en-GB"/>
              </w:rPr>
              <w:t>may be severe and medically significant, medical intervention indicated)</w:t>
            </w:r>
          </w:p>
        </w:tc>
        <w:tc>
          <w:tcPr>
            <w:tcW w:w="4428" w:type="dxa"/>
            <w:shd w:val="clear" w:color="auto" w:fill="auto"/>
          </w:tcPr>
          <w:p w14:paraId="1E3A4403" w14:textId="77777777" w:rsidR="0047298D" w:rsidRPr="009F1A72" w:rsidRDefault="0047298D" w:rsidP="005C668C">
            <w:pPr>
              <w:pStyle w:val="Tabletext"/>
              <w:keepNext/>
              <w:rPr>
                <w:lang w:val="en-GB"/>
              </w:rPr>
            </w:pPr>
            <w:r w:rsidRPr="009F1A72">
              <w:rPr>
                <w:lang w:val="en-GB"/>
              </w:rPr>
              <w:t xml:space="preserve">Temporarily withhold until recovery to </w:t>
            </w:r>
            <w:r>
              <w:rPr>
                <w:lang w:val="en-GB"/>
              </w:rPr>
              <w:t>≤ </w:t>
            </w:r>
            <w:r w:rsidRPr="009F1A72">
              <w:rPr>
                <w:lang w:val="en-GB"/>
              </w:rPr>
              <w:t xml:space="preserve">Grade 1 (asymptomatic) bradycardia or to a heart rate of ≥ 60 bpm. Evaluate concomitant medications known to cause bradycardia, as well as anti-hypertensive medications. </w:t>
            </w:r>
          </w:p>
          <w:p w14:paraId="3C4FE49B" w14:textId="77777777" w:rsidR="0047298D" w:rsidRPr="009F1A72" w:rsidRDefault="0047298D" w:rsidP="005C668C">
            <w:pPr>
              <w:pStyle w:val="Tabletext"/>
              <w:keepNext/>
              <w:rPr>
                <w:lang w:val="en-GB"/>
              </w:rPr>
            </w:pPr>
            <w:r w:rsidRPr="009F1A72">
              <w:rPr>
                <w:lang w:val="en-GB"/>
              </w:rPr>
              <w:t xml:space="preserve">If contributing concomitant medication is identified and discontinued, or its dose is adjusted, resume at previous dose upon recovery to </w:t>
            </w:r>
            <w:r>
              <w:rPr>
                <w:lang w:val="en-GB"/>
              </w:rPr>
              <w:t xml:space="preserve">≤ </w:t>
            </w:r>
            <w:r w:rsidRPr="009F1A72">
              <w:rPr>
                <w:lang w:val="en-GB"/>
              </w:rPr>
              <w:t xml:space="preserve">Grade 1 (asymptomatic) bradycardia or to a heart rate of ≥ 60 bpm. </w:t>
            </w:r>
          </w:p>
          <w:p w14:paraId="6001ED04" w14:textId="77777777" w:rsidR="0047298D" w:rsidRPr="004161CA" w:rsidRDefault="0047298D" w:rsidP="005C668C">
            <w:pPr>
              <w:pStyle w:val="Tabletext"/>
              <w:keepNext/>
              <w:rPr>
                <w:lang w:val="en-GB"/>
              </w:rPr>
            </w:pPr>
            <w:r w:rsidRPr="009F1A72">
              <w:rPr>
                <w:lang w:val="en-GB"/>
              </w:rPr>
              <w:t>If no contributing concomitant medication is identified, or if contributing concomitant medications are not discontinued or dose modified, res</w:t>
            </w:r>
            <w:r w:rsidR="006672A3">
              <w:rPr>
                <w:lang w:val="en-GB"/>
              </w:rPr>
              <w:t>ume at reduced dose (see Table 1</w:t>
            </w:r>
            <w:r w:rsidRPr="009F1A72">
              <w:rPr>
                <w:lang w:val="en-GB"/>
              </w:rPr>
              <w:t>) upon recovery to ≤</w:t>
            </w:r>
            <w:r>
              <w:rPr>
                <w:lang w:val="en-GB"/>
              </w:rPr>
              <w:t> </w:t>
            </w:r>
            <w:r w:rsidRPr="009F1A72">
              <w:rPr>
                <w:lang w:val="en-GB"/>
              </w:rPr>
              <w:t>Grade 1 (asymptomatic) bradycardia or to a heart rate of ≥ 60 bpm.</w:t>
            </w:r>
          </w:p>
        </w:tc>
      </w:tr>
      <w:tr w:rsidR="0047298D" w:rsidRPr="00FC0BA3" w14:paraId="69EFECEC" w14:textId="77777777" w:rsidTr="00BE69D7">
        <w:trPr>
          <w:trHeight w:val="424"/>
        </w:trPr>
        <w:tc>
          <w:tcPr>
            <w:tcW w:w="4428" w:type="dxa"/>
            <w:shd w:val="clear" w:color="auto" w:fill="auto"/>
          </w:tcPr>
          <w:p w14:paraId="11F2C39B" w14:textId="77777777" w:rsidR="0047298D" w:rsidRDefault="0047298D" w:rsidP="005C668C">
            <w:pPr>
              <w:pStyle w:val="Tabletext"/>
              <w:rPr>
                <w:lang w:val="en-GB"/>
              </w:rPr>
            </w:pPr>
            <w:r w:rsidRPr="004161CA">
              <w:rPr>
                <w:lang w:val="en-GB"/>
              </w:rPr>
              <w:t>Bradycardia</w:t>
            </w:r>
            <w:r w:rsidRPr="004161CA">
              <w:rPr>
                <w:vertAlign w:val="superscript"/>
              </w:rPr>
              <w:t xml:space="preserve">a </w:t>
            </w:r>
            <w:r>
              <w:rPr>
                <w:lang w:val="en-GB"/>
              </w:rPr>
              <w:t xml:space="preserve"> Grade 4 (</w:t>
            </w:r>
            <w:r w:rsidRPr="004161CA">
              <w:rPr>
                <w:lang w:val="en-GB"/>
              </w:rPr>
              <w:t xml:space="preserve">life-threatening </w:t>
            </w:r>
            <w:r>
              <w:rPr>
                <w:lang w:val="en-GB"/>
              </w:rPr>
              <w:t xml:space="preserve">consequences, </w:t>
            </w:r>
            <w:r w:rsidRPr="004161CA">
              <w:rPr>
                <w:lang w:val="en-GB"/>
              </w:rPr>
              <w:t>urgent intervention indicate</w:t>
            </w:r>
            <w:r>
              <w:rPr>
                <w:lang w:val="en-GB"/>
              </w:rPr>
              <w:t>d)</w:t>
            </w:r>
          </w:p>
          <w:p w14:paraId="2946D186" w14:textId="77777777" w:rsidR="0047298D" w:rsidRDefault="0047298D" w:rsidP="005C668C">
            <w:pPr>
              <w:pStyle w:val="Tabletext"/>
              <w:rPr>
                <w:lang w:val="en-GB"/>
              </w:rPr>
            </w:pPr>
          </w:p>
          <w:p w14:paraId="1CE0CEB5" w14:textId="77777777" w:rsidR="0047298D" w:rsidRPr="004161CA" w:rsidRDefault="0047298D" w:rsidP="005C668C">
            <w:pPr>
              <w:pStyle w:val="Tabletext"/>
              <w:rPr>
                <w:lang w:val="en-GB"/>
              </w:rPr>
            </w:pPr>
          </w:p>
        </w:tc>
        <w:tc>
          <w:tcPr>
            <w:tcW w:w="4428" w:type="dxa"/>
            <w:shd w:val="clear" w:color="auto" w:fill="auto"/>
          </w:tcPr>
          <w:p w14:paraId="7766C51A" w14:textId="77777777" w:rsidR="0047298D" w:rsidRPr="004161CA" w:rsidRDefault="0047298D" w:rsidP="005C668C">
            <w:pPr>
              <w:pStyle w:val="Tabletext"/>
              <w:rPr>
                <w:lang w:val="en-GB"/>
              </w:rPr>
            </w:pPr>
            <w:r w:rsidRPr="004161CA">
              <w:rPr>
                <w:lang w:val="en-GB"/>
              </w:rPr>
              <w:t>Permanently discontinue if no contributing concomitant medication is identified.</w:t>
            </w:r>
          </w:p>
          <w:p w14:paraId="3CA45DFF" w14:textId="77777777" w:rsidR="0047298D" w:rsidRPr="004161CA" w:rsidRDefault="0047298D" w:rsidP="005C668C">
            <w:pPr>
              <w:pStyle w:val="Tabletext"/>
              <w:rPr>
                <w:lang w:val="en-GB"/>
              </w:rPr>
            </w:pPr>
            <w:r w:rsidRPr="004161CA">
              <w:rPr>
                <w:lang w:val="en-GB"/>
              </w:rPr>
              <w:t>If contributing concomitant medication</w:t>
            </w:r>
            <w:r>
              <w:rPr>
                <w:lang w:val="en-GB"/>
              </w:rPr>
              <w:t xml:space="preserve"> is identified and discontinued,</w:t>
            </w:r>
            <w:r>
              <w:t xml:space="preserve"> </w:t>
            </w:r>
            <w:r w:rsidRPr="0020358A">
              <w:rPr>
                <w:lang w:val="en-GB"/>
              </w:rPr>
              <w:t>or its dose is adjusted,</w:t>
            </w:r>
            <w:r w:rsidRPr="004161CA">
              <w:rPr>
                <w:lang w:val="en-GB"/>
              </w:rPr>
              <w:t xml:space="preserve"> resume at reduced dose (see Table </w:t>
            </w:r>
            <w:r w:rsidR="006672A3">
              <w:rPr>
                <w:lang w:val="en-GB"/>
              </w:rPr>
              <w:t>1</w:t>
            </w:r>
            <w:r w:rsidRPr="004161CA">
              <w:rPr>
                <w:lang w:val="en-GB"/>
              </w:rPr>
              <w:t xml:space="preserve">) </w:t>
            </w:r>
            <w:r>
              <w:rPr>
                <w:lang w:val="en-GB"/>
              </w:rPr>
              <w:t xml:space="preserve">upon recovery to ≤ Grade 1 (asymptomatic) bradycardia or to a heart rate of ≥ 60 bpm, </w:t>
            </w:r>
            <w:r w:rsidRPr="004161CA">
              <w:rPr>
                <w:lang w:val="en-GB"/>
              </w:rPr>
              <w:t>with frequent monitoring as clinically indicated.</w:t>
            </w:r>
          </w:p>
          <w:p w14:paraId="08B6DAAE" w14:textId="77777777" w:rsidR="0047298D" w:rsidRPr="004161CA" w:rsidRDefault="0047298D" w:rsidP="005C668C">
            <w:pPr>
              <w:pStyle w:val="Tabletext"/>
              <w:rPr>
                <w:lang w:val="en-GB"/>
              </w:rPr>
            </w:pPr>
            <w:r w:rsidRPr="004161CA">
              <w:rPr>
                <w:lang w:val="en-GB"/>
              </w:rPr>
              <w:t>Permanently discontinue in case of recurrence.</w:t>
            </w:r>
          </w:p>
        </w:tc>
      </w:tr>
      <w:tr w:rsidR="0047298D" w:rsidRPr="00FC0BA3" w14:paraId="15696735" w14:textId="77777777" w:rsidTr="00BE69D7">
        <w:trPr>
          <w:trHeight w:val="1267"/>
        </w:trPr>
        <w:tc>
          <w:tcPr>
            <w:tcW w:w="4428" w:type="dxa"/>
            <w:shd w:val="clear" w:color="auto" w:fill="auto"/>
          </w:tcPr>
          <w:p w14:paraId="3460FDEA" w14:textId="77777777" w:rsidR="0047298D" w:rsidRDefault="0047298D" w:rsidP="00BE69D7">
            <w:pPr>
              <w:pStyle w:val="Tabletext"/>
              <w:rPr>
                <w:lang w:val="en-GB"/>
              </w:rPr>
            </w:pPr>
            <w:r>
              <w:rPr>
                <w:lang w:val="en-GB"/>
              </w:rPr>
              <w:t>CPK elevation &gt; 5 times ULN</w:t>
            </w:r>
          </w:p>
        </w:tc>
        <w:tc>
          <w:tcPr>
            <w:tcW w:w="4428" w:type="dxa"/>
            <w:shd w:val="clear" w:color="auto" w:fill="auto"/>
          </w:tcPr>
          <w:p w14:paraId="07F9CE3B" w14:textId="77777777" w:rsidR="0047298D" w:rsidRDefault="0047298D" w:rsidP="00BE69D7">
            <w:pPr>
              <w:pStyle w:val="Tabletext"/>
              <w:rPr>
                <w:lang w:val="en-GB"/>
              </w:rPr>
            </w:pPr>
            <w:r w:rsidRPr="0032168E">
              <w:rPr>
                <w:rFonts w:hint="eastAsia"/>
                <w:lang w:val="en-GB"/>
              </w:rPr>
              <w:t>Temporarily withhold</w:t>
            </w:r>
            <w:r>
              <w:rPr>
                <w:lang w:val="en-GB"/>
              </w:rPr>
              <w:t xml:space="preserve"> </w:t>
            </w:r>
            <w:r w:rsidRPr="0032168E">
              <w:rPr>
                <w:rFonts w:hint="eastAsia"/>
                <w:lang w:val="en-GB"/>
              </w:rPr>
              <w:t xml:space="preserve">until recovery to baseline or to </w:t>
            </w:r>
            <w:r>
              <w:rPr>
                <w:lang w:val="en-GB"/>
              </w:rPr>
              <w:t>≤</w:t>
            </w:r>
            <w:r>
              <w:rPr>
                <w:rFonts w:hint="eastAsia"/>
                <w:lang w:val="en-GB"/>
              </w:rPr>
              <w:t xml:space="preserve"> 2.5 times ULN, then resume</w:t>
            </w:r>
            <w:r>
              <w:rPr>
                <w:lang w:val="en-GB"/>
              </w:rPr>
              <w:t xml:space="preserve"> at same dose.</w:t>
            </w:r>
          </w:p>
        </w:tc>
      </w:tr>
      <w:tr w:rsidR="0047298D" w:rsidRPr="00FC0BA3" w14:paraId="7607792E" w14:textId="77777777" w:rsidTr="00BE69D7">
        <w:trPr>
          <w:trHeight w:val="1539"/>
        </w:trPr>
        <w:tc>
          <w:tcPr>
            <w:tcW w:w="4428" w:type="dxa"/>
            <w:shd w:val="clear" w:color="auto" w:fill="auto"/>
          </w:tcPr>
          <w:p w14:paraId="07A91175" w14:textId="77777777" w:rsidR="0047298D" w:rsidRPr="004161CA" w:rsidRDefault="0047298D" w:rsidP="00BE69D7">
            <w:pPr>
              <w:pStyle w:val="Tabletext"/>
              <w:rPr>
                <w:lang w:val="en-GB"/>
              </w:rPr>
            </w:pPr>
            <w:r>
              <w:rPr>
                <w:lang w:val="en-GB"/>
              </w:rPr>
              <w:t>CPK elevation &gt; 10 times ULN or second occurrence of CPK elevation &gt; 5 times ULN</w:t>
            </w:r>
          </w:p>
        </w:tc>
        <w:tc>
          <w:tcPr>
            <w:tcW w:w="4428" w:type="dxa"/>
            <w:shd w:val="clear" w:color="auto" w:fill="auto"/>
          </w:tcPr>
          <w:p w14:paraId="7C0F67A1" w14:textId="77777777" w:rsidR="0047298D" w:rsidRPr="004161CA" w:rsidRDefault="0047298D" w:rsidP="006672A3">
            <w:pPr>
              <w:pStyle w:val="Tabletext"/>
              <w:rPr>
                <w:lang w:val="en-GB"/>
              </w:rPr>
            </w:pPr>
            <w:r>
              <w:rPr>
                <w:lang w:val="en-GB"/>
              </w:rPr>
              <w:t xml:space="preserve">Temporarily withhold until recovery to baseline or to ≤ 2.5 times ULN, then resume at reduced dose as per Table </w:t>
            </w:r>
            <w:r w:rsidR="006672A3">
              <w:rPr>
                <w:lang w:val="en-GB"/>
              </w:rPr>
              <w:t>1</w:t>
            </w:r>
            <w:r>
              <w:rPr>
                <w:lang w:val="en-GB"/>
              </w:rPr>
              <w:t>.</w:t>
            </w:r>
          </w:p>
        </w:tc>
      </w:tr>
    </w:tbl>
    <w:p w14:paraId="17C0D6EB" w14:textId="77777777" w:rsidR="0047298D" w:rsidRDefault="0047298D" w:rsidP="0047298D">
      <w:pPr>
        <w:spacing w:before="40"/>
        <w:rPr>
          <w:lang w:val="en-GB"/>
        </w:rPr>
      </w:pPr>
      <w:r>
        <w:rPr>
          <w:lang w:val="en-GB"/>
        </w:rPr>
        <w:t xml:space="preserve">ILD=interstitial lung disease; </w:t>
      </w:r>
      <w:r w:rsidRPr="00FC0BA3">
        <w:rPr>
          <w:lang w:val="en-GB"/>
        </w:rPr>
        <w:t>AL</w:t>
      </w:r>
      <w:r>
        <w:rPr>
          <w:lang w:val="en-GB"/>
        </w:rPr>
        <w:t>T = alanine transaminase; AST =</w:t>
      </w:r>
      <w:r w:rsidRPr="00FC0BA3">
        <w:rPr>
          <w:lang w:val="en-GB"/>
        </w:rPr>
        <w:t>aspartate transaminase</w:t>
      </w:r>
      <w:r w:rsidRPr="00A63599">
        <w:rPr>
          <w:lang w:val="en-GB"/>
        </w:rPr>
        <w:t xml:space="preserve">; ULN=upper limit of normal; </w:t>
      </w:r>
      <w:r>
        <w:rPr>
          <w:lang w:val="en-GB"/>
        </w:rPr>
        <w:t>CPK=creatine phosphokinase</w:t>
      </w:r>
    </w:p>
    <w:p w14:paraId="5C01BCED" w14:textId="77777777" w:rsidR="0047298D" w:rsidRPr="0047298D" w:rsidRDefault="0047298D" w:rsidP="0047298D">
      <w:pPr>
        <w:spacing w:before="40"/>
      </w:pPr>
      <w:proofErr w:type="gramStart"/>
      <w:r w:rsidRPr="00A63599">
        <w:rPr>
          <w:vertAlign w:val="superscript"/>
        </w:rPr>
        <w:t>a</w:t>
      </w:r>
      <w:proofErr w:type="gramEnd"/>
      <w:r w:rsidRPr="00A63599">
        <w:rPr>
          <w:vertAlign w:val="superscript"/>
        </w:rPr>
        <w:t xml:space="preserve"> </w:t>
      </w:r>
      <w:r w:rsidRPr="00F7618E">
        <w:t>Bradycardia=h</w:t>
      </w:r>
      <w:r w:rsidRPr="00A63599">
        <w:t>eart rate less than 60 beats per minute (bpm)</w:t>
      </w:r>
    </w:p>
    <w:p w14:paraId="49B9BBD8" w14:textId="77777777" w:rsidR="00D52399" w:rsidRDefault="00615052" w:rsidP="0047298D">
      <w:pPr>
        <w:pStyle w:val="Heading3"/>
        <w:keepNext/>
      </w:pPr>
      <w:r>
        <w:t>Special populations</w:t>
      </w:r>
    </w:p>
    <w:p w14:paraId="75682EF3" w14:textId="77777777" w:rsidR="00E27F5C" w:rsidRDefault="00E27F5C" w:rsidP="00E27F5C">
      <w:pPr>
        <w:pStyle w:val="Heading4"/>
      </w:pPr>
      <w:r>
        <w:t>Elderly</w:t>
      </w:r>
    </w:p>
    <w:p w14:paraId="38DE062E" w14:textId="77777777" w:rsidR="00E27F5C" w:rsidRDefault="00E27F5C" w:rsidP="00E27F5C">
      <w:r w:rsidRPr="007A60C0">
        <w:t xml:space="preserve">No dose adjustment of </w:t>
      </w:r>
      <w:r>
        <w:rPr>
          <w:lang w:val="en-GB"/>
        </w:rPr>
        <w:t>Alecensa</w:t>
      </w:r>
      <w:r w:rsidRPr="007A60C0">
        <w:t xml:space="preserve"> is required in </w:t>
      </w:r>
      <w:proofErr w:type="gramStart"/>
      <w:r w:rsidRPr="007A60C0">
        <w:t>patients</w:t>
      </w:r>
      <w:proofErr w:type="gramEnd"/>
      <w:r w:rsidRPr="007A60C0">
        <w:t xml:space="preserve"> </w:t>
      </w:r>
      <w:r w:rsidRPr="007A60C0">
        <w:rPr>
          <w:rFonts w:hint="eastAsia"/>
        </w:rPr>
        <w:t>≥</w:t>
      </w:r>
      <w:r w:rsidRPr="007A60C0">
        <w:t xml:space="preserve"> 65 years of age.</w:t>
      </w:r>
    </w:p>
    <w:p w14:paraId="389FEDC0" w14:textId="77777777" w:rsidR="0047298D" w:rsidRDefault="0047298D" w:rsidP="0047298D">
      <w:pPr>
        <w:pStyle w:val="Heading4"/>
        <w:keepNext/>
      </w:pPr>
      <w:r>
        <w:lastRenderedPageBreak/>
        <w:t>Paediatric population</w:t>
      </w:r>
    </w:p>
    <w:p w14:paraId="6A70ACD3" w14:textId="77777777" w:rsidR="0047298D" w:rsidRDefault="0047298D" w:rsidP="0047298D">
      <w:r w:rsidRPr="007A60C0">
        <w:t xml:space="preserve">The safety and efficacy of </w:t>
      </w:r>
      <w:r>
        <w:rPr>
          <w:lang w:val="en-GB"/>
        </w:rPr>
        <w:t>Alecensa</w:t>
      </w:r>
      <w:r w:rsidRPr="007A60C0">
        <w:t xml:space="preserve"> in children and adolescents </w:t>
      </w:r>
      <w:r>
        <w:t xml:space="preserve">below </w:t>
      </w:r>
      <w:r w:rsidRPr="007A60C0">
        <w:t>18 years</w:t>
      </w:r>
      <w:r>
        <w:t xml:space="preserve"> of age</w:t>
      </w:r>
      <w:r w:rsidRPr="007A60C0">
        <w:t xml:space="preserve"> have not</w:t>
      </w:r>
      <w:r>
        <w:t xml:space="preserve"> </w:t>
      </w:r>
      <w:r w:rsidRPr="007A60C0">
        <w:t xml:space="preserve">been </w:t>
      </w:r>
      <w:r>
        <w:t>established</w:t>
      </w:r>
      <w:r w:rsidRPr="007A60C0">
        <w:t>.</w:t>
      </w:r>
    </w:p>
    <w:p w14:paraId="7FA2FED4" w14:textId="77777777" w:rsidR="0047298D" w:rsidRDefault="0047298D" w:rsidP="0047298D">
      <w:pPr>
        <w:pStyle w:val="Heading4"/>
      </w:pPr>
      <w:r>
        <w:t>Renal Impairment</w:t>
      </w:r>
    </w:p>
    <w:p w14:paraId="2B17059A" w14:textId="77777777" w:rsidR="0047298D" w:rsidRPr="004C758B" w:rsidRDefault="0047298D" w:rsidP="0047298D">
      <w:r w:rsidRPr="007A60C0">
        <w:t xml:space="preserve">No dose adjustment is required in patients with </w:t>
      </w:r>
      <w:r>
        <w:t xml:space="preserve">renal impairment </w:t>
      </w:r>
      <w:r w:rsidRPr="007A60C0">
        <w:t>(</w:t>
      </w:r>
      <w:r w:rsidRPr="00403048">
        <w:t>see</w:t>
      </w:r>
      <w:r w:rsidRPr="007A60C0">
        <w:t xml:space="preserve"> </w:t>
      </w:r>
      <w:r w:rsidR="00611B44">
        <w:t xml:space="preserve">section </w:t>
      </w:r>
      <w:r w:rsidR="006D0370">
        <w:t>4.4</w:t>
      </w:r>
      <w:r w:rsidRPr="007A60C0">
        <w:t>)</w:t>
      </w:r>
      <w:r>
        <w:t>.</w:t>
      </w:r>
    </w:p>
    <w:p w14:paraId="2D3E9EB7" w14:textId="77777777" w:rsidR="0047298D" w:rsidRDefault="0047298D" w:rsidP="00611B44">
      <w:pPr>
        <w:pStyle w:val="Heading4"/>
      </w:pPr>
      <w:r>
        <w:t>Hepatic Impairment</w:t>
      </w:r>
    </w:p>
    <w:p w14:paraId="565BAE0B" w14:textId="77777777" w:rsidR="0047298D" w:rsidRPr="004C758B" w:rsidRDefault="0047298D" w:rsidP="0047298D">
      <w:r w:rsidRPr="007A60C0">
        <w:t xml:space="preserve">No dose adjustment is required in patients </w:t>
      </w:r>
      <w:r>
        <w:t>with mild hepatic impairment</w:t>
      </w:r>
      <w:r w:rsidRPr="007A60C0">
        <w:t xml:space="preserve">. </w:t>
      </w:r>
      <w:r>
        <w:rPr>
          <w:lang w:val="en-GB"/>
        </w:rPr>
        <w:t>Alecensa</w:t>
      </w:r>
      <w:r>
        <w:t xml:space="preserve"> </w:t>
      </w:r>
      <w:r w:rsidRPr="007A60C0">
        <w:t>has not been studied in patients with moderate to severe hepatic impairment</w:t>
      </w:r>
      <w:r>
        <w:t xml:space="preserve"> </w:t>
      </w:r>
      <w:r w:rsidRPr="007A60C0">
        <w:t xml:space="preserve">(see </w:t>
      </w:r>
      <w:r>
        <w:t xml:space="preserve">section </w:t>
      </w:r>
      <w:r w:rsidR="006D0370">
        <w:t>4.4</w:t>
      </w:r>
      <w:r w:rsidRPr="007A60C0">
        <w:t>)</w:t>
      </w:r>
      <w:r>
        <w:t>.</w:t>
      </w:r>
    </w:p>
    <w:p w14:paraId="1630B47D" w14:textId="77777777" w:rsidR="00D52399" w:rsidRDefault="00615052">
      <w:pPr>
        <w:pStyle w:val="Heading3"/>
      </w:pPr>
      <w:r>
        <w:t>Method of Administration</w:t>
      </w:r>
    </w:p>
    <w:p w14:paraId="6588E6BD" w14:textId="77777777" w:rsidR="00D52399" w:rsidRDefault="00D52399"/>
    <w:p w14:paraId="5008DDDD" w14:textId="77777777" w:rsidR="00611B44" w:rsidRDefault="00611B44">
      <w:pPr>
        <w:rPr>
          <w:lang w:eastAsia="en-GB"/>
        </w:rPr>
      </w:pPr>
      <w:r>
        <w:rPr>
          <w:lang w:eastAsia="en-GB"/>
        </w:rPr>
        <w:t>Alecensa</w:t>
      </w:r>
      <w:r w:rsidRPr="00FC0BA3">
        <w:rPr>
          <w:lang w:eastAsia="en-GB"/>
        </w:rPr>
        <w:t xml:space="preserve"> hard capsules should be swallowed whole and mu</w:t>
      </w:r>
      <w:r>
        <w:rPr>
          <w:lang w:eastAsia="en-GB"/>
        </w:rPr>
        <w:t>st not be opened or dissolved. They must be taken with food.</w:t>
      </w:r>
    </w:p>
    <w:p w14:paraId="7F345520" w14:textId="77777777" w:rsidR="00D52399" w:rsidRDefault="00D82AB1">
      <w:pPr>
        <w:pStyle w:val="Heading2"/>
        <w:numPr>
          <w:ilvl w:val="1"/>
          <w:numId w:val="2"/>
        </w:numPr>
        <w:ind w:left="0" w:firstLine="0"/>
      </w:pPr>
      <w:r>
        <w:t>CONTRAINDICATIONS</w:t>
      </w:r>
    </w:p>
    <w:p w14:paraId="15B2B7C5" w14:textId="77777777" w:rsidR="00D52399" w:rsidRDefault="00D52399"/>
    <w:p w14:paraId="0440BFE3" w14:textId="77777777" w:rsidR="00D52399" w:rsidRDefault="00611B44">
      <w:r>
        <w:rPr>
          <w:bCs/>
        </w:rPr>
        <w:t>Alecensa</w:t>
      </w:r>
      <w:r w:rsidR="00BE69D7">
        <w:t xml:space="preserve"> </w:t>
      </w:r>
      <w:r w:rsidRPr="00425B9B">
        <w:t>is contraindicated in patients with a known hypersensitivity to alectinib or any of the excipients</w:t>
      </w:r>
      <w:r w:rsidRPr="00611B44">
        <w:t xml:space="preserve"> </w:t>
      </w:r>
      <w:r>
        <w:t>listed in section 6.1.</w:t>
      </w:r>
    </w:p>
    <w:p w14:paraId="430E073C" w14:textId="77777777" w:rsidR="00D52399" w:rsidRDefault="00615052" w:rsidP="00674CFD">
      <w:pPr>
        <w:pStyle w:val="Heading2"/>
        <w:ind w:hanging="786"/>
      </w:pPr>
      <w:r>
        <w:t>4.4</w:t>
      </w:r>
      <w:r>
        <w:tab/>
      </w:r>
      <w:r w:rsidR="00D82AB1">
        <w:t>SPECIAL WARNINGS AND PRECAUTIONS FOR USE</w:t>
      </w:r>
    </w:p>
    <w:p w14:paraId="0C38633D" w14:textId="77777777" w:rsidR="00611B44" w:rsidRDefault="00611B44" w:rsidP="00611B44">
      <w:pPr>
        <w:pStyle w:val="Heading3"/>
      </w:pPr>
      <w:r w:rsidRPr="00AB04E9">
        <w:t>Interstitial lung disease (ILD)/</w:t>
      </w:r>
      <w:r>
        <w:t>p</w:t>
      </w:r>
      <w:r w:rsidRPr="00AB04E9">
        <w:t>neumonitis</w:t>
      </w:r>
    </w:p>
    <w:p w14:paraId="6A43D7DA" w14:textId="77777777" w:rsidR="00611B44" w:rsidRPr="00611B44" w:rsidRDefault="00611B44" w:rsidP="00611B44"/>
    <w:p w14:paraId="47BCA4FB" w14:textId="77777777" w:rsidR="00611B44" w:rsidRPr="003614BF" w:rsidRDefault="00611B44" w:rsidP="00611B44">
      <w:r w:rsidRPr="00AB04E9">
        <w:t>Cases of</w:t>
      </w:r>
      <w:r>
        <w:t xml:space="preserve"> severe</w:t>
      </w:r>
      <w:r w:rsidRPr="00AB04E9">
        <w:t xml:space="preserve"> ILD/pneumonitis have been reported with </w:t>
      </w:r>
      <w:r>
        <w:rPr>
          <w:bCs/>
        </w:rPr>
        <w:t xml:space="preserve">Alecensa </w:t>
      </w:r>
      <w:r w:rsidRPr="00AB04E9">
        <w:t xml:space="preserve">in clinical trials </w:t>
      </w:r>
      <w:r>
        <w:t xml:space="preserve">and post-marketing, </w:t>
      </w:r>
      <w:r>
        <w:rPr>
          <w:bCs/>
        </w:rPr>
        <w:t>including</w:t>
      </w:r>
      <w:r>
        <w:t xml:space="preserve"> severe ILD/pneumonitis (Grade 3) in one patient (0.4%) out of 253 patients exposed in the Phase I/II clinical trials (Studies 1 and 2). </w:t>
      </w:r>
      <w:r w:rsidRPr="003614BF">
        <w:t xml:space="preserve">In Study 3, 2 patients (1.3%) treated with </w:t>
      </w:r>
      <w:r>
        <w:t>Alecensa</w:t>
      </w:r>
      <w:r w:rsidRPr="003614BF">
        <w:t xml:space="preserve"> had an ILD event</w:t>
      </w:r>
      <w:r>
        <w:t xml:space="preserve">, neither of which was </w:t>
      </w:r>
      <w:r w:rsidRPr="003614BF">
        <w:t>severe (Grade ≥3)</w:t>
      </w:r>
      <w:r>
        <w:t xml:space="preserve">. </w:t>
      </w:r>
      <w:r w:rsidRPr="003614BF">
        <w:t>There were no fatal cases of ILD in any of the clinical trials.</w:t>
      </w:r>
    </w:p>
    <w:p w14:paraId="2B120268" w14:textId="77777777" w:rsidR="00611B44" w:rsidRDefault="00611B44" w:rsidP="00611B44"/>
    <w:p w14:paraId="6CF325B9" w14:textId="77777777" w:rsidR="00611B44" w:rsidRDefault="00611B44" w:rsidP="00611B44">
      <w:r>
        <w:t xml:space="preserve">Promptly investigate worsening of respiratory symptoms indicative of ILD/pneumonitis (e.g. dyspnoea, cough and fever) in any patient taking Alecensa. Immediately withhold treatment with Alecensa in patients diagnosed with ILD/pneumonitis and permanently discontinue it if no other potential causes of ILD/pneumonitis are identified </w:t>
      </w:r>
      <w:r w:rsidRPr="00AB04E9">
        <w:t>(</w:t>
      </w:r>
      <w:r w:rsidRPr="006B2A25">
        <w:t xml:space="preserve">see </w:t>
      </w:r>
      <w:r>
        <w:t>section 4.2</w:t>
      </w:r>
      <w:r w:rsidRPr="00AB04E9">
        <w:t>)</w:t>
      </w:r>
      <w:r>
        <w:t>.</w:t>
      </w:r>
    </w:p>
    <w:p w14:paraId="46FB1129" w14:textId="77777777" w:rsidR="00611B44" w:rsidRPr="00AB04E9" w:rsidRDefault="00611B44" w:rsidP="00611B44">
      <w:pPr>
        <w:pStyle w:val="Heading3"/>
      </w:pPr>
      <w:r>
        <w:t>Hepatotoxicity</w:t>
      </w:r>
    </w:p>
    <w:p w14:paraId="28CE1B8D" w14:textId="77777777" w:rsidR="00611B44" w:rsidRDefault="00611B44" w:rsidP="00611B44"/>
    <w:p w14:paraId="0603B8E8" w14:textId="77777777" w:rsidR="00611B44" w:rsidRDefault="00611B44" w:rsidP="00611B44">
      <w:r>
        <w:t>In the pivotal clinical trials, e</w:t>
      </w:r>
      <w:r w:rsidRPr="00AB04E9">
        <w:t xml:space="preserve">levations </w:t>
      </w:r>
      <w:r>
        <w:t>of</w:t>
      </w:r>
      <w:r w:rsidRPr="00AB04E9">
        <w:t xml:space="preserve"> alanine aminotransferase (ALT)</w:t>
      </w:r>
      <w:r>
        <w:t xml:space="preserve">, </w:t>
      </w:r>
      <w:r w:rsidRPr="00AB04E9">
        <w:t xml:space="preserve">aspartate aminotransferase (AST) </w:t>
      </w:r>
      <w:r>
        <w:t>and</w:t>
      </w:r>
      <w:r w:rsidRPr="00AB04E9">
        <w:t xml:space="preserve"> bilirubin </w:t>
      </w:r>
      <w:r>
        <w:t>(including cases of blood bilirubin increased, hyperbilirubinaemia and bilirubin conjugated increased) were commonly reported as adverse events. In Phase I/II clinical trials (Studies 1 and 2), the incidences of these events were 14%, 16% and 17%, respectively. In the Phase III clinical trial (Study 3) these events were reported in 15%, 14% and 21%, respectively. The events were generally low grade, transient rises that occurred within the first three months of treatment and resolved with temporary interruption of Alecensa treatment or dose reduction. Treatment interruption for ALT, AST or bilirubin rise occurred in 3.2%, 1.2% and 5.1% of patients, respectively,</w:t>
      </w:r>
      <w:r w:rsidRPr="00930813">
        <w:t xml:space="preserve"> </w:t>
      </w:r>
      <w:r>
        <w:t>i</w:t>
      </w:r>
      <w:r w:rsidRPr="00A6547F">
        <w:t>n Phase I/II clinical trials</w:t>
      </w:r>
      <w:r>
        <w:t xml:space="preserve"> (</w:t>
      </w:r>
      <w:r w:rsidRPr="00A6547F">
        <w:t>Studies 1 and 2</w:t>
      </w:r>
      <w:r>
        <w:t>)</w:t>
      </w:r>
      <w:r w:rsidRPr="00927FD0">
        <w:t xml:space="preserve"> </w:t>
      </w:r>
      <w:r>
        <w:t>and in 2.6%, 2.0% and 2.6%, respectively, in the Phase III clinical trial (Study 3). In the same studies, dose reduction for ALT, AST or bilirubin rise occurred in 0.8%, 1.6% and 2.8% of patients in Studies 1 and 2 and in 2.0%, 2.6% and 4.6% in Study 3, respectively.</w:t>
      </w:r>
    </w:p>
    <w:p w14:paraId="57D95719" w14:textId="77777777" w:rsidR="00611B44" w:rsidRDefault="00611B44" w:rsidP="00611B44"/>
    <w:p w14:paraId="47EF4A79" w14:textId="77777777" w:rsidR="00611B44" w:rsidRDefault="00611B44" w:rsidP="00611B44">
      <w:r>
        <w:lastRenderedPageBreak/>
        <w:t xml:space="preserve">Higher grade elevations of ALT and AST (greater than 5-fold the ULN) and </w:t>
      </w:r>
      <w:r w:rsidRPr="00040285">
        <w:t xml:space="preserve">bilirubin elevations of more than 3 times the ULN </w:t>
      </w:r>
      <w:r>
        <w:t>were reported. In Phase I/II clinical trials (</w:t>
      </w:r>
      <w:r w:rsidRPr="00AF52E4">
        <w:t>Studies 1 and 2</w:t>
      </w:r>
      <w:r>
        <w:t xml:space="preserve">), elevations </w:t>
      </w:r>
      <w:r w:rsidRPr="00AF52E4">
        <w:t>of ALT and AST (greater than 5-fold the ULN)</w:t>
      </w:r>
      <w:r>
        <w:t xml:space="preserve"> and bilirubin (greater than 3-fold the ULN) occurred in 3.2%, 2.8% and 3.2% of patients, respectively. In the same studies, ALT, AST and bilirubin elevations led to withdrawal from treatment with Alecensa</w:t>
      </w:r>
      <w:r w:rsidRPr="00AF52E4">
        <w:t xml:space="preserve"> </w:t>
      </w:r>
      <w:r>
        <w:t>in 1.6%, 1.2% and 1.6% of patients,</w:t>
      </w:r>
      <w:r w:rsidRPr="00AF52E4">
        <w:t xml:space="preserve"> </w:t>
      </w:r>
      <w:r>
        <w:t xml:space="preserve">respectively. </w:t>
      </w:r>
    </w:p>
    <w:p w14:paraId="4208EF7B" w14:textId="77777777" w:rsidR="00611B44" w:rsidRDefault="00611B44" w:rsidP="00611B44"/>
    <w:p w14:paraId="6BD80E42" w14:textId="77777777" w:rsidR="00611B44" w:rsidRDefault="00611B44" w:rsidP="00611B44">
      <w:r w:rsidRPr="00BC259D">
        <w:t>I</w:t>
      </w:r>
      <w:r>
        <w:t>n the</w:t>
      </w:r>
      <w:r w:rsidRPr="00BC259D">
        <w:t xml:space="preserve"> Phase III clinical trial (Study 3), elevation of AST </w:t>
      </w:r>
      <w:r w:rsidRPr="002319CF">
        <w:t>greater than 5 times</w:t>
      </w:r>
      <w:r w:rsidRPr="00BC259D">
        <w:t xml:space="preserve"> the ULN occurred in 6.2% and elevation of ALT </w:t>
      </w:r>
      <w:r w:rsidRPr="002319CF">
        <w:t>greater than 5 times</w:t>
      </w:r>
      <w:r w:rsidRPr="00BC259D">
        <w:t xml:space="preserve"> the ULN occurred in 6.1% of patients treated with A</w:t>
      </w:r>
      <w:r>
        <w:t>lecensa</w:t>
      </w:r>
      <w:r w:rsidRPr="00BC259D">
        <w:t xml:space="preserve">, respectively. </w:t>
      </w:r>
      <w:proofErr w:type="gramStart"/>
      <w:r>
        <w:t>Elevations of bilirubin greater than 3 times the ULN</w:t>
      </w:r>
      <w:r w:rsidRPr="00BC259D">
        <w:t xml:space="preserve"> </w:t>
      </w:r>
      <w:proofErr w:type="spellStart"/>
      <w:r w:rsidRPr="00BC259D">
        <w:t>occured</w:t>
      </w:r>
      <w:proofErr w:type="spellEnd"/>
      <w:r w:rsidRPr="00BC259D">
        <w:t xml:space="preserve"> in 5.5% of patients who received A</w:t>
      </w:r>
      <w:r>
        <w:t>lecensa</w:t>
      </w:r>
      <w:r w:rsidRPr="00BC259D">
        <w:t xml:space="preserve"> treatment.</w:t>
      </w:r>
      <w:proofErr w:type="gramEnd"/>
      <w:r w:rsidRPr="00BC259D">
        <w:t xml:space="preserve"> </w:t>
      </w:r>
      <w:r>
        <w:t>The majority (56</w:t>
      </w:r>
      <w:r w:rsidRPr="002319CF">
        <w:t>% of the patients with hepatic transaminase elevations</w:t>
      </w:r>
      <w:r>
        <w:t xml:space="preserve"> and 69% of the patients with bilirubin elevations) of </w:t>
      </w:r>
      <w:r w:rsidRPr="002319CF">
        <w:t xml:space="preserve">these events occurred during the first </w:t>
      </w:r>
      <w:r>
        <w:t xml:space="preserve">3 </w:t>
      </w:r>
      <w:r w:rsidRPr="002319CF">
        <w:t>months of treatment</w:t>
      </w:r>
      <w:r>
        <w:t>.</w:t>
      </w:r>
      <w:r w:rsidRPr="00BC259D">
        <w:t xml:space="preserve"> </w:t>
      </w:r>
      <w:r>
        <w:t xml:space="preserve">Two patients </w:t>
      </w:r>
      <w:r w:rsidRPr="00F47A51">
        <w:t>(1.3%)</w:t>
      </w:r>
      <w:r>
        <w:t xml:space="preserve"> discontinued Alecensa due to Grade 3–4 adverse events of elevated hepatic transaminases. Alecensa treatment was discontinued due to a Grade 3 adverse event of elevated bilirubin in 1 patient (0.7%).</w:t>
      </w:r>
    </w:p>
    <w:p w14:paraId="5AA7EC3E" w14:textId="77777777" w:rsidR="00611B44" w:rsidRDefault="00611B44" w:rsidP="00611B44"/>
    <w:p w14:paraId="771EE082" w14:textId="77777777" w:rsidR="00611B44" w:rsidRDefault="00611B44" w:rsidP="00611B44">
      <w:r>
        <w:t>In Studies 1, 2 and 3</w:t>
      </w:r>
      <w:r w:rsidRPr="00F6186A">
        <w:t>, two patients with Grade 3–4 AST/ALT elevations had documented drug induced liver injury by liver biopsy. In addition, o</w:t>
      </w:r>
      <w:r w:rsidRPr="000E1560">
        <w:t xml:space="preserve">ne patient experienced a Grade 4 adverse event of drug-induced liver injury and another patient experienced </w:t>
      </w:r>
      <w:r>
        <w:t>concurrent elevations in ALT or AST greater than or equal to three times the ULN and total bilirubin greater than or equal to two times the ULN, with normal alkaline phosphatase (</w:t>
      </w:r>
      <w:r w:rsidRPr="000E1560">
        <w:t>Grade 4 hepatotoxicity</w:t>
      </w:r>
      <w:r>
        <w:t>)</w:t>
      </w:r>
      <w:r w:rsidRPr="00F6186A">
        <w:t>.</w:t>
      </w:r>
    </w:p>
    <w:p w14:paraId="7697E132" w14:textId="77777777" w:rsidR="00611B44" w:rsidRDefault="00611B44" w:rsidP="00611B44"/>
    <w:p w14:paraId="3BA732AD" w14:textId="77777777" w:rsidR="00611B44" w:rsidRDefault="00611B44" w:rsidP="00611B44">
      <w:r>
        <w:t xml:space="preserve">Test for liver function (including ALT, AST, and total bilirubin) at baseline and then every 2 weeks during the first 3 months of treatment. Test periodically during treatment thereafter, with more frequent testing in patients who develop transaminase and bilirubin elevations. Based on the severity of the reaction, withhold Alecensa and resume at a reduced dose, or permanently discontinue Alecensa as described under section 4.2. </w:t>
      </w:r>
    </w:p>
    <w:p w14:paraId="184FE5E6" w14:textId="77777777" w:rsidR="00611B44" w:rsidRPr="00C93509" w:rsidRDefault="00611B44" w:rsidP="00611B44">
      <w:pPr>
        <w:pStyle w:val="Heading3"/>
      </w:pPr>
      <w:r w:rsidRPr="00C93509">
        <w:t>Bradycardia</w:t>
      </w:r>
    </w:p>
    <w:p w14:paraId="4C33743B" w14:textId="77777777" w:rsidR="00611B44" w:rsidRDefault="00611B44" w:rsidP="00611B44"/>
    <w:p w14:paraId="6CFEE6CE" w14:textId="678103E1" w:rsidR="00611B44" w:rsidRPr="00BC259D" w:rsidRDefault="00611B44" w:rsidP="00611B44">
      <w:pPr>
        <w:rPr>
          <w:lang w:val="en-GB"/>
        </w:rPr>
      </w:pPr>
      <w:r w:rsidRPr="009132BC">
        <w:t>Symptomatic bradycardia can occur with Alecensa</w:t>
      </w:r>
      <w:r>
        <w:t>.</w:t>
      </w:r>
      <w:r w:rsidRPr="009132BC">
        <w:t xml:space="preserve"> </w:t>
      </w:r>
      <w:r>
        <w:t>In the Phase I/II clinical trials (Studies 1 and 2), there were 14 cases of sinus bradycardia (5.5%) and 7 cases of bradycardia (2.8%), some of which were s</w:t>
      </w:r>
      <w:r w:rsidRPr="00AB04E9">
        <w:t>ymptomatic</w:t>
      </w:r>
      <w:r>
        <w:t>. None were severe or serious. Of 221 patients in Studies 1 and 2 treated with Alecensa who had serial ECGs available, 20% had post-dose heart rates slower than 50 beats per minute (bpm).</w:t>
      </w:r>
      <w:r w:rsidRPr="00AB04E9">
        <w:t xml:space="preserve"> </w:t>
      </w:r>
      <w:r w:rsidRPr="00BC259D">
        <w:t xml:space="preserve">In Study 3, cases of bradycardia </w:t>
      </w:r>
      <w:r>
        <w:t>were</w:t>
      </w:r>
      <w:r w:rsidRPr="00BC259D">
        <w:t xml:space="preserve"> reported in 11% of patients treated with A</w:t>
      </w:r>
      <w:r>
        <w:t>lecensa</w:t>
      </w:r>
      <w:r w:rsidR="006672A3">
        <w:t xml:space="preserve"> (see section 4.8, Table 3)</w:t>
      </w:r>
      <w:r w:rsidRPr="00BC259D">
        <w:t xml:space="preserve">. </w:t>
      </w:r>
      <w:r>
        <w:t>O</w:t>
      </w:r>
      <w:r w:rsidRPr="00BC259D">
        <w:t>f the 144 patients treated with A</w:t>
      </w:r>
      <w:r>
        <w:t>lecensa</w:t>
      </w:r>
      <w:r w:rsidRPr="00BC259D">
        <w:t xml:space="preserve"> for whom serial ECGs were available</w:t>
      </w:r>
      <w:r>
        <w:t>,</w:t>
      </w:r>
      <w:r w:rsidRPr="00BC259D">
        <w:t xml:space="preserve"> 15% had heart rates of less than 50 bpm.</w:t>
      </w:r>
    </w:p>
    <w:p w14:paraId="09E951D8" w14:textId="77777777" w:rsidR="00611B44" w:rsidRDefault="00611B44" w:rsidP="00611B44"/>
    <w:p w14:paraId="56F57940" w14:textId="77777777" w:rsidR="00611B44" w:rsidRPr="0034616E" w:rsidRDefault="00611B44" w:rsidP="00611B44">
      <w:r w:rsidRPr="00AB04E9">
        <w:t xml:space="preserve">Heart rate and blood pressure should be monitored </w:t>
      </w:r>
      <w:r>
        <w:t>regularly</w:t>
      </w:r>
      <w:r w:rsidRPr="00AB04E9">
        <w:t xml:space="preserve">. </w:t>
      </w:r>
      <w:r>
        <w:t>No d</w:t>
      </w:r>
      <w:r w:rsidRPr="00AB04E9">
        <w:t xml:space="preserve">ose modification is required </w:t>
      </w:r>
      <w:r>
        <w:t>for</w:t>
      </w:r>
      <w:r w:rsidRPr="00AB04E9">
        <w:t xml:space="preserve"> asymptomatic bradycardia. If symptomatic or life-threatening </w:t>
      </w:r>
      <w:r>
        <w:t>bradycardia occurs</w:t>
      </w:r>
      <w:r w:rsidRPr="00AB04E9">
        <w:t xml:space="preserve">, </w:t>
      </w:r>
      <w:r>
        <w:t>adjust Alecensa treatment as described under section 4.2</w:t>
      </w:r>
      <w:r w:rsidRPr="0034616E">
        <w:t>.</w:t>
      </w:r>
    </w:p>
    <w:p w14:paraId="2239656B" w14:textId="77777777" w:rsidR="00611B44" w:rsidRDefault="00611B44" w:rsidP="00611B44">
      <w:pPr>
        <w:pStyle w:val="Heading3"/>
      </w:pPr>
      <w:r>
        <w:t>Severe myalgia and creatine phosphokinase (CPK) elevation</w:t>
      </w:r>
    </w:p>
    <w:p w14:paraId="0EF47332" w14:textId="77777777" w:rsidR="00611B44" w:rsidRDefault="00611B44" w:rsidP="00611B44"/>
    <w:p w14:paraId="52F3F6EA" w14:textId="77777777" w:rsidR="00611B44" w:rsidRDefault="00611B44" w:rsidP="00611B44">
      <w:r>
        <w:t xml:space="preserve">Myalgia/musculoskeletal pain were reported very commonly in patients treated with Alecensa in clinical trials. In Phase I/II clinical trials (Studies 1 and 2), </w:t>
      </w:r>
      <w:r w:rsidRPr="00F517BA">
        <w:t>myalgia/musculoskeletal pain</w:t>
      </w:r>
      <w:r>
        <w:t xml:space="preserve"> was reported in 30.8% of patients treated with Alecensa.</w:t>
      </w:r>
      <w:r w:rsidRPr="00F517BA">
        <w:t xml:space="preserve"> </w:t>
      </w:r>
      <w:r>
        <w:t xml:space="preserve">The majority of these events were Grades 1 or 2 and three patients (1.2%) had a Grade 3 event. The Alecensa dose was modified for two patients (0.8%), due to these events. Elevations of CPK occurred in 46% of 219 </w:t>
      </w:r>
      <w:r>
        <w:lastRenderedPageBreak/>
        <w:t>patients who had their CPK measured in Studies 1 and 2, and ten of these patients (5.0%) had Grade 3 elevations. Dose modifications for elevation of CPK occurred in 4.0% of patients.</w:t>
      </w:r>
    </w:p>
    <w:p w14:paraId="74546039" w14:textId="77777777" w:rsidR="00611B44" w:rsidRDefault="00611B44" w:rsidP="00611B44"/>
    <w:p w14:paraId="63FC5627" w14:textId="77777777" w:rsidR="00611B44" w:rsidRDefault="00611B44" w:rsidP="00611B44">
      <w:r>
        <w:t>M</w:t>
      </w:r>
      <w:r w:rsidRPr="00AA0334">
        <w:t>yalgia</w:t>
      </w:r>
      <w:r>
        <w:t xml:space="preserve"> or </w:t>
      </w:r>
      <w:r w:rsidRPr="00AA0334">
        <w:t>musculoskeletal</w:t>
      </w:r>
      <w:r>
        <w:t xml:space="preserve"> </w:t>
      </w:r>
      <w:r w:rsidRPr="00AA0334">
        <w:t>pain</w:t>
      </w:r>
      <w:r>
        <w:t xml:space="preserve"> occurred in 23% of patients treated with Alecensa in Study 3. No patient experienced a Grade ≥3 adverse event, discontinued study treatment or had dose modifications due to these adverse events. </w:t>
      </w:r>
      <w:r>
        <w:rPr>
          <w:szCs w:val="28"/>
        </w:rPr>
        <w:t>CPK elevat</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t xml:space="preserve">ions occurred in 37% </w:t>
      </w:r>
      <w:r w:rsidRPr="00B51B28">
        <w:rPr>
          <w:bCs/>
          <w:iCs/>
          <w:lang w:val="en-GB" w:eastAsia="en-GB"/>
        </w:rPr>
        <w:t xml:space="preserve">of </w:t>
      </w:r>
      <w:r>
        <w:rPr>
          <w:bCs/>
          <w:iCs/>
          <w:lang w:val="en-GB" w:eastAsia="en-GB"/>
        </w:rPr>
        <w:t xml:space="preserve">129 Alecensa-treated </w:t>
      </w:r>
      <w:r w:rsidRPr="00B51B28">
        <w:rPr>
          <w:bCs/>
          <w:iCs/>
          <w:lang w:val="en-GB" w:eastAsia="en-GB"/>
        </w:rPr>
        <w:t>patients</w:t>
      </w:r>
      <w:r>
        <w:rPr>
          <w:bCs/>
          <w:iCs/>
          <w:lang w:val="en-GB" w:eastAsia="en-GB"/>
        </w:rPr>
        <w:t xml:space="preserve"> </w:t>
      </w:r>
      <w:r>
        <w:rPr>
          <w:szCs w:val="28"/>
        </w:rPr>
        <w:t xml:space="preserve">with available CPK laboratory data in Study 3. </w:t>
      </w:r>
      <w:r>
        <w:rPr>
          <w:bCs/>
          <w:iCs/>
          <w:lang w:val="en-GB" w:eastAsia="en-GB"/>
        </w:rPr>
        <w:t>Grade 3 elevations of CPK occurred in 3.1% of patients treated with Alecensa.</w:t>
      </w:r>
      <w:r>
        <w:t xml:space="preserve"> Dose modifications for elevation of CPK occurred in 1.3% of patients treated with Alecensa.</w:t>
      </w:r>
    </w:p>
    <w:p w14:paraId="6282024A" w14:textId="77777777" w:rsidR="00611B44" w:rsidRDefault="00611B44" w:rsidP="00611B44"/>
    <w:p w14:paraId="309EAED8" w14:textId="77777777" w:rsidR="00611B44" w:rsidDel="00F96C0D" w:rsidRDefault="00611B44" w:rsidP="00611B44">
      <w:r w:rsidRPr="00841BF0">
        <w:t>Median time to Grade 3 CPK elevation was 14 days</w:t>
      </w:r>
      <w:r>
        <w:t xml:space="preserve"> </w:t>
      </w:r>
      <w:r w:rsidRPr="00841BF0">
        <w:t xml:space="preserve">in the pivotal </w:t>
      </w:r>
      <w:r>
        <w:t>P</w:t>
      </w:r>
      <w:r w:rsidRPr="00841BF0">
        <w:t xml:space="preserve">hase </w:t>
      </w:r>
      <w:r>
        <w:t>I/</w:t>
      </w:r>
      <w:r w:rsidRPr="00841BF0">
        <w:t>II trials (</w:t>
      </w:r>
      <w:r>
        <w:t>Studies 1 and 2</w:t>
      </w:r>
      <w:r w:rsidRPr="00841BF0">
        <w:t xml:space="preserve">). Median time to Grade 3 CPK elevation was 27.5 days in the pivotal </w:t>
      </w:r>
      <w:r>
        <w:t>P</w:t>
      </w:r>
      <w:r w:rsidRPr="00841BF0">
        <w:t>hase III clinical trial (</w:t>
      </w:r>
      <w:r>
        <w:t>Study 3</w:t>
      </w:r>
      <w:r w:rsidRPr="00841BF0">
        <w:t>)</w:t>
      </w:r>
      <w:r>
        <w:t xml:space="preserve">. </w:t>
      </w:r>
    </w:p>
    <w:p w14:paraId="52A665C4" w14:textId="77777777" w:rsidR="00611B44" w:rsidRDefault="00611B44" w:rsidP="00611B44"/>
    <w:p w14:paraId="549AED1D" w14:textId="77777777" w:rsidR="00611B44" w:rsidRPr="00C01203" w:rsidRDefault="00611B44" w:rsidP="00611B44">
      <w:r>
        <w:t>Advise patients to report any unexplained muscle pain, tenderness, or weakness. Assess CPK levels every fortnight for the first month of treatment and as clinically indicated in patients reporting symptoms. Based on the severity of the CPK elevation, withhold Alecensa, then resume or reduce dose (see section 4.2).</w:t>
      </w:r>
    </w:p>
    <w:p w14:paraId="5687545D" w14:textId="77777777" w:rsidR="00611B44" w:rsidRPr="009752BC" w:rsidRDefault="00611B44" w:rsidP="00611B44">
      <w:pPr>
        <w:pStyle w:val="Heading3"/>
      </w:pPr>
      <w:r w:rsidRPr="009752BC">
        <w:t>Photosensitivity</w:t>
      </w:r>
    </w:p>
    <w:p w14:paraId="20BC6408" w14:textId="77777777" w:rsidR="00611B44" w:rsidRDefault="00611B44" w:rsidP="00611B44"/>
    <w:p w14:paraId="76563E20" w14:textId="77777777" w:rsidR="00611B44" w:rsidRDefault="00611B44" w:rsidP="00611B44">
      <w:r w:rsidRPr="00C93509">
        <w:t xml:space="preserve">Photosensitivity </w:t>
      </w:r>
      <w:r>
        <w:t xml:space="preserve">and/or sunburn occurred in 30 (11.9%) patients exposed to Alecensa in the Phase I/II clinical trials and in 8 (5.3%) patients treated with Alecensa in the Phase III trial. Study participants were advised to avoid sun exposure and to use broad-spectrum sunscreen. All events were Grade 1 or 2 </w:t>
      </w:r>
      <w:proofErr w:type="gramStart"/>
      <w:r>
        <w:t>severity</w:t>
      </w:r>
      <w:proofErr w:type="gramEnd"/>
      <w:r>
        <w:t xml:space="preserve"> except for one non-serious Grade 3 event. </w:t>
      </w:r>
    </w:p>
    <w:p w14:paraId="659A4CCE" w14:textId="77777777" w:rsidR="00611B44" w:rsidRDefault="00611B44" w:rsidP="00611B44">
      <w:r>
        <w:t>Advise patients that they should avoid prolonged sun exposure and use a broad-spectrum Ultraviolet A (UVA)/Ultraviolet B (UVB) sunscreen and lip balm (both SPF ≥50)</w:t>
      </w:r>
      <w:r w:rsidRPr="00610BB0">
        <w:t xml:space="preserve"> </w:t>
      </w:r>
      <w:r>
        <w:t xml:space="preserve">whilst taking Alecensa and for at least 7 days after discontinuation. </w:t>
      </w:r>
    </w:p>
    <w:p w14:paraId="6B816C5A" w14:textId="77777777" w:rsidR="00B62D18" w:rsidRPr="00B62D18" w:rsidRDefault="006D0370" w:rsidP="00B62D18">
      <w:pPr>
        <w:pStyle w:val="Heading3"/>
      </w:pPr>
      <w:r>
        <w:t>Use in h</w:t>
      </w:r>
      <w:r w:rsidR="00B62D18" w:rsidRPr="00B62D18">
        <w:t>epatic impairment</w:t>
      </w:r>
    </w:p>
    <w:p w14:paraId="5F2699A7" w14:textId="77777777" w:rsidR="00B62D18" w:rsidRDefault="00B62D18" w:rsidP="00B62D18"/>
    <w:p w14:paraId="66E1774E" w14:textId="77777777" w:rsidR="00B62D18" w:rsidRDefault="00B62D18" w:rsidP="00B62D18">
      <w:r>
        <w:t>Mild hepatic impairment had no clinically meaningful effect on the systemic exposure of alectinib and M4. No dose adjustment is required in mild hepatic impairment. Mild hepatic impairment is defined as baseline total bilirubin (Br) ≤ the upper limit of normal (ULN) and baseline aspartate aminotransferase (AST) &gt; ULN or baseline total Br &gt; 1.0 to 1.5 times ULN and any baseline AST. Elimination of alectinib is predominantly through hepatic metabolism, and t</w:t>
      </w:r>
      <w:r w:rsidRPr="00225D7A">
        <w:t>he pharmacokinetics of alectinib has not been studied in patients with moderate</w:t>
      </w:r>
      <w:r>
        <w:t xml:space="preserve"> </w:t>
      </w:r>
      <w:r w:rsidRPr="00225D7A">
        <w:t>to severe hepatic impairment.</w:t>
      </w:r>
    </w:p>
    <w:p w14:paraId="72AACACB" w14:textId="77777777" w:rsidR="00B62D18" w:rsidRDefault="006D0370" w:rsidP="00B62D18">
      <w:pPr>
        <w:pStyle w:val="Heading3"/>
      </w:pPr>
      <w:r>
        <w:t>Use in r</w:t>
      </w:r>
      <w:r w:rsidR="00B62D18">
        <w:t>enal impairment</w:t>
      </w:r>
    </w:p>
    <w:p w14:paraId="1D32B753" w14:textId="77777777" w:rsidR="00B62D18" w:rsidRDefault="00B62D18" w:rsidP="00B62D18"/>
    <w:p w14:paraId="3DAF9C15" w14:textId="77777777" w:rsidR="00B62D18" w:rsidRPr="00A9004E" w:rsidRDefault="00B62D18" w:rsidP="00B62D18">
      <w:r>
        <w:t xml:space="preserve">Mild to moderate renal impairment (creatinine clearance 30 to 89 mL/min) had no clinically meaningful effect on the systemic exposure of alectinib and the active metabolite M4. No dose adjustment is required in mild to moderate renal impairment. Negligible amounts of alectinib and M4 are excreted unchanged in urine (&lt;0.2% of the dose). The pharmacokinetics of alectinib has not been studied in patients with severe renal impairment, however due to the negligible renal clearance of </w:t>
      </w:r>
      <w:proofErr w:type="gramStart"/>
      <w:r>
        <w:t>alectinib,</w:t>
      </w:r>
      <w:proofErr w:type="gramEnd"/>
      <w:r>
        <w:t xml:space="preserve"> no dose adjustment is required in severe renal impairment. </w:t>
      </w:r>
    </w:p>
    <w:p w14:paraId="15039C8F" w14:textId="77777777" w:rsidR="00E27F5C" w:rsidRDefault="00E27F5C" w:rsidP="00326AAA">
      <w:pPr>
        <w:pStyle w:val="Heading3"/>
        <w:keepNext/>
      </w:pPr>
      <w:r>
        <w:lastRenderedPageBreak/>
        <w:t>Use in the elderly</w:t>
      </w:r>
    </w:p>
    <w:p w14:paraId="4699E600" w14:textId="77777777" w:rsidR="00E27F5C" w:rsidRDefault="00E27F5C" w:rsidP="00326AAA">
      <w:pPr>
        <w:keepNext/>
      </w:pPr>
    </w:p>
    <w:p w14:paraId="191975DA" w14:textId="77777777" w:rsidR="00E27F5C" w:rsidRPr="00222D36" w:rsidRDefault="00E27F5C" w:rsidP="00E27F5C">
      <w:r>
        <w:t>Age does not have an effect on Alecensa exposure (</w:t>
      </w:r>
      <w:r w:rsidRPr="00403048">
        <w:t xml:space="preserve">see </w:t>
      </w:r>
      <w:r w:rsidR="00B62D18">
        <w:t>section 5.2</w:t>
      </w:r>
      <w:r>
        <w:t xml:space="preserve">). However, clinical studies of Alecensa did not include sufficient number of subjects aged 65 and older to determine whether they respond differently from younger subjects.  </w:t>
      </w:r>
    </w:p>
    <w:p w14:paraId="00CAFC99" w14:textId="77777777" w:rsidR="00E27F5C" w:rsidRDefault="00E27F5C" w:rsidP="00E27F5C">
      <w:pPr>
        <w:pStyle w:val="Heading3"/>
      </w:pPr>
      <w:r>
        <w:t>Paediatric use</w:t>
      </w:r>
    </w:p>
    <w:p w14:paraId="0649293E" w14:textId="77777777" w:rsidR="00E27F5C" w:rsidRDefault="00E27F5C" w:rsidP="00E27F5C"/>
    <w:p w14:paraId="3FBFD0B8" w14:textId="77777777" w:rsidR="00D52399" w:rsidRDefault="00E27F5C">
      <w:r w:rsidRPr="00B1117C">
        <w:t xml:space="preserve">The safety and efficacy of </w:t>
      </w:r>
      <w:r>
        <w:t>Alecensa</w:t>
      </w:r>
      <w:r w:rsidRPr="00B1117C">
        <w:t xml:space="preserve"> in children and adolescents below 18 years of age have not been established</w:t>
      </w:r>
      <w:r w:rsidR="002470B0">
        <w:t xml:space="preserve"> (see also section 5.3)</w:t>
      </w:r>
      <w:r>
        <w:t>.</w:t>
      </w:r>
      <w:r w:rsidRPr="00B1117C">
        <w:t xml:space="preserve"> </w:t>
      </w:r>
    </w:p>
    <w:p w14:paraId="5EA8EFA0" w14:textId="3F01F72C" w:rsidR="00E7681E" w:rsidRDefault="00E7681E" w:rsidP="00E7681E">
      <w:pPr>
        <w:pStyle w:val="Heading3"/>
      </w:pPr>
      <w:r>
        <w:t>Effects on laboratory tests</w:t>
      </w:r>
    </w:p>
    <w:p w14:paraId="49742CC0" w14:textId="77777777" w:rsidR="00E7681E" w:rsidRDefault="00E7681E" w:rsidP="00E7681E"/>
    <w:p w14:paraId="08E58C75" w14:textId="694A1BA6" w:rsidR="00E7681E" w:rsidRPr="00E7681E" w:rsidRDefault="00E7681E" w:rsidP="00E7681E">
      <w:r>
        <w:t>No data available.</w:t>
      </w:r>
    </w:p>
    <w:p w14:paraId="3CB6F3BA" w14:textId="77777777" w:rsidR="00D52399" w:rsidRDefault="00615052" w:rsidP="00674CFD">
      <w:pPr>
        <w:pStyle w:val="Heading2"/>
        <w:ind w:hanging="786"/>
      </w:pPr>
      <w:r>
        <w:t>4.5</w:t>
      </w:r>
      <w:r>
        <w:tab/>
      </w:r>
      <w:r w:rsidR="00D82AB1">
        <w:t>INTERACTION WITH OTHER MEDICINES AND OTHER FORMS OF INTERACTIONS</w:t>
      </w:r>
    </w:p>
    <w:p w14:paraId="51B0E8BB" w14:textId="77777777" w:rsidR="006D0BED" w:rsidRPr="007959AA" w:rsidRDefault="006D0BED" w:rsidP="006D0BED">
      <w:pPr>
        <w:pStyle w:val="Heading3"/>
      </w:pPr>
      <w:r w:rsidRPr="007959AA">
        <w:t>Effects of alectinib on other medicines</w:t>
      </w:r>
    </w:p>
    <w:p w14:paraId="0ADD36B0" w14:textId="77777777" w:rsidR="006D0BED" w:rsidRPr="00051091" w:rsidRDefault="006D0BED" w:rsidP="006D0BED">
      <w:pPr>
        <w:pStyle w:val="Heading4"/>
        <w:rPr>
          <w:lang w:eastAsia="en-GB"/>
        </w:rPr>
      </w:pPr>
      <w:r w:rsidRPr="00051091">
        <w:rPr>
          <w:lang w:eastAsia="en-GB"/>
        </w:rPr>
        <w:t>CYP substrates</w:t>
      </w:r>
    </w:p>
    <w:p w14:paraId="6387AEDD" w14:textId="77777777" w:rsidR="006D0BED" w:rsidRPr="00051091" w:rsidRDefault="006D0BED" w:rsidP="006D0BED">
      <w:pPr>
        <w:rPr>
          <w:lang w:eastAsia="en-GB"/>
        </w:rPr>
      </w:pPr>
      <w:r w:rsidRPr="00051091">
        <w:rPr>
          <w:i/>
          <w:lang w:eastAsia="en-GB"/>
        </w:rPr>
        <w:t>In vitro</w:t>
      </w:r>
      <w:r w:rsidRPr="00051091">
        <w:rPr>
          <w:lang w:eastAsia="en-GB"/>
        </w:rPr>
        <w:t xml:space="preserve"> studies </w:t>
      </w:r>
      <w:r>
        <w:rPr>
          <w:lang w:eastAsia="en-GB"/>
        </w:rPr>
        <w:t>suggest</w:t>
      </w:r>
      <w:r w:rsidRPr="00051091">
        <w:rPr>
          <w:lang w:eastAsia="en-GB"/>
        </w:rPr>
        <w:t xml:space="preserve"> that alectinib </w:t>
      </w:r>
      <w:r>
        <w:rPr>
          <w:lang w:eastAsia="en-GB"/>
        </w:rPr>
        <w:t>and</w:t>
      </w:r>
      <w:r w:rsidRPr="00051091">
        <w:rPr>
          <w:lang w:eastAsia="en-GB"/>
        </w:rPr>
        <w:t xml:space="preserve"> M4</w:t>
      </w:r>
      <w:r>
        <w:rPr>
          <w:lang w:eastAsia="en-GB"/>
        </w:rPr>
        <w:t xml:space="preserve"> do not</w:t>
      </w:r>
      <w:r w:rsidRPr="00051091">
        <w:rPr>
          <w:lang w:eastAsia="en-GB"/>
        </w:rPr>
        <w:t xml:space="preserve"> inhibit CYP1A2, CYP2B6, CYP2C9, CYP2C19, or CYP2D6. </w:t>
      </w:r>
      <w:r>
        <w:rPr>
          <w:lang w:eastAsia="en-GB"/>
        </w:rPr>
        <w:t xml:space="preserve">No clinically meaningful effect on the exposure of midazolam (a sensitive CYP3A substrate) or repaglinide (a sensitive CYP2C8 substrate) is expected following co-administration with Alecensa. No dose adjustment is required for co-administered CYP3A substrates. </w:t>
      </w:r>
    </w:p>
    <w:p w14:paraId="674C4593" w14:textId="77777777" w:rsidR="006D0BED" w:rsidRPr="00051091" w:rsidRDefault="006D0BED" w:rsidP="006D0BED">
      <w:pPr>
        <w:pStyle w:val="Heading4"/>
        <w:rPr>
          <w:lang w:eastAsia="en-GB"/>
        </w:rPr>
      </w:pPr>
      <w:r w:rsidRPr="00051091">
        <w:rPr>
          <w:lang w:eastAsia="en-GB"/>
        </w:rPr>
        <w:t>P-gp and BCRP substrates</w:t>
      </w:r>
    </w:p>
    <w:p w14:paraId="74160AD1" w14:textId="77777777" w:rsidR="006D0BED" w:rsidRDefault="006D0BED" w:rsidP="006D0BED">
      <w:pPr>
        <w:rPr>
          <w:lang w:eastAsia="en-GB"/>
        </w:rPr>
      </w:pPr>
      <w:r w:rsidRPr="00051091">
        <w:rPr>
          <w:i/>
          <w:lang w:eastAsia="en-GB"/>
        </w:rPr>
        <w:t>In vitro</w:t>
      </w:r>
      <w:r>
        <w:rPr>
          <w:lang w:eastAsia="en-GB"/>
        </w:rPr>
        <w:t xml:space="preserve"> studies suggest that</w:t>
      </w:r>
      <w:r w:rsidRPr="00051091">
        <w:rPr>
          <w:lang w:eastAsia="en-GB"/>
        </w:rPr>
        <w:t xml:space="preserve"> alectinib and M4 inhibit P-gp and BCRP. Therefore, alectinib may have the potential to increase plasma concentrations of co-administered</w:t>
      </w:r>
      <w:r>
        <w:rPr>
          <w:lang w:eastAsia="en-GB"/>
        </w:rPr>
        <w:t xml:space="preserve"> substrates of P</w:t>
      </w:r>
      <w:r>
        <w:rPr>
          <w:lang w:eastAsia="en-GB"/>
        </w:rPr>
        <w:noBreakHyphen/>
      </w:r>
      <w:r w:rsidRPr="00051091">
        <w:rPr>
          <w:lang w:eastAsia="en-GB"/>
        </w:rPr>
        <w:t>gp or BCRP transporters (the increase in exposure is not expe</w:t>
      </w:r>
      <w:r>
        <w:rPr>
          <w:lang w:eastAsia="en-GB"/>
        </w:rPr>
        <w:t>cted to be more than 2-fold)</w:t>
      </w:r>
      <w:r w:rsidRPr="00051091">
        <w:rPr>
          <w:lang w:eastAsia="en-GB"/>
        </w:rPr>
        <w:t xml:space="preserve">. </w:t>
      </w:r>
      <w:r>
        <w:rPr>
          <w:lang w:eastAsia="en-GB"/>
        </w:rPr>
        <w:t>A</w:t>
      </w:r>
      <w:r w:rsidRPr="00051091">
        <w:rPr>
          <w:lang w:eastAsia="en-GB"/>
        </w:rPr>
        <w:t xml:space="preserve">ppropriate monitoring is recommended </w:t>
      </w:r>
      <w:r>
        <w:rPr>
          <w:lang w:eastAsia="en-GB"/>
        </w:rPr>
        <w:t>w</w:t>
      </w:r>
      <w:r w:rsidRPr="00051091">
        <w:rPr>
          <w:lang w:eastAsia="en-GB"/>
        </w:rPr>
        <w:t xml:space="preserve">hen </w:t>
      </w:r>
      <w:r>
        <w:rPr>
          <w:lang w:eastAsia="en-GB"/>
        </w:rPr>
        <w:t>Alecensa</w:t>
      </w:r>
      <w:r w:rsidRPr="00051091">
        <w:rPr>
          <w:lang w:eastAsia="en-GB"/>
        </w:rPr>
        <w:t xml:space="preserve"> is co-administered with P-gp or BCRP substrates with narrow therapeutic index (e.g. digoxin, dabigatran, </w:t>
      </w:r>
      <w:proofErr w:type="gramStart"/>
      <w:r w:rsidRPr="00051091">
        <w:rPr>
          <w:lang w:eastAsia="en-GB"/>
        </w:rPr>
        <w:t>methotrexate</w:t>
      </w:r>
      <w:proofErr w:type="gramEnd"/>
      <w:r w:rsidRPr="00051091">
        <w:rPr>
          <w:lang w:eastAsia="en-GB"/>
        </w:rPr>
        <w:t xml:space="preserve">). </w:t>
      </w:r>
    </w:p>
    <w:p w14:paraId="0CA9DBC8" w14:textId="77777777" w:rsidR="006D0BED" w:rsidRDefault="006D0BED" w:rsidP="006D0BED">
      <w:pPr>
        <w:pStyle w:val="Heading4"/>
        <w:rPr>
          <w:lang w:eastAsia="en-GB"/>
        </w:rPr>
      </w:pPr>
      <w:r>
        <w:rPr>
          <w:lang w:eastAsia="en-GB"/>
        </w:rPr>
        <w:t>Other transporters</w:t>
      </w:r>
    </w:p>
    <w:p w14:paraId="6B6131D7" w14:textId="77777777" w:rsidR="006D0BED" w:rsidRPr="0025375A" w:rsidRDefault="006D0BED" w:rsidP="006D0BED">
      <w:pPr>
        <w:rPr>
          <w:lang w:eastAsia="en-GB"/>
        </w:rPr>
      </w:pPr>
      <w:r>
        <w:rPr>
          <w:lang w:eastAsia="en-GB"/>
        </w:rPr>
        <w:t xml:space="preserve">Alectinib did not inhibit OATP1B1, OATP1B3, OAT1, OAT3, or OCT2 transport activity </w:t>
      </w:r>
      <w:r w:rsidRPr="00A55678">
        <w:rPr>
          <w:i/>
          <w:lang w:eastAsia="en-GB"/>
        </w:rPr>
        <w:t>in vitro</w:t>
      </w:r>
      <w:r>
        <w:rPr>
          <w:lang w:eastAsia="en-GB"/>
        </w:rPr>
        <w:t xml:space="preserve">. </w:t>
      </w:r>
    </w:p>
    <w:p w14:paraId="0AC1E910" w14:textId="77777777" w:rsidR="006D0BED" w:rsidRPr="007959AA" w:rsidRDefault="006D0BED" w:rsidP="006D0BED">
      <w:pPr>
        <w:pStyle w:val="Heading3"/>
      </w:pPr>
      <w:r w:rsidRPr="007959AA">
        <w:t>Effects of other medicines on alectinib</w:t>
      </w:r>
    </w:p>
    <w:p w14:paraId="4C16CA47" w14:textId="77777777" w:rsidR="006D0BED" w:rsidRPr="00EB6252" w:rsidRDefault="006D0BED" w:rsidP="006D0BED">
      <w:pPr>
        <w:pStyle w:val="Heading4"/>
      </w:pPr>
      <w:r w:rsidRPr="00EB6252">
        <w:t>CYP3A inducers</w:t>
      </w:r>
    </w:p>
    <w:p w14:paraId="215AD9DD" w14:textId="77777777" w:rsidR="006D0BED" w:rsidRPr="0029141A" w:rsidRDefault="006D0BED" w:rsidP="006D0BED">
      <w:r w:rsidRPr="0029141A">
        <w:t>Co-administration of multiple oral doses of 600 mg rifampi</w:t>
      </w:r>
      <w:r>
        <w:t>ci</w:t>
      </w:r>
      <w:r w:rsidRPr="0029141A">
        <w:t>n once daily, a strong CYP3A inducer, with a single oral dose of 600 mg alectinib exhibited a minor effect on combined exposure of alectinib and M4 (geometric mean ratio with/without rifampi</w:t>
      </w:r>
      <w:r>
        <w:t>ci</w:t>
      </w:r>
      <w:r w:rsidRPr="0029141A">
        <w:t>n [90% confidence interval]: C</w:t>
      </w:r>
      <w:r w:rsidRPr="00467505">
        <w:rPr>
          <w:vertAlign w:val="subscript"/>
        </w:rPr>
        <w:t>max</w:t>
      </w:r>
      <w:r w:rsidRPr="0029141A">
        <w:t xml:space="preserve"> 0.96 [0.88 – 1.05], AUC</w:t>
      </w:r>
      <w:r w:rsidRPr="00467505">
        <w:rPr>
          <w:vertAlign w:val="subscript"/>
        </w:rPr>
        <w:t>inf</w:t>
      </w:r>
      <w:r w:rsidRPr="0029141A">
        <w:t xml:space="preserve"> 0.82 [0.74 – 0.90]). Therefore, no dose adjustments are required when </w:t>
      </w:r>
      <w:r>
        <w:t>Alecensa</w:t>
      </w:r>
      <w:r w:rsidRPr="0029141A">
        <w:t xml:space="preserve"> is co-administered with </w:t>
      </w:r>
      <w:r w:rsidRPr="0029141A">
        <w:rPr>
          <w:lang w:eastAsia="en-GB"/>
        </w:rPr>
        <w:t>CYP3A</w:t>
      </w:r>
      <w:r w:rsidRPr="0029141A" w:rsidDel="00580586">
        <w:rPr>
          <w:lang w:eastAsia="en-GB"/>
        </w:rPr>
        <w:t xml:space="preserve"> </w:t>
      </w:r>
      <w:r w:rsidRPr="0029141A">
        <w:rPr>
          <w:lang w:eastAsia="en-GB"/>
        </w:rPr>
        <w:t>inducers</w:t>
      </w:r>
      <w:r w:rsidRPr="0029141A">
        <w:t>.</w:t>
      </w:r>
    </w:p>
    <w:p w14:paraId="3564C57C" w14:textId="77777777" w:rsidR="006D0BED" w:rsidRPr="00EB6252" w:rsidRDefault="006D0BED" w:rsidP="006D0BED">
      <w:pPr>
        <w:pStyle w:val="Heading4"/>
      </w:pPr>
      <w:r w:rsidRPr="00EB6252">
        <w:t>CYP3A inhibitors</w:t>
      </w:r>
    </w:p>
    <w:p w14:paraId="75F8E37C" w14:textId="77777777" w:rsidR="006D0BED" w:rsidRPr="0029141A" w:rsidRDefault="006D0BED" w:rsidP="006D0BED">
      <w:r w:rsidRPr="0029141A">
        <w:t>Co-administration of multiple oral doses of 400 mg posaconazole twice daily, a strong CYP3A inhibitor, with a single oral dose of 300 mg alectinib had a minor effect on combined exposure of alectinib and M4 (</w:t>
      </w:r>
      <w:r w:rsidRPr="0029141A">
        <w:rPr>
          <w:lang w:eastAsia="en-GB"/>
        </w:rPr>
        <w:t>geometric mean ratio with/without posaconazole [90% confidence interval]: C</w:t>
      </w:r>
      <w:r w:rsidRPr="00467505">
        <w:rPr>
          <w:vertAlign w:val="subscript"/>
          <w:lang w:eastAsia="en-GB"/>
        </w:rPr>
        <w:t xml:space="preserve">max </w:t>
      </w:r>
      <w:r w:rsidRPr="0029141A">
        <w:rPr>
          <w:lang w:eastAsia="en-GB"/>
        </w:rPr>
        <w:t>0.93 [0.81 – 1.08], AUC</w:t>
      </w:r>
      <w:r w:rsidRPr="00467505">
        <w:rPr>
          <w:vertAlign w:val="subscript"/>
          <w:lang w:eastAsia="en-GB"/>
        </w:rPr>
        <w:t>inf</w:t>
      </w:r>
      <w:r w:rsidRPr="0029141A">
        <w:rPr>
          <w:lang w:eastAsia="en-GB"/>
        </w:rPr>
        <w:t xml:space="preserve"> 1.36 [1.24 – 1.49]). Therefore, no dose adjustments are required when </w:t>
      </w:r>
      <w:r>
        <w:t>Alecensa</w:t>
      </w:r>
      <w:r w:rsidRPr="0029141A">
        <w:t xml:space="preserve"> </w:t>
      </w:r>
      <w:r w:rsidRPr="0029141A">
        <w:rPr>
          <w:lang w:eastAsia="en-GB"/>
        </w:rPr>
        <w:t xml:space="preserve">is co-administered with </w:t>
      </w:r>
      <w:r>
        <w:rPr>
          <w:lang w:eastAsia="en-GB"/>
        </w:rPr>
        <w:t>CYP3A inhibitors</w:t>
      </w:r>
      <w:r>
        <w:t>.</w:t>
      </w:r>
    </w:p>
    <w:p w14:paraId="683C0A26" w14:textId="77777777" w:rsidR="006D0BED" w:rsidRPr="00EB6252" w:rsidRDefault="006D0BED" w:rsidP="005C668C">
      <w:pPr>
        <w:pStyle w:val="Heading4"/>
        <w:keepNext/>
      </w:pPr>
      <w:r w:rsidRPr="00EB6252">
        <w:lastRenderedPageBreak/>
        <w:t xml:space="preserve">Medicinal products that increase gastric pH </w:t>
      </w:r>
    </w:p>
    <w:p w14:paraId="625E489E" w14:textId="77777777" w:rsidR="006D0BED" w:rsidRDefault="006D0BED" w:rsidP="006D0BED">
      <w:r w:rsidRPr="0029141A">
        <w:t xml:space="preserve">Although the aqueous solubility of alectinib </w:t>
      </w:r>
      <w:r w:rsidRPr="0029141A">
        <w:rPr>
          <w:i/>
        </w:rPr>
        <w:t>in vitro</w:t>
      </w:r>
      <w:r w:rsidRPr="0029141A">
        <w:t xml:space="preserve"> is pH dependent, a dedicated clinical </w:t>
      </w:r>
      <w:r w:rsidRPr="0029141A">
        <w:rPr>
          <w:lang w:eastAsia="en-GB"/>
        </w:rPr>
        <w:t>drug-drug interaction study</w:t>
      </w:r>
      <w:r w:rsidRPr="0029141A">
        <w:t xml:space="preserve"> with 40 mg esomeprazole once daily, a proton pump inhibitor, demonstrated no clinically relevant effect on the combined exposure of alectinib and M4.  Therefore, no dose adjustments are required when </w:t>
      </w:r>
      <w:r>
        <w:t>Alecensa</w:t>
      </w:r>
      <w:r w:rsidRPr="0029141A">
        <w:t xml:space="preserve"> is co-administered with proton pump inhibitors or other drugs which raise gastric pH (e.g. H2 receptor antagonists or antacids).</w:t>
      </w:r>
    </w:p>
    <w:p w14:paraId="5614B60E" w14:textId="77777777" w:rsidR="006D0BED" w:rsidRPr="00EB6252" w:rsidRDefault="006D0BED" w:rsidP="006D0BED">
      <w:pPr>
        <w:pStyle w:val="Heading4"/>
      </w:pPr>
      <w:r w:rsidRPr="00EB6252">
        <w:t>Effect of transporters on alectinib disposition</w:t>
      </w:r>
    </w:p>
    <w:p w14:paraId="73991D0F" w14:textId="77777777" w:rsidR="00D52399" w:rsidRDefault="006D0BED">
      <w:r w:rsidRPr="0029141A">
        <w:t xml:space="preserve">Based on </w:t>
      </w:r>
      <w:r w:rsidRPr="0029141A">
        <w:rPr>
          <w:i/>
        </w:rPr>
        <w:t>in vitro</w:t>
      </w:r>
      <w:r w:rsidRPr="0029141A">
        <w:t xml:space="preserve"> data, a</w:t>
      </w:r>
      <w:r w:rsidRPr="0029141A">
        <w:rPr>
          <w:lang w:eastAsia="en-US"/>
        </w:rPr>
        <w:t>lectinib is not a substrate of P-gp</w:t>
      </w:r>
      <w:r>
        <w:rPr>
          <w:lang w:eastAsia="en-US"/>
        </w:rPr>
        <w:t>. A</w:t>
      </w:r>
      <w:r w:rsidRPr="0029141A">
        <w:rPr>
          <w:lang w:eastAsia="en-US"/>
        </w:rPr>
        <w:t>lectinib and M4 are not substrates of BCRP or Organic anion-transporting polypeptide (OATP) 1B1/B3. In contrast, M4 is a substrate of P-gp. Alectinib inhibits P-gp, and therefore, it is not expected that co-medication with P-gp inhibitors has a relevant effect on M4 exposure</w:t>
      </w:r>
      <w:r>
        <w:rPr>
          <w:lang w:eastAsia="en-US"/>
        </w:rPr>
        <w:t>.</w:t>
      </w:r>
    </w:p>
    <w:p w14:paraId="53FCD0D1" w14:textId="77777777" w:rsidR="00D52399" w:rsidRDefault="00615052" w:rsidP="00674CFD">
      <w:pPr>
        <w:pStyle w:val="Heading2"/>
        <w:ind w:hanging="786"/>
      </w:pPr>
      <w:r>
        <w:t>4.6</w:t>
      </w:r>
      <w:r>
        <w:tab/>
      </w:r>
      <w:r w:rsidR="00D82AB1">
        <w:t>FERTILITY, PREGNANCY AND LACTATION</w:t>
      </w:r>
    </w:p>
    <w:p w14:paraId="24E3D23F" w14:textId="77777777" w:rsidR="00636269" w:rsidRDefault="00636269" w:rsidP="00636269">
      <w:pPr>
        <w:pStyle w:val="Heading3"/>
      </w:pPr>
      <w:r>
        <w:t>Effects on fertility</w:t>
      </w:r>
    </w:p>
    <w:p w14:paraId="53057914" w14:textId="77777777" w:rsidR="00636269" w:rsidRPr="00636269" w:rsidRDefault="00636269" w:rsidP="00636269"/>
    <w:p w14:paraId="1402C4F7" w14:textId="77777777" w:rsidR="00636269" w:rsidRDefault="00636269" w:rsidP="00636269">
      <w:r w:rsidRPr="0084167B">
        <w:t>No fertility</w:t>
      </w:r>
      <w:r>
        <w:t>-specific</w:t>
      </w:r>
      <w:r w:rsidRPr="0084167B">
        <w:t xml:space="preserve"> studies </w:t>
      </w:r>
      <w:r>
        <w:t xml:space="preserve">of alectinib </w:t>
      </w:r>
      <w:r w:rsidRPr="0084167B">
        <w:t xml:space="preserve">in animals have been performed. </w:t>
      </w:r>
    </w:p>
    <w:p w14:paraId="494B0342" w14:textId="77777777" w:rsidR="00636269" w:rsidRDefault="00636269" w:rsidP="00636269">
      <w:pPr>
        <w:pStyle w:val="Heading3"/>
      </w:pPr>
      <w:r>
        <w:t>Contraception in males and females</w:t>
      </w:r>
    </w:p>
    <w:p w14:paraId="5DC8D869" w14:textId="77777777" w:rsidR="00636269" w:rsidRDefault="00636269" w:rsidP="00636269"/>
    <w:p w14:paraId="7D232163" w14:textId="77777777" w:rsidR="00636269" w:rsidRDefault="00636269" w:rsidP="00636269">
      <w:pPr>
        <w:rPr>
          <w:lang w:val="en-GB"/>
        </w:rPr>
      </w:pPr>
      <w:r w:rsidRPr="00407884">
        <w:t>Alecensa may cause fetal harm when administered to a pregnant woman</w:t>
      </w:r>
      <w:r>
        <w:t xml:space="preserve"> (see below). </w:t>
      </w:r>
      <w:r>
        <w:rPr>
          <w:lang w:val="en-GB"/>
        </w:rPr>
        <w:t>Advise females of reproductive</w:t>
      </w:r>
      <w:r w:rsidRPr="00B1117C">
        <w:rPr>
          <w:lang w:val="en-GB"/>
        </w:rPr>
        <w:t xml:space="preserve"> potential </w:t>
      </w:r>
      <w:r>
        <w:rPr>
          <w:lang w:val="en-GB"/>
        </w:rPr>
        <w:t>to avoid pregnancy by using</w:t>
      </w:r>
      <w:r w:rsidRPr="00B1117C">
        <w:rPr>
          <w:lang w:val="en-GB"/>
        </w:rPr>
        <w:t xml:space="preserve"> highly effective contracepti</w:t>
      </w:r>
      <w:r>
        <w:rPr>
          <w:lang w:val="en-GB"/>
        </w:rPr>
        <w:t>on</w:t>
      </w:r>
      <w:r w:rsidRPr="00B1117C">
        <w:rPr>
          <w:lang w:val="en-GB"/>
        </w:rPr>
        <w:t xml:space="preserve"> during treatment </w:t>
      </w:r>
      <w:r>
        <w:rPr>
          <w:lang w:val="en-GB"/>
        </w:rPr>
        <w:t xml:space="preserve">with Alecensa </w:t>
      </w:r>
      <w:r w:rsidRPr="00B1117C">
        <w:rPr>
          <w:lang w:val="en-GB"/>
        </w:rPr>
        <w:t xml:space="preserve">and for at least </w:t>
      </w:r>
      <w:r>
        <w:rPr>
          <w:lang w:val="en-GB"/>
        </w:rPr>
        <w:t>1 week</w:t>
      </w:r>
      <w:r w:rsidRPr="00B1117C">
        <w:rPr>
          <w:lang w:val="en-GB"/>
        </w:rPr>
        <w:t xml:space="preserve"> </w:t>
      </w:r>
      <w:r>
        <w:rPr>
          <w:lang w:val="en-GB"/>
        </w:rPr>
        <w:t>after the final</w:t>
      </w:r>
      <w:r w:rsidRPr="00B1117C">
        <w:rPr>
          <w:lang w:val="en-GB"/>
        </w:rPr>
        <w:t xml:space="preserve"> dose</w:t>
      </w:r>
      <w:r>
        <w:t>.</w:t>
      </w:r>
      <w:r w:rsidRPr="00B1117C">
        <w:rPr>
          <w:lang w:val="en-GB"/>
        </w:rPr>
        <w:t xml:space="preserve"> </w:t>
      </w:r>
    </w:p>
    <w:p w14:paraId="47C4CCB9" w14:textId="77777777" w:rsidR="00636269" w:rsidRDefault="00636269" w:rsidP="00636269">
      <w:pPr>
        <w:rPr>
          <w:lang w:val="en-GB"/>
        </w:rPr>
      </w:pPr>
    </w:p>
    <w:p w14:paraId="63EEB57D" w14:textId="77777777" w:rsidR="00636269" w:rsidRPr="00636269" w:rsidRDefault="00636269" w:rsidP="00636269">
      <w:r>
        <w:rPr>
          <w:lang w:val="en-GB"/>
        </w:rPr>
        <w:t xml:space="preserve">Based on genotoxicity findings (see section 5.3), advise </w:t>
      </w:r>
      <w:r w:rsidRPr="006E0305">
        <w:rPr>
          <w:lang w:val="en-GB"/>
        </w:rPr>
        <w:t>male</w:t>
      </w:r>
      <w:r>
        <w:rPr>
          <w:lang w:val="en-GB"/>
        </w:rPr>
        <w:t>s with female partners of reproductive potential to use highly effective contraception during treatment with Alecensa and for 3 months following the final dose.</w:t>
      </w:r>
      <w:r w:rsidRPr="006E0305">
        <w:rPr>
          <w:lang w:val="en-GB"/>
        </w:rPr>
        <w:t xml:space="preserve"> </w:t>
      </w:r>
    </w:p>
    <w:p w14:paraId="57B565E8" w14:textId="77777777" w:rsidR="00636269" w:rsidRDefault="00636269" w:rsidP="00636269">
      <w:pPr>
        <w:pStyle w:val="Heading3"/>
      </w:pPr>
      <w:r>
        <w:t>Use in pregnancy – Category D</w:t>
      </w:r>
    </w:p>
    <w:p w14:paraId="65136BE4" w14:textId="77777777" w:rsidR="00636269" w:rsidRPr="00636269" w:rsidRDefault="00636269" w:rsidP="00636269"/>
    <w:p w14:paraId="351EF846" w14:textId="77777777" w:rsidR="00636269" w:rsidRDefault="00636269" w:rsidP="00636269">
      <w:r w:rsidRPr="00CA41ED">
        <w:t xml:space="preserve">In animal studies, a maternal dose of alectinib </w:t>
      </w:r>
      <w:r w:rsidRPr="000D7B27">
        <w:t>(27 mg/kg/day)</w:t>
      </w:r>
      <w:r>
        <w:t xml:space="preserve"> </w:t>
      </w:r>
      <w:r w:rsidRPr="00CA41ED">
        <w:t>equivalent to 2.7-times the recommended human dose of 600 mg twice-daily (based on AUC) caused embryo-fetal loss (miscarriage)</w:t>
      </w:r>
      <w:r>
        <w:t xml:space="preserve">, </w:t>
      </w:r>
      <w:r w:rsidRPr="000D7B27">
        <w:t>visceral malformation (retro-oesophageal subclavian) and skeletal variations (an increase in full supernumerary ribs and a corresponding decrease in short supernumerary ribs)</w:t>
      </w:r>
      <w:r w:rsidRPr="00CA41ED">
        <w:t xml:space="preserve"> in pregnant rabbits. The same dose given to pregnant rats </w:t>
      </w:r>
      <w:r w:rsidRPr="000D7B27">
        <w:t>(4 times the clinical AUC)</w:t>
      </w:r>
      <w:r>
        <w:t xml:space="preserve"> </w:t>
      </w:r>
      <w:r w:rsidRPr="000D7B27">
        <w:t>resulted in total litter loss. Alectinib at 9 mg/kg/day (2.5 times the clinical AUC) caused</w:t>
      </w:r>
      <w:r w:rsidRPr="00CA41ED">
        <w:t xml:space="preserve"> small fetuses </w:t>
      </w:r>
      <w:r>
        <w:t>and fetal</w:t>
      </w:r>
      <w:r w:rsidRPr="00CA41ED">
        <w:t xml:space="preserve"> abnormalities</w:t>
      </w:r>
      <w:r>
        <w:t xml:space="preserve"> </w:t>
      </w:r>
      <w:r w:rsidRPr="001229E6">
        <w:t xml:space="preserve">(dilated ureter, </w:t>
      </w:r>
      <w:proofErr w:type="spellStart"/>
      <w:r w:rsidRPr="001229E6">
        <w:t>thymic</w:t>
      </w:r>
      <w:proofErr w:type="spellEnd"/>
      <w:r w:rsidRPr="001229E6">
        <w:t xml:space="preserve"> cord, small ventricle and thin ventricle wall of the heart, and decreased number of sacral and caudal vertebrae)</w:t>
      </w:r>
      <w:r>
        <w:t xml:space="preserve">. </w:t>
      </w:r>
    </w:p>
    <w:p w14:paraId="0027653C" w14:textId="77777777" w:rsidR="00636269" w:rsidRDefault="00636269" w:rsidP="00636269"/>
    <w:p w14:paraId="02634D12" w14:textId="77777777" w:rsidR="00636269" w:rsidRDefault="00636269" w:rsidP="00636269">
      <w:pPr>
        <w:rPr>
          <w:lang w:val="en-GB"/>
        </w:rPr>
      </w:pPr>
      <w:r w:rsidRPr="00363173">
        <w:rPr>
          <w:lang w:val="en-GB"/>
        </w:rPr>
        <w:t xml:space="preserve">Based on animal studies and its mechanism of action, </w:t>
      </w:r>
      <w:r>
        <w:t>Alecensa</w:t>
      </w:r>
      <w:r w:rsidRPr="00363173">
        <w:rPr>
          <w:lang w:val="en-GB"/>
        </w:rPr>
        <w:t xml:space="preserve"> </w:t>
      </w:r>
      <w:r>
        <w:rPr>
          <w:lang w:val="en-GB"/>
        </w:rPr>
        <w:t>may</w:t>
      </w:r>
      <w:r w:rsidRPr="00363173">
        <w:rPr>
          <w:lang w:val="en-GB"/>
        </w:rPr>
        <w:t xml:space="preserve"> cause fetal harm </w:t>
      </w:r>
      <w:r>
        <w:rPr>
          <w:lang w:val="en-GB"/>
        </w:rPr>
        <w:t>if taken during pregnancy</w:t>
      </w:r>
      <w:r w:rsidRPr="00363173">
        <w:rPr>
          <w:lang w:val="en-GB"/>
        </w:rPr>
        <w:t xml:space="preserve">. </w:t>
      </w:r>
      <w:r>
        <w:rPr>
          <w:lang w:val="en-GB"/>
        </w:rPr>
        <w:t xml:space="preserve">No clinical studies of Alecensa in pregnant women have been performed. </w:t>
      </w:r>
    </w:p>
    <w:p w14:paraId="36906DB4" w14:textId="77777777" w:rsidR="00636269" w:rsidRDefault="00636269" w:rsidP="00636269">
      <w:pPr>
        <w:rPr>
          <w:lang w:val="en-GB"/>
        </w:rPr>
      </w:pPr>
    </w:p>
    <w:p w14:paraId="5DCD6326" w14:textId="77777777" w:rsidR="00636269" w:rsidRDefault="00636269" w:rsidP="00636269">
      <w:pPr>
        <w:rPr>
          <w:lang w:val="en-GB"/>
        </w:rPr>
      </w:pPr>
      <w:r>
        <w:rPr>
          <w:lang w:val="en-GB"/>
        </w:rPr>
        <w:t>Advise a pregnant woman of the potential harm to the fetus.</w:t>
      </w:r>
    </w:p>
    <w:p w14:paraId="2B61A1BE" w14:textId="77777777" w:rsidR="00636269" w:rsidRDefault="00636269" w:rsidP="00636269">
      <w:pPr>
        <w:rPr>
          <w:lang w:val="en-GB"/>
        </w:rPr>
      </w:pPr>
    </w:p>
    <w:p w14:paraId="5B86AFF1" w14:textId="77777777" w:rsidR="00636269" w:rsidRDefault="00636269" w:rsidP="00636269">
      <w:pPr>
        <w:rPr>
          <w:lang w:val="en-GB"/>
        </w:rPr>
      </w:pPr>
      <w:r>
        <w:rPr>
          <w:lang w:val="en-GB"/>
        </w:rPr>
        <w:t>Advise patients that they must inform their healthcare provider of a known or suspected pregnancy.</w:t>
      </w:r>
    </w:p>
    <w:p w14:paraId="59189A0C" w14:textId="77777777" w:rsidR="00636269" w:rsidRPr="00570E11" w:rsidRDefault="00636269" w:rsidP="00636269">
      <w:pPr>
        <w:rPr>
          <w:lang w:val="en-GB"/>
        </w:rPr>
      </w:pPr>
    </w:p>
    <w:p w14:paraId="1FDAB4F9" w14:textId="77777777" w:rsidR="00636269" w:rsidRPr="00CA41ED" w:rsidRDefault="00636269" w:rsidP="00636269">
      <w:r w:rsidRPr="00CA41ED">
        <w:t xml:space="preserve">The use of </w:t>
      </w:r>
      <w:r>
        <w:t>Alecensa</w:t>
      </w:r>
      <w:r w:rsidRPr="00CA41ED">
        <w:t xml:space="preserve"> during labo</w:t>
      </w:r>
      <w:r>
        <w:t>u</w:t>
      </w:r>
      <w:r w:rsidRPr="00CA41ED">
        <w:t>r and delivery has not been established.</w:t>
      </w:r>
    </w:p>
    <w:p w14:paraId="245D7C8A" w14:textId="77777777" w:rsidR="00636269" w:rsidRDefault="00636269" w:rsidP="00636269">
      <w:pPr>
        <w:pStyle w:val="Heading3"/>
        <w:keepNext/>
      </w:pPr>
      <w:r>
        <w:lastRenderedPageBreak/>
        <w:t>Use in lactation</w:t>
      </w:r>
    </w:p>
    <w:p w14:paraId="317F89EF" w14:textId="77777777" w:rsidR="00636269" w:rsidRDefault="00636269" w:rsidP="00636269">
      <w:pPr>
        <w:keepNext/>
      </w:pPr>
    </w:p>
    <w:p w14:paraId="04DB5A76" w14:textId="77777777" w:rsidR="00636269" w:rsidRDefault="00636269" w:rsidP="00636269">
      <w:r>
        <w:t xml:space="preserve">There are no data on the presence of alectinib or its metabolites in human milk, the effects of alectinib on the breastfed infant, or its effects on milk production. Because of the potential for serious adverse reactions from alectinib in breastfed infants, advise a lactating woman not to breastfeed during treatment with Alecensa and for 1 week after the final dose. </w:t>
      </w:r>
    </w:p>
    <w:p w14:paraId="6E2A2307" w14:textId="77777777" w:rsidR="00D52399" w:rsidRDefault="00615052" w:rsidP="008903F2">
      <w:pPr>
        <w:pStyle w:val="Heading2"/>
        <w:ind w:hanging="786"/>
      </w:pPr>
      <w:r>
        <w:t>4.7</w:t>
      </w:r>
      <w:r>
        <w:tab/>
      </w:r>
      <w:r w:rsidR="00D82AB1">
        <w:t>EFFECTS ON ABILITY TO DRIVE AND USE MACHINES</w:t>
      </w:r>
    </w:p>
    <w:p w14:paraId="618EAC4A" w14:textId="77777777" w:rsidR="00D52399" w:rsidRDefault="00D52399"/>
    <w:p w14:paraId="397490B0" w14:textId="77777777" w:rsidR="00D82AB1" w:rsidRDefault="00D82AB1" w:rsidP="00D82AB1">
      <w:r w:rsidRPr="000252A5">
        <w:t>No studies o</w:t>
      </w:r>
      <w:r>
        <w:t>f</w:t>
      </w:r>
      <w:r w:rsidRPr="000252A5">
        <w:t xml:space="preserve"> the effects on the ability to drive and to use machines have been performed.</w:t>
      </w:r>
    </w:p>
    <w:p w14:paraId="47DF88CD" w14:textId="77777777" w:rsidR="00D82AB1" w:rsidRDefault="00D82AB1" w:rsidP="00D82AB1"/>
    <w:p w14:paraId="65900AA5" w14:textId="77777777" w:rsidR="00D82AB1" w:rsidRPr="000252A5" w:rsidRDefault="00D82AB1" w:rsidP="00D82AB1">
      <w:r w:rsidRPr="009A1545">
        <w:t>Caution should be exercised when driving or operating machines as patients may experienc</w:t>
      </w:r>
      <w:r>
        <w:t>e symptomatic bradycardia (e.g.</w:t>
      </w:r>
      <w:r w:rsidRPr="009A1545">
        <w:t xml:space="preserve"> syncope, dizziness, </w:t>
      </w:r>
      <w:proofErr w:type="gramStart"/>
      <w:r w:rsidRPr="009A1545">
        <w:t>hypotension</w:t>
      </w:r>
      <w:proofErr w:type="gramEnd"/>
      <w:r w:rsidRPr="009A1545">
        <w:t xml:space="preserve">) or vision disorders while taking </w:t>
      </w:r>
      <w:r>
        <w:t>Alecensa (see section 4.8).</w:t>
      </w:r>
    </w:p>
    <w:p w14:paraId="61F5448A" w14:textId="77777777" w:rsidR="00D52399" w:rsidRPr="00D82AB1" w:rsidRDefault="00615052" w:rsidP="00D82AB1">
      <w:pPr>
        <w:pStyle w:val="Heading2"/>
        <w:ind w:left="0" w:firstLine="0"/>
      </w:pPr>
      <w:r w:rsidRPr="00D82AB1">
        <w:t>4.8</w:t>
      </w:r>
      <w:r w:rsidRPr="00D82AB1">
        <w:tab/>
      </w:r>
      <w:r w:rsidR="00CF3BFF" w:rsidRPr="00D82AB1">
        <w:t>ADVERSE EFFECTS (UNDESIRABLE EFFECTS)</w:t>
      </w:r>
    </w:p>
    <w:p w14:paraId="195351DB" w14:textId="77777777" w:rsidR="006672A3" w:rsidRDefault="006672A3" w:rsidP="003B42B9"/>
    <w:p w14:paraId="2C77EB5E" w14:textId="77777777" w:rsidR="003B42B9" w:rsidRDefault="003B42B9" w:rsidP="003B42B9">
      <w:r>
        <w:t>The following adverse events of specific concern are discussed in detail in section</w:t>
      </w:r>
      <w:r w:rsidR="006672A3">
        <w:t xml:space="preserve"> 4.4</w:t>
      </w:r>
      <w:r>
        <w:t>:</w:t>
      </w:r>
    </w:p>
    <w:p w14:paraId="0F8D4074" w14:textId="77777777" w:rsidR="003B42B9" w:rsidRDefault="003B42B9" w:rsidP="003B42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pPr>
      <w:r>
        <w:t>Interstitial Lung Disease (ILD)/pneumonitis</w:t>
      </w:r>
    </w:p>
    <w:p w14:paraId="38EE6AAC" w14:textId="77777777" w:rsidR="003B42B9" w:rsidRDefault="003B42B9" w:rsidP="003B42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pPr>
      <w:r>
        <w:t>Hepatotoxicity</w:t>
      </w:r>
    </w:p>
    <w:p w14:paraId="2D7F1BBB" w14:textId="77777777" w:rsidR="003B42B9" w:rsidRDefault="003B42B9" w:rsidP="003B42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pPr>
      <w:r>
        <w:t>Bradycardia</w:t>
      </w:r>
    </w:p>
    <w:p w14:paraId="0057A736" w14:textId="77777777" w:rsidR="003B42B9" w:rsidRDefault="003B42B9" w:rsidP="003B42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pPr>
      <w:r>
        <w:t>Severe myalgia and creatine phosphokinase (CPK) elevation</w:t>
      </w:r>
    </w:p>
    <w:p w14:paraId="3DB660AA" w14:textId="77777777" w:rsidR="003B42B9" w:rsidRDefault="003B42B9" w:rsidP="003B42B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pPr>
      <w:r>
        <w:t>Photosensitivity</w:t>
      </w:r>
    </w:p>
    <w:p w14:paraId="18A72D62" w14:textId="77777777" w:rsidR="003B42B9" w:rsidRDefault="003B42B9" w:rsidP="003B42B9"/>
    <w:p w14:paraId="6084BF5F" w14:textId="77777777" w:rsidR="003B42B9" w:rsidRPr="00062B4C" w:rsidRDefault="003B42B9" w:rsidP="003B42B9">
      <w:r w:rsidRPr="00D3249F">
        <w:t>The safety profile of Alecensa was generally consistent across the phase III clinical trial (</w:t>
      </w:r>
      <w:r>
        <w:t>Study 3</w:t>
      </w:r>
      <w:r w:rsidRPr="00D3249F">
        <w:t xml:space="preserve">) and the pivotal phase </w:t>
      </w:r>
      <w:r>
        <w:t>I/</w:t>
      </w:r>
      <w:r w:rsidRPr="00D3249F">
        <w:t>II trials (</w:t>
      </w:r>
      <w:r>
        <w:t>Studies 1 and 2</w:t>
      </w:r>
      <w:r w:rsidRPr="00D3249F">
        <w:t xml:space="preserve">); however, relevant differences between studies are described </w:t>
      </w:r>
      <w:r>
        <w:t>in section</w:t>
      </w:r>
      <w:r w:rsidR="006672A3">
        <w:t xml:space="preserve"> 4.4</w:t>
      </w:r>
      <w:r>
        <w:t>.</w:t>
      </w:r>
    </w:p>
    <w:p w14:paraId="5FAE973F" w14:textId="77777777" w:rsidR="003B42B9" w:rsidRPr="00023167" w:rsidRDefault="003B42B9" w:rsidP="006672A3">
      <w:pPr>
        <w:pStyle w:val="Heading3"/>
      </w:pPr>
      <w:r w:rsidRPr="00023167">
        <w:t>Clinical trials</w:t>
      </w:r>
    </w:p>
    <w:p w14:paraId="47ED2FC4" w14:textId="77777777" w:rsidR="003B42B9" w:rsidRDefault="003B42B9" w:rsidP="006672A3">
      <w:pPr>
        <w:pStyle w:val="Heading4"/>
      </w:pPr>
      <w:r>
        <w:t>Patients</w:t>
      </w:r>
      <w:r w:rsidRPr="00047630">
        <w:t xml:space="preserve"> </w:t>
      </w:r>
      <w:r>
        <w:t>not previously treated systemically for advanced or metastatic NSCLC</w:t>
      </w:r>
    </w:p>
    <w:p w14:paraId="714E50E9" w14:textId="77777777" w:rsidR="006672A3" w:rsidRDefault="006672A3" w:rsidP="003B42B9"/>
    <w:p w14:paraId="6482EB43" w14:textId="77777777" w:rsidR="003B42B9" w:rsidRDefault="003B42B9" w:rsidP="003B42B9">
      <w:r>
        <w:t xml:space="preserve">The safety of Alecensa 600 mg twice daily compared to crizotinib 250 mg twice daily was evaluated in 152 and 151 patients with ALK-positive NSCLC, respectively, in the Phase III clinical trial, Study 3 (ALEX). The median duration of exposure to Alecensa and crizotinib was 17.9 and 10.7 months, respectively. </w:t>
      </w:r>
      <w:r w:rsidRPr="003614BF">
        <w:rPr>
          <w:lang w:val="en-GB"/>
        </w:rPr>
        <w:t xml:space="preserve">Patients presenting with baseline symptomatic bradycardia were not studied in </w:t>
      </w:r>
      <w:r>
        <w:rPr>
          <w:lang w:val="en-GB"/>
        </w:rPr>
        <w:t>this</w:t>
      </w:r>
      <w:r w:rsidRPr="003614BF">
        <w:rPr>
          <w:lang w:val="en-GB"/>
        </w:rPr>
        <w:t xml:space="preserve"> trial.</w:t>
      </w:r>
    </w:p>
    <w:p w14:paraId="0D88437B" w14:textId="77777777" w:rsidR="003B42B9" w:rsidRDefault="003B42B9" w:rsidP="003B42B9"/>
    <w:p w14:paraId="3F918CDE" w14:textId="77777777" w:rsidR="003B42B9" w:rsidRDefault="003B42B9" w:rsidP="003B42B9">
      <w:r>
        <w:t xml:space="preserve">Serious adverse reactions occurred in 28% and 29% of patients treated with Alecensa and crizotinib, respectively. The most frequently reported serious adverse reactions were pneumonia (3.3%) and acute kidney injury (2.6%) for patients treated with Alecensa, and pneumonia, pneumonitis and elevated ALT (2.6% each) for patients treated with crizotinib. Grade ≥ 3 adverse events were reported for 41% of patients in the Alecensa arm and 50% in the crizotinib arm. Fatal adverse events occurred in both treatment arms: 5 (3.3%), all unrelated in the Alecensa arm, and 7 (4.6%), 2 related in the crizotinib arm. </w:t>
      </w:r>
    </w:p>
    <w:p w14:paraId="4DD5E98E" w14:textId="77777777" w:rsidR="003B42B9" w:rsidRDefault="003B42B9" w:rsidP="003B42B9"/>
    <w:p w14:paraId="226DBC50" w14:textId="77777777" w:rsidR="003B42B9" w:rsidRDefault="003B42B9" w:rsidP="003B42B9">
      <w:r>
        <w:t xml:space="preserve">Permanent treatment discontinuation for adverse reactions occurred in 11% of patients treated with Alecensa, and in 13% of crizotinib-treated patients. Acute kidney injury was the most commonly reported adverse drug reaction leading to study drug discontinuation in the Alecensa arm (2.0%) and elevated ALT (5.3%), AST (4.0%) and pneumonitis (2.6%) in the crizotinib arm. Dose modifications (dose reductions and drug interruption, respectively) were </w:t>
      </w:r>
      <w:r>
        <w:lastRenderedPageBreak/>
        <w:t xml:space="preserve">required in 16% and 19% of patients in the Alecensa arm and in 21% and 25% in the crizotinib arm, respectively. The most frequent adverse reactions that led to dose modifications in the Alecensa arm were pneumonia, elevation in ALT and AST and in the crizotinib arm were elevated ALT, AST, neutropenia and vomiting. </w:t>
      </w:r>
    </w:p>
    <w:p w14:paraId="66DE06BA" w14:textId="77777777" w:rsidR="003B42B9" w:rsidRDefault="003B42B9" w:rsidP="003B42B9"/>
    <w:p w14:paraId="6EB4FA37" w14:textId="77777777" w:rsidR="003B42B9" w:rsidRPr="009473FE" w:rsidRDefault="003B42B9" w:rsidP="003B42B9">
      <w:pPr>
        <w:pStyle w:val="Tableheading"/>
      </w:pPr>
      <w:r w:rsidRPr="009473FE">
        <w:rPr>
          <w:rFonts w:hint="eastAsia"/>
        </w:rPr>
        <w:t xml:space="preserve">Table </w:t>
      </w:r>
      <w:r w:rsidR="006672A3">
        <w:t>3</w:t>
      </w:r>
      <w:r w:rsidRPr="009473FE">
        <w:rPr>
          <w:rFonts w:hint="eastAsia"/>
        </w:rPr>
        <w:t>:</w:t>
      </w:r>
      <w:r w:rsidRPr="009473FE">
        <w:tab/>
      </w:r>
      <w:r w:rsidRPr="009473FE">
        <w:rPr>
          <w:rFonts w:hint="eastAsia"/>
        </w:rPr>
        <w:t>Adverse Drug Reactions in &gt;</w:t>
      </w:r>
      <w:r w:rsidRPr="009473FE">
        <w:t> </w:t>
      </w:r>
      <w:r w:rsidRPr="009473FE">
        <w:rPr>
          <w:rFonts w:hint="eastAsia"/>
        </w:rPr>
        <w:t xml:space="preserve">10% for all NCI CTCAE Grades or </w:t>
      </w:r>
      <w:r w:rsidRPr="009473FE">
        <w:t>≥ </w:t>
      </w:r>
      <w:r w:rsidRPr="009473FE">
        <w:rPr>
          <w:rFonts w:hint="eastAsia"/>
        </w:rPr>
        <w:t>2% for Grades 3</w:t>
      </w:r>
      <w:r w:rsidRPr="009473FE">
        <w:noBreakHyphen/>
      </w:r>
      <w:r w:rsidRPr="009473FE">
        <w:rPr>
          <w:rFonts w:hint="eastAsia"/>
        </w:rPr>
        <w:t xml:space="preserve">4 of </w:t>
      </w:r>
      <w:r w:rsidRPr="009473FE">
        <w:t>p</w:t>
      </w:r>
      <w:r w:rsidRPr="009473FE">
        <w:rPr>
          <w:rFonts w:hint="eastAsia"/>
        </w:rPr>
        <w:t>atients in either treatment arm in Study 3 (ALEX)</w:t>
      </w:r>
    </w:p>
    <w:tbl>
      <w:tblPr>
        <w:tblW w:w="5047" w:type="pct"/>
        <w:tblCellMar>
          <w:left w:w="57" w:type="dxa"/>
          <w:right w:w="57" w:type="dxa"/>
        </w:tblCellMar>
        <w:tblLook w:val="0000" w:firstRow="0" w:lastRow="0" w:firstColumn="0" w:lastColumn="0" w:noHBand="0" w:noVBand="0"/>
      </w:tblPr>
      <w:tblGrid>
        <w:gridCol w:w="3455"/>
        <w:gridCol w:w="1559"/>
        <w:gridCol w:w="1418"/>
        <w:gridCol w:w="1418"/>
        <w:gridCol w:w="1420"/>
      </w:tblGrid>
      <w:tr w:rsidR="003B42B9" w:rsidRPr="009473FE" w14:paraId="32BA0DEE"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vAlign w:val="bottom"/>
          </w:tcPr>
          <w:p w14:paraId="2FEFF85B" w14:textId="77777777" w:rsidR="003B42B9" w:rsidRPr="009473FE" w:rsidRDefault="003B42B9" w:rsidP="00BE69D7">
            <w:pPr>
              <w:pStyle w:val="TableCell10Left"/>
              <w:keepLines w:val="0"/>
              <w:spacing w:before="60" w:after="60" w:line="240" w:lineRule="auto"/>
              <w:rPr>
                <w:b/>
                <w:sz w:val="24"/>
                <w:szCs w:val="22"/>
              </w:rPr>
            </w:pPr>
          </w:p>
        </w:tc>
        <w:tc>
          <w:tcPr>
            <w:tcW w:w="160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1795F3" w14:textId="77777777" w:rsidR="003B42B9" w:rsidRPr="009473FE" w:rsidRDefault="003B42B9" w:rsidP="00BE69D7">
            <w:pPr>
              <w:pStyle w:val="TableCell10Center"/>
              <w:keepLines w:val="0"/>
              <w:spacing w:before="60" w:after="60" w:line="240" w:lineRule="auto"/>
              <w:rPr>
                <w:b/>
                <w:sz w:val="24"/>
                <w:szCs w:val="22"/>
              </w:rPr>
            </w:pPr>
            <w:r w:rsidRPr="009473FE">
              <w:rPr>
                <w:b/>
                <w:sz w:val="24"/>
                <w:szCs w:val="22"/>
              </w:rPr>
              <w:t>Alecensa</w:t>
            </w:r>
            <w:r w:rsidRPr="009473FE">
              <w:rPr>
                <w:b/>
                <w:sz w:val="24"/>
                <w:szCs w:val="22"/>
              </w:rPr>
              <w:br/>
              <w:t>N</w:t>
            </w:r>
            <w:r w:rsidRPr="009473FE">
              <w:rPr>
                <w:rFonts w:cs="Arial"/>
                <w:b/>
                <w:sz w:val="24"/>
                <w:szCs w:val="22"/>
              </w:rPr>
              <w:t> </w:t>
            </w:r>
            <w:r w:rsidRPr="009473FE">
              <w:rPr>
                <w:rFonts w:ascii="Symbol" w:hAnsi="Symbol" w:cs="Arial"/>
                <w:b/>
                <w:sz w:val="24"/>
                <w:szCs w:val="22"/>
              </w:rPr>
              <w:sym w:font="Symbol" w:char="F03D"/>
            </w:r>
            <w:r w:rsidRPr="009473FE">
              <w:rPr>
                <w:rFonts w:cs="Arial"/>
                <w:b/>
                <w:sz w:val="24"/>
                <w:szCs w:val="22"/>
              </w:rPr>
              <w:t> 152</w:t>
            </w:r>
          </w:p>
        </w:tc>
        <w:tc>
          <w:tcPr>
            <w:tcW w:w="1530" w:type="pct"/>
            <w:gridSpan w:val="2"/>
            <w:tcBorders>
              <w:top w:val="single" w:sz="4" w:space="0" w:color="auto"/>
              <w:left w:val="single" w:sz="4" w:space="0" w:color="auto"/>
              <w:bottom w:val="single" w:sz="4" w:space="0" w:color="auto"/>
              <w:right w:val="single" w:sz="4" w:space="0" w:color="auto"/>
            </w:tcBorders>
          </w:tcPr>
          <w:p w14:paraId="37E04B6B" w14:textId="77777777" w:rsidR="003B42B9" w:rsidRPr="009473FE" w:rsidRDefault="003B42B9" w:rsidP="00BE69D7">
            <w:pPr>
              <w:pStyle w:val="TableCell10Center"/>
              <w:keepLines w:val="0"/>
              <w:spacing w:before="60" w:after="60" w:line="240" w:lineRule="auto"/>
              <w:rPr>
                <w:b/>
                <w:sz w:val="24"/>
                <w:szCs w:val="22"/>
              </w:rPr>
            </w:pPr>
            <w:r w:rsidRPr="009473FE">
              <w:rPr>
                <w:b/>
                <w:sz w:val="24"/>
                <w:szCs w:val="22"/>
              </w:rPr>
              <w:t>Crizotinib</w:t>
            </w:r>
            <w:r w:rsidRPr="009473FE">
              <w:rPr>
                <w:b/>
                <w:sz w:val="24"/>
                <w:szCs w:val="22"/>
              </w:rPr>
              <w:br/>
            </w:r>
            <w:r w:rsidRPr="009473FE">
              <w:rPr>
                <w:rFonts w:cs="Arial"/>
                <w:b/>
                <w:sz w:val="24"/>
                <w:szCs w:val="22"/>
              </w:rPr>
              <w:t>N</w:t>
            </w:r>
            <w:r w:rsidRPr="009473FE">
              <w:rPr>
                <w:rFonts w:ascii="Symbol" w:hAnsi="Symbol" w:cs="Arial"/>
                <w:b/>
                <w:sz w:val="24"/>
                <w:szCs w:val="22"/>
              </w:rPr>
              <w:sym w:font="Symbol" w:char="F03D"/>
            </w:r>
            <w:r w:rsidRPr="009473FE">
              <w:rPr>
                <w:rFonts w:cs="Arial"/>
                <w:b/>
                <w:sz w:val="24"/>
                <w:szCs w:val="22"/>
              </w:rPr>
              <w:t> 151</w:t>
            </w:r>
          </w:p>
        </w:tc>
      </w:tr>
      <w:tr w:rsidR="003B42B9" w:rsidRPr="009473FE" w14:paraId="0C71C7B7"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vAlign w:val="bottom"/>
          </w:tcPr>
          <w:p w14:paraId="26B536EF" w14:textId="77777777" w:rsidR="003B42B9" w:rsidRPr="009473FE" w:rsidRDefault="003B42B9" w:rsidP="00BE69D7">
            <w:pPr>
              <w:pStyle w:val="TableCell10Left"/>
              <w:keepNext w:val="0"/>
              <w:keepLines w:val="0"/>
              <w:spacing w:before="60" w:after="60" w:line="240" w:lineRule="auto"/>
              <w:rPr>
                <w:b/>
                <w:sz w:val="24"/>
                <w:szCs w:val="22"/>
              </w:rPr>
            </w:pPr>
            <w:r w:rsidRPr="009473FE">
              <w:rPr>
                <w:b/>
                <w:sz w:val="24"/>
                <w:szCs w:val="22"/>
              </w:rPr>
              <w:t>MedDRA System Organ Class</w:t>
            </w:r>
          </w:p>
          <w:p w14:paraId="11092FA4" w14:textId="77777777" w:rsidR="003B42B9" w:rsidRPr="009473FE" w:rsidRDefault="003B42B9" w:rsidP="00BE69D7">
            <w:pPr>
              <w:pStyle w:val="TableCell10Left"/>
              <w:keepNext w:val="0"/>
              <w:keepLines w:val="0"/>
              <w:spacing w:before="60" w:after="60" w:line="240" w:lineRule="auto"/>
              <w:ind w:left="288"/>
              <w:rPr>
                <w:sz w:val="24"/>
                <w:szCs w:val="22"/>
              </w:rPr>
            </w:pPr>
            <w:r w:rsidRPr="009473FE">
              <w:rPr>
                <w:b/>
                <w:sz w:val="24"/>
                <w:szCs w:val="22"/>
              </w:rPr>
              <w:t xml:space="preserve">Adverse Reaction </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8755EA0" w14:textId="77777777" w:rsidR="003B42B9" w:rsidRPr="009473FE" w:rsidRDefault="003B42B9" w:rsidP="00BE69D7">
            <w:pPr>
              <w:pStyle w:val="TableCell10Center"/>
              <w:keepNext w:val="0"/>
              <w:keepLines w:val="0"/>
              <w:spacing w:before="60" w:after="60" w:line="240" w:lineRule="auto"/>
              <w:rPr>
                <w:rFonts w:cs="Arial"/>
                <w:b/>
                <w:sz w:val="24"/>
                <w:szCs w:val="22"/>
              </w:rPr>
            </w:pPr>
            <w:r w:rsidRPr="009473FE">
              <w:rPr>
                <w:b/>
                <w:sz w:val="24"/>
                <w:szCs w:val="22"/>
              </w:rPr>
              <w:t>All Grades (%)</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9BBF4DF" w14:textId="77777777" w:rsidR="003B42B9" w:rsidRPr="009473FE" w:rsidRDefault="003B42B9" w:rsidP="00BE69D7">
            <w:pPr>
              <w:pStyle w:val="TableCell10Center"/>
              <w:keepNext w:val="0"/>
              <w:keepLines w:val="0"/>
              <w:spacing w:before="60" w:after="60" w:line="240" w:lineRule="auto"/>
              <w:rPr>
                <w:rFonts w:cs="Arial"/>
                <w:b/>
                <w:sz w:val="24"/>
                <w:szCs w:val="22"/>
              </w:rPr>
            </w:pPr>
            <w:r w:rsidRPr="009473FE">
              <w:rPr>
                <w:b/>
                <w:sz w:val="24"/>
                <w:szCs w:val="22"/>
              </w:rPr>
              <w:t>Grades 3-</w:t>
            </w:r>
            <w:r w:rsidRPr="009473FE">
              <w:rPr>
                <w:rFonts w:cs="Arial"/>
                <w:b/>
                <w:sz w:val="24"/>
                <w:szCs w:val="22"/>
              </w:rPr>
              <w:t xml:space="preserve">4 </w:t>
            </w:r>
            <w:r w:rsidRPr="009473FE">
              <w:rPr>
                <w:b/>
                <w:sz w:val="24"/>
                <w:szCs w:val="22"/>
              </w:rPr>
              <w:t>(%)</w:t>
            </w:r>
          </w:p>
        </w:tc>
        <w:tc>
          <w:tcPr>
            <w:tcW w:w="765" w:type="pct"/>
            <w:tcBorders>
              <w:top w:val="single" w:sz="4" w:space="0" w:color="auto"/>
              <w:left w:val="single" w:sz="4" w:space="0" w:color="auto"/>
              <w:bottom w:val="single" w:sz="4" w:space="0" w:color="auto"/>
              <w:right w:val="single" w:sz="4" w:space="0" w:color="auto"/>
            </w:tcBorders>
          </w:tcPr>
          <w:p w14:paraId="7AADD331" w14:textId="77777777" w:rsidR="003B42B9" w:rsidRPr="009473FE" w:rsidRDefault="003B42B9" w:rsidP="00BE69D7">
            <w:pPr>
              <w:pStyle w:val="TableCell10Center"/>
              <w:keepNext w:val="0"/>
              <w:keepLines w:val="0"/>
              <w:spacing w:before="60" w:after="60" w:line="240" w:lineRule="auto"/>
              <w:rPr>
                <w:rFonts w:cs="Arial"/>
                <w:b/>
                <w:sz w:val="24"/>
                <w:szCs w:val="22"/>
              </w:rPr>
            </w:pPr>
            <w:r w:rsidRPr="009473FE">
              <w:rPr>
                <w:b/>
                <w:sz w:val="24"/>
                <w:szCs w:val="22"/>
              </w:rPr>
              <w:t>All Grades (%)</w:t>
            </w:r>
          </w:p>
        </w:tc>
        <w:tc>
          <w:tcPr>
            <w:tcW w:w="765" w:type="pct"/>
            <w:tcBorders>
              <w:top w:val="single" w:sz="4" w:space="0" w:color="auto"/>
              <w:left w:val="single" w:sz="4" w:space="0" w:color="auto"/>
              <w:bottom w:val="single" w:sz="4" w:space="0" w:color="auto"/>
              <w:right w:val="single" w:sz="4" w:space="0" w:color="auto"/>
            </w:tcBorders>
          </w:tcPr>
          <w:p w14:paraId="798C0A3D" w14:textId="77777777" w:rsidR="003B42B9" w:rsidRPr="009473FE" w:rsidRDefault="003B42B9" w:rsidP="00BE69D7">
            <w:pPr>
              <w:pStyle w:val="TableCell10Center"/>
              <w:keepNext w:val="0"/>
              <w:keepLines w:val="0"/>
              <w:spacing w:before="60" w:after="60" w:line="240" w:lineRule="auto"/>
              <w:rPr>
                <w:rFonts w:cs="Arial"/>
                <w:b/>
                <w:sz w:val="24"/>
                <w:szCs w:val="22"/>
              </w:rPr>
            </w:pPr>
            <w:r w:rsidRPr="009473FE">
              <w:rPr>
                <w:b/>
                <w:sz w:val="24"/>
                <w:szCs w:val="22"/>
              </w:rPr>
              <w:t>Grades 3-</w:t>
            </w:r>
            <w:r w:rsidRPr="009473FE">
              <w:rPr>
                <w:rFonts w:cs="Arial"/>
                <w:b/>
                <w:sz w:val="24"/>
                <w:szCs w:val="22"/>
              </w:rPr>
              <w:t xml:space="preserve">4 </w:t>
            </w:r>
            <w:r w:rsidRPr="009473FE">
              <w:rPr>
                <w:b/>
                <w:sz w:val="24"/>
                <w:szCs w:val="22"/>
              </w:rPr>
              <w:t>(%)</w:t>
            </w:r>
          </w:p>
        </w:tc>
      </w:tr>
      <w:tr w:rsidR="003B42B9" w:rsidRPr="009473FE" w14:paraId="2BF546CC"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076D35"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Gastrointestinal disorders</w:t>
            </w:r>
          </w:p>
        </w:tc>
      </w:tr>
      <w:tr w:rsidR="003B42B9" w:rsidRPr="009473FE" w14:paraId="0282326C"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7BA9D0F4" w14:textId="77777777" w:rsidR="003B42B9" w:rsidRPr="009473FE" w:rsidRDefault="003B42B9" w:rsidP="00BE69D7">
            <w:pPr>
              <w:pStyle w:val="TableCell10Left"/>
              <w:keepNext w:val="0"/>
              <w:keepLines w:val="0"/>
              <w:spacing w:before="40" w:after="40" w:line="240" w:lineRule="auto"/>
              <w:ind w:left="288"/>
              <w:rPr>
                <w:sz w:val="24"/>
                <w:szCs w:val="22"/>
              </w:rPr>
            </w:pPr>
            <w:r w:rsidRPr="009473FE">
              <w:rPr>
                <w:sz w:val="24"/>
                <w:szCs w:val="22"/>
              </w:rPr>
              <w:t>Constipation</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CC22078"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34</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E6470EF"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6E4D7CC1"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33</w:t>
            </w:r>
          </w:p>
        </w:tc>
        <w:tc>
          <w:tcPr>
            <w:tcW w:w="765" w:type="pct"/>
            <w:tcBorders>
              <w:top w:val="single" w:sz="4" w:space="0" w:color="auto"/>
              <w:left w:val="single" w:sz="4" w:space="0" w:color="auto"/>
              <w:bottom w:val="single" w:sz="4" w:space="0" w:color="auto"/>
              <w:right w:val="single" w:sz="4" w:space="0" w:color="auto"/>
            </w:tcBorders>
          </w:tcPr>
          <w:p w14:paraId="2DB7E2BD"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7F1EEF99"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57D510D4" w14:textId="77777777" w:rsidR="003B42B9" w:rsidRPr="009473FE" w:rsidRDefault="003B42B9" w:rsidP="00BE69D7">
            <w:pPr>
              <w:pStyle w:val="TableCell10Left"/>
              <w:keepNext w:val="0"/>
              <w:keepLines w:val="0"/>
              <w:spacing w:before="40" w:after="40" w:line="240" w:lineRule="auto"/>
              <w:ind w:left="288"/>
              <w:rPr>
                <w:sz w:val="24"/>
                <w:szCs w:val="22"/>
              </w:rPr>
            </w:pPr>
            <w:r w:rsidRPr="009473FE">
              <w:rPr>
                <w:sz w:val="24"/>
                <w:szCs w:val="22"/>
              </w:rPr>
              <w:t>Nausea</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3F38CAE"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14</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168BCC3"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0.7</w:t>
            </w:r>
          </w:p>
        </w:tc>
        <w:tc>
          <w:tcPr>
            <w:tcW w:w="765" w:type="pct"/>
            <w:tcBorders>
              <w:top w:val="single" w:sz="4" w:space="0" w:color="auto"/>
              <w:left w:val="single" w:sz="4" w:space="0" w:color="auto"/>
              <w:bottom w:val="single" w:sz="4" w:space="0" w:color="auto"/>
              <w:right w:val="single" w:sz="4" w:space="0" w:color="auto"/>
            </w:tcBorders>
          </w:tcPr>
          <w:p w14:paraId="3A1E5E9B"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48</w:t>
            </w:r>
          </w:p>
        </w:tc>
        <w:tc>
          <w:tcPr>
            <w:tcW w:w="765" w:type="pct"/>
            <w:tcBorders>
              <w:top w:val="single" w:sz="4" w:space="0" w:color="auto"/>
              <w:left w:val="single" w:sz="4" w:space="0" w:color="auto"/>
              <w:bottom w:val="single" w:sz="4" w:space="0" w:color="auto"/>
              <w:right w:val="single" w:sz="4" w:space="0" w:color="auto"/>
            </w:tcBorders>
          </w:tcPr>
          <w:p w14:paraId="3A202B03"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3.3</w:t>
            </w:r>
          </w:p>
        </w:tc>
      </w:tr>
      <w:tr w:rsidR="003B42B9" w:rsidRPr="009473FE" w14:paraId="05C9116E"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60DAB4CB" w14:textId="77777777" w:rsidR="003B42B9" w:rsidRPr="009473FE" w:rsidRDefault="003B42B9" w:rsidP="00BE69D7">
            <w:pPr>
              <w:pStyle w:val="TableCell10Left"/>
              <w:keepNext w:val="0"/>
              <w:keepLines w:val="0"/>
              <w:spacing w:before="40" w:after="40" w:line="240" w:lineRule="auto"/>
              <w:ind w:left="288"/>
              <w:rPr>
                <w:sz w:val="24"/>
                <w:szCs w:val="22"/>
              </w:rPr>
            </w:pPr>
            <w:r w:rsidRPr="009473FE">
              <w:rPr>
                <w:sz w:val="24"/>
                <w:szCs w:val="22"/>
              </w:rPr>
              <w:t>Diarrhoea</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156C57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12</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8E2010E"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514F50F9"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45</w:t>
            </w:r>
          </w:p>
        </w:tc>
        <w:tc>
          <w:tcPr>
            <w:tcW w:w="765" w:type="pct"/>
            <w:tcBorders>
              <w:top w:val="single" w:sz="4" w:space="0" w:color="auto"/>
              <w:left w:val="single" w:sz="4" w:space="0" w:color="auto"/>
              <w:bottom w:val="single" w:sz="4" w:space="0" w:color="auto"/>
              <w:right w:val="single" w:sz="4" w:space="0" w:color="auto"/>
            </w:tcBorders>
          </w:tcPr>
          <w:p w14:paraId="6AE246F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2.0</w:t>
            </w:r>
          </w:p>
        </w:tc>
      </w:tr>
      <w:tr w:rsidR="003B42B9" w:rsidRPr="009473FE" w14:paraId="04823E72"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0DAE5625" w14:textId="77777777" w:rsidR="003B42B9" w:rsidRPr="009473FE" w:rsidRDefault="003B42B9" w:rsidP="00BE69D7">
            <w:pPr>
              <w:pStyle w:val="TableCell10Left"/>
              <w:keepNext w:val="0"/>
              <w:keepLines w:val="0"/>
              <w:spacing w:before="40" w:after="40" w:line="240" w:lineRule="auto"/>
              <w:ind w:left="288"/>
              <w:rPr>
                <w:sz w:val="24"/>
                <w:szCs w:val="22"/>
              </w:rPr>
            </w:pPr>
            <w:r w:rsidRPr="009473FE">
              <w:rPr>
                <w:sz w:val="24"/>
                <w:szCs w:val="22"/>
              </w:rPr>
              <w:t>Vomiting</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42B9138"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7.2</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466F11FF"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2E1238D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38</w:t>
            </w:r>
          </w:p>
        </w:tc>
        <w:tc>
          <w:tcPr>
            <w:tcW w:w="765" w:type="pct"/>
            <w:tcBorders>
              <w:top w:val="single" w:sz="4" w:space="0" w:color="auto"/>
              <w:left w:val="single" w:sz="4" w:space="0" w:color="auto"/>
              <w:bottom w:val="single" w:sz="4" w:space="0" w:color="auto"/>
              <w:right w:val="single" w:sz="4" w:space="0" w:color="auto"/>
            </w:tcBorders>
          </w:tcPr>
          <w:p w14:paraId="0C1B0B04"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3.3</w:t>
            </w:r>
          </w:p>
        </w:tc>
      </w:tr>
      <w:tr w:rsidR="003B42B9" w:rsidRPr="009473FE" w14:paraId="55406C6C"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A2526A"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General disorders and administration site conditions</w:t>
            </w:r>
          </w:p>
        </w:tc>
      </w:tr>
      <w:tr w:rsidR="003B42B9" w:rsidRPr="009473FE" w14:paraId="4A79C17F"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238C42C1" w14:textId="77777777" w:rsidR="003B42B9" w:rsidRPr="009473FE" w:rsidRDefault="003B42B9" w:rsidP="00BE69D7">
            <w:pPr>
              <w:pStyle w:val="TableCell10Left"/>
              <w:keepNext w:val="0"/>
              <w:keepLines w:val="0"/>
              <w:spacing w:before="40" w:after="40" w:line="240" w:lineRule="auto"/>
              <w:ind w:left="288"/>
              <w:rPr>
                <w:sz w:val="24"/>
                <w:szCs w:val="22"/>
              </w:rPr>
            </w:pPr>
            <w:proofErr w:type="spellStart"/>
            <w:r w:rsidRPr="009473FE">
              <w:rPr>
                <w:sz w:val="24"/>
                <w:szCs w:val="22"/>
              </w:rPr>
              <w:t>Oedema</w:t>
            </w:r>
            <w:r w:rsidRPr="009473FE">
              <w:rPr>
                <w:sz w:val="24"/>
                <w:szCs w:val="22"/>
                <w:vertAlign w:val="superscript"/>
              </w:rPr>
              <w:t>a</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6E99F9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22</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B9BFD2E"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0.7</w:t>
            </w:r>
          </w:p>
        </w:tc>
        <w:tc>
          <w:tcPr>
            <w:tcW w:w="765" w:type="pct"/>
            <w:tcBorders>
              <w:top w:val="single" w:sz="4" w:space="0" w:color="auto"/>
              <w:left w:val="single" w:sz="4" w:space="0" w:color="auto"/>
              <w:bottom w:val="single" w:sz="4" w:space="0" w:color="auto"/>
              <w:right w:val="single" w:sz="4" w:space="0" w:color="auto"/>
            </w:tcBorders>
          </w:tcPr>
          <w:p w14:paraId="0A4CB6B0"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34</w:t>
            </w:r>
          </w:p>
        </w:tc>
        <w:tc>
          <w:tcPr>
            <w:tcW w:w="765" w:type="pct"/>
            <w:tcBorders>
              <w:top w:val="single" w:sz="4" w:space="0" w:color="auto"/>
              <w:left w:val="single" w:sz="4" w:space="0" w:color="auto"/>
              <w:bottom w:val="single" w:sz="4" w:space="0" w:color="auto"/>
              <w:right w:val="single" w:sz="4" w:space="0" w:color="auto"/>
            </w:tcBorders>
          </w:tcPr>
          <w:p w14:paraId="3C0943C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0.7</w:t>
            </w:r>
          </w:p>
        </w:tc>
      </w:tr>
      <w:tr w:rsidR="003B42B9" w:rsidRPr="009473FE" w14:paraId="0B5CC45A"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00F250"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Musculoskeletal and connective tissue disorders</w:t>
            </w:r>
          </w:p>
        </w:tc>
      </w:tr>
      <w:tr w:rsidR="003B42B9" w:rsidRPr="009473FE" w14:paraId="64B9A8F1"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00E569A5" w14:textId="77777777" w:rsidR="003B42B9" w:rsidRPr="009473FE" w:rsidRDefault="003B42B9" w:rsidP="00BE69D7">
            <w:pPr>
              <w:pStyle w:val="TableCell10Left"/>
              <w:keepNext w:val="0"/>
              <w:keepLines w:val="0"/>
              <w:spacing w:before="40" w:after="40" w:line="240" w:lineRule="auto"/>
              <w:ind w:left="288"/>
              <w:rPr>
                <w:sz w:val="24"/>
                <w:szCs w:val="22"/>
              </w:rPr>
            </w:pPr>
            <w:proofErr w:type="spellStart"/>
            <w:r w:rsidRPr="009473FE">
              <w:rPr>
                <w:sz w:val="24"/>
                <w:szCs w:val="22"/>
              </w:rPr>
              <w:t>Myalgia</w:t>
            </w:r>
            <w:r w:rsidRPr="009473FE">
              <w:rPr>
                <w:sz w:val="24"/>
                <w:szCs w:val="22"/>
                <w:vertAlign w:val="superscript"/>
              </w:rPr>
              <w:t>b</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C129436"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23</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6FCCE170"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21F17ACD"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4.0</w:t>
            </w:r>
          </w:p>
        </w:tc>
        <w:tc>
          <w:tcPr>
            <w:tcW w:w="765" w:type="pct"/>
            <w:tcBorders>
              <w:top w:val="single" w:sz="4" w:space="0" w:color="auto"/>
              <w:left w:val="single" w:sz="4" w:space="0" w:color="auto"/>
              <w:bottom w:val="single" w:sz="4" w:space="0" w:color="auto"/>
              <w:right w:val="single" w:sz="4" w:space="0" w:color="auto"/>
            </w:tcBorders>
          </w:tcPr>
          <w:p w14:paraId="4800E0B7"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4031276E"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19304EF" w14:textId="77777777" w:rsidR="003B42B9" w:rsidRPr="009473FE" w:rsidRDefault="003B42B9" w:rsidP="00BE69D7">
            <w:pPr>
              <w:pStyle w:val="TableCell10Center"/>
              <w:keepLines w:val="0"/>
              <w:spacing w:before="60" w:after="60" w:line="240" w:lineRule="auto"/>
              <w:jc w:val="left"/>
              <w:rPr>
                <w:b/>
                <w:sz w:val="24"/>
                <w:szCs w:val="22"/>
              </w:rPr>
            </w:pPr>
            <w:r w:rsidRPr="009473FE">
              <w:rPr>
                <w:b/>
                <w:sz w:val="24"/>
                <w:szCs w:val="22"/>
              </w:rPr>
              <w:t>Skin and subcutaneous tissue disorders</w:t>
            </w:r>
          </w:p>
        </w:tc>
      </w:tr>
      <w:tr w:rsidR="003B42B9" w:rsidRPr="009473FE" w14:paraId="0056F8FF"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38C2824D" w14:textId="77777777" w:rsidR="003B42B9" w:rsidRPr="009473FE" w:rsidRDefault="003B42B9" w:rsidP="00BE69D7">
            <w:pPr>
              <w:pStyle w:val="TableCell10Left"/>
              <w:keepNext w:val="0"/>
              <w:keepLines w:val="0"/>
              <w:spacing w:before="40" w:after="40" w:line="240" w:lineRule="auto"/>
              <w:ind w:left="288"/>
              <w:rPr>
                <w:sz w:val="24"/>
                <w:szCs w:val="22"/>
              </w:rPr>
            </w:pPr>
            <w:proofErr w:type="spellStart"/>
            <w:r w:rsidRPr="009473FE">
              <w:rPr>
                <w:sz w:val="24"/>
                <w:szCs w:val="22"/>
              </w:rPr>
              <w:t>Rash</w:t>
            </w:r>
            <w:r w:rsidRPr="009473FE">
              <w:rPr>
                <w:sz w:val="24"/>
                <w:szCs w:val="22"/>
                <w:vertAlign w:val="superscript"/>
              </w:rPr>
              <w:t>c</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90D8790"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15</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7164CA5"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0.7</w:t>
            </w:r>
          </w:p>
        </w:tc>
        <w:tc>
          <w:tcPr>
            <w:tcW w:w="765" w:type="pct"/>
            <w:tcBorders>
              <w:top w:val="single" w:sz="4" w:space="0" w:color="auto"/>
              <w:left w:val="single" w:sz="4" w:space="0" w:color="auto"/>
              <w:bottom w:val="single" w:sz="4" w:space="0" w:color="auto"/>
              <w:right w:val="single" w:sz="4" w:space="0" w:color="auto"/>
            </w:tcBorders>
          </w:tcPr>
          <w:p w14:paraId="6D872BA8"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13</w:t>
            </w:r>
          </w:p>
        </w:tc>
        <w:tc>
          <w:tcPr>
            <w:tcW w:w="765" w:type="pct"/>
            <w:tcBorders>
              <w:top w:val="single" w:sz="4" w:space="0" w:color="auto"/>
              <w:left w:val="single" w:sz="4" w:space="0" w:color="auto"/>
              <w:bottom w:val="single" w:sz="4" w:space="0" w:color="auto"/>
              <w:right w:val="single" w:sz="4" w:space="0" w:color="auto"/>
            </w:tcBorders>
          </w:tcPr>
          <w:p w14:paraId="75A2C470"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0EA6CD73"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39B0F4D"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Nervous system disorders</w:t>
            </w:r>
          </w:p>
        </w:tc>
      </w:tr>
      <w:tr w:rsidR="003B42B9" w:rsidRPr="009473FE" w14:paraId="39B9D596"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302479CA" w14:textId="77777777" w:rsidR="003B42B9" w:rsidRPr="009473FE" w:rsidRDefault="003B42B9" w:rsidP="00BE69D7">
            <w:pPr>
              <w:pStyle w:val="TableCell10Left"/>
              <w:keepNext w:val="0"/>
              <w:keepLines w:val="0"/>
              <w:spacing w:before="40" w:after="40" w:line="240" w:lineRule="auto"/>
              <w:ind w:left="288"/>
              <w:rPr>
                <w:sz w:val="24"/>
                <w:szCs w:val="22"/>
              </w:rPr>
            </w:pPr>
            <w:proofErr w:type="spellStart"/>
            <w:r w:rsidRPr="009473FE">
              <w:rPr>
                <w:sz w:val="24"/>
                <w:szCs w:val="22"/>
              </w:rPr>
              <w:t>Dysgeusia</w:t>
            </w:r>
            <w:r w:rsidRPr="009473FE">
              <w:rPr>
                <w:sz w:val="24"/>
                <w:szCs w:val="22"/>
                <w:vertAlign w:val="superscript"/>
              </w:rPr>
              <w:t>d</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260F907"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3.3</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D3E2F53"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0.7</w:t>
            </w:r>
          </w:p>
        </w:tc>
        <w:tc>
          <w:tcPr>
            <w:tcW w:w="765" w:type="pct"/>
            <w:tcBorders>
              <w:top w:val="single" w:sz="4" w:space="0" w:color="auto"/>
              <w:left w:val="single" w:sz="4" w:space="0" w:color="auto"/>
              <w:bottom w:val="single" w:sz="4" w:space="0" w:color="auto"/>
              <w:right w:val="single" w:sz="4" w:space="0" w:color="auto"/>
            </w:tcBorders>
          </w:tcPr>
          <w:p w14:paraId="35AA5C52"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19</w:t>
            </w:r>
          </w:p>
        </w:tc>
        <w:tc>
          <w:tcPr>
            <w:tcW w:w="765" w:type="pct"/>
            <w:tcBorders>
              <w:top w:val="single" w:sz="4" w:space="0" w:color="auto"/>
              <w:left w:val="single" w:sz="4" w:space="0" w:color="auto"/>
              <w:bottom w:val="single" w:sz="4" w:space="0" w:color="auto"/>
              <w:right w:val="single" w:sz="4" w:space="0" w:color="auto"/>
            </w:tcBorders>
          </w:tcPr>
          <w:p w14:paraId="63A4861C"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237107FF"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943A72C"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Eye disorders</w:t>
            </w:r>
          </w:p>
        </w:tc>
      </w:tr>
      <w:tr w:rsidR="003B42B9" w:rsidRPr="009473FE" w14:paraId="7E637DC7"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424C8047" w14:textId="77777777" w:rsidR="003B42B9" w:rsidRPr="009473FE" w:rsidRDefault="003B42B9" w:rsidP="00BE69D7">
            <w:pPr>
              <w:pStyle w:val="TableCell10Left"/>
              <w:keepNext w:val="0"/>
              <w:keepLines w:val="0"/>
              <w:spacing w:before="40" w:after="40" w:line="240" w:lineRule="auto"/>
              <w:ind w:left="288"/>
              <w:rPr>
                <w:sz w:val="24"/>
                <w:szCs w:val="22"/>
              </w:rPr>
            </w:pPr>
            <w:r w:rsidRPr="009473FE">
              <w:rPr>
                <w:sz w:val="24"/>
                <w:szCs w:val="22"/>
              </w:rPr>
              <w:t xml:space="preserve">Vision </w:t>
            </w:r>
            <w:proofErr w:type="spellStart"/>
            <w:r w:rsidRPr="009473FE">
              <w:rPr>
                <w:sz w:val="24"/>
                <w:szCs w:val="22"/>
              </w:rPr>
              <w:t>disorders</w:t>
            </w:r>
            <w:r w:rsidRPr="009473FE">
              <w:rPr>
                <w:sz w:val="24"/>
                <w:szCs w:val="22"/>
                <w:vertAlign w:val="superscript"/>
              </w:rPr>
              <w:t>e</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BE1F7F1"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4.6</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6F18B59"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2B7BDB61"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23</w:t>
            </w:r>
          </w:p>
        </w:tc>
        <w:tc>
          <w:tcPr>
            <w:tcW w:w="765" w:type="pct"/>
            <w:tcBorders>
              <w:top w:val="single" w:sz="4" w:space="0" w:color="auto"/>
              <w:left w:val="single" w:sz="4" w:space="0" w:color="auto"/>
              <w:bottom w:val="single" w:sz="4" w:space="0" w:color="auto"/>
              <w:right w:val="single" w:sz="4" w:space="0" w:color="auto"/>
            </w:tcBorders>
          </w:tcPr>
          <w:p w14:paraId="499BF06E"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4945B19B"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9DD48FB" w14:textId="77777777" w:rsidR="003B42B9" w:rsidRPr="009473FE" w:rsidRDefault="003B42B9" w:rsidP="00BE69D7">
            <w:pPr>
              <w:pStyle w:val="TableCell10Center"/>
              <w:keepNext w:val="0"/>
              <w:keepLines w:val="0"/>
              <w:spacing w:before="60" w:after="60" w:line="240" w:lineRule="auto"/>
              <w:jc w:val="left"/>
              <w:rPr>
                <w:b/>
                <w:sz w:val="24"/>
                <w:szCs w:val="22"/>
              </w:rPr>
            </w:pPr>
            <w:r w:rsidRPr="009473FE">
              <w:rPr>
                <w:b/>
                <w:sz w:val="24"/>
                <w:szCs w:val="22"/>
              </w:rPr>
              <w:t>Cardiac disorders</w:t>
            </w:r>
          </w:p>
        </w:tc>
      </w:tr>
      <w:tr w:rsidR="003B42B9" w:rsidRPr="009473FE" w14:paraId="070C9624"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11BB5AC8" w14:textId="77777777" w:rsidR="003B42B9" w:rsidRPr="009473FE" w:rsidRDefault="003B42B9" w:rsidP="00BE69D7">
            <w:pPr>
              <w:pStyle w:val="TableCell10Left"/>
              <w:keepNext w:val="0"/>
              <w:keepLines w:val="0"/>
              <w:spacing w:before="40" w:after="40" w:line="240" w:lineRule="auto"/>
              <w:ind w:left="288"/>
              <w:rPr>
                <w:sz w:val="24"/>
                <w:szCs w:val="22"/>
              </w:rPr>
            </w:pPr>
            <w:proofErr w:type="spellStart"/>
            <w:r w:rsidRPr="009473FE">
              <w:rPr>
                <w:sz w:val="24"/>
                <w:szCs w:val="22"/>
              </w:rPr>
              <w:t>Bradycardia</w:t>
            </w:r>
            <w:r w:rsidRPr="009473FE">
              <w:rPr>
                <w:sz w:val="24"/>
                <w:szCs w:val="22"/>
                <w:vertAlign w:val="superscript"/>
              </w:rPr>
              <w:t>f</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B966B78"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11</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4A5B901"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54B7301B"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15</w:t>
            </w:r>
          </w:p>
        </w:tc>
        <w:tc>
          <w:tcPr>
            <w:tcW w:w="765" w:type="pct"/>
            <w:tcBorders>
              <w:top w:val="single" w:sz="4" w:space="0" w:color="auto"/>
              <w:left w:val="single" w:sz="4" w:space="0" w:color="auto"/>
              <w:bottom w:val="single" w:sz="4" w:space="0" w:color="auto"/>
              <w:right w:val="single" w:sz="4" w:space="0" w:color="auto"/>
            </w:tcBorders>
          </w:tcPr>
          <w:p w14:paraId="12BD665C" w14:textId="77777777" w:rsidR="003B42B9" w:rsidRPr="009473FE" w:rsidRDefault="003B42B9" w:rsidP="00BE69D7">
            <w:pPr>
              <w:pStyle w:val="TableCell10Center"/>
              <w:keepNext w:val="0"/>
              <w:keepLines w:val="0"/>
              <w:spacing w:before="40" w:after="40" w:line="240" w:lineRule="auto"/>
              <w:rPr>
                <w:sz w:val="24"/>
                <w:szCs w:val="22"/>
              </w:rPr>
            </w:pPr>
            <w:r w:rsidRPr="009473FE">
              <w:rPr>
                <w:sz w:val="24"/>
                <w:szCs w:val="22"/>
              </w:rPr>
              <w:t>0</w:t>
            </w:r>
          </w:p>
        </w:tc>
      </w:tr>
      <w:tr w:rsidR="003B42B9" w:rsidRPr="009473FE" w14:paraId="5E15750F" w14:textId="77777777" w:rsidTr="00BE69D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8E897D5" w14:textId="77777777" w:rsidR="003B42B9" w:rsidRPr="009473FE" w:rsidRDefault="003B42B9" w:rsidP="00BE69D7">
            <w:pPr>
              <w:pStyle w:val="TableCell10Center"/>
              <w:keepLines w:val="0"/>
              <w:spacing w:before="60" w:after="60" w:line="240" w:lineRule="auto"/>
              <w:jc w:val="left"/>
              <w:rPr>
                <w:b/>
                <w:sz w:val="24"/>
                <w:szCs w:val="22"/>
              </w:rPr>
            </w:pPr>
            <w:r w:rsidRPr="009473FE">
              <w:rPr>
                <w:b/>
                <w:sz w:val="24"/>
                <w:szCs w:val="22"/>
              </w:rPr>
              <w:t>Renal and urinary disorders</w:t>
            </w:r>
          </w:p>
        </w:tc>
      </w:tr>
      <w:tr w:rsidR="003B42B9" w:rsidRPr="009473FE" w14:paraId="5FD124F3" w14:textId="77777777" w:rsidTr="006672A3">
        <w:trPr>
          <w:cantSplit/>
        </w:trPr>
        <w:tc>
          <w:tcPr>
            <w:tcW w:w="1863" w:type="pct"/>
            <w:tcBorders>
              <w:top w:val="single" w:sz="4" w:space="0" w:color="auto"/>
              <w:left w:val="single" w:sz="4" w:space="0" w:color="auto"/>
              <w:bottom w:val="single" w:sz="4" w:space="0" w:color="auto"/>
              <w:right w:val="single" w:sz="4" w:space="0" w:color="auto"/>
            </w:tcBorders>
            <w:shd w:val="clear" w:color="auto" w:fill="auto"/>
          </w:tcPr>
          <w:p w14:paraId="7838A081" w14:textId="77777777" w:rsidR="003B42B9" w:rsidRPr="009473FE" w:rsidRDefault="003B42B9" w:rsidP="00BE69D7">
            <w:pPr>
              <w:pStyle w:val="TableCell10Left"/>
              <w:keepLines w:val="0"/>
              <w:spacing w:before="40" w:after="40" w:line="240" w:lineRule="auto"/>
              <w:ind w:left="288"/>
              <w:rPr>
                <w:sz w:val="24"/>
                <w:szCs w:val="22"/>
              </w:rPr>
            </w:pPr>
            <w:r w:rsidRPr="009473FE">
              <w:rPr>
                <w:sz w:val="24"/>
                <w:szCs w:val="22"/>
              </w:rPr>
              <w:t>Acute kidney injury</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F726FD2" w14:textId="77777777" w:rsidR="003B42B9" w:rsidRPr="009473FE" w:rsidRDefault="003B42B9" w:rsidP="00BE69D7">
            <w:pPr>
              <w:pStyle w:val="TableCell10Center"/>
              <w:keepLines w:val="0"/>
              <w:spacing w:before="40" w:after="40" w:line="240" w:lineRule="auto"/>
              <w:rPr>
                <w:sz w:val="24"/>
                <w:szCs w:val="22"/>
              </w:rPr>
            </w:pPr>
            <w:r w:rsidRPr="009473FE">
              <w:rPr>
                <w:sz w:val="24"/>
                <w:szCs w:val="22"/>
              </w:rPr>
              <w:t>2.6</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438A7F9" w14:textId="77777777" w:rsidR="003B42B9" w:rsidRPr="009473FE" w:rsidRDefault="003B42B9" w:rsidP="00BE69D7">
            <w:pPr>
              <w:pStyle w:val="TableCell10Center"/>
              <w:keepLines w:val="0"/>
              <w:spacing w:before="40" w:after="40" w:line="240" w:lineRule="auto"/>
              <w:rPr>
                <w:sz w:val="24"/>
                <w:szCs w:val="22"/>
              </w:rPr>
            </w:pPr>
            <w:r w:rsidRPr="009473FE">
              <w:rPr>
                <w:sz w:val="24"/>
                <w:szCs w:val="22"/>
              </w:rPr>
              <w:t>2.6*</w:t>
            </w:r>
          </w:p>
        </w:tc>
        <w:tc>
          <w:tcPr>
            <w:tcW w:w="765" w:type="pct"/>
            <w:tcBorders>
              <w:top w:val="single" w:sz="4" w:space="0" w:color="auto"/>
              <w:left w:val="single" w:sz="4" w:space="0" w:color="auto"/>
              <w:bottom w:val="single" w:sz="4" w:space="0" w:color="auto"/>
              <w:right w:val="single" w:sz="4" w:space="0" w:color="auto"/>
            </w:tcBorders>
          </w:tcPr>
          <w:p w14:paraId="1C90EFC0" w14:textId="77777777" w:rsidR="003B42B9" w:rsidRPr="009473FE" w:rsidRDefault="003B42B9" w:rsidP="00BE69D7">
            <w:pPr>
              <w:pStyle w:val="TableCell10Center"/>
              <w:keepLines w:val="0"/>
              <w:spacing w:before="40" w:after="40" w:line="240" w:lineRule="auto"/>
              <w:rPr>
                <w:sz w:val="24"/>
                <w:szCs w:val="22"/>
              </w:rPr>
            </w:pPr>
            <w:r w:rsidRPr="009473FE">
              <w:rPr>
                <w:sz w:val="24"/>
                <w:szCs w:val="22"/>
              </w:rPr>
              <w:t>0</w:t>
            </w:r>
          </w:p>
        </w:tc>
        <w:tc>
          <w:tcPr>
            <w:tcW w:w="765" w:type="pct"/>
            <w:tcBorders>
              <w:top w:val="single" w:sz="4" w:space="0" w:color="auto"/>
              <w:left w:val="single" w:sz="4" w:space="0" w:color="auto"/>
              <w:bottom w:val="single" w:sz="4" w:space="0" w:color="auto"/>
              <w:right w:val="single" w:sz="4" w:space="0" w:color="auto"/>
            </w:tcBorders>
          </w:tcPr>
          <w:p w14:paraId="7F4A48A0" w14:textId="77777777" w:rsidR="003B42B9" w:rsidRPr="009473FE" w:rsidRDefault="003B42B9" w:rsidP="00BE69D7">
            <w:pPr>
              <w:pStyle w:val="TableCell10Center"/>
              <w:keepLines w:val="0"/>
              <w:spacing w:before="40" w:after="40" w:line="240" w:lineRule="auto"/>
              <w:rPr>
                <w:sz w:val="24"/>
                <w:szCs w:val="22"/>
              </w:rPr>
            </w:pPr>
            <w:r w:rsidRPr="009473FE">
              <w:rPr>
                <w:sz w:val="24"/>
                <w:szCs w:val="22"/>
              </w:rPr>
              <w:t>0</w:t>
            </w:r>
          </w:p>
        </w:tc>
      </w:tr>
    </w:tbl>
    <w:p w14:paraId="75835DCF" w14:textId="77777777" w:rsidR="003B42B9" w:rsidRDefault="006672A3" w:rsidP="003B42B9">
      <w:pPr>
        <w:rPr>
          <w:sz w:val="22"/>
          <w:szCs w:val="20"/>
        </w:rPr>
      </w:pPr>
      <w:proofErr w:type="gramStart"/>
      <w:r w:rsidRPr="009473FE">
        <w:rPr>
          <w:sz w:val="22"/>
          <w:szCs w:val="20"/>
        </w:rPr>
        <w:t xml:space="preserve">NCI CTCAE </w:t>
      </w:r>
      <w:r w:rsidRPr="009473FE">
        <w:rPr>
          <w:sz w:val="22"/>
          <w:szCs w:val="20"/>
        </w:rPr>
        <w:sym w:font="Symbol" w:char="F03D"/>
      </w:r>
      <w:r w:rsidRPr="009473FE">
        <w:rPr>
          <w:sz w:val="22"/>
          <w:szCs w:val="20"/>
        </w:rPr>
        <w:t xml:space="preserve"> National Cancer Institute Common Terminology Criteria for Adverse Events; MedDRA </w:t>
      </w:r>
      <w:r w:rsidRPr="009473FE">
        <w:rPr>
          <w:sz w:val="22"/>
          <w:szCs w:val="20"/>
        </w:rPr>
        <w:sym w:font="Symbol" w:char="F03D"/>
      </w:r>
      <w:r w:rsidRPr="009473FE">
        <w:rPr>
          <w:sz w:val="22"/>
          <w:szCs w:val="20"/>
        </w:rPr>
        <w:t> Medical Dictionary for Regulatory Activities.</w:t>
      </w:r>
      <w:proofErr w:type="gramEnd"/>
    </w:p>
    <w:p w14:paraId="4BB2BEBE" w14:textId="5B7EBE01" w:rsidR="006672A3" w:rsidRPr="009473FE" w:rsidRDefault="006672A3" w:rsidP="006672A3">
      <w:pPr>
        <w:pStyle w:val="TabFigFooter"/>
        <w:keepNext w:val="0"/>
        <w:keepLines w:val="0"/>
        <w:widowControl w:val="0"/>
        <w:spacing w:after="40" w:line="240" w:lineRule="auto"/>
        <w:ind w:left="243" w:hanging="215"/>
        <w:rPr>
          <w:sz w:val="22"/>
          <w:szCs w:val="20"/>
        </w:rPr>
      </w:pPr>
      <w:proofErr w:type="spellStart"/>
      <w:proofErr w:type="gramStart"/>
      <w:r w:rsidRPr="009473FE">
        <w:rPr>
          <w:sz w:val="22"/>
          <w:szCs w:val="20"/>
          <w:vertAlign w:val="superscript"/>
        </w:rPr>
        <w:t>a</w:t>
      </w:r>
      <w:proofErr w:type="spellEnd"/>
      <w:proofErr w:type="gramEnd"/>
      <w:r w:rsidRPr="009473FE">
        <w:rPr>
          <w:sz w:val="22"/>
          <w:szCs w:val="20"/>
          <w:vertAlign w:val="superscript"/>
        </w:rPr>
        <w:tab/>
      </w:r>
      <w:r w:rsidRPr="009473FE">
        <w:rPr>
          <w:sz w:val="22"/>
          <w:szCs w:val="20"/>
        </w:rPr>
        <w:t>Includes cases of peripheral oedema, oedema, eyelid</w:t>
      </w:r>
      <w:r w:rsidR="00A9109E">
        <w:rPr>
          <w:sz w:val="22"/>
          <w:szCs w:val="20"/>
        </w:rPr>
        <w:t xml:space="preserve"> o</w:t>
      </w:r>
      <w:r w:rsidRPr="009473FE">
        <w:rPr>
          <w:sz w:val="22"/>
          <w:szCs w:val="20"/>
        </w:rPr>
        <w:t>edema, localised oedema, and face oedema.</w:t>
      </w:r>
    </w:p>
    <w:p w14:paraId="234C5245" w14:textId="77777777" w:rsidR="006672A3" w:rsidRPr="009473FE" w:rsidRDefault="006672A3" w:rsidP="006672A3">
      <w:pPr>
        <w:pStyle w:val="TabFigFooter"/>
        <w:keepNext w:val="0"/>
        <w:keepLines w:val="0"/>
        <w:widowControl w:val="0"/>
        <w:spacing w:after="40" w:line="240" w:lineRule="auto"/>
        <w:ind w:left="243" w:hanging="215"/>
        <w:rPr>
          <w:sz w:val="22"/>
          <w:szCs w:val="20"/>
        </w:rPr>
      </w:pPr>
      <w:proofErr w:type="gramStart"/>
      <w:r w:rsidRPr="009473FE">
        <w:rPr>
          <w:sz w:val="22"/>
          <w:szCs w:val="20"/>
          <w:vertAlign w:val="superscript"/>
        </w:rPr>
        <w:t>b</w:t>
      </w:r>
      <w:proofErr w:type="gramEnd"/>
      <w:r w:rsidRPr="009473FE">
        <w:rPr>
          <w:sz w:val="22"/>
          <w:szCs w:val="20"/>
          <w:vertAlign w:val="superscript"/>
        </w:rPr>
        <w:tab/>
      </w:r>
      <w:r w:rsidRPr="009473FE">
        <w:rPr>
          <w:sz w:val="22"/>
          <w:szCs w:val="20"/>
        </w:rPr>
        <w:t>Includes cases of myalgia and musculoskeletal pain.</w:t>
      </w:r>
    </w:p>
    <w:p w14:paraId="41FCF356" w14:textId="77777777" w:rsidR="006672A3" w:rsidRPr="009473FE" w:rsidRDefault="006672A3" w:rsidP="006672A3">
      <w:pPr>
        <w:pStyle w:val="TabFigFooter"/>
        <w:keepNext w:val="0"/>
        <w:keepLines w:val="0"/>
        <w:widowControl w:val="0"/>
        <w:spacing w:after="40" w:line="240" w:lineRule="auto"/>
        <w:ind w:left="243" w:hanging="215"/>
        <w:rPr>
          <w:sz w:val="22"/>
          <w:szCs w:val="20"/>
        </w:rPr>
      </w:pPr>
      <w:proofErr w:type="gramStart"/>
      <w:r w:rsidRPr="009473FE">
        <w:rPr>
          <w:sz w:val="22"/>
          <w:szCs w:val="20"/>
          <w:vertAlign w:val="superscript"/>
        </w:rPr>
        <w:t>c</w:t>
      </w:r>
      <w:proofErr w:type="gramEnd"/>
      <w:r w:rsidRPr="009473FE">
        <w:rPr>
          <w:sz w:val="22"/>
          <w:szCs w:val="20"/>
          <w:vertAlign w:val="superscript"/>
        </w:rPr>
        <w:tab/>
      </w:r>
      <w:r w:rsidRPr="009473FE">
        <w:rPr>
          <w:sz w:val="22"/>
          <w:szCs w:val="20"/>
        </w:rPr>
        <w:t>Includes cases of rash, rash maculo-papular, dermatitis acneiform, erythema, generalised rash, rash macular, rash papular, exfoliative rash, and pruritic rash.</w:t>
      </w:r>
    </w:p>
    <w:p w14:paraId="20101504" w14:textId="77777777" w:rsidR="006672A3" w:rsidRPr="009473FE" w:rsidRDefault="006672A3" w:rsidP="006672A3">
      <w:pPr>
        <w:pStyle w:val="TabFigFooter"/>
        <w:keepNext w:val="0"/>
        <w:keepLines w:val="0"/>
        <w:widowControl w:val="0"/>
        <w:spacing w:after="40" w:line="240" w:lineRule="auto"/>
        <w:ind w:left="243" w:hanging="215"/>
        <w:rPr>
          <w:sz w:val="22"/>
          <w:szCs w:val="20"/>
        </w:rPr>
      </w:pPr>
      <w:proofErr w:type="gramStart"/>
      <w:r w:rsidRPr="009473FE">
        <w:rPr>
          <w:sz w:val="22"/>
          <w:szCs w:val="20"/>
          <w:vertAlign w:val="superscript"/>
        </w:rPr>
        <w:t>d</w:t>
      </w:r>
      <w:proofErr w:type="gramEnd"/>
      <w:r w:rsidRPr="009473FE">
        <w:rPr>
          <w:sz w:val="22"/>
          <w:szCs w:val="20"/>
        </w:rPr>
        <w:tab/>
        <w:t>Includes cases of dysgeusia and hypogeusia.</w:t>
      </w:r>
    </w:p>
    <w:p w14:paraId="24030E13" w14:textId="77777777" w:rsidR="006672A3" w:rsidRPr="009473FE" w:rsidRDefault="006672A3" w:rsidP="006672A3">
      <w:pPr>
        <w:pStyle w:val="TabFigFooter"/>
        <w:keepNext w:val="0"/>
        <w:keepLines w:val="0"/>
        <w:widowControl w:val="0"/>
        <w:spacing w:after="40" w:line="240" w:lineRule="auto"/>
        <w:ind w:left="243" w:hanging="215"/>
        <w:rPr>
          <w:sz w:val="22"/>
          <w:szCs w:val="20"/>
        </w:rPr>
      </w:pPr>
      <w:proofErr w:type="gramStart"/>
      <w:r w:rsidRPr="009473FE">
        <w:rPr>
          <w:sz w:val="22"/>
          <w:szCs w:val="20"/>
          <w:vertAlign w:val="superscript"/>
        </w:rPr>
        <w:t>e</w:t>
      </w:r>
      <w:proofErr w:type="gramEnd"/>
      <w:r w:rsidRPr="009473FE">
        <w:rPr>
          <w:sz w:val="22"/>
          <w:szCs w:val="20"/>
        </w:rPr>
        <w:tab/>
        <w:t xml:space="preserve">Includes cases of blurred vision, visual impairment, vitreous floaters, reduced visual acuity, and diplopia. </w:t>
      </w:r>
    </w:p>
    <w:p w14:paraId="243FBDA7" w14:textId="77777777" w:rsidR="006672A3" w:rsidRPr="009473FE" w:rsidRDefault="006672A3" w:rsidP="006672A3">
      <w:pPr>
        <w:pStyle w:val="TabFigFooter"/>
        <w:keepNext w:val="0"/>
        <w:keepLines w:val="0"/>
        <w:widowControl w:val="0"/>
        <w:spacing w:after="40" w:line="240" w:lineRule="auto"/>
        <w:ind w:left="243" w:hanging="215"/>
        <w:rPr>
          <w:sz w:val="22"/>
          <w:szCs w:val="20"/>
        </w:rPr>
      </w:pPr>
      <w:proofErr w:type="gramStart"/>
      <w:r w:rsidRPr="009473FE">
        <w:rPr>
          <w:sz w:val="22"/>
          <w:szCs w:val="20"/>
          <w:vertAlign w:val="superscript"/>
        </w:rPr>
        <w:t>f</w:t>
      </w:r>
      <w:proofErr w:type="gramEnd"/>
      <w:r w:rsidRPr="009473FE">
        <w:rPr>
          <w:sz w:val="22"/>
          <w:szCs w:val="20"/>
        </w:rPr>
        <w:tab/>
        <w:t>Includes cases of bradycardia and sinus bradycardia.</w:t>
      </w:r>
    </w:p>
    <w:p w14:paraId="3C5B85D6" w14:textId="77777777" w:rsidR="006672A3" w:rsidRPr="006672A3" w:rsidRDefault="006672A3" w:rsidP="006672A3">
      <w:pPr>
        <w:pStyle w:val="TabFigFooter"/>
        <w:keepNext w:val="0"/>
        <w:keepLines w:val="0"/>
        <w:widowControl w:val="0"/>
        <w:spacing w:after="40" w:line="240" w:lineRule="auto"/>
        <w:ind w:left="243" w:hanging="215"/>
        <w:rPr>
          <w:sz w:val="22"/>
          <w:szCs w:val="20"/>
        </w:rPr>
      </w:pPr>
      <w:r w:rsidRPr="006672A3">
        <w:rPr>
          <w:sz w:val="22"/>
          <w:szCs w:val="20"/>
        </w:rPr>
        <w:t>*</w:t>
      </w:r>
      <w:r w:rsidRPr="006672A3">
        <w:rPr>
          <w:sz w:val="22"/>
          <w:szCs w:val="20"/>
        </w:rPr>
        <w:tab/>
        <w:t>Includes one Grade 5 event.</w:t>
      </w:r>
    </w:p>
    <w:p w14:paraId="1E2A383D" w14:textId="77777777" w:rsidR="003B42B9" w:rsidRDefault="003B42B9" w:rsidP="003B42B9">
      <w:r>
        <w:lastRenderedPageBreak/>
        <w:t xml:space="preserve">Additional adverse drug reactions in patients treated with Alecensa compared to crizotinib respectively include weight increased (9.9% vs 0%), photosensitivity reaction (5.3% vs 0%), stomatitis (3.3% vs 2.6%, which includes cases of stomatitis and mouth ulceration), interstitial lung disease (1.3% vs. 6.0%, which includes cases of interstitial lung disease and pneumonitis), and hepatotoxicity (1.4% vs. 0.7%, which includes cases of drug-induced liver injury, 0.7% vs 0.7, and hepatotoxicity). </w:t>
      </w:r>
    </w:p>
    <w:p w14:paraId="54BC394D" w14:textId="77777777" w:rsidR="003B42B9" w:rsidRDefault="003B42B9" w:rsidP="003B42B9"/>
    <w:p w14:paraId="53EF2134" w14:textId="77777777" w:rsidR="003B42B9" w:rsidRDefault="003B42B9" w:rsidP="003B42B9">
      <w:r>
        <w:t xml:space="preserve">Table </w:t>
      </w:r>
      <w:r w:rsidR="006672A3">
        <w:t>4</w:t>
      </w:r>
      <w:r>
        <w:t xml:space="preserve"> summarises treatment-emergent shifts in laboratory abnormalities with Alecensa in Study 3 (ALEX).</w:t>
      </w:r>
    </w:p>
    <w:p w14:paraId="17D9A6C1" w14:textId="77777777" w:rsidR="003B42B9" w:rsidRDefault="003B42B9" w:rsidP="003B42B9"/>
    <w:p w14:paraId="13DEEBF2" w14:textId="77777777" w:rsidR="003B42B9" w:rsidRPr="00D11614" w:rsidRDefault="003B42B9" w:rsidP="003B42B9">
      <w:pPr>
        <w:pStyle w:val="Tableheading"/>
        <w:rPr>
          <w:sz w:val="22"/>
        </w:rPr>
      </w:pPr>
      <w:r w:rsidRPr="00D11614">
        <w:rPr>
          <w:sz w:val="22"/>
        </w:rPr>
        <w:t xml:space="preserve">Table </w:t>
      </w:r>
      <w:r w:rsidR="006672A3">
        <w:rPr>
          <w:sz w:val="22"/>
        </w:rPr>
        <w:t>4</w:t>
      </w:r>
      <w:r w:rsidRPr="00D11614">
        <w:rPr>
          <w:sz w:val="22"/>
        </w:rPr>
        <w:t>:</w:t>
      </w:r>
      <w:r w:rsidRPr="00D11614">
        <w:rPr>
          <w:sz w:val="22"/>
        </w:rPr>
        <w:tab/>
        <w:t>Treatment-emergent shifts in laboratory abnormalities that occurred in &gt; 10</w:t>
      </w:r>
      <w:proofErr w:type="gramStart"/>
      <w:r w:rsidRPr="00D11614">
        <w:rPr>
          <w:sz w:val="22"/>
        </w:rPr>
        <w:t>%  in</w:t>
      </w:r>
      <w:proofErr w:type="gramEnd"/>
      <w:r w:rsidRPr="00D11614">
        <w:rPr>
          <w:sz w:val="22"/>
        </w:rPr>
        <w:t xml:space="preserve"> Alecensa-treated patients in Study 3 (ALEX)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2279"/>
        <w:gridCol w:w="1701"/>
        <w:gridCol w:w="1701"/>
        <w:gridCol w:w="1701"/>
        <w:gridCol w:w="1701"/>
      </w:tblGrid>
      <w:tr w:rsidR="003B42B9" w:rsidRPr="009425E5" w14:paraId="1F7985DC" w14:textId="77777777" w:rsidTr="00BE69D7">
        <w:trPr>
          <w:trHeight w:val="738"/>
        </w:trPr>
        <w:tc>
          <w:tcPr>
            <w:tcW w:w="2518" w:type="dxa"/>
            <w:gridSpan w:val="2"/>
            <w:vMerge w:val="restart"/>
            <w:shd w:val="clear" w:color="auto" w:fill="auto"/>
          </w:tcPr>
          <w:p w14:paraId="6A0E4E5F" w14:textId="77777777" w:rsidR="003B42B9" w:rsidRPr="009425E5" w:rsidRDefault="003B42B9" w:rsidP="00BE69D7">
            <w:pPr>
              <w:spacing w:before="40" w:after="40"/>
              <w:rPr>
                <w:b/>
                <w:sz w:val="22"/>
                <w:szCs w:val="22"/>
              </w:rPr>
            </w:pPr>
            <w:r w:rsidRPr="009425E5">
              <w:rPr>
                <w:b/>
                <w:sz w:val="22"/>
                <w:szCs w:val="22"/>
              </w:rPr>
              <w:t>Parameter</w:t>
            </w:r>
          </w:p>
        </w:tc>
        <w:tc>
          <w:tcPr>
            <w:tcW w:w="3402" w:type="dxa"/>
            <w:gridSpan w:val="2"/>
            <w:shd w:val="clear" w:color="auto" w:fill="auto"/>
          </w:tcPr>
          <w:p w14:paraId="41E179D7" w14:textId="77777777" w:rsidR="003B42B9" w:rsidRPr="009425E5" w:rsidRDefault="003B42B9" w:rsidP="00BE69D7">
            <w:pPr>
              <w:spacing w:before="40" w:after="40"/>
              <w:jc w:val="center"/>
              <w:rPr>
                <w:b/>
                <w:sz w:val="22"/>
                <w:szCs w:val="22"/>
              </w:rPr>
            </w:pPr>
            <w:r w:rsidRPr="00AB60FC">
              <w:rPr>
                <w:b/>
                <w:sz w:val="22"/>
                <w:szCs w:val="22"/>
              </w:rPr>
              <w:t>Alecensa</w:t>
            </w:r>
            <w:r w:rsidRPr="00AB60FC">
              <w:rPr>
                <w:b/>
                <w:sz w:val="22"/>
                <w:szCs w:val="22"/>
              </w:rPr>
              <w:br/>
            </w:r>
            <w:r w:rsidRPr="009425E5">
              <w:rPr>
                <w:b/>
                <w:sz w:val="22"/>
                <w:szCs w:val="22"/>
              </w:rPr>
              <w:t>N= 152</w:t>
            </w:r>
          </w:p>
        </w:tc>
        <w:tc>
          <w:tcPr>
            <w:tcW w:w="3402" w:type="dxa"/>
            <w:gridSpan w:val="2"/>
          </w:tcPr>
          <w:p w14:paraId="020BF318" w14:textId="77777777" w:rsidR="003B42B9" w:rsidRPr="009425E5" w:rsidRDefault="003B42B9" w:rsidP="00BE69D7">
            <w:pPr>
              <w:spacing w:before="40" w:after="40"/>
              <w:jc w:val="center"/>
              <w:rPr>
                <w:b/>
                <w:sz w:val="22"/>
                <w:szCs w:val="22"/>
              </w:rPr>
            </w:pPr>
            <w:r w:rsidRPr="009425E5">
              <w:rPr>
                <w:b/>
                <w:sz w:val="22"/>
                <w:szCs w:val="22"/>
              </w:rPr>
              <w:t>Crizotinib</w:t>
            </w:r>
            <w:r w:rsidRPr="00AB60FC">
              <w:rPr>
                <w:b/>
                <w:sz w:val="22"/>
                <w:szCs w:val="22"/>
              </w:rPr>
              <w:br/>
            </w:r>
            <w:r w:rsidRPr="009425E5">
              <w:rPr>
                <w:b/>
                <w:sz w:val="22"/>
                <w:szCs w:val="22"/>
              </w:rPr>
              <w:t>N=151</w:t>
            </w:r>
          </w:p>
        </w:tc>
      </w:tr>
      <w:tr w:rsidR="003B42B9" w:rsidRPr="009425E5" w14:paraId="24001CCF" w14:textId="77777777" w:rsidTr="00BE69D7">
        <w:trPr>
          <w:trHeight w:val="288"/>
        </w:trPr>
        <w:tc>
          <w:tcPr>
            <w:tcW w:w="2518" w:type="dxa"/>
            <w:gridSpan w:val="2"/>
            <w:vMerge/>
            <w:shd w:val="clear" w:color="auto" w:fill="auto"/>
          </w:tcPr>
          <w:p w14:paraId="14110DDC" w14:textId="77777777" w:rsidR="003B42B9" w:rsidRPr="009425E5" w:rsidRDefault="003B42B9" w:rsidP="00BE69D7">
            <w:pPr>
              <w:spacing w:before="40" w:after="40"/>
              <w:rPr>
                <w:b/>
                <w:sz w:val="22"/>
                <w:szCs w:val="22"/>
              </w:rPr>
            </w:pPr>
          </w:p>
        </w:tc>
        <w:tc>
          <w:tcPr>
            <w:tcW w:w="1701" w:type="dxa"/>
            <w:shd w:val="clear" w:color="auto" w:fill="auto"/>
          </w:tcPr>
          <w:p w14:paraId="6D4D7F98" w14:textId="77777777" w:rsidR="003B42B9" w:rsidRPr="009425E5" w:rsidRDefault="003B42B9" w:rsidP="00BE69D7">
            <w:pPr>
              <w:spacing w:before="40" w:after="40"/>
              <w:jc w:val="center"/>
              <w:rPr>
                <w:b/>
                <w:sz w:val="22"/>
                <w:szCs w:val="22"/>
              </w:rPr>
            </w:pPr>
            <w:r w:rsidRPr="009425E5">
              <w:rPr>
                <w:b/>
                <w:sz w:val="22"/>
                <w:szCs w:val="22"/>
              </w:rPr>
              <w:t>All Grades (%)</w:t>
            </w:r>
          </w:p>
        </w:tc>
        <w:tc>
          <w:tcPr>
            <w:tcW w:w="1701" w:type="dxa"/>
            <w:shd w:val="clear" w:color="auto" w:fill="auto"/>
          </w:tcPr>
          <w:p w14:paraId="5124DFC8" w14:textId="77777777" w:rsidR="003B42B9" w:rsidRPr="009425E5" w:rsidRDefault="003B42B9" w:rsidP="00BE69D7">
            <w:pPr>
              <w:spacing w:before="40" w:after="40"/>
              <w:jc w:val="center"/>
              <w:rPr>
                <w:b/>
                <w:sz w:val="22"/>
                <w:szCs w:val="22"/>
              </w:rPr>
            </w:pPr>
            <w:r w:rsidRPr="009425E5">
              <w:rPr>
                <w:b/>
                <w:sz w:val="22"/>
                <w:szCs w:val="22"/>
              </w:rPr>
              <w:t>Grade 3–4</w:t>
            </w:r>
            <w:r w:rsidRPr="009425E5">
              <w:rPr>
                <w:b/>
                <w:sz w:val="22"/>
                <w:szCs w:val="22"/>
                <w:vertAlign w:val="superscript"/>
              </w:rPr>
              <w:t>a</w:t>
            </w:r>
            <w:r w:rsidRPr="009425E5">
              <w:rPr>
                <w:b/>
                <w:sz w:val="22"/>
                <w:szCs w:val="22"/>
              </w:rPr>
              <w:t xml:space="preserve"> (%)</w:t>
            </w:r>
          </w:p>
        </w:tc>
        <w:tc>
          <w:tcPr>
            <w:tcW w:w="1701" w:type="dxa"/>
          </w:tcPr>
          <w:p w14:paraId="0EA9D559" w14:textId="77777777" w:rsidR="003B42B9" w:rsidRPr="009425E5" w:rsidRDefault="003B42B9" w:rsidP="00BE69D7">
            <w:pPr>
              <w:spacing w:before="40" w:after="40"/>
              <w:jc w:val="center"/>
              <w:rPr>
                <w:b/>
                <w:sz w:val="22"/>
                <w:szCs w:val="22"/>
              </w:rPr>
            </w:pPr>
            <w:r w:rsidRPr="009425E5">
              <w:rPr>
                <w:b/>
                <w:sz w:val="22"/>
                <w:szCs w:val="22"/>
              </w:rPr>
              <w:t>All Grades (%)</w:t>
            </w:r>
          </w:p>
        </w:tc>
        <w:tc>
          <w:tcPr>
            <w:tcW w:w="1701" w:type="dxa"/>
          </w:tcPr>
          <w:p w14:paraId="246A7B12" w14:textId="77777777" w:rsidR="003B42B9" w:rsidRPr="009425E5" w:rsidRDefault="003B42B9" w:rsidP="00BE69D7">
            <w:pPr>
              <w:spacing w:before="40" w:after="40"/>
              <w:jc w:val="center"/>
              <w:rPr>
                <w:b/>
                <w:sz w:val="22"/>
                <w:szCs w:val="22"/>
              </w:rPr>
            </w:pPr>
            <w:r w:rsidRPr="009425E5">
              <w:rPr>
                <w:b/>
                <w:sz w:val="22"/>
                <w:szCs w:val="22"/>
              </w:rPr>
              <w:t>Grade 3–4</w:t>
            </w:r>
            <w:r w:rsidRPr="009425E5">
              <w:rPr>
                <w:b/>
                <w:sz w:val="22"/>
                <w:szCs w:val="22"/>
                <w:vertAlign w:val="superscript"/>
              </w:rPr>
              <w:t>a</w:t>
            </w:r>
            <w:r w:rsidRPr="009425E5">
              <w:rPr>
                <w:b/>
                <w:sz w:val="22"/>
                <w:szCs w:val="22"/>
              </w:rPr>
              <w:t xml:space="preserve"> (%)</w:t>
            </w:r>
          </w:p>
        </w:tc>
      </w:tr>
      <w:tr w:rsidR="003B42B9" w:rsidRPr="009425E5" w14:paraId="380005A5" w14:textId="77777777" w:rsidTr="00BE69D7">
        <w:tc>
          <w:tcPr>
            <w:tcW w:w="9322" w:type="dxa"/>
            <w:gridSpan w:val="6"/>
            <w:tcBorders>
              <w:bottom w:val="single" w:sz="4" w:space="0" w:color="auto"/>
            </w:tcBorders>
            <w:shd w:val="clear" w:color="auto" w:fill="auto"/>
          </w:tcPr>
          <w:p w14:paraId="335DFEAD" w14:textId="77777777" w:rsidR="003B42B9" w:rsidRPr="009425E5" w:rsidRDefault="003B42B9" w:rsidP="00BE69D7">
            <w:pPr>
              <w:spacing w:before="40" w:after="40"/>
              <w:rPr>
                <w:sz w:val="22"/>
                <w:szCs w:val="22"/>
              </w:rPr>
            </w:pPr>
            <w:r w:rsidRPr="009425E5">
              <w:rPr>
                <w:b/>
                <w:sz w:val="22"/>
                <w:szCs w:val="22"/>
              </w:rPr>
              <w:t>Chemistry</w:t>
            </w:r>
          </w:p>
        </w:tc>
      </w:tr>
      <w:tr w:rsidR="003B42B9" w:rsidRPr="009425E5" w14:paraId="5746C6DB" w14:textId="77777777" w:rsidTr="00BE69D7">
        <w:tc>
          <w:tcPr>
            <w:tcW w:w="2518" w:type="dxa"/>
            <w:gridSpan w:val="2"/>
            <w:tcBorders>
              <w:bottom w:val="single" w:sz="4" w:space="0" w:color="auto"/>
            </w:tcBorders>
            <w:shd w:val="clear" w:color="auto" w:fill="auto"/>
          </w:tcPr>
          <w:p w14:paraId="73E559C3" w14:textId="77777777" w:rsidR="003B42B9" w:rsidRPr="009425E5" w:rsidRDefault="003B42B9" w:rsidP="00BE69D7">
            <w:pPr>
              <w:spacing w:before="40" w:after="40"/>
              <w:ind w:left="318"/>
              <w:rPr>
                <w:sz w:val="22"/>
                <w:szCs w:val="22"/>
              </w:rPr>
            </w:pPr>
            <w:r w:rsidRPr="009425E5">
              <w:rPr>
                <w:sz w:val="22"/>
                <w:szCs w:val="22"/>
              </w:rPr>
              <w:t>Increased blood bilirubin</w:t>
            </w:r>
          </w:p>
        </w:tc>
        <w:tc>
          <w:tcPr>
            <w:tcW w:w="1701" w:type="dxa"/>
            <w:tcBorders>
              <w:bottom w:val="single" w:sz="4" w:space="0" w:color="auto"/>
            </w:tcBorders>
            <w:shd w:val="clear" w:color="auto" w:fill="auto"/>
          </w:tcPr>
          <w:p w14:paraId="40B19157" w14:textId="77777777" w:rsidR="003B42B9" w:rsidRPr="009425E5" w:rsidRDefault="003B42B9" w:rsidP="00BE69D7">
            <w:pPr>
              <w:spacing w:before="40" w:after="40"/>
              <w:jc w:val="center"/>
              <w:rPr>
                <w:sz w:val="22"/>
                <w:szCs w:val="22"/>
              </w:rPr>
            </w:pPr>
            <w:r w:rsidRPr="009425E5">
              <w:rPr>
                <w:sz w:val="22"/>
                <w:szCs w:val="22"/>
              </w:rPr>
              <w:t>53</w:t>
            </w:r>
            <w:r w:rsidRPr="009425E5">
              <w:rPr>
                <w:sz w:val="22"/>
                <w:szCs w:val="22"/>
                <w:vertAlign w:val="superscript"/>
              </w:rPr>
              <w:t>c</w:t>
            </w:r>
          </w:p>
        </w:tc>
        <w:tc>
          <w:tcPr>
            <w:tcW w:w="1701" w:type="dxa"/>
            <w:tcBorders>
              <w:bottom w:val="single" w:sz="4" w:space="0" w:color="auto"/>
            </w:tcBorders>
            <w:shd w:val="clear" w:color="auto" w:fill="auto"/>
          </w:tcPr>
          <w:p w14:paraId="7721880D" w14:textId="77777777" w:rsidR="003B42B9" w:rsidRPr="009425E5" w:rsidRDefault="003B42B9" w:rsidP="00BE69D7">
            <w:pPr>
              <w:spacing w:before="40" w:after="40"/>
              <w:jc w:val="center"/>
              <w:rPr>
                <w:sz w:val="22"/>
                <w:szCs w:val="22"/>
              </w:rPr>
            </w:pPr>
            <w:r w:rsidRPr="009425E5">
              <w:rPr>
                <w:sz w:val="22"/>
                <w:szCs w:val="22"/>
              </w:rPr>
              <w:t>5.5</w:t>
            </w:r>
            <w:r w:rsidRPr="009425E5">
              <w:rPr>
                <w:sz w:val="22"/>
                <w:szCs w:val="22"/>
                <w:vertAlign w:val="superscript"/>
              </w:rPr>
              <w:t>c</w:t>
            </w:r>
          </w:p>
        </w:tc>
        <w:tc>
          <w:tcPr>
            <w:tcW w:w="1701" w:type="dxa"/>
            <w:tcBorders>
              <w:bottom w:val="single" w:sz="4" w:space="0" w:color="auto"/>
            </w:tcBorders>
          </w:tcPr>
          <w:p w14:paraId="5C6D4592" w14:textId="77777777" w:rsidR="003B42B9" w:rsidRPr="009425E5" w:rsidRDefault="003B42B9" w:rsidP="00BE69D7">
            <w:pPr>
              <w:spacing w:before="40" w:after="40"/>
              <w:jc w:val="center"/>
              <w:rPr>
                <w:sz w:val="22"/>
                <w:szCs w:val="22"/>
              </w:rPr>
            </w:pPr>
            <w:r w:rsidRPr="009425E5">
              <w:rPr>
                <w:sz w:val="22"/>
                <w:szCs w:val="22"/>
              </w:rPr>
              <w:t>4.7</w:t>
            </w:r>
            <w:r w:rsidRPr="009425E5">
              <w:rPr>
                <w:sz w:val="22"/>
                <w:szCs w:val="22"/>
                <w:vertAlign w:val="superscript"/>
              </w:rPr>
              <w:t>g</w:t>
            </w:r>
          </w:p>
        </w:tc>
        <w:tc>
          <w:tcPr>
            <w:tcW w:w="1701" w:type="dxa"/>
            <w:tcBorders>
              <w:bottom w:val="single" w:sz="4" w:space="0" w:color="auto"/>
            </w:tcBorders>
          </w:tcPr>
          <w:p w14:paraId="6712CCC6" w14:textId="77777777" w:rsidR="003B42B9" w:rsidRPr="009425E5" w:rsidRDefault="003B42B9" w:rsidP="00BE69D7">
            <w:pPr>
              <w:spacing w:before="40" w:after="40"/>
              <w:jc w:val="center"/>
              <w:rPr>
                <w:sz w:val="22"/>
                <w:szCs w:val="22"/>
              </w:rPr>
            </w:pPr>
            <w:r w:rsidRPr="009425E5">
              <w:rPr>
                <w:sz w:val="22"/>
                <w:szCs w:val="22"/>
              </w:rPr>
              <w:t>0</w:t>
            </w:r>
          </w:p>
        </w:tc>
      </w:tr>
      <w:tr w:rsidR="003B42B9" w:rsidRPr="009425E5" w14:paraId="19A170F1" w14:textId="77777777" w:rsidTr="00BE69D7">
        <w:tc>
          <w:tcPr>
            <w:tcW w:w="2518" w:type="dxa"/>
            <w:gridSpan w:val="2"/>
            <w:tcBorders>
              <w:bottom w:val="single" w:sz="4" w:space="0" w:color="auto"/>
            </w:tcBorders>
            <w:shd w:val="clear" w:color="auto" w:fill="auto"/>
          </w:tcPr>
          <w:p w14:paraId="5147B439" w14:textId="77777777" w:rsidR="003B42B9" w:rsidRPr="009425E5" w:rsidRDefault="003B42B9" w:rsidP="00BE69D7">
            <w:pPr>
              <w:spacing w:before="40" w:after="40"/>
              <w:ind w:left="318"/>
              <w:rPr>
                <w:sz w:val="22"/>
                <w:szCs w:val="22"/>
              </w:rPr>
            </w:pPr>
            <w:r w:rsidRPr="009425E5">
              <w:rPr>
                <w:sz w:val="22"/>
                <w:szCs w:val="22"/>
              </w:rPr>
              <w:t>Increased AST</w:t>
            </w:r>
          </w:p>
        </w:tc>
        <w:tc>
          <w:tcPr>
            <w:tcW w:w="1701" w:type="dxa"/>
            <w:tcBorders>
              <w:bottom w:val="single" w:sz="4" w:space="0" w:color="auto"/>
            </w:tcBorders>
            <w:shd w:val="clear" w:color="auto" w:fill="auto"/>
          </w:tcPr>
          <w:p w14:paraId="46D9C16E" w14:textId="77777777" w:rsidR="003B42B9" w:rsidRPr="009425E5" w:rsidRDefault="003B42B9" w:rsidP="00BE69D7">
            <w:pPr>
              <w:spacing w:before="40" w:after="40"/>
              <w:jc w:val="center"/>
              <w:rPr>
                <w:sz w:val="22"/>
                <w:szCs w:val="22"/>
              </w:rPr>
            </w:pPr>
            <w:r w:rsidRPr="009425E5">
              <w:rPr>
                <w:sz w:val="22"/>
                <w:szCs w:val="22"/>
              </w:rPr>
              <w:t>50</w:t>
            </w:r>
            <w:r w:rsidRPr="009425E5">
              <w:rPr>
                <w:sz w:val="22"/>
                <w:szCs w:val="22"/>
                <w:vertAlign w:val="superscript"/>
              </w:rPr>
              <w:t>d</w:t>
            </w:r>
          </w:p>
        </w:tc>
        <w:tc>
          <w:tcPr>
            <w:tcW w:w="1701" w:type="dxa"/>
            <w:tcBorders>
              <w:bottom w:val="single" w:sz="4" w:space="0" w:color="auto"/>
            </w:tcBorders>
            <w:shd w:val="clear" w:color="auto" w:fill="auto"/>
          </w:tcPr>
          <w:p w14:paraId="2ADE60D2" w14:textId="77777777" w:rsidR="003B42B9" w:rsidRPr="009425E5" w:rsidRDefault="003B42B9" w:rsidP="00BE69D7">
            <w:pPr>
              <w:spacing w:before="40" w:after="40"/>
              <w:jc w:val="center"/>
              <w:rPr>
                <w:sz w:val="22"/>
                <w:szCs w:val="22"/>
              </w:rPr>
            </w:pPr>
            <w:r w:rsidRPr="009425E5">
              <w:rPr>
                <w:sz w:val="22"/>
                <w:szCs w:val="22"/>
              </w:rPr>
              <w:t>6.2</w:t>
            </w:r>
            <w:r w:rsidRPr="009425E5">
              <w:rPr>
                <w:sz w:val="22"/>
                <w:szCs w:val="22"/>
                <w:vertAlign w:val="superscript"/>
              </w:rPr>
              <w:t>d</w:t>
            </w:r>
          </w:p>
        </w:tc>
        <w:tc>
          <w:tcPr>
            <w:tcW w:w="1701" w:type="dxa"/>
            <w:tcBorders>
              <w:bottom w:val="single" w:sz="4" w:space="0" w:color="auto"/>
            </w:tcBorders>
          </w:tcPr>
          <w:p w14:paraId="3035132F" w14:textId="77777777" w:rsidR="003B42B9" w:rsidRPr="009425E5" w:rsidRDefault="003B42B9" w:rsidP="00BE69D7">
            <w:pPr>
              <w:spacing w:before="40" w:after="40"/>
              <w:jc w:val="center"/>
              <w:rPr>
                <w:sz w:val="22"/>
                <w:szCs w:val="22"/>
              </w:rPr>
            </w:pPr>
            <w:r w:rsidRPr="009425E5">
              <w:rPr>
                <w:sz w:val="22"/>
                <w:szCs w:val="22"/>
              </w:rPr>
              <w:t>56</w:t>
            </w:r>
            <w:r w:rsidRPr="009425E5">
              <w:rPr>
                <w:sz w:val="22"/>
                <w:szCs w:val="22"/>
                <w:vertAlign w:val="superscript"/>
              </w:rPr>
              <w:t>g</w:t>
            </w:r>
          </w:p>
        </w:tc>
        <w:tc>
          <w:tcPr>
            <w:tcW w:w="1701" w:type="dxa"/>
            <w:tcBorders>
              <w:bottom w:val="single" w:sz="4" w:space="0" w:color="auto"/>
            </w:tcBorders>
          </w:tcPr>
          <w:p w14:paraId="7F2DC311" w14:textId="77777777" w:rsidR="003B42B9" w:rsidRPr="009425E5" w:rsidRDefault="003B42B9" w:rsidP="00BE69D7">
            <w:pPr>
              <w:spacing w:before="40" w:after="40"/>
              <w:jc w:val="center"/>
              <w:rPr>
                <w:sz w:val="22"/>
                <w:szCs w:val="22"/>
              </w:rPr>
            </w:pPr>
            <w:r w:rsidRPr="009425E5">
              <w:rPr>
                <w:sz w:val="22"/>
                <w:szCs w:val="22"/>
              </w:rPr>
              <w:t>11</w:t>
            </w:r>
            <w:r w:rsidRPr="009425E5">
              <w:rPr>
                <w:sz w:val="22"/>
                <w:szCs w:val="22"/>
                <w:vertAlign w:val="superscript"/>
              </w:rPr>
              <w:t>g</w:t>
            </w:r>
          </w:p>
        </w:tc>
      </w:tr>
      <w:tr w:rsidR="003B42B9" w:rsidRPr="009425E5" w14:paraId="406568AD" w14:textId="77777777" w:rsidTr="00BE69D7">
        <w:tc>
          <w:tcPr>
            <w:tcW w:w="2518" w:type="dxa"/>
            <w:gridSpan w:val="2"/>
            <w:tcBorders>
              <w:bottom w:val="single" w:sz="4" w:space="0" w:color="auto"/>
            </w:tcBorders>
            <w:shd w:val="clear" w:color="auto" w:fill="auto"/>
          </w:tcPr>
          <w:p w14:paraId="61769A80" w14:textId="77777777" w:rsidR="003B42B9" w:rsidRPr="009425E5" w:rsidRDefault="003B42B9" w:rsidP="00BE69D7">
            <w:pPr>
              <w:spacing w:before="40" w:after="40"/>
              <w:ind w:left="318"/>
              <w:rPr>
                <w:sz w:val="22"/>
                <w:szCs w:val="22"/>
              </w:rPr>
            </w:pPr>
            <w:r w:rsidRPr="009425E5">
              <w:rPr>
                <w:sz w:val="22"/>
                <w:szCs w:val="22"/>
              </w:rPr>
              <w:t xml:space="preserve">Increased </w:t>
            </w:r>
            <w:r>
              <w:rPr>
                <w:sz w:val="22"/>
                <w:szCs w:val="22"/>
              </w:rPr>
              <w:t>ALP</w:t>
            </w:r>
          </w:p>
        </w:tc>
        <w:tc>
          <w:tcPr>
            <w:tcW w:w="1701" w:type="dxa"/>
            <w:tcBorders>
              <w:bottom w:val="single" w:sz="4" w:space="0" w:color="auto"/>
            </w:tcBorders>
            <w:shd w:val="clear" w:color="auto" w:fill="auto"/>
          </w:tcPr>
          <w:p w14:paraId="1E120F3F" w14:textId="77777777" w:rsidR="003B42B9" w:rsidRPr="009425E5" w:rsidRDefault="003B42B9" w:rsidP="00BE69D7">
            <w:pPr>
              <w:spacing w:before="40" w:after="40"/>
              <w:jc w:val="center"/>
              <w:rPr>
                <w:sz w:val="22"/>
                <w:szCs w:val="22"/>
              </w:rPr>
            </w:pPr>
            <w:r w:rsidRPr="009425E5">
              <w:rPr>
                <w:sz w:val="22"/>
                <w:szCs w:val="22"/>
              </w:rPr>
              <w:t>50</w:t>
            </w:r>
            <w:r w:rsidRPr="009425E5">
              <w:rPr>
                <w:sz w:val="22"/>
                <w:szCs w:val="22"/>
                <w:vertAlign w:val="superscript"/>
              </w:rPr>
              <w:t>e</w:t>
            </w:r>
          </w:p>
        </w:tc>
        <w:tc>
          <w:tcPr>
            <w:tcW w:w="1701" w:type="dxa"/>
            <w:tcBorders>
              <w:bottom w:val="single" w:sz="4" w:space="0" w:color="auto"/>
            </w:tcBorders>
            <w:shd w:val="clear" w:color="auto" w:fill="auto"/>
          </w:tcPr>
          <w:p w14:paraId="35DFA932" w14:textId="77777777" w:rsidR="003B42B9" w:rsidRPr="009425E5" w:rsidRDefault="003B42B9" w:rsidP="00BE69D7">
            <w:pPr>
              <w:spacing w:before="40" w:after="40"/>
              <w:jc w:val="center"/>
              <w:rPr>
                <w:sz w:val="22"/>
                <w:szCs w:val="22"/>
              </w:rPr>
            </w:pPr>
            <w:r w:rsidRPr="009425E5">
              <w:rPr>
                <w:sz w:val="22"/>
                <w:szCs w:val="22"/>
              </w:rPr>
              <w:t>0</w:t>
            </w:r>
          </w:p>
        </w:tc>
        <w:tc>
          <w:tcPr>
            <w:tcW w:w="1701" w:type="dxa"/>
            <w:tcBorders>
              <w:bottom w:val="single" w:sz="4" w:space="0" w:color="auto"/>
            </w:tcBorders>
          </w:tcPr>
          <w:p w14:paraId="606ABDAD" w14:textId="77777777" w:rsidR="003B42B9" w:rsidRPr="009425E5" w:rsidRDefault="003B42B9" w:rsidP="00BE69D7">
            <w:pPr>
              <w:spacing w:before="40" w:after="40"/>
              <w:jc w:val="center"/>
              <w:rPr>
                <w:sz w:val="22"/>
                <w:szCs w:val="22"/>
              </w:rPr>
            </w:pPr>
            <w:r w:rsidRPr="009425E5">
              <w:rPr>
                <w:sz w:val="22"/>
                <w:szCs w:val="22"/>
              </w:rPr>
              <w:t>44</w:t>
            </w:r>
            <w:r w:rsidRPr="009425E5">
              <w:rPr>
                <w:sz w:val="22"/>
                <w:szCs w:val="22"/>
                <w:vertAlign w:val="superscript"/>
              </w:rPr>
              <w:t>g</w:t>
            </w:r>
          </w:p>
        </w:tc>
        <w:tc>
          <w:tcPr>
            <w:tcW w:w="1701" w:type="dxa"/>
            <w:tcBorders>
              <w:bottom w:val="single" w:sz="4" w:space="0" w:color="auto"/>
            </w:tcBorders>
          </w:tcPr>
          <w:p w14:paraId="79FB7FDE" w14:textId="77777777" w:rsidR="003B42B9" w:rsidRPr="009425E5" w:rsidRDefault="003B42B9" w:rsidP="00BE69D7">
            <w:pPr>
              <w:spacing w:before="40" w:after="40"/>
              <w:jc w:val="center"/>
              <w:rPr>
                <w:sz w:val="22"/>
                <w:szCs w:val="22"/>
              </w:rPr>
            </w:pPr>
            <w:r w:rsidRPr="009425E5">
              <w:rPr>
                <w:sz w:val="22"/>
                <w:szCs w:val="22"/>
              </w:rPr>
              <w:t>0</w:t>
            </w:r>
          </w:p>
        </w:tc>
      </w:tr>
      <w:tr w:rsidR="003B42B9" w:rsidRPr="009425E5" w14:paraId="610E140B" w14:textId="77777777" w:rsidTr="00BE69D7">
        <w:tc>
          <w:tcPr>
            <w:tcW w:w="2518" w:type="dxa"/>
            <w:gridSpan w:val="2"/>
            <w:tcBorders>
              <w:bottom w:val="single" w:sz="4" w:space="0" w:color="auto"/>
            </w:tcBorders>
            <w:shd w:val="clear" w:color="auto" w:fill="auto"/>
          </w:tcPr>
          <w:p w14:paraId="0D6D8699" w14:textId="77777777" w:rsidR="003B42B9" w:rsidRPr="009425E5" w:rsidRDefault="003B42B9" w:rsidP="00BE69D7">
            <w:pPr>
              <w:spacing w:before="40" w:after="40"/>
              <w:ind w:left="318"/>
              <w:rPr>
                <w:sz w:val="22"/>
                <w:szCs w:val="22"/>
              </w:rPr>
            </w:pPr>
            <w:r w:rsidRPr="009425E5">
              <w:rPr>
                <w:sz w:val="22"/>
                <w:szCs w:val="22"/>
              </w:rPr>
              <w:t>Increased ALT</w:t>
            </w:r>
          </w:p>
        </w:tc>
        <w:tc>
          <w:tcPr>
            <w:tcW w:w="1701" w:type="dxa"/>
            <w:tcBorders>
              <w:bottom w:val="single" w:sz="4" w:space="0" w:color="auto"/>
            </w:tcBorders>
            <w:shd w:val="clear" w:color="auto" w:fill="auto"/>
          </w:tcPr>
          <w:p w14:paraId="3DD15594" w14:textId="77777777" w:rsidR="003B42B9" w:rsidRPr="009425E5" w:rsidRDefault="003B42B9" w:rsidP="00BE69D7">
            <w:pPr>
              <w:spacing w:before="40" w:after="40"/>
              <w:jc w:val="center"/>
              <w:rPr>
                <w:sz w:val="22"/>
                <w:szCs w:val="22"/>
              </w:rPr>
            </w:pPr>
            <w:r w:rsidRPr="009425E5">
              <w:rPr>
                <w:sz w:val="22"/>
                <w:szCs w:val="22"/>
              </w:rPr>
              <w:t>40</w:t>
            </w:r>
            <w:r w:rsidRPr="009425E5">
              <w:rPr>
                <w:sz w:val="22"/>
                <w:szCs w:val="22"/>
                <w:vertAlign w:val="superscript"/>
              </w:rPr>
              <w:t>e</w:t>
            </w:r>
          </w:p>
        </w:tc>
        <w:tc>
          <w:tcPr>
            <w:tcW w:w="1701" w:type="dxa"/>
            <w:tcBorders>
              <w:bottom w:val="single" w:sz="4" w:space="0" w:color="auto"/>
            </w:tcBorders>
            <w:shd w:val="clear" w:color="auto" w:fill="auto"/>
          </w:tcPr>
          <w:p w14:paraId="22CCD8DF" w14:textId="77777777" w:rsidR="003B42B9" w:rsidRPr="009425E5" w:rsidRDefault="003B42B9" w:rsidP="00BE69D7">
            <w:pPr>
              <w:spacing w:before="40" w:after="40"/>
              <w:jc w:val="center"/>
              <w:rPr>
                <w:sz w:val="22"/>
                <w:szCs w:val="22"/>
              </w:rPr>
            </w:pPr>
            <w:r w:rsidRPr="009425E5">
              <w:rPr>
                <w:sz w:val="22"/>
                <w:szCs w:val="22"/>
              </w:rPr>
              <w:t>6.1</w:t>
            </w:r>
            <w:r w:rsidRPr="009425E5">
              <w:rPr>
                <w:sz w:val="22"/>
                <w:szCs w:val="22"/>
                <w:vertAlign w:val="superscript"/>
              </w:rPr>
              <w:t>e</w:t>
            </w:r>
          </w:p>
        </w:tc>
        <w:tc>
          <w:tcPr>
            <w:tcW w:w="1701" w:type="dxa"/>
            <w:tcBorders>
              <w:bottom w:val="single" w:sz="4" w:space="0" w:color="auto"/>
            </w:tcBorders>
          </w:tcPr>
          <w:p w14:paraId="27A8AF24" w14:textId="77777777" w:rsidR="003B42B9" w:rsidRPr="009425E5" w:rsidRDefault="003B42B9" w:rsidP="00BE69D7">
            <w:pPr>
              <w:spacing w:before="40" w:after="40"/>
              <w:jc w:val="center"/>
              <w:rPr>
                <w:sz w:val="22"/>
                <w:szCs w:val="22"/>
              </w:rPr>
            </w:pPr>
            <w:r w:rsidRPr="009425E5">
              <w:rPr>
                <w:sz w:val="22"/>
                <w:szCs w:val="22"/>
              </w:rPr>
              <w:t>62</w:t>
            </w:r>
            <w:r w:rsidRPr="009425E5">
              <w:rPr>
                <w:sz w:val="22"/>
                <w:szCs w:val="22"/>
                <w:vertAlign w:val="superscript"/>
              </w:rPr>
              <w:t>g</w:t>
            </w:r>
          </w:p>
        </w:tc>
        <w:tc>
          <w:tcPr>
            <w:tcW w:w="1701" w:type="dxa"/>
            <w:tcBorders>
              <w:bottom w:val="single" w:sz="4" w:space="0" w:color="auto"/>
            </w:tcBorders>
          </w:tcPr>
          <w:p w14:paraId="0D53C08A" w14:textId="77777777" w:rsidR="003B42B9" w:rsidRPr="009425E5" w:rsidRDefault="003B42B9" w:rsidP="00BE69D7">
            <w:pPr>
              <w:spacing w:before="40" w:after="40"/>
              <w:jc w:val="center"/>
              <w:rPr>
                <w:sz w:val="22"/>
                <w:szCs w:val="22"/>
              </w:rPr>
            </w:pPr>
            <w:r w:rsidRPr="009425E5">
              <w:rPr>
                <w:sz w:val="22"/>
                <w:szCs w:val="22"/>
              </w:rPr>
              <w:t>16</w:t>
            </w:r>
            <w:r w:rsidRPr="009425E5">
              <w:rPr>
                <w:sz w:val="22"/>
                <w:szCs w:val="22"/>
                <w:vertAlign w:val="superscript"/>
              </w:rPr>
              <w:t>g</w:t>
            </w:r>
          </w:p>
        </w:tc>
      </w:tr>
      <w:tr w:rsidR="003B42B9" w:rsidRPr="009425E5" w14:paraId="61E8F456" w14:textId="77777777" w:rsidTr="00BE69D7">
        <w:tc>
          <w:tcPr>
            <w:tcW w:w="2518" w:type="dxa"/>
            <w:gridSpan w:val="2"/>
            <w:tcBorders>
              <w:bottom w:val="single" w:sz="4" w:space="0" w:color="auto"/>
            </w:tcBorders>
            <w:shd w:val="clear" w:color="auto" w:fill="auto"/>
          </w:tcPr>
          <w:p w14:paraId="7423E6C0" w14:textId="77777777" w:rsidR="003B42B9" w:rsidRPr="009425E5" w:rsidRDefault="003B42B9" w:rsidP="00BE69D7">
            <w:pPr>
              <w:spacing w:before="40" w:after="40"/>
              <w:ind w:left="318"/>
              <w:rPr>
                <w:sz w:val="22"/>
                <w:szCs w:val="22"/>
              </w:rPr>
            </w:pPr>
            <w:r w:rsidRPr="009425E5">
              <w:rPr>
                <w:sz w:val="22"/>
                <w:szCs w:val="22"/>
              </w:rPr>
              <w:t xml:space="preserve">Increased blood </w:t>
            </w:r>
            <w:proofErr w:type="spellStart"/>
            <w:r w:rsidRPr="009425E5">
              <w:rPr>
                <w:sz w:val="22"/>
                <w:szCs w:val="22"/>
              </w:rPr>
              <w:t>creatinine</w:t>
            </w:r>
            <w:r w:rsidRPr="009425E5">
              <w:rPr>
                <w:sz w:val="22"/>
                <w:szCs w:val="22"/>
                <w:vertAlign w:val="superscript"/>
              </w:rPr>
              <w:t>b</w:t>
            </w:r>
            <w:proofErr w:type="spellEnd"/>
          </w:p>
        </w:tc>
        <w:tc>
          <w:tcPr>
            <w:tcW w:w="1701" w:type="dxa"/>
            <w:tcBorders>
              <w:bottom w:val="single" w:sz="4" w:space="0" w:color="auto"/>
            </w:tcBorders>
            <w:shd w:val="clear" w:color="auto" w:fill="auto"/>
          </w:tcPr>
          <w:p w14:paraId="20583E27" w14:textId="77777777" w:rsidR="003B42B9" w:rsidRPr="009425E5" w:rsidRDefault="003B42B9" w:rsidP="00BE69D7">
            <w:pPr>
              <w:spacing w:before="40" w:after="40"/>
              <w:jc w:val="center"/>
              <w:rPr>
                <w:sz w:val="22"/>
                <w:szCs w:val="22"/>
              </w:rPr>
            </w:pPr>
            <w:r w:rsidRPr="009425E5">
              <w:rPr>
                <w:sz w:val="22"/>
                <w:szCs w:val="22"/>
              </w:rPr>
              <w:t>38</w:t>
            </w:r>
            <w:r w:rsidRPr="009425E5">
              <w:rPr>
                <w:sz w:val="22"/>
                <w:szCs w:val="22"/>
                <w:vertAlign w:val="superscript"/>
              </w:rPr>
              <w:t>e</w:t>
            </w:r>
          </w:p>
        </w:tc>
        <w:tc>
          <w:tcPr>
            <w:tcW w:w="1701" w:type="dxa"/>
            <w:tcBorders>
              <w:bottom w:val="single" w:sz="4" w:space="0" w:color="auto"/>
            </w:tcBorders>
            <w:shd w:val="clear" w:color="auto" w:fill="auto"/>
          </w:tcPr>
          <w:p w14:paraId="74550EF2" w14:textId="77777777" w:rsidR="003B42B9" w:rsidRPr="009425E5" w:rsidRDefault="003B42B9" w:rsidP="00BE69D7">
            <w:pPr>
              <w:spacing w:before="40" w:after="40"/>
              <w:jc w:val="center"/>
              <w:rPr>
                <w:sz w:val="22"/>
                <w:szCs w:val="22"/>
              </w:rPr>
            </w:pPr>
            <w:r w:rsidRPr="009425E5">
              <w:rPr>
                <w:sz w:val="22"/>
                <w:szCs w:val="22"/>
              </w:rPr>
              <w:t>3.4</w:t>
            </w:r>
            <w:r w:rsidRPr="009425E5">
              <w:rPr>
                <w:sz w:val="22"/>
                <w:szCs w:val="22"/>
                <w:vertAlign w:val="superscript"/>
              </w:rPr>
              <w:t>e</w:t>
            </w:r>
          </w:p>
        </w:tc>
        <w:tc>
          <w:tcPr>
            <w:tcW w:w="1701" w:type="dxa"/>
            <w:tcBorders>
              <w:bottom w:val="single" w:sz="4" w:space="0" w:color="auto"/>
            </w:tcBorders>
          </w:tcPr>
          <w:p w14:paraId="7E2B3D44" w14:textId="77777777" w:rsidR="003B42B9" w:rsidRPr="009425E5" w:rsidRDefault="003B42B9" w:rsidP="00BE69D7">
            <w:pPr>
              <w:spacing w:before="40" w:after="40"/>
              <w:jc w:val="center"/>
              <w:rPr>
                <w:sz w:val="22"/>
                <w:szCs w:val="22"/>
              </w:rPr>
            </w:pPr>
            <w:r w:rsidRPr="009425E5">
              <w:rPr>
                <w:sz w:val="22"/>
                <w:szCs w:val="22"/>
              </w:rPr>
              <w:t>23</w:t>
            </w:r>
            <w:r w:rsidRPr="009425E5">
              <w:rPr>
                <w:sz w:val="22"/>
                <w:szCs w:val="22"/>
                <w:vertAlign w:val="superscript"/>
              </w:rPr>
              <w:t>g</w:t>
            </w:r>
          </w:p>
        </w:tc>
        <w:tc>
          <w:tcPr>
            <w:tcW w:w="1701" w:type="dxa"/>
            <w:tcBorders>
              <w:bottom w:val="single" w:sz="4" w:space="0" w:color="auto"/>
            </w:tcBorders>
          </w:tcPr>
          <w:p w14:paraId="5BDA5482" w14:textId="77777777" w:rsidR="003B42B9" w:rsidRPr="009425E5" w:rsidRDefault="003B42B9" w:rsidP="00BE69D7">
            <w:pPr>
              <w:spacing w:before="40" w:after="40"/>
              <w:jc w:val="center"/>
              <w:rPr>
                <w:sz w:val="22"/>
                <w:szCs w:val="22"/>
              </w:rPr>
            </w:pPr>
            <w:r w:rsidRPr="009425E5">
              <w:rPr>
                <w:sz w:val="22"/>
                <w:szCs w:val="22"/>
              </w:rPr>
              <w:t>0.7</w:t>
            </w:r>
            <w:r w:rsidRPr="009425E5">
              <w:rPr>
                <w:sz w:val="22"/>
                <w:szCs w:val="22"/>
                <w:vertAlign w:val="superscript"/>
              </w:rPr>
              <w:t>g</w:t>
            </w:r>
          </w:p>
        </w:tc>
      </w:tr>
      <w:tr w:rsidR="003B42B9" w:rsidRPr="009425E5" w14:paraId="3F444347" w14:textId="77777777" w:rsidTr="00BE69D7">
        <w:tc>
          <w:tcPr>
            <w:tcW w:w="2518" w:type="dxa"/>
            <w:gridSpan w:val="2"/>
            <w:tcBorders>
              <w:bottom w:val="single" w:sz="4" w:space="0" w:color="auto"/>
            </w:tcBorders>
            <w:shd w:val="clear" w:color="auto" w:fill="auto"/>
          </w:tcPr>
          <w:p w14:paraId="40F283C6" w14:textId="77777777" w:rsidR="003B42B9" w:rsidRPr="009425E5" w:rsidRDefault="003B42B9" w:rsidP="00BE69D7">
            <w:pPr>
              <w:spacing w:before="40" w:after="40"/>
              <w:ind w:left="318"/>
              <w:rPr>
                <w:sz w:val="22"/>
                <w:szCs w:val="22"/>
              </w:rPr>
            </w:pPr>
            <w:r w:rsidRPr="009425E5">
              <w:rPr>
                <w:sz w:val="22"/>
                <w:szCs w:val="22"/>
              </w:rPr>
              <w:t>Increased CPK</w:t>
            </w:r>
          </w:p>
        </w:tc>
        <w:tc>
          <w:tcPr>
            <w:tcW w:w="1701" w:type="dxa"/>
            <w:tcBorders>
              <w:bottom w:val="single" w:sz="4" w:space="0" w:color="auto"/>
            </w:tcBorders>
            <w:shd w:val="clear" w:color="auto" w:fill="auto"/>
          </w:tcPr>
          <w:p w14:paraId="32B6186D" w14:textId="77777777" w:rsidR="003B42B9" w:rsidRPr="009425E5" w:rsidRDefault="003B42B9" w:rsidP="00BE69D7">
            <w:pPr>
              <w:spacing w:before="40" w:after="40"/>
              <w:jc w:val="center"/>
              <w:rPr>
                <w:sz w:val="22"/>
                <w:szCs w:val="22"/>
              </w:rPr>
            </w:pPr>
            <w:r w:rsidRPr="009425E5">
              <w:rPr>
                <w:sz w:val="22"/>
                <w:szCs w:val="22"/>
              </w:rPr>
              <w:t>37</w:t>
            </w:r>
            <w:r w:rsidRPr="009425E5">
              <w:rPr>
                <w:sz w:val="22"/>
                <w:szCs w:val="22"/>
                <w:vertAlign w:val="superscript"/>
              </w:rPr>
              <w:t xml:space="preserve"> f</w:t>
            </w:r>
          </w:p>
        </w:tc>
        <w:tc>
          <w:tcPr>
            <w:tcW w:w="1701" w:type="dxa"/>
            <w:tcBorders>
              <w:bottom w:val="single" w:sz="4" w:space="0" w:color="auto"/>
            </w:tcBorders>
            <w:shd w:val="clear" w:color="auto" w:fill="auto"/>
          </w:tcPr>
          <w:p w14:paraId="0ED3CABE" w14:textId="77777777" w:rsidR="003B42B9" w:rsidRPr="009425E5" w:rsidRDefault="003B42B9" w:rsidP="00BE69D7">
            <w:pPr>
              <w:spacing w:before="40" w:after="40"/>
              <w:jc w:val="center"/>
              <w:rPr>
                <w:sz w:val="22"/>
                <w:szCs w:val="22"/>
              </w:rPr>
            </w:pPr>
            <w:r w:rsidRPr="009425E5">
              <w:rPr>
                <w:sz w:val="22"/>
                <w:szCs w:val="22"/>
              </w:rPr>
              <w:t>3.1</w:t>
            </w:r>
            <w:r w:rsidRPr="009425E5">
              <w:rPr>
                <w:sz w:val="22"/>
                <w:szCs w:val="22"/>
                <w:vertAlign w:val="superscript"/>
              </w:rPr>
              <w:t>f</w:t>
            </w:r>
          </w:p>
        </w:tc>
        <w:tc>
          <w:tcPr>
            <w:tcW w:w="1701" w:type="dxa"/>
            <w:tcBorders>
              <w:bottom w:val="single" w:sz="4" w:space="0" w:color="auto"/>
            </w:tcBorders>
          </w:tcPr>
          <w:p w14:paraId="6E1596E3" w14:textId="77777777" w:rsidR="003B42B9" w:rsidRPr="009425E5" w:rsidRDefault="003B42B9" w:rsidP="00BE69D7">
            <w:pPr>
              <w:spacing w:before="40" w:after="40"/>
              <w:jc w:val="center"/>
              <w:rPr>
                <w:sz w:val="22"/>
                <w:szCs w:val="22"/>
              </w:rPr>
            </w:pPr>
            <w:r w:rsidRPr="009425E5">
              <w:rPr>
                <w:sz w:val="22"/>
                <w:szCs w:val="22"/>
              </w:rPr>
              <w:t>51</w:t>
            </w:r>
            <w:r w:rsidRPr="009425E5">
              <w:rPr>
                <w:sz w:val="22"/>
                <w:szCs w:val="22"/>
                <w:vertAlign w:val="superscript"/>
              </w:rPr>
              <w:t>h</w:t>
            </w:r>
          </w:p>
        </w:tc>
        <w:tc>
          <w:tcPr>
            <w:tcW w:w="1701" w:type="dxa"/>
            <w:tcBorders>
              <w:bottom w:val="single" w:sz="4" w:space="0" w:color="auto"/>
            </w:tcBorders>
          </w:tcPr>
          <w:p w14:paraId="4D4A87B0" w14:textId="77777777" w:rsidR="003B42B9" w:rsidRPr="009425E5" w:rsidRDefault="003B42B9" w:rsidP="00BE69D7">
            <w:pPr>
              <w:spacing w:before="40" w:after="40"/>
              <w:jc w:val="center"/>
              <w:rPr>
                <w:sz w:val="22"/>
                <w:szCs w:val="22"/>
              </w:rPr>
            </w:pPr>
            <w:r w:rsidRPr="009425E5">
              <w:rPr>
                <w:sz w:val="22"/>
                <w:szCs w:val="22"/>
              </w:rPr>
              <w:t>1.5</w:t>
            </w:r>
            <w:r w:rsidRPr="009425E5">
              <w:rPr>
                <w:sz w:val="22"/>
                <w:szCs w:val="22"/>
                <w:vertAlign w:val="superscript"/>
              </w:rPr>
              <w:t>h</w:t>
            </w:r>
          </w:p>
        </w:tc>
      </w:tr>
      <w:tr w:rsidR="003B42B9" w:rsidRPr="009425E5" w14:paraId="7F2E324E" w14:textId="77777777" w:rsidTr="00BE69D7">
        <w:tc>
          <w:tcPr>
            <w:tcW w:w="9322" w:type="dxa"/>
            <w:gridSpan w:val="6"/>
            <w:tcBorders>
              <w:bottom w:val="single" w:sz="4" w:space="0" w:color="auto"/>
            </w:tcBorders>
            <w:shd w:val="clear" w:color="auto" w:fill="auto"/>
          </w:tcPr>
          <w:p w14:paraId="38D5DA8D" w14:textId="77777777" w:rsidR="003B42B9" w:rsidRPr="009425E5" w:rsidRDefault="003B42B9" w:rsidP="00BE69D7">
            <w:pPr>
              <w:spacing w:before="40" w:after="40"/>
              <w:rPr>
                <w:sz w:val="22"/>
                <w:szCs w:val="22"/>
              </w:rPr>
            </w:pPr>
            <w:r w:rsidRPr="009425E5">
              <w:rPr>
                <w:b/>
                <w:sz w:val="22"/>
                <w:szCs w:val="22"/>
              </w:rPr>
              <w:t>Hematology</w:t>
            </w:r>
          </w:p>
        </w:tc>
      </w:tr>
      <w:tr w:rsidR="003B42B9" w:rsidRPr="009425E5" w14:paraId="26EB2F56" w14:textId="77777777" w:rsidTr="00BE69D7">
        <w:tc>
          <w:tcPr>
            <w:tcW w:w="239" w:type="dxa"/>
            <w:tcBorders>
              <w:bottom w:val="single" w:sz="4" w:space="0" w:color="auto"/>
              <w:right w:val="nil"/>
            </w:tcBorders>
            <w:shd w:val="clear" w:color="auto" w:fill="auto"/>
          </w:tcPr>
          <w:p w14:paraId="2A4CC76F" w14:textId="77777777" w:rsidR="003B42B9" w:rsidRPr="009425E5" w:rsidRDefault="003B42B9" w:rsidP="00BE69D7">
            <w:pPr>
              <w:spacing w:before="40" w:after="40"/>
              <w:rPr>
                <w:sz w:val="22"/>
                <w:szCs w:val="22"/>
              </w:rPr>
            </w:pPr>
          </w:p>
        </w:tc>
        <w:tc>
          <w:tcPr>
            <w:tcW w:w="2279" w:type="dxa"/>
            <w:tcBorders>
              <w:left w:val="nil"/>
              <w:bottom w:val="single" w:sz="4" w:space="0" w:color="auto"/>
            </w:tcBorders>
            <w:shd w:val="clear" w:color="auto" w:fill="auto"/>
          </w:tcPr>
          <w:p w14:paraId="5E8BB2C8" w14:textId="77777777" w:rsidR="003B42B9" w:rsidRPr="009425E5" w:rsidRDefault="003B42B9" w:rsidP="00BE69D7">
            <w:pPr>
              <w:spacing w:before="40" w:after="40"/>
              <w:rPr>
                <w:sz w:val="22"/>
                <w:szCs w:val="22"/>
              </w:rPr>
            </w:pPr>
            <w:r w:rsidRPr="009425E5">
              <w:rPr>
                <w:sz w:val="22"/>
                <w:szCs w:val="22"/>
              </w:rPr>
              <w:t xml:space="preserve">Decreased </w:t>
            </w:r>
            <w:r>
              <w:rPr>
                <w:sz w:val="22"/>
                <w:szCs w:val="22"/>
              </w:rPr>
              <w:t>ha</w:t>
            </w:r>
            <w:r w:rsidRPr="009425E5">
              <w:rPr>
                <w:sz w:val="22"/>
                <w:szCs w:val="22"/>
              </w:rPr>
              <w:t>emoglobin</w:t>
            </w:r>
          </w:p>
        </w:tc>
        <w:tc>
          <w:tcPr>
            <w:tcW w:w="1701" w:type="dxa"/>
            <w:tcBorders>
              <w:bottom w:val="single" w:sz="4" w:space="0" w:color="auto"/>
            </w:tcBorders>
            <w:shd w:val="clear" w:color="auto" w:fill="auto"/>
          </w:tcPr>
          <w:p w14:paraId="30568B1C" w14:textId="77777777" w:rsidR="003B42B9" w:rsidRPr="009425E5" w:rsidRDefault="003B42B9" w:rsidP="00BE69D7">
            <w:pPr>
              <w:spacing w:before="40" w:after="40"/>
              <w:jc w:val="center"/>
              <w:rPr>
                <w:sz w:val="22"/>
                <w:szCs w:val="22"/>
              </w:rPr>
            </w:pPr>
            <w:r w:rsidRPr="009425E5">
              <w:rPr>
                <w:sz w:val="22"/>
                <w:szCs w:val="22"/>
              </w:rPr>
              <w:t>62</w:t>
            </w:r>
            <w:r w:rsidRPr="009425E5">
              <w:rPr>
                <w:sz w:val="22"/>
                <w:szCs w:val="22"/>
                <w:vertAlign w:val="superscript"/>
              </w:rPr>
              <w:t>e</w:t>
            </w:r>
          </w:p>
        </w:tc>
        <w:tc>
          <w:tcPr>
            <w:tcW w:w="1701" w:type="dxa"/>
            <w:tcBorders>
              <w:bottom w:val="single" w:sz="4" w:space="0" w:color="auto"/>
            </w:tcBorders>
            <w:shd w:val="clear" w:color="auto" w:fill="auto"/>
          </w:tcPr>
          <w:p w14:paraId="03236C98" w14:textId="77777777" w:rsidR="003B42B9" w:rsidRPr="009425E5" w:rsidRDefault="003B42B9" w:rsidP="00BE69D7">
            <w:pPr>
              <w:spacing w:before="40" w:after="40"/>
              <w:jc w:val="center"/>
              <w:rPr>
                <w:sz w:val="22"/>
                <w:szCs w:val="22"/>
              </w:rPr>
            </w:pPr>
            <w:r w:rsidRPr="009425E5">
              <w:rPr>
                <w:sz w:val="22"/>
                <w:szCs w:val="22"/>
              </w:rPr>
              <w:t>6.8</w:t>
            </w:r>
            <w:r w:rsidRPr="009425E5">
              <w:rPr>
                <w:sz w:val="22"/>
                <w:szCs w:val="22"/>
                <w:vertAlign w:val="superscript"/>
              </w:rPr>
              <w:t>e</w:t>
            </w:r>
          </w:p>
        </w:tc>
        <w:tc>
          <w:tcPr>
            <w:tcW w:w="1701" w:type="dxa"/>
            <w:tcBorders>
              <w:bottom w:val="single" w:sz="4" w:space="0" w:color="auto"/>
            </w:tcBorders>
          </w:tcPr>
          <w:p w14:paraId="0109B846" w14:textId="77777777" w:rsidR="003B42B9" w:rsidRPr="009425E5" w:rsidRDefault="003B42B9" w:rsidP="00BE69D7">
            <w:pPr>
              <w:spacing w:before="40" w:after="40"/>
              <w:jc w:val="center"/>
              <w:rPr>
                <w:sz w:val="22"/>
                <w:szCs w:val="22"/>
              </w:rPr>
            </w:pPr>
            <w:r w:rsidRPr="009425E5">
              <w:rPr>
                <w:sz w:val="22"/>
                <w:szCs w:val="22"/>
              </w:rPr>
              <w:t>36</w:t>
            </w:r>
            <w:r w:rsidRPr="009425E5">
              <w:rPr>
                <w:sz w:val="22"/>
                <w:szCs w:val="22"/>
                <w:vertAlign w:val="superscript"/>
              </w:rPr>
              <w:t>g</w:t>
            </w:r>
          </w:p>
        </w:tc>
        <w:tc>
          <w:tcPr>
            <w:tcW w:w="1701" w:type="dxa"/>
            <w:tcBorders>
              <w:bottom w:val="single" w:sz="4" w:space="0" w:color="auto"/>
            </w:tcBorders>
          </w:tcPr>
          <w:p w14:paraId="6CEEF99F" w14:textId="77777777" w:rsidR="003B42B9" w:rsidRPr="009425E5" w:rsidRDefault="003B42B9" w:rsidP="00BE69D7">
            <w:pPr>
              <w:spacing w:before="40" w:after="40"/>
              <w:jc w:val="center"/>
              <w:rPr>
                <w:sz w:val="22"/>
                <w:szCs w:val="22"/>
              </w:rPr>
            </w:pPr>
            <w:r w:rsidRPr="009425E5">
              <w:rPr>
                <w:sz w:val="22"/>
                <w:szCs w:val="22"/>
              </w:rPr>
              <w:t>0.7</w:t>
            </w:r>
            <w:r w:rsidRPr="009425E5">
              <w:rPr>
                <w:sz w:val="22"/>
                <w:szCs w:val="22"/>
                <w:vertAlign w:val="superscript"/>
              </w:rPr>
              <w:t>g</w:t>
            </w:r>
          </w:p>
        </w:tc>
      </w:tr>
    </w:tbl>
    <w:p w14:paraId="2783B02A" w14:textId="77777777" w:rsidR="003B42B9" w:rsidRDefault="003B42B9" w:rsidP="003B42B9">
      <w:pPr>
        <w:spacing w:before="40" w:after="40"/>
        <w:rPr>
          <w:sz w:val="22"/>
          <w:szCs w:val="22"/>
          <w:lang w:eastAsia="en-US"/>
        </w:rPr>
      </w:pPr>
      <w:r w:rsidRPr="00AB60FC">
        <w:rPr>
          <w:sz w:val="22"/>
          <w:szCs w:val="22"/>
          <w:lang w:eastAsia="en-US"/>
        </w:rPr>
        <w:t>AST=aspartate aminotransferase; ALP=alkaline phosphatase; CPK=creatine phosphokinase; ALT=alanine aminotransferase</w:t>
      </w:r>
    </w:p>
    <w:p w14:paraId="0209FE66" w14:textId="77777777" w:rsidR="003B42B9" w:rsidRPr="009425E5" w:rsidRDefault="003B42B9" w:rsidP="003B42B9">
      <w:pPr>
        <w:spacing w:before="40" w:after="40"/>
        <w:rPr>
          <w:sz w:val="22"/>
          <w:szCs w:val="22"/>
          <w:lang w:eastAsia="en-US"/>
        </w:rPr>
      </w:pPr>
      <w:r w:rsidRPr="009425E5">
        <w:rPr>
          <w:sz w:val="22"/>
          <w:szCs w:val="22"/>
          <w:lang w:eastAsia="en-US"/>
        </w:rPr>
        <w:t>Note: Laboratory abnormalities were based on the normal ranges of the National Cancer Institute Common Terminology Criteria for Adverse Events.</w:t>
      </w:r>
    </w:p>
    <w:p w14:paraId="547138F0" w14:textId="77777777" w:rsidR="003B42B9" w:rsidRPr="006672A3" w:rsidRDefault="003B42B9" w:rsidP="006672A3">
      <w:pPr>
        <w:pStyle w:val="TabFigFooter"/>
        <w:keepNext w:val="0"/>
        <w:keepLines w:val="0"/>
        <w:widowControl w:val="0"/>
        <w:spacing w:after="40" w:line="240" w:lineRule="auto"/>
        <w:ind w:left="243" w:hanging="215"/>
        <w:rPr>
          <w:sz w:val="22"/>
          <w:szCs w:val="20"/>
        </w:rPr>
      </w:pPr>
      <w:proofErr w:type="gramStart"/>
      <w:r w:rsidRPr="006672A3">
        <w:rPr>
          <w:sz w:val="22"/>
          <w:szCs w:val="20"/>
          <w:vertAlign w:val="superscript"/>
        </w:rPr>
        <w:t>a</w:t>
      </w:r>
      <w:proofErr w:type="gramEnd"/>
      <w:r w:rsidRPr="006672A3">
        <w:rPr>
          <w:sz w:val="22"/>
          <w:szCs w:val="20"/>
          <w:vertAlign w:val="superscript"/>
        </w:rPr>
        <w:t xml:space="preserve"> </w:t>
      </w:r>
      <w:r w:rsidR="006672A3">
        <w:rPr>
          <w:sz w:val="22"/>
          <w:szCs w:val="20"/>
          <w:vertAlign w:val="superscript"/>
        </w:rPr>
        <w:tab/>
      </w:r>
      <w:r w:rsidRPr="006672A3">
        <w:rPr>
          <w:sz w:val="22"/>
          <w:szCs w:val="20"/>
        </w:rPr>
        <w:t xml:space="preserve">No Grade 5 laboratory abnormalities were reported. </w:t>
      </w:r>
    </w:p>
    <w:p w14:paraId="16A23DA3" w14:textId="77777777" w:rsidR="003B42B9" w:rsidRPr="006672A3" w:rsidRDefault="003B42B9" w:rsidP="006672A3">
      <w:pPr>
        <w:pStyle w:val="TabFigFooter"/>
        <w:keepNext w:val="0"/>
        <w:keepLines w:val="0"/>
        <w:widowControl w:val="0"/>
        <w:spacing w:after="40" w:line="240" w:lineRule="auto"/>
        <w:ind w:left="243" w:hanging="215"/>
        <w:rPr>
          <w:sz w:val="22"/>
          <w:szCs w:val="20"/>
        </w:rPr>
      </w:pPr>
      <w:proofErr w:type="gramStart"/>
      <w:r w:rsidRPr="006672A3">
        <w:rPr>
          <w:sz w:val="22"/>
          <w:szCs w:val="20"/>
          <w:vertAlign w:val="superscript"/>
        </w:rPr>
        <w:t>b</w:t>
      </w:r>
      <w:proofErr w:type="gramEnd"/>
      <w:r w:rsidRPr="006672A3">
        <w:rPr>
          <w:sz w:val="22"/>
          <w:szCs w:val="20"/>
          <w:vertAlign w:val="superscript"/>
        </w:rPr>
        <w:t xml:space="preserve"> </w:t>
      </w:r>
      <w:r w:rsidR="006672A3">
        <w:rPr>
          <w:sz w:val="22"/>
          <w:szCs w:val="20"/>
          <w:vertAlign w:val="superscript"/>
        </w:rPr>
        <w:tab/>
      </w:r>
      <w:r w:rsidRPr="006672A3">
        <w:rPr>
          <w:sz w:val="22"/>
          <w:szCs w:val="20"/>
        </w:rPr>
        <w:t>Only patients with creatinine increases based on ULN definition.</w:t>
      </w:r>
    </w:p>
    <w:p w14:paraId="692356A7" w14:textId="77777777" w:rsidR="003B42B9" w:rsidRPr="006672A3" w:rsidRDefault="003B42B9" w:rsidP="006672A3">
      <w:pPr>
        <w:pStyle w:val="TabFigFooter"/>
        <w:keepNext w:val="0"/>
        <w:keepLines w:val="0"/>
        <w:widowControl w:val="0"/>
        <w:spacing w:after="40" w:line="240" w:lineRule="auto"/>
        <w:ind w:left="0" w:firstLine="0"/>
        <w:rPr>
          <w:sz w:val="22"/>
          <w:szCs w:val="20"/>
        </w:rPr>
      </w:pPr>
      <w:r w:rsidRPr="006672A3">
        <w:rPr>
          <w:sz w:val="22"/>
          <w:szCs w:val="20"/>
        </w:rPr>
        <w:t>Patients with missing baseline and/or no post-baseline lab assessments were excluded from analyses: c; N=146, d; N=145, e; N=147, f; N=129, g; N=148, h; N=130</w:t>
      </w:r>
    </w:p>
    <w:p w14:paraId="0BC0269A" w14:textId="77777777" w:rsidR="003B42B9" w:rsidRDefault="003B42B9" w:rsidP="0089233D">
      <w:pPr>
        <w:pStyle w:val="Heading4"/>
      </w:pPr>
      <w:r w:rsidRPr="00D138DF">
        <w:t>Crizotinib pre-treated patients</w:t>
      </w:r>
    </w:p>
    <w:p w14:paraId="6595A4EE" w14:textId="77777777" w:rsidR="0089233D" w:rsidRDefault="0089233D" w:rsidP="003B42B9"/>
    <w:p w14:paraId="38E52723" w14:textId="77777777" w:rsidR="003B42B9" w:rsidRDefault="003B42B9" w:rsidP="003B42B9">
      <w:r w:rsidRPr="00E20B62">
        <w:t xml:space="preserve">The safety of </w:t>
      </w:r>
      <w:r>
        <w:t>Alecensa</w:t>
      </w:r>
      <w:r w:rsidRPr="00E20B62">
        <w:t xml:space="preserve"> has been evaluated in </w:t>
      </w:r>
      <w:r>
        <w:t xml:space="preserve">two Phase I/II clinical trials (Studies 1 and 2) in </w:t>
      </w:r>
      <w:r w:rsidRPr="00E20B62">
        <w:t>253 patients with ALK-positive non-small cell lung cancer (NSCLC) treated with the recomme</w:t>
      </w:r>
      <w:r>
        <w:t>nded dose of 600 mg twice daily</w:t>
      </w:r>
      <w:r w:rsidRPr="00E20B62">
        <w:t xml:space="preserve">. </w:t>
      </w:r>
      <w:r>
        <w:t xml:space="preserve">Due to the single-arm design of these trials, no control adverse event data is available, and treatment emergent adverse event data is presented below. </w:t>
      </w:r>
      <w:r w:rsidRPr="00E20B62">
        <w:t xml:space="preserve">The median duration of exposure to </w:t>
      </w:r>
      <w:r>
        <w:t>Alecensa</w:t>
      </w:r>
      <w:r w:rsidRPr="00E20B62">
        <w:t xml:space="preserve"> was </w:t>
      </w:r>
      <w:r>
        <w:t>11 months (range 0-35 months) with 169 patients (67%) exposed for more than 6 months, and 123 patients (49%) for more than 12 months</w:t>
      </w:r>
      <w:r w:rsidRPr="00E20B62">
        <w:t>.</w:t>
      </w:r>
      <w:r>
        <w:t xml:space="preserve"> The characteristics of the population were: median age 53 years, 86% aged less than 65 years, 55% female, 74% White/18% Asian, 96% NSCLC adenocarcinoma histology, 98% never or former smokers, 91% with ECOG performance status 0 or 1, and 78% had prior chemotherapy treatment. </w:t>
      </w:r>
    </w:p>
    <w:p w14:paraId="4A1B3A0A" w14:textId="77777777" w:rsidR="003B42B9" w:rsidRPr="00E20B62" w:rsidRDefault="003B42B9" w:rsidP="003B42B9"/>
    <w:p w14:paraId="118E60AF" w14:textId="77777777" w:rsidR="003B42B9" w:rsidRDefault="003B42B9" w:rsidP="003B42B9">
      <w:r w:rsidRPr="00E20B62">
        <w:t xml:space="preserve">The most common adverse </w:t>
      </w:r>
      <w:r>
        <w:t>event</w:t>
      </w:r>
      <w:r w:rsidRPr="00E20B62">
        <w:t>s (</w:t>
      </w:r>
      <w:r w:rsidRPr="00E20B62">
        <w:rPr>
          <w:bCs/>
          <w:lang w:val="en-GB"/>
        </w:rPr>
        <w:t>≥ 20%)</w:t>
      </w:r>
      <w:r w:rsidRPr="00E20B62">
        <w:rPr>
          <w:b/>
          <w:bCs/>
          <w:lang w:val="en-GB"/>
        </w:rPr>
        <w:t xml:space="preserve"> </w:t>
      </w:r>
      <w:r w:rsidRPr="00E20B62">
        <w:t xml:space="preserve">were </w:t>
      </w:r>
      <w:r>
        <w:t xml:space="preserve">fatigue (44%, includes fatigue and asthenia), </w:t>
      </w:r>
      <w:r w:rsidRPr="00E20B62">
        <w:t>constipation (3</w:t>
      </w:r>
      <w:r>
        <w:t>6</w:t>
      </w:r>
      <w:r w:rsidRPr="00E20B62">
        <w:t xml:space="preserve">%), </w:t>
      </w:r>
      <w:r>
        <w:t>o</w:t>
      </w:r>
      <w:r w:rsidRPr="00E20B62">
        <w:t>edema (</w:t>
      </w:r>
      <w:r>
        <w:t>34</w:t>
      </w:r>
      <w:r w:rsidRPr="00E20B62">
        <w:t>%</w:t>
      </w:r>
      <w:r>
        <w:t>, includes peripheral, generalised, eyelid, periorbital</w:t>
      </w:r>
      <w:r w:rsidRPr="00E20B62">
        <w:t>)</w:t>
      </w:r>
      <w:r>
        <w:t xml:space="preserve">, </w:t>
      </w:r>
      <w:r w:rsidRPr="00E20B62">
        <w:t>myalgia (</w:t>
      </w:r>
      <w:r>
        <w:t>31</w:t>
      </w:r>
      <w:r w:rsidRPr="00E20B62">
        <w:t>%</w:t>
      </w:r>
      <w:r>
        <w:t>, includes myalgia and musculoskeletal pain</w:t>
      </w:r>
      <w:r w:rsidRPr="00E20B62">
        <w:t>)</w:t>
      </w:r>
      <w:r>
        <w:t>, nausea (22%), cough (21%), rash (20%, includes rash, maculopapular rash, acneiform dermatitis, erythema, generalised rash, papular rash, pruritic rash, and macular rash) and headache (20%)</w:t>
      </w:r>
      <w:r w:rsidRPr="00E20B62">
        <w:t>.</w:t>
      </w:r>
    </w:p>
    <w:p w14:paraId="1E1FE541" w14:textId="77777777" w:rsidR="003B42B9" w:rsidRDefault="003B42B9" w:rsidP="003B42B9"/>
    <w:p w14:paraId="48AAB39F" w14:textId="77777777" w:rsidR="003B42B9" w:rsidRDefault="003B42B9" w:rsidP="003B42B9">
      <w:r>
        <w:t xml:space="preserve">Serious adverse events occurred in 22% of patients. The most frequent reported serious adverse events were pulmonary embolism (1.2%), dyspnoea (1.2%) and hyperbilirubinaemia (1.2%). Fatal adverse reactions occurred in 2.8% of patients and included haemorrhage (0.8%), intestinal perforation (0.4%), dyspnoea (0.4%), pulmonary embolism (0.4%), endocarditis (0.4%) and unknown adverse reaction (0.4%). </w:t>
      </w:r>
    </w:p>
    <w:p w14:paraId="57B9BFC4" w14:textId="77777777" w:rsidR="003B42B9" w:rsidRPr="00B43452" w:rsidRDefault="003B42B9" w:rsidP="003B42B9"/>
    <w:p w14:paraId="0BFE965A" w14:textId="77777777" w:rsidR="003B42B9" w:rsidRDefault="003B42B9" w:rsidP="003B42B9">
      <w:r>
        <w:t xml:space="preserve">Adverse events led to permanent discontinuation of Alecensa in 6% of patients, most frequently due to hyperbilirubinaemia (1.6%), increased ALT levels (1.6%), and increased AST levels (1.2%). At least one dose reduction or interruption was required for 33% of patients initiating treatment at the recommended dose, and the median time to first dose reduction or interruption was 56 days. The most frequent adverse reactions that led to dose changes were elevations in bilirubin (6.3%), CPK (4.3%), ALT (4.0%) or AST (2.8%), and vomiting (3.2%). </w:t>
      </w:r>
    </w:p>
    <w:p w14:paraId="40DAAD7F" w14:textId="77777777" w:rsidR="003B42B9" w:rsidRPr="002774CB" w:rsidRDefault="003B42B9" w:rsidP="003B42B9"/>
    <w:p w14:paraId="203EC0D3" w14:textId="77777777" w:rsidR="003B42B9" w:rsidRPr="00E20B62" w:rsidRDefault="003B42B9" w:rsidP="003B42B9">
      <w:pPr>
        <w:rPr>
          <w:lang w:val="en-GB"/>
        </w:rPr>
      </w:pPr>
      <w:r w:rsidRPr="00E20B62">
        <w:t xml:space="preserve">Table </w:t>
      </w:r>
      <w:r w:rsidR="0089233D">
        <w:t>5</w:t>
      </w:r>
      <w:r w:rsidRPr="00E20B62">
        <w:t xml:space="preserve"> summari</w:t>
      </w:r>
      <w:r>
        <w:t>s</w:t>
      </w:r>
      <w:r w:rsidRPr="00E20B62">
        <w:t xml:space="preserve">es the </w:t>
      </w:r>
      <w:r>
        <w:t xml:space="preserve">most common treatment-emergent </w:t>
      </w:r>
      <w:r w:rsidRPr="00E20B62">
        <w:t xml:space="preserve">adverse </w:t>
      </w:r>
      <w:r>
        <w:t>events</w:t>
      </w:r>
      <w:r w:rsidRPr="00E20B62">
        <w:t xml:space="preserve"> </w:t>
      </w:r>
      <w:r>
        <w:t>(</w:t>
      </w:r>
      <w:r>
        <w:rPr>
          <w:lang w:val="en-GB"/>
        </w:rPr>
        <w:t>≥</w:t>
      </w:r>
      <w:r w:rsidRPr="00E20B62">
        <w:rPr>
          <w:lang w:val="en-GB"/>
        </w:rPr>
        <w:t>10</w:t>
      </w:r>
      <w:r>
        <w:rPr>
          <w:lang w:val="en-GB"/>
        </w:rPr>
        <w:t xml:space="preserve">% any grade and ≥2% Grade 3-5) </w:t>
      </w:r>
      <w:r w:rsidRPr="00E20B62">
        <w:t xml:space="preserve">occurring in patients </w:t>
      </w:r>
      <w:r w:rsidRPr="00E20B62" w:rsidDel="00F819C1">
        <w:t xml:space="preserve">who received </w:t>
      </w:r>
      <w:r>
        <w:t>Alecensa (</w:t>
      </w:r>
      <w:r w:rsidRPr="007479DD">
        <w:t>600 mg twice daily</w:t>
      </w:r>
      <w:r>
        <w:t>)</w:t>
      </w:r>
      <w:r w:rsidRPr="00E20B62">
        <w:t xml:space="preserve"> </w:t>
      </w:r>
      <w:r>
        <w:t>in Studies 1 and 2</w:t>
      </w:r>
      <w:r w:rsidRPr="00E20B62">
        <w:rPr>
          <w:lang w:val="en-GB"/>
        </w:rPr>
        <w:t xml:space="preserve">. </w:t>
      </w:r>
    </w:p>
    <w:p w14:paraId="22781068" w14:textId="77777777" w:rsidR="003B42B9" w:rsidRPr="002774CB" w:rsidRDefault="003B42B9" w:rsidP="003B42B9">
      <w:pPr>
        <w:rPr>
          <w:lang w:val="en-GB"/>
        </w:rPr>
      </w:pPr>
    </w:p>
    <w:p w14:paraId="731A30A2" w14:textId="77777777" w:rsidR="003B42B9" w:rsidRPr="00D11614" w:rsidRDefault="003B42B9" w:rsidP="003B42B9">
      <w:pPr>
        <w:pStyle w:val="Tableheading"/>
        <w:rPr>
          <w:sz w:val="22"/>
          <w:lang w:val="en-GB"/>
        </w:rPr>
      </w:pPr>
      <w:proofErr w:type="gramStart"/>
      <w:r w:rsidRPr="00D11614">
        <w:rPr>
          <w:sz w:val="22"/>
          <w:lang w:val="en-GB"/>
        </w:rPr>
        <w:t xml:space="preserve">Table </w:t>
      </w:r>
      <w:r w:rsidR="0089233D">
        <w:rPr>
          <w:sz w:val="22"/>
          <w:lang w:val="en-GB"/>
        </w:rPr>
        <w:t>5</w:t>
      </w:r>
      <w:r w:rsidRPr="00D11614">
        <w:rPr>
          <w:sz w:val="22"/>
          <w:lang w:val="en-GB"/>
        </w:rPr>
        <w:t>.</w:t>
      </w:r>
      <w:proofErr w:type="gramEnd"/>
      <w:r w:rsidRPr="00D11614">
        <w:rPr>
          <w:sz w:val="22"/>
          <w:lang w:val="en-GB"/>
        </w:rPr>
        <w:tab/>
        <w:t xml:space="preserve">Treatment-emergent adverse events occurring very commonly (≥10%) at any grade or ≥2% at Grade 3-5 in patients treated with </w:t>
      </w:r>
      <w:r w:rsidRPr="00D11614">
        <w:rPr>
          <w:sz w:val="22"/>
        </w:rPr>
        <w:t>Alecensa</w:t>
      </w:r>
      <w:r w:rsidRPr="00D11614">
        <w:rPr>
          <w:sz w:val="22"/>
          <w:lang w:val="en-GB"/>
        </w:rPr>
        <w:t xml:space="preserve"> in Studies 1 and 2.</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127"/>
        <w:gridCol w:w="2126"/>
      </w:tblGrid>
      <w:tr w:rsidR="003B42B9" w:rsidRPr="008051DE" w14:paraId="67D8C8E4" w14:textId="77777777" w:rsidTr="0089233D">
        <w:trPr>
          <w:tblHeader/>
        </w:trPr>
        <w:tc>
          <w:tcPr>
            <w:tcW w:w="4474" w:type="dxa"/>
          </w:tcPr>
          <w:p w14:paraId="4EC8A24C" w14:textId="77777777" w:rsidR="003B42B9" w:rsidRPr="008051DE" w:rsidRDefault="003B42B9" w:rsidP="00BE69D7">
            <w:pPr>
              <w:spacing w:before="40" w:after="40"/>
              <w:rPr>
                <w:b/>
                <w:sz w:val="22"/>
                <w:szCs w:val="22"/>
                <w:lang w:val="en-GB"/>
              </w:rPr>
            </w:pPr>
            <w:r w:rsidRPr="008051DE">
              <w:rPr>
                <w:b/>
                <w:sz w:val="22"/>
                <w:szCs w:val="22"/>
                <w:lang w:val="en-GB"/>
              </w:rPr>
              <w:t>Adverse Events (MedDRA)</w:t>
            </w:r>
          </w:p>
        </w:tc>
        <w:tc>
          <w:tcPr>
            <w:tcW w:w="4253" w:type="dxa"/>
            <w:gridSpan w:val="2"/>
          </w:tcPr>
          <w:p w14:paraId="020729BC" w14:textId="77777777" w:rsidR="003B42B9" w:rsidRPr="008051DE" w:rsidRDefault="003B42B9" w:rsidP="00BE69D7">
            <w:pPr>
              <w:spacing w:before="40" w:after="40"/>
              <w:jc w:val="center"/>
              <w:rPr>
                <w:b/>
                <w:sz w:val="22"/>
                <w:szCs w:val="22"/>
              </w:rPr>
            </w:pPr>
            <w:r w:rsidRPr="008051DE">
              <w:rPr>
                <w:b/>
                <w:sz w:val="22"/>
                <w:szCs w:val="22"/>
                <w:lang w:val="en-GB"/>
              </w:rPr>
              <w:t xml:space="preserve">Alecensa 600 mg twice daily </w:t>
            </w:r>
            <w:r w:rsidRPr="008051DE">
              <w:rPr>
                <w:b/>
                <w:sz w:val="22"/>
                <w:szCs w:val="22"/>
                <w:lang w:val="en-GB"/>
              </w:rPr>
              <w:br/>
              <w:t>(n=253)</w:t>
            </w:r>
          </w:p>
        </w:tc>
      </w:tr>
      <w:tr w:rsidR="003B42B9" w:rsidRPr="008051DE" w14:paraId="5637F714" w14:textId="77777777" w:rsidTr="00BE69D7">
        <w:tc>
          <w:tcPr>
            <w:tcW w:w="4474" w:type="dxa"/>
            <w:shd w:val="clear" w:color="auto" w:fill="auto"/>
          </w:tcPr>
          <w:p w14:paraId="029FCA7F" w14:textId="77777777" w:rsidR="003B42B9" w:rsidRPr="008051DE" w:rsidRDefault="003B42B9" w:rsidP="00BE69D7">
            <w:pPr>
              <w:spacing w:before="40" w:after="40"/>
              <w:rPr>
                <w:b/>
                <w:sz w:val="22"/>
                <w:szCs w:val="22"/>
              </w:rPr>
            </w:pPr>
            <w:r w:rsidRPr="008051DE">
              <w:rPr>
                <w:b/>
                <w:sz w:val="22"/>
                <w:szCs w:val="22"/>
                <w:lang w:val="en-GB"/>
              </w:rPr>
              <w:t>System Organ Class</w:t>
            </w:r>
          </w:p>
        </w:tc>
        <w:tc>
          <w:tcPr>
            <w:tcW w:w="2127" w:type="dxa"/>
            <w:shd w:val="clear" w:color="auto" w:fill="auto"/>
          </w:tcPr>
          <w:p w14:paraId="47281153" w14:textId="77777777" w:rsidR="003B42B9" w:rsidRPr="008051DE" w:rsidRDefault="003B42B9" w:rsidP="00BE69D7">
            <w:pPr>
              <w:spacing w:before="40" w:after="40"/>
              <w:jc w:val="center"/>
              <w:rPr>
                <w:b/>
                <w:sz w:val="22"/>
                <w:szCs w:val="22"/>
              </w:rPr>
            </w:pPr>
            <w:r w:rsidRPr="008051DE">
              <w:rPr>
                <w:b/>
                <w:sz w:val="22"/>
                <w:szCs w:val="22"/>
                <w:lang w:val="en-GB"/>
              </w:rPr>
              <w:t>All Grades (%)</w:t>
            </w:r>
          </w:p>
        </w:tc>
        <w:tc>
          <w:tcPr>
            <w:tcW w:w="2126" w:type="dxa"/>
            <w:shd w:val="clear" w:color="auto" w:fill="auto"/>
          </w:tcPr>
          <w:p w14:paraId="672D76EB" w14:textId="77777777" w:rsidR="003B42B9" w:rsidRPr="008051DE" w:rsidRDefault="003B42B9" w:rsidP="00BE69D7">
            <w:pPr>
              <w:spacing w:before="40" w:after="40"/>
              <w:jc w:val="center"/>
              <w:rPr>
                <w:b/>
                <w:sz w:val="22"/>
                <w:szCs w:val="22"/>
              </w:rPr>
            </w:pPr>
            <w:r w:rsidRPr="008051DE">
              <w:rPr>
                <w:b/>
                <w:sz w:val="22"/>
                <w:szCs w:val="22"/>
                <w:lang w:val="en-GB"/>
              </w:rPr>
              <w:t>Grade 3–5</w:t>
            </w:r>
            <w:r w:rsidRPr="008051DE">
              <w:rPr>
                <w:b/>
                <w:sz w:val="22"/>
                <w:szCs w:val="22"/>
                <w:vertAlign w:val="superscript"/>
                <w:lang w:val="en-GB"/>
              </w:rPr>
              <w:t>*</w:t>
            </w:r>
            <w:r w:rsidRPr="008051DE">
              <w:rPr>
                <w:b/>
                <w:sz w:val="22"/>
                <w:szCs w:val="22"/>
                <w:lang w:val="en-GB"/>
              </w:rPr>
              <w:t xml:space="preserve"> (%)</w:t>
            </w:r>
          </w:p>
        </w:tc>
      </w:tr>
      <w:tr w:rsidR="003B42B9" w:rsidRPr="008051DE" w14:paraId="4EF5A987" w14:textId="77777777" w:rsidTr="00BE69D7">
        <w:tc>
          <w:tcPr>
            <w:tcW w:w="4474" w:type="dxa"/>
            <w:shd w:val="clear" w:color="auto" w:fill="auto"/>
          </w:tcPr>
          <w:p w14:paraId="3C0E8EB6" w14:textId="77777777" w:rsidR="003B42B9" w:rsidRPr="008051DE" w:rsidRDefault="003B42B9" w:rsidP="00BE69D7">
            <w:pPr>
              <w:spacing w:before="40" w:after="40"/>
              <w:rPr>
                <w:sz w:val="22"/>
                <w:szCs w:val="22"/>
              </w:rPr>
            </w:pPr>
            <w:proofErr w:type="spellStart"/>
            <w:r w:rsidRPr="008051DE">
              <w:rPr>
                <w:sz w:val="22"/>
                <w:szCs w:val="22"/>
              </w:rPr>
              <w:t>Fatigue</w:t>
            </w:r>
            <w:r w:rsidRPr="008051DE">
              <w:rPr>
                <w:sz w:val="22"/>
                <w:szCs w:val="22"/>
                <w:vertAlign w:val="superscript"/>
              </w:rPr>
              <w:t>a</w:t>
            </w:r>
            <w:proofErr w:type="spellEnd"/>
          </w:p>
        </w:tc>
        <w:tc>
          <w:tcPr>
            <w:tcW w:w="2127" w:type="dxa"/>
            <w:shd w:val="clear" w:color="auto" w:fill="auto"/>
          </w:tcPr>
          <w:p w14:paraId="1585AACB" w14:textId="77777777" w:rsidR="003B42B9" w:rsidRPr="008051DE" w:rsidRDefault="003B42B9" w:rsidP="00BE69D7">
            <w:pPr>
              <w:spacing w:before="40" w:after="40"/>
              <w:jc w:val="center"/>
              <w:rPr>
                <w:sz w:val="22"/>
                <w:szCs w:val="22"/>
              </w:rPr>
            </w:pPr>
            <w:r w:rsidRPr="008051DE">
              <w:rPr>
                <w:sz w:val="22"/>
                <w:szCs w:val="22"/>
              </w:rPr>
              <w:t>44</w:t>
            </w:r>
          </w:p>
        </w:tc>
        <w:tc>
          <w:tcPr>
            <w:tcW w:w="2126" w:type="dxa"/>
            <w:shd w:val="clear" w:color="auto" w:fill="auto"/>
          </w:tcPr>
          <w:p w14:paraId="43F5FCF2" w14:textId="77777777" w:rsidR="003B42B9" w:rsidRPr="008051DE" w:rsidRDefault="003B42B9" w:rsidP="00BE69D7">
            <w:pPr>
              <w:spacing w:before="40" w:after="40"/>
              <w:jc w:val="center"/>
              <w:rPr>
                <w:sz w:val="22"/>
                <w:szCs w:val="22"/>
              </w:rPr>
            </w:pPr>
            <w:r w:rsidRPr="008051DE">
              <w:rPr>
                <w:sz w:val="22"/>
                <w:szCs w:val="22"/>
              </w:rPr>
              <w:t>1.6</w:t>
            </w:r>
          </w:p>
        </w:tc>
      </w:tr>
      <w:tr w:rsidR="003B42B9" w:rsidRPr="008051DE" w14:paraId="0AEE0629" w14:textId="77777777" w:rsidTr="00BE69D7">
        <w:tc>
          <w:tcPr>
            <w:tcW w:w="4474" w:type="dxa"/>
            <w:shd w:val="clear" w:color="auto" w:fill="auto"/>
          </w:tcPr>
          <w:p w14:paraId="4175832C" w14:textId="77777777" w:rsidR="003B42B9" w:rsidRPr="008051DE" w:rsidRDefault="003B42B9" w:rsidP="00BE69D7">
            <w:pPr>
              <w:spacing w:before="40" w:after="40"/>
              <w:rPr>
                <w:sz w:val="22"/>
                <w:szCs w:val="22"/>
              </w:rPr>
            </w:pPr>
            <w:r w:rsidRPr="008051DE">
              <w:rPr>
                <w:sz w:val="22"/>
                <w:szCs w:val="22"/>
              </w:rPr>
              <w:t>Constipation</w:t>
            </w:r>
          </w:p>
        </w:tc>
        <w:tc>
          <w:tcPr>
            <w:tcW w:w="2127" w:type="dxa"/>
            <w:shd w:val="clear" w:color="auto" w:fill="auto"/>
          </w:tcPr>
          <w:p w14:paraId="543614BC" w14:textId="77777777" w:rsidR="003B42B9" w:rsidRPr="008051DE" w:rsidRDefault="003B42B9" w:rsidP="00BE69D7">
            <w:pPr>
              <w:spacing w:before="40" w:after="40"/>
              <w:jc w:val="center"/>
              <w:rPr>
                <w:sz w:val="22"/>
                <w:szCs w:val="22"/>
              </w:rPr>
            </w:pPr>
            <w:r w:rsidRPr="008051DE">
              <w:rPr>
                <w:sz w:val="22"/>
                <w:szCs w:val="22"/>
              </w:rPr>
              <w:t>36</w:t>
            </w:r>
          </w:p>
        </w:tc>
        <w:tc>
          <w:tcPr>
            <w:tcW w:w="2126" w:type="dxa"/>
            <w:shd w:val="clear" w:color="auto" w:fill="auto"/>
          </w:tcPr>
          <w:p w14:paraId="39C663C3"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77C7AD68" w14:textId="77777777" w:rsidTr="00BE69D7">
        <w:tc>
          <w:tcPr>
            <w:tcW w:w="4474" w:type="dxa"/>
            <w:shd w:val="clear" w:color="auto" w:fill="auto"/>
          </w:tcPr>
          <w:p w14:paraId="686F0FF5" w14:textId="77777777" w:rsidR="003B42B9" w:rsidRPr="008051DE" w:rsidRDefault="003B42B9" w:rsidP="00BE69D7">
            <w:pPr>
              <w:spacing w:before="40" w:after="40"/>
              <w:rPr>
                <w:sz w:val="22"/>
                <w:szCs w:val="22"/>
              </w:rPr>
            </w:pPr>
            <w:proofErr w:type="spellStart"/>
            <w:r w:rsidRPr="008051DE">
              <w:rPr>
                <w:sz w:val="22"/>
                <w:szCs w:val="22"/>
              </w:rPr>
              <w:t>Oedema</w:t>
            </w:r>
            <w:r w:rsidRPr="008051DE">
              <w:rPr>
                <w:sz w:val="22"/>
                <w:szCs w:val="22"/>
                <w:vertAlign w:val="superscript"/>
              </w:rPr>
              <w:t>b</w:t>
            </w:r>
            <w:proofErr w:type="spellEnd"/>
          </w:p>
        </w:tc>
        <w:tc>
          <w:tcPr>
            <w:tcW w:w="2127" w:type="dxa"/>
            <w:shd w:val="clear" w:color="auto" w:fill="auto"/>
          </w:tcPr>
          <w:p w14:paraId="07C42BA2" w14:textId="77777777" w:rsidR="003B42B9" w:rsidRPr="008051DE" w:rsidDel="00676EA2" w:rsidRDefault="003B42B9" w:rsidP="00BE69D7">
            <w:pPr>
              <w:spacing w:before="40" w:after="40"/>
              <w:jc w:val="center"/>
              <w:rPr>
                <w:sz w:val="22"/>
                <w:szCs w:val="22"/>
              </w:rPr>
            </w:pPr>
            <w:r w:rsidRPr="008051DE">
              <w:rPr>
                <w:sz w:val="22"/>
                <w:szCs w:val="22"/>
              </w:rPr>
              <w:t>34</w:t>
            </w:r>
          </w:p>
        </w:tc>
        <w:tc>
          <w:tcPr>
            <w:tcW w:w="2126" w:type="dxa"/>
            <w:shd w:val="clear" w:color="auto" w:fill="auto"/>
          </w:tcPr>
          <w:p w14:paraId="0BCAA279" w14:textId="77777777" w:rsidR="003B42B9" w:rsidRPr="008051DE" w:rsidRDefault="003B42B9" w:rsidP="00BE69D7">
            <w:pPr>
              <w:spacing w:before="40" w:after="40"/>
              <w:jc w:val="center"/>
              <w:rPr>
                <w:sz w:val="22"/>
                <w:szCs w:val="22"/>
              </w:rPr>
            </w:pPr>
            <w:r w:rsidRPr="008051DE">
              <w:rPr>
                <w:sz w:val="22"/>
                <w:szCs w:val="22"/>
              </w:rPr>
              <w:t>0.8</w:t>
            </w:r>
          </w:p>
        </w:tc>
      </w:tr>
      <w:tr w:rsidR="003B42B9" w:rsidRPr="008051DE" w14:paraId="0A9FE440" w14:textId="77777777" w:rsidTr="00BE69D7">
        <w:tc>
          <w:tcPr>
            <w:tcW w:w="4474" w:type="dxa"/>
            <w:shd w:val="clear" w:color="auto" w:fill="auto"/>
          </w:tcPr>
          <w:p w14:paraId="42546A7D" w14:textId="77777777" w:rsidR="003B42B9" w:rsidRPr="008051DE" w:rsidRDefault="003B42B9" w:rsidP="00BE69D7">
            <w:pPr>
              <w:spacing w:before="40" w:after="40"/>
              <w:rPr>
                <w:sz w:val="22"/>
                <w:szCs w:val="22"/>
              </w:rPr>
            </w:pPr>
            <w:proofErr w:type="spellStart"/>
            <w:r w:rsidRPr="008051DE">
              <w:rPr>
                <w:sz w:val="22"/>
                <w:szCs w:val="22"/>
              </w:rPr>
              <w:t>Myalgia</w:t>
            </w:r>
            <w:r w:rsidRPr="008051DE">
              <w:rPr>
                <w:sz w:val="22"/>
                <w:szCs w:val="22"/>
                <w:vertAlign w:val="superscript"/>
              </w:rPr>
              <w:t>c</w:t>
            </w:r>
            <w:proofErr w:type="spellEnd"/>
          </w:p>
        </w:tc>
        <w:tc>
          <w:tcPr>
            <w:tcW w:w="2127" w:type="dxa"/>
            <w:shd w:val="clear" w:color="auto" w:fill="auto"/>
          </w:tcPr>
          <w:p w14:paraId="3B86130E" w14:textId="77777777" w:rsidR="003B42B9" w:rsidRPr="008051DE" w:rsidRDefault="003B42B9" w:rsidP="00BE69D7">
            <w:pPr>
              <w:spacing w:before="40" w:after="40"/>
              <w:jc w:val="center"/>
              <w:rPr>
                <w:sz w:val="22"/>
                <w:szCs w:val="22"/>
              </w:rPr>
            </w:pPr>
            <w:r w:rsidRPr="008051DE">
              <w:rPr>
                <w:sz w:val="22"/>
                <w:szCs w:val="22"/>
              </w:rPr>
              <w:t>31</w:t>
            </w:r>
          </w:p>
        </w:tc>
        <w:tc>
          <w:tcPr>
            <w:tcW w:w="2126" w:type="dxa"/>
            <w:shd w:val="clear" w:color="auto" w:fill="auto"/>
          </w:tcPr>
          <w:p w14:paraId="2195CB2B" w14:textId="77777777" w:rsidR="003B42B9" w:rsidRPr="008051DE" w:rsidRDefault="003B42B9" w:rsidP="00BE69D7">
            <w:pPr>
              <w:spacing w:before="40" w:after="40"/>
              <w:jc w:val="center"/>
              <w:rPr>
                <w:sz w:val="22"/>
                <w:szCs w:val="22"/>
              </w:rPr>
            </w:pPr>
            <w:r w:rsidRPr="008051DE">
              <w:rPr>
                <w:sz w:val="22"/>
                <w:szCs w:val="22"/>
              </w:rPr>
              <w:t>1.2</w:t>
            </w:r>
          </w:p>
        </w:tc>
      </w:tr>
      <w:tr w:rsidR="003B42B9" w:rsidRPr="008051DE" w14:paraId="168544D9" w14:textId="77777777" w:rsidTr="00BE69D7">
        <w:tc>
          <w:tcPr>
            <w:tcW w:w="4474" w:type="dxa"/>
            <w:shd w:val="clear" w:color="auto" w:fill="auto"/>
          </w:tcPr>
          <w:p w14:paraId="3304247F" w14:textId="77777777" w:rsidR="003B42B9" w:rsidRPr="008051DE" w:rsidRDefault="003B42B9" w:rsidP="00BE69D7">
            <w:pPr>
              <w:spacing w:before="40" w:after="40"/>
              <w:rPr>
                <w:sz w:val="22"/>
                <w:szCs w:val="22"/>
              </w:rPr>
            </w:pPr>
            <w:r w:rsidRPr="008051DE">
              <w:rPr>
                <w:sz w:val="22"/>
                <w:szCs w:val="22"/>
              </w:rPr>
              <w:t>Nausea</w:t>
            </w:r>
          </w:p>
        </w:tc>
        <w:tc>
          <w:tcPr>
            <w:tcW w:w="2127" w:type="dxa"/>
            <w:shd w:val="clear" w:color="auto" w:fill="auto"/>
          </w:tcPr>
          <w:p w14:paraId="40F8ED49" w14:textId="77777777" w:rsidR="003B42B9" w:rsidRPr="008051DE" w:rsidRDefault="003B42B9" w:rsidP="00BE69D7">
            <w:pPr>
              <w:spacing w:before="40" w:after="40"/>
              <w:jc w:val="center"/>
              <w:rPr>
                <w:sz w:val="22"/>
                <w:szCs w:val="22"/>
              </w:rPr>
            </w:pPr>
            <w:r w:rsidRPr="008051DE">
              <w:rPr>
                <w:sz w:val="22"/>
                <w:szCs w:val="22"/>
              </w:rPr>
              <w:t>22</w:t>
            </w:r>
          </w:p>
        </w:tc>
        <w:tc>
          <w:tcPr>
            <w:tcW w:w="2126" w:type="dxa"/>
            <w:shd w:val="clear" w:color="auto" w:fill="auto"/>
          </w:tcPr>
          <w:p w14:paraId="28B3D87F" w14:textId="77777777" w:rsidR="003B42B9" w:rsidRPr="008051DE" w:rsidRDefault="003B42B9" w:rsidP="00BE69D7">
            <w:pPr>
              <w:spacing w:before="40" w:after="40"/>
              <w:jc w:val="center"/>
              <w:rPr>
                <w:sz w:val="22"/>
                <w:szCs w:val="22"/>
              </w:rPr>
            </w:pPr>
            <w:r w:rsidRPr="008051DE">
              <w:rPr>
                <w:sz w:val="22"/>
                <w:szCs w:val="22"/>
              </w:rPr>
              <w:t>0.4</w:t>
            </w:r>
          </w:p>
        </w:tc>
      </w:tr>
      <w:tr w:rsidR="003B42B9" w:rsidRPr="008051DE" w14:paraId="09791BC0" w14:textId="77777777" w:rsidTr="00BE69D7">
        <w:tc>
          <w:tcPr>
            <w:tcW w:w="4474" w:type="dxa"/>
            <w:shd w:val="clear" w:color="auto" w:fill="auto"/>
          </w:tcPr>
          <w:p w14:paraId="11AF01F7" w14:textId="77777777" w:rsidR="003B42B9" w:rsidRPr="008051DE" w:rsidRDefault="003B42B9" w:rsidP="00BE69D7">
            <w:pPr>
              <w:spacing w:before="40" w:after="40"/>
              <w:rPr>
                <w:sz w:val="22"/>
                <w:szCs w:val="22"/>
              </w:rPr>
            </w:pPr>
            <w:r w:rsidRPr="008051DE">
              <w:rPr>
                <w:sz w:val="22"/>
                <w:szCs w:val="22"/>
              </w:rPr>
              <w:t>Cough</w:t>
            </w:r>
          </w:p>
        </w:tc>
        <w:tc>
          <w:tcPr>
            <w:tcW w:w="2127" w:type="dxa"/>
            <w:shd w:val="clear" w:color="auto" w:fill="auto"/>
          </w:tcPr>
          <w:p w14:paraId="01EB1F00" w14:textId="77777777" w:rsidR="003B42B9" w:rsidRPr="008051DE" w:rsidRDefault="003B42B9" w:rsidP="00BE69D7">
            <w:pPr>
              <w:spacing w:before="40" w:after="40"/>
              <w:jc w:val="center"/>
              <w:rPr>
                <w:sz w:val="22"/>
                <w:szCs w:val="22"/>
              </w:rPr>
            </w:pPr>
            <w:r w:rsidRPr="008051DE">
              <w:rPr>
                <w:sz w:val="22"/>
                <w:szCs w:val="22"/>
              </w:rPr>
              <w:t>21</w:t>
            </w:r>
          </w:p>
        </w:tc>
        <w:tc>
          <w:tcPr>
            <w:tcW w:w="2126" w:type="dxa"/>
            <w:shd w:val="clear" w:color="auto" w:fill="auto"/>
          </w:tcPr>
          <w:p w14:paraId="3410F44E"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47EC55EA" w14:textId="77777777" w:rsidTr="00BE69D7">
        <w:tc>
          <w:tcPr>
            <w:tcW w:w="4474" w:type="dxa"/>
            <w:shd w:val="clear" w:color="auto" w:fill="auto"/>
          </w:tcPr>
          <w:p w14:paraId="062A3CD7" w14:textId="77777777" w:rsidR="003B42B9" w:rsidRPr="008051DE" w:rsidRDefault="003B42B9" w:rsidP="00BE69D7">
            <w:pPr>
              <w:spacing w:before="40" w:after="40"/>
              <w:rPr>
                <w:sz w:val="22"/>
                <w:szCs w:val="22"/>
              </w:rPr>
            </w:pPr>
            <w:proofErr w:type="spellStart"/>
            <w:r w:rsidRPr="008051DE">
              <w:rPr>
                <w:sz w:val="22"/>
                <w:szCs w:val="22"/>
              </w:rPr>
              <w:t>Rash</w:t>
            </w:r>
            <w:r w:rsidRPr="008051DE">
              <w:rPr>
                <w:sz w:val="22"/>
                <w:szCs w:val="22"/>
                <w:vertAlign w:val="superscript"/>
              </w:rPr>
              <w:t>d</w:t>
            </w:r>
            <w:proofErr w:type="spellEnd"/>
          </w:p>
        </w:tc>
        <w:tc>
          <w:tcPr>
            <w:tcW w:w="2127" w:type="dxa"/>
            <w:shd w:val="clear" w:color="auto" w:fill="auto"/>
          </w:tcPr>
          <w:p w14:paraId="1D6CBE67" w14:textId="77777777" w:rsidR="003B42B9" w:rsidRPr="008051DE" w:rsidRDefault="003B42B9" w:rsidP="00BE69D7">
            <w:pPr>
              <w:spacing w:before="40" w:after="40"/>
              <w:jc w:val="center"/>
              <w:rPr>
                <w:sz w:val="22"/>
                <w:szCs w:val="22"/>
              </w:rPr>
            </w:pPr>
            <w:r w:rsidRPr="008051DE">
              <w:rPr>
                <w:sz w:val="22"/>
                <w:szCs w:val="22"/>
              </w:rPr>
              <w:t>20</w:t>
            </w:r>
          </w:p>
        </w:tc>
        <w:tc>
          <w:tcPr>
            <w:tcW w:w="2126" w:type="dxa"/>
            <w:shd w:val="clear" w:color="auto" w:fill="auto"/>
          </w:tcPr>
          <w:p w14:paraId="6FD13508" w14:textId="77777777" w:rsidR="003B42B9" w:rsidRPr="008051DE" w:rsidRDefault="003B42B9" w:rsidP="00BE69D7">
            <w:pPr>
              <w:spacing w:before="40" w:after="40"/>
              <w:jc w:val="center"/>
              <w:rPr>
                <w:sz w:val="22"/>
                <w:szCs w:val="22"/>
              </w:rPr>
            </w:pPr>
            <w:r w:rsidRPr="008051DE">
              <w:rPr>
                <w:sz w:val="22"/>
                <w:szCs w:val="22"/>
              </w:rPr>
              <w:t>0.4</w:t>
            </w:r>
          </w:p>
        </w:tc>
      </w:tr>
      <w:tr w:rsidR="003B42B9" w:rsidRPr="008051DE" w14:paraId="3D6353ED" w14:textId="77777777" w:rsidTr="00BE69D7">
        <w:tc>
          <w:tcPr>
            <w:tcW w:w="4474" w:type="dxa"/>
            <w:shd w:val="clear" w:color="auto" w:fill="auto"/>
          </w:tcPr>
          <w:p w14:paraId="50A8BBF6" w14:textId="77777777" w:rsidR="003B42B9" w:rsidRPr="008051DE" w:rsidDel="00676EA2" w:rsidRDefault="003B42B9" w:rsidP="00BE69D7">
            <w:pPr>
              <w:spacing w:before="40" w:after="40"/>
              <w:rPr>
                <w:sz w:val="22"/>
                <w:szCs w:val="22"/>
              </w:rPr>
            </w:pPr>
            <w:r w:rsidRPr="008051DE">
              <w:rPr>
                <w:sz w:val="22"/>
                <w:szCs w:val="22"/>
              </w:rPr>
              <w:t>Headache</w:t>
            </w:r>
          </w:p>
        </w:tc>
        <w:tc>
          <w:tcPr>
            <w:tcW w:w="2127" w:type="dxa"/>
            <w:shd w:val="clear" w:color="auto" w:fill="auto"/>
          </w:tcPr>
          <w:p w14:paraId="743FB0EB" w14:textId="77777777" w:rsidR="003B42B9" w:rsidRPr="008051DE" w:rsidDel="00676EA2" w:rsidRDefault="003B42B9" w:rsidP="00BE69D7">
            <w:pPr>
              <w:spacing w:before="40" w:after="40"/>
              <w:jc w:val="center"/>
              <w:rPr>
                <w:sz w:val="22"/>
                <w:szCs w:val="22"/>
              </w:rPr>
            </w:pPr>
            <w:r w:rsidRPr="008051DE">
              <w:rPr>
                <w:sz w:val="22"/>
                <w:szCs w:val="22"/>
              </w:rPr>
              <w:t>20</w:t>
            </w:r>
          </w:p>
        </w:tc>
        <w:tc>
          <w:tcPr>
            <w:tcW w:w="2126" w:type="dxa"/>
            <w:shd w:val="clear" w:color="auto" w:fill="auto"/>
          </w:tcPr>
          <w:p w14:paraId="4A731E6F" w14:textId="77777777" w:rsidR="003B42B9" w:rsidRPr="008051DE" w:rsidRDefault="003B42B9" w:rsidP="00BE69D7">
            <w:pPr>
              <w:spacing w:before="40" w:after="40"/>
              <w:jc w:val="center"/>
              <w:rPr>
                <w:sz w:val="22"/>
                <w:szCs w:val="22"/>
              </w:rPr>
            </w:pPr>
            <w:r w:rsidRPr="008051DE">
              <w:rPr>
                <w:sz w:val="22"/>
                <w:szCs w:val="22"/>
              </w:rPr>
              <w:t>1.2</w:t>
            </w:r>
          </w:p>
        </w:tc>
      </w:tr>
      <w:tr w:rsidR="003B42B9" w:rsidRPr="008051DE" w14:paraId="19D680E1" w14:textId="77777777" w:rsidTr="00BE69D7">
        <w:tc>
          <w:tcPr>
            <w:tcW w:w="4474" w:type="dxa"/>
            <w:shd w:val="clear" w:color="auto" w:fill="auto"/>
          </w:tcPr>
          <w:p w14:paraId="26978F81" w14:textId="77777777" w:rsidR="003B42B9" w:rsidRPr="008051DE" w:rsidRDefault="003B42B9" w:rsidP="00BE69D7">
            <w:pPr>
              <w:spacing w:before="40" w:after="40"/>
              <w:rPr>
                <w:sz w:val="22"/>
                <w:szCs w:val="22"/>
              </w:rPr>
            </w:pPr>
            <w:r w:rsidRPr="008051DE">
              <w:rPr>
                <w:sz w:val="22"/>
                <w:szCs w:val="22"/>
              </w:rPr>
              <w:t>Diarrhoea</w:t>
            </w:r>
          </w:p>
        </w:tc>
        <w:tc>
          <w:tcPr>
            <w:tcW w:w="2127" w:type="dxa"/>
            <w:shd w:val="clear" w:color="auto" w:fill="auto"/>
          </w:tcPr>
          <w:p w14:paraId="1F690AA0" w14:textId="77777777" w:rsidR="003B42B9" w:rsidRPr="008051DE" w:rsidRDefault="003B42B9" w:rsidP="00BE69D7">
            <w:pPr>
              <w:spacing w:before="40" w:after="40"/>
              <w:jc w:val="center"/>
              <w:rPr>
                <w:sz w:val="22"/>
                <w:szCs w:val="22"/>
              </w:rPr>
            </w:pPr>
            <w:r w:rsidRPr="008051DE">
              <w:rPr>
                <w:sz w:val="22"/>
                <w:szCs w:val="22"/>
              </w:rPr>
              <w:t>18</w:t>
            </w:r>
          </w:p>
        </w:tc>
        <w:tc>
          <w:tcPr>
            <w:tcW w:w="2126" w:type="dxa"/>
            <w:shd w:val="clear" w:color="auto" w:fill="auto"/>
          </w:tcPr>
          <w:p w14:paraId="1BC96FE6" w14:textId="77777777" w:rsidR="003B42B9" w:rsidRPr="008051DE" w:rsidRDefault="003B42B9" w:rsidP="00BE69D7">
            <w:pPr>
              <w:spacing w:before="40" w:after="40"/>
              <w:jc w:val="center"/>
              <w:rPr>
                <w:sz w:val="22"/>
                <w:szCs w:val="22"/>
              </w:rPr>
            </w:pPr>
            <w:r w:rsidRPr="008051DE">
              <w:rPr>
                <w:sz w:val="22"/>
                <w:szCs w:val="22"/>
              </w:rPr>
              <w:t>1.2</w:t>
            </w:r>
          </w:p>
        </w:tc>
      </w:tr>
      <w:tr w:rsidR="003B42B9" w:rsidRPr="008051DE" w14:paraId="06066341" w14:textId="77777777" w:rsidTr="00BE69D7">
        <w:tc>
          <w:tcPr>
            <w:tcW w:w="4474" w:type="dxa"/>
            <w:shd w:val="clear" w:color="auto" w:fill="auto"/>
          </w:tcPr>
          <w:p w14:paraId="551B05AA" w14:textId="77777777" w:rsidR="003B42B9" w:rsidRPr="008051DE" w:rsidRDefault="003B42B9" w:rsidP="00BE69D7">
            <w:pPr>
              <w:spacing w:before="40" w:after="40"/>
              <w:rPr>
                <w:sz w:val="22"/>
                <w:szCs w:val="22"/>
              </w:rPr>
            </w:pPr>
            <w:r w:rsidRPr="008051DE">
              <w:rPr>
                <w:sz w:val="22"/>
                <w:szCs w:val="22"/>
              </w:rPr>
              <w:t>Dyspnoea</w:t>
            </w:r>
          </w:p>
        </w:tc>
        <w:tc>
          <w:tcPr>
            <w:tcW w:w="2127" w:type="dxa"/>
            <w:shd w:val="clear" w:color="auto" w:fill="auto"/>
          </w:tcPr>
          <w:p w14:paraId="08B52101" w14:textId="77777777" w:rsidR="003B42B9" w:rsidRPr="008051DE" w:rsidRDefault="003B42B9" w:rsidP="00BE69D7">
            <w:pPr>
              <w:spacing w:before="40" w:after="40"/>
              <w:jc w:val="center"/>
              <w:rPr>
                <w:sz w:val="22"/>
                <w:szCs w:val="22"/>
              </w:rPr>
            </w:pPr>
            <w:r w:rsidRPr="008051DE">
              <w:rPr>
                <w:sz w:val="22"/>
                <w:szCs w:val="22"/>
              </w:rPr>
              <w:t>17</w:t>
            </w:r>
          </w:p>
        </w:tc>
        <w:tc>
          <w:tcPr>
            <w:tcW w:w="2126" w:type="dxa"/>
            <w:shd w:val="clear" w:color="auto" w:fill="auto"/>
          </w:tcPr>
          <w:p w14:paraId="27BFD977" w14:textId="77777777" w:rsidR="003B42B9" w:rsidRPr="008051DE" w:rsidRDefault="003B42B9" w:rsidP="00BE69D7">
            <w:pPr>
              <w:spacing w:before="40" w:after="40"/>
              <w:jc w:val="center"/>
              <w:rPr>
                <w:sz w:val="22"/>
                <w:szCs w:val="22"/>
                <w:vertAlign w:val="superscript"/>
              </w:rPr>
            </w:pPr>
            <w:r w:rsidRPr="008051DE">
              <w:rPr>
                <w:sz w:val="22"/>
                <w:szCs w:val="22"/>
              </w:rPr>
              <w:t>3.6</w:t>
            </w:r>
            <w:r w:rsidRPr="008051DE">
              <w:rPr>
                <w:sz w:val="22"/>
                <w:szCs w:val="22"/>
                <w:vertAlign w:val="superscript"/>
              </w:rPr>
              <w:t>e</w:t>
            </w:r>
          </w:p>
        </w:tc>
      </w:tr>
      <w:tr w:rsidR="003B42B9" w:rsidRPr="008051DE" w14:paraId="0ED8E3C7" w14:textId="77777777" w:rsidTr="00BE69D7">
        <w:tc>
          <w:tcPr>
            <w:tcW w:w="4474" w:type="dxa"/>
            <w:shd w:val="clear" w:color="auto" w:fill="auto"/>
          </w:tcPr>
          <w:p w14:paraId="3E1A70DB" w14:textId="77777777" w:rsidR="003B42B9" w:rsidRPr="008051DE" w:rsidRDefault="003B42B9" w:rsidP="00BE69D7">
            <w:pPr>
              <w:spacing w:before="40" w:after="40"/>
              <w:rPr>
                <w:sz w:val="22"/>
                <w:szCs w:val="22"/>
              </w:rPr>
            </w:pPr>
            <w:r w:rsidRPr="008051DE">
              <w:rPr>
                <w:sz w:val="22"/>
                <w:szCs w:val="22"/>
              </w:rPr>
              <w:t>Back Pain</w:t>
            </w:r>
          </w:p>
        </w:tc>
        <w:tc>
          <w:tcPr>
            <w:tcW w:w="2127" w:type="dxa"/>
            <w:shd w:val="clear" w:color="auto" w:fill="auto"/>
          </w:tcPr>
          <w:p w14:paraId="17685CE6" w14:textId="77777777" w:rsidR="003B42B9" w:rsidRPr="008051DE" w:rsidRDefault="003B42B9" w:rsidP="00BE69D7">
            <w:pPr>
              <w:spacing w:before="40" w:after="40"/>
              <w:jc w:val="center"/>
              <w:rPr>
                <w:sz w:val="22"/>
                <w:szCs w:val="22"/>
              </w:rPr>
            </w:pPr>
            <w:r w:rsidRPr="008051DE">
              <w:rPr>
                <w:sz w:val="22"/>
                <w:szCs w:val="22"/>
              </w:rPr>
              <w:t>15</w:t>
            </w:r>
          </w:p>
        </w:tc>
        <w:tc>
          <w:tcPr>
            <w:tcW w:w="2126" w:type="dxa"/>
            <w:shd w:val="clear" w:color="auto" w:fill="auto"/>
          </w:tcPr>
          <w:p w14:paraId="19C0A725"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20E3D873" w14:textId="77777777" w:rsidTr="00BE69D7">
        <w:tc>
          <w:tcPr>
            <w:tcW w:w="4474" w:type="dxa"/>
            <w:shd w:val="clear" w:color="auto" w:fill="auto"/>
          </w:tcPr>
          <w:p w14:paraId="31A6F8A6" w14:textId="77777777" w:rsidR="003B42B9" w:rsidRPr="008051DE" w:rsidRDefault="003B42B9" w:rsidP="00BE69D7">
            <w:pPr>
              <w:spacing w:before="40" w:after="40"/>
              <w:rPr>
                <w:sz w:val="22"/>
                <w:szCs w:val="22"/>
              </w:rPr>
            </w:pPr>
            <w:r w:rsidRPr="008051DE">
              <w:rPr>
                <w:sz w:val="22"/>
                <w:szCs w:val="22"/>
              </w:rPr>
              <w:t>Upper respiratory tract infection</w:t>
            </w:r>
          </w:p>
        </w:tc>
        <w:tc>
          <w:tcPr>
            <w:tcW w:w="2127" w:type="dxa"/>
            <w:shd w:val="clear" w:color="auto" w:fill="auto"/>
          </w:tcPr>
          <w:p w14:paraId="6D9DCA59" w14:textId="77777777" w:rsidR="003B42B9" w:rsidRPr="008051DE" w:rsidRDefault="003B42B9" w:rsidP="00BE69D7">
            <w:pPr>
              <w:spacing w:before="40" w:after="40"/>
              <w:jc w:val="center"/>
              <w:rPr>
                <w:sz w:val="22"/>
                <w:szCs w:val="22"/>
              </w:rPr>
            </w:pPr>
            <w:r w:rsidRPr="008051DE">
              <w:rPr>
                <w:sz w:val="22"/>
                <w:szCs w:val="22"/>
              </w:rPr>
              <w:t>14</w:t>
            </w:r>
          </w:p>
        </w:tc>
        <w:tc>
          <w:tcPr>
            <w:tcW w:w="2126" w:type="dxa"/>
            <w:shd w:val="clear" w:color="auto" w:fill="auto"/>
          </w:tcPr>
          <w:p w14:paraId="5968B490"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51073C88" w14:textId="77777777" w:rsidTr="00BE69D7">
        <w:tc>
          <w:tcPr>
            <w:tcW w:w="4474" w:type="dxa"/>
            <w:shd w:val="clear" w:color="auto" w:fill="auto"/>
          </w:tcPr>
          <w:p w14:paraId="5FF368FA" w14:textId="77777777" w:rsidR="003B42B9" w:rsidRPr="008051DE" w:rsidRDefault="003B42B9" w:rsidP="00BE69D7">
            <w:pPr>
              <w:spacing w:before="40" w:after="40"/>
              <w:rPr>
                <w:sz w:val="22"/>
                <w:szCs w:val="22"/>
              </w:rPr>
            </w:pPr>
            <w:r w:rsidRPr="008051DE">
              <w:rPr>
                <w:sz w:val="22"/>
                <w:szCs w:val="22"/>
              </w:rPr>
              <w:t>Vomiting</w:t>
            </w:r>
          </w:p>
        </w:tc>
        <w:tc>
          <w:tcPr>
            <w:tcW w:w="2127" w:type="dxa"/>
            <w:shd w:val="clear" w:color="auto" w:fill="auto"/>
          </w:tcPr>
          <w:p w14:paraId="180F1750" w14:textId="77777777" w:rsidR="003B42B9" w:rsidRPr="008051DE" w:rsidRDefault="003B42B9" w:rsidP="00BE69D7">
            <w:pPr>
              <w:spacing w:before="40" w:after="40"/>
              <w:jc w:val="center"/>
              <w:rPr>
                <w:sz w:val="22"/>
                <w:szCs w:val="22"/>
              </w:rPr>
            </w:pPr>
            <w:r w:rsidRPr="008051DE">
              <w:rPr>
                <w:sz w:val="22"/>
                <w:szCs w:val="22"/>
              </w:rPr>
              <w:t>13</w:t>
            </w:r>
          </w:p>
        </w:tc>
        <w:tc>
          <w:tcPr>
            <w:tcW w:w="2126" w:type="dxa"/>
            <w:shd w:val="clear" w:color="auto" w:fill="auto"/>
          </w:tcPr>
          <w:p w14:paraId="15FE1F66" w14:textId="77777777" w:rsidR="003B42B9" w:rsidRPr="008051DE" w:rsidRDefault="003B42B9" w:rsidP="00BE69D7">
            <w:pPr>
              <w:spacing w:before="40" w:after="40"/>
              <w:jc w:val="center"/>
              <w:rPr>
                <w:sz w:val="22"/>
                <w:szCs w:val="22"/>
              </w:rPr>
            </w:pPr>
            <w:r w:rsidRPr="008051DE">
              <w:rPr>
                <w:sz w:val="22"/>
                <w:szCs w:val="22"/>
              </w:rPr>
              <w:t>0.4</w:t>
            </w:r>
          </w:p>
        </w:tc>
      </w:tr>
      <w:tr w:rsidR="003B42B9" w:rsidRPr="008051DE" w14:paraId="1DAD3DF9" w14:textId="77777777" w:rsidTr="00BE69D7">
        <w:tc>
          <w:tcPr>
            <w:tcW w:w="4474" w:type="dxa"/>
            <w:shd w:val="clear" w:color="auto" w:fill="auto"/>
          </w:tcPr>
          <w:p w14:paraId="1DAA1B41" w14:textId="77777777" w:rsidR="003B42B9" w:rsidRPr="008051DE" w:rsidRDefault="003B42B9" w:rsidP="00BE69D7">
            <w:pPr>
              <w:spacing w:before="40" w:after="40"/>
              <w:rPr>
                <w:sz w:val="22"/>
                <w:szCs w:val="22"/>
              </w:rPr>
            </w:pPr>
            <w:r w:rsidRPr="008051DE">
              <w:rPr>
                <w:sz w:val="22"/>
                <w:szCs w:val="22"/>
              </w:rPr>
              <w:t>Increased weight</w:t>
            </w:r>
          </w:p>
        </w:tc>
        <w:tc>
          <w:tcPr>
            <w:tcW w:w="2127" w:type="dxa"/>
            <w:shd w:val="clear" w:color="auto" w:fill="auto"/>
          </w:tcPr>
          <w:p w14:paraId="21E44B08" w14:textId="77777777" w:rsidR="003B42B9" w:rsidRPr="008051DE" w:rsidRDefault="003B42B9" w:rsidP="00BE69D7">
            <w:pPr>
              <w:spacing w:before="40" w:after="40"/>
              <w:jc w:val="center"/>
              <w:rPr>
                <w:sz w:val="22"/>
                <w:szCs w:val="22"/>
              </w:rPr>
            </w:pPr>
            <w:r w:rsidRPr="008051DE">
              <w:rPr>
                <w:sz w:val="22"/>
                <w:szCs w:val="22"/>
              </w:rPr>
              <w:t>13</w:t>
            </w:r>
          </w:p>
        </w:tc>
        <w:tc>
          <w:tcPr>
            <w:tcW w:w="2126" w:type="dxa"/>
            <w:shd w:val="clear" w:color="auto" w:fill="auto"/>
          </w:tcPr>
          <w:p w14:paraId="4E1F3125" w14:textId="77777777" w:rsidR="003B42B9" w:rsidRPr="008051DE" w:rsidRDefault="003B42B9" w:rsidP="00BE69D7">
            <w:pPr>
              <w:spacing w:before="40" w:after="40"/>
              <w:jc w:val="center"/>
              <w:rPr>
                <w:sz w:val="22"/>
                <w:szCs w:val="22"/>
              </w:rPr>
            </w:pPr>
            <w:r w:rsidRPr="008051DE">
              <w:rPr>
                <w:sz w:val="22"/>
                <w:szCs w:val="22"/>
              </w:rPr>
              <w:t>0.8</w:t>
            </w:r>
          </w:p>
        </w:tc>
      </w:tr>
      <w:tr w:rsidR="003B42B9" w:rsidRPr="008051DE" w14:paraId="40F8910B" w14:textId="77777777" w:rsidTr="00BE69D7">
        <w:tc>
          <w:tcPr>
            <w:tcW w:w="4474" w:type="dxa"/>
            <w:shd w:val="clear" w:color="auto" w:fill="auto"/>
          </w:tcPr>
          <w:p w14:paraId="1A2F31A8" w14:textId="77777777" w:rsidR="003B42B9" w:rsidRPr="008051DE" w:rsidRDefault="003B42B9" w:rsidP="00BE69D7">
            <w:pPr>
              <w:spacing w:before="40" w:after="40"/>
              <w:rPr>
                <w:sz w:val="22"/>
                <w:szCs w:val="22"/>
              </w:rPr>
            </w:pPr>
            <w:r w:rsidRPr="008051DE">
              <w:rPr>
                <w:sz w:val="22"/>
                <w:szCs w:val="22"/>
              </w:rPr>
              <w:t xml:space="preserve">Vision </w:t>
            </w:r>
            <w:proofErr w:type="spellStart"/>
            <w:r w:rsidRPr="008051DE">
              <w:rPr>
                <w:sz w:val="22"/>
                <w:szCs w:val="22"/>
              </w:rPr>
              <w:t>disorder</w:t>
            </w:r>
            <w:r w:rsidRPr="008051DE">
              <w:rPr>
                <w:sz w:val="22"/>
                <w:szCs w:val="22"/>
                <w:vertAlign w:val="superscript"/>
              </w:rPr>
              <w:t>f</w:t>
            </w:r>
            <w:proofErr w:type="spellEnd"/>
          </w:p>
        </w:tc>
        <w:tc>
          <w:tcPr>
            <w:tcW w:w="2127" w:type="dxa"/>
            <w:shd w:val="clear" w:color="auto" w:fill="auto"/>
          </w:tcPr>
          <w:p w14:paraId="1F90B65A" w14:textId="77777777" w:rsidR="003B42B9" w:rsidRPr="008051DE" w:rsidRDefault="003B42B9" w:rsidP="00BE69D7">
            <w:pPr>
              <w:spacing w:before="40" w:after="40"/>
              <w:jc w:val="center"/>
              <w:rPr>
                <w:sz w:val="22"/>
                <w:szCs w:val="22"/>
              </w:rPr>
            </w:pPr>
            <w:r w:rsidRPr="008051DE">
              <w:rPr>
                <w:sz w:val="22"/>
                <w:szCs w:val="22"/>
              </w:rPr>
              <w:t>12</w:t>
            </w:r>
          </w:p>
        </w:tc>
        <w:tc>
          <w:tcPr>
            <w:tcW w:w="2126" w:type="dxa"/>
            <w:shd w:val="clear" w:color="auto" w:fill="auto"/>
          </w:tcPr>
          <w:p w14:paraId="0DB056A4"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46082C2B" w14:textId="77777777" w:rsidTr="00BE69D7">
        <w:tc>
          <w:tcPr>
            <w:tcW w:w="4474" w:type="dxa"/>
            <w:shd w:val="clear" w:color="auto" w:fill="auto"/>
          </w:tcPr>
          <w:p w14:paraId="1AE12711" w14:textId="77777777" w:rsidR="003B42B9" w:rsidRPr="008051DE" w:rsidRDefault="003B42B9" w:rsidP="00BE69D7">
            <w:pPr>
              <w:spacing w:before="40" w:after="40"/>
              <w:rPr>
                <w:sz w:val="22"/>
                <w:szCs w:val="22"/>
              </w:rPr>
            </w:pPr>
            <w:r w:rsidRPr="008051DE">
              <w:rPr>
                <w:sz w:val="22"/>
                <w:szCs w:val="22"/>
              </w:rPr>
              <w:t>Dizziness</w:t>
            </w:r>
          </w:p>
        </w:tc>
        <w:tc>
          <w:tcPr>
            <w:tcW w:w="2127" w:type="dxa"/>
            <w:shd w:val="clear" w:color="auto" w:fill="auto"/>
          </w:tcPr>
          <w:p w14:paraId="4AA4895F" w14:textId="77777777" w:rsidR="003B42B9" w:rsidRPr="008051DE" w:rsidRDefault="003B42B9" w:rsidP="00BE69D7">
            <w:pPr>
              <w:spacing w:before="40" w:after="40"/>
              <w:jc w:val="center"/>
              <w:rPr>
                <w:sz w:val="22"/>
                <w:szCs w:val="22"/>
              </w:rPr>
            </w:pPr>
            <w:r w:rsidRPr="008051DE">
              <w:rPr>
                <w:sz w:val="22"/>
                <w:szCs w:val="22"/>
              </w:rPr>
              <w:t>12</w:t>
            </w:r>
          </w:p>
        </w:tc>
        <w:tc>
          <w:tcPr>
            <w:tcW w:w="2126" w:type="dxa"/>
            <w:shd w:val="clear" w:color="auto" w:fill="auto"/>
          </w:tcPr>
          <w:p w14:paraId="2536E551" w14:textId="77777777" w:rsidR="003B42B9" w:rsidRPr="008051DE" w:rsidRDefault="003B42B9" w:rsidP="00BE69D7">
            <w:pPr>
              <w:spacing w:before="40" w:after="40"/>
              <w:jc w:val="center"/>
              <w:rPr>
                <w:sz w:val="22"/>
                <w:szCs w:val="22"/>
              </w:rPr>
            </w:pPr>
            <w:r w:rsidRPr="008051DE">
              <w:rPr>
                <w:sz w:val="22"/>
                <w:szCs w:val="22"/>
              </w:rPr>
              <w:t>0</w:t>
            </w:r>
          </w:p>
        </w:tc>
      </w:tr>
      <w:tr w:rsidR="003B42B9" w:rsidRPr="008051DE" w14:paraId="2887E1E2" w14:textId="77777777" w:rsidTr="00BE69D7">
        <w:tc>
          <w:tcPr>
            <w:tcW w:w="4474" w:type="dxa"/>
            <w:tcBorders>
              <w:bottom w:val="single" w:sz="4" w:space="0" w:color="auto"/>
            </w:tcBorders>
            <w:shd w:val="clear" w:color="auto" w:fill="auto"/>
          </w:tcPr>
          <w:p w14:paraId="42933BFF" w14:textId="77777777" w:rsidR="003B42B9" w:rsidRPr="008051DE" w:rsidRDefault="003B42B9" w:rsidP="00BE69D7">
            <w:pPr>
              <w:keepNext/>
              <w:spacing w:before="40" w:after="40"/>
              <w:rPr>
                <w:sz w:val="22"/>
                <w:szCs w:val="22"/>
                <w:vertAlign w:val="superscript"/>
              </w:rPr>
            </w:pPr>
            <w:r w:rsidRPr="008051DE">
              <w:rPr>
                <w:sz w:val="22"/>
                <w:szCs w:val="22"/>
              </w:rPr>
              <w:lastRenderedPageBreak/>
              <w:t xml:space="preserve">Photosensitivity </w:t>
            </w:r>
            <w:proofErr w:type="spellStart"/>
            <w:r w:rsidRPr="008051DE">
              <w:rPr>
                <w:sz w:val="22"/>
                <w:szCs w:val="22"/>
              </w:rPr>
              <w:t>reaction</w:t>
            </w:r>
            <w:r w:rsidRPr="008051DE">
              <w:rPr>
                <w:sz w:val="22"/>
                <w:szCs w:val="22"/>
                <w:vertAlign w:val="superscript"/>
              </w:rPr>
              <w:t>g</w:t>
            </w:r>
            <w:proofErr w:type="spellEnd"/>
          </w:p>
        </w:tc>
        <w:tc>
          <w:tcPr>
            <w:tcW w:w="2127" w:type="dxa"/>
            <w:tcBorders>
              <w:bottom w:val="single" w:sz="4" w:space="0" w:color="auto"/>
            </w:tcBorders>
            <w:shd w:val="clear" w:color="auto" w:fill="auto"/>
          </w:tcPr>
          <w:p w14:paraId="25717F54" w14:textId="77777777" w:rsidR="003B42B9" w:rsidRPr="008051DE" w:rsidRDefault="003B42B9" w:rsidP="00BE69D7">
            <w:pPr>
              <w:keepNext/>
              <w:spacing w:before="40" w:after="40"/>
              <w:jc w:val="center"/>
              <w:rPr>
                <w:sz w:val="22"/>
                <w:szCs w:val="22"/>
              </w:rPr>
            </w:pPr>
            <w:r w:rsidRPr="008051DE">
              <w:rPr>
                <w:sz w:val="22"/>
                <w:szCs w:val="22"/>
              </w:rPr>
              <w:t>12</w:t>
            </w:r>
          </w:p>
        </w:tc>
        <w:tc>
          <w:tcPr>
            <w:tcW w:w="2126" w:type="dxa"/>
            <w:tcBorders>
              <w:bottom w:val="single" w:sz="4" w:space="0" w:color="auto"/>
            </w:tcBorders>
            <w:shd w:val="clear" w:color="auto" w:fill="auto"/>
          </w:tcPr>
          <w:p w14:paraId="0E2E7D41" w14:textId="77777777" w:rsidR="003B42B9" w:rsidRPr="008051DE" w:rsidRDefault="003B42B9" w:rsidP="00BE69D7">
            <w:pPr>
              <w:keepNext/>
              <w:spacing w:before="40" w:after="40"/>
              <w:jc w:val="center"/>
              <w:rPr>
                <w:sz w:val="22"/>
                <w:szCs w:val="22"/>
              </w:rPr>
            </w:pPr>
            <w:r w:rsidRPr="008051DE">
              <w:rPr>
                <w:sz w:val="22"/>
                <w:szCs w:val="22"/>
              </w:rPr>
              <w:t>0</w:t>
            </w:r>
          </w:p>
        </w:tc>
      </w:tr>
      <w:tr w:rsidR="003B42B9" w:rsidRPr="008051DE" w14:paraId="07B6FACD" w14:textId="77777777" w:rsidTr="00BE69D7">
        <w:tc>
          <w:tcPr>
            <w:tcW w:w="4474" w:type="dxa"/>
            <w:tcBorders>
              <w:bottom w:val="single" w:sz="4" w:space="0" w:color="auto"/>
            </w:tcBorders>
            <w:shd w:val="clear" w:color="auto" w:fill="auto"/>
          </w:tcPr>
          <w:p w14:paraId="7FF16893" w14:textId="77777777" w:rsidR="003B42B9" w:rsidRPr="008051DE" w:rsidRDefault="003B42B9" w:rsidP="00BE69D7">
            <w:pPr>
              <w:keepNext/>
              <w:spacing w:before="40" w:after="40"/>
              <w:rPr>
                <w:sz w:val="22"/>
                <w:szCs w:val="22"/>
              </w:rPr>
            </w:pPr>
            <w:r w:rsidRPr="008051DE">
              <w:rPr>
                <w:sz w:val="22"/>
                <w:szCs w:val="22"/>
              </w:rPr>
              <w:t>Insomnia</w:t>
            </w:r>
          </w:p>
        </w:tc>
        <w:tc>
          <w:tcPr>
            <w:tcW w:w="2127" w:type="dxa"/>
            <w:tcBorders>
              <w:bottom w:val="single" w:sz="4" w:space="0" w:color="auto"/>
            </w:tcBorders>
            <w:shd w:val="clear" w:color="auto" w:fill="auto"/>
          </w:tcPr>
          <w:p w14:paraId="6B45C88F" w14:textId="77777777" w:rsidR="003B42B9" w:rsidRPr="008051DE" w:rsidDel="00C04EF8" w:rsidRDefault="003B42B9" w:rsidP="00BE69D7">
            <w:pPr>
              <w:keepNext/>
              <w:spacing w:before="40" w:after="40"/>
              <w:jc w:val="center"/>
              <w:rPr>
                <w:sz w:val="22"/>
                <w:szCs w:val="22"/>
              </w:rPr>
            </w:pPr>
            <w:r w:rsidRPr="008051DE">
              <w:rPr>
                <w:sz w:val="22"/>
                <w:szCs w:val="22"/>
              </w:rPr>
              <w:t>10</w:t>
            </w:r>
          </w:p>
        </w:tc>
        <w:tc>
          <w:tcPr>
            <w:tcW w:w="2126" w:type="dxa"/>
            <w:tcBorders>
              <w:bottom w:val="single" w:sz="4" w:space="0" w:color="auto"/>
            </w:tcBorders>
            <w:shd w:val="clear" w:color="auto" w:fill="auto"/>
          </w:tcPr>
          <w:p w14:paraId="6F2C0B36" w14:textId="77777777" w:rsidR="003B42B9" w:rsidRPr="008051DE" w:rsidRDefault="003B42B9" w:rsidP="00BE69D7">
            <w:pPr>
              <w:keepNext/>
              <w:spacing w:before="40" w:after="40"/>
              <w:jc w:val="center"/>
              <w:rPr>
                <w:sz w:val="22"/>
                <w:szCs w:val="22"/>
              </w:rPr>
            </w:pPr>
            <w:r w:rsidRPr="008051DE">
              <w:rPr>
                <w:sz w:val="22"/>
                <w:szCs w:val="22"/>
              </w:rPr>
              <w:t>0</w:t>
            </w:r>
          </w:p>
        </w:tc>
      </w:tr>
    </w:tbl>
    <w:p w14:paraId="11C03868" w14:textId="77777777" w:rsidR="0089233D" w:rsidRPr="00D138DF" w:rsidRDefault="0089233D" w:rsidP="0089233D">
      <w:pPr>
        <w:keepNext/>
        <w:spacing w:before="40"/>
        <w:ind w:left="454" w:hanging="284"/>
        <w:rPr>
          <w:sz w:val="22"/>
          <w:lang w:eastAsia="en-US"/>
        </w:rPr>
      </w:pPr>
      <w:r w:rsidRPr="00D138DF">
        <w:rPr>
          <w:sz w:val="22"/>
          <w:vertAlign w:val="superscript"/>
          <w:lang w:eastAsia="en-US"/>
        </w:rPr>
        <w:t>*</w:t>
      </w:r>
      <w:r w:rsidRPr="00D138DF">
        <w:rPr>
          <w:sz w:val="22"/>
          <w:vertAlign w:val="superscript"/>
          <w:lang w:eastAsia="en-US"/>
        </w:rPr>
        <w:tab/>
      </w:r>
      <w:r w:rsidRPr="00D138DF">
        <w:rPr>
          <w:sz w:val="22"/>
          <w:lang w:eastAsia="en-US"/>
        </w:rPr>
        <w:t xml:space="preserve">Per Common Terminology Criteria for Adverse Events (CTCAE) </w:t>
      </w:r>
      <w:r>
        <w:rPr>
          <w:sz w:val="22"/>
          <w:lang w:eastAsia="en-US"/>
        </w:rPr>
        <w:t>v</w:t>
      </w:r>
      <w:r w:rsidRPr="00D138DF">
        <w:rPr>
          <w:sz w:val="22"/>
          <w:lang w:eastAsia="en-US"/>
        </w:rPr>
        <w:t>4.0</w:t>
      </w:r>
    </w:p>
    <w:p w14:paraId="1640AE86" w14:textId="77777777" w:rsidR="0089233D" w:rsidRPr="00026945" w:rsidRDefault="0089233D" w:rsidP="0089233D">
      <w:pPr>
        <w:keepNext/>
        <w:spacing w:before="40"/>
        <w:ind w:left="454" w:hanging="284"/>
        <w:rPr>
          <w:sz w:val="22"/>
          <w:lang w:val="pt-BR" w:eastAsia="en-US"/>
        </w:rPr>
      </w:pPr>
      <w:r w:rsidRPr="00026945">
        <w:rPr>
          <w:sz w:val="22"/>
          <w:vertAlign w:val="superscript"/>
          <w:lang w:val="pt-BR" w:eastAsia="en-US"/>
        </w:rPr>
        <w:t>a</w:t>
      </w:r>
      <w:r w:rsidRPr="00026945">
        <w:rPr>
          <w:sz w:val="22"/>
          <w:vertAlign w:val="superscript"/>
          <w:lang w:val="pt-BR" w:eastAsia="en-US"/>
        </w:rPr>
        <w:tab/>
      </w:r>
      <w:r w:rsidRPr="00026945">
        <w:rPr>
          <w:sz w:val="22"/>
          <w:lang w:val="pt-BR" w:eastAsia="en-US"/>
        </w:rPr>
        <w:t>Includes fatigue and asthenia</w:t>
      </w:r>
    </w:p>
    <w:p w14:paraId="4A73FBC2" w14:textId="77777777" w:rsidR="0089233D" w:rsidRPr="00026945" w:rsidRDefault="0089233D" w:rsidP="0089233D">
      <w:pPr>
        <w:keepNext/>
        <w:spacing w:before="40"/>
        <w:ind w:left="454" w:hanging="284"/>
        <w:rPr>
          <w:sz w:val="22"/>
          <w:lang w:val="pt-BR"/>
        </w:rPr>
      </w:pPr>
      <w:r w:rsidRPr="00026945">
        <w:rPr>
          <w:sz w:val="22"/>
          <w:vertAlign w:val="superscript"/>
          <w:lang w:val="pt-BR" w:eastAsia="en-US"/>
        </w:rPr>
        <w:t>b</w:t>
      </w:r>
      <w:r w:rsidRPr="00026945">
        <w:rPr>
          <w:sz w:val="22"/>
          <w:vertAlign w:val="superscript"/>
          <w:lang w:val="pt-BR" w:eastAsia="en-US"/>
        </w:rPr>
        <w:tab/>
      </w:r>
      <w:r w:rsidRPr="00026945">
        <w:rPr>
          <w:sz w:val="22"/>
          <w:lang w:val="pt-BR"/>
        </w:rPr>
        <w:t>Includes peripheral oedema, oedema, generalised oedema, eyelid oedema, periorbital oedema</w:t>
      </w:r>
    </w:p>
    <w:p w14:paraId="5E8E1A57" w14:textId="77777777" w:rsidR="0089233D" w:rsidRPr="00D138DF" w:rsidRDefault="0089233D" w:rsidP="0089233D">
      <w:pPr>
        <w:keepNext/>
        <w:spacing w:before="40"/>
        <w:ind w:left="454" w:hanging="284"/>
        <w:rPr>
          <w:sz w:val="22"/>
        </w:rPr>
      </w:pPr>
      <w:proofErr w:type="gramStart"/>
      <w:r w:rsidRPr="00D138DF">
        <w:rPr>
          <w:sz w:val="22"/>
          <w:vertAlign w:val="superscript"/>
        </w:rPr>
        <w:t>c</w:t>
      </w:r>
      <w:proofErr w:type="gramEnd"/>
      <w:r w:rsidRPr="00D138DF">
        <w:rPr>
          <w:sz w:val="22"/>
          <w:vertAlign w:val="superscript"/>
        </w:rPr>
        <w:tab/>
      </w:r>
      <w:r w:rsidRPr="00D138DF">
        <w:rPr>
          <w:sz w:val="22"/>
        </w:rPr>
        <w:t>Includes myalgia and musculoskeletal pain</w:t>
      </w:r>
    </w:p>
    <w:p w14:paraId="0C9565C8" w14:textId="77777777" w:rsidR="0089233D" w:rsidRPr="00D138DF" w:rsidRDefault="0089233D" w:rsidP="0089233D">
      <w:pPr>
        <w:keepNext/>
        <w:spacing w:before="40"/>
        <w:ind w:left="454" w:hanging="284"/>
        <w:rPr>
          <w:sz w:val="22"/>
        </w:rPr>
      </w:pPr>
      <w:proofErr w:type="gramStart"/>
      <w:r w:rsidRPr="00D138DF">
        <w:rPr>
          <w:sz w:val="22"/>
          <w:vertAlign w:val="superscript"/>
        </w:rPr>
        <w:t>d</w:t>
      </w:r>
      <w:proofErr w:type="gramEnd"/>
      <w:r w:rsidRPr="00D138DF">
        <w:rPr>
          <w:sz w:val="22"/>
          <w:vertAlign w:val="superscript"/>
        </w:rPr>
        <w:t xml:space="preserve"> </w:t>
      </w:r>
      <w:r w:rsidRPr="00D138DF">
        <w:rPr>
          <w:sz w:val="22"/>
          <w:vertAlign w:val="superscript"/>
        </w:rPr>
        <w:tab/>
      </w:r>
      <w:r w:rsidRPr="00D138DF">
        <w:rPr>
          <w:sz w:val="22"/>
        </w:rPr>
        <w:t>Includes rash, maculopapular rash, acneiform dermatitis, erythema, generalised rash, papular rash, pruritic rash and macular rash</w:t>
      </w:r>
    </w:p>
    <w:p w14:paraId="5A6E6BE4" w14:textId="77777777" w:rsidR="0089233D" w:rsidRPr="00D138DF" w:rsidRDefault="0089233D" w:rsidP="0089233D">
      <w:pPr>
        <w:keepNext/>
        <w:spacing w:before="40"/>
        <w:ind w:left="454" w:hanging="284"/>
        <w:rPr>
          <w:sz w:val="22"/>
        </w:rPr>
      </w:pPr>
      <w:proofErr w:type="gramStart"/>
      <w:r w:rsidRPr="00D138DF">
        <w:rPr>
          <w:sz w:val="22"/>
          <w:vertAlign w:val="superscript"/>
        </w:rPr>
        <w:t>e</w:t>
      </w:r>
      <w:proofErr w:type="gramEnd"/>
      <w:r w:rsidRPr="00D138DF">
        <w:rPr>
          <w:sz w:val="22"/>
        </w:rPr>
        <w:tab/>
        <w:t>Includes one Grade 5 event</w:t>
      </w:r>
    </w:p>
    <w:p w14:paraId="592DF98C" w14:textId="77777777" w:rsidR="0089233D" w:rsidRPr="00D138DF" w:rsidRDefault="0089233D" w:rsidP="0089233D">
      <w:pPr>
        <w:keepNext/>
        <w:spacing w:before="40"/>
        <w:ind w:left="454" w:hanging="284"/>
        <w:rPr>
          <w:sz w:val="22"/>
        </w:rPr>
      </w:pPr>
      <w:proofErr w:type="gramStart"/>
      <w:r w:rsidRPr="00D138DF">
        <w:rPr>
          <w:sz w:val="22"/>
          <w:vertAlign w:val="superscript"/>
        </w:rPr>
        <w:t>f</w:t>
      </w:r>
      <w:proofErr w:type="gramEnd"/>
      <w:r w:rsidRPr="00D138DF">
        <w:rPr>
          <w:sz w:val="22"/>
        </w:rPr>
        <w:tab/>
        <w:t>Includes blurred vision, vitreous floaters, visual impairment, reduced visual acuity, asthenopia, and diplopia</w:t>
      </w:r>
    </w:p>
    <w:p w14:paraId="53CB4307" w14:textId="77777777" w:rsidR="003B42B9" w:rsidRPr="0089233D" w:rsidRDefault="0089233D" w:rsidP="0089233D">
      <w:pPr>
        <w:keepNext/>
        <w:spacing w:before="40"/>
        <w:ind w:left="454" w:hanging="284"/>
        <w:rPr>
          <w:sz w:val="22"/>
        </w:rPr>
      </w:pPr>
      <w:proofErr w:type="gramStart"/>
      <w:r w:rsidRPr="00D138DF">
        <w:rPr>
          <w:sz w:val="22"/>
          <w:vertAlign w:val="superscript"/>
        </w:rPr>
        <w:t>g</w:t>
      </w:r>
      <w:proofErr w:type="gramEnd"/>
      <w:r w:rsidRPr="00D138DF">
        <w:rPr>
          <w:sz w:val="22"/>
          <w:vertAlign w:val="superscript"/>
        </w:rPr>
        <w:tab/>
      </w:r>
      <w:r w:rsidRPr="0089233D">
        <w:rPr>
          <w:sz w:val="22"/>
        </w:rPr>
        <w:t>Includes photosensitivity reaction and sunburn</w:t>
      </w:r>
    </w:p>
    <w:p w14:paraId="37D75536" w14:textId="77777777" w:rsidR="0089233D" w:rsidRDefault="0089233D" w:rsidP="003B42B9"/>
    <w:p w14:paraId="5AECC125" w14:textId="77777777" w:rsidR="003B42B9" w:rsidRDefault="003B42B9" w:rsidP="003B42B9">
      <w:pPr>
        <w:rPr>
          <w:bCs/>
          <w:iCs/>
        </w:rPr>
      </w:pPr>
      <w:r>
        <w:t xml:space="preserve">Table </w:t>
      </w:r>
      <w:r w:rsidR="0089233D">
        <w:t>6</w:t>
      </w:r>
      <w:r>
        <w:t xml:space="preserve"> summarises the most common </w:t>
      </w:r>
      <w:r w:rsidRPr="00461F3B">
        <w:t xml:space="preserve">treatment-emergent </w:t>
      </w:r>
      <w:r>
        <w:t xml:space="preserve">shifts in key </w:t>
      </w:r>
      <w:r w:rsidRPr="00461F3B">
        <w:t xml:space="preserve">laboratory abnormalities occurring in patients </w:t>
      </w:r>
      <w:r>
        <w:t>who received</w:t>
      </w:r>
      <w:r w:rsidRPr="00461F3B">
        <w:t xml:space="preserve"> </w:t>
      </w:r>
      <w:r>
        <w:rPr>
          <w:bCs/>
          <w:iCs/>
        </w:rPr>
        <w:t>Alecensa in Studies 1 and 2.</w:t>
      </w:r>
    </w:p>
    <w:p w14:paraId="47BAA20D" w14:textId="77777777" w:rsidR="003B42B9" w:rsidRDefault="003B42B9" w:rsidP="003B42B9"/>
    <w:p w14:paraId="5DE79EFE" w14:textId="77777777" w:rsidR="003B42B9" w:rsidRPr="00D11614" w:rsidRDefault="003B42B9" w:rsidP="003B42B9">
      <w:pPr>
        <w:pStyle w:val="Tableheading"/>
        <w:rPr>
          <w:sz w:val="22"/>
        </w:rPr>
      </w:pPr>
      <w:proofErr w:type="gramStart"/>
      <w:r w:rsidRPr="00D11614">
        <w:rPr>
          <w:sz w:val="22"/>
        </w:rPr>
        <w:t xml:space="preserve">Table </w:t>
      </w:r>
      <w:r w:rsidR="0089233D">
        <w:rPr>
          <w:sz w:val="22"/>
        </w:rPr>
        <w:t>6</w:t>
      </w:r>
      <w:r w:rsidRPr="00D11614">
        <w:rPr>
          <w:sz w:val="22"/>
        </w:rPr>
        <w:t>.</w:t>
      </w:r>
      <w:proofErr w:type="gramEnd"/>
      <w:r w:rsidRPr="00D11614">
        <w:rPr>
          <w:sz w:val="22"/>
        </w:rPr>
        <w:tab/>
        <w:t>Treatment-emergent shifts in key laboratory abnormalities occurring in ≥ 20% (all Grades) or ≥ 2% (Grade 3-4) of patients treated with Alecensa in Studies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2127"/>
        <w:gridCol w:w="2085"/>
      </w:tblGrid>
      <w:tr w:rsidR="003B42B9" w:rsidRPr="008051DE" w14:paraId="616857EE" w14:textId="77777777" w:rsidTr="00BE69D7">
        <w:trPr>
          <w:tblHeader/>
        </w:trPr>
        <w:tc>
          <w:tcPr>
            <w:tcW w:w="4644" w:type="dxa"/>
            <w:gridSpan w:val="2"/>
            <w:vMerge w:val="restart"/>
            <w:shd w:val="clear" w:color="auto" w:fill="auto"/>
          </w:tcPr>
          <w:p w14:paraId="19CB610D" w14:textId="77777777" w:rsidR="003B42B9" w:rsidRPr="008051DE" w:rsidRDefault="003B42B9" w:rsidP="00BE69D7">
            <w:pPr>
              <w:spacing w:line="300" w:lineRule="atLeast"/>
              <w:rPr>
                <w:b/>
                <w:sz w:val="22"/>
                <w:szCs w:val="22"/>
              </w:rPr>
            </w:pPr>
            <w:r w:rsidRPr="008051DE">
              <w:rPr>
                <w:b/>
                <w:sz w:val="22"/>
                <w:szCs w:val="22"/>
              </w:rPr>
              <w:t xml:space="preserve"> Parameter</w:t>
            </w:r>
          </w:p>
        </w:tc>
        <w:tc>
          <w:tcPr>
            <w:tcW w:w="4212" w:type="dxa"/>
            <w:gridSpan w:val="2"/>
            <w:shd w:val="clear" w:color="auto" w:fill="auto"/>
          </w:tcPr>
          <w:p w14:paraId="2A56DCFB" w14:textId="77777777" w:rsidR="003B42B9" w:rsidRPr="008051DE" w:rsidRDefault="003B42B9" w:rsidP="00BE69D7">
            <w:pPr>
              <w:spacing w:line="300" w:lineRule="atLeast"/>
              <w:jc w:val="center"/>
              <w:rPr>
                <w:b/>
                <w:sz w:val="22"/>
                <w:szCs w:val="22"/>
              </w:rPr>
            </w:pPr>
            <w:r w:rsidRPr="008051DE">
              <w:rPr>
                <w:b/>
                <w:sz w:val="22"/>
                <w:szCs w:val="22"/>
              </w:rPr>
              <w:t>Alecensa</w:t>
            </w:r>
            <w:r>
              <w:rPr>
                <w:b/>
                <w:sz w:val="22"/>
                <w:szCs w:val="22"/>
              </w:rPr>
              <w:br/>
            </w:r>
            <w:r w:rsidRPr="008051DE">
              <w:rPr>
                <w:b/>
                <w:sz w:val="22"/>
                <w:szCs w:val="22"/>
              </w:rPr>
              <w:t>N= 250</w:t>
            </w:r>
          </w:p>
        </w:tc>
      </w:tr>
      <w:tr w:rsidR="003B42B9" w:rsidRPr="008051DE" w14:paraId="452AEDDB" w14:textId="77777777" w:rsidTr="00BE69D7">
        <w:trPr>
          <w:tblHeader/>
        </w:trPr>
        <w:tc>
          <w:tcPr>
            <w:tcW w:w="4644" w:type="dxa"/>
            <w:gridSpan w:val="2"/>
            <w:vMerge/>
            <w:shd w:val="clear" w:color="auto" w:fill="auto"/>
          </w:tcPr>
          <w:p w14:paraId="7B0241FD" w14:textId="77777777" w:rsidR="003B42B9" w:rsidRPr="008051DE" w:rsidRDefault="003B42B9" w:rsidP="00BE69D7">
            <w:pPr>
              <w:spacing w:line="300" w:lineRule="atLeast"/>
              <w:rPr>
                <w:b/>
                <w:sz w:val="22"/>
                <w:szCs w:val="22"/>
              </w:rPr>
            </w:pPr>
          </w:p>
        </w:tc>
        <w:tc>
          <w:tcPr>
            <w:tcW w:w="2127" w:type="dxa"/>
            <w:shd w:val="clear" w:color="auto" w:fill="auto"/>
          </w:tcPr>
          <w:p w14:paraId="20AA82C5" w14:textId="77777777" w:rsidR="003B42B9" w:rsidRPr="008051DE" w:rsidRDefault="003B42B9" w:rsidP="00BE69D7">
            <w:pPr>
              <w:spacing w:line="300" w:lineRule="atLeast"/>
              <w:jc w:val="center"/>
              <w:rPr>
                <w:b/>
                <w:sz w:val="22"/>
                <w:szCs w:val="22"/>
              </w:rPr>
            </w:pPr>
            <w:r w:rsidRPr="008051DE">
              <w:rPr>
                <w:b/>
                <w:sz w:val="22"/>
                <w:szCs w:val="22"/>
              </w:rPr>
              <w:t>All Grades (%)</w:t>
            </w:r>
          </w:p>
        </w:tc>
        <w:tc>
          <w:tcPr>
            <w:tcW w:w="2085" w:type="dxa"/>
            <w:shd w:val="clear" w:color="auto" w:fill="auto"/>
          </w:tcPr>
          <w:p w14:paraId="48677CC8" w14:textId="77777777" w:rsidR="003B42B9" w:rsidRPr="008051DE" w:rsidRDefault="003B42B9" w:rsidP="00BE69D7">
            <w:pPr>
              <w:spacing w:line="300" w:lineRule="atLeast"/>
              <w:jc w:val="center"/>
              <w:rPr>
                <w:b/>
                <w:sz w:val="22"/>
                <w:szCs w:val="22"/>
              </w:rPr>
            </w:pPr>
            <w:r w:rsidRPr="008051DE">
              <w:rPr>
                <w:b/>
                <w:sz w:val="22"/>
                <w:szCs w:val="22"/>
              </w:rPr>
              <w:t>Grade 3 -4* (%)</w:t>
            </w:r>
          </w:p>
        </w:tc>
      </w:tr>
      <w:tr w:rsidR="003B42B9" w:rsidRPr="008051DE" w14:paraId="1E058407" w14:textId="77777777" w:rsidTr="00BE69D7">
        <w:tc>
          <w:tcPr>
            <w:tcW w:w="4644" w:type="dxa"/>
            <w:gridSpan w:val="2"/>
            <w:shd w:val="clear" w:color="auto" w:fill="auto"/>
          </w:tcPr>
          <w:p w14:paraId="1AF3C54D" w14:textId="77777777" w:rsidR="003B42B9" w:rsidRPr="008051DE" w:rsidRDefault="003B42B9" w:rsidP="00BE69D7">
            <w:pPr>
              <w:spacing w:line="300" w:lineRule="atLeast"/>
              <w:rPr>
                <w:b/>
                <w:sz w:val="22"/>
                <w:szCs w:val="22"/>
              </w:rPr>
            </w:pPr>
            <w:r w:rsidRPr="008051DE">
              <w:rPr>
                <w:b/>
                <w:sz w:val="22"/>
                <w:szCs w:val="22"/>
              </w:rPr>
              <w:t>Chemistry</w:t>
            </w:r>
          </w:p>
        </w:tc>
        <w:tc>
          <w:tcPr>
            <w:tcW w:w="2127" w:type="dxa"/>
            <w:shd w:val="clear" w:color="auto" w:fill="auto"/>
          </w:tcPr>
          <w:p w14:paraId="14E4CD2D" w14:textId="77777777" w:rsidR="003B42B9" w:rsidRPr="008051DE" w:rsidRDefault="003B42B9" w:rsidP="00BE69D7">
            <w:pPr>
              <w:spacing w:line="300" w:lineRule="atLeast"/>
              <w:jc w:val="center"/>
              <w:rPr>
                <w:sz w:val="22"/>
                <w:szCs w:val="22"/>
              </w:rPr>
            </w:pPr>
          </w:p>
        </w:tc>
        <w:tc>
          <w:tcPr>
            <w:tcW w:w="2085" w:type="dxa"/>
            <w:shd w:val="clear" w:color="auto" w:fill="auto"/>
          </w:tcPr>
          <w:p w14:paraId="28A005A6" w14:textId="77777777" w:rsidR="003B42B9" w:rsidRPr="008051DE" w:rsidRDefault="003B42B9" w:rsidP="00BE69D7">
            <w:pPr>
              <w:spacing w:line="300" w:lineRule="atLeast"/>
              <w:jc w:val="center"/>
              <w:rPr>
                <w:sz w:val="22"/>
                <w:szCs w:val="22"/>
              </w:rPr>
            </w:pPr>
          </w:p>
        </w:tc>
      </w:tr>
      <w:tr w:rsidR="003B42B9" w:rsidRPr="008051DE" w14:paraId="54E01E25" w14:textId="77777777" w:rsidTr="00BE69D7">
        <w:tc>
          <w:tcPr>
            <w:tcW w:w="534" w:type="dxa"/>
            <w:tcBorders>
              <w:right w:val="nil"/>
            </w:tcBorders>
            <w:shd w:val="clear" w:color="auto" w:fill="auto"/>
          </w:tcPr>
          <w:p w14:paraId="54A6C866"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1D62D250" w14:textId="77777777" w:rsidR="003B42B9" w:rsidRPr="008051DE" w:rsidRDefault="003B42B9" w:rsidP="00BE69D7">
            <w:pPr>
              <w:spacing w:line="300" w:lineRule="atLeast"/>
              <w:rPr>
                <w:sz w:val="22"/>
                <w:szCs w:val="22"/>
              </w:rPr>
            </w:pPr>
            <w:r w:rsidRPr="008051DE">
              <w:rPr>
                <w:sz w:val="22"/>
                <w:szCs w:val="22"/>
              </w:rPr>
              <w:t xml:space="preserve">Increased AST </w:t>
            </w:r>
          </w:p>
        </w:tc>
        <w:tc>
          <w:tcPr>
            <w:tcW w:w="2127" w:type="dxa"/>
            <w:shd w:val="clear" w:color="auto" w:fill="auto"/>
          </w:tcPr>
          <w:p w14:paraId="732B180F" w14:textId="77777777" w:rsidR="003B42B9" w:rsidRPr="008051DE" w:rsidRDefault="003B42B9" w:rsidP="00BE69D7">
            <w:pPr>
              <w:spacing w:line="300" w:lineRule="atLeast"/>
              <w:jc w:val="center"/>
              <w:rPr>
                <w:sz w:val="22"/>
                <w:szCs w:val="22"/>
              </w:rPr>
            </w:pPr>
            <w:r w:rsidRPr="008051DE">
              <w:rPr>
                <w:sz w:val="22"/>
                <w:szCs w:val="22"/>
              </w:rPr>
              <w:t>53</w:t>
            </w:r>
          </w:p>
        </w:tc>
        <w:tc>
          <w:tcPr>
            <w:tcW w:w="2085" w:type="dxa"/>
            <w:shd w:val="clear" w:color="auto" w:fill="auto"/>
          </w:tcPr>
          <w:p w14:paraId="5746DED9" w14:textId="77777777" w:rsidR="003B42B9" w:rsidRPr="008051DE" w:rsidRDefault="003B42B9" w:rsidP="00BE69D7">
            <w:pPr>
              <w:spacing w:line="300" w:lineRule="atLeast"/>
              <w:jc w:val="center"/>
              <w:rPr>
                <w:sz w:val="22"/>
                <w:szCs w:val="22"/>
              </w:rPr>
            </w:pPr>
            <w:r w:rsidRPr="008051DE">
              <w:rPr>
                <w:sz w:val="22"/>
                <w:szCs w:val="22"/>
              </w:rPr>
              <w:t>3.6</w:t>
            </w:r>
          </w:p>
        </w:tc>
      </w:tr>
      <w:tr w:rsidR="003B42B9" w:rsidRPr="008051DE" w14:paraId="74E7746D" w14:textId="77777777" w:rsidTr="00BE69D7">
        <w:tc>
          <w:tcPr>
            <w:tcW w:w="534" w:type="dxa"/>
            <w:tcBorders>
              <w:right w:val="nil"/>
            </w:tcBorders>
            <w:shd w:val="clear" w:color="auto" w:fill="auto"/>
          </w:tcPr>
          <w:p w14:paraId="34F16030"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2B03D6BF" w14:textId="77777777" w:rsidR="003B42B9" w:rsidRPr="008051DE" w:rsidRDefault="003B42B9" w:rsidP="00BE69D7">
            <w:pPr>
              <w:spacing w:line="300" w:lineRule="atLeast"/>
              <w:rPr>
                <w:sz w:val="22"/>
                <w:szCs w:val="22"/>
              </w:rPr>
            </w:pPr>
            <w:r w:rsidRPr="008051DE">
              <w:rPr>
                <w:sz w:val="22"/>
                <w:szCs w:val="22"/>
              </w:rPr>
              <w:t>Increased ALP</w:t>
            </w:r>
          </w:p>
        </w:tc>
        <w:tc>
          <w:tcPr>
            <w:tcW w:w="2127" w:type="dxa"/>
            <w:shd w:val="clear" w:color="auto" w:fill="auto"/>
          </w:tcPr>
          <w:p w14:paraId="4D5237E6" w14:textId="77777777" w:rsidR="003B42B9" w:rsidRPr="008051DE" w:rsidRDefault="003B42B9" w:rsidP="00BE69D7">
            <w:pPr>
              <w:spacing w:line="300" w:lineRule="atLeast"/>
              <w:jc w:val="center"/>
              <w:rPr>
                <w:sz w:val="22"/>
                <w:szCs w:val="22"/>
              </w:rPr>
            </w:pPr>
            <w:r w:rsidRPr="008051DE">
              <w:rPr>
                <w:sz w:val="22"/>
                <w:szCs w:val="22"/>
              </w:rPr>
              <w:t>50</w:t>
            </w:r>
          </w:p>
        </w:tc>
        <w:tc>
          <w:tcPr>
            <w:tcW w:w="2085" w:type="dxa"/>
            <w:shd w:val="clear" w:color="auto" w:fill="auto"/>
          </w:tcPr>
          <w:p w14:paraId="66375C94" w14:textId="77777777" w:rsidR="003B42B9" w:rsidRPr="008051DE" w:rsidRDefault="003B42B9" w:rsidP="00BE69D7">
            <w:pPr>
              <w:spacing w:line="300" w:lineRule="atLeast"/>
              <w:jc w:val="center"/>
              <w:rPr>
                <w:sz w:val="22"/>
                <w:szCs w:val="22"/>
              </w:rPr>
            </w:pPr>
            <w:r w:rsidRPr="008051DE">
              <w:rPr>
                <w:sz w:val="22"/>
                <w:szCs w:val="22"/>
              </w:rPr>
              <w:t>1.2</w:t>
            </w:r>
          </w:p>
        </w:tc>
      </w:tr>
      <w:tr w:rsidR="003B42B9" w:rsidRPr="008051DE" w14:paraId="0CD96992" w14:textId="77777777" w:rsidTr="00BE69D7">
        <w:tc>
          <w:tcPr>
            <w:tcW w:w="534" w:type="dxa"/>
            <w:tcBorders>
              <w:right w:val="nil"/>
            </w:tcBorders>
            <w:shd w:val="clear" w:color="auto" w:fill="auto"/>
          </w:tcPr>
          <w:p w14:paraId="6E6A718E"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04934D73" w14:textId="77777777" w:rsidR="003B42B9" w:rsidRPr="008051DE" w:rsidRDefault="003B42B9" w:rsidP="00BE69D7">
            <w:pPr>
              <w:spacing w:line="300" w:lineRule="atLeast"/>
              <w:rPr>
                <w:sz w:val="22"/>
                <w:szCs w:val="22"/>
              </w:rPr>
            </w:pPr>
            <w:r w:rsidRPr="008051DE">
              <w:rPr>
                <w:sz w:val="22"/>
                <w:szCs w:val="22"/>
              </w:rPr>
              <w:t xml:space="preserve">Increased </w:t>
            </w:r>
            <w:proofErr w:type="spellStart"/>
            <w:r w:rsidRPr="008051DE">
              <w:rPr>
                <w:sz w:val="22"/>
                <w:szCs w:val="22"/>
              </w:rPr>
              <w:t>CPK</w:t>
            </w:r>
            <w:r w:rsidRPr="008051DE">
              <w:rPr>
                <w:sz w:val="22"/>
                <w:szCs w:val="22"/>
                <w:vertAlign w:val="superscript"/>
              </w:rPr>
              <w:t>a</w:t>
            </w:r>
            <w:proofErr w:type="spellEnd"/>
          </w:p>
        </w:tc>
        <w:tc>
          <w:tcPr>
            <w:tcW w:w="2127" w:type="dxa"/>
            <w:shd w:val="clear" w:color="auto" w:fill="auto"/>
          </w:tcPr>
          <w:p w14:paraId="220EE7CE" w14:textId="77777777" w:rsidR="003B42B9" w:rsidRPr="008051DE" w:rsidDel="003C43CB" w:rsidRDefault="003B42B9" w:rsidP="00BE69D7">
            <w:pPr>
              <w:spacing w:line="300" w:lineRule="atLeast"/>
              <w:jc w:val="center"/>
              <w:rPr>
                <w:sz w:val="22"/>
                <w:szCs w:val="22"/>
              </w:rPr>
            </w:pPr>
            <w:r w:rsidRPr="008051DE">
              <w:rPr>
                <w:sz w:val="22"/>
                <w:szCs w:val="22"/>
              </w:rPr>
              <w:t>46</w:t>
            </w:r>
          </w:p>
        </w:tc>
        <w:tc>
          <w:tcPr>
            <w:tcW w:w="2085" w:type="dxa"/>
            <w:shd w:val="clear" w:color="auto" w:fill="auto"/>
          </w:tcPr>
          <w:p w14:paraId="30DF9810" w14:textId="77777777" w:rsidR="003B42B9" w:rsidRPr="008051DE" w:rsidDel="003C43CB" w:rsidRDefault="003B42B9" w:rsidP="00BE69D7">
            <w:pPr>
              <w:spacing w:line="300" w:lineRule="atLeast"/>
              <w:jc w:val="center"/>
              <w:rPr>
                <w:sz w:val="22"/>
                <w:szCs w:val="22"/>
              </w:rPr>
            </w:pPr>
            <w:r w:rsidRPr="008051DE">
              <w:rPr>
                <w:sz w:val="22"/>
                <w:szCs w:val="22"/>
              </w:rPr>
              <w:t>5.0</w:t>
            </w:r>
          </w:p>
        </w:tc>
      </w:tr>
      <w:tr w:rsidR="003B42B9" w:rsidRPr="008051DE" w14:paraId="05F73C35" w14:textId="77777777" w:rsidTr="00BE69D7">
        <w:tc>
          <w:tcPr>
            <w:tcW w:w="534" w:type="dxa"/>
            <w:tcBorders>
              <w:right w:val="nil"/>
            </w:tcBorders>
            <w:shd w:val="clear" w:color="auto" w:fill="auto"/>
          </w:tcPr>
          <w:p w14:paraId="0BB3ABA8"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06CD068E" w14:textId="77777777" w:rsidR="003B42B9" w:rsidRPr="008051DE" w:rsidRDefault="003B42B9" w:rsidP="00BE69D7">
            <w:pPr>
              <w:spacing w:line="300" w:lineRule="atLeast"/>
              <w:rPr>
                <w:sz w:val="22"/>
                <w:szCs w:val="22"/>
              </w:rPr>
            </w:pPr>
            <w:r w:rsidRPr="008051DE">
              <w:rPr>
                <w:sz w:val="22"/>
                <w:szCs w:val="22"/>
              </w:rPr>
              <w:t>Hyperbilirubinaemia</w:t>
            </w:r>
          </w:p>
        </w:tc>
        <w:tc>
          <w:tcPr>
            <w:tcW w:w="2127" w:type="dxa"/>
            <w:shd w:val="clear" w:color="auto" w:fill="auto"/>
          </w:tcPr>
          <w:p w14:paraId="028123BF" w14:textId="77777777" w:rsidR="003B42B9" w:rsidRPr="008051DE" w:rsidRDefault="003B42B9" w:rsidP="00BE69D7">
            <w:pPr>
              <w:spacing w:line="300" w:lineRule="atLeast"/>
              <w:jc w:val="center"/>
              <w:rPr>
                <w:sz w:val="22"/>
                <w:szCs w:val="22"/>
              </w:rPr>
            </w:pPr>
            <w:r w:rsidRPr="008051DE">
              <w:rPr>
                <w:sz w:val="22"/>
                <w:szCs w:val="22"/>
              </w:rPr>
              <w:t>42</w:t>
            </w:r>
          </w:p>
        </w:tc>
        <w:tc>
          <w:tcPr>
            <w:tcW w:w="2085" w:type="dxa"/>
            <w:shd w:val="clear" w:color="auto" w:fill="auto"/>
          </w:tcPr>
          <w:p w14:paraId="2F4505AB" w14:textId="77777777" w:rsidR="003B42B9" w:rsidRPr="008051DE" w:rsidRDefault="003B42B9" w:rsidP="00BE69D7">
            <w:pPr>
              <w:spacing w:line="300" w:lineRule="atLeast"/>
              <w:jc w:val="center"/>
              <w:rPr>
                <w:sz w:val="22"/>
                <w:szCs w:val="22"/>
              </w:rPr>
            </w:pPr>
            <w:r w:rsidRPr="008051DE">
              <w:rPr>
                <w:sz w:val="22"/>
                <w:szCs w:val="22"/>
              </w:rPr>
              <w:t>3.2</w:t>
            </w:r>
          </w:p>
        </w:tc>
      </w:tr>
      <w:tr w:rsidR="003B42B9" w:rsidRPr="008051DE" w14:paraId="12071639" w14:textId="77777777" w:rsidTr="00BE69D7">
        <w:tc>
          <w:tcPr>
            <w:tcW w:w="534" w:type="dxa"/>
            <w:tcBorders>
              <w:right w:val="nil"/>
            </w:tcBorders>
            <w:shd w:val="clear" w:color="auto" w:fill="auto"/>
          </w:tcPr>
          <w:p w14:paraId="78CD6184"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7A2301DB" w14:textId="77777777" w:rsidR="003B42B9" w:rsidRPr="008051DE" w:rsidRDefault="003B42B9" w:rsidP="00BE69D7">
            <w:pPr>
              <w:spacing w:line="300" w:lineRule="atLeast"/>
              <w:rPr>
                <w:sz w:val="22"/>
                <w:szCs w:val="22"/>
              </w:rPr>
            </w:pPr>
            <w:proofErr w:type="spellStart"/>
            <w:r w:rsidRPr="008051DE">
              <w:rPr>
                <w:sz w:val="22"/>
                <w:szCs w:val="22"/>
              </w:rPr>
              <w:t>Hyperglycaemia</w:t>
            </w:r>
            <w:r w:rsidRPr="008051DE">
              <w:rPr>
                <w:sz w:val="22"/>
                <w:szCs w:val="22"/>
                <w:vertAlign w:val="superscript"/>
              </w:rPr>
              <w:t>b</w:t>
            </w:r>
            <w:proofErr w:type="spellEnd"/>
          </w:p>
        </w:tc>
        <w:tc>
          <w:tcPr>
            <w:tcW w:w="2127" w:type="dxa"/>
            <w:shd w:val="clear" w:color="auto" w:fill="auto"/>
          </w:tcPr>
          <w:p w14:paraId="2C0B26F8" w14:textId="77777777" w:rsidR="003B42B9" w:rsidRPr="008051DE" w:rsidRDefault="003B42B9" w:rsidP="00BE69D7">
            <w:pPr>
              <w:spacing w:line="300" w:lineRule="atLeast"/>
              <w:jc w:val="center"/>
              <w:rPr>
                <w:sz w:val="22"/>
                <w:szCs w:val="22"/>
              </w:rPr>
            </w:pPr>
            <w:r w:rsidRPr="008051DE">
              <w:rPr>
                <w:sz w:val="22"/>
                <w:szCs w:val="22"/>
              </w:rPr>
              <w:t>40</w:t>
            </w:r>
          </w:p>
        </w:tc>
        <w:tc>
          <w:tcPr>
            <w:tcW w:w="2085" w:type="dxa"/>
            <w:shd w:val="clear" w:color="auto" w:fill="auto"/>
          </w:tcPr>
          <w:p w14:paraId="42E2CE09" w14:textId="77777777" w:rsidR="003B42B9" w:rsidRPr="008051DE" w:rsidRDefault="003B42B9" w:rsidP="00BE69D7">
            <w:pPr>
              <w:spacing w:line="300" w:lineRule="atLeast"/>
              <w:jc w:val="center"/>
              <w:rPr>
                <w:sz w:val="22"/>
                <w:szCs w:val="22"/>
              </w:rPr>
            </w:pPr>
            <w:r w:rsidRPr="008051DE">
              <w:rPr>
                <w:sz w:val="22"/>
                <w:szCs w:val="22"/>
              </w:rPr>
              <w:t>2.0</w:t>
            </w:r>
          </w:p>
        </w:tc>
      </w:tr>
      <w:tr w:rsidR="003B42B9" w:rsidRPr="008051DE" w14:paraId="037FB08F" w14:textId="77777777" w:rsidTr="00BE69D7">
        <w:tc>
          <w:tcPr>
            <w:tcW w:w="534" w:type="dxa"/>
            <w:tcBorders>
              <w:right w:val="nil"/>
            </w:tcBorders>
            <w:shd w:val="clear" w:color="auto" w:fill="auto"/>
          </w:tcPr>
          <w:p w14:paraId="34EC5236"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691AC2B9" w14:textId="77777777" w:rsidR="003B42B9" w:rsidRPr="008051DE" w:rsidRDefault="003B42B9" w:rsidP="00BE69D7">
            <w:pPr>
              <w:spacing w:line="300" w:lineRule="atLeast"/>
              <w:rPr>
                <w:sz w:val="22"/>
                <w:szCs w:val="22"/>
              </w:rPr>
            </w:pPr>
            <w:r w:rsidRPr="008051DE">
              <w:rPr>
                <w:sz w:val="22"/>
                <w:szCs w:val="22"/>
              </w:rPr>
              <w:t xml:space="preserve">Increased ALT </w:t>
            </w:r>
          </w:p>
        </w:tc>
        <w:tc>
          <w:tcPr>
            <w:tcW w:w="2127" w:type="dxa"/>
            <w:shd w:val="clear" w:color="auto" w:fill="auto"/>
          </w:tcPr>
          <w:p w14:paraId="42AD1CA2" w14:textId="77777777" w:rsidR="003B42B9" w:rsidRPr="008051DE" w:rsidRDefault="003B42B9" w:rsidP="00BE69D7">
            <w:pPr>
              <w:spacing w:line="300" w:lineRule="atLeast"/>
              <w:jc w:val="center"/>
              <w:rPr>
                <w:sz w:val="22"/>
                <w:szCs w:val="22"/>
              </w:rPr>
            </w:pPr>
            <w:r w:rsidRPr="008051DE">
              <w:rPr>
                <w:sz w:val="22"/>
                <w:szCs w:val="22"/>
              </w:rPr>
              <w:t>36</w:t>
            </w:r>
          </w:p>
        </w:tc>
        <w:tc>
          <w:tcPr>
            <w:tcW w:w="2085" w:type="dxa"/>
            <w:shd w:val="clear" w:color="auto" w:fill="auto"/>
          </w:tcPr>
          <w:p w14:paraId="06303C23" w14:textId="77777777" w:rsidR="003B42B9" w:rsidRPr="008051DE" w:rsidRDefault="003B42B9" w:rsidP="00BE69D7">
            <w:pPr>
              <w:spacing w:line="300" w:lineRule="atLeast"/>
              <w:jc w:val="center"/>
              <w:rPr>
                <w:sz w:val="22"/>
                <w:szCs w:val="22"/>
              </w:rPr>
            </w:pPr>
            <w:r w:rsidRPr="008051DE">
              <w:rPr>
                <w:sz w:val="22"/>
                <w:szCs w:val="22"/>
              </w:rPr>
              <w:t>4.8</w:t>
            </w:r>
          </w:p>
        </w:tc>
      </w:tr>
      <w:tr w:rsidR="003B42B9" w:rsidRPr="008051DE" w14:paraId="27E57366" w14:textId="77777777" w:rsidTr="00BE69D7">
        <w:tc>
          <w:tcPr>
            <w:tcW w:w="534" w:type="dxa"/>
            <w:tcBorders>
              <w:right w:val="nil"/>
            </w:tcBorders>
            <w:shd w:val="clear" w:color="auto" w:fill="auto"/>
          </w:tcPr>
          <w:p w14:paraId="54A50702"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5A0AC63F" w14:textId="77777777" w:rsidR="003B42B9" w:rsidRPr="008051DE" w:rsidRDefault="003B42B9" w:rsidP="00BE69D7">
            <w:pPr>
              <w:spacing w:line="300" w:lineRule="atLeast"/>
              <w:rPr>
                <w:sz w:val="22"/>
                <w:szCs w:val="22"/>
              </w:rPr>
            </w:pPr>
            <w:r w:rsidRPr="008051DE">
              <w:rPr>
                <w:sz w:val="22"/>
                <w:szCs w:val="22"/>
              </w:rPr>
              <w:t xml:space="preserve">Hypocalcaemia </w:t>
            </w:r>
          </w:p>
        </w:tc>
        <w:tc>
          <w:tcPr>
            <w:tcW w:w="2127" w:type="dxa"/>
            <w:shd w:val="clear" w:color="auto" w:fill="auto"/>
          </w:tcPr>
          <w:p w14:paraId="6A6435A7" w14:textId="77777777" w:rsidR="003B42B9" w:rsidRPr="008051DE" w:rsidRDefault="003B42B9" w:rsidP="00BE69D7">
            <w:pPr>
              <w:spacing w:line="300" w:lineRule="atLeast"/>
              <w:jc w:val="center"/>
              <w:rPr>
                <w:sz w:val="22"/>
                <w:szCs w:val="22"/>
              </w:rPr>
            </w:pPr>
            <w:r w:rsidRPr="008051DE">
              <w:rPr>
                <w:sz w:val="22"/>
                <w:szCs w:val="22"/>
              </w:rPr>
              <w:t>35</w:t>
            </w:r>
          </w:p>
        </w:tc>
        <w:tc>
          <w:tcPr>
            <w:tcW w:w="2085" w:type="dxa"/>
            <w:shd w:val="clear" w:color="auto" w:fill="auto"/>
          </w:tcPr>
          <w:p w14:paraId="216B2E8C" w14:textId="77777777" w:rsidR="003B42B9" w:rsidRPr="008051DE" w:rsidRDefault="003B42B9" w:rsidP="00BE69D7">
            <w:pPr>
              <w:spacing w:line="300" w:lineRule="atLeast"/>
              <w:jc w:val="center"/>
              <w:rPr>
                <w:sz w:val="22"/>
                <w:szCs w:val="22"/>
              </w:rPr>
            </w:pPr>
            <w:r w:rsidRPr="008051DE">
              <w:rPr>
                <w:sz w:val="22"/>
                <w:szCs w:val="22"/>
              </w:rPr>
              <w:t>0.4</w:t>
            </w:r>
          </w:p>
        </w:tc>
      </w:tr>
      <w:tr w:rsidR="003B42B9" w:rsidRPr="008051DE" w14:paraId="232788D2" w14:textId="77777777" w:rsidTr="00BE69D7">
        <w:tc>
          <w:tcPr>
            <w:tcW w:w="534" w:type="dxa"/>
            <w:tcBorders>
              <w:right w:val="nil"/>
            </w:tcBorders>
            <w:shd w:val="clear" w:color="auto" w:fill="auto"/>
          </w:tcPr>
          <w:p w14:paraId="2888CEEC"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2376F66C" w14:textId="77777777" w:rsidR="003B42B9" w:rsidRPr="008051DE" w:rsidDel="00922B76" w:rsidRDefault="003B42B9" w:rsidP="00BE69D7">
            <w:pPr>
              <w:spacing w:line="300" w:lineRule="atLeast"/>
              <w:rPr>
                <w:sz w:val="22"/>
                <w:szCs w:val="22"/>
              </w:rPr>
            </w:pPr>
            <w:r w:rsidRPr="008051DE">
              <w:rPr>
                <w:sz w:val="22"/>
                <w:szCs w:val="22"/>
              </w:rPr>
              <w:t>Hypokalaemia</w:t>
            </w:r>
          </w:p>
        </w:tc>
        <w:tc>
          <w:tcPr>
            <w:tcW w:w="2127" w:type="dxa"/>
            <w:shd w:val="clear" w:color="auto" w:fill="auto"/>
          </w:tcPr>
          <w:p w14:paraId="25D85A0A" w14:textId="77777777" w:rsidR="003B42B9" w:rsidRPr="008051DE" w:rsidDel="00922B76" w:rsidRDefault="003B42B9" w:rsidP="00BE69D7">
            <w:pPr>
              <w:spacing w:line="300" w:lineRule="atLeast"/>
              <w:jc w:val="center"/>
              <w:rPr>
                <w:sz w:val="22"/>
                <w:szCs w:val="22"/>
              </w:rPr>
            </w:pPr>
            <w:r w:rsidRPr="008051DE">
              <w:rPr>
                <w:sz w:val="22"/>
                <w:szCs w:val="22"/>
              </w:rPr>
              <w:t>31</w:t>
            </w:r>
          </w:p>
        </w:tc>
        <w:tc>
          <w:tcPr>
            <w:tcW w:w="2085" w:type="dxa"/>
            <w:shd w:val="clear" w:color="auto" w:fill="auto"/>
          </w:tcPr>
          <w:p w14:paraId="7802EC13" w14:textId="77777777" w:rsidR="003B42B9" w:rsidRPr="008051DE" w:rsidDel="00922B76" w:rsidRDefault="003B42B9" w:rsidP="00BE69D7">
            <w:pPr>
              <w:spacing w:line="300" w:lineRule="atLeast"/>
              <w:jc w:val="center"/>
              <w:rPr>
                <w:sz w:val="22"/>
                <w:szCs w:val="22"/>
              </w:rPr>
            </w:pPr>
            <w:r w:rsidRPr="008051DE">
              <w:rPr>
                <w:sz w:val="22"/>
                <w:szCs w:val="22"/>
              </w:rPr>
              <w:t>4.4</w:t>
            </w:r>
          </w:p>
        </w:tc>
      </w:tr>
      <w:tr w:rsidR="003B42B9" w:rsidRPr="008051DE" w14:paraId="52F8CDB6" w14:textId="77777777" w:rsidTr="00BE69D7">
        <w:tc>
          <w:tcPr>
            <w:tcW w:w="534" w:type="dxa"/>
            <w:tcBorders>
              <w:right w:val="nil"/>
            </w:tcBorders>
            <w:shd w:val="clear" w:color="auto" w:fill="auto"/>
          </w:tcPr>
          <w:p w14:paraId="3EB893C4"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4A0997E0" w14:textId="77777777" w:rsidR="003B42B9" w:rsidRPr="008051DE" w:rsidRDefault="003B42B9" w:rsidP="00BE69D7">
            <w:pPr>
              <w:spacing w:line="300" w:lineRule="atLeast"/>
              <w:rPr>
                <w:sz w:val="22"/>
                <w:szCs w:val="22"/>
              </w:rPr>
            </w:pPr>
            <w:r w:rsidRPr="008051DE">
              <w:rPr>
                <w:sz w:val="22"/>
                <w:szCs w:val="22"/>
              </w:rPr>
              <w:t xml:space="preserve">Increased </w:t>
            </w:r>
            <w:proofErr w:type="spellStart"/>
            <w:r w:rsidRPr="008051DE">
              <w:rPr>
                <w:sz w:val="22"/>
                <w:szCs w:val="22"/>
              </w:rPr>
              <w:t>creatinine</w:t>
            </w:r>
            <w:r w:rsidRPr="008051DE">
              <w:rPr>
                <w:sz w:val="22"/>
                <w:szCs w:val="22"/>
                <w:vertAlign w:val="superscript"/>
              </w:rPr>
              <w:t>c</w:t>
            </w:r>
            <w:proofErr w:type="spellEnd"/>
          </w:p>
        </w:tc>
        <w:tc>
          <w:tcPr>
            <w:tcW w:w="2127" w:type="dxa"/>
            <w:shd w:val="clear" w:color="auto" w:fill="auto"/>
          </w:tcPr>
          <w:p w14:paraId="6D1445C3" w14:textId="77777777" w:rsidR="003B42B9" w:rsidRPr="008051DE" w:rsidRDefault="003B42B9" w:rsidP="00BE69D7">
            <w:pPr>
              <w:spacing w:line="300" w:lineRule="atLeast"/>
              <w:jc w:val="center"/>
              <w:rPr>
                <w:sz w:val="22"/>
                <w:szCs w:val="22"/>
              </w:rPr>
            </w:pPr>
            <w:r w:rsidRPr="008051DE">
              <w:rPr>
                <w:sz w:val="22"/>
                <w:szCs w:val="22"/>
              </w:rPr>
              <w:t>31</w:t>
            </w:r>
          </w:p>
        </w:tc>
        <w:tc>
          <w:tcPr>
            <w:tcW w:w="2085" w:type="dxa"/>
            <w:shd w:val="clear" w:color="auto" w:fill="auto"/>
          </w:tcPr>
          <w:p w14:paraId="3DC53E6E" w14:textId="77777777" w:rsidR="003B42B9" w:rsidRPr="008051DE" w:rsidRDefault="003B42B9" w:rsidP="00BE69D7">
            <w:pPr>
              <w:spacing w:line="300" w:lineRule="atLeast"/>
              <w:jc w:val="center"/>
              <w:rPr>
                <w:sz w:val="22"/>
                <w:szCs w:val="22"/>
              </w:rPr>
            </w:pPr>
            <w:r w:rsidRPr="008051DE">
              <w:rPr>
                <w:sz w:val="22"/>
                <w:szCs w:val="22"/>
              </w:rPr>
              <w:t>0</w:t>
            </w:r>
          </w:p>
        </w:tc>
      </w:tr>
      <w:tr w:rsidR="003B42B9" w:rsidRPr="008051DE" w14:paraId="3666DB61" w14:textId="77777777" w:rsidTr="00BE69D7">
        <w:tc>
          <w:tcPr>
            <w:tcW w:w="534" w:type="dxa"/>
            <w:tcBorders>
              <w:right w:val="nil"/>
            </w:tcBorders>
            <w:shd w:val="clear" w:color="auto" w:fill="auto"/>
          </w:tcPr>
          <w:p w14:paraId="2DF8B176"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38BCB663" w14:textId="77777777" w:rsidR="003B42B9" w:rsidRPr="008051DE" w:rsidRDefault="003B42B9" w:rsidP="00BE69D7">
            <w:pPr>
              <w:spacing w:line="300" w:lineRule="atLeast"/>
              <w:rPr>
                <w:sz w:val="22"/>
                <w:szCs w:val="22"/>
              </w:rPr>
            </w:pPr>
            <w:r w:rsidRPr="008051DE">
              <w:rPr>
                <w:sz w:val="22"/>
                <w:szCs w:val="22"/>
              </w:rPr>
              <w:t>Hypophosphataemia</w:t>
            </w:r>
          </w:p>
        </w:tc>
        <w:tc>
          <w:tcPr>
            <w:tcW w:w="2127" w:type="dxa"/>
            <w:shd w:val="clear" w:color="auto" w:fill="auto"/>
          </w:tcPr>
          <w:p w14:paraId="3AADC87C" w14:textId="77777777" w:rsidR="003B42B9" w:rsidRPr="008051DE" w:rsidRDefault="003B42B9" w:rsidP="00BE69D7">
            <w:pPr>
              <w:spacing w:line="300" w:lineRule="atLeast"/>
              <w:jc w:val="center"/>
              <w:rPr>
                <w:sz w:val="22"/>
                <w:szCs w:val="22"/>
              </w:rPr>
            </w:pPr>
            <w:r w:rsidRPr="008051DE">
              <w:rPr>
                <w:sz w:val="22"/>
                <w:szCs w:val="22"/>
              </w:rPr>
              <w:t>23</w:t>
            </w:r>
          </w:p>
        </w:tc>
        <w:tc>
          <w:tcPr>
            <w:tcW w:w="2085" w:type="dxa"/>
            <w:shd w:val="clear" w:color="auto" w:fill="auto"/>
          </w:tcPr>
          <w:p w14:paraId="37F112B1" w14:textId="77777777" w:rsidR="003B42B9" w:rsidRPr="008051DE" w:rsidRDefault="003B42B9" w:rsidP="00BE69D7">
            <w:pPr>
              <w:spacing w:line="300" w:lineRule="atLeast"/>
              <w:jc w:val="center"/>
              <w:rPr>
                <w:sz w:val="22"/>
                <w:szCs w:val="22"/>
              </w:rPr>
            </w:pPr>
            <w:r w:rsidRPr="008051DE">
              <w:rPr>
                <w:sz w:val="22"/>
                <w:szCs w:val="22"/>
              </w:rPr>
              <w:t>3.2</w:t>
            </w:r>
          </w:p>
        </w:tc>
      </w:tr>
      <w:tr w:rsidR="003B42B9" w:rsidRPr="008051DE" w14:paraId="605BABEA" w14:textId="77777777" w:rsidTr="00BE69D7">
        <w:tc>
          <w:tcPr>
            <w:tcW w:w="534" w:type="dxa"/>
            <w:tcBorders>
              <w:right w:val="nil"/>
            </w:tcBorders>
            <w:shd w:val="clear" w:color="auto" w:fill="auto"/>
          </w:tcPr>
          <w:p w14:paraId="22FAF23B"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102B7AAF" w14:textId="77777777" w:rsidR="003B42B9" w:rsidRPr="008051DE" w:rsidRDefault="003B42B9" w:rsidP="00BE69D7">
            <w:pPr>
              <w:spacing w:line="300" w:lineRule="atLeast"/>
              <w:rPr>
                <w:sz w:val="22"/>
                <w:szCs w:val="22"/>
              </w:rPr>
            </w:pPr>
            <w:r w:rsidRPr="008051DE">
              <w:rPr>
                <w:sz w:val="22"/>
                <w:szCs w:val="22"/>
              </w:rPr>
              <w:t>Hyponatraemia</w:t>
            </w:r>
          </w:p>
        </w:tc>
        <w:tc>
          <w:tcPr>
            <w:tcW w:w="2127" w:type="dxa"/>
            <w:shd w:val="clear" w:color="auto" w:fill="auto"/>
          </w:tcPr>
          <w:p w14:paraId="6F0E365B" w14:textId="77777777" w:rsidR="003B42B9" w:rsidRPr="008051DE" w:rsidRDefault="003B42B9" w:rsidP="00BE69D7">
            <w:pPr>
              <w:spacing w:line="300" w:lineRule="atLeast"/>
              <w:jc w:val="center"/>
              <w:rPr>
                <w:sz w:val="22"/>
                <w:szCs w:val="22"/>
              </w:rPr>
            </w:pPr>
            <w:r w:rsidRPr="008051DE">
              <w:rPr>
                <w:sz w:val="22"/>
                <w:szCs w:val="22"/>
              </w:rPr>
              <w:t>25</w:t>
            </w:r>
          </w:p>
        </w:tc>
        <w:tc>
          <w:tcPr>
            <w:tcW w:w="2085" w:type="dxa"/>
            <w:shd w:val="clear" w:color="auto" w:fill="auto"/>
          </w:tcPr>
          <w:p w14:paraId="0F483666" w14:textId="77777777" w:rsidR="003B42B9" w:rsidRPr="008051DE" w:rsidRDefault="003B42B9" w:rsidP="00BE69D7">
            <w:pPr>
              <w:spacing w:line="300" w:lineRule="atLeast"/>
              <w:jc w:val="center"/>
              <w:rPr>
                <w:sz w:val="22"/>
                <w:szCs w:val="22"/>
              </w:rPr>
            </w:pPr>
            <w:r w:rsidRPr="008051DE">
              <w:rPr>
                <w:sz w:val="22"/>
                <w:szCs w:val="22"/>
              </w:rPr>
              <w:t>2.0</w:t>
            </w:r>
          </w:p>
        </w:tc>
      </w:tr>
      <w:tr w:rsidR="003B42B9" w:rsidRPr="008051DE" w14:paraId="7D0D5D56" w14:textId="77777777" w:rsidTr="00BE69D7">
        <w:tc>
          <w:tcPr>
            <w:tcW w:w="4644" w:type="dxa"/>
            <w:gridSpan w:val="2"/>
            <w:shd w:val="clear" w:color="auto" w:fill="auto"/>
          </w:tcPr>
          <w:p w14:paraId="37DF0713" w14:textId="77777777" w:rsidR="003B42B9" w:rsidRPr="008051DE" w:rsidRDefault="003B42B9" w:rsidP="00BE69D7">
            <w:pPr>
              <w:spacing w:line="300" w:lineRule="atLeast"/>
              <w:rPr>
                <w:b/>
                <w:sz w:val="22"/>
                <w:szCs w:val="22"/>
              </w:rPr>
            </w:pPr>
            <w:r w:rsidRPr="008051DE">
              <w:rPr>
                <w:b/>
                <w:sz w:val="22"/>
                <w:szCs w:val="22"/>
              </w:rPr>
              <w:t>Haematology</w:t>
            </w:r>
          </w:p>
        </w:tc>
        <w:tc>
          <w:tcPr>
            <w:tcW w:w="2127" w:type="dxa"/>
            <w:shd w:val="clear" w:color="auto" w:fill="auto"/>
          </w:tcPr>
          <w:p w14:paraId="021F404B" w14:textId="77777777" w:rsidR="003B42B9" w:rsidRPr="008051DE" w:rsidRDefault="003B42B9" w:rsidP="00BE69D7">
            <w:pPr>
              <w:spacing w:line="300" w:lineRule="atLeast"/>
              <w:jc w:val="center"/>
              <w:rPr>
                <w:sz w:val="22"/>
                <w:szCs w:val="22"/>
              </w:rPr>
            </w:pPr>
          </w:p>
        </w:tc>
        <w:tc>
          <w:tcPr>
            <w:tcW w:w="2085" w:type="dxa"/>
            <w:shd w:val="clear" w:color="auto" w:fill="auto"/>
          </w:tcPr>
          <w:p w14:paraId="03F22F4D" w14:textId="77777777" w:rsidR="003B42B9" w:rsidRPr="008051DE" w:rsidRDefault="003B42B9" w:rsidP="00BE69D7">
            <w:pPr>
              <w:spacing w:line="300" w:lineRule="atLeast"/>
              <w:jc w:val="center"/>
              <w:rPr>
                <w:sz w:val="22"/>
                <w:szCs w:val="22"/>
              </w:rPr>
            </w:pPr>
          </w:p>
        </w:tc>
      </w:tr>
      <w:tr w:rsidR="003B42B9" w:rsidRPr="008051DE" w14:paraId="13C0B4DE" w14:textId="77777777" w:rsidTr="00BE69D7">
        <w:tc>
          <w:tcPr>
            <w:tcW w:w="534" w:type="dxa"/>
            <w:tcBorders>
              <w:right w:val="nil"/>
            </w:tcBorders>
            <w:shd w:val="clear" w:color="auto" w:fill="auto"/>
          </w:tcPr>
          <w:p w14:paraId="04C29E34" w14:textId="77777777" w:rsidR="003B42B9" w:rsidRPr="008051DE" w:rsidRDefault="003B42B9" w:rsidP="00BE69D7">
            <w:pPr>
              <w:spacing w:line="300" w:lineRule="atLeast"/>
              <w:rPr>
                <w:sz w:val="22"/>
                <w:szCs w:val="22"/>
              </w:rPr>
            </w:pPr>
          </w:p>
        </w:tc>
        <w:tc>
          <w:tcPr>
            <w:tcW w:w="4110" w:type="dxa"/>
            <w:tcBorders>
              <w:left w:val="nil"/>
            </w:tcBorders>
            <w:shd w:val="clear" w:color="auto" w:fill="auto"/>
          </w:tcPr>
          <w:p w14:paraId="393BDFB9" w14:textId="77777777" w:rsidR="003B42B9" w:rsidRPr="008051DE" w:rsidRDefault="003B42B9" w:rsidP="00BE69D7">
            <w:pPr>
              <w:spacing w:line="300" w:lineRule="atLeast"/>
              <w:rPr>
                <w:sz w:val="22"/>
                <w:szCs w:val="22"/>
              </w:rPr>
            </w:pPr>
            <w:r w:rsidRPr="008051DE">
              <w:rPr>
                <w:sz w:val="22"/>
                <w:szCs w:val="22"/>
              </w:rPr>
              <w:t>Anaemia</w:t>
            </w:r>
          </w:p>
        </w:tc>
        <w:tc>
          <w:tcPr>
            <w:tcW w:w="2127" w:type="dxa"/>
            <w:shd w:val="clear" w:color="auto" w:fill="auto"/>
          </w:tcPr>
          <w:p w14:paraId="490283D7" w14:textId="77777777" w:rsidR="003B42B9" w:rsidRPr="008051DE" w:rsidRDefault="003B42B9" w:rsidP="00BE69D7">
            <w:pPr>
              <w:spacing w:line="300" w:lineRule="atLeast"/>
              <w:jc w:val="center"/>
              <w:rPr>
                <w:sz w:val="22"/>
                <w:szCs w:val="22"/>
              </w:rPr>
            </w:pPr>
            <w:r w:rsidRPr="008051DE">
              <w:rPr>
                <w:sz w:val="22"/>
                <w:szCs w:val="22"/>
              </w:rPr>
              <w:t>60</w:t>
            </w:r>
          </w:p>
        </w:tc>
        <w:tc>
          <w:tcPr>
            <w:tcW w:w="2085" w:type="dxa"/>
            <w:shd w:val="clear" w:color="auto" w:fill="auto"/>
          </w:tcPr>
          <w:p w14:paraId="00889B76" w14:textId="77777777" w:rsidR="003B42B9" w:rsidRPr="008051DE" w:rsidRDefault="003B42B9" w:rsidP="00BE69D7">
            <w:pPr>
              <w:spacing w:line="300" w:lineRule="atLeast"/>
              <w:jc w:val="center"/>
              <w:rPr>
                <w:sz w:val="22"/>
                <w:szCs w:val="22"/>
              </w:rPr>
            </w:pPr>
            <w:r w:rsidRPr="008051DE">
              <w:rPr>
                <w:sz w:val="22"/>
                <w:szCs w:val="22"/>
              </w:rPr>
              <w:t>2.0</w:t>
            </w:r>
          </w:p>
        </w:tc>
      </w:tr>
      <w:tr w:rsidR="003B42B9" w:rsidRPr="008051DE" w14:paraId="58B1EE41" w14:textId="77777777" w:rsidTr="00BE69D7">
        <w:tc>
          <w:tcPr>
            <w:tcW w:w="534" w:type="dxa"/>
            <w:tcBorders>
              <w:bottom w:val="single" w:sz="4" w:space="0" w:color="auto"/>
              <w:right w:val="nil"/>
            </w:tcBorders>
            <w:shd w:val="clear" w:color="auto" w:fill="auto"/>
          </w:tcPr>
          <w:p w14:paraId="62E76890" w14:textId="77777777" w:rsidR="003B42B9" w:rsidRPr="008051DE" w:rsidRDefault="003B42B9" w:rsidP="00BE69D7">
            <w:pPr>
              <w:spacing w:line="300" w:lineRule="atLeast"/>
              <w:rPr>
                <w:sz w:val="22"/>
                <w:szCs w:val="22"/>
              </w:rPr>
            </w:pPr>
          </w:p>
        </w:tc>
        <w:tc>
          <w:tcPr>
            <w:tcW w:w="4110" w:type="dxa"/>
            <w:tcBorders>
              <w:left w:val="nil"/>
              <w:bottom w:val="single" w:sz="4" w:space="0" w:color="auto"/>
            </w:tcBorders>
            <w:shd w:val="clear" w:color="auto" w:fill="auto"/>
          </w:tcPr>
          <w:p w14:paraId="62A33F54" w14:textId="77777777" w:rsidR="003B42B9" w:rsidRPr="008051DE" w:rsidDel="003D4E4F" w:rsidRDefault="003B42B9" w:rsidP="00BE69D7">
            <w:pPr>
              <w:spacing w:line="300" w:lineRule="atLeast"/>
              <w:rPr>
                <w:sz w:val="22"/>
                <w:szCs w:val="22"/>
              </w:rPr>
            </w:pPr>
            <w:proofErr w:type="spellStart"/>
            <w:r w:rsidRPr="008051DE">
              <w:rPr>
                <w:sz w:val="22"/>
                <w:szCs w:val="22"/>
              </w:rPr>
              <w:t>Lymphopenia</w:t>
            </w:r>
            <w:r w:rsidRPr="008051DE">
              <w:rPr>
                <w:sz w:val="22"/>
                <w:szCs w:val="22"/>
                <w:vertAlign w:val="superscript"/>
              </w:rPr>
              <w:t>d</w:t>
            </w:r>
            <w:proofErr w:type="spellEnd"/>
          </w:p>
        </w:tc>
        <w:tc>
          <w:tcPr>
            <w:tcW w:w="2127" w:type="dxa"/>
            <w:tcBorders>
              <w:bottom w:val="single" w:sz="4" w:space="0" w:color="auto"/>
            </w:tcBorders>
            <w:shd w:val="clear" w:color="auto" w:fill="auto"/>
          </w:tcPr>
          <w:p w14:paraId="2BC167F6" w14:textId="77777777" w:rsidR="003B42B9" w:rsidRPr="008051DE" w:rsidRDefault="003B42B9" w:rsidP="00BE69D7">
            <w:pPr>
              <w:spacing w:line="300" w:lineRule="atLeast"/>
              <w:jc w:val="center"/>
              <w:rPr>
                <w:sz w:val="22"/>
                <w:szCs w:val="22"/>
              </w:rPr>
            </w:pPr>
            <w:r w:rsidRPr="008051DE">
              <w:rPr>
                <w:sz w:val="22"/>
                <w:szCs w:val="22"/>
              </w:rPr>
              <w:t>25</w:t>
            </w:r>
          </w:p>
        </w:tc>
        <w:tc>
          <w:tcPr>
            <w:tcW w:w="2085" w:type="dxa"/>
            <w:tcBorders>
              <w:bottom w:val="single" w:sz="4" w:space="0" w:color="auto"/>
            </w:tcBorders>
            <w:shd w:val="clear" w:color="auto" w:fill="auto"/>
          </w:tcPr>
          <w:p w14:paraId="35BE182B" w14:textId="77777777" w:rsidR="003B42B9" w:rsidRPr="008051DE" w:rsidRDefault="003B42B9" w:rsidP="00BE69D7">
            <w:pPr>
              <w:spacing w:line="300" w:lineRule="atLeast"/>
              <w:jc w:val="center"/>
              <w:rPr>
                <w:sz w:val="22"/>
                <w:szCs w:val="22"/>
              </w:rPr>
            </w:pPr>
            <w:r w:rsidRPr="008051DE">
              <w:rPr>
                <w:sz w:val="22"/>
                <w:szCs w:val="22"/>
              </w:rPr>
              <w:t>4.6</w:t>
            </w:r>
          </w:p>
        </w:tc>
      </w:tr>
    </w:tbl>
    <w:p w14:paraId="3D0E1C24" w14:textId="77777777" w:rsidR="0089233D" w:rsidRPr="00D138DF" w:rsidRDefault="0089233D" w:rsidP="0089233D">
      <w:pPr>
        <w:spacing w:before="20"/>
        <w:rPr>
          <w:sz w:val="22"/>
        </w:rPr>
      </w:pPr>
      <w:r w:rsidRPr="00D138DF">
        <w:rPr>
          <w:sz w:val="22"/>
        </w:rPr>
        <w:t>AST=aspartate aminotransferase; ALP=alkaline phosphatase; CPK=creatine phosphokinase; ALT=alanine aminotransferase</w:t>
      </w:r>
    </w:p>
    <w:p w14:paraId="615A5376" w14:textId="77777777" w:rsidR="0089233D" w:rsidRPr="0089233D" w:rsidRDefault="0089233D" w:rsidP="0089233D">
      <w:pPr>
        <w:ind w:left="284" w:hanging="284"/>
        <w:rPr>
          <w:sz w:val="22"/>
        </w:rPr>
      </w:pPr>
      <w:r w:rsidRPr="00D138DF">
        <w:rPr>
          <w:sz w:val="22"/>
          <w:vertAlign w:val="superscript"/>
        </w:rPr>
        <w:t>*</w:t>
      </w:r>
      <w:r>
        <w:rPr>
          <w:sz w:val="22"/>
        </w:rPr>
        <w:tab/>
      </w:r>
      <w:r w:rsidRPr="0089233D">
        <w:rPr>
          <w:sz w:val="22"/>
        </w:rPr>
        <w:t>Per CTCAE version 4.0</w:t>
      </w:r>
    </w:p>
    <w:p w14:paraId="6140D385" w14:textId="77777777" w:rsidR="0089233D" w:rsidRPr="0089233D" w:rsidRDefault="0089233D" w:rsidP="0089233D">
      <w:pPr>
        <w:ind w:left="284" w:hanging="284"/>
        <w:rPr>
          <w:sz w:val="22"/>
        </w:rPr>
      </w:pPr>
      <w:proofErr w:type="gramStart"/>
      <w:r w:rsidRPr="00D138DF">
        <w:rPr>
          <w:sz w:val="22"/>
          <w:vertAlign w:val="superscript"/>
        </w:rPr>
        <w:t>a</w:t>
      </w:r>
      <w:proofErr w:type="gramEnd"/>
      <w:r w:rsidRPr="0089233D">
        <w:rPr>
          <w:sz w:val="22"/>
        </w:rPr>
        <w:t xml:space="preserve"> </w:t>
      </w:r>
      <w:r>
        <w:rPr>
          <w:sz w:val="22"/>
        </w:rPr>
        <w:tab/>
      </w:r>
      <w:r w:rsidRPr="0089233D">
        <w:rPr>
          <w:sz w:val="22"/>
        </w:rPr>
        <w:t>n=219 for CPK (baseline values missing for 92 patients, presumed normal in generating statistics)</w:t>
      </w:r>
    </w:p>
    <w:p w14:paraId="0EFF869C" w14:textId="77777777" w:rsidR="0089233D" w:rsidRPr="0089233D" w:rsidRDefault="0089233D" w:rsidP="0089233D">
      <w:pPr>
        <w:ind w:left="284" w:hanging="284"/>
        <w:rPr>
          <w:sz w:val="22"/>
        </w:rPr>
      </w:pPr>
      <w:proofErr w:type="gramStart"/>
      <w:r w:rsidRPr="00D138DF">
        <w:rPr>
          <w:sz w:val="22"/>
          <w:vertAlign w:val="superscript"/>
        </w:rPr>
        <w:t>b</w:t>
      </w:r>
      <w:proofErr w:type="gramEnd"/>
      <w:r w:rsidRPr="0089233D">
        <w:rPr>
          <w:sz w:val="22"/>
        </w:rPr>
        <w:t xml:space="preserve"> </w:t>
      </w:r>
      <w:r>
        <w:rPr>
          <w:sz w:val="22"/>
        </w:rPr>
        <w:tab/>
      </w:r>
      <w:r w:rsidRPr="0089233D">
        <w:rPr>
          <w:sz w:val="22"/>
        </w:rPr>
        <w:t>n=152 for fasting blood glucose (baseline values missing for 5 patients)</w:t>
      </w:r>
    </w:p>
    <w:p w14:paraId="7BDBDAB9" w14:textId="77777777" w:rsidR="0089233D" w:rsidRPr="0089233D" w:rsidRDefault="0089233D" w:rsidP="0089233D">
      <w:pPr>
        <w:ind w:left="284" w:hanging="284"/>
        <w:rPr>
          <w:sz w:val="22"/>
        </w:rPr>
      </w:pPr>
      <w:proofErr w:type="gramStart"/>
      <w:r w:rsidRPr="00D138DF">
        <w:rPr>
          <w:sz w:val="22"/>
          <w:vertAlign w:val="superscript"/>
        </w:rPr>
        <w:t>c</w:t>
      </w:r>
      <w:proofErr w:type="gramEnd"/>
      <w:r w:rsidRPr="0089233D">
        <w:rPr>
          <w:sz w:val="22"/>
        </w:rPr>
        <w:t xml:space="preserve"> </w:t>
      </w:r>
      <w:r>
        <w:rPr>
          <w:sz w:val="22"/>
        </w:rPr>
        <w:tab/>
      </w:r>
      <w:r w:rsidRPr="0089233D">
        <w:rPr>
          <w:sz w:val="22"/>
        </w:rPr>
        <w:t>According to CTCAE criteria based on ULN, and not baseline values</w:t>
      </w:r>
    </w:p>
    <w:p w14:paraId="3C62D30F" w14:textId="77777777" w:rsidR="0089233D" w:rsidRPr="0089233D" w:rsidRDefault="0089233D" w:rsidP="0089233D">
      <w:pPr>
        <w:ind w:left="284" w:hanging="284"/>
        <w:rPr>
          <w:sz w:val="22"/>
        </w:rPr>
      </w:pPr>
      <w:proofErr w:type="gramStart"/>
      <w:r w:rsidRPr="00D138DF">
        <w:rPr>
          <w:sz w:val="22"/>
          <w:vertAlign w:val="superscript"/>
        </w:rPr>
        <w:t>d</w:t>
      </w:r>
      <w:proofErr w:type="gramEnd"/>
      <w:r w:rsidRPr="0089233D">
        <w:rPr>
          <w:sz w:val="22"/>
        </w:rPr>
        <w:t xml:space="preserve"> </w:t>
      </w:r>
      <w:r>
        <w:rPr>
          <w:sz w:val="22"/>
        </w:rPr>
        <w:tab/>
      </w:r>
      <w:r w:rsidRPr="0089233D">
        <w:rPr>
          <w:sz w:val="22"/>
        </w:rPr>
        <w:t>n=218 for lymphocyte count (with baseline values missing for 6 of these patients)</w:t>
      </w:r>
    </w:p>
    <w:p w14:paraId="3647B700" w14:textId="77777777" w:rsidR="003B42B9" w:rsidRDefault="003B42B9" w:rsidP="00326AAA">
      <w:pPr>
        <w:pStyle w:val="Heading3"/>
        <w:keepNext/>
      </w:pPr>
      <w:r>
        <w:lastRenderedPageBreak/>
        <w:t>Post-Marketing</w:t>
      </w:r>
    </w:p>
    <w:p w14:paraId="78443897" w14:textId="77777777" w:rsidR="007F521A" w:rsidRDefault="007F521A" w:rsidP="00326AAA">
      <w:pPr>
        <w:keepNext/>
      </w:pPr>
    </w:p>
    <w:p w14:paraId="6C3BDE88" w14:textId="77777777" w:rsidR="003B42B9" w:rsidRPr="00B94AD2" w:rsidRDefault="003B42B9" w:rsidP="003B42B9">
      <w:r w:rsidRPr="00B94AD2">
        <w:t xml:space="preserve">The adverse </w:t>
      </w:r>
      <w:r>
        <w:t xml:space="preserve">drug </w:t>
      </w:r>
      <w:r w:rsidRPr="00B94AD2">
        <w:t>reaction of increased alkaline phosphatase was reported with Alecen</w:t>
      </w:r>
      <w:r>
        <w:t>sa in the post-marketing period</w:t>
      </w:r>
      <w:r w:rsidRPr="00B94AD2">
        <w:t xml:space="preserve">. Cases of increased alkaline phosphatase have been reported in Alecensa clinical trials (7.5% in patients treated with Alecensa in </w:t>
      </w:r>
      <w:r>
        <w:t>P</w:t>
      </w:r>
      <w:r w:rsidRPr="00B94AD2">
        <w:t xml:space="preserve">hase </w:t>
      </w:r>
      <w:r>
        <w:t>I/</w:t>
      </w:r>
      <w:r w:rsidRPr="00B94AD2">
        <w:t xml:space="preserve">II clinical trials </w:t>
      </w:r>
      <w:r>
        <w:t xml:space="preserve">- </w:t>
      </w:r>
      <w:r w:rsidRPr="00B94AD2">
        <w:t>Studies 1 and 2</w:t>
      </w:r>
      <w:r>
        <w:t>).</w:t>
      </w:r>
    </w:p>
    <w:p w14:paraId="4FD4F3FA" w14:textId="77777777" w:rsidR="00CF0BB2" w:rsidRPr="006F052E" w:rsidRDefault="00CF0BB2" w:rsidP="00CF0BB2">
      <w:pPr>
        <w:pStyle w:val="Heading3"/>
      </w:pPr>
      <w:r w:rsidRPr="006F052E">
        <w:t>Reporting of suspected adverse reactions</w:t>
      </w:r>
    </w:p>
    <w:p w14:paraId="37A09F4E" w14:textId="77777777" w:rsidR="00CF0BB2" w:rsidRDefault="00CF0BB2" w:rsidP="00CF0BB2"/>
    <w:p w14:paraId="280C32E0" w14:textId="77777777" w:rsidR="00CF0BB2" w:rsidRPr="00E21CCD" w:rsidRDefault="00CF0BB2" w:rsidP="00CF0BB2">
      <w:pPr>
        <w:rPr>
          <w:u w:val="single"/>
        </w:rPr>
      </w:pPr>
      <w:r w:rsidRPr="00E21CCD">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7F521A">
          <w:rPr>
            <w:rStyle w:val="Hyperlink"/>
            <w:color w:val="auto"/>
            <w:u w:val="none"/>
          </w:rPr>
          <w:t>https://www.tga.gov.au/reporting-problems</w:t>
        </w:r>
      </w:hyperlink>
      <w:r>
        <w:t>.</w:t>
      </w:r>
    </w:p>
    <w:p w14:paraId="77089669" w14:textId="77777777" w:rsidR="00D52399" w:rsidRDefault="00615052" w:rsidP="00CF0BB2">
      <w:pPr>
        <w:pStyle w:val="Heading2"/>
        <w:ind w:left="0" w:firstLine="0"/>
      </w:pPr>
      <w:r>
        <w:t>4.9</w:t>
      </w:r>
      <w:r>
        <w:tab/>
      </w:r>
      <w:r w:rsidR="003B42B9">
        <w:t>OVERDOSE</w:t>
      </w:r>
      <w:r>
        <w:t xml:space="preserve"> </w:t>
      </w:r>
    </w:p>
    <w:p w14:paraId="1F7F2E96" w14:textId="77777777" w:rsidR="00CF0BB2" w:rsidRDefault="00CF0BB2" w:rsidP="00CF0BB2"/>
    <w:p w14:paraId="6D2AEE75" w14:textId="77777777" w:rsidR="00CF0BB2" w:rsidRPr="007877AA" w:rsidRDefault="00CF0BB2" w:rsidP="00CF0BB2">
      <w:pPr>
        <w:rPr>
          <w:lang w:val="en-GB"/>
        </w:rPr>
      </w:pPr>
      <w:r w:rsidRPr="009F451E">
        <w:t xml:space="preserve">No experience with </w:t>
      </w:r>
      <w:proofErr w:type="spellStart"/>
      <w:r w:rsidRPr="009F451E">
        <w:t>overdosage</w:t>
      </w:r>
      <w:proofErr w:type="spellEnd"/>
      <w:r w:rsidRPr="009F451E">
        <w:t xml:space="preserve"> is available from the pivotal clinical trials</w:t>
      </w:r>
      <w:r>
        <w:t xml:space="preserve"> and there is no specific antidote for </w:t>
      </w:r>
      <w:proofErr w:type="spellStart"/>
      <w:r>
        <w:t>overdosage</w:t>
      </w:r>
      <w:proofErr w:type="spellEnd"/>
      <w:r>
        <w:t xml:space="preserve"> with </w:t>
      </w:r>
      <w:proofErr w:type="spellStart"/>
      <w:r>
        <w:t>Alecensa</w:t>
      </w:r>
      <w:proofErr w:type="spellEnd"/>
      <w:r w:rsidRPr="007877AA">
        <w:rPr>
          <w:lang w:val="en-GB"/>
        </w:rPr>
        <w:t xml:space="preserve">. </w:t>
      </w:r>
      <w:r w:rsidRPr="009F451E">
        <w:t>Patients who experience overdose should be closely supervised</w:t>
      </w:r>
      <w:r w:rsidRPr="007877AA">
        <w:rPr>
          <w:lang w:val="en-GB"/>
        </w:rPr>
        <w:t xml:space="preserve"> and supportive care instituted. </w:t>
      </w:r>
      <w:r>
        <w:rPr>
          <w:lang w:val="en-GB"/>
        </w:rPr>
        <w:t xml:space="preserve">Alectinib is &gt;99% bound to plasma proteins and haemodialysis is likely to be ineffective in the treatment of overdose. </w:t>
      </w:r>
    </w:p>
    <w:p w14:paraId="230AE0A9" w14:textId="77777777" w:rsidR="00CF0BB2" w:rsidRDefault="00CF0BB2" w:rsidP="00CF0BB2"/>
    <w:p w14:paraId="73598B6F" w14:textId="77777777" w:rsidR="00CF0BB2" w:rsidRDefault="00CF0BB2" w:rsidP="00CF0BB2">
      <w:r w:rsidRPr="00B96372">
        <w:t>For information on the management of overdose, contact the Poison Information Centre on 131126 (Australia).</w:t>
      </w:r>
    </w:p>
    <w:p w14:paraId="4D470B92" w14:textId="77777777" w:rsidR="00D52399" w:rsidRDefault="00615052">
      <w:pPr>
        <w:pStyle w:val="Heading1"/>
        <w:numPr>
          <w:ilvl w:val="0"/>
          <w:numId w:val="2"/>
        </w:numPr>
      </w:pPr>
      <w:r>
        <w:t>PHARMACOLOGICAL PROPERTIES</w:t>
      </w:r>
    </w:p>
    <w:p w14:paraId="3993CFC2" w14:textId="77777777" w:rsidR="00D52399" w:rsidRDefault="002D203E" w:rsidP="002D203E">
      <w:pPr>
        <w:pStyle w:val="Heading2"/>
        <w:ind w:left="0" w:firstLine="0"/>
      </w:pPr>
      <w:r>
        <w:t>5.1</w:t>
      </w:r>
      <w:r>
        <w:tab/>
      </w:r>
      <w:r w:rsidR="00CF0BB2">
        <w:t>PHARMACODYNAMIC PROPERTIES</w:t>
      </w:r>
    </w:p>
    <w:p w14:paraId="769618A5" w14:textId="77777777" w:rsidR="00D52399" w:rsidRDefault="00615052">
      <w:pPr>
        <w:pStyle w:val="Heading3"/>
      </w:pPr>
      <w:r>
        <w:t>Mechanism of Action</w:t>
      </w:r>
    </w:p>
    <w:p w14:paraId="773C639B" w14:textId="77777777" w:rsidR="00CF0BB2" w:rsidRDefault="00CF0BB2" w:rsidP="00CF0BB2"/>
    <w:p w14:paraId="62C62047" w14:textId="77777777" w:rsidR="00CF0BB2" w:rsidRDefault="00CF0BB2" w:rsidP="00CF0BB2">
      <w:r>
        <w:t>Alectinib is a tyrosine kinase inhibitor that targets anaplastic lymphoma kinase (ALK) and Rearranged during Transfection (RET) tyrosine kinase.</w:t>
      </w:r>
    </w:p>
    <w:p w14:paraId="65D11E14" w14:textId="77777777" w:rsidR="00CF0BB2" w:rsidRDefault="00CF0BB2" w:rsidP="00CF0BB2"/>
    <w:p w14:paraId="227BE0C0" w14:textId="77777777" w:rsidR="00CF0BB2" w:rsidRDefault="00CF0BB2" w:rsidP="00CF0BB2">
      <w:r w:rsidRPr="00AB7226">
        <w:t xml:space="preserve">In </w:t>
      </w:r>
      <w:r>
        <w:t>nonclinical</w:t>
      </w:r>
      <w:r w:rsidRPr="00AB7226">
        <w:t xml:space="preserve"> studies, </w:t>
      </w:r>
      <w:r>
        <w:t xml:space="preserve">alectinib inhibits </w:t>
      </w:r>
      <w:r w:rsidRPr="00AB7226">
        <w:t>ALK tyrosine kinase activity</w:t>
      </w:r>
      <w:r>
        <w:t>,</w:t>
      </w:r>
      <w:r w:rsidRPr="00AB7226">
        <w:t xml:space="preserve"> </w:t>
      </w:r>
      <w:r>
        <w:t xml:space="preserve">leading </w:t>
      </w:r>
      <w:r w:rsidRPr="00AB7226">
        <w:t>to</w:t>
      </w:r>
      <w:r>
        <w:t xml:space="preserve"> </w:t>
      </w:r>
      <w:r w:rsidRPr="00AB7226">
        <w:t>blockage of downstream signalling pathways including STAT3 and PI3K/AKT</w:t>
      </w:r>
      <w:r>
        <w:t>,</w:t>
      </w:r>
      <w:r w:rsidRPr="00AB7226">
        <w:t xml:space="preserve"> and</w:t>
      </w:r>
      <w:r>
        <w:t xml:space="preserve"> inhibits proliferation of cancer cells harbouring ALK fusion proteins</w:t>
      </w:r>
      <w:r w:rsidRPr="00AB7226">
        <w:t>.</w:t>
      </w:r>
    </w:p>
    <w:p w14:paraId="0569E66B" w14:textId="77777777" w:rsidR="00CF0BB2" w:rsidRPr="00AB7226" w:rsidRDefault="00CF0BB2" w:rsidP="00CF0BB2"/>
    <w:p w14:paraId="4AB940FB" w14:textId="77777777" w:rsidR="00CF0BB2" w:rsidRPr="002C4DC5" w:rsidRDefault="00CF0BB2" w:rsidP="00CF0BB2">
      <w:r w:rsidRPr="00AB7226">
        <w:t xml:space="preserve">Alectinib demonstrated </w:t>
      </w:r>
      <w:r w:rsidRPr="00AB7226">
        <w:rPr>
          <w:i/>
          <w:iCs/>
        </w:rPr>
        <w:t xml:space="preserve">in vitro </w:t>
      </w:r>
      <w:r w:rsidRPr="00AB7226">
        <w:t xml:space="preserve">and </w:t>
      </w:r>
      <w:r w:rsidRPr="00AB7226">
        <w:rPr>
          <w:i/>
          <w:iCs/>
        </w:rPr>
        <w:t xml:space="preserve">in vivo </w:t>
      </w:r>
      <w:r w:rsidRPr="00AB7226">
        <w:t xml:space="preserve">activity against mutant forms of ALK, including </w:t>
      </w:r>
      <w:r>
        <w:t xml:space="preserve">some that have been identified in </w:t>
      </w:r>
      <w:r w:rsidRPr="001A20FF">
        <w:t xml:space="preserve">non-small cell lung cancer </w:t>
      </w:r>
      <w:r>
        <w:t xml:space="preserve">(NSCLC) tumours in patients who progressed on </w:t>
      </w:r>
      <w:r w:rsidRPr="00AB7226">
        <w:t>crizotinib. The</w:t>
      </w:r>
      <w:r>
        <w:t xml:space="preserve"> </w:t>
      </w:r>
      <w:r w:rsidRPr="00AB7226">
        <w:t xml:space="preserve">major </w:t>
      </w:r>
      <w:r>
        <w:t xml:space="preserve">active </w:t>
      </w:r>
      <w:r w:rsidRPr="00AB7226">
        <w:t>metabolite of alectinib (M4) show</w:t>
      </w:r>
      <w:r>
        <w:t>ed</w:t>
      </w:r>
      <w:r w:rsidRPr="00AB7226">
        <w:t xml:space="preserve"> similar </w:t>
      </w:r>
      <w:r w:rsidRPr="00AB7226">
        <w:rPr>
          <w:i/>
          <w:iCs/>
        </w:rPr>
        <w:t xml:space="preserve">in vitro </w:t>
      </w:r>
      <w:r w:rsidRPr="00AB7226">
        <w:t>potency and activity</w:t>
      </w:r>
      <w:r>
        <w:t>.</w:t>
      </w:r>
    </w:p>
    <w:p w14:paraId="3FFEBA2C" w14:textId="77777777" w:rsidR="00CF0BB2" w:rsidRDefault="00CF0BB2" w:rsidP="00CF0BB2"/>
    <w:p w14:paraId="2A38ED6C" w14:textId="77777777" w:rsidR="00D52399" w:rsidRDefault="00CF0BB2">
      <w:r w:rsidRPr="001E0934">
        <w:t>Administration of alectinib to mice implanted with ALK-rearranged tumour cell line xenografts, including some that rec</w:t>
      </w:r>
      <w:r w:rsidRPr="00E4632D">
        <w:t xml:space="preserve">eived intracranial xenografts, resulted in antitumour activity and prolonged survival. </w:t>
      </w:r>
    </w:p>
    <w:p w14:paraId="64F90DFE" w14:textId="77777777" w:rsidR="00D52399" w:rsidRPr="008903F2" w:rsidRDefault="00615052" w:rsidP="002D203E">
      <w:pPr>
        <w:pStyle w:val="Heading3"/>
        <w:keepNext/>
        <w:rPr>
          <w:color w:val="0070C0"/>
        </w:rPr>
      </w:pPr>
      <w:r>
        <w:lastRenderedPageBreak/>
        <w:t xml:space="preserve">Clinical </w:t>
      </w:r>
      <w:r w:rsidR="00594C19">
        <w:t>trials</w:t>
      </w:r>
    </w:p>
    <w:p w14:paraId="419AA73C" w14:textId="77777777" w:rsidR="002D203E" w:rsidRPr="006010DB" w:rsidRDefault="002D203E" w:rsidP="002D203E">
      <w:pPr>
        <w:pStyle w:val="Heading4"/>
        <w:keepNext/>
      </w:pPr>
      <w:r>
        <w:t>Patients</w:t>
      </w:r>
      <w:r w:rsidRPr="00047630">
        <w:t xml:space="preserve"> </w:t>
      </w:r>
      <w:r>
        <w:t>not previously treated systemically for advanced or metastatic NSCLC</w:t>
      </w:r>
    </w:p>
    <w:p w14:paraId="650E7A18" w14:textId="77777777" w:rsidR="002D203E" w:rsidRDefault="002D203E" w:rsidP="002D203E">
      <w:pPr>
        <w:keepNext/>
        <w:rPr>
          <w:lang w:val="en-GB"/>
        </w:rPr>
      </w:pPr>
    </w:p>
    <w:p w14:paraId="776EC7A0" w14:textId="77777777" w:rsidR="002D203E" w:rsidRDefault="002D203E" w:rsidP="002D203E">
      <w:pPr>
        <w:rPr>
          <w:lang w:val="en-GB"/>
        </w:rPr>
      </w:pPr>
      <w:r w:rsidRPr="006010DB">
        <w:rPr>
          <w:lang w:val="en-GB"/>
        </w:rPr>
        <w:t>The safety and efficacy of Alecensa w</w:t>
      </w:r>
      <w:r>
        <w:rPr>
          <w:lang w:val="en-GB"/>
        </w:rPr>
        <w:t>ere studied in a global randomis</w:t>
      </w:r>
      <w:r w:rsidRPr="006010DB">
        <w:rPr>
          <w:lang w:val="en-GB"/>
        </w:rPr>
        <w:t>ed Phase</w:t>
      </w:r>
      <w:r>
        <w:rPr>
          <w:lang w:val="en-GB"/>
        </w:rPr>
        <w:t xml:space="preserve"> III open label clinical trial [Study 3 (ALEX</w:t>
      </w:r>
      <w:r w:rsidRPr="006010DB">
        <w:rPr>
          <w:lang w:val="en-GB"/>
        </w:rPr>
        <w:t>)</w:t>
      </w:r>
      <w:r>
        <w:rPr>
          <w:lang w:val="en-GB"/>
        </w:rPr>
        <w:t>]</w:t>
      </w:r>
      <w:r w:rsidRPr="006010DB">
        <w:rPr>
          <w:lang w:val="en-GB"/>
        </w:rPr>
        <w:t xml:space="preserve"> in ALK-positive NSCLC pa</w:t>
      </w:r>
      <w:r>
        <w:rPr>
          <w:lang w:val="en-GB"/>
        </w:rPr>
        <w:t>tients</w:t>
      </w:r>
      <w:r w:rsidRPr="00047630">
        <w:t xml:space="preserve"> </w:t>
      </w:r>
      <w:r w:rsidRPr="00047630">
        <w:rPr>
          <w:lang w:val="en-GB"/>
        </w:rPr>
        <w:t>not previously treated</w:t>
      </w:r>
      <w:r>
        <w:rPr>
          <w:lang w:val="en-GB"/>
        </w:rPr>
        <w:t xml:space="preserve"> </w:t>
      </w:r>
      <w:r w:rsidRPr="00047630">
        <w:rPr>
          <w:lang w:val="en-GB"/>
        </w:rPr>
        <w:t>systemically for advanced or metastatic NSCLC</w:t>
      </w:r>
      <w:r w:rsidRPr="006010DB">
        <w:rPr>
          <w:lang w:val="en-GB"/>
        </w:rPr>
        <w:t>. Central testing for ALK protein expression positivity of tissue samples fr</w:t>
      </w:r>
      <w:r>
        <w:rPr>
          <w:lang w:val="en-GB"/>
        </w:rPr>
        <w:t>om all patients by Ventana anti-</w:t>
      </w:r>
      <w:r w:rsidRPr="006010DB">
        <w:rPr>
          <w:lang w:val="en-GB"/>
        </w:rPr>
        <w:t>ALK (D5F3) immunohistochemistry (I</w:t>
      </w:r>
      <w:r>
        <w:rPr>
          <w:lang w:val="en-GB"/>
        </w:rPr>
        <w:t>HC) was required before randomis</w:t>
      </w:r>
      <w:r w:rsidRPr="006010DB">
        <w:rPr>
          <w:lang w:val="en-GB"/>
        </w:rPr>
        <w:t>ation into the study.</w:t>
      </w:r>
      <w:r>
        <w:rPr>
          <w:lang w:val="en-GB"/>
        </w:rPr>
        <w:t xml:space="preserve"> </w:t>
      </w:r>
      <w:r w:rsidRPr="00E744C9">
        <w:rPr>
          <w:lang w:val="en-GB"/>
        </w:rPr>
        <w:t xml:space="preserve">Retrospective ALK testing using the Vysis fluorescence </w:t>
      </w:r>
      <w:r w:rsidRPr="00E744C9">
        <w:rPr>
          <w:i/>
          <w:lang w:val="en-GB"/>
        </w:rPr>
        <w:t>in situ</w:t>
      </w:r>
      <w:r w:rsidRPr="00E744C9">
        <w:rPr>
          <w:lang w:val="en-GB"/>
        </w:rPr>
        <w:t xml:space="preserve"> hybridisation (FISH) assay was also performed.</w:t>
      </w:r>
    </w:p>
    <w:p w14:paraId="6FED4E51" w14:textId="77777777" w:rsidR="002D203E" w:rsidRPr="006010DB" w:rsidRDefault="002D203E" w:rsidP="002D203E">
      <w:pPr>
        <w:rPr>
          <w:lang w:val="en-GB"/>
        </w:rPr>
      </w:pPr>
    </w:p>
    <w:p w14:paraId="7DE269BD" w14:textId="77777777" w:rsidR="002D203E" w:rsidRDefault="002D203E" w:rsidP="002D203E">
      <w:pPr>
        <w:rPr>
          <w:lang w:val="en-GB"/>
        </w:rPr>
      </w:pPr>
      <w:r w:rsidRPr="006010DB">
        <w:rPr>
          <w:lang w:val="en-GB"/>
        </w:rPr>
        <w:t xml:space="preserve">A total of 303 patients were included in the Phase </w:t>
      </w:r>
      <w:r>
        <w:rPr>
          <w:lang w:val="en-GB"/>
        </w:rPr>
        <w:t>III trial, 151 patients randomis</w:t>
      </w:r>
      <w:r w:rsidRPr="006010DB">
        <w:rPr>
          <w:lang w:val="en-GB"/>
        </w:rPr>
        <w:t>ed to the crizotin</w:t>
      </w:r>
      <w:r>
        <w:rPr>
          <w:lang w:val="en-GB"/>
        </w:rPr>
        <w:t>ib arm and 152 patients randomis</w:t>
      </w:r>
      <w:r w:rsidRPr="006010DB">
        <w:rPr>
          <w:lang w:val="en-GB"/>
        </w:rPr>
        <w:t xml:space="preserve">ed to the Alecensa arm receiving Alecensa orally, at the recommended dose of 600 mg twice daily. </w:t>
      </w:r>
    </w:p>
    <w:p w14:paraId="71FF82A6" w14:textId="77777777" w:rsidR="002D203E" w:rsidRPr="006010DB" w:rsidRDefault="002D203E" w:rsidP="002D203E">
      <w:pPr>
        <w:rPr>
          <w:lang w:val="en-GB"/>
        </w:rPr>
      </w:pPr>
    </w:p>
    <w:p w14:paraId="72441868" w14:textId="77777777" w:rsidR="002D203E" w:rsidRDefault="002D203E" w:rsidP="002D203E">
      <w:pPr>
        <w:rPr>
          <w:lang w:val="en-GB"/>
        </w:rPr>
      </w:pPr>
      <w:r w:rsidRPr="006010DB">
        <w:rPr>
          <w:lang w:val="en-GB"/>
        </w:rPr>
        <w:t xml:space="preserve">ECOG </w:t>
      </w:r>
      <w:r>
        <w:rPr>
          <w:lang w:val="en-GB"/>
        </w:rPr>
        <w:t>performance status</w:t>
      </w:r>
      <w:r w:rsidRPr="006010DB">
        <w:rPr>
          <w:lang w:val="en-GB"/>
        </w:rPr>
        <w:t xml:space="preserve"> (0/1 vs. 2), race (Asian vs. non-Asian), and CNS metastases at baseline (yes vs. no) were str</w:t>
      </w:r>
      <w:r>
        <w:rPr>
          <w:lang w:val="en-GB"/>
        </w:rPr>
        <w:t>atification factors for randomis</w:t>
      </w:r>
      <w:r w:rsidRPr="006010DB">
        <w:rPr>
          <w:lang w:val="en-GB"/>
        </w:rPr>
        <w:t>ation. The primary endpoint of the trial was to demonstrate superiority of Alecensa versus crizot</w:t>
      </w:r>
      <w:r>
        <w:rPr>
          <w:lang w:val="en-GB"/>
        </w:rPr>
        <w:t>inib based on Progression Free S</w:t>
      </w:r>
      <w:r w:rsidRPr="006010DB">
        <w:rPr>
          <w:lang w:val="en-GB"/>
        </w:rPr>
        <w:t xml:space="preserve">urvival (PFS) as per investigator assessment using RECIST 1.1. Baseline demographic and disease characteristics for Alecensa were median age 58 years (54 years for crizotinib) , 55% female (58% for crizotinib), 55% non-Asian (54% for crizotinib), 61% with no smoking history (65% for crizotinib), 93% ECOG </w:t>
      </w:r>
      <w:r>
        <w:rPr>
          <w:lang w:val="en-GB"/>
        </w:rPr>
        <w:t>performance status</w:t>
      </w:r>
      <w:r w:rsidRPr="006010DB">
        <w:rPr>
          <w:lang w:val="en-GB"/>
        </w:rPr>
        <w:t xml:space="preserve"> of 0 or 1 (93% for crizotinib), 97% Stage IV disease (96% for crizotinib), 90% adenocarcinoma histology (94% for crizotinib), 40% CNS metastases at baseline (38% for crizotinib) and 17% having received prior CNS radiation (14% for crizotinib). </w:t>
      </w:r>
    </w:p>
    <w:p w14:paraId="39694298" w14:textId="77777777" w:rsidR="002D203E" w:rsidRPr="006010DB" w:rsidRDefault="002D203E" w:rsidP="002D203E">
      <w:pPr>
        <w:rPr>
          <w:lang w:val="en-GB"/>
        </w:rPr>
      </w:pPr>
    </w:p>
    <w:p w14:paraId="162CA1F4" w14:textId="77777777" w:rsidR="002D203E" w:rsidRDefault="002D203E" w:rsidP="002D203E">
      <w:pPr>
        <w:rPr>
          <w:lang w:val="en-GB"/>
        </w:rPr>
      </w:pPr>
      <w:r w:rsidRPr="006010DB">
        <w:rPr>
          <w:lang w:val="en-GB"/>
        </w:rPr>
        <w:t>The trial met its primary endpoint at the primary anal</w:t>
      </w:r>
      <w:r>
        <w:rPr>
          <w:lang w:val="en-GB"/>
        </w:rPr>
        <w:t>ysis. Efficacy data are summarised in Table 7</w:t>
      </w:r>
      <w:r w:rsidRPr="006010DB">
        <w:rPr>
          <w:lang w:val="en-GB"/>
        </w:rPr>
        <w:t xml:space="preserve"> and the Kaplan-Meier curves for investigator and </w:t>
      </w:r>
      <w:r>
        <w:rPr>
          <w:lang w:val="en-GB"/>
        </w:rPr>
        <w:t>Independent Review Committee (</w:t>
      </w:r>
      <w:r w:rsidRPr="006010DB">
        <w:rPr>
          <w:lang w:val="en-GB"/>
        </w:rPr>
        <w:t>IRC</w:t>
      </w:r>
      <w:r>
        <w:rPr>
          <w:lang w:val="en-GB"/>
        </w:rPr>
        <w:t>)</w:t>
      </w:r>
      <w:r w:rsidRPr="006010DB">
        <w:rPr>
          <w:lang w:val="en-GB"/>
        </w:rPr>
        <w:t>-assessed PFS are shown in Figures 1 and 2.</w:t>
      </w:r>
    </w:p>
    <w:p w14:paraId="494DD439" w14:textId="77777777" w:rsidR="002D203E" w:rsidRDefault="002D203E" w:rsidP="002D203E">
      <w:pPr>
        <w:rPr>
          <w:lang w:val="en-GB"/>
        </w:rPr>
      </w:pPr>
    </w:p>
    <w:p w14:paraId="49D36C98" w14:textId="77777777" w:rsidR="002D203E" w:rsidRDefault="002D203E" w:rsidP="002D203E">
      <w:pPr>
        <w:pStyle w:val="Tableheading"/>
        <w:rPr>
          <w:lang w:val="en-GB"/>
        </w:rPr>
      </w:pPr>
      <w:proofErr w:type="gramStart"/>
      <w:r>
        <w:rPr>
          <w:lang w:val="en-GB"/>
        </w:rPr>
        <w:lastRenderedPageBreak/>
        <w:t>Table 7.</w:t>
      </w:r>
      <w:proofErr w:type="gramEnd"/>
      <w:r w:rsidRPr="00865DD4">
        <w:rPr>
          <w:lang w:val="en-GB"/>
        </w:rPr>
        <w:t xml:space="preserve"> </w:t>
      </w:r>
      <w:r>
        <w:rPr>
          <w:lang w:val="en-GB"/>
        </w:rPr>
        <w:tab/>
      </w:r>
      <w:r w:rsidRPr="00865DD4">
        <w:rPr>
          <w:lang w:val="en-GB"/>
        </w:rPr>
        <w:t xml:space="preserve">Summary of efficacy results from </w:t>
      </w:r>
      <w:r>
        <w:rPr>
          <w:lang w:val="en-GB"/>
        </w:rPr>
        <w:t>Study 3 (ALEX)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82"/>
        <w:gridCol w:w="2704"/>
      </w:tblGrid>
      <w:tr w:rsidR="002D203E" w:rsidRPr="001D42A3" w14:paraId="526A6AEB" w14:textId="77777777" w:rsidTr="00BE69D7">
        <w:trPr>
          <w:tblHeader/>
        </w:trPr>
        <w:tc>
          <w:tcPr>
            <w:tcW w:w="3936" w:type="dxa"/>
            <w:shd w:val="clear" w:color="auto" w:fill="auto"/>
          </w:tcPr>
          <w:p w14:paraId="4EF9CD8C" w14:textId="77777777" w:rsidR="002D203E" w:rsidRPr="001D42A3" w:rsidRDefault="002D203E" w:rsidP="00BE69D7">
            <w:pPr>
              <w:keepNext/>
              <w:spacing w:before="40" w:after="40"/>
              <w:rPr>
                <w:b/>
                <w:sz w:val="22"/>
                <w:szCs w:val="22"/>
                <w:lang w:val="en-GB" w:eastAsia="en-US"/>
              </w:rPr>
            </w:pPr>
          </w:p>
        </w:tc>
        <w:tc>
          <w:tcPr>
            <w:tcW w:w="2682" w:type="dxa"/>
            <w:shd w:val="clear" w:color="auto" w:fill="auto"/>
          </w:tcPr>
          <w:p w14:paraId="604F54E4" w14:textId="77777777" w:rsidR="002D203E" w:rsidRPr="001D42A3" w:rsidRDefault="002D203E" w:rsidP="00BE69D7">
            <w:pPr>
              <w:keepNext/>
              <w:spacing w:before="40" w:after="40"/>
              <w:jc w:val="center"/>
              <w:rPr>
                <w:b/>
                <w:sz w:val="22"/>
                <w:szCs w:val="22"/>
                <w:lang w:val="en-GB" w:eastAsia="en-US"/>
              </w:rPr>
            </w:pPr>
            <w:r w:rsidRPr="001D42A3">
              <w:rPr>
                <w:b/>
                <w:sz w:val="22"/>
                <w:szCs w:val="22"/>
                <w:lang w:val="en-GB" w:eastAsia="en-US"/>
              </w:rPr>
              <w:t>Crizotinib</w:t>
            </w:r>
            <w:r w:rsidRPr="001D42A3">
              <w:rPr>
                <w:b/>
                <w:sz w:val="22"/>
                <w:szCs w:val="22"/>
                <w:lang w:val="en-GB" w:eastAsia="en-US"/>
              </w:rPr>
              <w:br/>
              <w:t>N=151</w:t>
            </w:r>
          </w:p>
        </w:tc>
        <w:tc>
          <w:tcPr>
            <w:tcW w:w="2704" w:type="dxa"/>
            <w:shd w:val="clear" w:color="auto" w:fill="auto"/>
          </w:tcPr>
          <w:p w14:paraId="5E789148" w14:textId="77777777" w:rsidR="002D203E" w:rsidRPr="001D42A3" w:rsidRDefault="002D203E" w:rsidP="00BE69D7">
            <w:pPr>
              <w:keepNext/>
              <w:spacing w:before="40" w:after="40"/>
              <w:jc w:val="center"/>
              <w:rPr>
                <w:b/>
                <w:sz w:val="22"/>
                <w:szCs w:val="22"/>
                <w:lang w:val="en-GB" w:eastAsia="en-US"/>
              </w:rPr>
            </w:pPr>
            <w:r w:rsidRPr="001D42A3">
              <w:rPr>
                <w:b/>
                <w:sz w:val="22"/>
                <w:szCs w:val="22"/>
                <w:lang w:val="en-GB" w:eastAsia="en-US"/>
              </w:rPr>
              <w:t>Alecensa</w:t>
            </w:r>
            <w:r w:rsidRPr="001D42A3">
              <w:rPr>
                <w:b/>
                <w:sz w:val="22"/>
                <w:szCs w:val="22"/>
                <w:lang w:val="en-GB" w:eastAsia="en-US"/>
              </w:rPr>
              <w:br/>
              <w:t>N=152</w:t>
            </w:r>
          </w:p>
        </w:tc>
      </w:tr>
      <w:tr w:rsidR="002D203E" w:rsidRPr="001D42A3" w14:paraId="2C7A1DB5" w14:textId="77777777" w:rsidTr="00BE69D7">
        <w:tc>
          <w:tcPr>
            <w:tcW w:w="3936" w:type="dxa"/>
            <w:shd w:val="clear" w:color="auto" w:fill="auto"/>
          </w:tcPr>
          <w:p w14:paraId="5794AB90" w14:textId="77777777" w:rsidR="002D203E" w:rsidRPr="001D42A3" w:rsidRDefault="002D203E" w:rsidP="00BE69D7">
            <w:pPr>
              <w:keepNext/>
              <w:spacing w:before="40" w:after="40"/>
              <w:rPr>
                <w:b/>
                <w:sz w:val="22"/>
                <w:szCs w:val="22"/>
                <w:highlight w:val="yellow"/>
                <w:lang w:val="en-GB" w:eastAsia="en-US"/>
              </w:rPr>
            </w:pPr>
            <w:r w:rsidRPr="001D42A3">
              <w:rPr>
                <w:b/>
                <w:sz w:val="22"/>
                <w:szCs w:val="22"/>
                <w:lang w:val="en-GB" w:eastAsia="en-GB"/>
              </w:rPr>
              <w:t>Median duration of follow-up (months)</w:t>
            </w:r>
          </w:p>
        </w:tc>
        <w:tc>
          <w:tcPr>
            <w:tcW w:w="2682" w:type="dxa"/>
            <w:shd w:val="clear" w:color="auto" w:fill="auto"/>
            <w:vAlign w:val="center"/>
          </w:tcPr>
          <w:p w14:paraId="7D868641" w14:textId="77777777" w:rsidR="002D203E" w:rsidRPr="001D42A3" w:rsidRDefault="002D203E" w:rsidP="00BE69D7">
            <w:pPr>
              <w:keepNext/>
              <w:spacing w:before="40" w:after="40"/>
              <w:jc w:val="center"/>
              <w:rPr>
                <w:sz w:val="22"/>
                <w:szCs w:val="22"/>
                <w:lang w:val="en-GB" w:eastAsia="en-US"/>
              </w:rPr>
            </w:pPr>
            <w:r w:rsidRPr="001D42A3">
              <w:rPr>
                <w:sz w:val="22"/>
                <w:szCs w:val="22"/>
                <w:lang w:val="en-GB" w:eastAsia="en-GB"/>
              </w:rPr>
              <w:t xml:space="preserve">17.6 </w:t>
            </w:r>
            <w:r w:rsidRPr="001D42A3">
              <w:rPr>
                <w:sz w:val="22"/>
                <w:szCs w:val="22"/>
                <w:lang w:val="en-GB" w:eastAsia="en-GB"/>
              </w:rPr>
              <w:br/>
              <w:t>(range 0.3 – 27.0)</w:t>
            </w:r>
          </w:p>
        </w:tc>
        <w:tc>
          <w:tcPr>
            <w:tcW w:w="2704" w:type="dxa"/>
            <w:shd w:val="clear" w:color="auto" w:fill="auto"/>
          </w:tcPr>
          <w:p w14:paraId="2CD96EBD" w14:textId="77777777" w:rsidR="002D203E" w:rsidRPr="001D42A3" w:rsidRDefault="002D203E" w:rsidP="00BE69D7">
            <w:pPr>
              <w:keepNext/>
              <w:spacing w:before="40" w:after="40"/>
              <w:jc w:val="center"/>
              <w:rPr>
                <w:sz w:val="22"/>
                <w:szCs w:val="22"/>
                <w:lang w:val="en-GB" w:eastAsia="en-US"/>
              </w:rPr>
            </w:pPr>
            <w:r w:rsidRPr="001D42A3">
              <w:rPr>
                <w:sz w:val="22"/>
                <w:szCs w:val="22"/>
                <w:lang w:val="en-GB" w:eastAsia="en-GB"/>
              </w:rPr>
              <w:t xml:space="preserve">18.6 </w:t>
            </w:r>
            <w:r w:rsidRPr="001D42A3">
              <w:rPr>
                <w:sz w:val="22"/>
                <w:szCs w:val="22"/>
                <w:lang w:val="en-GB" w:eastAsia="en-GB"/>
              </w:rPr>
              <w:br/>
              <w:t>(range 0.5 – 29.0)</w:t>
            </w:r>
          </w:p>
        </w:tc>
      </w:tr>
      <w:tr w:rsidR="002D203E" w:rsidRPr="001D42A3" w14:paraId="1917AA60" w14:textId="77777777" w:rsidTr="00BE69D7">
        <w:tc>
          <w:tcPr>
            <w:tcW w:w="9322" w:type="dxa"/>
            <w:gridSpan w:val="3"/>
            <w:shd w:val="clear" w:color="auto" w:fill="auto"/>
            <w:vAlign w:val="center"/>
          </w:tcPr>
          <w:p w14:paraId="63D26272" w14:textId="77777777" w:rsidR="002D203E" w:rsidRPr="001D42A3" w:rsidRDefault="002D203E" w:rsidP="00BE69D7">
            <w:pPr>
              <w:keepNext/>
              <w:keepLines/>
              <w:spacing w:before="40" w:after="40"/>
              <w:rPr>
                <w:sz w:val="22"/>
                <w:szCs w:val="22"/>
                <w:lang w:val="en-GB" w:eastAsia="en-US"/>
              </w:rPr>
            </w:pPr>
            <w:r w:rsidRPr="001D42A3">
              <w:rPr>
                <w:b/>
                <w:sz w:val="22"/>
                <w:szCs w:val="22"/>
                <w:lang w:val="en-GB" w:eastAsia="en-GB"/>
              </w:rPr>
              <w:t xml:space="preserve">Primary Efficacy Parameter </w:t>
            </w:r>
          </w:p>
        </w:tc>
      </w:tr>
      <w:tr w:rsidR="002D203E" w:rsidRPr="001D42A3" w14:paraId="45C85A8D" w14:textId="77777777" w:rsidTr="00BE69D7">
        <w:tc>
          <w:tcPr>
            <w:tcW w:w="3936" w:type="dxa"/>
            <w:shd w:val="clear" w:color="auto" w:fill="auto"/>
          </w:tcPr>
          <w:p w14:paraId="3BEFDB20" w14:textId="77777777" w:rsidR="002D203E" w:rsidRPr="001D42A3" w:rsidRDefault="002D203E" w:rsidP="00BE69D7">
            <w:pPr>
              <w:keepNext/>
              <w:keepLines/>
              <w:spacing w:before="40" w:after="40"/>
              <w:rPr>
                <w:rFonts w:eastAsia="MS Mincho"/>
                <w:sz w:val="22"/>
                <w:szCs w:val="22"/>
                <w:lang w:val="x-none" w:eastAsia="en-GB"/>
              </w:rPr>
            </w:pPr>
            <w:r w:rsidRPr="001D42A3">
              <w:rPr>
                <w:rFonts w:eastAsia="MS Mincho"/>
                <w:sz w:val="22"/>
                <w:szCs w:val="22"/>
                <w:lang w:val="x-none" w:eastAsia="en-GB"/>
              </w:rPr>
              <w:t>PFS (I</w:t>
            </w:r>
            <w:r w:rsidRPr="001D42A3">
              <w:rPr>
                <w:rFonts w:eastAsia="MS Mincho"/>
                <w:sz w:val="22"/>
                <w:szCs w:val="22"/>
                <w:lang w:eastAsia="en-GB"/>
              </w:rPr>
              <w:t>NV</w:t>
            </w:r>
            <w:r w:rsidRPr="001D42A3">
              <w:rPr>
                <w:rFonts w:eastAsia="MS Mincho"/>
                <w:sz w:val="22"/>
                <w:szCs w:val="22"/>
                <w:lang w:val="x-none" w:eastAsia="en-GB"/>
              </w:rPr>
              <w:t xml:space="preserve">) </w:t>
            </w:r>
          </w:p>
          <w:p w14:paraId="7BB62194" w14:textId="77777777" w:rsidR="002D203E" w:rsidRPr="001D42A3" w:rsidRDefault="002D203E" w:rsidP="00BE69D7">
            <w:pPr>
              <w:keepNext/>
              <w:keepLines/>
              <w:spacing w:before="40" w:after="40"/>
              <w:ind w:left="342"/>
              <w:rPr>
                <w:rFonts w:eastAsia="MS Mincho"/>
                <w:sz w:val="22"/>
                <w:szCs w:val="22"/>
                <w:lang w:val="x-none" w:eastAsia="en-GB"/>
              </w:rPr>
            </w:pPr>
            <w:r w:rsidRPr="001D42A3">
              <w:rPr>
                <w:rFonts w:eastAsia="MS Mincho"/>
                <w:sz w:val="22"/>
                <w:szCs w:val="22"/>
                <w:lang w:val="x-none" w:eastAsia="en-GB"/>
              </w:rPr>
              <w:t xml:space="preserve">Number of patients with event </w:t>
            </w:r>
            <w:r w:rsidRPr="001D42A3">
              <w:rPr>
                <w:rFonts w:eastAsia="MS Mincho"/>
                <w:sz w:val="22"/>
                <w:szCs w:val="22"/>
                <w:lang w:eastAsia="en-GB"/>
              </w:rPr>
              <w:t>n</w:t>
            </w:r>
            <w:r w:rsidRPr="001D42A3">
              <w:rPr>
                <w:rFonts w:eastAsia="MS Mincho"/>
                <w:sz w:val="22"/>
                <w:szCs w:val="22"/>
                <w:lang w:val="x-none" w:eastAsia="en-GB"/>
              </w:rPr>
              <w:t xml:space="preserve"> (%)</w:t>
            </w:r>
          </w:p>
          <w:p w14:paraId="15332B7F" w14:textId="77777777" w:rsidR="002D203E" w:rsidRPr="001D42A3" w:rsidRDefault="002D203E" w:rsidP="00BE69D7">
            <w:pPr>
              <w:keepNext/>
              <w:keepLines/>
              <w:spacing w:before="40" w:after="40"/>
              <w:ind w:left="342"/>
              <w:rPr>
                <w:rFonts w:eastAsia="MS Mincho"/>
                <w:sz w:val="22"/>
                <w:szCs w:val="22"/>
                <w:lang w:val="x-none" w:eastAsia="en-GB"/>
              </w:rPr>
            </w:pPr>
            <w:r w:rsidRPr="001D42A3">
              <w:rPr>
                <w:rFonts w:eastAsia="MS Mincho"/>
                <w:sz w:val="22"/>
                <w:szCs w:val="22"/>
                <w:lang w:val="x-none" w:eastAsia="en-GB"/>
              </w:rPr>
              <w:t>Median (months)</w:t>
            </w:r>
          </w:p>
          <w:p w14:paraId="67185D02" w14:textId="77777777" w:rsidR="002D203E" w:rsidRPr="001D42A3" w:rsidRDefault="002D203E" w:rsidP="00BE69D7">
            <w:pPr>
              <w:keepNext/>
              <w:keepLines/>
              <w:spacing w:before="40" w:after="40"/>
              <w:ind w:left="342"/>
              <w:rPr>
                <w:rFonts w:eastAsia="MS Mincho"/>
                <w:sz w:val="22"/>
                <w:szCs w:val="22"/>
                <w:highlight w:val="yellow"/>
                <w:lang w:val="de-CH" w:eastAsia="en-US"/>
              </w:rPr>
            </w:pPr>
            <w:r w:rsidRPr="001D42A3">
              <w:rPr>
                <w:rFonts w:eastAsia="MS Mincho"/>
                <w:sz w:val="22"/>
                <w:szCs w:val="22"/>
                <w:lang w:val="x-none" w:eastAsia="en-GB"/>
              </w:rPr>
              <w:t>[95% CI]</w:t>
            </w:r>
          </w:p>
        </w:tc>
        <w:tc>
          <w:tcPr>
            <w:tcW w:w="2682" w:type="dxa"/>
            <w:shd w:val="clear" w:color="auto" w:fill="auto"/>
          </w:tcPr>
          <w:p w14:paraId="2CB50692" w14:textId="77777777" w:rsidR="002D203E" w:rsidRPr="001D42A3" w:rsidRDefault="002D203E" w:rsidP="00BE69D7">
            <w:pPr>
              <w:keepNext/>
              <w:keepLines/>
              <w:spacing w:before="40" w:after="40"/>
              <w:jc w:val="center"/>
              <w:rPr>
                <w:sz w:val="22"/>
                <w:szCs w:val="22"/>
                <w:lang w:val="en-GB" w:eastAsia="en-US"/>
              </w:rPr>
            </w:pPr>
          </w:p>
          <w:p w14:paraId="37C9D7A5"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102 (68%)</w:t>
            </w:r>
          </w:p>
          <w:p w14:paraId="5562AF27"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 xml:space="preserve">11.1 </w:t>
            </w:r>
          </w:p>
          <w:p w14:paraId="45E65FAE"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[9.1; 13.1]</w:t>
            </w:r>
          </w:p>
        </w:tc>
        <w:tc>
          <w:tcPr>
            <w:tcW w:w="2704" w:type="dxa"/>
            <w:shd w:val="clear" w:color="auto" w:fill="auto"/>
          </w:tcPr>
          <w:p w14:paraId="31F1815C" w14:textId="77777777" w:rsidR="002D203E" w:rsidRPr="001D42A3" w:rsidRDefault="002D203E" w:rsidP="00BE69D7">
            <w:pPr>
              <w:keepNext/>
              <w:keepLines/>
              <w:spacing w:before="40" w:after="40"/>
              <w:jc w:val="center"/>
              <w:rPr>
                <w:sz w:val="22"/>
                <w:szCs w:val="22"/>
                <w:lang w:val="en-GB" w:eastAsia="en-US"/>
              </w:rPr>
            </w:pPr>
          </w:p>
          <w:p w14:paraId="18FC7686"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62 (41%)</w:t>
            </w:r>
          </w:p>
          <w:p w14:paraId="285BACD3"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NE</w:t>
            </w:r>
          </w:p>
          <w:p w14:paraId="6001F2B1"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[17.7; NE]</w:t>
            </w:r>
          </w:p>
        </w:tc>
      </w:tr>
      <w:tr w:rsidR="002D203E" w:rsidRPr="001D42A3" w14:paraId="6EA84C84" w14:textId="77777777" w:rsidTr="00BE69D7">
        <w:tc>
          <w:tcPr>
            <w:tcW w:w="3936" w:type="dxa"/>
            <w:shd w:val="clear" w:color="auto" w:fill="auto"/>
          </w:tcPr>
          <w:p w14:paraId="32469C6E" w14:textId="77777777" w:rsidR="002D203E" w:rsidRPr="001D42A3" w:rsidRDefault="002D203E" w:rsidP="00BE69D7">
            <w:pPr>
              <w:keepNext/>
              <w:keepLines/>
              <w:spacing w:before="40" w:after="40"/>
              <w:ind w:left="342"/>
              <w:rPr>
                <w:rFonts w:eastAsia="MS Mincho"/>
                <w:sz w:val="22"/>
                <w:szCs w:val="22"/>
                <w:lang w:val="x-none" w:eastAsia="en-GB"/>
              </w:rPr>
            </w:pPr>
            <w:r w:rsidRPr="001D42A3">
              <w:rPr>
                <w:rFonts w:eastAsia="MS Mincho"/>
                <w:sz w:val="22"/>
                <w:szCs w:val="22"/>
                <w:lang w:val="x-none" w:eastAsia="en-GB"/>
              </w:rPr>
              <w:t>HR</w:t>
            </w:r>
          </w:p>
          <w:p w14:paraId="59EBED32" w14:textId="77777777" w:rsidR="002D203E" w:rsidRPr="001D42A3" w:rsidRDefault="002D203E" w:rsidP="00BE69D7">
            <w:pPr>
              <w:keepNext/>
              <w:keepLines/>
              <w:spacing w:before="40" w:after="40"/>
              <w:ind w:left="342"/>
              <w:rPr>
                <w:rFonts w:eastAsia="MS Mincho"/>
                <w:sz w:val="22"/>
                <w:szCs w:val="22"/>
                <w:lang w:val="x-none" w:eastAsia="en-GB"/>
              </w:rPr>
            </w:pPr>
            <w:r w:rsidRPr="001D42A3">
              <w:rPr>
                <w:rFonts w:eastAsia="MS Mincho"/>
                <w:sz w:val="22"/>
                <w:szCs w:val="22"/>
                <w:lang w:val="x-none" w:eastAsia="en-GB"/>
              </w:rPr>
              <w:t>[9</w:t>
            </w:r>
            <w:r w:rsidRPr="001D42A3">
              <w:rPr>
                <w:rFonts w:eastAsia="MS Mincho"/>
                <w:sz w:val="22"/>
                <w:szCs w:val="22"/>
                <w:lang w:eastAsia="en-GB"/>
              </w:rPr>
              <w:t xml:space="preserve">5% </w:t>
            </w:r>
            <w:r w:rsidRPr="001D42A3">
              <w:rPr>
                <w:rFonts w:eastAsia="MS Mincho"/>
                <w:sz w:val="22"/>
                <w:szCs w:val="22"/>
                <w:lang w:val="x-none" w:eastAsia="en-GB"/>
              </w:rPr>
              <w:t>CI]</w:t>
            </w:r>
          </w:p>
          <w:p w14:paraId="4AF76AB5" w14:textId="77777777" w:rsidR="002D203E" w:rsidRPr="001D42A3" w:rsidRDefault="002D203E" w:rsidP="00BE69D7">
            <w:pPr>
              <w:keepNext/>
              <w:keepLines/>
              <w:spacing w:before="40" w:after="40"/>
              <w:ind w:left="342"/>
              <w:rPr>
                <w:rFonts w:eastAsia="MS Mincho"/>
                <w:sz w:val="22"/>
                <w:szCs w:val="22"/>
                <w:highlight w:val="yellow"/>
                <w:lang w:eastAsia="en-GB"/>
              </w:rPr>
            </w:pPr>
            <w:r w:rsidRPr="001D42A3">
              <w:rPr>
                <w:rFonts w:eastAsia="MS Mincho"/>
                <w:sz w:val="22"/>
                <w:szCs w:val="22"/>
                <w:lang w:val="x-none" w:eastAsia="en-GB"/>
              </w:rPr>
              <w:t>Stratified log-rank p-value</w:t>
            </w:r>
          </w:p>
        </w:tc>
        <w:tc>
          <w:tcPr>
            <w:tcW w:w="5386" w:type="dxa"/>
            <w:gridSpan w:val="2"/>
            <w:shd w:val="clear" w:color="auto" w:fill="auto"/>
          </w:tcPr>
          <w:p w14:paraId="10C58FE7"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0.47</w:t>
            </w:r>
          </w:p>
          <w:p w14:paraId="062E44D9"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[0.34, 0.65]</w:t>
            </w:r>
          </w:p>
          <w:p w14:paraId="3813E797" w14:textId="77777777" w:rsidR="002D203E" w:rsidRPr="001D42A3" w:rsidRDefault="002D203E" w:rsidP="00BE69D7">
            <w:pPr>
              <w:keepNext/>
              <w:keepLines/>
              <w:spacing w:before="40" w:after="40"/>
              <w:jc w:val="center"/>
              <w:rPr>
                <w:sz w:val="22"/>
                <w:szCs w:val="22"/>
                <w:highlight w:val="yellow"/>
                <w:lang w:val="en-GB" w:eastAsia="en-US"/>
              </w:rPr>
            </w:pPr>
            <w:r w:rsidRPr="001D42A3">
              <w:rPr>
                <w:sz w:val="22"/>
                <w:szCs w:val="22"/>
                <w:lang w:val="en-GB" w:eastAsia="en-US"/>
              </w:rPr>
              <w:t>p &lt;0.0001</w:t>
            </w:r>
          </w:p>
        </w:tc>
      </w:tr>
      <w:tr w:rsidR="002D203E" w:rsidRPr="001D42A3" w14:paraId="2883D485" w14:textId="77777777" w:rsidTr="00BE69D7">
        <w:tc>
          <w:tcPr>
            <w:tcW w:w="9322" w:type="dxa"/>
            <w:gridSpan w:val="3"/>
            <w:shd w:val="clear" w:color="auto" w:fill="auto"/>
          </w:tcPr>
          <w:p w14:paraId="498C5ACA" w14:textId="77777777" w:rsidR="002D203E" w:rsidRPr="001D42A3" w:rsidRDefault="002D203E" w:rsidP="00BE69D7">
            <w:pPr>
              <w:keepNext/>
              <w:keepLines/>
              <w:spacing w:before="40" w:after="40"/>
              <w:rPr>
                <w:sz w:val="22"/>
                <w:szCs w:val="22"/>
                <w:highlight w:val="yellow"/>
                <w:lang w:val="en-GB" w:eastAsia="en-US"/>
              </w:rPr>
            </w:pPr>
            <w:r w:rsidRPr="001D42A3">
              <w:rPr>
                <w:b/>
                <w:sz w:val="22"/>
                <w:szCs w:val="22"/>
                <w:lang w:val="en-GB" w:eastAsia="en-US"/>
              </w:rPr>
              <w:t>Secondary efficacy parameters</w:t>
            </w:r>
          </w:p>
        </w:tc>
      </w:tr>
      <w:tr w:rsidR="002D203E" w:rsidRPr="001D42A3" w14:paraId="422565AB" w14:textId="77777777" w:rsidTr="00BE69D7">
        <w:tc>
          <w:tcPr>
            <w:tcW w:w="3936" w:type="dxa"/>
            <w:shd w:val="clear" w:color="auto" w:fill="auto"/>
          </w:tcPr>
          <w:p w14:paraId="647CC3B0" w14:textId="77777777" w:rsidR="002D203E" w:rsidRPr="001D42A3" w:rsidRDefault="002D203E" w:rsidP="00BE69D7">
            <w:pPr>
              <w:keepNext/>
              <w:keepLines/>
              <w:spacing w:before="40" w:after="40"/>
              <w:rPr>
                <w:sz w:val="22"/>
                <w:szCs w:val="22"/>
                <w:lang w:eastAsia="en-US"/>
              </w:rPr>
            </w:pPr>
            <w:r w:rsidRPr="001D42A3">
              <w:rPr>
                <w:sz w:val="22"/>
                <w:szCs w:val="22"/>
                <w:lang w:eastAsia="en-US"/>
              </w:rPr>
              <w:t>PFS (IRC)*</w:t>
            </w:r>
          </w:p>
          <w:p w14:paraId="216C1AD2" w14:textId="77777777" w:rsidR="002D203E" w:rsidRPr="001D42A3" w:rsidRDefault="002D203E" w:rsidP="00BE69D7">
            <w:pPr>
              <w:keepNext/>
              <w:keepLines/>
              <w:spacing w:before="40" w:after="40"/>
              <w:ind w:left="270" w:firstLine="90"/>
              <w:rPr>
                <w:sz w:val="22"/>
                <w:szCs w:val="22"/>
                <w:lang w:eastAsia="en-US"/>
              </w:rPr>
            </w:pPr>
            <w:r w:rsidRPr="001D42A3">
              <w:rPr>
                <w:sz w:val="22"/>
                <w:szCs w:val="22"/>
                <w:lang w:eastAsia="en-US"/>
              </w:rPr>
              <w:t>Number of patients with event n (%)</w:t>
            </w:r>
          </w:p>
          <w:p w14:paraId="4B4DA2A3" w14:textId="77777777" w:rsidR="002D203E" w:rsidRPr="001D42A3" w:rsidRDefault="002D203E" w:rsidP="00BE69D7">
            <w:pPr>
              <w:keepNext/>
              <w:keepLines/>
              <w:spacing w:before="40" w:after="40"/>
              <w:ind w:left="432" w:hanging="72"/>
              <w:rPr>
                <w:sz w:val="22"/>
                <w:szCs w:val="22"/>
                <w:lang w:val="fr-FR" w:eastAsia="en-US"/>
              </w:rPr>
            </w:pPr>
            <w:proofErr w:type="spellStart"/>
            <w:r w:rsidRPr="001D42A3">
              <w:rPr>
                <w:sz w:val="22"/>
                <w:szCs w:val="22"/>
                <w:lang w:val="fr-FR" w:eastAsia="en-US"/>
              </w:rPr>
              <w:t>Median</w:t>
            </w:r>
            <w:proofErr w:type="spellEnd"/>
            <w:r w:rsidRPr="001D42A3">
              <w:rPr>
                <w:sz w:val="22"/>
                <w:szCs w:val="22"/>
                <w:lang w:val="fr-FR" w:eastAsia="en-US"/>
              </w:rPr>
              <w:t xml:space="preserve"> (</w:t>
            </w:r>
            <w:proofErr w:type="spellStart"/>
            <w:r w:rsidRPr="001D42A3">
              <w:rPr>
                <w:sz w:val="22"/>
                <w:szCs w:val="22"/>
                <w:lang w:val="fr-FR" w:eastAsia="en-US"/>
              </w:rPr>
              <w:t>months</w:t>
            </w:r>
            <w:proofErr w:type="spellEnd"/>
            <w:r w:rsidRPr="001D42A3">
              <w:rPr>
                <w:sz w:val="22"/>
                <w:szCs w:val="22"/>
                <w:lang w:val="fr-FR" w:eastAsia="en-US"/>
              </w:rPr>
              <w:t>)</w:t>
            </w:r>
          </w:p>
          <w:p w14:paraId="7C651177" w14:textId="77777777" w:rsidR="002D203E" w:rsidRPr="001D42A3" w:rsidRDefault="002D203E" w:rsidP="00BE69D7">
            <w:pPr>
              <w:keepNext/>
              <w:keepLines/>
              <w:spacing w:before="40" w:after="40"/>
              <w:ind w:left="432" w:hanging="72"/>
              <w:rPr>
                <w:sz w:val="22"/>
                <w:szCs w:val="22"/>
                <w:lang w:val="fr-FR" w:eastAsia="en-US"/>
              </w:rPr>
            </w:pPr>
            <w:r w:rsidRPr="001D42A3">
              <w:rPr>
                <w:sz w:val="22"/>
                <w:szCs w:val="22"/>
                <w:lang w:val="fr-FR" w:eastAsia="en-US"/>
              </w:rPr>
              <w:t>[95% CI]</w:t>
            </w:r>
          </w:p>
        </w:tc>
        <w:tc>
          <w:tcPr>
            <w:tcW w:w="2682" w:type="dxa"/>
            <w:shd w:val="clear" w:color="auto" w:fill="auto"/>
          </w:tcPr>
          <w:p w14:paraId="4C5C02A8" w14:textId="77777777" w:rsidR="002D203E" w:rsidRPr="001D42A3" w:rsidRDefault="002D203E" w:rsidP="00BE69D7">
            <w:pPr>
              <w:keepNext/>
              <w:keepLines/>
              <w:spacing w:before="40" w:after="40"/>
              <w:jc w:val="center"/>
              <w:rPr>
                <w:sz w:val="22"/>
                <w:szCs w:val="22"/>
                <w:lang w:val="fr-FR" w:eastAsia="en-US"/>
              </w:rPr>
            </w:pPr>
          </w:p>
          <w:p w14:paraId="00DECDC3" w14:textId="77777777" w:rsidR="002D203E" w:rsidRPr="001D42A3" w:rsidRDefault="002D203E" w:rsidP="00BE69D7">
            <w:pPr>
              <w:keepNext/>
              <w:keepLines/>
              <w:spacing w:before="40" w:after="40"/>
              <w:jc w:val="center"/>
              <w:rPr>
                <w:sz w:val="22"/>
                <w:szCs w:val="22"/>
                <w:lang w:val="fr-FR" w:eastAsia="en-US"/>
              </w:rPr>
            </w:pPr>
            <w:r w:rsidRPr="001D42A3">
              <w:rPr>
                <w:sz w:val="22"/>
                <w:szCs w:val="22"/>
                <w:lang w:val="fr-FR" w:eastAsia="en-US"/>
              </w:rPr>
              <w:t>92 (61%)</w:t>
            </w:r>
          </w:p>
          <w:p w14:paraId="7E886670" w14:textId="77777777" w:rsidR="002D203E" w:rsidRPr="001D42A3" w:rsidRDefault="002D203E" w:rsidP="00BE69D7">
            <w:pPr>
              <w:keepNext/>
              <w:keepLines/>
              <w:spacing w:before="40" w:after="40"/>
              <w:jc w:val="center"/>
              <w:rPr>
                <w:sz w:val="22"/>
                <w:szCs w:val="22"/>
                <w:lang w:val="fr-FR" w:eastAsia="en-US"/>
              </w:rPr>
            </w:pPr>
            <w:r w:rsidRPr="001D42A3">
              <w:rPr>
                <w:sz w:val="22"/>
                <w:szCs w:val="22"/>
                <w:lang w:val="fr-FR" w:eastAsia="en-US"/>
              </w:rPr>
              <w:t>10.4</w:t>
            </w:r>
          </w:p>
          <w:p w14:paraId="51CEC428" w14:textId="77777777" w:rsidR="002D203E" w:rsidRPr="001D42A3" w:rsidRDefault="002D203E" w:rsidP="00BE69D7">
            <w:pPr>
              <w:keepNext/>
              <w:keepLines/>
              <w:spacing w:before="40" w:after="40"/>
              <w:jc w:val="center"/>
              <w:rPr>
                <w:sz w:val="22"/>
                <w:szCs w:val="22"/>
                <w:lang w:val="fr-FR" w:eastAsia="en-US"/>
              </w:rPr>
            </w:pPr>
            <w:r w:rsidRPr="001D42A3">
              <w:rPr>
                <w:sz w:val="22"/>
                <w:szCs w:val="22"/>
                <w:lang w:val="fr-FR" w:eastAsia="en-US"/>
              </w:rPr>
              <w:t>[7.7; 14.6]</w:t>
            </w:r>
          </w:p>
        </w:tc>
        <w:tc>
          <w:tcPr>
            <w:tcW w:w="2704" w:type="dxa"/>
            <w:shd w:val="clear" w:color="auto" w:fill="auto"/>
          </w:tcPr>
          <w:p w14:paraId="04482673" w14:textId="77777777" w:rsidR="002D203E" w:rsidRPr="001D42A3" w:rsidRDefault="002D203E" w:rsidP="00BE69D7">
            <w:pPr>
              <w:keepNext/>
              <w:keepLines/>
              <w:spacing w:before="40" w:after="40"/>
              <w:jc w:val="center"/>
              <w:rPr>
                <w:sz w:val="22"/>
                <w:szCs w:val="22"/>
                <w:lang w:val="fr-FR" w:eastAsia="en-US"/>
              </w:rPr>
            </w:pPr>
          </w:p>
          <w:p w14:paraId="5EF7BD2D" w14:textId="77777777" w:rsidR="002D203E" w:rsidRPr="001D42A3" w:rsidRDefault="002D203E" w:rsidP="00BE69D7">
            <w:pPr>
              <w:keepNext/>
              <w:keepLines/>
              <w:spacing w:before="40" w:after="40"/>
              <w:jc w:val="center"/>
              <w:rPr>
                <w:sz w:val="22"/>
                <w:szCs w:val="22"/>
                <w:lang w:val="fr-FR" w:eastAsia="en-US"/>
              </w:rPr>
            </w:pPr>
            <w:r w:rsidRPr="001D42A3">
              <w:rPr>
                <w:sz w:val="22"/>
                <w:szCs w:val="22"/>
                <w:lang w:val="fr-FR" w:eastAsia="en-US"/>
              </w:rPr>
              <w:t>63 (41%)</w:t>
            </w:r>
          </w:p>
          <w:p w14:paraId="6121586A" w14:textId="77777777" w:rsidR="002D203E" w:rsidRPr="001D42A3" w:rsidRDefault="002D203E" w:rsidP="00BE69D7">
            <w:pPr>
              <w:keepNext/>
              <w:keepLines/>
              <w:spacing w:before="40" w:after="40"/>
              <w:jc w:val="center"/>
              <w:rPr>
                <w:sz w:val="22"/>
                <w:szCs w:val="22"/>
                <w:lang w:val="fr-FR" w:eastAsia="en-US"/>
              </w:rPr>
            </w:pPr>
            <w:r w:rsidRPr="001D42A3">
              <w:rPr>
                <w:sz w:val="22"/>
                <w:szCs w:val="22"/>
                <w:lang w:val="fr-FR" w:eastAsia="en-US"/>
              </w:rPr>
              <w:t>25.7</w:t>
            </w:r>
          </w:p>
          <w:p w14:paraId="5749B804" w14:textId="77777777" w:rsidR="002D203E" w:rsidRPr="001D42A3" w:rsidRDefault="002D203E" w:rsidP="00BE69D7">
            <w:pPr>
              <w:keepNext/>
              <w:keepLines/>
              <w:spacing w:before="40" w:after="40"/>
              <w:jc w:val="center"/>
              <w:rPr>
                <w:sz w:val="22"/>
                <w:szCs w:val="22"/>
                <w:lang w:val="en-GB" w:eastAsia="en-US"/>
              </w:rPr>
            </w:pPr>
            <w:r w:rsidRPr="001D42A3">
              <w:rPr>
                <w:sz w:val="22"/>
                <w:szCs w:val="22"/>
                <w:lang w:val="en-GB" w:eastAsia="en-US"/>
              </w:rPr>
              <w:t>[19.9; NE]</w:t>
            </w:r>
          </w:p>
        </w:tc>
      </w:tr>
      <w:tr w:rsidR="002D203E" w:rsidRPr="001D42A3" w14:paraId="2749447E" w14:textId="77777777" w:rsidTr="00BE69D7">
        <w:tc>
          <w:tcPr>
            <w:tcW w:w="3936" w:type="dxa"/>
            <w:shd w:val="clear" w:color="auto" w:fill="auto"/>
          </w:tcPr>
          <w:p w14:paraId="2FBA2066" w14:textId="77777777" w:rsidR="002D203E" w:rsidRPr="001D42A3" w:rsidRDefault="002D203E" w:rsidP="00BE69D7">
            <w:pPr>
              <w:keepLines/>
              <w:spacing w:before="40" w:after="40"/>
              <w:ind w:left="342"/>
              <w:rPr>
                <w:rFonts w:eastAsia="MS Mincho"/>
                <w:sz w:val="22"/>
                <w:szCs w:val="22"/>
                <w:lang w:val="x-none" w:eastAsia="en-GB"/>
              </w:rPr>
            </w:pPr>
            <w:r w:rsidRPr="001D42A3">
              <w:rPr>
                <w:rFonts w:eastAsia="MS Mincho"/>
                <w:sz w:val="22"/>
                <w:szCs w:val="22"/>
                <w:lang w:val="x-none" w:eastAsia="en-GB"/>
              </w:rPr>
              <w:t>HR</w:t>
            </w:r>
          </w:p>
          <w:p w14:paraId="1279A347" w14:textId="77777777" w:rsidR="002D203E" w:rsidRPr="001D42A3" w:rsidRDefault="002D203E" w:rsidP="00BE69D7">
            <w:pPr>
              <w:keepLines/>
              <w:spacing w:before="40" w:after="40"/>
              <w:ind w:left="342"/>
              <w:rPr>
                <w:rFonts w:eastAsia="MS Mincho"/>
                <w:sz w:val="22"/>
                <w:szCs w:val="22"/>
                <w:lang w:val="x-none" w:eastAsia="en-GB"/>
              </w:rPr>
            </w:pPr>
            <w:r w:rsidRPr="001D42A3">
              <w:rPr>
                <w:rFonts w:eastAsia="MS Mincho"/>
                <w:sz w:val="22"/>
                <w:szCs w:val="22"/>
                <w:lang w:val="x-none" w:eastAsia="en-GB"/>
              </w:rPr>
              <w:t>[9</w:t>
            </w:r>
            <w:r w:rsidRPr="001D42A3">
              <w:rPr>
                <w:rFonts w:eastAsia="MS Mincho"/>
                <w:sz w:val="22"/>
                <w:szCs w:val="22"/>
                <w:lang w:eastAsia="en-GB"/>
              </w:rPr>
              <w:t xml:space="preserve">5% </w:t>
            </w:r>
            <w:r w:rsidRPr="001D42A3">
              <w:rPr>
                <w:rFonts w:eastAsia="MS Mincho"/>
                <w:sz w:val="22"/>
                <w:szCs w:val="22"/>
                <w:lang w:val="x-none" w:eastAsia="en-GB"/>
              </w:rPr>
              <w:t>CI]</w:t>
            </w:r>
          </w:p>
          <w:p w14:paraId="5F799370" w14:textId="77777777" w:rsidR="002D203E" w:rsidRPr="001D42A3" w:rsidRDefault="002D203E" w:rsidP="00BE69D7">
            <w:pPr>
              <w:keepLines/>
              <w:spacing w:before="40" w:after="40"/>
              <w:ind w:left="342"/>
              <w:rPr>
                <w:sz w:val="22"/>
                <w:szCs w:val="22"/>
                <w:lang w:eastAsia="en-US"/>
              </w:rPr>
            </w:pPr>
            <w:r w:rsidRPr="001D42A3">
              <w:rPr>
                <w:rFonts w:eastAsia="MS Mincho"/>
                <w:sz w:val="22"/>
                <w:szCs w:val="22"/>
                <w:lang w:val="x-none" w:eastAsia="en-GB"/>
              </w:rPr>
              <w:t>Stratified log-rank p-value</w:t>
            </w:r>
          </w:p>
        </w:tc>
        <w:tc>
          <w:tcPr>
            <w:tcW w:w="5386" w:type="dxa"/>
            <w:gridSpan w:val="2"/>
            <w:shd w:val="clear" w:color="auto" w:fill="auto"/>
          </w:tcPr>
          <w:p w14:paraId="561A15D0"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0.50</w:t>
            </w:r>
          </w:p>
          <w:p w14:paraId="41C3BC81"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[0.36; 0.70]</w:t>
            </w:r>
          </w:p>
          <w:p w14:paraId="0D2388F1" w14:textId="77777777" w:rsidR="002D203E" w:rsidRPr="001D42A3" w:rsidRDefault="002D203E" w:rsidP="00BE69D7">
            <w:pPr>
              <w:keepLines/>
              <w:spacing w:before="40" w:after="40"/>
              <w:jc w:val="center"/>
              <w:rPr>
                <w:sz w:val="22"/>
                <w:szCs w:val="22"/>
                <w:highlight w:val="yellow"/>
                <w:lang w:val="en-GB" w:eastAsia="en-US"/>
              </w:rPr>
            </w:pPr>
            <w:r w:rsidRPr="001D42A3">
              <w:rPr>
                <w:sz w:val="22"/>
                <w:szCs w:val="22"/>
                <w:lang w:val="en-GB" w:eastAsia="en-US"/>
              </w:rPr>
              <w:t>p &lt; 0.0001</w:t>
            </w:r>
          </w:p>
        </w:tc>
      </w:tr>
      <w:tr w:rsidR="002D203E" w:rsidRPr="001D42A3" w14:paraId="4C465D04" w14:textId="77777777" w:rsidTr="00BE69D7">
        <w:tc>
          <w:tcPr>
            <w:tcW w:w="3936" w:type="dxa"/>
            <w:shd w:val="clear" w:color="auto" w:fill="auto"/>
          </w:tcPr>
          <w:p w14:paraId="40D55F6E" w14:textId="77777777" w:rsidR="002D203E" w:rsidRPr="001D42A3" w:rsidRDefault="002D203E" w:rsidP="00BE69D7">
            <w:pPr>
              <w:keepLines/>
              <w:spacing w:before="40" w:after="40"/>
              <w:rPr>
                <w:sz w:val="22"/>
                <w:szCs w:val="22"/>
                <w:lang w:val="en-GB" w:eastAsia="en-US"/>
              </w:rPr>
            </w:pPr>
            <w:r w:rsidRPr="001D42A3">
              <w:rPr>
                <w:sz w:val="22"/>
                <w:szCs w:val="22"/>
                <w:lang w:val="en-GB" w:eastAsia="en-US"/>
              </w:rPr>
              <w:t>Time to CNS progression (IRC)*</w:t>
            </w:r>
          </w:p>
          <w:p w14:paraId="54BAC7A4" w14:textId="77777777" w:rsidR="002D203E" w:rsidRPr="001D42A3" w:rsidRDefault="002D203E" w:rsidP="00BE69D7">
            <w:pPr>
              <w:keepLines/>
              <w:spacing w:before="40" w:after="40"/>
              <w:ind w:left="432" w:hanging="72"/>
              <w:rPr>
                <w:sz w:val="22"/>
                <w:szCs w:val="22"/>
                <w:lang w:val="en-GB" w:eastAsia="en-US"/>
              </w:rPr>
            </w:pPr>
            <w:r w:rsidRPr="001D42A3">
              <w:rPr>
                <w:sz w:val="22"/>
                <w:szCs w:val="22"/>
                <w:lang w:val="en-GB" w:eastAsia="en-US"/>
              </w:rPr>
              <w:t>(without prior systemic PD**)</w:t>
            </w:r>
          </w:p>
          <w:p w14:paraId="1C89BFC3" w14:textId="77777777" w:rsidR="002D203E" w:rsidRPr="001D42A3" w:rsidRDefault="002D203E" w:rsidP="00BE69D7">
            <w:pPr>
              <w:keepLines/>
              <w:spacing w:before="40" w:after="40"/>
              <w:ind w:left="432" w:hanging="72"/>
              <w:rPr>
                <w:rFonts w:eastAsia="MS Mincho"/>
                <w:sz w:val="22"/>
                <w:szCs w:val="22"/>
                <w:highlight w:val="yellow"/>
                <w:lang w:eastAsia="en-US"/>
              </w:rPr>
            </w:pPr>
            <w:r w:rsidRPr="001D42A3">
              <w:rPr>
                <w:rFonts w:eastAsia="MS Mincho"/>
                <w:sz w:val="22"/>
                <w:szCs w:val="22"/>
                <w:lang w:val="x-none" w:eastAsia="en-GB"/>
              </w:rPr>
              <w:t>Number of patients with event</w:t>
            </w:r>
            <w:r w:rsidRPr="001D42A3">
              <w:rPr>
                <w:rFonts w:eastAsia="MS Mincho"/>
                <w:sz w:val="22"/>
                <w:szCs w:val="22"/>
                <w:lang w:eastAsia="en-GB"/>
              </w:rPr>
              <w:t xml:space="preserve"> n (%)</w:t>
            </w:r>
          </w:p>
        </w:tc>
        <w:tc>
          <w:tcPr>
            <w:tcW w:w="2682" w:type="dxa"/>
            <w:shd w:val="clear" w:color="auto" w:fill="auto"/>
          </w:tcPr>
          <w:p w14:paraId="6B8E65DE" w14:textId="77777777" w:rsidR="002D203E" w:rsidRPr="001D42A3" w:rsidRDefault="002D203E" w:rsidP="00BE69D7">
            <w:pPr>
              <w:keepLines/>
              <w:spacing w:before="40" w:after="40"/>
              <w:jc w:val="center"/>
              <w:rPr>
                <w:sz w:val="22"/>
                <w:szCs w:val="22"/>
                <w:lang w:val="en-GB" w:eastAsia="en-US"/>
              </w:rPr>
            </w:pPr>
          </w:p>
          <w:p w14:paraId="50E6E12B" w14:textId="77777777" w:rsidR="002D203E" w:rsidRPr="001D42A3" w:rsidRDefault="002D203E" w:rsidP="00BE69D7">
            <w:pPr>
              <w:keepLines/>
              <w:spacing w:before="40" w:after="40"/>
              <w:jc w:val="center"/>
              <w:rPr>
                <w:sz w:val="22"/>
                <w:szCs w:val="22"/>
                <w:lang w:val="en-GB" w:eastAsia="en-US"/>
              </w:rPr>
            </w:pPr>
          </w:p>
          <w:p w14:paraId="445921A3"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68 (45%)</w:t>
            </w:r>
          </w:p>
        </w:tc>
        <w:tc>
          <w:tcPr>
            <w:tcW w:w="2704" w:type="dxa"/>
            <w:shd w:val="clear" w:color="auto" w:fill="auto"/>
          </w:tcPr>
          <w:p w14:paraId="2A6C3D16" w14:textId="77777777" w:rsidR="002D203E" w:rsidRPr="001D42A3" w:rsidRDefault="002D203E" w:rsidP="00BE69D7">
            <w:pPr>
              <w:keepLines/>
              <w:spacing w:before="40" w:after="40"/>
              <w:jc w:val="center"/>
              <w:rPr>
                <w:sz w:val="22"/>
                <w:szCs w:val="22"/>
                <w:lang w:val="en-GB" w:eastAsia="en-US"/>
              </w:rPr>
            </w:pPr>
          </w:p>
          <w:p w14:paraId="15704ACA" w14:textId="77777777" w:rsidR="002D203E" w:rsidRPr="001D42A3" w:rsidRDefault="002D203E" w:rsidP="00BE69D7">
            <w:pPr>
              <w:keepLines/>
              <w:spacing w:before="40" w:after="40"/>
              <w:jc w:val="center"/>
              <w:rPr>
                <w:sz w:val="22"/>
                <w:szCs w:val="22"/>
                <w:lang w:val="en-GB" w:eastAsia="en-US"/>
              </w:rPr>
            </w:pPr>
          </w:p>
          <w:p w14:paraId="0FF1DA0A"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18 (12%)</w:t>
            </w:r>
          </w:p>
        </w:tc>
      </w:tr>
      <w:tr w:rsidR="002D203E" w:rsidRPr="001D42A3" w14:paraId="344D2915" w14:textId="77777777" w:rsidTr="00BE69D7">
        <w:trPr>
          <w:trHeight w:val="486"/>
        </w:trPr>
        <w:tc>
          <w:tcPr>
            <w:tcW w:w="3936" w:type="dxa"/>
            <w:shd w:val="clear" w:color="auto" w:fill="auto"/>
          </w:tcPr>
          <w:p w14:paraId="426B42D0" w14:textId="77777777" w:rsidR="002D203E" w:rsidRPr="001D42A3" w:rsidRDefault="002D203E" w:rsidP="00BE69D7">
            <w:pPr>
              <w:keepLines/>
              <w:spacing w:before="40" w:after="40"/>
              <w:ind w:left="342"/>
              <w:rPr>
                <w:rFonts w:eastAsia="MS Mincho"/>
                <w:sz w:val="22"/>
                <w:szCs w:val="22"/>
                <w:lang w:eastAsia="en-GB"/>
              </w:rPr>
            </w:pPr>
            <w:r w:rsidRPr="001D42A3">
              <w:rPr>
                <w:rFonts w:eastAsia="MS Mincho"/>
                <w:sz w:val="22"/>
                <w:szCs w:val="22"/>
                <w:lang w:eastAsia="en-GB"/>
              </w:rPr>
              <w:t xml:space="preserve">Cause-Specific </w:t>
            </w:r>
            <w:r w:rsidRPr="001D42A3">
              <w:rPr>
                <w:rFonts w:eastAsia="MS Mincho"/>
                <w:sz w:val="22"/>
                <w:szCs w:val="22"/>
                <w:lang w:val="x-none" w:eastAsia="en-GB"/>
              </w:rPr>
              <w:t>HR</w:t>
            </w:r>
            <w:r w:rsidRPr="001D42A3">
              <w:rPr>
                <w:rFonts w:eastAsia="MS Mincho"/>
                <w:sz w:val="22"/>
                <w:szCs w:val="22"/>
                <w:lang w:eastAsia="en-GB"/>
              </w:rPr>
              <w:t xml:space="preserve"> </w:t>
            </w:r>
          </w:p>
          <w:p w14:paraId="27EEEFAB" w14:textId="77777777" w:rsidR="002D203E" w:rsidRPr="001D42A3" w:rsidRDefault="002D203E" w:rsidP="00BE69D7">
            <w:pPr>
              <w:keepLines/>
              <w:spacing w:before="40" w:after="40"/>
              <w:ind w:left="342"/>
              <w:rPr>
                <w:rFonts w:eastAsia="MS Mincho"/>
                <w:sz w:val="22"/>
                <w:szCs w:val="22"/>
                <w:lang w:eastAsia="en-GB"/>
              </w:rPr>
            </w:pPr>
            <w:r w:rsidRPr="001D42A3">
              <w:rPr>
                <w:rFonts w:eastAsia="MS Mincho"/>
                <w:sz w:val="22"/>
                <w:szCs w:val="22"/>
                <w:lang w:val="x-none" w:eastAsia="en-GB"/>
              </w:rPr>
              <w:t>[95% CI]</w:t>
            </w:r>
          </w:p>
          <w:p w14:paraId="146D3F40" w14:textId="77777777" w:rsidR="002D203E" w:rsidRPr="001D42A3" w:rsidRDefault="002D203E" w:rsidP="00BE69D7">
            <w:pPr>
              <w:keepLines/>
              <w:spacing w:before="40" w:after="40"/>
              <w:ind w:left="342"/>
              <w:rPr>
                <w:rFonts w:eastAsia="MS Mincho"/>
                <w:sz w:val="22"/>
                <w:szCs w:val="22"/>
                <w:highlight w:val="yellow"/>
                <w:lang w:eastAsia="en-US"/>
              </w:rPr>
            </w:pPr>
            <w:r w:rsidRPr="001D42A3">
              <w:rPr>
                <w:rFonts w:eastAsia="MS Mincho"/>
                <w:sz w:val="22"/>
                <w:szCs w:val="22"/>
                <w:lang w:val="x-none" w:eastAsia="en-GB"/>
              </w:rPr>
              <w:t>Stratified log-rank p-value</w:t>
            </w:r>
          </w:p>
        </w:tc>
        <w:tc>
          <w:tcPr>
            <w:tcW w:w="5386" w:type="dxa"/>
            <w:gridSpan w:val="2"/>
            <w:shd w:val="clear" w:color="auto" w:fill="auto"/>
          </w:tcPr>
          <w:p w14:paraId="3E2042B5"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0.16</w:t>
            </w:r>
          </w:p>
          <w:p w14:paraId="76ABE607"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[0.10; 0.28]</w:t>
            </w:r>
          </w:p>
          <w:p w14:paraId="3BA4974D" w14:textId="77777777" w:rsidR="002D203E" w:rsidRPr="001D42A3" w:rsidRDefault="002D203E" w:rsidP="00BE69D7">
            <w:pPr>
              <w:keepLines/>
              <w:spacing w:before="40" w:after="40"/>
              <w:jc w:val="center"/>
              <w:rPr>
                <w:sz w:val="22"/>
                <w:szCs w:val="22"/>
                <w:highlight w:val="yellow"/>
                <w:lang w:val="en-GB" w:eastAsia="en-US"/>
              </w:rPr>
            </w:pPr>
            <w:r w:rsidRPr="001D42A3">
              <w:rPr>
                <w:sz w:val="22"/>
                <w:szCs w:val="22"/>
                <w:lang w:val="en-GB" w:eastAsia="en-US"/>
              </w:rPr>
              <w:t>p &lt; 0.0001</w:t>
            </w:r>
          </w:p>
        </w:tc>
      </w:tr>
      <w:tr w:rsidR="002D203E" w:rsidRPr="001D42A3" w14:paraId="1FC5AB11" w14:textId="77777777" w:rsidTr="00BE69D7">
        <w:trPr>
          <w:trHeight w:val="585"/>
        </w:trPr>
        <w:tc>
          <w:tcPr>
            <w:tcW w:w="3936" w:type="dxa"/>
            <w:shd w:val="clear" w:color="auto" w:fill="auto"/>
          </w:tcPr>
          <w:p w14:paraId="0F2DE8BE" w14:textId="77777777" w:rsidR="002D203E" w:rsidRPr="001D42A3" w:rsidRDefault="002D203E" w:rsidP="00BE69D7">
            <w:pPr>
              <w:keepLines/>
              <w:spacing w:before="40" w:after="40"/>
              <w:ind w:left="432"/>
              <w:rPr>
                <w:sz w:val="22"/>
                <w:szCs w:val="22"/>
              </w:rPr>
            </w:pPr>
            <w:r w:rsidRPr="001D42A3">
              <w:rPr>
                <w:sz w:val="22"/>
                <w:szCs w:val="22"/>
              </w:rPr>
              <w:t xml:space="preserve">12-month cumulative incidence of CNS progression (IRC) </w:t>
            </w:r>
          </w:p>
          <w:p w14:paraId="6F4679E4" w14:textId="77777777" w:rsidR="002D203E" w:rsidRPr="001D42A3" w:rsidRDefault="002D203E" w:rsidP="00BE69D7">
            <w:pPr>
              <w:keepLines/>
              <w:spacing w:before="40" w:after="40"/>
              <w:ind w:left="432"/>
              <w:jc w:val="both"/>
              <w:rPr>
                <w:sz w:val="22"/>
                <w:szCs w:val="22"/>
                <w:highlight w:val="yellow"/>
              </w:rPr>
            </w:pPr>
            <w:r w:rsidRPr="001D42A3">
              <w:rPr>
                <w:sz w:val="22"/>
                <w:szCs w:val="22"/>
              </w:rPr>
              <w:t>% (95% CI)</w:t>
            </w:r>
          </w:p>
        </w:tc>
        <w:tc>
          <w:tcPr>
            <w:tcW w:w="2682" w:type="dxa"/>
            <w:shd w:val="clear" w:color="auto" w:fill="auto"/>
          </w:tcPr>
          <w:p w14:paraId="7DBF1ADB" w14:textId="77777777" w:rsidR="002D203E" w:rsidRPr="001D42A3" w:rsidRDefault="002D203E" w:rsidP="00BE69D7">
            <w:pPr>
              <w:keepLines/>
              <w:spacing w:before="40" w:after="40"/>
              <w:jc w:val="center"/>
              <w:rPr>
                <w:strike/>
                <w:sz w:val="22"/>
                <w:szCs w:val="22"/>
              </w:rPr>
            </w:pPr>
            <w:r w:rsidRPr="001D42A3">
              <w:rPr>
                <w:sz w:val="22"/>
                <w:szCs w:val="22"/>
              </w:rPr>
              <w:t>41.4%</w:t>
            </w:r>
            <w:r w:rsidRPr="001D42A3">
              <w:rPr>
                <w:sz w:val="22"/>
                <w:szCs w:val="22"/>
              </w:rPr>
              <w:br/>
            </w:r>
          </w:p>
          <w:p w14:paraId="27764DA7" w14:textId="77777777" w:rsidR="002D203E" w:rsidRPr="001D42A3" w:rsidRDefault="002D203E" w:rsidP="00BE69D7">
            <w:pPr>
              <w:keepLines/>
              <w:spacing w:before="40" w:after="40"/>
              <w:jc w:val="center"/>
              <w:rPr>
                <w:sz w:val="22"/>
                <w:szCs w:val="22"/>
              </w:rPr>
            </w:pPr>
            <w:r w:rsidRPr="001D42A3">
              <w:rPr>
                <w:sz w:val="22"/>
                <w:szCs w:val="22"/>
              </w:rPr>
              <w:t>[33.2; 49.4]</w:t>
            </w:r>
          </w:p>
        </w:tc>
        <w:tc>
          <w:tcPr>
            <w:tcW w:w="2704" w:type="dxa"/>
            <w:shd w:val="clear" w:color="auto" w:fill="auto"/>
          </w:tcPr>
          <w:p w14:paraId="008DD085" w14:textId="77777777" w:rsidR="002D203E" w:rsidRPr="001D42A3" w:rsidRDefault="002D203E" w:rsidP="00BE69D7">
            <w:pPr>
              <w:keepLines/>
              <w:spacing w:before="40" w:after="40"/>
              <w:jc w:val="center"/>
              <w:rPr>
                <w:sz w:val="22"/>
                <w:szCs w:val="22"/>
              </w:rPr>
            </w:pPr>
            <w:r w:rsidRPr="001D42A3">
              <w:rPr>
                <w:sz w:val="22"/>
                <w:szCs w:val="22"/>
              </w:rPr>
              <w:t>9.4%</w:t>
            </w:r>
            <w:r w:rsidRPr="001D42A3">
              <w:rPr>
                <w:sz w:val="22"/>
                <w:szCs w:val="22"/>
              </w:rPr>
              <w:br/>
            </w:r>
          </w:p>
          <w:p w14:paraId="5B85316B" w14:textId="77777777" w:rsidR="002D203E" w:rsidRPr="001D42A3" w:rsidRDefault="002D203E" w:rsidP="00BE69D7">
            <w:pPr>
              <w:keepLines/>
              <w:spacing w:before="40" w:after="40"/>
              <w:jc w:val="center"/>
              <w:rPr>
                <w:sz w:val="22"/>
                <w:szCs w:val="22"/>
              </w:rPr>
            </w:pPr>
            <w:r w:rsidRPr="001D42A3">
              <w:rPr>
                <w:sz w:val="22"/>
                <w:szCs w:val="22"/>
              </w:rPr>
              <w:t>[5.4; 14.7]</w:t>
            </w:r>
          </w:p>
        </w:tc>
      </w:tr>
      <w:tr w:rsidR="002D203E" w:rsidRPr="001D42A3" w14:paraId="687FC4D7" w14:textId="77777777" w:rsidTr="00BE69D7">
        <w:tc>
          <w:tcPr>
            <w:tcW w:w="3936" w:type="dxa"/>
            <w:shd w:val="clear" w:color="auto" w:fill="auto"/>
          </w:tcPr>
          <w:p w14:paraId="7D407E45" w14:textId="77777777" w:rsidR="002D203E" w:rsidRPr="00BE69D7" w:rsidRDefault="002D203E" w:rsidP="00BE69D7">
            <w:pPr>
              <w:spacing w:before="40" w:after="40"/>
              <w:rPr>
                <w:sz w:val="22"/>
                <w:szCs w:val="22"/>
                <w:lang w:val="it-IT" w:eastAsia="en-US"/>
              </w:rPr>
            </w:pPr>
            <w:r w:rsidRPr="00BE69D7">
              <w:rPr>
                <w:sz w:val="22"/>
                <w:szCs w:val="22"/>
                <w:lang w:val="it-IT" w:eastAsia="en-US"/>
              </w:rPr>
              <w:t>ORR (INV)*, ***</w:t>
            </w:r>
          </w:p>
          <w:p w14:paraId="2E3907C4" w14:textId="77777777" w:rsidR="002D203E" w:rsidRPr="001D42A3" w:rsidRDefault="002D203E" w:rsidP="00BE69D7">
            <w:pPr>
              <w:spacing w:before="40" w:after="40"/>
              <w:ind w:left="342"/>
              <w:rPr>
                <w:rFonts w:eastAsia="MS Mincho"/>
                <w:sz w:val="22"/>
                <w:szCs w:val="22"/>
                <w:lang w:val="x-none" w:eastAsia="en-GB"/>
              </w:rPr>
            </w:pPr>
            <w:r w:rsidRPr="00BE69D7">
              <w:rPr>
                <w:rFonts w:eastAsia="MS Mincho"/>
                <w:sz w:val="22"/>
                <w:szCs w:val="22"/>
                <w:lang w:val="it-IT" w:eastAsia="en-GB"/>
              </w:rPr>
              <w:t>Responders</w:t>
            </w:r>
            <w:r w:rsidRPr="001D42A3">
              <w:rPr>
                <w:rFonts w:eastAsia="MS Mincho"/>
                <w:sz w:val="22"/>
                <w:szCs w:val="22"/>
                <w:lang w:val="x-none" w:eastAsia="en-GB"/>
              </w:rPr>
              <w:t xml:space="preserve"> </w:t>
            </w:r>
            <w:r w:rsidRPr="00BE69D7">
              <w:rPr>
                <w:rFonts w:eastAsia="MS Mincho"/>
                <w:sz w:val="22"/>
                <w:szCs w:val="22"/>
                <w:lang w:val="it-IT" w:eastAsia="en-GB"/>
              </w:rPr>
              <w:t>n</w:t>
            </w:r>
            <w:r w:rsidRPr="001D42A3">
              <w:rPr>
                <w:rFonts w:eastAsia="MS Mincho"/>
                <w:sz w:val="22"/>
                <w:szCs w:val="22"/>
                <w:lang w:val="x-none" w:eastAsia="en-GB"/>
              </w:rPr>
              <w:t xml:space="preserve"> (%)</w:t>
            </w:r>
          </w:p>
          <w:p w14:paraId="5CEBB6DA" w14:textId="77777777" w:rsidR="002D203E" w:rsidRPr="00BE69D7" w:rsidRDefault="002D203E" w:rsidP="00BE69D7">
            <w:pPr>
              <w:spacing w:before="40" w:after="40"/>
              <w:ind w:left="342"/>
              <w:rPr>
                <w:rFonts w:eastAsia="MS Mincho"/>
                <w:sz w:val="22"/>
                <w:szCs w:val="22"/>
                <w:highlight w:val="yellow"/>
                <w:lang w:val="it-IT" w:eastAsia="en-US"/>
              </w:rPr>
            </w:pPr>
            <w:r w:rsidRPr="001D42A3">
              <w:rPr>
                <w:rFonts w:eastAsia="MS Mincho"/>
                <w:sz w:val="22"/>
                <w:szCs w:val="22"/>
                <w:lang w:val="x-none" w:eastAsia="en-GB"/>
              </w:rPr>
              <w:t>[95% CI]</w:t>
            </w:r>
          </w:p>
        </w:tc>
        <w:tc>
          <w:tcPr>
            <w:tcW w:w="2682" w:type="dxa"/>
            <w:shd w:val="clear" w:color="auto" w:fill="auto"/>
          </w:tcPr>
          <w:p w14:paraId="59D2C26E" w14:textId="77777777" w:rsidR="002D203E" w:rsidRPr="00BE69D7" w:rsidRDefault="002D203E" w:rsidP="00BE69D7">
            <w:pPr>
              <w:spacing w:before="40" w:after="40"/>
              <w:jc w:val="center"/>
              <w:rPr>
                <w:sz w:val="22"/>
                <w:szCs w:val="22"/>
                <w:highlight w:val="yellow"/>
                <w:lang w:val="it-IT" w:eastAsia="en-US"/>
              </w:rPr>
            </w:pPr>
          </w:p>
          <w:p w14:paraId="0579CBC2" w14:textId="77777777" w:rsidR="002D203E" w:rsidRPr="001D42A3" w:rsidRDefault="002D203E" w:rsidP="00BE69D7">
            <w:pPr>
              <w:spacing w:before="40" w:after="40"/>
              <w:jc w:val="center"/>
              <w:rPr>
                <w:sz w:val="22"/>
                <w:szCs w:val="22"/>
                <w:lang w:val="en-GB" w:eastAsia="en-US"/>
              </w:rPr>
            </w:pPr>
            <w:r w:rsidRPr="001D42A3">
              <w:rPr>
                <w:sz w:val="22"/>
                <w:szCs w:val="22"/>
                <w:lang w:val="en-GB" w:eastAsia="en-US"/>
              </w:rPr>
              <w:t>114 (75.5%)</w:t>
            </w:r>
          </w:p>
          <w:p w14:paraId="2C8A8421" w14:textId="77777777" w:rsidR="002D203E" w:rsidRPr="001D42A3" w:rsidRDefault="002D203E" w:rsidP="00BE69D7">
            <w:pPr>
              <w:spacing w:before="40" w:after="40"/>
              <w:jc w:val="center"/>
              <w:rPr>
                <w:sz w:val="22"/>
                <w:szCs w:val="22"/>
                <w:highlight w:val="yellow"/>
                <w:lang w:val="en-GB" w:eastAsia="en-US"/>
              </w:rPr>
            </w:pPr>
            <w:r w:rsidRPr="001D42A3">
              <w:rPr>
                <w:sz w:val="22"/>
                <w:szCs w:val="22"/>
                <w:lang w:val="en-GB" w:eastAsia="en-US"/>
              </w:rPr>
              <w:t>[67.8; 82.1]</w:t>
            </w:r>
          </w:p>
        </w:tc>
        <w:tc>
          <w:tcPr>
            <w:tcW w:w="2704" w:type="dxa"/>
            <w:shd w:val="clear" w:color="auto" w:fill="auto"/>
          </w:tcPr>
          <w:p w14:paraId="58FBB7BC" w14:textId="77777777" w:rsidR="002D203E" w:rsidRPr="001D42A3" w:rsidRDefault="002D203E" w:rsidP="00BE69D7">
            <w:pPr>
              <w:spacing w:before="40" w:after="40"/>
              <w:jc w:val="center"/>
              <w:rPr>
                <w:sz w:val="22"/>
                <w:szCs w:val="22"/>
                <w:highlight w:val="yellow"/>
                <w:lang w:val="en-GB" w:eastAsia="en-US"/>
              </w:rPr>
            </w:pPr>
          </w:p>
          <w:p w14:paraId="4BC487A7" w14:textId="77777777" w:rsidR="002D203E" w:rsidRPr="001D42A3" w:rsidRDefault="002D203E" w:rsidP="00BE69D7">
            <w:pPr>
              <w:spacing w:before="40" w:after="40"/>
              <w:jc w:val="center"/>
              <w:rPr>
                <w:sz w:val="22"/>
                <w:szCs w:val="22"/>
                <w:lang w:val="en-GB" w:eastAsia="en-US"/>
              </w:rPr>
            </w:pPr>
            <w:r w:rsidRPr="001D42A3">
              <w:rPr>
                <w:sz w:val="22"/>
                <w:szCs w:val="22"/>
                <w:lang w:val="en-GB" w:eastAsia="en-US"/>
              </w:rPr>
              <w:t>126 (82.9%)</w:t>
            </w:r>
          </w:p>
          <w:p w14:paraId="4D950223" w14:textId="77777777" w:rsidR="002D203E" w:rsidRPr="001D42A3" w:rsidRDefault="002D203E" w:rsidP="00BE69D7">
            <w:pPr>
              <w:spacing w:before="40" w:after="40"/>
              <w:jc w:val="center"/>
              <w:rPr>
                <w:sz w:val="22"/>
                <w:szCs w:val="22"/>
                <w:highlight w:val="yellow"/>
                <w:lang w:val="en-GB" w:eastAsia="en-US"/>
              </w:rPr>
            </w:pPr>
            <w:r w:rsidRPr="001D42A3">
              <w:rPr>
                <w:sz w:val="22"/>
                <w:szCs w:val="22"/>
                <w:lang w:val="en-GB" w:eastAsia="en-US"/>
              </w:rPr>
              <w:t>[76.0; 88.5]</w:t>
            </w:r>
          </w:p>
        </w:tc>
      </w:tr>
      <w:tr w:rsidR="002D203E" w:rsidRPr="001D42A3" w14:paraId="0A7182D2" w14:textId="77777777" w:rsidTr="00BE69D7">
        <w:tc>
          <w:tcPr>
            <w:tcW w:w="3936" w:type="dxa"/>
            <w:shd w:val="clear" w:color="auto" w:fill="auto"/>
          </w:tcPr>
          <w:p w14:paraId="08AF5AEE" w14:textId="77777777" w:rsidR="002D203E" w:rsidRPr="001D42A3" w:rsidRDefault="002D203E" w:rsidP="00BE69D7">
            <w:pPr>
              <w:keepLines/>
              <w:spacing w:before="40" w:after="40"/>
              <w:rPr>
                <w:sz w:val="22"/>
                <w:szCs w:val="22"/>
                <w:lang w:eastAsia="en-US"/>
              </w:rPr>
            </w:pPr>
            <w:r w:rsidRPr="001D42A3">
              <w:rPr>
                <w:sz w:val="22"/>
                <w:szCs w:val="22"/>
                <w:lang w:eastAsia="en-US"/>
              </w:rPr>
              <w:t>Overall survival*</w:t>
            </w:r>
          </w:p>
          <w:p w14:paraId="4A400260" w14:textId="77777777" w:rsidR="002D203E" w:rsidRPr="001D42A3" w:rsidRDefault="002D203E" w:rsidP="00BE69D7">
            <w:pPr>
              <w:keepLines/>
              <w:spacing w:before="40" w:after="40"/>
              <w:ind w:left="432" w:hanging="72"/>
              <w:rPr>
                <w:sz w:val="22"/>
                <w:szCs w:val="22"/>
                <w:lang w:eastAsia="en-US"/>
              </w:rPr>
            </w:pPr>
            <w:r w:rsidRPr="001D42A3">
              <w:rPr>
                <w:sz w:val="22"/>
                <w:szCs w:val="22"/>
                <w:lang w:eastAsia="en-US"/>
              </w:rPr>
              <w:t>Number of patients with event n (%)*</w:t>
            </w:r>
          </w:p>
          <w:p w14:paraId="14A7F345" w14:textId="77777777" w:rsidR="002D203E" w:rsidRPr="001D42A3" w:rsidRDefault="002D203E" w:rsidP="00BE69D7">
            <w:pPr>
              <w:keepLines/>
              <w:spacing w:before="40" w:after="40"/>
              <w:ind w:left="432" w:hanging="72"/>
              <w:rPr>
                <w:sz w:val="22"/>
                <w:szCs w:val="22"/>
                <w:lang w:eastAsia="en-US"/>
              </w:rPr>
            </w:pPr>
            <w:r w:rsidRPr="001D42A3">
              <w:rPr>
                <w:sz w:val="22"/>
                <w:szCs w:val="22"/>
                <w:lang w:eastAsia="en-US"/>
              </w:rPr>
              <w:t>Median (months)</w:t>
            </w:r>
          </w:p>
          <w:p w14:paraId="0A2C621B" w14:textId="77777777" w:rsidR="002D203E" w:rsidRPr="001D42A3" w:rsidRDefault="002D203E" w:rsidP="00BE69D7">
            <w:pPr>
              <w:keepLines/>
              <w:spacing w:before="40" w:after="40"/>
              <w:ind w:left="432" w:hanging="72"/>
              <w:rPr>
                <w:sz w:val="22"/>
                <w:szCs w:val="22"/>
                <w:lang w:eastAsia="en-US"/>
              </w:rPr>
            </w:pPr>
            <w:r w:rsidRPr="001D42A3">
              <w:rPr>
                <w:sz w:val="22"/>
                <w:szCs w:val="22"/>
                <w:lang w:eastAsia="en-US"/>
              </w:rPr>
              <w:t>[95% CI]</w:t>
            </w:r>
          </w:p>
        </w:tc>
        <w:tc>
          <w:tcPr>
            <w:tcW w:w="2682" w:type="dxa"/>
            <w:shd w:val="clear" w:color="auto" w:fill="auto"/>
          </w:tcPr>
          <w:p w14:paraId="63BC5696" w14:textId="77777777" w:rsidR="002D203E" w:rsidRPr="001D42A3" w:rsidRDefault="002D203E" w:rsidP="00BE69D7">
            <w:pPr>
              <w:keepLines/>
              <w:spacing w:before="40" w:after="40"/>
              <w:jc w:val="center"/>
              <w:rPr>
                <w:sz w:val="22"/>
                <w:szCs w:val="22"/>
                <w:highlight w:val="yellow"/>
                <w:lang w:eastAsia="en-US"/>
              </w:rPr>
            </w:pPr>
          </w:p>
          <w:p w14:paraId="4B529BD9" w14:textId="77777777" w:rsidR="002D203E" w:rsidRPr="001D42A3" w:rsidRDefault="002D203E" w:rsidP="00BE69D7">
            <w:pPr>
              <w:keepLines/>
              <w:spacing w:before="40" w:after="40"/>
              <w:jc w:val="center"/>
              <w:rPr>
                <w:sz w:val="22"/>
                <w:szCs w:val="22"/>
                <w:lang w:eastAsia="en-US"/>
              </w:rPr>
            </w:pPr>
            <w:r w:rsidRPr="001D42A3">
              <w:rPr>
                <w:sz w:val="22"/>
                <w:szCs w:val="22"/>
                <w:lang w:eastAsia="en-US"/>
              </w:rPr>
              <w:t>40 (27%)</w:t>
            </w:r>
          </w:p>
          <w:p w14:paraId="3B31A821" w14:textId="77777777" w:rsidR="002D203E" w:rsidRPr="001D42A3" w:rsidRDefault="002D203E" w:rsidP="00BE69D7">
            <w:pPr>
              <w:keepLines/>
              <w:spacing w:before="40" w:after="40"/>
              <w:jc w:val="center"/>
              <w:rPr>
                <w:sz w:val="22"/>
                <w:szCs w:val="22"/>
                <w:lang w:eastAsia="en-US"/>
              </w:rPr>
            </w:pPr>
            <w:r w:rsidRPr="001D42A3">
              <w:rPr>
                <w:sz w:val="22"/>
                <w:szCs w:val="22"/>
                <w:lang w:eastAsia="en-US"/>
              </w:rPr>
              <w:t>NE</w:t>
            </w:r>
          </w:p>
          <w:p w14:paraId="7B0BBAB9" w14:textId="77777777" w:rsidR="002D203E" w:rsidRPr="001D42A3" w:rsidRDefault="002D203E" w:rsidP="00BE69D7">
            <w:pPr>
              <w:keepLines/>
              <w:spacing w:before="40" w:after="40"/>
              <w:jc w:val="center"/>
              <w:rPr>
                <w:sz w:val="22"/>
                <w:szCs w:val="22"/>
                <w:highlight w:val="yellow"/>
                <w:lang w:eastAsia="en-US"/>
              </w:rPr>
            </w:pPr>
            <w:r w:rsidRPr="001D42A3">
              <w:rPr>
                <w:sz w:val="22"/>
                <w:szCs w:val="22"/>
                <w:lang w:eastAsia="en-US"/>
              </w:rPr>
              <w:t>[NE; NE]</w:t>
            </w:r>
          </w:p>
        </w:tc>
        <w:tc>
          <w:tcPr>
            <w:tcW w:w="2704" w:type="dxa"/>
            <w:shd w:val="clear" w:color="auto" w:fill="auto"/>
          </w:tcPr>
          <w:p w14:paraId="0C074904" w14:textId="77777777" w:rsidR="002D203E" w:rsidRPr="001D42A3" w:rsidRDefault="002D203E" w:rsidP="00BE69D7">
            <w:pPr>
              <w:keepLines/>
              <w:spacing w:before="40" w:after="40"/>
              <w:jc w:val="center"/>
              <w:rPr>
                <w:sz w:val="22"/>
                <w:szCs w:val="22"/>
                <w:highlight w:val="yellow"/>
                <w:lang w:val="en-GB" w:eastAsia="en-US"/>
              </w:rPr>
            </w:pPr>
          </w:p>
          <w:p w14:paraId="0E88D108"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35 (23%)</w:t>
            </w:r>
          </w:p>
          <w:p w14:paraId="31C7EAB0"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NE</w:t>
            </w:r>
          </w:p>
          <w:p w14:paraId="5D83200D" w14:textId="77777777" w:rsidR="002D203E" w:rsidRPr="001D42A3" w:rsidRDefault="002D203E" w:rsidP="00BE69D7">
            <w:pPr>
              <w:keepLines/>
              <w:spacing w:before="40" w:after="40"/>
              <w:jc w:val="center"/>
              <w:rPr>
                <w:sz w:val="22"/>
                <w:szCs w:val="22"/>
                <w:highlight w:val="yellow"/>
                <w:lang w:val="en-GB" w:eastAsia="en-US"/>
              </w:rPr>
            </w:pPr>
            <w:r w:rsidRPr="001D42A3">
              <w:rPr>
                <w:sz w:val="22"/>
                <w:szCs w:val="22"/>
                <w:lang w:val="en-GB" w:eastAsia="en-US"/>
              </w:rPr>
              <w:t>[NE; NE]</w:t>
            </w:r>
          </w:p>
        </w:tc>
      </w:tr>
      <w:tr w:rsidR="002D203E" w:rsidRPr="001D42A3" w14:paraId="2C9AD588" w14:textId="77777777" w:rsidTr="00BE69D7">
        <w:tc>
          <w:tcPr>
            <w:tcW w:w="3936" w:type="dxa"/>
            <w:shd w:val="clear" w:color="auto" w:fill="auto"/>
          </w:tcPr>
          <w:p w14:paraId="3FB45B93" w14:textId="77777777" w:rsidR="002D203E" w:rsidRPr="001D42A3" w:rsidRDefault="002D203E" w:rsidP="00BE69D7">
            <w:pPr>
              <w:keepLines/>
              <w:spacing w:before="40" w:after="40"/>
              <w:ind w:left="432" w:hanging="72"/>
              <w:rPr>
                <w:sz w:val="22"/>
                <w:szCs w:val="22"/>
                <w:lang w:val="fr-FR" w:eastAsia="en-US"/>
              </w:rPr>
            </w:pPr>
            <w:r w:rsidRPr="001D42A3">
              <w:rPr>
                <w:sz w:val="22"/>
                <w:szCs w:val="22"/>
                <w:lang w:val="fr-FR" w:eastAsia="en-US"/>
              </w:rPr>
              <w:t>HR</w:t>
            </w:r>
          </w:p>
          <w:p w14:paraId="0529F378" w14:textId="77777777" w:rsidR="002D203E" w:rsidRPr="001D42A3" w:rsidRDefault="002D203E" w:rsidP="00BE69D7">
            <w:pPr>
              <w:keepLines/>
              <w:spacing w:before="40" w:after="40"/>
              <w:ind w:left="432" w:hanging="72"/>
              <w:rPr>
                <w:sz w:val="22"/>
                <w:szCs w:val="22"/>
                <w:lang w:val="fr-FR" w:eastAsia="en-US"/>
              </w:rPr>
            </w:pPr>
            <w:r w:rsidRPr="001D42A3">
              <w:rPr>
                <w:sz w:val="22"/>
                <w:szCs w:val="22"/>
                <w:lang w:val="fr-FR" w:eastAsia="en-US"/>
              </w:rPr>
              <w:t>[95% CI]</w:t>
            </w:r>
          </w:p>
        </w:tc>
        <w:tc>
          <w:tcPr>
            <w:tcW w:w="5386" w:type="dxa"/>
            <w:gridSpan w:val="2"/>
            <w:shd w:val="clear" w:color="auto" w:fill="auto"/>
          </w:tcPr>
          <w:p w14:paraId="356DE6A3" w14:textId="77777777" w:rsidR="002D203E" w:rsidRPr="001D42A3" w:rsidRDefault="002D203E" w:rsidP="00BE69D7">
            <w:pPr>
              <w:keepLines/>
              <w:spacing w:before="40" w:after="40"/>
              <w:jc w:val="center"/>
              <w:rPr>
                <w:sz w:val="22"/>
                <w:szCs w:val="22"/>
                <w:lang w:val="en-GB" w:eastAsia="en-US"/>
              </w:rPr>
            </w:pPr>
            <w:r w:rsidRPr="001D42A3">
              <w:rPr>
                <w:sz w:val="22"/>
                <w:szCs w:val="22"/>
                <w:lang w:val="en-GB" w:eastAsia="en-US"/>
              </w:rPr>
              <w:t>0.76</w:t>
            </w:r>
          </w:p>
          <w:p w14:paraId="5435BCDA" w14:textId="77777777" w:rsidR="002D203E" w:rsidRPr="001D42A3" w:rsidRDefault="002D203E" w:rsidP="00BE69D7">
            <w:pPr>
              <w:keepLines/>
              <w:spacing w:before="40" w:after="40"/>
              <w:jc w:val="center"/>
              <w:rPr>
                <w:sz w:val="22"/>
                <w:szCs w:val="22"/>
                <w:highlight w:val="yellow"/>
                <w:lang w:val="en-GB" w:eastAsia="en-US"/>
              </w:rPr>
            </w:pPr>
            <w:r w:rsidRPr="001D42A3">
              <w:rPr>
                <w:sz w:val="22"/>
                <w:szCs w:val="22"/>
                <w:lang w:val="en-GB" w:eastAsia="en-US"/>
              </w:rPr>
              <w:t>[0.48; 1.20]</w:t>
            </w:r>
          </w:p>
        </w:tc>
      </w:tr>
      <w:tr w:rsidR="002D203E" w:rsidRPr="001D42A3" w14:paraId="58EF6EE5" w14:textId="77777777" w:rsidTr="00BE69D7">
        <w:tc>
          <w:tcPr>
            <w:tcW w:w="3936" w:type="dxa"/>
            <w:shd w:val="clear" w:color="auto" w:fill="auto"/>
          </w:tcPr>
          <w:p w14:paraId="4AFE902E" w14:textId="77777777" w:rsidR="002D203E" w:rsidRPr="001D42A3" w:rsidRDefault="002D203E" w:rsidP="00BE69D7">
            <w:pPr>
              <w:spacing w:before="40" w:after="40"/>
              <w:rPr>
                <w:sz w:val="22"/>
                <w:szCs w:val="22"/>
                <w:lang w:eastAsia="ja-JP"/>
              </w:rPr>
            </w:pPr>
            <w:r w:rsidRPr="001D42A3">
              <w:rPr>
                <w:sz w:val="22"/>
                <w:szCs w:val="22"/>
                <w:lang w:eastAsia="ja-JP"/>
              </w:rPr>
              <w:t>Duration of response (INV)</w:t>
            </w:r>
          </w:p>
          <w:p w14:paraId="22EE2362" w14:textId="77777777" w:rsidR="002D203E" w:rsidRPr="001D42A3" w:rsidRDefault="002D203E" w:rsidP="00BE69D7">
            <w:pPr>
              <w:spacing w:before="40" w:after="40"/>
              <w:ind w:left="432" w:hanging="72"/>
              <w:rPr>
                <w:sz w:val="22"/>
                <w:szCs w:val="22"/>
                <w:lang w:eastAsia="ja-JP"/>
              </w:rPr>
            </w:pPr>
            <w:r w:rsidRPr="001D42A3">
              <w:rPr>
                <w:sz w:val="22"/>
                <w:szCs w:val="22"/>
                <w:lang w:eastAsia="ja-JP"/>
              </w:rPr>
              <w:t>Median (months)</w:t>
            </w:r>
          </w:p>
          <w:p w14:paraId="24D024F2" w14:textId="77777777" w:rsidR="002D203E" w:rsidRPr="001D42A3" w:rsidRDefault="002D203E" w:rsidP="00BE69D7">
            <w:pPr>
              <w:spacing w:before="40" w:after="40"/>
              <w:ind w:left="360"/>
              <w:rPr>
                <w:sz w:val="22"/>
                <w:szCs w:val="22"/>
                <w:lang w:eastAsia="ja-JP"/>
              </w:rPr>
            </w:pPr>
            <w:r w:rsidRPr="001D42A3">
              <w:rPr>
                <w:sz w:val="22"/>
                <w:szCs w:val="22"/>
                <w:lang w:eastAsia="ja-JP"/>
              </w:rPr>
              <w:t>95 % CI</w:t>
            </w:r>
          </w:p>
        </w:tc>
        <w:tc>
          <w:tcPr>
            <w:tcW w:w="2682" w:type="dxa"/>
            <w:shd w:val="clear" w:color="auto" w:fill="auto"/>
          </w:tcPr>
          <w:p w14:paraId="6026102F"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N=114</w:t>
            </w:r>
          </w:p>
          <w:p w14:paraId="2F47C4B9"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11.1</w:t>
            </w:r>
          </w:p>
          <w:p w14:paraId="6F52CB64"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[7.9; 13.0]</w:t>
            </w:r>
          </w:p>
        </w:tc>
        <w:tc>
          <w:tcPr>
            <w:tcW w:w="2704" w:type="dxa"/>
            <w:shd w:val="clear" w:color="auto" w:fill="auto"/>
          </w:tcPr>
          <w:p w14:paraId="5651A187"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N=126</w:t>
            </w:r>
          </w:p>
          <w:p w14:paraId="14AEAEF5"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NE</w:t>
            </w:r>
          </w:p>
          <w:p w14:paraId="0C7AAA99" w14:textId="77777777" w:rsidR="002D203E" w:rsidRPr="001D42A3" w:rsidRDefault="002D203E" w:rsidP="00BE69D7">
            <w:pPr>
              <w:tabs>
                <w:tab w:val="left" w:pos="659"/>
              </w:tabs>
              <w:spacing w:before="40" w:after="40" w:line="240" w:lineRule="exact"/>
              <w:jc w:val="center"/>
              <w:rPr>
                <w:sz w:val="22"/>
                <w:szCs w:val="22"/>
                <w:lang w:val="en-GB" w:eastAsia="ja-JP"/>
              </w:rPr>
            </w:pPr>
            <w:r w:rsidRPr="001D42A3">
              <w:rPr>
                <w:sz w:val="22"/>
                <w:szCs w:val="22"/>
                <w:lang w:val="en-GB" w:eastAsia="ja-JP"/>
              </w:rPr>
              <w:t>[NE; NE]</w:t>
            </w:r>
          </w:p>
        </w:tc>
      </w:tr>
      <w:tr w:rsidR="002D203E" w:rsidRPr="001D42A3" w14:paraId="69D498D0" w14:textId="77777777" w:rsidTr="00BE69D7">
        <w:tc>
          <w:tcPr>
            <w:tcW w:w="3936" w:type="dxa"/>
            <w:shd w:val="clear" w:color="auto" w:fill="auto"/>
          </w:tcPr>
          <w:p w14:paraId="747E33AF" w14:textId="77777777" w:rsidR="002D203E" w:rsidRPr="001D42A3" w:rsidRDefault="002D203E" w:rsidP="00BE69D7">
            <w:pPr>
              <w:keepNext/>
              <w:spacing w:before="40" w:after="40"/>
              <w:rPr>
                <w:sz w:val="22"/>
                <w:szCs w:val="22"/>
                <w:lang w:eastAsia="ja-JP"/>
              </w:rPr>
            </w:pPr>
            <w:r w:rsidRPr="001D42A3">
              <w:rPr>
                <w:sz w:val="22"/>
                <w:szCs w:val="22"/>
                <w:lang w:eastAsia="ja-JP"/>
              </w:rPr>
              <w:lastRenderedPageBreak/>
              <w:t>CNS-ORR in patients with measurable CNS metastases at baseline</w:t>
            </w:r>
          </w:p>
          <w:p w14:paraId="2891C161" w14:textId="77777777" w:rsidR="002D203E" w:rsidRPr="00BE69D7" w:rsidRDefault="002D203E" w:rsidP="00BE69D7">
            <w:pPr>
              <w:keepNext/>
              <w:spacing w:before="40" w:after="40"/>
              <w:ind w:left="432" w:hanging="72"/>
              <w:rPr>
                <w:sz w:val="22"/>
                <w:szCs w:val="22"/>
                <w:lang w:val="pt-BR" w:eastAsia="ja-JP"/>
              </w:rPr>
            </w:pPr>
            <w:r w:rsidRPr="00BE69D7">
              <w:rPr>
                <w:sz w:val="22"/>
                <w:szCs w:val="22"/>
                <w:lang w:val="pt-BR" w:eastAsia="ja-JP"/>
              </w:rPr>
              <w:t>CNS responders n (%)</w:t>
            </w:r>
          </w:p>
          <w:p w14:paraId="7AB46300" w14:textId="77777777" w:rsidR="002D203E" w:rsidRPr="00BE69D7" w:rsidRDefault="002D203E" w:rsidP="00BE69D7">
            <w:pPr>
              <w:keepNext/>
              <w:spacing w:before="40" w:after="40"/>
              <w:ind w:left="432" w:hanging="72"/>
              <w:rPr>
                <w:sz w:val="22"/>
                <w:szCs w:val="22"/>
                <w:lang w:val="pt-BR" w:eastAsia="ja-JP"/>
              </w:rPr>
            </w:pPr>
            <w:r w:rsidRPr="00BE69D7">
              <w:rPr>
                <w:sz w:val="22"/>
                <w:szCs w:val="22"/>
                <w:lang w:val="pt-BR" w:eastAsia="ja-JP"/>
              </w:rPr>
              <w:t>[95% CI]</w:t>
            </w:r>
          </w:p>
          <w:p w14:paraId="7547031D" w14:textId="77777777" w:rsidR="002D203E" w:rsidRPr="00BE69D7" w:rsidRDefault="002D203E" w:rsidP="00BE69D7">
            <w:pPr>
              <w:keepNext/>
              <w:spacing w:before="40" w:after="40"/>
              <w:ind w:left="432" w:hanging="72"/>
              <w:rPr>
                <w:sz w:val="22"/>
                <w:szCs w:val="22"/>
                <w:lang w:val="pt-BR" w:eastAsia="ja-JP"/>
              </w:rPr>
            </w:pPr>
          </w:p>
          <w:p w14:paraId="404F6326" w14:textId="77777777" w:rsidR="002D203E" w:rsidRPr="00BE69D7" w:rsidRDefault="002D203E" w:rsidP="00BE69D7">
            <w:pPr>
              <w:keepNext/>
              <w:spacing w:before="40" w:after="40"/>
              <w:ind w:left="432" w:hanging="72"/>
              <w:rPr>
                <w:sz w:val="22"/>
                <w:szCs w:val="22"/>
                <w:lang w:val="pt-BR" w:eastAsia="ja-JP"/>
              </w:rPr>
            </w:pPr>
            <w:r w:rsidRPr="00BE69D7">
              <w:rPr>
                <w:sz w:val="22"/>
                <w:szCs w:val="22"/>
                <w:lang w:val="pt-BR" w:eastAsia="ja-JP"/>
              </w:rPr>
              <w:t>CNS-CR n (%)</w:t>
            </w:r>
          </w:p>
          <w:p w14:paraId="409B8D22" w14:textId="77777777" w:rsidR="002D203E" w:rsidRPr="00BE69D7" w:rsidRDefault="002D203E" w:rsidP="00BE69D7">
            <w:pPr>
              <w:keepNext/>
              <w:spacing w:before="40" w:after="40"/>
              <w:ind w:left="432" w:hanging="72"/>
              <w:rPr>
                <w:sz w:val="22"/>
                <w:szCs w:val="22"/>
                <w:lang w:val="pt-BR" w:eastAsia="ja-JP"/>
              </w:rPr>
            </w:pPr>
          </w:p>
          <w:p w14:paraId="2A823382" w14:textId="77777777" w:rsidR="002D203E" w:rsidRPr="001D42A3" w:rsidRDefault="002D203E" w:rsidP="00BE69D7">
            <w:pPr>
              <w:keepNext/>
              <w:spacing w:before="40" w:after="40"/>
              <w:ind w:left="432" w:hanging="72"/>
              <w:rPr>
                <w:sz w:val="22"/>
                <w:szCs w:val="22"/>
                <w:lang w:eastAsia="ja-JP"/>
              </w:rPr>
            </w:pPr>
            <w:r w:rsidRPr="001D42A3">
              <w:rPr>
                <w:sz w:val="22"/>
                <w:szCs w:val="22"/>
                <w:lang w:eastAsia="ja-JP"/>
              </w:rPr>
              <w:t>CNS-DOR , median (months)</w:t>
            </w:r>
          </w:p>
          <w:p w14:paraId="5FFEDA1E" w14:textId="77777777" w:rsidR="002D203E" w:rsidRPr="001D42A3" w:rsidRDefault="002D203E" w:rsidP="00BE69D7">
            <w:pPr>
              <w:keepNext/>
              <w:spacing w:before="40" w:after="40"/>
              <w:ind w:left="432" w:hanging="72"/>
              <w:rPr>
                <w:sz w:val="22"/>
                <w:szCs w:val="22"/>
                <w:lang w:eastAsia="ja-JP"/>
              </w:rPr>
            </w:pPr>
            <w:r w:rsidRPr="001D42A3">
              <w:rPr>
                <w:sz w:val="22"/>
                <w:szCs w:val="22"/>
                <w:lang w:eastAsia="ja-JP"/>
              </w:rPr>
              <w:t>95% CI</w:t>
            </w:r>
          </w:p>
        </w:tc>
        <w:tc>
          <w:tcPr>
            <w:tcW w:w="2682" w:type="dxa"/>
            <w:shd w:val="clear" w:color="auto" w:fill="auto"/>
          </w:tcPr>
          <w:p w14:paraId="4F028D36" w14:textId="77777777" w:rsidR="002D203E"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N=22</w:t>
            </w:r>
          </w:p>
          <w:p w14:paraId="2FF02211" w14:textId="77777777" w:rsidR="002D203E" w:rsidRDefault="002D203E" w:rsidP="00BE69D7">
            <w:pPr>
              <w:keepNext/>
              <w:tabs>
                <w:tab w:val="left" w:pos="659"/>
              </w:tabs>
              <w:spacing w:before="40" w:after="40" w:line="240" w:lineRule="exact"/>
              <w:jc w:val="center"/>
              <w:rPr>
                <w:sz w:val="22"/>
                <w:szCs w:val="22"/>
                <w:lang w:val="en-GB" w:eastAsia="ja-JP"/>
              </w:rPr>
            </w:pPr>
          </w:p>
          <w:p w14:paraId="2A57AAA9"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11 (50.0%)</w:t>
            </w:r>
          </w:p>
          <w:p w14:paraId="003AEFFD"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 xml:space="preserve"> [28.2; 71.8]</w:t>
            </w:r>
          </w:p>
          <w:p w14:paraId="7015612C" w14:textId="77777777" w:rsidR="002D203E" w:rsidRPr="001D42A3" w:rsidRDefault="002D203E" w:rsidP="00BE69D7">
            <w:pPr>
              <w:keepNext/>
              <w:tabs>
                <w:tab w:val="left" w:pos="659"/>
              </w:tabs>
              <w:spacing w:before="40" w:after="40" w:line="240" w:lineRule="exact"/>
              <w:jc w:val="center"/>
              <w:rPr>
                <w:sz w:val="22"/>
                <w:szCs w:val="22"/>
                <w:lang w:val="en-GB" w:eastAsia="ja-JP"/>
              </w:rPr>
            </w:pPr>
          </w:p>
          <w:p w14:paraId="7F3DD1E3"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1 (5%)</w:t>
            </w:r>
          </w:p>
          <w:p w14:paraId="01A9F844" w14:textId="77777777" w:rsidR="002D203E" w:rsidRPr="001D42A3" w:rsidRDefault="002D203E" w:rsidP="00BE69D7">
            <w:pPr>
              <w:keepNext/>
              <w:tabs>
                <w:tab w:val="left" w:pos="659"/>
              </w:tabs>
              <w:spacing w:before="40" w:after="40" w:line="240" w:lineRule="exact"/>
              <w:jc w:val="center"/>
              <w:rPr>
                <w:sz w:val="22"/>
                <w:szCs w:val="22"/>
                <w:lang w:val="en-GB" w:eastAsia="ja-JP"/>
              </w:rPr>
            </w:pPr>
          </w:p>
          <w:p w14:paraId="70A5F37C"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5.5</w:t>
            </w:r>
          </w:p>
          <w:p w14:paraId="297AD163"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[2.1, 17.3]</w:t>
            </w:r>
          </w:p>
        </w:tc>
        <w:tc>
          <w:tcPr>
            <w:tcW w:w="2704" w:type="dxa"/>
            <w:shd w:val="clear" w:color="auto" w:fill="auto"/>
          </w:tcPr>
          <w:p w14:paraId="67BF9336" w14:textId="77777777" w:rsidR="002D203E"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N=21</w:t>
            </w:r>
          </w:p>
          <w:p w14:paraId="3B7F6D10" w14:textId="77777777" w:rsidR="002D203E" w:rsidRPr="001D42A3" w:rsidRDefault="002D203E" w:rsidP="00BE69D7">
            <w:pPr>
              <w:keepNext/>
              <w:tabs>
                <w:tab w:val="left" w:pos="659"/>
              </w:tabs>
              <w:spacing w:before="40" w:after="40" w:line="240" w:lineRule="exact"/>
              <w:jc w:val="center"/>
              <w:rPr>
                <w:sz w:val="22"/>
                <w:szCs w:val="22"/>
                <w:lang w:val="en-GB" w:eastAsia="ja-JP"/>
              </w:rPr>
            </w:pPr>
          </w:p>
          <w:p w14:paraId="2287CE9D"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17 (81.0%)</w:t>
            </w:r>
          </w:p>
          <w:p w14:paraId="4F0E21AB"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[58.1; 94.6]</w:t>
            </w:r>
          </w:p>
          <w:p w14:paraId="6C2E85A5" w14:textId="77777777" w:rsidR="002D203E" w:rsidRPr="001D42A3" w:rsidRDefault="002D203E" w:rsidP="00BE69D7">
            <w:pPr>
              <w:keepNext/>
              <w:tabs>
                <w:tab w:val="left" w:pos="659"/>
              </w:tabs>
              <w:spacing w:before="40" w:after="40" w:line="240" w:lineRule="exact"/>
              <w:jc w:val="center"/>
              <w:rPr>
                <w:sz w:val="22"/>
                <w:szCs w:val="22"/>
                <w:lang w:val="en-GB" w:eastAsia="ja-JP"/>
              </w:rPr>
            </w:pPr>
          </w:p>
          <w:p w14:paraId="4FC9F3B1"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8 (38%)</w:t>
            </w:r>
          </w:p>
          <w:p w14:paraId="1196A4BF" w14:textId="77777777" w:rsidR="002D203E" w:rsidRPr="001D42A3" w:rsidRDefault="002D203E" w:rsidP="00BE69D7">
            <w:pPr>
              <w:keepNext/>
              <w:tabs>
                <w:tab w:val="left" w:pos="659"/>
              </w:tabs>
              <w:spacing w:before="40" w:after="40" w:line="240" w:lineRule="exact"/>
              <w:jc w:val="center"/>
              <w:rPr>
                <w:sz w:val="22"/>
                <w:szCs w:val="22"/>
                <w:lang w:val="en-GB" w:eastAsia="ja-JP"/>
              </w:rPr>
            </w:pPr>
          </w:p>
          <w:p w14:paraId="5B3AE5E3"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17.3</w:t>
            </w:r>
          </w:p>
          <w:p w14:paraId="7D921FA3" w14:textId="77777777" w:rsidR="002D203E" w:rsidRPr="001D42A3" w:rsidRDefault="002D203E" w:rsidP="00BE69D7">
            <w:pPr>
              <w:keepNext/>
              <w:tabs>
                <w:tab w:val="left" w:pos="659"/>
              </w:tabs>
              <w:spacing w:before="40" w:after="40" w:line="240" w:lineRule="exact"/>
              <w:jc w:val="center"/>
              <w:rPr>
                <w:sz w:val="22"/>
                <w:szCs w:val="22"/>
                <w:lang w:val="en-GB" w:eastAsia="ja-JP"/>
              </w:rPr>
            </w:pPr>
            <w:r w:rsidRPr="001D42A3">
              <w:rPr>
                <w:sz w:val="22"/>
                <w:szCs w:val="22"/>
                <w:lang w:val="en-GB" w:eastAsia="ja-JP"/>
              </w:rPr>
              <w:t>[14.8, NE]</w:t>
            </w:r>
          </w:p>
        </w:tc>
      </w:tr>
      <w:tr w:rsidR="002D203E" w:rsidRPr="001D42A3" w14:paraId="754E1C2A" w14:textId="77777777" w:rsidTr="00BE69D7">
        <w:tc>
          <w:tcPr>
            <w:tcW w:w="3936" w:type="dxa"/>
            <w:tcBorders>
              <w:bottom w:val="single" w:sz="4" w:space="0" w:color="auto"/>
            </w:tcBorders>
            <w:shd w:val="clear" w:color="auto" w:fill="auto"/>
          </w:tcPr>
          <w:p w14:paraId="1BF75348" w14:textId="77777777" w:rsidR="002D203E" w:rsidRPr="001D42A3" w:rsidRDefault="002D203E" w:rsidP="00BE69D7">
            <w:pPr>
              <w:keepNext/>
              <w:keepLines/>
              <w:spacing w:before="40" w:after="40"/>
              <w:rPr>
                <w:sz w:val="22"/>
                <w:szCs w:val="22"/>
                <w:lang w:eastAsia="ja-JP"/>
              </w:rPr>
            </w:pPr>
            <w:r w:rsidRPr="001D42A3">
              <w:rPr>
                <w:sz w:val="22"/>
                <w:szCs w:val="22"/>
                <w:lang w:eastAsia="ja-JP"/>
              </w:rPr>
              <w:t>CNS-ORR in patients with measurable and non-measurable CNS metastases at baseline (IRC)</w:t>
            </w:r>
          </w:p>
          <w:p w14:paraId="7A42C453" w14:textId="77777777" w:rsidR="002D203E" w:rsidRPr="00BE69D7" w:rsidRDefault="002D203E" w:rsidP="00BE69D7">
            <w:pPr>
              <w:keepNext/>
              <w:keepLines/>
              <w:spacing w:before="40" w:after="40"/>
              <w:ind w:left="432" w:hanging="72"/>
              <w:rPr>
                <w:sz w:val="22"/>
                <w:szCs w:val="22"/>
                <w:lang w:val="pt-BR" w:eastAsia="ja-JP"/>
              </w:rPr>
            </w:pPr>
            <w:r w:rsidRPr="00BE69D7">
              <w:rPr>
                <w:sz w:val="22"/>
                <w:szCs w:val="22"/>
                <w:lang w:val="pt-BR" w:eastAsia="ja-JP"/>
              </w:rPr>
              <w:t>CNS responders n (%)</w:t>
            </w:r>
          </w:p>
          <w:p w14:paraId="6E7295D1" w14:textId="77777777" w:rsidR="002D203E" w:rsidRPr="00BE69D7" w:rsidRDefault="002D203E" w:rsidP="00BE69D7">
            <w:pPr>
              <w:keepNext/>
              <w:keepLines/>
              <w:spacing w:before="40" w:after="40"/>
              <w:ind w:left="432" w:hanging="72"/>
              <w:rPr>
                <w:sz w:val="22"/>
                <w:szCs w:val="22"/>
                <w:lang w:val="pt-BR" w:eastAsia="ja-JP"/>
              </w:rPr>
            </w:pPr>
            <w:r w:rsidRPr="00BE69D7">
              <w:rPr>
                <w:sz w:val="22"/>
                <w:szCs w:val="22"/>
                <w:lang w:val="pt-BR" w:eastAsia="ja-JP"/>
              </w:rPr>
              <w:t>[95% CI]</w:t>
            </w:r>
          </w:p>
          <w:p w14:paraId="3CEA61E5" w14:textId="77777777" w:rsidR="002D203E" w:rsidRPr="00BE69D7" w:rsidRDefault="002D203E" w:rsidP="00BE69D7">
            <w:pPr>
              <w:keepNext/>
              <w:keepLines/>
              <w:spacing w:before="40" w:after="40"/>
              <w:rPr>
                <w:sz w:val="22"/>
                <w:szCs w:val="22"/>
                <w:lang w:val="pt-BR" w:eastAsia="ja-JP"/>
              </w:rPr>
            </w:pPr>
          </w:p>
          <w:p w14:paraId="06BA687C" w14:textId="77777777" w:rsidR="002D203E" w:rsidRPr="00BE69D7" w:rsidRDefault="002D203E" w:rsidP="00BE69D7">
            <w:pPr>
              <w:keepNext/>
              <w:keepLines/>
              <w:spacing w:before="40" w:after="40"/>
              <w:ind w:left="432" w:hanging="72"/>
              <w:rPr>
                <w:sz w:val="22"/>
                <w:szCs w:val="22"/>
                <w:lang w:val="pt-BR" w:eastAsia="ja-JP"/>
              </w:rPr>
            </w:pPr>
            <w:r w:rsidRPr="00BE69D7">
              <w:rPr>
                <w:sz w:val="22"/>
                <w:szCs w:val="22"/>
                <w:lang w:val="pt-BR" w:eastAsia="ja-JP"/>
              </w:rPr>
              <w:t xml:space="preserve">CNS-CR n (%) </w:t>
            </w:r>
          </w:p>
          <w:p w14:paraId="38470BCE" w14:textId="77777777" w:rsidR="002D203E" w:rsidRPr="00BE69D7" w:rsidRDefault="002D203E" w:rsidP="00BE69D7">
            <w:pPr>
              <w:keepNext/>
              <w:keepLines/>
              <w:spacing w:before="40" w:after="40"/>
              <w:ind w:left="432" w:hanging="72"/>
              <w:rPr>
                <w:sz w:val="22"/>
                <w:szCs w:val="22"/>
                <w:lang w:val="pt-BR" w:eastAsia="ja-JP"/>
              </w:rPr>
            </w:pPr>
          </w:p>
          <w:p w14:paraId="189C9E80" w14:textId="77777777" w:rsidR="002D203E" w:rsidRPr="001D42A3" w:rsidRDefault="002D203E" w:rsidP="00BE69D7">
            <w:pPr>
              <w:keepNext/>
              <w:keepLines/>
              <w:spacing w:before="40" w:after="40"/>
              <w:ind w:left="432" w:hanging="72"/>
              <w:rPr>
                <w:sz w:val="22"/>
                <w:szCs w:val="22"/>
                <w:lang w:eastAsia="ja-JP"/>
              </w:rPr>
            </w:pPr>
            <w:r w:rsidRPr="001D42A3">
              <w:rPr>
                <w:sz w:val="22"/>
                <w:szCs w:val="22"/>
                <w:lang w:eastAsia="ja-JP"/>
              </w:rPr>
              <w:t>CNS-DOR , median (months)</w:t>
            </w:r>
          </w:p>
          <w:p w14:paraId="4B7964F9" w14:textId="77777777" w:rsidR="002D203E" w:rsidRPr="001D42A3" w:rsidRDefault="002D203E" w:rsidP="00BE69D7">
            <w:pPr>
              <w:keepNext/>
              <w:keepLines/>
              <w:spacing w:before="40" w:after="40"/>
              <w:ind w:left="432" w:hanging="72"/>
              <w:rPr>
                <w:sz w:val="22"/>
                <w:szCs w:val="22"/>
                <w:lang w:eastAsia="ja-JP"/>
              </w:rPr>
            </w:pPr>
            <w:r w:rsidRPr="001D42A3">
              <w:rPr>
                <w:sz w:val="22"/>
                <w:szCs w:val="22"/>
                <w:lang w:eastAsia="ja-JP"/>
              </w:rPr>
              <w:t>95% CI</w:t>
            </w:r>
          </w:p>
        </w:tc>
        <w:tc>
          <w:tcPr>
            <w:tcW w:w="2682" w:type="dxa"/>
            <w:tcBorders>
              <w:bottom w:val="single" w:sz="4" w:space="0" w:color="auto"/>
            </w:tcBorders>
            <w:shd w:val="clear" w:color="auto" w:fill="auto"/>
          </w:tcPr>
          <w:p w14:paraId="0B238172" w14:textId="77777777" w:rsidR="002D203E"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N=58</w:t>
            </w:r>
            <w:r w:rsidRPr="001D42A3">
              <w:rPr>
                <w:sz w:val="22"/>
                <w:szCs w:val="22"/>
                <w:lang w:val="en-GB" w:eastAsia="ja-JP"/>
              </w:rPr>
              <w:br/>
            </w:r>
          </w:p>
          <w:p w14:paraId="6C29B5D9"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173231F5"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15 (25.9%)</w:t>
            </w:r>
          </w:p>
          <w:p w14:paraId="7BB33BAC"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[15.3%; 39.0%]</w:t>
            </w:r>
          </w:p>
          <w:p w14:paraId="2605341D"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30AD157A"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5 (9%)</w:t>
            </w:r>
          </w:p>
          <w:p w14:paraId="7B1DB418"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3D930790" w14:textId="77777777" w:rsidR="002D203E"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3.7</w:t>
            </w:r>
          </w:p>
          <w:p w14:paraId="4C95E91E"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[3.2, 6.8]</w:t>
            </w:r>
          </w:p>
        </w:tc>
        <w:tc>
          <w:tcPr>
            <w:tcW w:w="2704" w:type="dxa"/>
            <w:tcBorders>
              <w:bottom w:val="single" w:sz="4" w:space="0" w:color="auto"/>
            </w:tcBorders>
            <w:shd w:val="clear" w:color="auto" w:fill="auto"/>
          </w:tcPr>
          <w:p w14:paraId="2E1CFA84" w14:textId="77777777" w:rsidR="002D203E"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N=64</w:t>
            </w:r>
            <w:r w:rsidRPr="001D42A3">
              <w:rPr>
                <w:sz w:val="22"/>
                <w:szCs w:val="22"/>
                <w:lang w:val="en-GB" w:eastAsia="ja-JP"/>
              </w:rPr>
              <w:br/>
            </w:r>
          </w:p>
          <w:p w14:paraId="28C372E5"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6D1B85F8"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38 (59.4%)</w:t>
            </w:r>
          </w:p>
          <w:p w14:paraId="53EF5F92"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[46.4%; 71.5%]</w:t>
            </w:r>
          </w:p>
          <w:p w14:paraId="21325435"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22D54BE0"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29 (45%)</w:t>
            </w:r>
          </w:p>
          <w:p w14:paraId="6BCC82F3"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p>
          <w:p w14:paraId="1FC8956C"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NE</w:t>
            </w:r>
          </w:p>
          <w:p w14:paraId="6D190E7F" w14:textId="77777777" w:rsidR="002D203E" w:rsidRPr="001D42A3" w:rsidRDefault="002D203E" w:rsidP="00BE69D7">
            <w:pPr>
              <w:keepNext/>
              <w:keepLines/>
              <w:tabs>
                <w:tab w:val="left" w:pos="659"/>
              </w:tabs>
              <w:spacing w:before="40" w:after="40" w:line="240" w:lineRule="exact"/>
              <w:jc w:val="center"/>
              <w:rPr>
                <w:sz w:val="22"/>
                <w:szCs w:val="22"/>
                <w:lang w:val="en-GB" w:eastAsia="ja-JP"/>
              </w:rPr>
            </w:pPr>
            <w:r w:rsidRPr="001D42A3">
              <w:rPr>
                <w:sz w:val="22"/>
                <w:szCs w:val="22"/>
                <w:lang w:val="en-GB" w:eastAsia="ja-JP"/>
              </w:rPr>
              <w:t>[17.3, NE]</w:t>
            </w:r>
          </w:p>
        </w:tc>
      </w:tr>
      <w:tr w:rsidR="002D203E" w:rsidRPr="001D42A3" w14:paraId="32EE1B3A" w14:textId="77777777" w:rsidTr="00BE69D7">
        <w:tc>
          <w:tcPr>
            <w:tcW w:w="9322" w:type="dxa"/>
            <w:gridSpan w:val="3"/>
            <w:tcBorders>
              <w:left w:val="nil"/>
              <w:bottom w:val="nil"/>
              <w:right w:val="nil"/>
            </w:tcBorders>
            <w:shd w:val="clear" w:color="auto" w:fill="auto"/>
          </w:tcPr>
          <w:p w14:paraId="509B652D" w14:textId="77777777" w:rsidR="002D203E" w:rsidRPr="001D42A3" w:rsidRDefault="002D203E" w:rsidP="00BE69D7">
            <w:pPr>
              <w:tabs>
                <w:tab w:val="left" w:pos="659"/>
              </w:tabs>
              <w:spacing w:before="40" w:after="40" w:line="240" w:lineRule="exact"/>
              <w:rPr>
                <w:sz w:val="20"/>
                <w:szCs w:val="22"/>
                <w:lang w:val="en-GB" w:eastAsia="ja-JP"/>
              </w:rPr>
            </w:pPr>
            <w:r w:rsidRPr="001D42A3">
              <w:rPr>
                <w:sz w:val="20"/>
                <w:szCs w:val="22"/>
                <w:lang w:val="en-GB" w:eastAsia="ja-JP"/>
              </w:rPr>
              <w:t>Data cutoff date: 9 February 2017</w:t>
            </w:r>
          </w:p>
          <w:p w14:paraId="74855B2B" w14:textId="77777777" w:rsidR="002D203E" w:rsidRPr="001D42A3" w:rsidRDefault="002D203E" w:rsidP="00BE69D7">
            <w:pPr>
              <w:tabs>
                <w:tab w:val="left" w:pos="659"/>
              </w:tabs>
              <w:spacing w:before="40" w:after="40" w:line="240" w:lineRule="exact"/>
              <w:rPr>
                <w:sz w:val="20"/>
                <w:szCs w:val="22"/>
                <w:lang w:val="en-GB" w:eastAsia="ja-JP"/>
              </w:rPr>
            </w:pPr>
            <w:r w:rsidRPr="001D42A3">
              <w:rPr>
                <w:sz w:val="20"/>
                <w:szCs w:val="22"/>
                <w:lang w:val="en-GB" w:eastAsia="ja-JP"/>
              </w:rPr>
              <w:t>*  Key secondary endpoints part of the hierarchical testing</w:t>
            </w:r>
          </w:p>
          <w:p w14:paraId="3B076912" w14:textId="77777777" w:rsidR="002D203E" w:rsidRPr="001D42A3" w:rsidRDefault="002D203E" w:rsidP="00BE69D7">
            <w:pPr>
              <w:tabs>
                <w:tab w:val="left" w:pos="659"/>
              </w:tabs>
              <w:spacing w:before="40" w:after="40" w:line="240" w:lineRule="exact"/>
              <w:rPr>
                <w:sz w:val="20"/>
                <w:szCs w:val="22"/>
                <w:lang w:val="en-GB" w:eastAsia="ja-JP"/>
              </w:rPr>
            </w:pPr>
            <w:r w:rsidRPr="001D42A3">
              <w:rPr>
                <w:sz w:val="20"/>
                <w:szCs w:val="22"/>
                <w:lang w:val="en-GB" w:eastAsia="ja-JP"/>
              </w:rPr>
              <w:t>** Competing risk analysis of CNS progression, systemic progression and death as competing events</w:t>
            </w:r>
          </w:p>
          <w:p w14:paraId="2656B979" w14:textId="77777777" w:rsidR="002D203E" w:rsidRPr="001D42A3" w:rsidRDefault="002D203E" w:rsidP="00BE69D7">
            <w:pPr>
              <w:tabs>
                <w:tab w:val="left" w:pos="659"/>
              </w:tabs>
              <w:spacing w:before="40" w:after="40" w:line="240" w:lineRule="exact"/>
              <w:rPr>
                <w:sz w:val="20"/>
                <w:szCs w:val="22"/>
                <w:lang w:val="en-GB" w:eastAsia="ja-JP"/>
              </w:rPr>
            </w:pPr>
            <w:r w:rsidRPr="001D42A3">
              <w:rPr>
                <w:sz w:val="20"/>
                <w:szCs w:val="22"/>
                <w:lang w:val="en-GB" w:eastAsia="ja-JP"/>
              </w:rPr>
              <w:t>*** 2 patients in the crizotinib arm and 6 patients in the alectinib arm had CR</w:t>
            </w:r>
          </w:p>
          <w:p w14:paraId="681619F1" w14:textId="77777777" w:rsidR="002D203E" w:rsidRPr="001D42A3" w:rsidRDefault="002D203E" w:rsidP="00BE69D7">
            <w:pPr>
              <w:tabs>
                <w:tab w:val="left" w:pos="659"/>
              </w:tabs>
              <w:spacing w:before="40" w:after="40" w:line="240" w:lineRule="exact"/>
              <w:rPr>
                <w:sz w:val="22"/>
                <w:szCs w:val="22"/>
                <w:lang w:val="en-GB" w:eastAsia="ja-JP"/>
              </w:rPr>
            </w:pPr>
            <w:r w:rsidRPr="001D42A3">
              <w:rPr>
                <w:sz w:val="20"/>
                <w:szCs w:val="22"/>
                <w:lang w:val="en-GB" w:eastAsia="ja-JP"/>
              </w:rPr>
              <w:t>CI = confidence interval; CNS = central nervous system; CR = complete response; DOR = duration of response; HR = hazard ratio; IRC = Independent Review Committee; INV = investigator; NE = not estimable; ORR = objective response rate; PFS = progression-free survival</w:t>
            </w:r>
          </w:p>
        </w:tc>
      </w:tr>
    </w:tbl>
    <w:p w14:paraId="73975064" w14:textId="77777777" w:rsidR="002D203E" w:rsidRDefault="002D203E" w:rsidP="002D203E">
      <w:pPr>
        <w:rPr>
          <w:lang w:val="en-GB"/>
        </w:rPr>
      </w:pPr>
    </w:p>
    <w:p w14:paraId="0EF401BE" w14:textId="77777777" w:rsidR="002D203E" w:rsidRDefault="002D203E" w:rsidP="002D203E">
      <w:pPr>
        <w:rPr>
          <w:lang w:val="en-GB"/>
        </w:rPr>
      </w:pPr>
      <w:r w:rsidRPr="00B37EC4">
        <w:rPr>
          <w:lang w:val="en-GB"/>
        </w:rPr>
        <w:t>The magnitude of PFS benefit was consistent for patients with CNS metastases at baseline (HR=0.40, 95%</w:t>
      </w:r>
      <w:r>
        <w:rPr>
          <w:lang w:val="en-GB"/>
        </w:rPr>
        <w:t> </w:t>
      </w:r>
      <w:r w:rsidRPr="00B37EC4">
        <w:rPr>
          <w:lang w:val="en-GB"/>
        </w:rPr>
        <w:t>CI: 0.25-0.64, median PFS for Alecensa = NE, 95% CI: 9.2-NE, median PFS for crizotinib = 7.4 months, 95%</w:t>
      </w:r>
      <w:r>
        <w:rPr>
          <w:lang w:val="en-GB"/>
        </w:rPr>
        <w:t> </w:t>
      </w:r>
      <w:r w:rsidRPr="00B37EC4">
        <w:rPr>
          <w:lang w:val="en-GB"/>
        </w:rPr>
        <w:t>CI: 6.6-9.6) and without C</w:t>
      </w:r>
      <w:r>
        <w:rPr>
          <w:lang w:val="en-GB"/>
        </w:rPr>
        <w:t>NS metastases at baseline (HR = </w:t>
      </w:r>
      <w:r w:rsidRPr="00B37EC4">
        <w:rPr>
          <w:lang w:val="en-GB"/>
        </w:rPr>
        <w:t>0.51, 95%</w:t>
      </w:r>
      <w:r>
        <w:rPr>
          <w:lang w:val="en-GB"/>
        </w:rPr>
        <w:t> </w:t>
      </w:r>
      <w:r w:rsidRPr="00B37EC4">
        <w:rPr>
          <w:lang w:val="en-GB"/>
        </w:rPr>
        <w:t>CI: 0.33-0.80, median PFS for Alecensa = NE, 95% CI: NE, NE, median PFS for crizotinib = 14.8 months, 95%</w:t>
      </w:r>
      <w:r>
        <w:rPr>
          <w:lang w:val="en-GB"/>
        </w:rPr>
        <w:t> </w:t>
      </w:r>
      <w:r w:rsidRPr="00B37EC4">
        <w:rPr>
          <w:lang w:val="en-GB"/>
        </w:rPr>
        <w:t>CI:10.8-20.3), indicating benefit of Alecensa over crizotinib in both subgroups.</w:t>
      </w:r>
    </w:p>
    <w:p w14:paraId="41F3A1C7" w14:textId="77777777" w:rsidR="002D203E" w:rsidRDefault="002D203E" w:rsidP="002D203E">
      <w:pPr>
        <w:rPr>
          <w:lang w:val="en-GB"/>
        </w:rPr>
      </w:pPr>
    </w:p>
    <w:p w14:paraId="3A921B45" w14:textId="77777777" w:rsidR="002D203E" w:rsidRDefault="002D203E" w:rsidP="002D203E">
      <w:pPr>
        <w:pStyle w:val="Tableheading"/>
        <w:rPr>
          <w:lang w:val="en-GB"/>
        </w:rPr>
      </w:pPr>
      <w:r w:rsidRPr="00B37EC4">
        <w:rPr>
          <w:lang w:val="en-GB"/>
        </w:rPr>
        <w:lastRenderedPageBreak/>
        <w:t>Figure 1:</w:t>
      </w:r>
      <w:r>
        <w:rPr>
          <w:lang w:val="en-GB"/>
        </w:rPr>
        <w:tab/>
      </w:r>
      <w:r w:rsidRPr="00B37EC4">
        <w:rPr>
          <w:lang w:val="en-GB"/>
        </w:rPr>
        <w:t>Kaplan Meier Pl</w:t>
      </w:r>
      <w:r>
        <w:rPr>
          <w:lang w:val="en-GB"/>
        </w:rPr>
        <w:t>ot of INV-A</w:t>
      </w:r>
      <w:r w:rsidRPr="00B37EC4">
        <w:rPr>
          <w:lang w:val="en-GB"/>
        </w:rPr>
        <w:t>ssessed PFS in</w:t>
      </w:r>
      <w:r>
        <w:rPr>
          <w:lang w:val="en-GB"/>
        </w:rPr>
        <w:t xml:space="preserve"> Study</w:t>
      </w:r>
      <w:r w:rsidRPr="00B37EC4">
        <w:rPr>
          <w:lang w:val="en-GB"/>
        </w:rPr>
        <w:t xml:space="preserve"> </w:t>
      </w:r>
      <w:r>
        <w:rPr>
          <w:lang w:val="en-GB"/>
        </w:rPr>
        <w:t>3 (ALEX)</w:t>
      </w:r>
    </w:p>
    <w:p w14:paraId="122D06F4" w14:textId="77777777" w:rsidR="002D203E" w:rsidRPr="004613BB" w:rsidRDefault="002D203E" w:rsidP="002D203E">
      <w:pPr>
        <w:rPr>
          <w:lang w:val="en-GB"/>
        </w:rPr>
      </w:pPr>
      <w:r w:rsidRPr="004613BB">
        <w:rPr>
          <w:noProof/>
          <w:lang w:val="en-AU"/>
        </w:rPr>
        <w:drawing>
          <wp:inline distT="0" distB="0" distL="0" distR="0" wp14:anchorId="3D559F65" wp14:editId="18D0CA9F">
            <wp:extent cx="4361688" cy="38862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61688" cy="3886200"/>
                    </a:xfrm>
                    <a:prstGeom prst="rect">
                      <a:avLst/>
                    </a:prstGeom>
                  </pic:spPr>
                </pic:pic>
              </a:graphicData>
            </a:graphic>
          </wp:inline>
        </w:drawing>
      </w:r>
    </w:p>
    <w:p w14:paraId="64706CCB" w14:textId="77777777" w:rsidR="002D203E" w:rsidRDefault="002D203E" w:rsidP="002D203E">
      <w:pPr>
        <w:rPr>
          <w:lang w:val="en-GB"/>
        </w:rPr>
      </w:pPr>
    </w:p>
    <w:p w14:paraId="480AA3C1" w14:textId="77777777" w:rsidR="002D203E" w:rsidRPr="00E461AC" w:rsidRDefault="002D203E" w:rsidP="002D203E">
      <w:pPr>
        <w:pStyle w:val="Tableheading"/>
        <w:rPr>
          <w:lang w:val="en-GB"/>
        </w:rPr>
      </w:pPr>
      <w:r>
        <w:rPr>
          <w:lang w:val="en-GB"/>
        </w:rPr>
        <w:t>Figure 2:</w:t>
      </w:r>
      <w:r>
        <w:rPr>
          <w:lang w:val="en-GB"/>
        </w:rPr>
        <w:tab/>
      </w:r>
      <w:r w:rsidRPr="00B37EC4">
        <w:rPr>
          <w:lang w:val="en-GB"/>
        </w:rPr>
        <w:t xml:space="preserve">Kaplan Meier Plot of IRC Assessed PFS in </w:t>
      </w:r>
      <w:r>
        <w:rPr>
          <w:lang w:val="en-GB"/>
        </w:rPr>
        <w:t>Study</w:t>
      </w:r>
      <w:r w:rsidRPr="00B37EC4">
        <w:rPr>
          <w:lang w:val="en-GB"/>
        </w:rPr>
        <w:t xml:space="preserve"> </w:t>
      </w:r>
      <w:r>
        <w:rPr>
          <w:lang w:val="en-GB"/>
        </w:rPr>
        <w:t>3 (ALEX)</w:t>
      </w:r>
    </w:p>
    <w:p w14:paraId="5B38EE31" w14:textId="77777777" w:rsidR="002D203E" w:rsidRPr="004613BB" w:rsidRDefault="002D203E" w:rsidP="002D203E">
      <w:r w:rsidRPr="004613BB">
        <w:rPr>
          <w:b/>
          <w:noProof/>
          <w:color w:val="FF0000"/>
          <w:lang w:val="en-AU"/>
        </w:rPr>
        <w:drawing>
          <wp:inline distT="0" distB="0" distL="0" distR="0" wp14:anchorId="1CFA02F1" wp14:editId="3E4F8E79">
            <wp:extent cx="4206240" cy="38862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6240" cy="3886200"/>
                    </a:xfrm>
                    <a:prstGeom prst="rect">
                      <a:avLst/>
                    </a:prstGeom>
                    <a:noFill/>
                  </pic:spPr>
                </pic:pic>
              </a:graphicData>
            </a:graphic>
          </wp:inline>
        </w:drawing>
      </w:r>
    </w:p>
    <w:p w14:paraId="3216A7CA" w14:textId="77777777" w:rsidR="002D203E" w:rsidRDefault="002D203E" w:rsidP="002D203E"/>
    <w:p w14:paraId="2A2FCFFE" w14:textId="77777777" w:rsidR="002D203E" w:rsidRDefault="002D203E" w:rsidP="00326AAA">
      <w:pPr>
        <w:pStyle w:val="Heading4"/>
        <w:keepNext/>
      </w:pPr>
      <w:r w:rsidRPr="001D42A3">
        <w:lastRenderedPageBreak/>
        <w:t>Crizotinib pre-treated patients</w:t>
      </w:r>
    </w:p>
    <w:p w14:paraId="074B146D" w14:textId="77777777" w:rsidR="002D203E" w:rsidRDefault="002D203E" w:rsidP="002D203E"/>
    <w:p w14:paraId="665B4235" w14:textId="77777777" w:rsidR="002D203E" w:rsidRDefault="002D203E" w:rsidP="002D203E">
      <w:r w:rsidRPr="0087420D">
        <w:t xml:space="preserve">The use of </w:t>
      </w:r>
      <w:r>
        <w:t>Alecensa</w:t>
      </w:r>
      <w:r w:rsidRPr="00847830">
        <w:t xml:space="preserve"> </w:t>
      </w:r>
      <w:r w:rsidRPr="0087420D">
        <w:t xml:space="preserve">in the treatment of ALK-positive NSCLC patients previously treated with crizotinib was investigated in two multicentre, </w:t>
      </w:r>
      <w:proofErr w:type="gramStart"/>
      <w:r w:rsidRPr="0087420D">
        <w:t>open-label</w:t>
      </w:r>
      <w:proofErr w:type="gramEnd"/>
      <w:r w:rsidRPr="0087420D">
        <w:t xml:space="preserve">, single-arm studies, referred to </w:t>
      </w:r>
      <w:r>
        <w:t>in this document</w:t>
      </w:r>
      <w:r w:rsidRPr="0087420D">
        <w:t xml:space="preserve"> as Study 1 and Study 2. Both studies enrolled patients with locally advanced or metastatic ALK-positive NSCLC, who had progressed on crizotinib, with documented ALK-positive NSCLC based on an FDA-approved test, and ECOG performance status of up to 2. Eligibility criteria permitted enrolment of patients with prior chemotherapy and prior CNS radiotherapy provided that CNS metastases were stable for at least two weeks. </w:t>
      </w:r>
    </w:p>
    <w:p w14:paraId="5607D653" w14:textId="77777777" w:rsidR="002D203E" w:rsidRDefault="002D203E" w:rsidP="002D203E"/>
    <w:p w14:paraId="05B61DA6" w14:textId="77777777" w:rsidR="002D203E" w:rsidRDefault="002D203E" w:rsidP="002D203E">
      <w:r w:rsidRPr="0087420D">
        <w:t xml:space="preserve">All patients received </w:t>
      </w:r>
      <w:r>
        <w:t>Alecensa</w:t>
      </w:r>
      <w:r w:rsidRPr="0087420D">
        <w:t xml:space="preserve"> 600 mg orally twice daily. The </w:t>
      </w:r>
      <w:r>
        <w:t>primary endpoint</w:t>
      </w:r>
      <w:r w:rsidRPr="0087420D">
        <w:t xml:space="preserve"> in both studies was objective response rate (ORR)</w:t>
      </w:r>
      <w:r>
        <w:t xml:space="preserve"> in the overall population,</w:t>
      </w:r>
      <w:r w:rsidRPr="0087420D">
        <w:t xml:space="preserve"> according to Response Evaluation Criteria in Solid Tumours (RECIST v1.1) as evaluated </w:t>
      </w:r>
      <w:r>
        <w:t>by an</w:t>
      </w:r>
      <w:r w:rsidRPr="0087420D">
        <w:t xml:space="preserve"> Independent Review Committee (IRC). Additional outcome measures as evaluated by the IRC included duration of response (DOR), CNS ORR, and CNS DOR. </w:t>
      </w:r>
      <w:r>
        <w:t>Study 2 included as</w:t>
      </w:r>
      <w:r w:rsidRPr="00574E78">
        <w:t xml:space="preserve"> co-primary endpoint </w:t>
      </w:r>
      <w:r>
        <w:t>evaluation of</w:t>
      </w:r>
      <w:r w:rsidRPr="00574E78">
        <w:t xml:space="preserve"> ORR </w:t>
      </w:r>
      <w:r>
        <w:t>by</w:t>
      </w:r>
      <w:r w:rsidRPr="00574E78">
        <w:t xml:space="preserve"> IRC using RECIST </w:t>
      </w:r>
      <w:r>
        <w:t>v</w:t>
      </w:r>
      <w:r w:rsidRPr="00574E78">
        <w:t>1.1 in patients with prior exposure of cytotoxic chemotherapy treatments.</w:t>
      </w:r>
    </w:p>
    <w:p w14:paraId="369C2792" w14:textId="77777777" w:rsidR="002D203E" w:rsidRPr="0087420D" w:rsidRDefault="002D203E" w:rsidP="002D203E"/>
    <w:p w14:paraId="1FA6E3B5" w14:textId="77777777" w:rsidR="002D203E" w:rsidRDefault="002D203E" w:rsidP="002D203E">
      <w:pPr>
        <w:rPr>
          <w:lang w:val="en-GB"/>
        </w:rPr>
      </w:pPr>
      <w:r w:rsidRPr="0087420D">
        <w:rPr>
          <w:lang w:val="en-GB"/>
        </w:rPr>
        <w:t xml:space="preserve">Study 1 was conducted in North America and </w:t>
      </w:r>
      <w:r>
        <w:rPr>
          <w:lang w:val="en-GB"/>
        </w:rPr>
        <w:t>included</w:t>
      </w:r>
      <w:r w:rsidRPr="0087420D">
        <w:rPr>
          <w:lang w:val="en-GB"/>
        </w:rPr>
        <w:t xml:space="preserve"> 87 patients</w:t>
      </w:r>
      <w:r>
        <w:rPr>
          <w:lang w:val="en-GB"/>
        </w:rPr>
        <w:t xml:space="preserve"> in the Phase II part of the study</w:t>
      </w:r>
      <w:r w:rsidRPr="0087420D">
        <w:rPr>
          <w:lang w:val="en-GB"/>
        </w:rPr>
        <w:t>. Baseline demographic and disease characteristics in Study 1 were median age 54 years (range 29 to 79</w:t>
      </w:r>
      <w:r>
        <w:rPr>
          <w:lang w:val="en-GB"/>
        </w:rPr>
        <w:t xml:space="preserve"> years</w:t>
      </w:r>
      <w:r w:rsidRPr="0087420D">
        <w:rPr>
          <w:lang w:val="en-GB"/>
        </w:rPr>
        <w:t xml:space="preserve">, 18% </w:t>
      </w:r>
      <w:r>
        <w:rPr>
          <w:lang w:val="en-GB"/>
        </w:rPr>
        <w:t>≥ </w:t>
      </w:r>
      <w:r w:rsidRPr="0087420D">
        <w:rPr>
          <w:lang w:val="en-GB"/>
        </w:rPr>
        <w:t xml:space="preserve">65 </w:t>
      </w:r>
      <w:r>
        <w:rPr>
          <w:lang w:val="en-GB"/>
        </w:rPr>
        <w:t>years</w:t>
      </w:r>
      <w:r w:rsidRPr="0087420D">
        <w:rPr>
          <w:lang w:val="en-GB"/>
        </w:rPr>
        <w:t xml:space="preserve">), 84% White and 8% Asian, 55% female, 35% ECOG performance status 0 and 55% ECOG performance status 1, 100% never or former smokers, 99% Stage IV, 94% adenocarcinoma, and 74% prior chemotherapy. The most common sites of extra-thoracic metastasis included 60% CNS (of whom 65% had received CNS radiation), 43% lymph nodes, 36% bone, and 34% liver. </w:t>
      </w:r>
    </w:p>
    <w:p w14:paraId="607A5E29" w14:textId="77777777" w:rsidR="002D203E" w:rsidRPr="0087420D" w:rsidRDefault="002D203E" w:rsidP="002D203E">
      <w:pPr>
        <w:rPr>
          <w:lang w:val="en-GB"/>
        </w:rPr>
      </w:pPr>
    </w:p>
    <w:p w14:paraId="517B28B4" w14:textId="77777777" w:rsidR="002D203E" w:rsidRDefault="002D203E" w:rsidP="002D203E">
      <w:pPr>
        <w:rPr>
          <w:lang w:val="en-GB"/>
        </w:rPr>
      </w:pPr>
      <w:r w:rsidRPr="0087420D">
        <w:rPr>
          <w:lang w:val="en-GB"/>
        </w:rPr>
        <w:t xml:space="preserve">Study 2 was conducted internationally and </w:t>
      </w:r>
      <w:r>
        <w:rPr>
          <w:lang w:val="en-GB"/>
        </w:rPr>
        <w:t>included</w:t>
      </w:r>
      <w:r w:rsidRPr="0087420D">
        <w:rPr>
          <w:lang w:val="en-GB"/>
        </w:rPr>
        <w:t xml:space="preserve"> 138 patients</w:t>
      </w:r>
      <w:r>
        <w:rPr>
          <w:lang w:val="en-GB"/>
        </w:rPr>
        <w:t xml:space="preserve"> in the Phase II part of the study</w:t>
      </w:r>
      <w:r w:rsidRPr="0087420D">
        <w:rPr>
          <w:lang w:val="en-GB"/>
        </w:rPr>
        <w:t>. Baseline demographic and disease characteristics in Study 2 were median age 52 years (range 22 to 79</w:t>
      </w:r>
      <w:r>
        <w:rPr>
          <w:lang w:val="en-GB"/>
        </w:rPr>
        <w:t xml:space="preserve"> years</w:t>
      </w:r>
      <w:r w:rsidRPr="0087420D">
        <w:rPr>
          <w:lang w:val="en-GB"/>
        </w:rPr>
        <w:t>, 10%</w:t>
      </w:r>
      <w:r>
        <w:rPr>
          <w:lang w:val="en-GB"/>
        </w:rPr>
        <w:t xml:space="preserve"> ≥</w:t>
      </w:r>
      <w:r w:rsidRPr="0087420D">
        <w:rPr>
          <w:lang w:val="en-GB"/>
        </w:rPr>
        <w:t xml:space="preserve"> 65 </w:t>
      </w:r>
      <w:r>
        <w:rPr>
          <w:lang w:val="en-GB"/>
        </w:rPr>
        <w:t>years</w:t>
      </w:r>
      <w:r w:rsidRPr="0087420D">
        <w:rPr>
          <w:lang w:val="en-GB"/>
        </w:rPr>
        <w:t>), 67% White and 26% Asian, 56% female, 32% ECOG performance status 0 and 59% ECOG performance status 1, 98% never or former smokers, 99% Stage IV, 96% adenocarcinoma, and 80% prior chemotherapy. The most common sites of extra-thoracic metastasis included 61% CNS (of whom 73% had received CNS radiation), 51% bone, 38% lymph nodes, and 30% liver.</w:t>
      </w:r>
    </w:p>
    <w:p w14:paraId="7CD56B1C" w14:textId="77777777" w:rsidR="002D203E" w:rsidRPr="002D203E" w:rsidRDefault="002D203E" w:rsidP="002D203E">
      <w:pPr>
        <w:pStyle w:val="Heading5"/>
      </w:pPr>
      <w:r w:rsidRPr="002D203E">
        <w:t>Efficacy</w:t>
      </w:r>
    </w:p>
    <w:p w14:paraId="227B1CB1" w14:textId="77777777" w:rsidR="002D203E" w:rsidRPr="00F46299" w:rsidRDefault="002D203E" w:rsidP="002D203E">
      <w:pPr>
        <w:rPr>
          <w:lang w:val="en-GB"/>
        </w:rPr>
      </w:pPr>
      <w:r>
        <w:rPr>
          <w:lang w:val="en-GB"/>
        </w:rPr>
        <w:t>Efficacy results from Studies 1 and 2 in all treated patients are summarised in Table 8. The median duration of follow-up was 17 months in Study 1 and 21 months</w:t>
      </w:r>
      <w:r w:rsidRPr="006549AE">
        <w:rPr>
          <w:lang w:val="en-GB"/>
        </w:rPr>
        <w:t xml:space="preserve"> </w:t>
      </w:r>
      <w:r>
        <w:rPr>
          <w:lang w:val="en-GB"/>
        </w:rPr>
        <w:t>in Study 2 for both IRC and Investigator assessments. According to the IRC, all responses were partial responses. According to Investigator assessment, 2 patients and 3 patients achieved a complete response in Study 1 and Study 2, respectively.</w:t>
      </w:r>
    </w:p>
    <w:p w14:paraId="68086E2B" w14:textId="77777777" w:rsidR="002D203E" w:rsidRDefault="002D203E" w:rsidP="002D203E"/>
    <w:p w14:paraId="2677467B" w14:textId="77777777" w:rsidR="002D203E" w:rsidRDefault="002D203E" w:rsidP="002D203E">
      <w:pPr>
        <w:pStyle w:val="Tableheading"/>
      </w:pPr>
      <w:proofErr w:type="gramStart"/>
      <w:r w:rsidRPr="000252A5">
        <w:lastRenderedPageBreak/>
        <w:t xml:space="preserve">Table </w:t>
      </w:r>
      <w:r>
        <w:t>8</w:t>
      </w:r>
      <w:r w:rsidRPr="000252A5">
        <w:t>.</w:t>
      </w:r>
      <w:proofErr w:type="gramEnd"/>
      <w:r>
        <w:tab/>
        <w:t>Efficacy results in Studies 1 and 2 (ITT population)</w:t>
      </w:r>
    </w:p>
    <w:tbl>
      <w:tblPr>
        <w:tblStyle w:val="TableGrid"/>
        <w:tblW w:w="0" w:type="auto"/>
        <w:tblLook w:val="04A0" w:firstRow="1" w:lastRow="0" w:firstColumn="1" w:lastColumn="0" w:noHBand="0" w:noVBand="1"/>
      </w:tblPr>
      <w:tblGrid>
        <w:gridCol w:w="3368"/>
        <w:gridCol w:w="1417"/>
        <w:gridCol w:w="1559"/>
        <w:gridCol w:w="1418"/>
        <w:gridCol w:w="1524"/>
      </w:tblGrid>
      <w:tr w:rsidR="002D203E" w:rsidRPr="002D203E" w14:paraId="38DF97C2" w14:textId="77777777" w:rsidTr="00BE69D7">
        <w:tc>
          <w:tcPr>
            <w:tcW w:w="3369" w:type="dxa"/>
          </w:tcPr>
          <w:p w14:paraId="48D7B4E0" w14:textId="77777777" w:rsidR="002D203E" w:rsidRPr="002D203E" w:rsidRDefault="002D203E" w:rsidP="00BE69D7">
            <w:pPr>
              <w:pStyle w:val="Tabletext"/>
              <w:keepNext/>
              <w:rPr>
                <w:rFonts w:ascii="Times New Roman" w:hAnsi="Times New Roman"/>
                <w:b/>
                <w:sz w:val="22"/>
                <w:szCs w:val="22"/>
              </w:rPr>
            </w:pPr>
          </w:p>
        </w:tc>
        <w:tc>
          <w:tcPr>
            <w:tcW w:w="2976" w:type="dxa"/>
            <w:gridSpan w:val="2"/>
          </w:tcPr>
          <w:p w14:paraId="1642C733"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Study 1</w:t>
            </w:r>
            <w:r w:rsidRPr="002D203E">
              <w:rPr>
                <w:rFonts w:ascii="Times New Roman" w:hAnsi="Times New Roman"/>
                <w:b/>
                <w:sz w:val="22"/>
                <w:szCs w:val="22"/>
                <w:vertAlign w:val="superscript"/>
              </w:rPr>
              <w:t>1</w:t>
            </w:r>
          </w:p>
        </w:tc>
        <w:tc>
          <w:tcPr>
            <w:tcW w:w="2942" w:type="dxa"/>
            <w:gridSpan w:val="2"/>
          </w:tcPr>
          <w:p w14:paraId="1AE0B07E"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Study 2</w:t>
            </w:r>
            <w:r w:rsidRPr="002D203E">
              <w:rPr>
                <w:rFonts w:ascii="Times New Roman" w:hAnsi="Times New Roman"/>
                <w:b/>
                <w:sz w:val="22"/>
                <w:szCs w:val="22"/>
                <w:vertAlign w:val="superscript"/>
              </w:rPr>
              <w:t>2</w:t>
            </w:r>
          </w:p>
        </w:tc>
      </w:tr>
      <w:tr w:rsidR="002D203E" w:rsidRPr="002D203E" w14:paraId="513071A5" w14:textId="77777777" w:rsidTr="00BE69D7">
        <w:tc>
          <w:tcPr>
            <w:tcW w:w="3369" w:type="dxa"/>
          </w:tcPr>
          <w:p w14:paraId="74CDB9FA" w14:textId="77777777" w:rsidR="002D203E" w:rsidRPr="002D203E" w:rsidRDefault="002D203E" w:rsidP="00BE69D7">
            <w:pPr>
              <w:pStyle w:val="Tabletext"/>
              <w:keepNext/>
              <w:rPr>
                <w:rFonts w:ascii="Times New Roman" w:hAnsi="Times New Roman"/>
                <w:b/>
                <w:sz w:val="22"/>
                <w:szCs w:val="22"/>
              </w:rPr>
            </w:pPr>
            <w:r w:rsidRPr="002D203E">
              <w:rPr>
                <w:rFonts w:ascii="Times New Roman" w:hAnsi="Times New Roman"/>
                <w:b/>
                <w:sz w:val="22"/>
                <w:szCs w:val="22"/>
              </w:rPr>
              <w:t>Efficacy Parameter</w:t>
            </w:r>
          </w:p>
        </w:tc>
        <w:tc>
          <w:tcPr>
            <w:tcW w:w="1417" w:type="dxa"/>
          </w:tcPr>
          <w:p w14:paraId="1364971F"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IRC*</w:t>
            </w:r>
          </w:p>
        </w:tc>
        <w:tc>
          <w:tcPr>
            <w:tcW w:w="1559" w:type="dxa"/>
          </w:tcPr>
          <w:p w14:paraId="150637F0"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Investigator</w:t>
            </w:r>
          </w:p>
        </w:tc>
        <w:tc>
          <w:tcPr>
            <w:tcW w:w="1418" w:type="dxa"/>
          </w:tcPr>
          <w:p w14:paraId="2A9CA417"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IRC*</w:t>
            </w:r>
          </w:p>
        </w:tc>
        <w:tc>
          <w:tcPr>
            <w:tcW w:w="1524" w:type="dxa"/>
          </w:tcPr>
          <w:p w14:paraId="564FDF25" w14:textId="77777777" w:rsidR="002D203E" w:rsidRPr="002D203E" w:rsidRDefault="002D203E" w:rsidP="00BE69D7">
            <w:pPr>
              <w:pStyle w:val="Tabletext"/>
              <w:keepNext/>
              <w:jc w:val="center"/>
              <w:rPr>
                <w:rFonts w:ascii="Times New Roman" w:hAnsi="Times New Roman"/>
                <w:b/>
                <w:sz w:val="22"/>
                <w:szCs w:val="22"/>
              </w:rPr>
            </w:pPr>
            <w:r w:rsidRPr="002D203E">
              <w:rPr>
                <w:rFonts w:ascii="Times New Roman" w:hAnsi="Times New Roman"/>
                <w:b/>
                <w:sz w:val="22"/>
                <w:szCs w:val="22"/>
              </w:rPr>
              <w:t>Investigator</w:t>
            </w:r>
          </w:p>
        </w:tc>
      </w:tr>
      <w:tr w:rsidR="002D203E" w:rsidRPr="002D203E" w14:paraId="4C53F900" w14:textId="77777777" w:rsidTr="00BE69D7">
        <w:tc>
          <w:tcPr>
            <w:tcW w:w="3369" w:type="dxa"/>
          </w:tcPr>
          <w:p w14:paraId="4A84B3A9" w14:textId="77777777" w:rsidR="002D203E" w:rsidRPr="002D203E" w:rsidRDefault="002D203E" w:rsidP="00BE69D7">
            <w:pPr>
              <w:pStyle w:val="Tabletext"/>
              <w:keepNext/>
              <w:rPr>
                <w:rFonts w:ascii="Times New Roman" w:hAnsi="Times New Roman"/>
                <w:sz w:val="22"/>
                <w:szCs w:val="22"/>
              </w:rPr>
            </w:pPr>
          </w:p>
          <w:p w14:paraId="5FED49BD" w14:textId="77777777" w:rsidR="002D203E" w:rsidRPr="002D203E" w:rsidRDefault="002D203E" w:rsidP="00BE69D7">
            <w:pPr>
              <w:pStyle w:val="Tabletext"/>
              <w:keepNext/>
              <w:rPr>
                <w:rFonts w:ascii="Times New Roman" w:hAnsi="Times New Roman"/>
                <w:b/>
                <w:sz w:val="22"/>
                <w:szCs w:val="22"/>
              </w:rPr>
            </w:pPr>
            <w:r w:rsidRPr="002D203E">
              <w:rPr>
                <w:rFonts w:ascii="Times New Roman" w:hAnsi="Times New Roman"/>
                <w:b/>
                <w:sz w:val="22"/>
                <w:szCs w:val="22"/>
              </w:rPr>
              <w:t>ORR in ITT population</w:t>
            </w:r>
          </w:p>
          <w:p w14:paraId="2D32AE5B" w14:textId="77777777" w:rsidR="002D203E" w:rsidRPr="002D203E" w:rsidRDefault="002D203E" w:rsidP="00BE69D7">
            <w:pPr>
              <w:pStyle w:val="Tabletext"/>
              <w:keepNext/>
              <w:ind w:left="426"/>
              <w:rPr>
                <w:rFonts w:ascii="Times New Roman" w:hAnsi="Times New Roman"/>
                <w:sz w:val="22"/>
                <w:szCs w:val="22"/>
              </w:rPr>
            </w:pPr>
            <w:r w:rsidRPr="002D203E">
              <w:rPr>
                <w:rFonts w:ascii="Times New Roman" w:hAnsi="Times New Roman"/>
                <w:sz w:val="22"/>
                <w:szCs w:val="22"/>
              </w:rPr>
              <w:t>(95% CI)</w:t>
            </w:r>
          </w:p>
          <w:p w14:paraId="0C57929B" w14:textId="77777777" w:rsidR="002D203E" w:rsidRPr="002D203E" w:rsidRDefault="002D203E" w:rsidP="00BE69D7">
            <w:pPr>
              <w:pStyle w:val="Tabletext"/>
              <w:keepNext/>
              <w:ind w:left="426"/>
              <w:rPr>
                <w:rFonts w:ascii="Times New Roman" w:hAnsi="Times New Roman"/>
                <w:b/>
                <w:sz w:val="22"/>
                <w:szCs w:val="22"/>
              </w:rPr>
            </w:pPr>
            <w:r w:rsidRPr="002D203E">
              <w:rPr>
                <w:rFonts w:ascii="Times New Roman" w:hAnsi="Times New Roman"/>
                <w:sz w:val="22"/>
                <w:szCs w:val="22"/>
              </w:rPr>
              <w:t>Number of responders</w:t>
            </w:r>
          </w:p>
        </w:tc>
        <w:tc>
          <w:tcPr>
            <w:tcW w:w="1417" w:type="dxa"/>
            <w:vAlign w:val="center"/>
          </w:tcPr>
          <w:p w14:paraId="16A00AF8"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n=87</w:t>
            </w:r>
          </w:p>
          <w:p w14:paraId="14D18A96"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42.5%</w:t>
            </w:r>
          </w:p>
          <w:p w14:paraId="45BE62B3"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(32.0; 53.6)</w:t>
            </w:r>
          </w:p>
          <w:p w14:paraId="33DD4E6F"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37</w:t>
            </w:r>
          </w:p>
        </w:tc>
        <w:tc>
          <w:tcPr>
            <w:tcW w:w="1559" w:type="dxa"/>
            <w:vAlign w:val="center"/>
          </w:tcPr>
          <w:p w14:paraId="4C16D742"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n=87</w:t>
            </w:r>
          </w:p>
          <w:p w14:paraId="234CDE23"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52.9%</w:t>
            </w:r>
          </w:p>
          <w:p w14:paraId="56F2B26A"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(41.9; 63.7)</w:t>
            </w:r>
          </w:p>
          <w:p w14:paraId="37B37436"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46</w:t>
            </w:r>
          </w:p>
        </w:tc>
        <w:tc>
          <w:tcPr>
            <w:tcW w:w="1418" w:type="dxa"/>
            <w:vAlign w:val="center"/>
          </w:tcPr>
          <w:p w14:paraId="7A7DFE13"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n=138</w:t>
            </w:r>
          </w:p>
          <w:p w14:paraId="4E892386"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44.9%</w:t>
            </w:r>
          </w:p>
          <w:p w14:paraId="7E24B8FF"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(36.5; 53.6)</w:t>
            </w:r>
          </w:p>
          <w:p w14:paraId="61DA0F5D"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62</w:t>
            </w:r>
          </w:p>
        </w:tc>
        <w:tc>
          <w:tcPr>
            <w:tcW w:w="1524" w:type="dxa"/>
            <w:vAlign w:val="center"/>
          </w:tcPr>
          <w:p w14:paraId="058C3F07"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n=138</w:t>
            </w:r>
          </w:p>
          <w:p w14:paraId="705A93A8"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51.4%</w:t>
            </w:r>
          </w:p>
          <w:p w14:paraId="5DDF8300"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(42.8; 60.0)</w:t>
            </w:r>
          </w:p>
          <w:p w14:paraId="62B17149"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71</w:t>
            </w:r>
          </w:p>
        </w:tc>
      </w:tr>
      <w:tr w:rsidR="002D203E" w:rsidRPr="002D203E" w14:paraId="09F68666" w14:textId="77777777" w:rsidTr="00BE69D7">
        <w:tc>
          <w:tcPr>
            <w:tcW w:w="3369" w:type="dxa"/>
          </w:tcPr>
          <w:p w14:paraId="4C845C07" w14:textId="77777777" w:rsidR="002D203E" w:rsidRPr="002D203E" w:rsidRDefault="002D203E" w:rsidP="00BE69D7">
            <w:pPr>
              <w:pStyle w:val="Tabletext"/>
              <w:keepNext/>
              <w:rPr>
                <w:rFonts w:ascii="Times New Roman" w:hAnsi="Times New Roman"/>
                <w:b/>
                <w:sz w:val="22"/>
                <w:szCs w:val="22"/>
              </w:rPr>
            </w:pPr>
            <w:r w:rsidRPr="002D203E">
              <w:rPr>
                <w:rFonts w:ascii="Times New Roman" w:hAnsi="Times New Roman"/>
                <w:b/>
                <w:sz w:val="22"/>
                <w:szCs w:val="22"/>
              </w:rPr>
              <w:t>ORR in patients pre-treated with chemotherapy</w:t>
            </w:r>
          </w:p>
          <w:p w14:paraId="0CCB4905" w14:textId="77777777" w:rsidR="002D203E" w:rsidRPr="002D203E" w:rsidRDefault="002D203E" w:rsidP="00BE69D7">
            <w:pPr>
              <w:pStyle w:val="Tabletext"/>
              <w:keepNext/>
              <w:ind w:left="426"/>
              <w:rPr>
                <w:rFonts w:ascii="Times New Roman" w:hAnsi="Times New Roman"/>
                <w:sz w:val="22"/>
                <w:szCs w:val="22"/>
              </w:rPr>
            </w:pPr>
            <w:r w:rsidRPr="002D203E">
              <w:rPr>
                <w:rFonts w:ascii="Times New Roman" w:hAnsi="Times New Roman"/>
                <w:sz w:val="22"/>
                <w:szCs w:val="22"/>
              </w:rPr>
              <w:t>(95% CI)</w:t>
            </w:r>
          </w:p>
          <w:p w14:paraId="6DBCFB70" w14:textId="77777777" w:rsidR="002D203E" w:rsidRPr="002D203E" w:rsidRDefault="002D203E" w:rsidP="00BE69D7">
            <w:pPr>
              <w:pStyle w:val="Tabletext"/>
              <w:keepNext/>
              <w:ind w:left="426"/>
              <w:rPr>
                <w:rFonts w:ascii="Times New Roman" w:hAnsi="Times New Roman"/>
                <w:sz w:val="22"/>
                <w:szCs w:val="22"/>
              </w:rPr>
            </w:pPr>
            <w:r w:rsidRPr="002D203E">
              <w:rPr>
                <w:rFonts w:ascii="Times New Roman" w:hAnsi="Times New Roman"/>
                <w:sz w:val="22"/>
                <w:szCs w:val="22"/>
              </w:rPr>
              <w:t>Number of responders</w:t>
            </w:r>
          </w:p>
        </w:tc>
        <w:tc>
          <w:tcPr>
            <w:tcW w:w="1417" w:type="dxa"/>
            <w:vAlign w:val="center"/>
          </w:tcPr>
          <w:p w14:paraId="0606E17D" w14:textId="77777777" w:rsidR="002D203E" w:rsidRPr="002D203E" w:rsidRDefault="002D203E" w:rsidP="00BE69D7">
            <w:pPr>
              <w:pStyle w:val="Tabletext"/>
              <w:keepNext/>
              <w:jc w:val="center"/>
              <w:rPr>
                <w:rFonts w:ascii="Times New Roman" w:hAnsi="Times New Roman"/>
                <w:sz w:val="22"/>
                <w:szCs w:val="22"/>
              </w:rPr>
            </w:pPr>
          </w:p>
          <w:p w14:paraId="51053E2B"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n/a</w:t>
            </w:r>
          </w:p>
          <w:p w14:paraId="512ED595" w14:textId="77777777" w:rsidR="002D203E" w:rsidRPr="002D203E" w:rsidRDefault="002D203E" w:rsidP="00BE69D7">
            <w:pPr>
              <w:pStyle w:val="Tabletext"/>
              <w:keepNext/>
              <w:jc w:val="center"/>
              <w:rPr>
                <w:rFonts w:ascii="Times New Roman" w:hAnsi="Times New Roman"/>
                <w:sz w:val="22"/>
                <w:szCs w:val="22"/>
              </w:rPr>
            </w:pPr>
          </w:p>
          <w:p w14:paraId="0CC4866E" w14:textId="77777777" w:rsidR="002D203E" w:rsidRPr="002D203E" w:rsidRDefault="002D203E" w:rsidP="00BE69D7">
            <w:pPr>
              <w:pStyle w:val="Tabletext"/>
              <w:keepNext/>
              <w:jc w:val="center"/>
              <w:rPr>
                <w:rFonts w:ascii="Times New Roman" w:hAnsi="Times New Roman"/>
                <w:sz w:val="22"/>
                <w:szCs w:val="22"/>
              </w:rPr>
            </w:pPr>
          </w:p>
        </w:tc>
        <w:tc>
          <w:tcPr>
            <w:tcW w:w="1559" w:type="dxa"/>
            <w:vAlign w:val="center"/>
          </w:tcPr>
          <w:p w14:paraId="6A65E082" w14:textId="77777777" w:rsidR="002D203E" w:rsidRPr="002D203E" w:rsidRDefault="002D203E" w:rsidP="00BE69D7">
            <w:pPr>
              <w:pStyle w:val="Tabletext"/>
              <w:keepNext/>
              <w:jc w:val="center"/>
              <w:rPr>
                <w:rFonts w:ascii="Times New Roman" w:hAnsi="Times New Roman"/>
                <w:sz w:val="22"/>
                <w:szCs w:val="22"/>
              </w:rPr>
            </w:pPr>
          </w:p>
          <w:p w14:paraId="6162BE0E"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n/a</w:t>
            </w:r>
          </w:p>
          <w:p w14:paraId="24220F55" w14:textId="77777777" w:rsidR="002D203E" w:rsidRPr="002D203E" w:rsidRDefault="002D203E" w:rsidP="00BE69D7">
            <w:pPr>
              <w:pStyle w:val="Tabletext"/>
              <w:keepNext/>
              <w:jc w:val="center"/>
              <w:rPr>
                <w:rFonts w:ascii="Times New Roman" w:hAnsi="Times New Roman"/>
                <w:sz w:val="22"/>
                <w:szCs w:val="22"/>
              </w:rPr>
            </w:pPr>
          </w:p>
          <w:p w14:paraId="49B2E71A" w14:textId="77777777" w:rsidR="002D203E" w:rsidRPr="002D203E" w:rsidRDefault="002D203E" w:rsidP="00BE69D7">
            <w:pPr>
              <w:pStyle w:val="Tabletext"/>
              <w:keepNext/>
              <w:jc w:val="center"/>
              <w:rPr>
                <w:rFonts w:ascii="Times New Roman" w:hAnsi="Times New Roman"/>
                <w:sz w:val="22"/>
                <w:szCs w:val="22"/>
              </w:rPr>
            </w:pPr>
          </w:p>
        </w:tc>
        <w:tc>
          <w:tcPr>
            <w:tcW w:w="1418" w:type="dxa"/>
            <w:shd w:val="clear" w:color="auto" w:fill="FFFFFF" w:themeFill="background1"/>
            <w:vAlign w:val="center"/>
          </w:tcPr>
          <w:p w14:paraId="6F58A543"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n=110</w:t>
            </w:r>
            <w:r w:rsidRPr="002D203E">
              <w:rPr>
                <w:rFonts w:ascii="Times New Roman" w:hAnsi="Times New Roman"/>
                <w:sz w:val="22"/>
                <w:szCs w:val="22"/>
              </w:rPr>
              <w:br/>
              <w:t>39.1%</w:t>
            </w:r>
          </w:p>
          <w:p w14:paraId="36C8ECDB"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(29.9; 48.9)</w:t>
            </w:r>
          </w:p>
          <w:p w14:paraId="55336E97"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43</w:t>
            </w:r>
          </w:p>
        </w:tc>
        <w:tc>
          <w:tcPr>
            <w:tcW w:w="1524" w:type="dxa"/>
            <w:shd w:val="clear" w:color="auto" w:fill="FFFFFF" w:themeFill="background1"/>
            <w:vAlign w:val="center"/>
          </w:tcPr>
          <w:p w14:paraId="31267950"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n=110</w:t>
            </w:r>
            <w:r w:rsidRPr="002D203E">
              <w:rPr>
                <w:rFonts w:ascii="Times New Roman" w:hAnsi="Times New Roman"/>
                <w:sz w:val="22"/>
                <w:szCs w:val="22"/>
              </w:rPr>
              <w:br/>
              <w:t>50.0%</w:t>
            </w:r>
          </w:p>
          <w:p w14:paraId="2C08BF77"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(40.3; 59.7)</w:t>
            </w:r>
          </w:p>
          <w:p w14:paraId="66A6040E" w14:textId="77777777" w:rsidR="002D203E" w:rsidRPr="002D203E" w:rsidRDefault="002D203E" w:rsidP="00BE69D7">
            <w:pPr>
              <w:pStyle w:val="Tabletext"/>
              <w:keepNext/>
              <w:jc w:val="center"/>
              <w:rPr>
                <w:rFonts w:ascii="Times New Roman" w:hAnsi="Times New Roman"/>
                <w:sz w:val="22"/>
                <w:szCs w:val="22"/>
              </w:rPr>
            </w:pPr>
            <w:r w:rsidRPr="002D203E">
              <w:rPr>
                <w:rFonts w:ascii="Times New Roman" w:hAnsi="Times New Roman"/>
                <w:sz w:val="22"/>
                <w:szCs w:val="22"/>
              </w:rPr>
              <w:t>55</w:t>
            </w:r>
          </w:p>
        </w:tc>
      </w:tr>
      <w:tr w:rsidR="002D203E" w:rsidRPr="002D203E" w14:paraId="735B5CCA" w14:textId="77777777" w:rsidTr="00BE69D7">
        <w:tc>
          <w:tcPr>
            <w:tcW w:w="3369" w:type="dxa"/>
          </w:tcPr>
          <w:p w14:paraId="518EAD74" w14:textId="77777777" w:rsidR="002D203E" w:rsidRPr="002D203E" w:rsidRDefault="002D203E" w:rsidP="00BE69D7">
            <w:pPr>
              <w:pStyle w:val="Tabletext"/>
              <w:rPr>
                <w:rFonts w:ascii="Times New Roman" w:hAnsi="Times New Roman"/>
                <w:b/>
                <w:sz w:val="22"/>
                <w:szCs w:val="22"/>
              </w:rPr>
            </w:pPr>
            <w:r w:rsidRPr="002D203E">
              <w:rPr>
                <w:rFonts w:ascii="Times New Roman" w:hAnsi="Times New Roman"/>
                <w:b/>
                <w:sz w:val="22"/>
                <w:szCs w:val="22"/>
              </w:rPr>
              <w:t xml:space="preserve">Median DOR (months) in ITT population </w:t>
            </w:r>
          </w:p>
          <w:p w14:paraId="69A11008" w14:textId="77777777" w:rsidR="002D203E" w:rsidRPr="002D203E" w:rsidRDefault="002D203E" w:rsidP="00BE69D7">
            <w:pPr>
              <w:pStyle w:val="Tabletext"/>
              <w:ind w:left="426"/>
              <w:rPr>
                <w:rFonts w:ascii="Times New Roman" w:hAnsi="Times New Roman"/>
                <w:b/>
                <w:sz w:val="22"/>
                <w:szCs w:val="22"/>
              </w:rPr>
            </w:pPr>
            <w:r w:rsidRPr="002D203E">
              <w:rPr>
                <w:rFonts w:ascii="Times New Roman" w:hAnsi="Times New Roman"/>
                <w:sz w:val="22"/>
                <w:szCs w:val="22"/>
              </w:rPr>
              <w:t>(95% CI)</w:t>
            </w:r>
          </w:p>
        </w:tc>
        <w:tc>
          <w:tcPr>
            <w:tcW w:w="1417" w:type="dxa"/>
            <w:vAlign w:val="center"/>
          </w:tcPr>
          <w:p w14:paraId="62F0FB64"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n=37</w:t>
            </w:r>
          </w:p>
          <w:p w14:paraId="51E9082A"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14.9</w:t>
            </w:r>
          </w:p>
          <w:p w14:paraId="73EB0F1E"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(7.5, NE)</w:t>
            </w:r>
          </w:p>
        </w:tc>
        <w:tc>
          <w:tcPr>
            <w:tcW w:w="1559" w:type="dxa"/>
            <w:vAlign w:val="center"/>
          </w:tcPr>
          <w:p w14:paraId="1BAFE644"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n=46</w:t>
            </w:r>
          </w:p>
          <w:p w14:paraId="462175A0"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13.3</w:t>
            </w:r>
          </w:p>
          <w:p w14:paraId="0CAA5A70"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(8.8; 18.2)</w:t>
            </w:r>
          </w:p>
        </w:tc>
        <w:tc>
          <w:tcPr>
            <w:tcW w:w="1418" w:type="dxa"/>
            <w:vAlign w:val="center"/>
          </w:tcPr>
          <w:p w14:paraId="7E5C2FF5"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n=62</w:t>
            </w:r>
          </w:p>
          <w:p w14:paraId="31A8CFD4"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15.2</w:t>
            </w:r>
          </w:p>
          <w:p w14:paraId="3439BB61"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(11.2; 24.9)</w:t>
            </w:r>
          </w:p>
        </w:tc>
        <w:tc>
          <w:tcPr>
            <w:tcW w:w="1524" w:type="dxa"/>
            <w:vAlign w:val="center"/>
          </w:tcPr>
          <w:p w14:paraId="25D63708"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n=71</w:t>
            </w:r>
          </w:p>
          <w:p w14:paraId="2609E9A0"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13.7</w:t>
            </w:r>
          </w:p>
          <w:p w14:paraId="6554700C" w14:textId="77777777" w:rsidR="002D203E" w:rsidRPr="002D203E" w:rsidRDefault="002D203E" w:rsidP="00BE69D7">
            <w:pPr>
              <w:pStyle w:val="Tabletext"/>
              <w:jc w:val="center"/>
              <w:rPr>
                <w:rFonts w:ascii="Times New Roman" w:hAnsi="Times New Roman"/>
                <w:sz w:val="22"/>
                <w:szCs w:val="22"/>
              </w:rPr>
            </w:pPr>
            <w:r w:rsidRPr="002D203E">
              <w:rPr>
                <w:rFonts w:ascii="Times New Roman" w:hAnsi="Times New Roman"/>
                <w:sz w:val="22"/>
                <w:szCs w:val="22"/>
              </w:rPr>
              <w:t>(11.0; 20.3)</w:t>
            </w:r>
          </w:p>
        </w:tc>
      </w:tr>
    </w:tbl>
    <w:p w14:paraId="1303A8D2" w14:textId="77777777" w:rsidR="002D203E" w:rsidRPr="008051DE" w:rsidRDefault="002D203E" w:rsidP="002D203E">
      <w:pPr>
        <w:spacing w:before="40"/>
        <w:rPr>
          <w:sz w:val="20"/>
        </w:rPr>
      </w:pPr>
      <w:r w:rsidRPr="008051DE">
        <w:rPr>
          <w:sz w:val="20"/>
          <w:vertAlign w:val="superscript"/>
        </w:rPr>
        <w:t>1</w:t>
      </w:r>
      <w:r w:rsidRPr="008051DE">
        <w:rPr>
          <w:sz w:val="20"/>
        </w:rPr>
        <w:t xml:space="preserve"> Data cutoff date: 22-Jan-2016</w:t>
      </w:r>
      <w:r w:rsidRPr="008051DE">
        <w:rPr>
          <w:sz w:val="20"/>
        </w:rPr>
        <w:tab/>
      </w:r>
      <w:r w:rsidRPr="008051DE">
        <w:rPr>
          <w:sz w:val="20"/>
          <w:vertAlign w:val="superscript"/>
        </w:rPr>
        <w:t>2</w:t>
      </w:r>
      <w:r w:rsidRPr="008051DE">
        <w:rPr>
          <w:sz w:val="20"/>
        </w:rPr>
        <w:t xml:space="preserve"> Data cutoff date: 01-Feb-2016</w:t>
      </w:r>
    </w:p>
    <w:p w14:paraId="0E704873" w14:textId="77777777" w:rsidR="002D203E" w:rsidRPr="008051DE" w:rsidRDefault="002D203E" w:rsidP="002D203E">
      <w:pPr>
        <w:spacing w:before="40"/>
        <w:rPr>
          <w:sz w:val="20"/>
        </w:rPr>
      </w:pPr>
      <w:r w:rsidRPr="008051DE">
        <w:rPr>
          <w:sz w:val="20"/>
        </w:rPr>
        <w:t>ITT=intent-to-treat; CI</w:t>
      </w:r>
      <w:r w:rsidRPr="008051DE">
        <w:rPr>
          <w:sz w:val="4"/>
        </w:rPr>
        <w:t> </w:t>
      </w:r>
      <w:r w:rsidRPr="008051DE">
        <w:rPr>
          <w:sz w:val="20"/>
        </w:rPr>
        <w:sym w:font="Symbol" w:char="F03D"/>
      </w:r>
      <w:r w:rsidRPr="008051DE">
        <w:rPr>
          <w:sz w:val="20"/>
        </w:rPr>
        <w:t>confidence interval; IRC</w:t>
      </w:r>
      <w:r w:rsidRPr="008051DE">
        <w:rPr>
          <w:sz w:val="20"/>
        </w:rPr>
        <w:sym w:font="Symbol" w:char="F03D"/>
      </w:r>
      <w:r w:rsidRPr="008051DE">
        <w:rPr>
          <w:sz w:val="20"/>
        </w:rPr>
        <w:t xml:space="preserve">independent review committee; </w:t>
      </w:r>
      <w:proofErr w:type="gramStart"/>
      <w:r w:rsidRPr="008051DE">
        <w:rPr>
          <w:sz w:val="20"/>
        </w:rPr>
        <w:t>n/a=</w:t>
      </w:r>
      <w:proofErr w:type="gramEnd"/>
      <w:r w:rsidRPr="008051DE">
        <w:rPr>
          <w:sz w:val="20"/>
        </w:rPr>
        <w:t>not applicable; NE</w:t>
      </w:r>
      <w:r w:rsidRPr="008051DE">
        <w:rPr>
          <w:sz w:val="20"/>
        </w:rPr>
        <w:sym w:font="Symbol" w:char="F03D"/>
      </w:r>
      <w:r w:rsidRPr="008051DE">
        <w:rPr>
          <w:sz w:val="20"/>
        </w:rPr>
        <w:t>not estimable; ORR=objective response rate; DOR=duration of response</w:t>
      </w:r>
    </w:p>
    <w:p w14:paraId="0498142F" w14:textId="77777777" w:rsidR="002D203E" w:rsidRPr="008051DE" w:rsidRDefault="002D203E" w:rsidP="002D203E">
      <w:pPr>
        <w:spacing w:before="40"/>
        <w:rPr>
          <w:sz w:val="20"/>
        </w:rPr>
      </w:pPr>
      <w:r w:rsidRPr="008051DE">
        <w:rPr>
          <w:sz w:val="20"/>
          <w:vertAlign w:val="superscript"/>
        </w:rPr>
        <w:t xml:space="preserve">* </w:t>
      </w:r>
      <w:r w:rsidRPr="008051DE">
        <w:rPr>
          <w:sz w:val="20"/>
        </w:rPr>
        <w:t>20 patients in Study 1 and 16 patients in Study 2 did not have measurable disease at baseline as per IRC assessment and could only be classified as a responder in the IRC analysis in the case of a complete response</w:t>
      </w:r>
    </w:p>
    <w:p w14:paraId="594B0F96" w14:textId="77777777" w:rsidR="002D203E" w:rsidRPr="00C86DA1" w:rsidRDefault="002D203E" w:rsidP="002D203E">
      <w:pPr>
        <w:pStyle w:val="Heading5"/>
      </w:pPr>
      <w:r w:rsidRPr="00C86DA1">
        <w:t>CNS Efficacy</w:t>
      </w:r>
    </w:p>
    <w:p w14:paraId="2FA1D665" w14:textId="77777777" w:rsidR="002D203E" w:rsidRDefault="002D203E" w:rsidP="002D203E">
      <w:r w:rsidRPr="00C86DA1">
        <w:t>Results of ORR and DOR for CN</w:t>
      </w:r>
      <w:r>
        <w:t>S me</w:t>
      </w:r>
      <w:r w:rsidRPr="00C86DA1">
        <w:t>ta</w:t>
      </w:r>
      <w:r>
        <w:t>s</w:t>
      </w:r>
      <w:r w:rsidRPr="00C86DA1">
        <w:t>tases in a subgroup of 50 patients (pooled fro</w:t>
      </w:r>
      <w:r>
        <w:t>m</w:t>
      </w:r>
      <w:r w:rsidRPr="00C86DA1">
        <w:t xml:space="preserve"> both Studies 1 and 2) who had measurable CNS lesions at baseline according to RECIST v1.1 are summarised in Table </w:t>
      </w:r>
      <w:r>
        <w:t>9</w:t>
      </w:r>
      <w:r w:rsidRPr="00C86DA1">
        <w:t xml:space="preserve">. Thirty-four (68%) patients with measurable CNS lesions had received prior brain radiation, including 25 (50%) </w:t>
      </w:r>
      <w:proofErr w:type="gramStart"/>
      <w:r w:rsidRPr="00C86DA1">
        <w:t>who</w:t>
      </w:r>
      <w:proofErr w:type="gramEnd"/>
      <w:r w:rsidRPr="00C86DA1">
        <w:t xml:space="preserve"> had completed radiation treatment at least 6 months before starting treatment with </w:t>
      </w:r>
      <w:r>
        <w:t>Alecensa</w:t>
      </w:r>
      <w:r w:rsidRPr="00C86DA1">
        <w:t>. Responses were observed irrespective of prior brain radiation status.</w:t>
      </w:r>
    </w:p>
    <w:p w14:paraId="6EAA9F8E" w14:textId="77777777" w:rsidR="002D203E" w:rsidRDefault="002D203E" w:rsidP="002D203E"/>
    <w:p w14:paraId="22B7F3A3" w14:textId="77777777" w:rsidR="002D203E" w:rsidRDefault="002D203E" w:rsidP="002D203E">
      <w:pPr>
        <w:pStyle w:val="Tableheading"/>
        <w:rPr>
          <w:lang w:val="en-NZ"/>
        </w:rPr>
      </w:pPr>
      <w:proofErr w:type="gramStart"/>
      <w:r>
        <w:rPr>
          <w:lang w:val="en-NZ"/>
        </w:rPr>
        <w:t>Table 9.</w:t>
      </w:r>
      <w:proofErr w:type="gramEnd"/>
      <w:r>
        <w:rPr>
          <w:lang w:val="en-NZ"/>
        </w:rPr>
        <w:tab/>
        <w:t>Efficacy results in the patients in Studies 1 and 2 combined who had measurable CNS lesions at baseline</w:t>
      </w:r>
    </w:p>
    <w:tbl>
      <w:tblPr>
        <w:tblStyle w:val="TableGrid"/>
        <w:tblW w:w="0" w:type="auto"/>
        <w:tblLook w:val="04A0" w:firstRow="1" w:lastRow="0" w:firstColumn="1" w:lastColumn="0" w:noHBand="0" w:noVBand="1"/>
      </w:tblPr>
      <w:tblGrid>
        <w:gridCol w:w="4643"/>
        <w:gridCol w:w="4643"/>
      </w:tblGrid>
      <w:tr w:rsidR="002D203E" w:rsidRPr="002D203E" w14:paraId="0A2146AD" w14:textId="77777777" w:rsidTr="00BE69D7">
        <w:tc>
          <w:tcPr>
            <w:tcW w:w="4643" w:type="dxa"/>
          </w:tcPr>
          <w:p w14:paraId="060A812C" w14:textId="77777777" w:rsidR="002D203E" w:rsidRPr="002D203E" w:rsidRDefault="002D203E" w:rsidP="00BE69D7">
            <w:pPr>
              <w:pStyle w:val="Tabletext"/>
              <w:rPr>
                <w:rFonts w:ascii="Times New Roman" w:hAnsi="Times New Roman"/>
                <w:b/>
                <w:sz w:val="22"/>
                <w:szCs w:val="22"/>
                <w:lang w:val="en-NZ"/>
              </w:rPr>
            </w:pPr>
            <w:r w:rsidRPr="002D203E">
              <w:rPr>
                <w:rFonts w:ascii="Times New Roman" w:hAnsi="Times New Roman"/>
                <w:b/>
                <w:sz w:val="22"/>
                <w:szCs w:val="22"/>
                <w:lang w:val="en-NZ"/>
              </w:rPr>
              <w:t>Efficacy Parameter</w:t>
            </w:r>
          </w:p>
        </w:tc>
        <w:tc>
          <w:tcPr>
            <w:tcW w:w="4644" w:type="dxa"/>
            <w:vAlign w:val="center"/>
          </w:tcPr>
          <w:p w14:paraId="5C0A1700" w14:textId="77777777" w:rsidR="002D203E" w:rsidRPr="002D203E" w:rsidRDefault="002D203E" w:rsidP="00BE69D7">
            <w:pPr>
              <w:pStyle w:val="Tabletext"/>
              <w:jc w:val="center"/>
              <w:rPr>
                <w:rFonts w:ascii="Times New Roman" w:hAnsi="Times New Roman"/>
                <w:b/>
                <w:sz w:val="22"/>
                <w:szCs w:val="22"/>
                <w:lang w:val="en-NZ"/>
              </w:rPr>
            </w:pPr>
            <w:r w:rsidRPr="002D203E">
              <w:rPr>
                <w:rFonts w:ascii="Times New Roman" w:hAnsi="Times New Roman"/>
                <w:b/>
                <w:sz w:val="22"/>
                <w:szCs w:val="22"/>
                <w:lang w:val="en-NZ"/>
              </w:rPr>
              <w:t>n=50</w:t>
            </w:r>
          </w:p>
        </w:tc>
      </w:tr>
      <w:tr w:rsidR="002D203E" w:rsidRPr="002D203E" w14:paraId="7121B785" w14:textId="77777777" w:rsidTr="00BE69D7">
        <w:tc>
          <w:tcPr>
            <w:tcW w:w="4643" w:type="dxa"/>
          </w:tcPr>
          <w:p w14:paraId="39A10F00" w14:textId="77777777" w:rsidR="002D203E" w:rsidRPr="002D203E" w:rsidRDefault="002D203E" w:rsidP="00BE69D7">
            <w:pPr>
              <w:pStyle w:val="Tabletext"/>
              <w:rPr>
                <w:rFonts w:ascii="Times New Roman" w:hAnsi="Times New Roman"/>
                <w:b/>
                <w:sz w:val="22"/>
                <w:szCs w:val="22"/>
                <w:lang w:val="en-NZ"/>
              </w:rPr>
            </w:pPr>
            <w:r w:rsidRPr="002D203E">
              <w:rPr>
                <w:rFonts w:ascii="Times New Roman" w:hAnsi="Times New Roman"/>
                <w:b/>
                <w:sz w:val="22"/>
                <w:szCs w:val="22"/>
                <w:lang w:val="en-NZ"/>
              </w:rPr>
              <w:t>CNS ORR*</w:t>
            </w:r>
          </w:p>
          <w:p w14:paraId="72C936A8" w14:textId="77777777" w:rsidR="002D203E" w:rsidRPr="002D203E" w:rsidRDefault="002D203E" w:rsidP="00BE69D7">
            <w:pPr>
              <w:pStyle w:val="Tabletext"/>
              <w:rPr>
                <w:rFonts w:ascii="Times New Roman" w:hAnsi="Times New Roman"/>
                <w:b/>
                <w:sz w:val="22"/>
                <w:szCs w:val="22"/>
                <w:lang w:val="en-NZ"/>
              </w:rPr>
            </w:pPr>
            <w:r w:rsidRPr="002D203E">
              <w:rPr>
                <w:rFonts w:ascii="Times New Roman" w:hAnsi="Times New Roman"/>
                <w:b/>
                <w:sz w:val="22"/>
                <w:szCs w:val="22"/>
                <w:lang w:val="en-NZ"/>
              </w:rPr>
              <w:t>(95% CI)</w:t>
            </w:r>
          </w:p>
        </w:tc>
        <w:tc>
          <w:tcPr>
            <w:tcW w:w="4644" w:type="dxa"/>
            <w:vAlign w:val="center"/>
          </w:tcPr>
          <w:p w14:paraId="2C42CC0F"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64.0%</w:t>
            </w:r>
          </w:p>
          <w:p w14:paraId="199B2D33"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(49.2; 77.1)</w:t>
            </w:r>
          </w:p>
        </w:tc>
      </w:tr>
      <w:tr w:rsidR="002D203E" w:rsidRPr="002D203E" w14:paraId="6CE39A21" w14:textId="77777777" w:rsidTr="00BE69D7">
        <w:tc>
          <w:tcPr>
            <w:tcW w:w="4643" w:type="dxa"/>
          </w:tcPr>
          <w:p w14:paraId="358A59C9" w14:textId="77777777" w:rsidR="002D203E" w:rsidRPr="002D203E" w:rsidRDefault="002D203E" w:rsidP="00BE69D7">
            <w:pPr>
              <w:pStyle w:val="Tabletext"/>
              <w:ind w:left="426"/>
              <w:rPr>
                <w:rFonts w:ascii="Times New Roman" w:hAnsi="Times New Roman"/>
                <w:sz w:val="22"/>
                <w:szCs w:val="22"/>
                <w:lang w:val="en-NZ"/>
              </w:rPr>
            </w:pPr>
            <w:r w:rsidRPr="002D203E">
              <w:rPr>
                <w:rFonts w:ascii="Times New Roman" w:hAnsi="Times New Roman"/>
                <w:sz w:val="22"/>
                <w:szCs w:val="22"/>
                <w:lang w:val="en-NZ"/>
              </w:rPr>
              <w:t>Complete Response (CR)</w:t>
            </w:r>
          </w:p>
        </w:tc>
        <w:tc>
          <w:tcPr>
            <w:tcW w:w="4644" w:type="dxa"/>
            <w:vAlign w:val="center"/>
          </w:tcPr>
          <w:p w14:paraId="17A34039"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22%</w:t>
            </w:r>
          </w:p>
        </w:tc>
      </w:tr>
      <w:tr w:rsidR="002D203E" w:rsidRPr="002D203E" w14:paraId="34242619" w14:textId="77777777" w:rsidTr="00BE69D7">
        <w:tc>
          <w:tcPr>
            <w:tcW w:w="4643" w:type="dxa"/>
          </w:tcPr>
          <w:p w14:paraId="729CD281" w14:textId="77777777" w:rsidR="002D203E" w:rsidRPr="002D203E" w:rsidRDefault="002D203E" w:rsidP="00BE69D7">
            <w:pPr>
              <w:pStyle w:val="Tabletext"/>
              <w:ind w:left="426"/>
              <w:rPr>
                <w:rFonts w:ascii="Times New Roman" w:hAnsi="Times New Roman"/>
                <w:sz w:val="22"/>
                <w:szCs w:val="22"/>
                <w:lang w:val="en-NZ"/>
              </w:rPr>
            </w:pPr>
            <w:r w:rsidRPr="002D203E">
              <w:rPr>
                <w:rFonts w:ascii="Times New Roman" w:hAnsi="Times New Roman"/>
                <w:sz w:val="22"/>
                <w:szCs w:val="22"/>
                <w:lang w:val="en-NZ"/>
              </w:rPr>
              <w:t>Partial Response (PR)</w:t>
            </w:r>
          </w:p>
        </w:tc>
        <w:tc>
          <w:tcPr>
            <w:tcW w:w="4644" w:type="dxa"/>
            <w:vAlign w:val="center"/>
          </w:tcPr>
          <w:p w14:paraId="05449C13"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42%</w:t>
            </w:r>
          </w:p>
        </w:tc>
      </w:tr>
      <w:tr w:rsidR="002D203E" w:rsidRPr="002D203E" w14:paraId="2DC19DA3" w14:textId="77777777" w:rsidTr="00BE69D7">
        <w:tc>
          <w:tcPr>
            <w:tcW w:w="4643" w:type="dxa"/>
          </w:tcPr>
          <w:p w14:paraId="69D65277" w14:textId="77777777" w:rsidR="002D203E" w:rsidRPr="002D203E" w:rsidRDefault="002D203E" w:rsidP="00BE69D7">
            <w:pPr>
              <w:pStyle w:val="Tabletext"/>
              <w:rPr>
                <w:rFonts w:ascii="Times New Roman" w:hAnsi="Times New Roman"/>
                <w:b/>
                <w:sz w:val="22"/>
                <w:szCs w:val="22"/>
                <w:lang w:val="en-NZ"/>
              </w:rPr>
            </w:pPr>
            <w:r w:rsidRPr="002D203E">
              <w:rPr>
                <w:rFonts w:ascii="Times New Roman" w:hAnsi="Times New Roman"/>
                <w:b/>
                <w:sz w:val="22"/>
                <w:szCs w:val="22"/>
                <w:lang w:val="en-NZ"/>
              </w:rPr>
              <w:t>CNS DOR in months</w:t>
            </w:r>
          </w:p>
          <w:p w14:paraId="5E2680B6" w14:textId="77777777" w:rsidR="002D203E" w:rsidRPr="002D203E" w:rsidRDefault="002D203E" w:rsidP="00BE69D7">
            <w:pPr>
              <w:pStyle w:val="Tabletext"/>
              <w:rPr>
                <w:rFonts w:ascii="Times New Roman" w:hAnsi="Times New Roman"/>
                <w:b/>
                <w:sz w:val="22"/>
                <w:szCs w:val="22"/>
                <w:lang w:val="en-NZ"/>
              </w:rPr>
            </w:pPr>
            <w:r w:rsidRPr="002D203E">
              <w:rPr>
                <w:rFonts w:ascii="Times New Roman" w:hAnsi="Times New Roman"/>
                <w:b/>
                <w:sz w:val="22"/>
                <w:szCs w:val="22"/>
                <w:lang w:val="en-NZ"/>
              </w:rPr>
              <w:t>(95% CI)</w:t>
            </w:r>
          </w:p>
        </w:tc>
        <w:tc>
          <w:tcPr>
            <w:tcW w:w="4644" w:type="dxa"/>
            <w:vAlign w:val="center"/>
          </w:tcPr>
          <w:p w14:paraId="0624AC06"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11.1</w:t>
            </w:r>
          </w:p>
          <w:p w14:paraId="47E816DB" w14:textId="77777777" w:rsidR="002D203E" w:rsidRPr="002D203E" w:rsidRDefault="002D203E" w:rsidP="00BE69D7">
            <w:pPr>
              <w:pStyle w:val="Tabletext"/>
              <w:jc w:val="center"/>
              <w:rPr>
                <w:rFonts w:ascii="Times New Roman" w:hAnsi="Times New Roman"/>
                <w:sz w:val="22"/>
                <w:szCs w:val="22"/>
                <w:lang w:val="en-NZ"/>
              </w:rPr>
            </w:pPr>
            <w:r w:rsidRPr="002D203E">
              <w:rPr>
                <w:rFonts w:ascii="Times New Roman" w:hAnsi="Times New Roman"/>
                <w:sz w:val="22"/>
                <w:szCs w:val="22"/>
                <w:lang w:val="en-NZ"/>
              </w:rPr>
              <w:t>(7.6; NE)</w:t>
            </w:r>
          </w:p>
        </w:tc>
      </w:tr>
    </w:tbl>
    <w:p w14:paraId="77C93407" w14:textId="77777777" w:rsidR="002D203E" w:rsidRPr="00D11614" w:rsidRDefault="002D203E" w:rsidP="002D203E">
      <w:pPr>
        <w:spacing w:before="40"/>
        <w:rPr>
          <w:sz w:val="22"/>
        </w:rPr>
      </w:pPr>
      <w:r w:rsidRPr="00D11614">
        <w:rPr>
          <w:sz w:val="22"/>
        </w:rPr>
        <w:t>* Proportion of patients with CR or PR of baseline CNS lesions based on radiographic review by IRC</w:t>
      </w:r>
    </w:p>
    <w:p w14:paraId="7CDDEB1F" w14:textId="77777777" w:rsidR="002D203E" w:rsidRPr="00D11614" w:rsidRDefault="002D203E" w:rsidP="002D203E">
      <w:pPr>
        <w:spacing w:before="20"/>
        <w:rPr>
          <w:sz w:val="22"/>
        </w:rPr>
      </w:pPr>
      <w:r w:rsidRPr="00D11614">
        <w:rPr>
          <w:sz w:val="22"/>
        </w:rPr>
        <w:t>CI</w:t>
      </w:r>
      <w:r w:rsidRPr="00D11614">
        <w:rPr>
          <w:sz w:val="6"/>
        </w:rPr>
        <w:t> </w:t>
      </w:r>
      <w:r w:rsidRPr="00D11614">
        <w:rPr>
          <w:sz w:val="22"/>
        </w:rPr>
        <w:sym w:font="Symbol" w:char="F03D"/>
      </w:r>
      <w:r w:rsidRPr="00D11614">
        <w:rPr>
          <w:sz w:val="6"/>
        </w:rPr>
        <w:t> </w:t>
      </w:r>
      <w:r w:rsidRPr="00D11614">
        <w:rPr>
          <w:sz w:val="22"/>
        </w:rPr>
        <w:t xml:space="preserve">confidence interval; </w:t>
      </w:r>
      <w:r w:rsidRPr="00D11614">
        <w:rPr>
          <w:sz w:val="22"/>
          <w:szCs w:val="20"/>
        </w:rPr>
        <w:t>ORR=objective response rate;</w:t>
      </w:r>
      <w:r w:rsidRPr="00D11614">
        <w:rPr>
          <w:sz w:val="22"/>
        </w:rPr>
        <w:t xml:space="preserve"> DOR=duration of response; </w:t>
      </w:r>
      <w:r w:rsidRPr="00D11614">
        <w:rPr>
          <w:sz w:val="22"/>
          <w:szCs w:val="20"/>
        </w:rPr>
        <w:t>NE</w:t>
      </w:r>
      <w:r w:rsidRPr="00D11614">
        <w:rPr>
          <w:sz w:val="22"/>
          <w:szCs w:val="20"/>
        </w:rPr>
        <w:sym w:font="Symbol" w:char="F03D"/>
      </w:r>
      <w:r w:rsidRPr="00D11614">
        <w:rPr>
          <w:sz w:val="22"/>
          <w:szCs w:val="20"/>
        </w:rPr>
        <w:t>not estimable</w:t>
      </w:r>
    </w:p>
    <w:p w14:paraId="68920AC1" w14:textId="77777777" w:rsidR="002D203E" w:rsidRPr="005C1D04" w:rsidRDefault="002D203E" w:rsidP="002D203E">
      <w:pPr>
        <w:pStyle w:val="Heading5"/>
      </w:pPr>
      <w:r w:rsidRPr="002C4DC5">
        <w:t>Quality of life (QoL)</w:t>
      </w:r>
    </w:p>
    <w:p w14:paraId="45B3901D" w14:textId="77777777" w:rsidR="002D203E" w:rsidRPr="001E6D00" w:rsidRDefault="002D203E" w:rsidP="002D203E">
      <w:pPr>
        <w:rPr>
          <w:lang w:val="en-GB"/>
        </w:rPr>
      </w:pPr>
      <w:r w:rsidRPr="001E6D00">
        <w:rPr>
          <w:lang w:val="en-GB"/>
        </w:rPr>
        <w:t xml:space="preserve">In Study 1, 79 patients (91%) completed questionnaires at baseline and during treatment to assess </w:t>
      </w:r>
      <w:r>
        <w:rPr>
          <w:lang w:val="en-GB"/>
        </w:rPr>
        <w:t>QoL</w:t>
      </w:r>
      <w:r w:rsidRPr="001E6D00">
        <w:rPr>
          <w:lang w:val="en-GB"/>
        </w:rPr>
        <w:t xml:space="preserve">. The European Organization for Research and Treatment of Cancer (EORTC) Quality of Life Questionnaire (QLQ-C30) and Lung Cancer subscale (LC13) were used, in which clinically meaningful improvement is defined as a change from baseline of ≥10 points. A median change of 16.7 points was seen in the ‘Global Health Status’ domain (during Weeks </w:t>
      </w:r>
      <w:r w:rsidRPr="001E6D00">
        <w:rPr>
          <w:lang w:val="en-GB"/>
        </w:rPr>
        <w:lastRenderedPageBreak/>
        <w:t>6 to 30). There were no detriments meeting the threshold for clinically meaningful change in any of the subscales assessed.</w:t>
      </w:r>
    </w:p>
    <w:p w14:paraId="14AC87FF" w14:textId="77777777" w:rsidR="00D52399" w:rsidRDefault="00615052" w:rsidP="002D203E">
      <w:pPr>
        <w:pStyle w:val="Heading2"/>
        <w:ind w:left="0" w:firstLine="0"/>
      </w:pPr>
      <w:r>
        <w:t>5.2</w:t>
      </w:r>
      <w:r>
        <w:tab/>
      </w:r>
      <w:r w:rsidR="002D203E">
        <w:t>PHARMACOKINETIC PROPERTIES</w:t>
      </w:r>
    </w:p>
    <w:p w14:paraId="39EA04D9" w14:textId="77777777" w:rsidR="002D203E" w:rsidRDefault="002D203E" w:rsidP="002D203E"/>
    <w:p w14:paraId="61C8D00C" w14:textId="77777777" w:rsidR="002D203E" w:rsidRDefault="002D203E" w:rsidP="002D203E">
      <w:r w:rsidRPr="00225D7A">
        <w:t xml:space="preserve">The pharmacokinetic </w:t>
      </w:r>
      <w:r>
        <w:t xml:space="preserve">(PK) </w:t>
      </w:r>
      <w:r w:rsidRPr="00225D7A">
        <w:t>parameters for alectinib and its major active metabolite (M4) have</w:t>
      </w:r>
      <w:r>
        <w:t xml:space="preserve"> </w:t>
      </w:r>
      <w:r w:rsidRPr="00225D7A">
        <w:t>been characteri</w:t>
      </w:r>
      <w:r>
        <w:t>s</w:t>
      </w:r>
      <w:r w:rsidRPr="00225D7A">
        <w:t xml:space="preserve">ed in </w:t>
      </w:r>
      <w:r>
        <w:t xml:space="preserve">healthy subjects and in patients with </w:t>
      </w:r>
      <w:r w:rsidRPr="00F93B93">
        <w:t>ALK-positive NSCLC</w:t>
      </w:r>
      <w:r>
        <w:t>. The results for patients with ALK-positive NSCLC are summarised in Table 1</w:t>
      </w:r>
      <w:r w:rsidR="008676E6">
        <w:t>0</w:t>
      </w:r>
      <w:r>
        <w:t>.</w:t>
      </w:r>
    </w:p>
    <w:p w14:paraId="6FE246AE" w14:textId="77777777" w:rsidR="002D203E" w:rsidRDefault="002D203E" w:rsidP="002D203E"/>
    <w:p w14:paraId="56BE77BF" w14:textId="77777777" w:rsidR="002D203E" w:rsidRPr="001A5551" w:rsidRDefault="002D203E" w:rsidP="002D203E">
      <w:pPr>
        <w:pStyle w:val="Tableheading"/>
      </w:pPr>
      <w:proofErr w:type="gramStart"/>
      <w:r w:rsidRPr="001A5551">
        <w:t>Table 1</w:t>
      </w:r>
      <w:r w:rsidR="008676E6">
        <w:t>0</w:t>
      </w:r>
      <w:r w:rsidRPr="001A5551">
        <w:t>.</w:t>
      </w:r>
      <w:proofErr w:type="gramEnd"/>
      <w:r w:rsidRPr="001A5551">
        <w:t xml:space="preserve"> </w:t>
      </w:r>
      <w:r>
        <w:tab/>
      </w:r>
      <w:r w:rsidRPr="001A5551">
        <w:t>Steady-state PK seen with recommended 600 mg twice daily dosing of alectinib [cited as geometric mean (coefficient of variation %)]</w:t>
      </w:r>
    </w:p>
    <w:tbl>
      <w:tblPr>
        <w:tblStyle w:val="TableGrid"/>
        <w:tblW w:w="0" w:type="auto"/>
        <w:tblLayout w:type="fixed"/>
        <w:tblLook w:val="04A0" w:firstRow="1" w:lastRow="0" w:firstColumn="1" w:lastColumn="0" w:noHBand="0" w:noVBand="1"/>
      </w:tblPr>
      <w:tblGrid>
        <w:gridCol w:w="3119"/>
        <w:gridCol w:w="3062"/>
        <w:gridCol w:w="3062"/>
      </w:tblGrid>
      <w:tr w:rsidR="002D203E" w:rsidRPr="008676E6" w14:paraId="19B9B60B" w14:textId="77777777" w:rsidTr="00BE69D7">
        <w:tc>
          <w:tcPr>
            <w:tcW w:w="3119" w:type="dxa"/>
          </w:tcPr>
          <w:p w14:paraId="6404C203" w14:textId="77777777" w:rsidR="002D203E" w:rsidRPr="008676E6" w:rsidRDefault="002D203E" w:rsidP="00BE69D7">
            <w:pPr>
              <w:pStyle w:val="Tabletext"/>
              <w:rPr>
                <w:rFonts w:ascii="Times New Roman" w:hAnsi="Times New Roman"/>
                <w:b/>
                <w:sz w:val="22"/>
                <w:szCs w:val="22"/>
              </w:rPr>
            </w:pPr>
            <w:r w:rsidRPr="008676E6">
              <w:rPr>
                <w:rFonts w:ascii="Times New Roman" w:hAnsi="Times New Roman"/>
                <w:b/>
                <w:sz w:val="22"/>
                <w:szCs w:val="22"/>
              </w:rPr>
              <w:t>PK parameter</w:t>
            </w:r>
          </w:p>
        </w:tc>
        <w:tc>
          <w:tcPr>
            <w:tcW w:w="3062" w:type="dxa"/>
          </w:tcPr>
          <w:p w14:paraId="2593CEF3" w14:textId="77777777" w:rsidR="002D203E" w:rsidRPr="008676E6" w:rsidRDefault="002D203E" w:rsidP="008676E6">
            <w:pPr>
              <w:pStyle w:val="Tabletext"/>
              <w:jc w:val="center"/>
              <w:rPr>
                <w:rFonts w:ascii="Times New Roman" w:hAnsi="Times New Roman"/>
                <w:b/>
                <w:sz w:val="22"/>
                <w:szCs w:val="22"/>
              </w:rPr>
            </w:pPr>
            <w:r w:rsidRPr="008676E6">
              <w:rPr>
                <w:rFonts w:ascii="Times New Roman" w:hAnsi="Times New Roman"/>
                <w:b/>
                <w:sz w:val="22"/>
                <w:szCs w:val="22"/>
              </w:rPr>
              <w:t>Alectinib</w:t>
            </w:r>
          </w:p>
        </w:tc>
        <w:tc>
          <w:tcPr>
            <w:tcW w:w="3062" w:type="dxa"/>
          </w:tcPr>
          <w:p w14:paraId="3276FC4C" w14:textId="77777777" w:rsidR="002D203E" w:rsidRPr="008676E6" w:rsidRDefault="002D203E" w:rsidP="008676E6">
            <w:pPr>
              <w:pStyle w:val="Tabletext"/>
              <w:jc w:val="center"/>
              <w:rPr>
                <w:rFonts w:ascii="Times New Roman" w:hAnsi="Times New Roman"/>
                <w:b/>
                <w:sz w:val="22"/>
                <w:szCs w:val="22"/>
              </w:rPr>
            </w:pPr>
            <w:r w:rsidRPr="008676E6">
              <w:rPr>
                <w:rFonts w:ascii="Times New Roman" w:hAnsi="Times New Roman"/>
                <w:b/>
                <w:sz w:val="22"/>
                <w:szCs w:val="22"/>
              </w:rPr>
              <w:t>M4</w:t>
            </w:r>
          </w:p>
        </w:tc>
      </w:tr>
      <w:tr w:rsidR="002D203E" w:rsidRPr="008676E6" w14:paraId="5C352603" w14:textId="77777777" w:rsidTr="00BE69D7">
        <w:tc>
          <w:tcPr>
            <w:tcW w:w="3119" w:type="dxa"/>
          </w:tcPr>
          <w:p w14:paraId="048993F3" w14:textId="77777777" w:rsidR="002D203E" w:rsidRPr="008676E6" w:rsidRDefault="002D203E" w:rsidP="00BE69D7">
            <w:pPr>
              <w:pStyle w:val="Tabletext"/>
              <w:rPr>
                <w:rFonts w:ascii="Times New Roman" w:hAnsi="Times New Roman"/>
                <w:sz w:val="22"/>
                <w:szCs w:val="22"/>
              </w:rPr>
            </w:pPr>
            <w:r w:rsidRPr="008676E6">
              <w:rPr>
                <w:rFonts w:ascii="Times New Roman" w:hAnsi="Times New Roman"/>
                <w:sz w:val="22"/>
                <w:szCs w:val="22"/>
              </w:rPr>
              <w:t>Maximal concentration (C</w:t>
            </w:r>
            <w:r w:rsidRPr="008676E6">
              <w:rPr>
                <w:rFonts w:ascii="Times New Roman" w:hAnsi="Times New Roman"/>
                <w:sz w:val="22"/>
                <w:szCs w:val="22"/>
                <w:vertAlign w:val="subscript"/>
              </w:rPr>
              <w:t>max</w:t>
            </w:r>
            <w:r w:rsidRPr="008676E6">
              <w:rPr>
                <w:rFonts w:ascii="Times New Roman" w:hAnsi="Times New Roman"/>
                <w:sz w:val="22"/>
                <w:szCs w:val="22"/>
              </w:rPr>
              <w:t>)</w:t>
            </w:r>
          </w:p>
        </w:tc>
        <w:tc>
          <w:tcPr>
            <w:tcW w:w="3062" w:type="dxa"/>
          </w:tcPr>
          <w:p w14:paraId="2CFD7D7D" w14:textId="77777777" w:rsidR="002D203E" w:rsidRPr="008676E6" w:rsidRDefault="002D203E" w:rsidP="008676E6">
            <w:pPr>
              <w:pStyle w:val="Tabletext"/>
              <w:jc w:val="center"/>
              <w:rPr>
                <w:rFonts w:ascii="Times New Roman" w:hAnsi="Times New Roman"/>
                <w:sz w:val="22"/>
                <w:szCs w:val="22"/>
              </w:rPr>
            </w:pPr>
            <w:proofErr w:type="gramStart"/>
            <w:r w:rsidRPr="008676E6">
              <w:rPr>
                <w:rFonts w:ascii="Times New Roman" w:hAnsi="Times New Roman"/>
                <w:sz w:val="22"/>
                <w:szCs w:val="22"/>
              </w:rPr>
              <w:t>665 ng/mL (44.3%)</w:t>
            </w:r>
            <w:proofErr w:type="gramEnd"/>
          </w:p>
        </w:tc>
        <w:tc>
          <w:tcPr>
            <w:tcW w:w="3062" w:type="dxa"/>
          </w:tcPr>
          <w:p w14:paraId="13C3DE55" w14:textId="77777777" w:rsidR="002D203E" w:rsidRPr="008676E6" w:rsidRDefault="002D203E" w:rsidP="008676E6">
            <w:pPr>
              <w:pStyle w:val="Tabletext"/>
              <w:jc w:val="center"/>
              <w:rPr>
                <w:rFonts w:ascii="Times New Roman" w:hAnsi="Times New Roman"/>
                <w:sz w:val="22"/>
                <w:szCs w:val="22"/>
              </w:rPr>
            </w:pPr>
            <w:proofErr w:type="gramStart"/>
            <w:r w:rsidRPr="008676E6">
              <w:rPr>
                <w:rFonts w:ascii="Times New Roman" w:hAnsi="Times New Roman"/>
                <w:sz w:val="22"/>
                <w:szCs w:val="22"/>
              </w:rPr>
              <w:t>246 ng/mL (45.4%)</w:t>
            </w:r>
            <w:proofErr w:type="gramEnd"/>
          </w:p>
        </w:tc>
      </w:tr>
      <w:tr w:rsidR="002D203E" w:rsidRPr="008676E6" w14:paraId="2DDFBFDB" w14:textId="77777777" w:rsidTr="00BE69D7">
        <w:tc>
          <w:tcPr>
            <w:tcW w:w="3119" w:type="dxa"/>
          </w:tcPr>
          <w:p w14:paraId="7E0037B3" w14:textId="77777777" w:rsidR="002D203E" w:rsidRPr="008676E6" w:rsidRDefault="002D203E" w:rsidP="00BE69D7">
            <w:pPr>
              <w:pStyle w:val="Tabletext"/>
              <w:rPr>
                <w:rFonts w:ascii="Times New Roman" w:hAnsi="Times New Roman"/>
                <w:sz w:val="22"/>
                <w:szCs w:val="22"/>
              </w:rPr>
            </w:pPr>
            <w:r w:rsidRPr="008676E6">
              <w:rPr>
                <w:rFonts w:ascii="Times New Roman" w:hAnsi="Times New Roman"/>
                <w:sz w:val="22"/>
                <w:szCs w:val="22"/>
              </w:rPr>
              <w:t>Trough concentration (C</w:t>
            </w:r>
            <w:r w:rsidRPr="008676E6">
              <w:rPr>
                <w:rFonts w:ascii="Times New Roman" w:hAnsi="Times New Roman"/>
                <w:sz w:val="22"/>
                <w:szCs w:val="22"/>
                <w:vertAlign w:val="subscript"/>
              </w:rPr>
              <w:t>min</w:t>
            </w:r>
            <w:r w:rsidRPr="008676E6">
              <w:rPr>
                <w:rFonts w:ascii="Times New Roman" w:hAnsi="Times New Roman"/>
                <w:sz w:val="22"/>
                <w:szCs w:val="22"/>
              </w:rPr>
              <w:t>)</w:t>
            </w:r>
          </w:p>
        </w:tc>
        <w:tc>
          <w:tcPr>
            <w:tcW w:w="3062" w:type="dxa"/>
          </w:tcPr>
          <w:p w14:paraId="6965BC78" w14:textId="77777777" w:rsidR="002D203E" w:rsidRPr="008676E6" w:rsidRDefault="002D203E" w:rsidP="008676E6">
            <w:pPr>
              <w:pStyle w:val="Tabletext"/>
              <w:jc w:val="center"/>
              <w:rPr>
                <w:rFonts w:ascii="Times New Roman" w:hAnsi="Times New Roman"/>
                <w:sz w:val="22"/>
                <w:szCs w:val="22"/>
              </w:rPr>
            </w:pPr>
            <w:proofErr w:type="gramStart"/>
            <w:r w:rsidRPr="008676E6">
              <w:rPr>
                <w:rFonts w:ascii="Times New Roman" w:hAnsi="Times New Roman"/>
                <w:sz w:val="22"/>
                <w:szCs w:val="22"/>
              </w:rPr>
              <w:t>572 ng/mL (47.8%)</w:t>
            </w:r>
            <w:proofErr w:type="gramEnd"/>
          </w:p>
        </w:tc>
        <w:tc>
          <w:tcPr>
            <w:tcW w:w="3062" w:type="dxa"/>
          </w:tcPr>
          <w:p w14:paraId="7EFC3DE7" w14:textId="77777777" w:rsidR="002D203E" w:rsidRPr="008676E6" w:rsidRDefault="002D203E" w:rsidP="008676E6">
            <w:pPr>
              <w:pStyle w:val="Tabletext"/>
              <w:jc w:val="center"/>
              <w:rPr>
                <w:rFonts w:ascii="Times New Roman" w:hAnsi="Times New Roman"/>
                <w:sz w:val="22"/>
                <w:szCs w:val="22"/>
              </w:rPr>
            </w:pPr>
            <w:proofErr w:type="gramStart"/>
            <w:r w:rsidRPr="008676E6">
              <w:rPr>
                <w:rFonts w:ascii="Times New Roman" w:hAnsi="Times New Roman"/>
                <w:sz w:val="22"/>
                <w:szCs w:val="22"/>
              </w:rPr>
              <w:t>222 ng/mL (46.6%)</w:t>
            </w:r>
            <w:proofErr w:type="gramEnd"/>
          </w:p>
        </w:tc>
      </w:tr>
      <w:tr w:rsidR="002D203E" w:rsidRPr="008676E6" w14:paraId="7C301D6F" w14:textId="77777777" w:rsidTr="00BE69D7">
        <w:tc>
          <w:tcPr>
            <w:tcW w:w="3119" w:type="dxa"/>
          </w:tcPr>
          <w:p w14:paraId="7BCFEEA0" w14:textId="77777777" w:rsidR="002D203E" w:rsidRPr="008676E6" w:rsidRDefault="002D203E" w:rsidP="00BE69D7">
            <w:pPr>
              <w:pStyle w:val="Tabletext"/>
              <w:rPr>
                <w:rFonts w:ascii="Times New Roman" w:hAnsi="Times New Roman"/>
                <w:sz w:val="22"/>
                <w:szCs w:val="22"/>
              </w:rPr>
            </w:pPr>
            <w:r w:rsidRPr="008676E6">
              <w:rPr>
                <w:rFonts w:ascii="Times New Roman" w:hAnsi="Times New Roman"/>
                <w:sz w:val="22"/>
                <w:szCs w:val="22"/>
              </w:rPr>
              <w:t>Area under the curve from 0</w:t>
            </w:r>
            <w:r w:rsidRPr="008676E6">
              <w:rPr>
                <w:rFonts w:ascii="Times New Roman" w:hAnsi="Times New Roman"/>
                <w:sz w:val="22"/>
                <w:szCs w:val="22"/>
              </w:rPr>
              <w:noBreakHyphen/>
              <w:t>12 hours (AUC</w:t>
            </w:r>
            <w:r w:rsidRPr="008676E6">
              <w:rPr>
                <w:rFonts w:ascii="Times New Roman" w:hAnsi="Times New Roman"/>
                <w:sz w:val="22"/>
                <w:szCs w:val="22"/>
                <w:vertAlign w:val="subscript"/>
              </w:rPr>
              <w:t>0-12</w:t>
            </w:r>
            <w:r w:rsidRPr="008676E6">
              <w:rPr>
                <w:rFonts w:ascii="Times New Roman" w:hAnsi="Times New Roman"/>
                <w:sz w:val="22"/>
                <w:szCs w:val="22"/>
              </w:rPr>
              <w:t>)</w:t>
            </w:r>
          </w:p>
        </w:tc>
        <w:tc>
          <w:tcPr>
            <w:tcW w:w="3062" w:type="dxa"/>
          </w:tcPr>
          <w:p w14:paraId="7302678F" w14:textId="77777777" w:rsidR="002D203E" w:rsidRPr="008676E6" w:rsidRDefault="002D203E" w:rsidP="008676E6">
            <w:pPr>
              <w:pStyle w:val="Tabletext"/>
              <w:jc w:val="center"/>
              <w:rPr>
                <w:rFonts w:ascii="Times New Roman" w:hAnsi="Times New Roman"/>
                <w:sz w:val="22"/>
                <w:szCs w:val="22"/>
              </w:rPr>
            </w:pPr>
            <w:r w:rsidRPr="008676E6">
              <w:rPr>
                <w:rFonts w:ascii="Times New Roman" w:hAnsi="Times New Roman"/>
                <w:sz w:val="22"/>
                <w:szCs w:val="22"/>
              </w:rPr>
              <w:t>7430 ng*h/mL (45.7%)</w:t>
            </w:r>
          </w:p>
        </w:tc>
        <w:tc>
          <w:tcPr>
            <w:tcW w:w="3062" w:type="dxa"/>
          </w:tcPr>
          <w:p w14:paraId="3E4BC778" w14:textId="77777777" w:rsidR="002D203E" w:rsidRPr="008676E6" w:rsidRDefault="002D203E" w:rsidP="008676E6">
            <w:pPr>
              <w:pStyle w:val="Tabletext"/>
              <w:jc w:val="center"/>
              <w:rPr>
                <w:rFonts w:ascii="Times New Roman" w:hAnsi="Times New Roman"/>
                <w:sz w:val="22"/>
                <w:szCs w:val="22"/>
              </w:rPr>
            </w:pPr>
            <w:r w:rsidRPr="008676E6">
              <w:rPr>
                <w:rFonts w:ascii="Times New Roman" w:hAnsi="Times New Roman"/>
                <w:sz w:val="22"/>
                <w:szCs w:val="22"/>
              </w:rPr>
              <w:t>2810 ng*h/mL (45.9%)</w:t>
            </w:r>
          </w:p>
        </w:tc>
      </w:tr>
    </w:tbl>
    <w:p w14:paraId="5CE6192B" w14:textId="77777777" w:rsidR="002D203E" w:rsidRDefault="002D203E" w:rsidP="002D203E">
      <w:pPr>
        <w:pStyle w:val="Heading3"/>
      </w:pPr>
      <w:r w:rsidRPr="00312E44">
        <w:t>Absorption</w:t>
      </w:r>
    </w:p>
    <w:p w14:paraId="02606B8E" w14:textId="77777777" w:rsidR="008676E6" w:rsidRDefault="008676E6" w:rsidP="002D203E"/>
    <w:p w14:paraId="480ACD66" w14:textId="77777777" w:rsidR="002D203E" w:rsidRDefault="002D203E" w:rsidP="002D203E">
      <w:r w:rsidRPr="00225D7A">
        <w:t>The absolute bioavailability of alectinib was 36.9% (90% CI: 33.9%, 40.3%) under fed</w:t>
      </w:r>
      <w:r>
        <w:t xml:space="preserve"> </w:t>
      </w:r>
      <w:r w:rsidRPr="00225D7A">
        <w:t>conditions in healthy subjects.</w:t>
      </w:r>
    </w:p>
    <w:p w14:paraId="61769F57" w14:textId="77777777" w:rsidR="002D203E" w:rsidRDefault="002D203E" w:rsidP="002D203E"/>
    <w:p w14:paraId="1ECBC2EB" w14:textId="77777777" w:rsidR="002D203E" w:rsidRDefault="002D203E" w:rsidP="002D203E">
      <w:r>
        <w:t xml:space="preserve">Alectinib reached maximal serum concentrations 4 to 6 hours post-dose when administered orally at 600 mg twice daily under fed conditions to patients with ALK-positive NSCLC. For both alectinib and M4, steady-state concentrations were reached by Day 7. </w:t>
      </w:r>
    </w:p>
    <w:p w14:paraId="0A0183F2" w14:textId="77777777" w:rsidR="002D203E" w:rsidRDefault="002D203E" w:rsidP="002D203E"/>
    <w:p w14:paraId="772F94D5" w14:textId="77777777" w:rsidR="002D203E" w:rsidRDefault="002D203E" w:rsidP="002D203E">
      <w:r>
        <w:t>Population PK analysis estimated geometric mean accumulation ratio to be 6-fold for both alectinib and M4, and supports that alectinib exposure is dose proportional across the dose range 300 mg to 900 mg under fed conditions.</w:t>
      </w:r>
    </w:p>
    <w:p w14:paraId="776D98E0" w14:textId="77777777" w:rsidR="002D203E" w:rsidRDefault="002D203E" w:rsidP="002D203E"/>
    <w:p w14:paraId="428EBFFD" w14:textId="77777777" w:rsidR="002D203E" w:rsidRDefault="002D203E" w:rsidP="002D203E">
      <w:r>
        <w:t>A high-fat, high-calorie meal increased the combined exposure of alectinib and M4 by 3-fold (AUC</w:t>
      </w:r>
      <w:r w:rsidRPr="00D06AF6">
        <w:rPr>
          <w:vertAlign w:val="subscript"/>
        </w:rPr>
        <w:t>0-inf</w:t>
      </w:r>
      <w:r w:rsidRPr="00FA6AFF">
        <w:t xml:space="preserve"> </w:t>
      </w:r>
      <w:r>
        <w:t>3.1 [90% CI: 2.7, 3.6]) relative to fasted conditions following oral administration of a single 600 mg dose of alectinib.</w:t>
      </w:r>
    </w:p>
    <w:p w14:paraId="79681510" w14:textId="77777777" w:rsidR="002D203E" w:rsidRDefault="002D203E" w:rsidP="002D203E">
      <w:pPr>
        <w:pStyle w:val="Heading3"/>
        <w:rPr>
          <w:lang w:val="en-GB"/>
        </w:rPr>
      </w:pPr>
      <w:r>
        <w:rPr>
          <w:lang w:val="en-GB"/>
        </w:rPr>
        <w:t>Distribution</w:t>
      </w:r>
    </w:p>
    <w:p w14:paraId="28FD03F2" w14:textId="77777777" w:rsidR="008F00A9" w:rsidRDefault="008F00A9" w:rsidP="002D203E"/>
    <w:p w14:paraId="0D8D1B95" w14:textId="77777777" w:rsidR="002D203E" w:rsidRDefault="002D203E" w:rsidP="002D203E">
      <w:r w:rsidRPr="00225D7A">
        <w:t>Alectinib and M4 are highly bound to human plasma proteins</w:t>
      </w:r>
      <w:r>
        <w:t xml:space="preserve"> </w:t>
      </w:r>
      <w:r w:rsidRPr="00225D7A">
        <w:t xml:space="preserve">(&gt;99%), independent of drug concentration. The mean </w:t>
      </w:r>
      <w:r w:rsidRPr="00225D7A">
        <w:rPr>
          <w:i/>
          <w:iCs/>
        </w:rPr>
        <w:t xml:space="preserve">in vitro </w:t>
      </w:r>
      <w:r w:rsidRPr="00225D7A">
        <w:t>human blood-to-plasma</w:t>
      </w:r>
      <w:r>
        <w:t xml:space="preserve"> </w:t>
      </w:r>
      <w:r w:rsidRPr="00225D7A">
        <w:t>concentration ratios of alectinib and M4 are 2.64 and 2.50, respectively, at clinically</w:t>
      </w:r>
      <w:r>
        <w:t xml:space="preserve"> </w:t>
      </w:r>
      <w:r w:rsidRPr="00225D7A">
        <w:t>relevant concentrations.</w:t>
      </w:r>
      <w:r>
        <w:t xml:space="preserve"> </w:t>
      </w:r>
      <w:r w:rsidRPr="00225D7A">
        <w:t>The geometric mean volume of distribution at steady state (V</w:t>
      </w:r>
      <w:r w:rsidRPr="0080747B">
        <w:rPr>
          <w:vertAlign w:val="subscript"/>
        </w:rPr>
        <w:t>ss</w:t>
      </w:r>
      <w:r w:rsidRPr="00225D7A">
        <w:t>) of alectinib following IV</w:t>
      </w:r>
      <w:r>
        <w:t xml:space="preserve"> </w:t>
      </w:r>
      <w:r w:rsidR="008F00A9">
        <w:t>administration was 475 </w:t>
      </w:r>
      <w:r w:rsidRPr="00225D7A">
        <w:t>L, indicating extensive distribution into tissues</w:t>
      </w:r>
      <w:r>
        <w:t>.</w:t>
      </w:r>
    </w:p>
    <w:p w14:paraId="7967CD3C" w14:textId="77777777" w:rsidR="002D203E" w:rsidRDefault="002D203E" w:rsidP="002D203E"/>
    <w:p w14:paraId="1E397A26" w14:textId="77777777" w:rsidR="002D203E" w:rsidRPr="00225D7A" w:rsidRDefault="002D203E" w:rsidP="002D203E">
      <w:pPr>
        <w:rPr>
          <w:lang w:val="en-GB"/>
        </w:rPr>
      </w:pPr>
      <w:r>
        <w:t xml:space="preserve">Alectinib is not an </w:t>
      </w:r>
      <w:r w:rsidRPr="00B74921">
        <w:rPr>
          <w:i/>
        </w:rPr>
        <w:t>in vitro</w:t>
      </w:r>
      <w:r>
        <w:t xml:space="preserve"> substrate of efflux transporters p-glycoprotein (P-gp), breast cancer resistance protein (BCRP), organic anion-transporting polypeptide (OATP) 1B1, or OATP1B3. The same is true for M4, except that M4 is a substrate of P-gp. Alectinib concentrations in the cerebrospinal fluid of patients with ALK-positive NSCLC were similar to the estimated free alectinib concentrations in their plasma.</w:t>
      </w:r>
    </w:p>
    <w:p w14:paraId="1E0FC751" w14:textId="77777777" w:rsidR="002D203E" w:rsidRDefault="002D203E" w:rsidP="00326AAA">
      <w:pPr>
        <w:pStyle w:val="Heading3"/>
        <w:keepNext/>
        <w:rPr>
          <w:lang w:val="en-GB"/>
        </w:rPr>
      </w:pPr>
      <w:r>
        <w:rPr>
          <w:lang w:val="en-GB"/>
        </w:rPr>
        <w:lastRenderedPageBreak/>
        <w:t>Metabolism</w:t>
      </w:r>
    </w:p>
    <w:p w14:paraId="5E5E3B27" w14:textId="77777777" w:rsidR="008F00A9" w:rsidRDefault="008F00A9" w:rsidP="00326AAA">
      <w:pPr>
        <w:keepNext/>
        <w:rPr>
          <w:i/>
        </w:rPr>
      </w:pPr>
    </w:p>
    <w:p w14:paraId="60102101" w14:textId="77777777" w:rsidR="002D203E" w:rsidRPr="00185234" w:rsidRDefault="002D203E" w:rsidP="002D203E">
      <w:r>
        <w:rPr>
          <w:i/>
        </w:rPr>
        <w:t xml:space="preserve">In vitro </w:t>
      </w:r>
      <w:r>
        <w:t xml:space="preserve">studies showed that alectinib is mainly metabolised by cytochrome p450 (CYP) isozyme CYP3A4 (40-50% of alectinib metabolism in human hepatocytes) to its major active metabolite M4. The geometric mean metabolite/parent exposure ratio at steady-state is 0.40. M4 is subsequently metabolised by CYP3A4. </w:t>
      </w:r>
      <w:r w:rsidRPr="003143FB">
        <w:t xml:space="preserve">Results from </w:t>
      </w:r>
      <w:r>
        <w:t>a</w:t>
      </w:r>
      <w:r w:rsidRPr="003143FB">
        <w:t xml:space="preserve"> human mass balance study</w:t>
      </w:r>
      <w:r>
        <w:t xml:space="preserve"> utilising</w:t>
      </w:r>
      <w:r w:rsidRPr="003143FB">
        <w:t xml:space="preserve"> </w:t>
      </w:r>
      <w:r w:rsidRPr="0080747B">
        <w:rPr>
          <w:vertAlign w:val="superscript"/>
        </w:rPr>
        <w:t>14</w:t>
      </w:r>
      <w:r w:rsidRPr="00225D7A">
        <w:t xml:space="preserve">C-labeled alectinib </w:t>
      </w:r>
      <w:r w:rsidRPr="003143FB">
        <w:t>demonstrated</w:t>
      </w:r>
      <w:r>
        <w:t xml:space="preserve"> that</w:t>
      </w:r>
      <w:r w:rsidRPr="003143FB">
        <w:t xml:space="preserve"> </w:t>
      </w:r>
      <w:r>
        <w:t xml:space="preserve">alectinib and M4 are the main circulating moieties in plasma, constituting 76% of the total radioactivity. </w:t>
      </w:r>
    </w:p>
    <w:p w14:paraId="65CF1B65" w14:textId="77777777" w:rsidR="002D203E" w:rsidRDefault="002D203E" w:rsidP="002D203E">
      <w:pPr>
        <w:pStyle w:val="Heading3"/>
        <w:rPr>
          <w:lang w:val="en-GB"/>
        </w:rPr>
      </w:pPr>
      <w:r>
        <w:rPr>
          <w:lang w:val="en-GB"/>
        </w:rPr>
        <w:t>Excretion</w:t>
      </w:r>
    </w:p>
    <w:p w14:paraId="555AF171" w14:textId="77777777" w:rsidR="008F00A9" w:rsidRDefault="008F00A9" w:rsidP="002D203E"/>
    <w:p w14:paraId="1CED70A4" w14:textId="77777777" w:rsidR="002D203E" w:rsidRPr="00225D7A" w:rsidRDefault="002D203E" w:rsidP="002D203E">
      <w:r w:rsidRPr="00225D7A">
        <w:t xml:space="preserve">Following administration of a single </w:t>
      </w:r>
      <w:r>
        <w:t xml:space="preserve">oral </w:t>
      </w:r>
      <w:r w:rsidRPr="00225D7A">
        <w:t xml:space="preserve">dose of </w:t>
      </w:r>
      <w:r w:rsidRPr="0080747B">
        <w:rPr>
          <w:vertAlign w:val="superscript"/>
        </w:rPr>
        <w:t>14</w:t>
      </w:r>
      <w:r w:rsidRPr="00225D7A">
        <w:t>C-labeled alectinib to</w:t>
      </w:r>
      <w:r>
        <w:t xml:space="preserve"> </w:t>
      </w:r>
      <w:r w:rsidRPr="00225D7A">
        <w:t>healthy subjects</w:t>
      </w:r>
      <w:r>
        <w:t>,</w:t>
      </w:r>
      <w:r w:rsidRPr="00225D7A">
        <w:t xml:space="preserve"> the majority of radioactivity was excreted in f</w:t>
      </w:r>
      <w:r>
        <w:t>a</w:t>
      </w:r>
      <w:r w:rsidRPr="00225D7A">
        <w:t>eces (mean recovery</w:t>
      </w:r>
      <w:r>
        <w:t xml:space="preserve"> </w:t>
      </w:r>
      <w:r w:rsidRPr="00225D7A">
        <w:t>97.8%, range 95.6%-100%)</w:t>
      </w:r>
      <w:r>
        <w:t>. Most of the dose (84%) was excreted as unchanged alectinib with 6% excreted as M4. There was</w:t>
      </w:r>
      <w:r w:rsidRPr="00225D7A">
        <w:t xml:space="preserve"> minimal excretion in urine (mean recovery 0.46%,</w:t>
      </w:r>
      <w:r>
        <w:t xml:space="preserve"> </w:t>
      </w:r>
      <w:r w:rsidRPr="00225D7A">
        <w:t>range 0.30%-0.60%).</w:t>
      </w:r>
    </w:p>
    <w:p w14:paraId="5C070F54" w14:textId="77777777" w:rsidR="002D203E" w:rsidRDefault="002D203E" w:rsidP="002D203E"/>
    <w:p w14:paraId="15E3FBDC" w14:textId="77777777" w:rsidR="002D203E" w:rsidRDefault="002D203E" w:rsidP="002D203E">
      <w:r w:rsidRPr="00225D7A">
        <w:t>Based on a population PK analysis, the apparent clearance (CL/F) was 81.9</w:t>
      </w:r>
      <w:r>
        <w:t xml:space="preserve"> </w:t>
      </w:r>
      <w:r w:rsidRPr="00225D7A">
        <w:t>L/hour</w:t>
      </w:r>
      <w:r>
        <w:t xml:space="preserve"> for </w:t>
      </w:r>
      <w:r w:rsidRPr="00225D7A">
        <w:t>alectinib</w:t>
      </w:r>
      <w:r>
        <w:t xml:space="preserve"> and 217 L/hour for M4</w:t>
      </w:r>
      <w:r w:rsidRPr="00225D7A">
        <w:t>. The geometric mean elimination half-life was 32.5 hours</w:t>
      </w:r>
      <w:r>
        <w:t xml:space="preserve"> for </w:t>
      </w:r>
      <w:r w:rsidRPr="00225D7A">
        <w:t>alectinib</w:t>
      </w:r>
      <w:r>
        <w:t xml:space="preserve"> and 30.7 hours for M4 in patients with ALK-positive NSCLC</w:t>
      </w:r>
      <w:r w:rsidRPr="00225D7A">
        <w:t xml:space="preserve">. </w:t>
      </w:r>
    </w:p>
    <w:p w14:paraId="6641E170" w14:textId="77777777" w:rsidR="008F00A9" w:rsidRPr="0040421B" w:rsidRDefault="008F00A9" w:rsidP="008F00A9">
      <w:pPr>
        <w:pStyle w:val="Heading3"/>
      </w:pPr>
      <w:r w:rsidRPr="004F69A3">
        <w:t>Pharmacokinetics in Special Populations</w:t>
      </w:r>
    </w:p>
    <w:p w14:paraId="08728093" w14:textId="77777777" w:rsidR="008F00A9" w:rsidRDefault="008F00A9" w:rsidP="008F00A9"/>
    <w:p w14:paraId="482DA2A7" w14:textId="0BD279CF" w:rsidR="008F00A9" w:rsidRDefault="008F00A9" w:rsidP="005E0516">
      <w:r>
        <w:t>Population PK analysis of data from two Phase I/II clinical trials (Study 1 and Study 2) was undertaken to characterise the PK of alectinib and M4 in special populations.</w:t>
      </w:r>
    </w:p>
    <w:p w14:paraId="19C5BAA9" w14:textId="77777777" w:rsidR="008F00A9" w:rsidRDefault="008F00A9" w:rsidP="002D203E">
      <w:r>
        <w:t>In the range of exposure achieved with the 600 mg twice daily dose, age, body weight, race and sex had no clinically meaningful effect on the systemic exposure of alectinib and M4. The pharmacokinetics of alectinib has not been studied in children.</w:t>
      </w:r>
      <w:r w:rsidR="005E0516" w:rsidRPr="005E0516">
        <w:t xml:space="preserve"> </w:t>
      </w:r>
      <w:r w:rsidR="005E0516">
        <w:t>For hepatic and renal impairment,</w:t>
      </w:r>
      <w:r w:rsidR="005E0516" w:rsidRPr="005E0516">
        <w:t xml:space="preserve"> </w:t>
      </w:r>
      <w:r w:rsidR="005E0516">
        <w:t>see section 4.4.</w:t>
      </w:r>
    </w:p>
    <w:p w14:paraId="51969EA4" w14:textId="77777777" w:rsidR="00D52399" w:rsidRDefault="00615052" w:rsidP="008903F2">
      <w:pPr>
        <w:pStyle w:val="Heading2"/>
        <w:ind w:hanging="786"/>
      </w:pPr>
      <w:r>
        <w:t>5.3</w:t>
      </w:r>
      <w:r>
        <w:tab/>
      </w:r>
      <w:r w:rsidR="003E7527">
        <w:t>PRECLINICAL SAFETY DATA</w:t>
      </w:r>
    </w:p>
    <w:p w14:paraId="1A50CABA" w14:textId="77777777" w:rsidR="003E7527" w:rsidRDefault="003E7527" w:rsidP="003E7527">
      <w:pPr>
        <w:pStyle w:val="Heading3"/>
      </w:pPr>
      <w:r>
        <w:t>Genotoxicity</w:t>
      </w:r>
    </w:p>
    <w:p w14:paraId="287E108C" w14:textId="77777777" w:rsidR="003E7527" w:rsidRDefault="003E7527" w:rsidP="003E7527"/>
    <w:p w14:paraId="074D8F93" w14:textId="77777777" w:rsidR="003E7527" w:rsidRDefault="003E7527" w:rsidP="003E7527">
      <w:r w:rsidRPr="00CF2AE0">
        <w:t xml:space="preserve">Alectinib was not mutagenic </w:t>
      </w:r>
      <w:r w:rsidRPr="00054676">
        <w:rPr>
          <w:i/>
        </w:rPr>
        <w:t>in vitro</w:t>
      </w:r>
      <w:r w:rsidRPr="00CF2AE0">
        <w:t xml:space="preserve"> in the bacterial reverse mutation (Ames) assay but</w:t>
      </w:r>
      <w:r>
        <w:t xml:space="preserve"> </w:t>
      </w:r>
      <w:r w:rsidRPr="00CF2AE0">
        <w:t xml:space="preserve">induced a slight increase in numerical aberrations in the </w:t>
      </w:r>
      <w:r w:rsidRPr="00357F92">
        <w:t>in vitro</w:t>
      </w:r>
      <w:r w:rsidRPr="00CF2AE0">
        <w:t xml:space="preserve"> cytogenetic assay using</w:t>
      </w:r>
      <w:r>
        <w:t xml:space="preserve"> </w:t>
      </w:r>
      <w:r w:rsidRPr="00CF2AE0">
        <w:t>Chinese Hamster Lung (CHL) cells with metabolic activation, and micronuclei in a rat</w:t>
      </w:r>
      <w:r>
        <w:t xml:space="preserve"> </w:t>
      </w:r>
      <w:r w:rsidRPr="00CF2AE0">
        <w:t>bone marrow micronucleus test. The mechanism of micronucleus induction was</w:t>
      </w:r>
      <w:r>
        <w:t xml:space="preserve"> abnormal </w:t>
      </w:r>
      <w:r w:rsidRPr="00CF2AE0">
        <w:t>chromosome segregation (</w:t>
      </w:r>
      <w:proofErr w:type="spellStart"/>
      <w:r w:rsidRPr="00CF2AE0">
        <w:t>aneugenicity</w:t>
      </w:r>
      <w:proofErr w:type="spellEnd"/>
      <w:r w:rsidRPr="00CF2AE0">
        <w:t>), and not a clastogenic effect on</w:t>
      </w:r>
      <w:r>
        <w:t xml:space="preserve"> </w:t>
      </w:r>
      <w:r w:rsidRPr="00CF2AE0">
        <w:t>chromosomes</w:t>
      </w:r>
      <w:r>
        <w:t>.</w:t>
      </w:r>
    </w:p>
    <w:p w14:paraId="45899D2B" w14:textId="77777777" w:rsidR="003E7527" w:rsidRPr="00CF2AE0" w:rsidRDefault="003E7527" w:rsidP="003E7527">
      <w:pPr>
        <w:pStyle w:val="Heading3"/>
      </w:pPr>
      <w:r>
        <w:t>Carcinogenicity</w:t>
      </w:r>
    </w:p>
    <w:p w14:paraId="4B5F5F40" w14:textId="77777777" w:rsidR="003E7527" w:rsidRDefault="003E7527" w:rsidP="003E7527"/>
    <w:p w14:paraId="24D5F1EB" w14:textId="77777777" w:rsidR="008903F2" w:rsidRDefault="003E7527">
      <w:r w:rsidRPr="00BD2596">
        <w:t>Carcinogenicity studies have not been performed to establish the carcinogenic potential</w:t>
      </w:r>
      <w:r>
        <w:t xml:space="preserve"> </w:t>
      </w:r>
      <w:r w:rsidRPr="00BD2596">
        <w:t xml:space="preserve">of </w:t>
      </w:r>
      <w:r>
        <w:rPr>
          <w:bCs/>
        </w:rPr>
        <w:t>Alecensa</w:t>
      </w:r>
      <w:r w:rsidRPr="00BD2596">
        <w:t>.</w:t>
      </w:r>
    </w:p>
    <w:p w14:paraId="3EAE8BC7" w14:textId="77777777" w:rsidR="003E7527" w:rsidRDefault="003E7527" w:rsidP="003E7527">
      <w:pPr>
        <w:pStyle w:val="Heading3"/>
        <w:rPr>
          <w:lang w:val="en-GB"/>
        </w:rPr>
      </w:pPr>
      <w:r>
        <w:rPr>
          <w:lang w:val="en-GB"/>
        </w:rPr>
        <w:t>Juvenile development</w:t>
      </w:r>
    </w:p>
    <w:p w14:paraId="49352F1A" w14:textId="77777777" w:rsidR="003E7527" w:rsidRDefault="003E7527" w:rsidP="003E7527">
      <w:pPr>
        <w:rPr>
          <w:lang w:val="en-GB"/>
        </w:rPr>
      </w:pPr>
    </w:p>
    <w:p w14:paraId="185CE22C" w14:textId="4972A4AA" w:rsidR="003E7527" w:rsidRDefault="003E7527" w:rsidP="003E7527">
      <w:r w:rsidRPr="00B310CC">
        <w:rPr>
          <w:lang w:val="en-GB"/>
        </w:rPr>
        <w:t xml:space="preserve">Juvenile animal studies have not been conducted using alectinib. In general toxicology studies, treatment of rats with doses of </w:t>
      </w:r>
      <w:r>
        <w:rPr>
          <w:lang w:val="en-GB"/>
        </w:rPr>
        <w:t>≥ </w:t>
      </w:r>
      <w:r w:rsidRPr="001229E6">
        <w:rPr>
          <w:lang w:val="en-GB"/>
        </w:rPr>
        <w:t>27 mg/kg/day (AUC</w:t>
      </w:r>
      <w:r w:rsidRPr="001229E6">
        <w:rPr>
          <w:vertAlign w:val="subscript"/>
          <w:lang w:val="en-GB"/>
        </w:rPr>
        <w:t>0-24h</w:t>
      </w:r>
      <w:r>
        <w:rPr>
          <w:lang w:val="en-GB"/>
        </w:rPr>
        <w:t xml:space="preserve"> 38200 </w:t>
      </w:r>
      <w:r w:rsidRPr="001229E6">
        <w:rPr>
          <w:lang w:val="en-GB"/>
        </w:rPr>
        <w:t>ng.h/mL)</w:t>
      </w:r>
      <w:r>
        <w:rPr>
          <w:lang w:val="en-GB"/>
        </w:rPr>
        <w:t xml:space="preserve"> </w:t>
      </w:r>
      <w:r w:rsidRPr="00B310CC">
        <w:rPr>
          <w:lang w:val="en-GB"/>
        </w:rPr>
        <w:t>alectinib resulted in changes in the growing teeth and bones. Findings in teeth included discoloration and changes in tooth size along with histopathological disarrangement of the ameloblast and odontoblast layers</w:t>
      </w:r>
      <w:r w:rsidRPr="001229E6">
        <w:t xml:space="preserve"> </w:t>
      </w:r>
      <w:r w:rsidRPr="001229E6">
        <w:rPr>
          <w:lang w:val="en-GB"/>
        </w:rPr>
        <w:t>and degeneration/necrosis of ameloblasts</w:t>
      </w:r>
      <w:r w:rsidRPr="00B310CC">
        <w:rPr>
          <w:lang w:val="en-GB"/>
        </w:rPr>
        <w:t>. There were also decreases in the trabecular bone and increased osteoclast activity in the femur and sternum</w:t>
      </w:r>
      <w:r>
        <w:rPr>
          <w:lang w:val="en-GB"/>
        </w:rPr>
        <w:t xml:space="preserve">. </w:t>
      </w:r>
      <w:r w:rsidRPr="001229E6">
        <w:rPr>
          <w:lang w:val="en-GB"/>
        </w:rPr>
        <w:t xml:space="preserve">Increased plasma </w:t>
      </w:r>
      <w:r>
        <w:rPr>
          <w:lang w:val="en-GB"/>
        </w:rPr>
        <w:lastRenderedPageBreak/>
        <w:t>alkaline phosphatase (</w:t>
      </w:r>
      <w:r w:rsidRPr="001229E6">
        <w:rPr>
          <w:lang w:val="en-GB"/>
        </w:rPr>
        <w:t>ALP</w:t>
      </w:r>
      <w:r>
        <w:rPr>
          <w:lang w:val="en-GB"/>
        </w:rPr>
        <w:t>)</w:t>
      </w:r>
      <w:r w:rsidRPr="001229E6">
        <w:rPr>
          <w:lang w:val="en-GB"/>
        </w:rPr>
        <w:t xml:space="preserve"> of the bone isoform w</w:t>
      </w:r>
      <w:r>
        <w:rPr>
          <w:lang w:val="en-GB"/>
        </w:rPr>
        <w:t>as observed at alectinib doses ≥ </w:t>
      </w:r>
      <w:r w:rsidR="005745F1">
        <w:rPr>
          <w:lang w:val="en-GB"/>
        </w:rPr>
        <w:t>6 </w:t>
      </w:r>
      <w:r w:rsidRPr="001229E6">
        <w:rPr>
          <w:lang w:val="en-GB"/>
        </w:rPr>
        <w:t xml:space="preserve">mg/kg/day </w:t>
      </w:r>
      <w:proofErr w:type="gramStart"/>
      <w:r w:rsidRPr="001229E6">
        <w:rPr>
          <w:lang w:val="en-GB"/>
        </w:rPr>
        <w:t>(AUC</w:t>
      </w:r>
      <w:r w:rsidRPr="001229E6">
        <w:rPr>
          <w:vertAlign w:val="subscript"/>
          <w:lang w:val="en-GB"/>
        </w:rPr>
        <w:t>0-24h</w:t>
      </w:r>
      <w:r w:rsidRPr="001229E6">
        <w:rPr>
          <w:lang w:val="en-GB"/>
        </w:rPr>
        <w:t xml:space="preserve"> </w:t>
      </w:r>
      <w:r>
        <w:rPr>
          <w:lang w:val="en-GB"/>
        </w:rPr>
        <w:t>13</w:t>
      </w:r>
      <w:r w:rsidRPr="00B01879">
        <w:rPr>
          <w:lang w:val="en-GB"/>
        </w:rPr>
        <w:t>900</w:t>
      </w:r>
      <w:r>
        <w:rPr>
          <w:lang w:val="en-GB"/>
        </w:rPr>
        <w:t> </w:t>
      </w:r>
      <w:r w:rsidRPr="001229E6">
        <w:rPr>
          <w:lang w:val="en-GB"/>
        </w:rPr>
        <w:t>ng.h/mL)</w:t>
      </w:r>
      <w:proofErr w:type="gramEnd"/>
      <w:r w:rsidRPr="001229E6">
        <w:rPr>
          <w:lang w:val="en-GB"/>
        </w:rPr>
        <w:t>.</w:t>
      </w:r>
    </w:p>
    <w:p w14:paraId="3E5D70C6" w14:textId="77777777" w:rsidR="002470B0" w:rsidRDefault="002470B0" w:rsidP="002470B0">
      <w:pPr>
        <w:pStyle w:val="Heading3"/>
      </w:pPr>
      <w:r>
        <w:t>Other</w:t>
      </w:r>
    </w:p>
    <w:p w14:paraId="21BC3E03" w14:textId="77777777" w:rsidR="002470B0" w:rsidRDefault="002470B0" w:rsidP="002470B0"/>
    <w:p w14:paraId="4DA3CA03" w14:textId="77777777" w:rsidR="003E7527" w:rsidRDefault="002470B0">
      <w:r w:rsidRPr="00DF2F66">
        <w:t>Alectinib absorbs UV light between 200 and 400 nm and demonstrated phototoxic</w:t>
      </w:r>
      <w:r>
        <w:t xml:space="preserve"> </w:t>
      </w:r>
      <w:r w:rsidRPr="00DF2F66">
        <w:t xml:space="preserve">potential in an </w:t>
      </w:r>
      <w:r w:rsidRPr="00DF2F66">
        <w:rPr>
          <w:i/>
          <w:iCs/>
        </w:rPr>
        <w:t xml:space="preserve">in vitro </w:t>
      </w:r>
      <w:r w:rsidRPr="00DF2F66">
        <w:t>photosafety test in cultured murine fibroblasts after UVA</w:t>
      </w:r>
      <w:r>
        <w:t xml:space="preserve"> </w:t>
      </w:r>
      <w:r w:rsidRPr="00DF2F66">
        <w:t>irradiation</w:t>
      </w:r>
      <w:r>
        <w:t xml:space="preserve">. </w:t>
      </w:r>
    </w:p>
    <w:p w14:paraId="1F89B586" w14:textId="77777777" w:rsidR="00D52399" w:rsidRDefault="00615052">
      <w:pPr>
        <w:pStyle w:val="Heading1"/>
        <w:numPr>
          <w:ilvl w:val="0"/>
          <w:numId w:val="2"/>
        </w:numPr>
      </w:pPr>
      <w:r>
        <w:t>PHARMACEUTICAL PARTICULARS</w:t>
      </w:r>
    </w:p>
    <w:p w14:paraId="0105A6C2" w14:textId="77777777" w:rsidR="00D52399" w:rsidRDefault="00615052" w:rsidP="008903F2">
      <w:pPr>
        <w:pStyle w:val="Heading2"/>
        <w:ind w:hanging="786"/>
      </w:pPr>
      <w:r>
        <w:t>6.1</w:t>
      </w:r>
      <w:r>
        <w:tab/>
      </w:r>
      <w:r w:rsidR="00865E93">
        <w:t>LIST OF EXCIPIENTS</w:t>
      </w:r>
    </w:p>
    <w:p w14:paraId="50DB021E" w14:textId="77777777" w:rsidR="00865E93" w:rsidRDefault="00865E93" w:rsidP="00865E93">
      <w:pPr>
        <w:pStyle w:val="Heading4"/>
      </w:pPr>
      <w:r>
        <w:t>Capsule content</w:t>
      </w:r>
    </w:p>
    <w:p w14:paraId="7CED2817" w14:textId="77777777" w:rsidR="00865E93" w:rsidRDefault="00865E93">
      <w:r>
        <w:t>Lactose monohydrate</w:t>
      </w:r>
    </w:p>
    <w:p w14:paraId="3127F4F0" w14:textId="77777777" w:rsidR="00865E93" w:rsidRDefault="00865E93">
      <w:r>
        <w:t>Hyprolose</w:t>
      </w:r>
    </w:p>
    <w:p w14:paraId="64EC7B52" w14:textId="77777777" w:rsidR="00865E93" w:rsidRDefault="00865E93">
      <w:r>
        <w:t>Sodium lauryl sulfate</w:t>
      </w:r>
    </w:p>
    <w:p w14:paraId="5F43D45A" w14:textId="77777777" w:rsidR="00865E93" w:rsidRDefault="00865E93">
      <w:r>
        <w:t xml:space="preserve">Carmellose calcium </w:t>
      </w:r>
    </w:p>
    <w:p w14:paraId="4836592F" w14:textId="77777777" w:rsidR="00865E93" w:rsidRDefault="00865E93">
      <w:proofErr w:type="gramStart"/>
      <w:r>
        <w:t>Magnesium stearate.</w:t>
      </w:r>
      <w:proofErr w:type="gramEnd"/>
      <w:r>
        <w:t xml:space="preserve"> </w:t>
      </w:r>
    </w:p>
    <w:p w14:paraId="68084DC4" w14:textId="77777777" w:rsidR="00865E93" w:rsidRDefault="00865E93" w:rsidP="00865E93">
      <w:pPr>
        <w:pStyle w:val="Heading4"/>
      </w:pPr>
      <w:r>
        <w:t>Capsule shell</w:t>
      </w:r>
    </w:p>
    <w:p w14:paraId="219C5569" w14:textId="77777777" w:rsidR="00865E93" w:rsidRDefault="00865E93"/>
    <w:p w14:paraId="058564A1" w14:textId="77777777" w:rsidR="00865E93" w:rsidRDefault="00865E93">
      <w:r>
        <w:t>Carrageenan</w:t>
      </w:r>
    </w:p>
    <w:p w14:paraId="697232E7" w14:textId="77777777" w:rsidR="00865E93" w:rsidRDefault="00865E93">
      <w:r>
        <w:t xml:space="preserve">Potassium chloride </w:t>
      </w:r>
    </w:p>
    <w:p w14:paraId="5D17AD85" w14:textId="77777777" w:rsidR="00865E93" w:rsidRDefault="00865E93">
      <w:r>
        <w:t>Titanium dioxide</w:t>
      </w:r>
    </w:p>
    <w:p w14:paraId="7068ACD7" w14:textId="77777777" w:rsidR="00865E93" w:rsidRDefault="00865E93">
      <w:r>
        <w:t>Carnauba wax</w:t>
      </w:r>
    </w:p>
    <w:p w14:paraId="7ABBB906" w14:textId="77777777" w:rsidR="00865E93" w:rsidRDefault="00865E93">
      <w:r>
        <w:t>Maize starch</w:t>
      </w:r>
    </w:p>
    <w:p w14:paraId="0EB62460" w14:textId="77777777" w:rsidR="00865E93" w:rsidRDefault="00865E93">
      <w:proofErr w:type="gramStart"/>
      <w:r>
        <w:t>Hypromellose.</w:t>
      </w:r>
      <w:proofErr w:type="gramEnd"/>
      <w:r>
        <w:t xml:space="preserve"> </w:t>
      </w:r>
    </w:p>
    <w:p w14:paraId="7C9E40D3" w14:textId="77777777" w:rsidR="00865E93" w:rsidRDefault="00865E93" w:rsidP="00865E93">
      <w:pPr>
        <w:pStyle w:val="Heading4"/>
      </w:pPr>
      <w:r>
        <w:t>P</w:t>
      </w:r>
      <w:r w:rsidRPr="00D3765B">
        <w:t>rinting ink</w:t>
      </w:r>
      <w:r>
        <w:t xml:space="preserve"> </w:t>
      </w:r>
    </w:p>
    <w:p w14:paraId="5E29E991" w14:textId="77777777" w:rsidR="00865E93" w:rsidRDefault="00865E93"/>
    <w:p w14:paraId="08F256E4" w14:textId="77777777" w:rsidR="00865E93" w:rsidRDefault="00865E93">
      <w:r>
        <w:t>I</w:t>
      </w:r>
      <w:r w:rsidRPr="00BC152A">
        <w:t>ron oxide red</w:t>
      </w:r>
    </w:p>
    <w:p w14:paraId="53FC1BEE" w14:textId="77777777" w:rsidR="00865E93" w:rsidRDefault="00865E93">
      <w:r>
        <w:t>I</w:t>
      </w:r>
      <w:r w:rsidRPr="00BC152A">
        <w:t>ron oxide yellow</w:t>
      </w:r>
    </w:p>
    <w:p w14:paraId="09C84EA8" w14:textId="77777777" w:rsidR="00865E93" w:rsidRDefault="00865E93">
      <w:r>
        <w:t>Indigo carmine aluminium lake</w:t>
      </w:r>
    </w:p>
    <w:p w14:paraId="647E4AA9" w14:textId="77777777" w:rsidR="00865E93" w:rsidRDefault="00865E93">
      <w:r>
        <w:t>C</w:t>
      </w:r>
      <w:r w:rsidRPr="00BC152A">
        <w:t>arnauba</w:t>
      </w:r>
      <w:r>
        <w:t xml:space="preserve"> w</w:t>
      </w:r>
      <w:r w:rsidRPr="00BC152A">
        <w:t>ax</w:t>
      </w:r>
      <w:r>
        <w:t xml:space="preserve"> </w:t>
      </w:r>
    </w:p>
    <w:p w14:paraId="5C03281C" w14:textId="77777777" w:rsidR="00865E93" w:rsidRDefault="00865E93">
      <w:r>
        <w:t xml:space="preserve">Shellac </w:t>
      </w:r>
    </w:p>
    <w:p w14:paraId="00269789" w14:textId="77777777" w:rsidR="00D52399" w:rsidRDefault="00865E93">
      <w:proofErr w:type="gramStart"/>
      <w:r>
        <w:t xml:space="preserve">Glyceryl </w:t>
      </w:r>
      <w:proofErr w:type="spellStart"/>
      <w:r>
        <w:t>monooleate</w:t>
      </w:r>
      <w:proofErr w:type="spellEnd"/>
      <w:r>
        <w:t>.</w:t>
      </w:r>
      <w:proofErr w:type="gramEnd"/>
    </w:p>
    <w:p w14:paraId="639022AE" w14:textId="77777777" w:rsidR="00B313A4" w:rsidRDefault="00B313A4" w:rsidP="00B313A4">
      <w:pPr>
        <w:pStyle w:val="Heading2"/>
        <w:ind w:hanging="786"/>
      </w:pPr>
      <w:r>
        <w:t>6.2</w:t>
      </w:r>
      <w:r>
        <w:tab/>
        <w:t>INCOMPATIBILITIES</w:t>
      </w:r>
    </w:p>
    <w:p w14:paraId="2B8F6B18" w14:textId="77777777" w:rsidR="00B313A4" w:rsidRDefault="00B313A4" w:rsidP="00B313A4"/>
    <w:p w14:paraId="380C3F93" w14:textId="77777777" w:rsidR="00B313A4" w:rsidRDefault="00B313A4" w:rsidP="00B313A4">
      <w:r>
        <w:t>Not applicable.</w:t>
      </w:r>
    </w:p>
    <w:p w14:paraId="48EFCBA9" w14:textId="77777777" w:rsidR="00D52399" w:rsidRDefault="00B313A4" w:rsidP="008903F2">
      <w:pPr>
        <w:pStyle w:val="Heading2"/>
        <w:ind w:hanging="786"/>
      </w:pPr>
      <w:r>
        <w:t>6.3</w:t>
      </w:r>
      <w:r>
        <w:tab/>
        <w:t>SHELF LIFE</w:t>
      </w:r>
    </w:p>
    <w:p w14:paraId="3264E365" w14:textId="77777777" w:rsidR="008903F2" w:rsidRDefault="008903F2">
      <w:pPr>
        <w:rPr>
          <w:sz w:val="22"/>
          <w:szCs w:val="22"/>
        </w:rPr>
      </w:pPr>
    </w:p>
    <w:p w14:paraId="63745ABA" w14:textId="77777777" w:rsidR="008903F2" w:rsidRPr="008903F2" w:rsidRDefault="008903F2" w:rsidP="00B313A4">
      <w:r w:rsidRPr="008903F2">
        <w:t>In Australia, information on the shelf life can be found on the public summary of the Australian Register of Therapeutic Goods (ARTG). The expiry date</w:t>
      </w:r>
      <w:r w:rsidR="00B313A4">
        <w:t xml:space="preserve"> can be found on the packaging.</w:t>
      </w:r>
    </w:p>
    <w:p w14:paraId="01C984E4" w14:textId="77777777" w:rsidR="00D52399" w:rsidRDefault="00615052" w:rsidP="009E1EDE">
      <w:pPr>
        <w:pStyle w:val="Heading2"/>
        <w:keepNext/>
        <w:ind w:hanging="786"/>
      </w:pPr>
      <w:r>
        <w:t>6.4</w:t>
      </w:r>
      <w:r>
        <w:tab/>
      </w:r>
      <w:r w:rsidR="00B313A4">
        <w:t>SPECIAL PRECAUTIONS FOR STORAGE</w:t>
      </w:r>
    </w:p>
    <w:p w14:paraId="2AFBC0D9" w14:textId="77777777" w:rsidR="00D52399" w:rsidRDefault="00D52399" w:rsidP="009E1EDE">
      <w:pPr>
        <w:keepNext/>
      </w:pPr>
    </w:p>
    <w:p w14:paraId="17220A25" w14:textId="77777777" w:rsidR="009E1EDE" w:rsidRDefault="009E1EDE" w:rsidP="00326AAA">
      <w:pPr>
        <w:keepNext/>
      </w:pPr>
      <w:r>
        <w:t>S</w:t>
      </w:r>
      <w:r w:rsidRPr="005231BC">
        <w:t xml:space="preserve">tore </w:t>
      </w:r>
      <w:r>
        <w:t>below</w:t>
      </w:r>
      <w:r w:rsidRPr="005231BC">
        <w:t xml:space="preserve"> 30°C</w:t>
      </w:r>
      <w:r>
        <w:t xml:space="preserve">. </w:t>
      </w:r>
      <w:proofErr w:type="gramStart"/>
      <w:r>
        <w:t>Store in</w:t>
      </w:r>
      <w:r w:rsidRPr="005231BC">
        <w:t xml:space="preserve"> the original </w:t>
      </w:r>
      <w:r>
        <w:t>package</w:t>
      </w:r>
      <w:r w:rsidRPr="005231BC">
        <w:t xml:space="preserve"> to protect from light and moisture.</w:t>
      </w:r>
      <w:proofErr w:type="gramEnd"/>
    </w:p>
    <w:p w14:paraId="0FEBF899" w14:textId="77777777" w:rsidR="009E1EDE" w:rsidRPr="00ED6B14" w:rsidRDefault="009E1EDE" w:rsidP="00326AAA">
      <w:pPr>
        <w:keepNext/>
      </w:pPr>
    </w:p>
    <w:p w14:paraId="6AACC02C" w14:textId="77777777" w:rsidR="009E1EDE" w:rsidRPr="005231BC" w:rsidRDefault="009E1EDE" w:rsidP="009E1EDE">
      <w:r w:rsidRPr="00965C11">
        <w:t>This medicine should not be used after the expiry date (EXP) shown on the pack.</w:t>
      </w:r>
    </w:p>
    <w:p w14:paraId="005559D7" w14:textId="77777777" w:rsidR="00D52399" w:rsidRDefault="00615052" w:rsidP="008903F2">
      <w:pPr>
        <w:pStyle w:val="Heading2"/>
        <w:ind w:hanging="786"/>
      </w:pPr>
      <w:r>
        <w:lastRenderedPageBreak/>
        <w:t>6.5</w:t>
      </w:r>
      <w:r>
        <w:tab/>
      </w:r>
      <w:r w:rsidR="009E1EDE">
        <w:t>NATURE AND CONTENTS OF CONTAINER</w:t>
      </w:r>
    </w:p>
    <w:p w14:paraId="65643843" w14:textId="77777777" w:rsidR="009E1EDE" w:rsidRDefault="009E1EDE" w:rsidP="009E1EDE"/>
    <w:p w14:paraId="50CF5428" w14:textId="77777777" w:rsidR="009E1EDE" w:rsidRDefault="009E1EDE" w:rsidP="009E1EDE">
      <w:r>
        <w:rPr>
          <w:lang w:val="en-GB"/>
        </w:rPr>
        <w:t>Alecensa</w:t>
      </w:r>
      <w:r w:rsidRPr="009C6AA0">
        <w:t xml:space="preserve"> </w:t>
      </w:r>
      <w:r>
        <w:t xml:space="preserve">capsules are packaged in </w:t>
      </w:r>
      <w:proofErr w:type="spellStart"/>
      <w:r w:rsidRPr="009C6AA0">
        <w:t>aluminum</w:t>
      </w:r>
      <w:proofErr w:type="spellEnd"/>
      <w:r w:rsidRPr="009C6AA0">
        <w:t xml:space="preserve"> foil blister seale</w:t>
      </w:r>
      <w:r>
        <w:t xml:space="preserve">d with an </w:t>
      </w:r>
      <w:proofErr w:type="spellStart"/>
      <w:r>
        <w:t>aluminum</w:t>
      </w:r>
      <w:proofErr w:type="spellEnd"/>
      <w:r>
        <w:t xml:space="preserve"> lidding foil containing 8 capsules per blister.</w:t>
      </w:r>
    </w:p>
    <w:p w14:paraId="3CDC6763" w14:textId="77777777" w:rsidR="009E1EDE" w:rsidRDefault="009E1EDE" w:rsidP="009E1EDE"/>
    <w:p w14:paraId="6E77072C" w14:textId="77777777" w:rsidR="009E1EDE" w:rsidRDefault="009E1EDE" w:rsidP="009E1EDE">
      <w:r>
        <w:t xml:space="preserve">Each </w:t>
      </w:r>
      <w:r>
        <w:rPr>
          <w:lang w:val="en-GB"/>
        </w:rPr>
        <w:t>Alecensa multi</w:t>
      </w:r>
      <w:r>
        <w:t>pack contains 224 (4 packs of 56) capsules.</w:t>
      </w:r>
    </w:p>
    <w:p w14:paraId="675B0464" w14:textId="77777777" w:rsidR="00D52399" w:rsidRDefault="00615052" w:rsidP="008903F2">
      <w:pPr>
        <w:pStyle w:val="Heading2"/>
        <w:ind w:hanging="786"/>
      </w:pPr>
      <w:r>
        <w:t>6.6</w:t>
      </w:r>
      <w:r>
        <w:tab/>
      </w:r>
      <w:r w:rsidR="009E1EDE">
        <w:t>SPECIAL PRECAUTIONS FOR DISPOSAL</w:t>
      </w:r>
    </w:p>
    <w:p w14:paraId="29C44F44" w14:textId="77777777" w:rsidR="00D52399" w:rsidRDefault="00D52399"/>
    <w:p w14:paraId="6B219C7F" w14:textId="77777777" w:rsidR="008903F2" w:rsidRDefault="009E1EDE" w:rsidP="009E1EDE">
      <w:r w:rsidRPr="00E459E1">
        <w:t>The release of medicines into the e</w:t>
      </w:r>
      <w:r>
        <w:t>nvironment should be minimised.</w:t>
      </w:r>
      <w:r w:rsidRPr="00E459E1">
        <w:t xml:space="preserve"> Medicines should no</w:t>
      </w:r>
      <w:r>
        <w:t xml:space="preserve">t be disposed of via wastewater </w:t>
      </w:r>
      <w:r w:rsidRPr="00E459E1">
        <w:t>and disposal through household waste should be avoided. Unused or expired</w:t>
      </w:r>
      <w:r>
        <w:t xml:space="preserve"> medicine should be returned to </w:t>
      </w:r>
      <w:r w:rsidRPr="00E459E1">
        <w:t>a pharmacy for disposal.</w:t>
      </w:r>
    </w:p>
    <w:p w14:paraId="037DA834" w14:textId="77777777" w:rsidR="008903F2" w:rsidRDefault="008903F2" w:rsidP="009E1EDE">
      <w:pPr>
        <w:pStyle w:val="Heading2"/>
        <w:ind w:left="0" w:firstLine="0"/>
      </w:pPr>
      <w:r w:rsidRPr="00BA0878">
        <w:t>6.7</w:t>
      </w:r>
      <w:r w:rsidRPr="00BA0878">
        <w:tab/>
      </w:r>
      <w:r w:rsidR="009E1EDE">
        <w:t>PHYSICOCHEMICAL PROPERTIES</w:t>
      </w:r>
    </w:p>
    <w:p w14:paraId="06AA944F" w14:textId="77777777" w:rsidR="009E1EDE" w:rsidRDefault="009E1EDE" w:rsidP="009E1EDE"/>
    <w:p w14:paraId="59083DC4" w14:textId="77777777" w:rsidR="009E1EDE" w:rsidRDefault="009E1EDE" w:rsidP="009E1EDE">
      <w:pPr>
        <w:rPr>
          <w:lang w:val="en-GB"/>
        </w:rPr>
      </w:pPr>
      <w:r>
        <w:rPr>
          <w:noProof/>
          <w:lang w:val="en-AU"/>
        </w:rPr>
        <w:drawing>
          <wp:anchor distT="0" distB="0" distL="114300" distR="114300" simplePos="0" relativeHeight="251659264" behindDoc="0" locked="0" layoutInCell="1" allowOverlap="1" wp14:anchorId="0D199745" wp14:editId="29CCE758">
            <wp:simplePos x="0" y="0"/>
            <wp:positionH relativeFrom="column">
              <wp:align>left</wp:align>
            </wp:positionH>
            <wp:positionV relativeFrom="paragraph">
              <wp:align>top</wp:align>
            </wp:positionV>
            <wp:extent cx="2200275" cy="9988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tinib hcl.JPG"/>
                    <pic:cNvPicPr/>
                  </pic:nvPicPr>
                  <pic:blipFill>
                    <a:blip r:embed="rId12">
                      <a:extLst>
                        <a:ext uri="{28A0092B-C50C-407E-A947-70E740481C1C}">
                          <a14:useLocalDpi xmlns:a14="http://schemas.microsoft.com/office/drawing/2010/main" val="0"/>
                        </a:ext>
                      </a:extLst>
                    </a:blip>
                    <a:stretch>
                      <a:fillRect/>
                    </a:stretch>
                  </pic:blipFill>
                  <pic:spPr>
                    <a:xfrm>
                      <a:off x="0" y="0"/>
                      <a:ext cx="2200275" cy="998855"/>
                    </a:xfrm>
                    <a:prstGeom prst="rect">
                      <a:avLst/>
                    </a:prstGeom>
                  </pic:spPr>
                </pic:pic>
              </a:graphicData>
            </a:graphic>
          </wp:anchor>
        </w:drawing>
      </w:r>
      <w:r>
        <w:br w:type="textWrapping" w:clear="all"/>
      </w:r>
    </w:p>
    <w:p w14:paraId="2C366258" w14:textId="77777777" w:rsidR="009E1EDE" w:rsidRDefault="009E1EDE" w:rsidP="009E1EDE">
      <w:r w:rsidRPr="008C4322">
        <w:rPr>
          <w:lang w:val="en-GB"/>
        </w:rPr>
        <w:t xml:space="preserve">CAS: </w:t>
      </w:r>
      <w:r w:rsidRPr="00C46B1E">
        <w:t>1256589-74-8</w:t>
      </w:r>
    </w:p>
    <w:p w14:paraId="3D679127" w14:textId="77777777" w:rsidR="00D52399" w:rsidRDefault="00615052">
      <w:pPr>
        <w:pStyle w:val="Heading1"/>
        <w:numPr>
          <w:ilvl w:val="0"/>
          <w:numId w:val="2"/>
        </w:numPr>
      </w:pPr>
      <w:r>
        <w:t>MEDICINE SCHEDULE</w:t>
      </w:r>
      <w:r w:rsidR="00594C19" w:rsidRPr="009E1EDE">
        <w:rPr>
          <w:color w:val="auto"/>
        </w:rPr>
        <w:t xml:space="preserve"> (POISONS STANDARD)</w:t>
      </w:r>
    </w:p>
    <w:p w14:paraId="49384E13" w14:textId="77777777" w:rsidR="00D52399" w:rsidRDefault="00D52399"/>
    <w:p w14:paraId="1017FEA1" w14:textId="77777777" w:rsidR="009E1EDE" w:rsidRPr="007877AA" w:rsidRDefault="009E1EDE" w:rsidP="009E1EDE">
      <w:r>
        <w:t>Schedule 4 – Prescription Only Medicine</w:t>
      </w:r>
    </w:p>
    <w:p w14:paraId="03902429" w14:textId="77777777" w:rsidR="00D52399" w:rsidRDefault="00615052">
      <w:pPr>
        <w:pStyle w:val="Heading1"/>
        <w:numPr>
          <w:ilvl w:val="0"/>
          <w:numId w:val="2"/>
        </w:numPr>
      </w:pPr>
      <w:r>
        <w:t>SPONSOR</w:t>
      </w:r>
    </w:p>
    <w:p w14:paraId="4BC7D8D0" w14:textId="77777777" w:rsidR="00D52399" w:rsidRDefault="00D52399"/>
    <w:p w14:paraId="4CD58BF0" w14:textId="77777777" w:rsidR="009E1EDE" w:rsidRPr="00074007" w:rsidRDefault="009E1EDE" w:rsidP="009E1EDE">
      <w:pPr>
        <w:rPr>
          <w:lang w:val="en-GB"/>
        </w:rPr>
      </w:pPr>
      <w:r w:rsidRPr="00074007">
        <w:rPr>
          <w:lang w:val="en-GB"/>
        </w:rPr>
        <w:t>Roche Products Pty Limited</w:t>
      </w:r>
    </w:p>
    <w:p w14:paraId="37665100" w14:textId="77777777" w:rsidR="009E1EDE" w:rsidRPr="00074007" w:rsidRDefault="009E1EDE" w:rsidP="009E1EDE">
      <w:pPr>
        <w:rPr>
          <w:lang w:val="en-GB"/>
        </w:rPr>
      </w:pPr>
      <w:r w:rsidRPr="00074007">
        <w:rPr>
          <w:lang w:val="en-GB"/>
        </w:rPr>
        <w:t>ABN 70 000 132 865</w:t>
      </w:r>
    </w:p>
    <w:p w14:paraId="6B3E4C88" w14:textId="77777777" w:rsidR="009E1EDE" w:rsidRPr="00074007" w:rsidRDefault="009E1EDE" w:rsidP="009E1EDE">
      <w:pPr>
        <w:rPr>
          <w:lang w:val="en-GB"/>
        </w:rPr>
      </w:pPr>
      <w:r>
        <w:rPr>
          <w:lang w:val="en-GB"/>
        </w:rPr>
        <w:t xml:space="preserve">Level 8, 30-34 </w:t>
      </w:r>
      <w:proofErr w:type="spellStart"/>
      <w:r>
        <w:rPr>
          <w:lang w:val="en-GB"/>
        </w:rPr>
        <w:t>Hickson</w:t>
      </w:r>
      <w:proofErr w:type="spellEnd"/>
      <w:r>
        <w:rPr>
          <w:lang w:val="en-GB"/>
        </w:rPr>
        <w:t xml:space="preserve"> Road</w:t>
      </w:r>
    </w:p>
    <w:p w14:paraId="500AEDF3" w14:textId="77777777" w:rsidR="009E1EDE" w:rsidRDefault="009E1EDE" w:rsidP="009E1EDE">
      <w:pPr>
        <w:rPr>
          <w:lang w:val="en-GB"/>
        </w:rPr>
      </w:pPr>
      <w:r>
        <w:rPr>
          <w:lang w:val="en-GB"/>
        </w:rPr>
        <w:t>Sydney NSW 2000</w:t>
      </w:r>
    </w:p>
    <w:p w14:paraId="4E575686" w14:textId="77777777" w:rsidR="009E1EDE" w:rsidRDefault="009E1EDE" w:rsidP="009E1EDE">
      <w:pPr>
        <w:rPr>
          <w:lang w:val="en-GB"/>
        </w:rPr>
      </w:pPr>
      <w:r>
        <w:rPr>
          <w:lang w:val="en-GB"/>
        </w:rPr>
        <w:t>AUSTRALIA</w:t>
      </w:r>
    </w:p>
    <w:p w14:paraId="079F24F4" w14:textId="77777777" w:rsidR="009E1EDE" w:rsidRDefault="009E1EDE" w:rsidP="009E1EDE">
      <w:pPr>
        <w:rPr>
          <w:lang w:val="en-GB"/>
        </w:rPr>
      </w:pPr>
    </w:p>
    <w:p w14:paraId="7F59690C" w14:textId="2497C07C" w:rsidR="009E1EDE" w:rsidRDefault="009E1EDE" w:rsidP="009E1EDE">
      <w:pPr>
        <w:rPr>
          <w:lang w:val="en-GB"/>
        </w:rPr>
      </w:pPr>
      <w:r>
        <w:rPr>
          <w:lang w:val="en-GB"/>
        </w:rPr>
        <w:t>Medical enquiries: 1800 233 950</w:t>
      </w:r>
    </w:p>
    <w:p w14:paraId="241FEB58" w14:textId="77777777" w:rsidR="00D52399" w:rsidRDefault="00615052">
      <w:pPr>
        <w:pStyle w:val="Heading1"/>
        <w:numPr>
          <w:ilvl w:val="0"/>
          <w:numId w:val="2"/>
        </w:numPr>
      </w:pPr>
      <w:r>
        <w:t>DATE OF FIRST APPROVAL</w:t>
      </w:r>
    </w:p>
    <w:p w14:paraId="77945DB7" w14:textId="77777777" w:rsidR="00D52399" w:rsidRDefault="00D52399"/>
    <w:p w14:paraId="11DC3204" w14:textId="77777777" w:rsidR="008B2698" w:rsidRDefault="008B2698" w:rsidP="008B2698">
      <w:r>
        <w:t>14 March 2017</w:t>
      </w:r>
    </w:p>
    <w:p w14:paraId="477772BC" w14:textId="77777777" w:rsidR="00D52399" w:rsidRDefault="00615052" w:rsidP="00326AAA">
      <w:pPr>
        <w:pStyle w:val="Heading1"/>
        <w:keepNext/>
        <w:numPr>
          <w:ilvl w:val="0"/>
          <w:numId w:val="2"/>
        </w:numPr>
        <w:ind w:left="357" w:hanging="357"/>
      </w:pPr>
      <w:r>
        <w:t>DATE OF REVISION OF THE TEXT</w:t>
      </w:r>
    </w:p>
    <w:p w14:paraId="4C796160" w14:textId="77777777" w:rsidR="00D52399" w:rsidRDefault="00D52399"/>
    <w:p w14:paraId="679979DD" w14:textId="6CC0170E" w:rsidR="00D52399" w:rsidRDefault="006A0AE3">
      <w:r>
        <w:t>30 January 2018</w:t>
      </w:r>
      <w:r w:rsidR="00615052">
        <w:t xml:space="preserve"> </w:t>
      </w:r>
    </w:p>
    <w:p w14:paraId="5AA77BAD" w14:textId="77777777" w:rsidR="004B4418" w:rsidRDefault="004B4418" w:rsidP="005F4CB0">
      <w:pPr>
        <w:pStyle w:val="Heading3"/>
        <w:keepNext/>
      </w:pPr>
      <w:r>
        <w:lastRenderedPageBreak/>
        <w:t>Summary of Changes Table</w:t>
      </w:r>
    </w:p>
    <w:p w14:paraId="66409142" w14:textId="77777777" w:rsidR="004B4418" w:rsidRDefault="004B4418" w:rsidP="005F4CB0">
      <w:pPr>
        <w:keepNext/>
      </w:pPr>
    </w:p>
    <w:tbl>
      <w:tblPr>
        <w:tblStyle w:val="TableGrid"/>
        <w:tblW w:w="0" w:type="auto"/>
        <w:tblLook w:val="04A0" w:firstRow="1" w:lastRow="0" w:firstColumn="1" w:lastColumn="0" w:noHBand="0" w:noVBand="1"/>
      </w:tblPr>
      <w:tblGrid>
        <w:gridCol w:w="1951"/>
        <w:gridCol w:w="7291"/>
      </w:tblGrid>
      <w:tr w:rsidR="004B4418" w:rsidRPr="008B2698" w14:paraId="17399BEE" w14:textId="77777777" w:rsidTr="00E96482">
        <w:tc>
          <w:tcPr>
            <w:tcW w:w="1951" w:type="dxa"/>
          </w:tcPr>
          <w:p w14:paraId="56118E7B" w14:textId="77777777" w:rsidR="004B4418" w:rsidRPr="008B2698" w:rsidRDefault="004B4418" w:rsidP="00E96482">
            <w:pPr>
              <w:spacing w:before="20" w:after="20"/>
              <w:rPr>
                <w:rFonts w:ascii="Times New Roman" w:hAnsi="Times New Roman"/>
                <w:b/>
                <w:sz w:val="24"/>
                <w:lang w:val="en-US" w:eastAsia="ja-JP"/>
              </w:rPr>
            </w:pPr>
            <w:r w:rsidRPr="008B2698">
              <w:rPr>
                <w:rFonts w:ascii="Times New Roman" w:hAnsi="Times New Roman"/>
                <w:b/>
                <w:sz w:val="24"/>
                <w:lang w:val="en-US" w:eastAsia="ja-JP"/>
              </w:rPr>
              <w:t>Section changed</w:t>
            </w:r>
          </w:p>
        </w:tc>
        <w:tc>
          <w:tcPr>
            <w:tcW w:w="7291" w:type="dxa"/>
          </w:tcPr>
          <w:p w14:paraId="7A93E809" w14:textId="77777777" w:rsidR="004B4418" w:rsidRPr="008B2698" w:rsidRDefault="004B4418" w:rsidP="00E96482">
            <w:pPr>
              <w:spacing w:before="20" w:after="20"/>
              <w:rPr>
                <w:rFonts w:ascii="Times New Roman" w:hAnsi="Times New Roman"/>
                <w:b/>
                <w:sz w:val="24"/>
                <w:lang w:val="en-US" w:eastAsia="ja-JP"/>
              </w:rPr>
            </w:pPr>
            <w:r w:rsidRPr="008B2698">
              <w:rPr>
                <w:rFonts w:ascii="Times New Roman" w:hAnsi="Times New Roman"/>
                <w:b/>
                <w:sz w:val="24"/>
                <w:lang w:val="en-US" w:eastAsia="ja-JP"/>
              </w:rPr>
              <w:t>Summary of new information</w:t>
            </w:r>
          </w:p>
        </w:tc>
      </w:tr>
      <w:tr w:rsidR="004B4418" w:rsidRPr="008B2698" w14:paraId="0D6625DA" w14:textId="77777777" w:rsidTr="00E96482">
        <w:tc>
          <w:tcPr>
            <w:tcW w:w="1951" w:type="dxa"/>
          </w:tcPr>
          <w:p w14:paraId="181FBA47"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4.1</w:t>
            </w:r>
          </w:p>
        </w:tc>
        <w:tc>
          <w:tcPr>
            <w:tcW w:w="7291" w:type="dxa"/>
          </w:tcPr>
          <w:p w14:paraId="1439EDD8"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Indication expanded to include first-line treatment of locally advanced or metastatic NSCLC.</w:t>
            </w:r>
          </w:p>
        </w:tc>
      </w:tr>
      <w:tr w:rsidR="004B4418" w:rsidRPr="008B2698" w14:paraId="47E9D48A" w14:textId="77777777" w:rsidTr="00E96482">
        <w:tc>
          <w:tcPr>
            <w:tcW w:w="1951" w:type="dxa"/>
          </w:tcPr>
          <w:p w14:paraId="22C6E062"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4.2</w:t>
            </w:r>
          </w:p>
        </w:tc>
        <w:tc>
          <w:tcPr>
            <w:tcW w:w="7291" w:type="dxa"/>
          </w:tcPr>
          <w:p w14:paraId="429ACE51"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Included reference to use of validated ALK assay prior to use of Alecensa therapy.</w:t>
            </w:r>
          </w:p>
        </w:tc>
      </w:tr>
      <w:tr w:rsidR="004B4418" w:rsidRPr="008B2698" w14:paraId="73E8CF5F" w14:textId="77777777" w:rsidTr="00E96482">
        <w:tc>
          <w:tcPr>
            <w:tcW w:w="1951" w:type="dxa"/>
          </w:tcPr>
          <w:p w14:paraId="708B872C"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4.4</w:t>
            </w:r>
          </w:p>
        </w:tc>
        <w:tc>
          <w:tcPr>
            <w:tcW w:w="7291" w:type="dxa"/>
          </w:tcPr>
          <w:p w14:paraId="33CDA968"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Added information from Phase III Study 3 to warnings and precautions for interstitial lung disease, hepatotoxicity, bradycardia, severe myalgia/CPK elevation and photosensitivity.</w:t>
            </w:r>
          </w:p>
        </w:tc>
      </w:tr>
      <w:tr w:rsidR="004B4418" w:rsidRPr="008B2698" w14:paraId="4C04AC83" w14:textId="77777777" w:rsidTr="00E96482">
        <w:tc>
          <w:tcPr>
            <w:tcW w:w="1951" w:type="dxa"/>
          </w:tcPr>
          <w:p w14:paraId="4568727D"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4.8</w:t>
            </w:r>
          </w:p>
        </w:tc>
        <w:tc>
          <w:tcPr>
            <w:tcW w:w="7291" w:type="dxa"/>
          </w:tcPr>
          <w:p w14:paraId="52FCEC5E"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 xml:space="preserve">Added information on </w:t>
            </w:r>
            <w:r w:rsidRPr="008B2698">
              <w:rPr>
                <w:rFonts w:ascii="Times New Roman" w:hAnsi="Times New Roman"/>
                <w:sz w:val="24"/>
              </w:rPr>
              <w:t>undesirable effects</w:t>
            </w:r>
            <w:r w:rsidRPr="008B2698">
              <w:rPr>
                <w:rFonts w:ascii="Times New Roman" w:hAnsi="Times New Roman"/>
                <w:sz w:val="24"/>
                <w:lang w:val="en-US" w:eastAsia="ja-JP"/>
              </w:rPr>
              <w:t xml:space="preserve"> from Phase III Study 3.</w:t>
            </w:r>
          </w:p>
        </w:tc>
      </w:tr>
      <w:tr w:rsidR="004B4418" w:rsidRPr="008B2698" w14:paraId="2D3F70F6" w14:textId="77777777" w:rsidTr="00E96482">
        <w:tc>
          <w:tcPr>
            <w:tcW w:w="1951" w:type="dxa"/>
          </w:tcPr>
          <w:p w14:paraId="6A5AF9AD"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5.1</w:t>
            </w:r>
          </w:p>
        </w:tc>
        <w:tc>
          <w:tcPr>
            <w:tcW w:w="7291" w:type="dxa"/>
          </w:tcPr>
          <w:p w14:paraId="3F2944C1"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 xml:space="preserve">Added information on </w:t>
            </w:r>
            <w:r w:rsidRPr="008B2698">
              <w:rPr>
                <w:rFonts w:ascii="Times New Roman" w:hAnsi="Times New Roman"/>
                <w:sz w:val="24"/>
              </w:rPr>
              <w:t xml:space="preserve">clinical efficacy and safety </w:t>
            </w:r>
            <w:r w:rsidRPr="008B2698">
              <w:rPr>
                <w:rFonts w:ascii="Times New Roman" w:hAnsi="Times New Roman"/>
                <w:sz w:val="24"/>
                <w:lang w:val="en-US" w:eastAsia="ja-JP"/>
              </w:rPr>
              <w:t>from Phase III Study 3.</w:t>
            </w:r>
          </w:p>
        </w:tc>
      </w:tr>
      <w:tr w:rsidR="004B4418" w:rsidRPr="008B2698" w14:paraId="3807A51C" w14:textId="77777777" w:rsidTr="00E96482">
        <w:tc>
          <w:tcPr>
            <w:tcW w:w="1951" w:type="dxa"/>
          </w:tcPr>
          <w:p w14:paraId="75DD66D4" w14:textId="77777777" w:rsidR="004B4418" w:rsidRPr="008B2698" w:rsidRDefault="004B4418" w:rsidP="00E96482">
            <w:pPr>
              <w:spacing w:before="20" w:after="20"/>
              <w:rPr>
                <w:rFonts w:ascii="Times New Roman" w:hAnsi="Times New Roman"/>
                <w:sz w:val="24"/>
                <w:lang w:val="en-US" w:eastAsia="ja-JP"/>
              </w:rPr>
            </w:pPr>
          </w:p>
        </w:tc>
        <w:tc>
          <w:tcPr>
            <w:tcW w:w="7291" w:type="dxa"/>
          </w:tcPr>
          <w:p w14:paraId="49BECE92" w14:textId="77777777" w:rsidR="004B4418" w:rsidRPr="008B2698" w:rsidRDefault="004B4418" w:rsidP="00E96482">
            <w:pPr>
              <w:spacing w:before="20" w:after="20"/>
              <w:rPr>
                <w:rFonts w:ascii="Times New Roman" w:hAnsi="Times New Roman"/>
                <w:sz w:val="24"/>
                <w:lang w:val="en-US" w:eastAsia="ja-JP"/>
              </w:rPr>
            </w:pPr>
            <w:r w:rsidRPr="008B2698">
              <w:rPr>
                <w:rFonts w:ascii="Times New Roman" w:hAnsi="Times New Roman"/>
                <w:sz w:val="24"/>
                <w:lang w:val="en-US" w:eastAsia="ja-JP"/>
              </w:rPr>
              <w:t>Editorial changes and corrections</w:t>
            </w:r>
          </w:p>
        </w:tc>
      </w:tr>
    </w:tbl>
    <w:p w14:paraId="1855F67F" w14:textId="77777777" w:rsidR="004B4418" w:rsidRDefault="004B4418" w:rsidP="004B4418"/>
    <w:p w14:paraId="00EE8D18" w14:textId="77777777" w:rsidR="004B4418" w:rsidRDefault="004B4418"/>
    <w:sectPr w:rsidR="004B4418" w:rsidSect="00326AAA">
      <w:headerReference w:type="default" r:id="rId13"/>
      <w:footerReference w:type="default" r:id="rId14"/>
      <w:pgSz w:w="11906" w:h="16838" w:code="9"/>
      <w:pgMar w:top="1418" w:right="1418" w:bottom="1304" w:left="1418" w:header="0" w:footer="567"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B5363" w15:done="0"/>
  <w15:commentEx w15:paraId="3F3AD42F" w15:done="0"/>
  <w15:commentEx w15:paraId="4EEAD309" w15:done="0"/>
  <w15:commentEx w15:paraId="21AED0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4410F" w14:textId="77777777" w:rsidR="00BE69D7" w:rsidRDefault="00BE69D7">
      <w:r>
        <w:separator/>
      </w:r>
    </w:p>
  </w:endnote>
  <w:endnote w:type="continuationSeparator" w:id="0">
    <w:p w14:paraId="15F5C41E" w14:textId="77777777" w:rsidR="00BE69D7" w:rsidRDefault="00BE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AA80B" w14:textId="20417544" w:rsidR="00BE69D7" w:rsidRDefault="00BE69D7" w:rsidP="008827DF">
    <w:pPr>
      <w:pBdr>
        <w:top w:val="single" w:sz="4" w:space="3" w:color="auto"/>
      </w:pBdr>
      <w:tabs>
        <w:tab w:val="center" w:pos="4513"/>
        <w:tab w:val="right" w:pos="9026"/>
      </w:tabs>
    </w:pPr>
    <w:r>
      <w:t>Alecensa</w:t>
    </w:r>
    <w:r w:rsidRPr="008827DF">
      <w:t xml:space="preserve"> </w:t>
    </w:r>
    <w:r w:rsidR="00E7681E">
      <w:t>1801</w:t>
    </w:r>
    <w:r w:rsidR="006A0AE3">
      <w:t>30</w:t>
    </w:r>
    <w:r>
      <w:tab/>
    </w:r>
    <w:r w:rsidRPr="008827DF">
      <w:tab/>
    </w:r>
    <w:r w:rsidRPr="008827DF">
      <w:fldChar w:fldCharType="begin"/>
    </w:r>
    <w:r w:rsidRPr="008827DF">
      <w:instrText>PAGE</w:instrText>
    </w:r>
    <w:r w:rsidRPr="008827DF">
      <w:fldChar w:fldCharType="separate"/>
    </w:r>
    <w:r w:rsidR="003B552B">
      <w:rPr>
        <w:noProof/>
      </w:rPr>
      <w:t>3</w:t>
    </w:r>
    <w:r w:rsidRPr="008827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D1CF7" w14:textId="77777777" w:rsidR="00BE69D7" w:rsidRDefault="00BE69D7">
      <w:r>
        <w:separator/>
      </w:r>
    </w:p>
  </w:footnote>
  <w:footnote w:type="continuationSeparator" w:id="0">
    <w:p w14:paraId="14491CF6" w14:textId="77777777" w:rsidR="00BE69D7" w:rsidRDefault="00BE6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FD0A" w14:textId="2E0FC223" w:rsidR="003B552B" w:rsidRDefault="003B552B">
    <w:pPr>
      <w:pStyle w:val="Header"/>
    </w:pPr>
  </w:p>
  <w:tbl>
    <w:tblPr>
      <w:tblStyle w:val="TableGrid"/>
      <w:tblW w:w="0" w:type="auto"/>
      <w:shd w:val="clear" w:color="auto" w:fill="E4F2E0"/>
      <w:tblLook w:val="04A0" w:firstRow="1" w:lastRow="0" w:firstColumn="1" w:lastColumn="0" w:noHBand="0" w:noVBand="1"/>
    </w:tblPr>
    <w:tblGrid>
      <w:gridCol w:w="8720"/>
    </w:tblGrid>
    <w:tr w:rsidR="003B552B" w:rsidRPr="003B552B" w14:paraId="1943D9DA" w14:textId="77777777" w:rsidTr="00A7679D">
      <w:tc>
        <w:tcPr>
          <w:tcW w:w="8720" w:type="dxa"/>
          <w:shd w:val="clear" w:color="auto" w:fill="E4F2E0"/>
        </w:tcPr>
        <w:p w14:paraId="3BDC9B70" w14:textId="77777777" w:rsidR="003B552B" w:rsidRPr="003B552B" w:rsidRDefault="003B552B" w:rsidP="00A7679D">
          <w:pPr>
            <w:spacing w:before="40" w:after="40"/>
            <w:rPr>
              <w:b/>
            </w:rPr>
          </w:pPr>
          <w:r w:rsidRPr="003B552B">
            <w:rPr>
              <w:b/>
            </w:rPr>
            <w:t xml:space="preserve">Attachment 1: Product information for AusPAR - AusPAR </w:t>
          </w:r>
          <w:proofErr w:type="spellStart"/>
          <w:r w:rsidRPr="003B552B">
            <w:rPr>
              <w:b/>
            </w:rPr>
            <w:t>Alecensa</w:t>
          </w:r>
          <w:proofErr w:type="spellEnd"/>
          <w:r w:rsidRPr="003B552B">
            <w:rPr>
              <w:b/>
            </w:rPr>
            <w:t xml:space="preserve"> </w:t>
          </w:r>
          <w:proofErr w:type="spellStart"/>
          <w:r w:rsidRPr="003B552B">
            <w:rPr>
              <w:b/>
            </w:rPr>
            <w:t>Alectinib</w:t>
          </w:r>
          <w:proofErr w:type="spellEnd"/>
          <w:r w:rsidRPr="003B552B">
            <w:rPr>
              <w:b/>
            </w:rPr>
            <w:t xml:space="preserve"> Roche Australia Pty Ltd PM-2017-03224-1-4 Final 5 March This Product information was approved at the time this AusPAR was published.</w:t>
          </w:r>
        </w:p>
      </w:tc>
    </w:tr>
  </w:tbl>
  <w:p w14:paraId="715A9A41" w14:textId="77777777" w:rsidR="003B552B" w:rsidRDefault="003B5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7B43474"/>
    <w:multiLevelType w:val="hybridMultilevel"/>
    <w:tmpl w:val="E34E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ienua, Nadia {MAAQ~Auckland}">
    <w15:presenceInfo w15:providerId="None" w15:userId="Kaienua, Nadia {MAAQ~Auck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95"/>
    <w:rsid w:val="000E2E73"/>
    <w:rsid w:val="0018079E"/>
    <w:rsid w:val="00233F9C"/>
    <w:rsid w:val="002470B0"/>
    <w:rsid w:val="002B1873"/>
    <w:rsid w:val="002D203E"/>
    <w:rsid w:val="00326AAA"/>
    <w:rsid w:val="00336639"/>
    <w:rsid w:val="00363C7F"/>
    <w:rsid w:val="003B42B9"/>
    <w:rsid w:val="003B552B"/>
    <w:rsid w:val="003C4ADC"/>
    <w:rsid w:val="003E7527"/>
    <w:rsid w:val="003F4DF6"/>
    <w:rsid w:val="00444F43"/>
    <w:rsid w:val="0046305E"/>
    <w:rsid w:val="0047298D"/>
    <w:rsid w:val="004A21C6"/>
    <w:rsid w:val="004B4418"/>
    <w:rsid w:val="005544EC"/>
    <w:rsid w:val="005745F1"/>
    <w:rsid w:val="00594C19"/>
    <w:rsid w:val="005C668C"/>
    <w:rsid w:val="005E0516"/>
    <w:rsid w:val="005E4B35"/>
    <w:rsid w:val="005F4CB0"/>
    <w:rsid w:val="00611B44"/>
    <w:rsid w:val="00615052"/>
    <w:rsid w:val="0062200E"/>
    <w:rsid w:val="00624397"/>
    <w:rsid w:val="00636269"/>
    <w:rsid w:val="006672A3"/>
    <w:rsid w:val="00674CFD"/>
    <w:rsid w:val="006A0AE3"/>
    <w:rsid w:val="006B75A4"/>
    <w:rsid w:val="006C73C2"/>
    <w:rsid w:val="006D0370"/>
    <w:rsid w:val="006D0BED"/>
    <w:rsid w:val="006F052E"/>
    <w:rsid w:val="007D2025"/>
    <w:rsid w:val="007F521A"/>
    <w:rsid w:val="00865E93"/>
    <w:rsid w:val="008676E6"/>
    <w:rsid w:val="008827DF"/>
    <w:rsid w:val="008903F2"/>
    <w:rsid w:val="0089233D"/>
    <w:rsid w:val="008B2698"/>
    <w:rsid w:val="008F00A9"/>
    <w:rsid w:val="008F3947"/>
    <w:rsid w:val="009654D3"/>
    <w:rsid w:val="009A0CC0"/>
    <w:rsid w:val="009B3628"/>
    <w:rsid w:val="009E1EDE"/>
    <w:rsid w:val="00A10D16"/>
    <w:rsid w:val="00A3616E"/>
    <w:rsid w:val="00A536D4"/>
    <w:rsid w:val="00A9109E"/>
    <w:rsid w:val="00AA7BC6"/>
    <w:rsid w:val="00B313A4"/>
    <w:rsid w:val="00B62D18"/>
    <w:rsid w:val="00B92E5D"/>
    <w:rsid w:val="00BA0878"/>
    <w:rsid w:val="00BB2219"/>
    <w:rsid w:val="00BB6397"/>
    <w:rsid w:val="00BE69D7"/>
    <w:rsid w:val="00C114D0"/>
    <w:rsid w:val="00CB6D43"/>
    <w:rsid w:val="00CD5F42"/>
    <w:rsid w:val="00CF0BB2"/>
    <w:rsid w:val="00CF3BFF"/>
    <w:rsid w:val="00D52399"/>
    <w:rsid w:val="00D72F20"/>
    <w:rsid w:val="00D82AB1"/>
    <w:rsid w:val="00DA65C1"/>
    <w:rsid w:val="00E21CCD"/>
    <w:rsid w:val="00E27F5C"/>
    <w:rsid w:val="00E7681E"/>
    <w:rsid w:val="00ED0A83"/>
    <w:rsid w:val="00FB5C95"/>
    <w:rsid w:val="00FD2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80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pPr>
      <w:spacing w:before="200"/>
      <w:ind w:left="786" w:hanging="360"/>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Heading3"/>
    <w:next w:val="Normal"/>
    <w:rsid w:val="002D203E"/>
    <w:pPr>
      <w:outlineLvl w:val="4"/>
    </w:pPr>
    <w:rPr>
      <w:b w:val="0"/>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827DF"/>
    <w:pPr>
      <w:spacing w:before="708"/>
      <w:jc w:val="center"/>
    </w:pPr>
    <w:rPr>
      <w:b/>
      <w:color w:val="auto"/>
      <w:sz w:val="28"/>
      <w:szCs w:val="28"/>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iPriority w:val="99"/>
    <w:unhideWhenUsed/>
    <w:rsid w:val="006C73C2"/>
    <w:pPr>
      <w:tabs>
        <w:tab w:val="center" w:pos="4513"/>
        <w:tab w:val="right" w:pos="9026"/>
      </w:tabs>
    </w:pPr>
  </w:style>
  <w:style w:type="character" w:customStyle="1" w:styleId="FooterChar">
    <w:name w:val="Footer Char"/>
    <w:basedOn w:val="DefaultParagraphFont"/>
    <w:link w:val="Footer"/>
    <w:uiPriority w:val="99"/>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semiHidden/>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character" w:styleId="CommentReference">
    <w:name w:val="annotation reference"/>
    <w:basedOn w:val="DefaultParagraphFont"/>
    <w:uiPriority w:val="99"/>
    <w:semiHidden/>
    <w:unhideWhenUsed/>
    <w:rsid w:val="0018079E"/>
    <w:rPr>
      <w:sz w:val="16"/>
      <w:szCs w:val="16"/>
    </w:rPr>
  </w:style>
  <w:style w:type="paragraph" w:styleId="CommentText">
    <w:name w:val="annotation text"/>
    <w:basedOn w:val="Normal"/>
    <w:link w:val="CommentTextChar"/>
    <w:uiPriority w:val="99"/>
    <w:semiHidden/>
    <w:unhideWhenUsed/>
    <w:rsid w:val="0018079E"/>
    <w:rPr>
      <w:sz w:val="20"/>
      <w:szCs w:val="20"/>
    </w:rPr>
  </w:style>
  <w:style w:type="character" w:customStyle="1" w:styleId="CommentTextChar">
    <w:name w:val="Comment Text Char"/>
    <w:basedOn w:val="DefaultParagraphFont"/>
    <w:link w:val="CommentText"/>
    <w:uiPriority w:val="99"/>
    <w:semiHidden/>
    <w:rsid w:val="0018079E"/>
    <w:rPr>
      <w:sz w:val="20"/>
      <w:szCs w:val="20"/>
    </w:rPr>
  </w:style>
  <w:style w:type="paragraph" w:styleId="CommentSubject">
    <w:name w:val="annotation subject"/>
    <w:basedOn w:val="CommentText"/>
    <w:next w:val="CommentText"/>
    <w:link w:val="CommentSubjectChar"/>
    <w:uiPriority w:val="99"/>
    <w:semiHidden/>
    <w:unhideWhenUsed/>
    <w:rsid w:val="0018079E"/>
    <w:rPr>
      <w:b/>
      <w:bCs/>
    </w:rPr>
  </w:style>
  <w:style w:type="character" w:customStyle="1" w:styleId="CommentSubjectChar">
    <w:name w:val="Comment Subject Char"/>
    <w:basedOn w:val="CommentTextChar"/>
    <w:link w:val="CommentSubject"/>
    <w:uiPriority w:val="99"/>
    <w:semiHidden/>
    <w:rsid w:val="0018079E"/>
    <w:rPr>
      <w:b/>
      <w:bCs/>
      <w:sz w:val="20"/>
      <w:szCs w:val="20"/>
    </w:rPr>
  </w:style>
  <w:style w:type="paragraph" w:styleId="BalloonText">
    <w:name w:val="Balloon Text"/>
    <w:basedOn w:val="Normal"/>
    <w:link w:val="BalloonTextChar"/>
    <w:uiPriority w:val="99"/>
    <w:semiHidden/>
    <w:unhideWhenUsed/>
    <w:rsid w:val="0018079E"/>
    <w:rPr>
      <w:rFonts w:ascii="Tahoma" w:hAnsi="Tahoma" w:cs="Tahoma"/>
      <w:sz w:val="16"/>
      <w:szCs w:val="16"/>
    </w:rPr>
  </w:style>
  <w:style w:type="character" w:customStyle="1" w:styleId="BalloonTextChar">
    <w:name w:val="Balloon Text Char"/>
    <w:basedOn w:val="DefaultParagraphFont"/>
    <w:link w:val="BalloonText"/>
    <w:uiPriority w:val="99"/>
    <w:semiHidden/>
    <w:rsid w:val="0018079E"/>
    <w:rPr>
      <w:rFonts w:ascii="Tahoma" w:hAnsi="Tahoma" w:cs="Tahoma"/>
      <w:sz w:val="16"/>
      <w:szCs w:val="16"/>
    </w:rPr>
  </w:style>
  <w:style w:type="paragraph" w:customStyle="1" w:styleId="Tableheading">
    <w:name w:val="Table heading"/>
    <w:basedOn w:val="Normal"/>
    <w:link w:val="TableheadingChar"/>
    <w:qFormat/>
    <w:rsid w:val="0047298D"/>
    <w:pPr>
      <w:keepNext/>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after="120"/>
      <w:ind w:left="1134" w:hanging="1134"/>
    </w:pPr>
    <w:rPr>
      <w:rFonts w:eastAsia="SimSun"/>
      <w:b/>
      <w:color w:val="auto"/>
      <w:lang w:val="en-US" w:eastAsia="zh-CN"/>
    </w:rPr>
  </w:style>
  <w:style w:type="paragraph" w:customStyle="1" w:styleId="Tabletext">
    <w:name w:val="Table text"/>
    <w:basedOn w:val="Normal"/>
    <w:link w:val="TabletextChar"/>
    <w:qFormat/>
    <w:rsid w:val="0047298D"/>
    <w:p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before="40" w:after="40"/>
    </w:pPr>
    <w:rPr>
      <w:rFonts w:eastAsia="SimSun"/>
      <w:color w:val="auto"/>
      <w:lang w:val="en-US" w:eastAsia="zh-CN"/>
    </w:rPr>
  </w:style>
  <w:style w:type="character" w:customStyle="1" w:styleId="TableheadingChar">
    <w:name w:val="Table heading Char"/>
    <w:basedOn w:val="DefaultParagraphFont"/>
    <w:link w:val="Tableheading"/>
    <w:rsid w:val="0047298D"/>
    <w:rPr>
      <w:rFonts w:eastAsia="SimSun"/>
      <w:b/>
      <w:color w:val="auto"/>
      <w:shd w:val="clear" w:color="auto" w:fill="FFFFFF"/>
      <w:lang w:val="en-US" w:eastAsia="zh-CN"/>
    </w:rPr>
  </w:style>
  <w:style w:type="character" w:customStyle="1" w:styleId="TabletextChar">
    <w:name w:val="Table text Char"/>
    <w:basedOn w:val="DefaultParagraphFont"/>
    <w:link w:val="Tabletext"/>
    <w:rsid w:val="0047298D"/>
    <w:rPr>
      <w:rFonts w:eastAsia="SimSun"/>
      <w:color w:val="auto"/>
      <w:shd w:val="clear" w:color="auto" w:fill="FFFFFF"/>
      <w:lang w:val="en-US" w:eastAsia="zh-CN"/>
    </w:rPr>
  </w:style>
  <w:style w:type="paragraph" w:customStyle="1" w:styleId="TabFigFooter">
    <w:name w:val="TabFig Footer"/>
    <w:basedOn w:val="Normal"/>
    <w:rsid w:val="003B42B9"/>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45" w:hanging="216"/>
    </w:pPr>
    <w:rPr>
      <w:rFonts w:eastAsia="SimSun"/>
      <w:color w:val="auto"/>
      <w:sz w:val="20"/>
      <w:lang w:val="en-US" w:eastAsia="zh-CN"/>
    </w:rPr>
  </w:style>
  <w:style w:type="paragraph" w:customStyle="1" w:styleId="TableCell10Left">
    <w:name w:val="Table Cell 10 Left"/>
    <w:basedOn w:val="Normal"/>
    <w:link w:val="TableCell10LeftChar"/>
    <w:rsid w:val="003B42B9"/>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eastAsia="SimSun"/>
      <w:color w:val="auto"/>
      <w:sz w:val="20"/>
      <w:lang w:val="en-US" w:eastAsia="zh-CN"/>
    </w:rPr>
  </w:style>
  <w:style w:type="paragraph" w:customStyle="1" w:styleId="TableCell10Center">
    <w:name w:val="Table Cell 10 Center"/>
    <w:basedOn w:val="TableCell10Left"/>
    <w:link w:val="TableCell10CenterChar"/>
    <w:rsid w:val="003B42B9"/>
    <w:pPr>
      <w:jc w:val="center"/>
    </w:pPr>
  </w:style>
  <w:style w:type="character" w:customStyle="1" w:styleId="TableCell10CenterChar">
    <w:name w:val="Table Cell 10 Center Char"/>
    <w:link w:val="TableCell10Center"/>
    <w:locked/>
    <w:rsid w:val="003B42B9"/>
    <w:rPr>
      <w:rFonts w:eastAsia="SimSun"/>
      <w:color w:val="auto"/>
      <w:sz w:val="20"/>
      <w:lang w:val="en-US" w:eastAsia="zh-CN"/>
    </w:rPr>
  </w:style>
  <w:style w:type="character" w:customStyle="1" w:styleId="TableCell10LeftChar">
    <w:name w:val="Table Cell 10 Left Char"/>
    <w:link w:val="TableCell10Left"/>
    <w:rsid w:val="003B42B9"/>
    <w:rPr>
      <w:rFonts w:eastAsia="SimSun"/>
      <w:color w:val="auto"/>
      <w:sz w:val="20"/>
      <w:lang w:val="en-US" w:eastAsia="zh-CN"/>
    </w:rPr>
  </w:style>
  <w:style w:type="table" w:styleId="TableGrid">
    <w:name w:val="Table Grid"/>
    <w:basedOn w:val="TableNormal"/>
    <w:uiPriority w:val="59"/>
    <w:rsid w:val="002D203E"/>
    <w:pPr>
      <w:pBdr>
        <w:top w:val="none" w:sz="0" w:space="0" w:color="auto"/>
        <w:left w:val="none" w:sz="0" w:space="0" w:color="auto"/>
        <w:bottom w:val="none" w:sz="0" w:space="0" w:color="auto"/>
        <w:right w:val="none" w:sz="0" w:space="0" w:color="auto"/>
        <w:between w:val="none" w:sz="0" w:space="0" w:color="auto"/>
      </w:pBdr>
    </w:pPr>
    <w:rPr>
      <w:rFonts w:ascii="Calibri" w:eastAsia="PMingLiU" w:hAnsi="Calibri"/>
      <w:color w:val="auto"/>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pPr>
      <w:spacing w:before="200"/>
      <w:ind w:left="786" w:hanging="360"/>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Heading3"/>
    <w:next w:val="Normal"/>
    <w:rsid w:val="002D203E"/>
    <w:pPr>
      <w:outlineLvl w:val="4"/>
    </w:pPr>
    <w:rPr>
      <w:b w:val="0"/>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827DF"/>
    <w:pPr>
      <w:spacing w:before="708"/>
      <w:jc w:val="center"/>
    </w:pPr>
    <w:rPr>
      <w:b/>
      <w:color w:val="auto"/>
      <w:sz w:val="28"/>
      <w:szCs w:val="28"/>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iPriority w:val="99"/>
    <w:unhideWhenUsed/>
    <w:rsid w:val="006C73C2"/>
    <w:pPr>
      <w:tabs>
        <w:tab w:val="center" w:pos="4513"/>
        <w:tab w:val="right" w:pos="9026"/>
      </w:tabs>
    </w:pPr>
  </w:style>
  <w:style w:type="character" w:customStyle="1" w:styleId="FooterChar">
    <w:name w:val="Footer Char"/>
    <w:basedOn w:val="DefaultParagraphFont"/>
    <w:link w:val="Footer"/>
    <w:uiPriority w:val="99"/>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semiHidden/>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character" w:styleId="CommentReference">
    <w:name w:val="annotation reference"/>
    <w:basedOn w:val="DefaultParagraphFont"/>
    <w:uiPriority w:val="99"/>
    <w:semiHidden/>
    <w:unhideWhenUsed/>
    <w:rsid w:val="0018079E"/>
    <w:rPr>
      <w:sz w:val="16"/>
      <w:szCs w:val="16"/>
    </w:rPr>
  </w:style>
  <w:style w:type="paragraph" w:styleId="CommentText">
    <w:name w:val="annotation text"/>
    <w:basedOn w:val="Normal"/>
    <w:link w:val="CommentTextChar"/>
    <w:uiPriority w:val="99"/>
    <w:semiHidden/>
    <w:unhideWhenUsed/>
    <w:rsid w:val="0018079E"/>
    <w:rPr>
      <w:sz w:val="20"/>
      <w:szCs w:val="20"/>
    </w:rPr>
  </w:style>
  <w:style w:type="character" w:customStyle="1" w:styleId="CommentTextChar">
    <w:name w:val="Comment Text Char"/>
    <w:basedOn w:val="DefaultParagraphFont"/>
    <w:link w:val="CommentText"/>
    <w:uiPriority w:val="99"/>
    <w:semiHidden/>
    <w:rsid w:val="0018079E"/>
    <w:rPr>
      <w:sz w:val="20"/>
      <w:szCs w:val="20"/>
    </w:rPr>
  </w:style>
  <w:style w:type="paragraph" w:styleId="CommentSubject">
    <w:name w:val="annotation subject"/>
    <w:basedOn w:val="CommentText"/>
    <w:next w:val="CommentText"/>
    <w:link w:val="CommentSubjectChar"/>
    <w:uiPriority w:val="99"/>
    <w:semiHidden/>
    <w:unhideWhenUsed/>
    <w:rsid w:val="0018079E"/>
    <w:rPr>
      <w:b/>
      <w:bCs/>
    </w:rPr>
  </w:style>
  <w:style w:type="character" w:customStyle="1" w:styleId="CommentSubjectChar">
    <w:name w:val="Comment Subject Char"/>
    <w:basedOn w:val="CommentTextChar"/>
    <w:link w:val="CommentSubject"/>
    <w:uiPriority w:val="99"/>
    <w:semiHidden/>
    <w:rsid w:val="0018079E"/>
    <w:rPr>
      <w:b/>
      <w:bCs/>
      <w:sz w:val="20"/>
      <w:szCs w:val="20"/>
    </w:rPr>
  </w:style>
  <w:style w:type="paragraph" w:styleId="BalloonText">
    <w:name w:val="Balloon Text"/>
    <w:basedOn w:val="Normal"/>
    <w:link w:val="BalloonTextChar"/>
    <w:uiPriority w:val="99"/>
    <w:semiHidden/>
    <w:unhideWhenUsed/>
    <w:rsid w:val="0018079E"/>
    <w:rPr>
      <w:rFonts w:ascii="Tahoma" w:hAnsi="Tahoma" w:cs="Tahoma"/>
      <w:sz w:val="16"/>
      <w:szCs w:val="16"/>
    </w:rPr>
  </w:style>
  <w:style w:type="character" w:customStyle="1" w:styleId="BalloonTextChar">
    <w:name w:val="Balloon Text Char"/>
    <w:basedOn w:val="DefaultParagraphFont"/>
    <w:link w:val="BalloonText"/>
    <w:uiPriority w:val="99"/>
    <w:semiHidden/>
    <w:rsid w:val="0018079E"/>
    <w:rPr>
      <w:rFonts w:ascii="Tahoma" w:hAnsi="Tahoma" w:cs="Tahoma"/>
      <w:sz w:val="16"/>
      <w:szCs w:val="16"/>
    </w:rPr>
  </w:style>
  <w:style w:type="paragraph" w:customStyle="1" w:styleId="Tableheading">
    <w:name w:val="Table heading"/>
    <w:basedOn w:val="Normal"/>
    <w:link w:val="TableheadingChar"/>
    <w:qFormat/>
    <w:rsid w:val="0047298D"/>
    <w:pPr>
      <w:keepNext/>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after="120"/>
      <w:ind w:left="1134" w:hanging="1134"/>
    </w:pPr>
    <w:rPr>
      <w:rFonts w:eastAsia="SimSun"/>
      <w:b/>
      <w:color w:val="auto"/>
      <w:lang w:val="en-US" w:eastAsia="zh-CN"/>
    </w:rPr>
  </w:style>
  <w:style w:type="paragraph" w:customStyle="1" w:styleId="Tabletext">
    <w:name w:val="Table text"/>
    <w:basedOn w:val="Normal"/>
    <w:link w:val="TabletextChar"/>
    <w:qFormat/>
    <w:rsid w:val="0047298D"/>
    <w:p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before="40" w:after="40"/>
    </w:pPr>
    <w:rPr>
      <w:rFonts w:eastAsia="SimSun"/>
      <w:color w:val="auto"/>
      <w:lang w:val="en-US" w:eastAsia="zh-CN"/>
    </w:rPr>
  </w:style>
  <w:style w:type="character" w:customStyle="1" w:styleId="TableheadingChar">
    <w:name w:val="Table heading Char"/>
    <w:basedOn w:val="DefaultParagraphFont"/>
    <w:link w:val="Tableheading"/>
    <w:rsid w:val="0047298D"/>
    <w:rPr>
      <w:rFonts w:eastAsia="SimSun"/>
      <w:b/>
      <w:color w:val="auto"/>
      <w:shd w:val="clear" w:color="auto" w:fill="FFFFFF"/>
      <w:lang w:val="en-US" w:eastAsia="zh-CN"/>
    </w:rPr>
  </w:style>
  <w:style w:type="character" w:customStyle="1" w:styleId="TabletextChar">
    <w:name w:val="Table text Char"/>
    <w:basedOn w:val="DefaultParagraphFont"/>
    <w:link w:val="Tabletext"/>
    <w:rsid w:val="0047298D"/>
    <w:rPr>
      <w:rFonts w:eastAsia="SimSun"/>
      <w:color w:val="auto"/>
      <w:shd w:val="clear" w:color="auto" w:fill="FFFFFF"/>
      <w:lang w:val="en-US" w:eastAsia="zh-CN"/>
    </w:rPr>
  </w:style>
  <w:style w:type="paragraph" w:customStyle="1" w:styleId="TabFigFooter">
    <w:name w:val="TabFig Footer"/>
    <w:basedOn w:val="Normal"/>
    <w:rsid w:val="003B42B9"/>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45" w:hanging="216"/>
    </w:pPr>
    <w:rPr>
      <w:rFonts w:eastAsia="SimSun"/>
      <w:color w:val="auto"/>
      <w:sz w:val="20"/>
      <w:lang w:val="en-US" w:eastAsia="zh-CN"/>
    </w:rPr>
  </w:style>
  <w:style w:type="paragraph" w:customStyle="1" w:styleId="TableCell10Left">
    <w:name w:val="Table Cell 10 Left"/>
    <w:basedOn w:val="Normal"/>
    <w:link w:val="TableCell10LeftChar"/>
    <w:rsid w:val="003B42B9"/>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eastAsia="SimSun"/>
      <w:color w:val="auto"/>
      <w:sz w:val="20"/>
      <w:lang w:val="en-US" w:eastAsia="zh-CN"/>
    </w:rPr>
  </w:style>
  <w:style w:type="paragraph" w:customStyle="1" w:styleId="TableCell10Center">
    <w:name w:val="Table Cell 10 Center"/>
    <w:basedOn w:val="TableCell10Left"/>
    <w:link w:val="TableCell10CenterChar"/>
    <w:rsid w:val="003B42B9"/>
    <w:pPr>
      <w:jc w:val="center"/>
    </w:pPr>
  </w:style>
  <w:style w:type="character" w:customStyle="1" w:styleId="TableCell10CenterChar">
    <w:name w:val="Table Cell 10 Center Char"/>
    <w:link w:val="TableCell10Center"/>
    <w:locked/>
    <w:rsid w:val="003B42B9"/>
    <w:rPr>
      <w:rFonts w:eastAsia="SimSun"/>
      <w:color w:val="auto"/>
      <w:sz w:val="20"/>
      <w:lang w:val="en-US" w:eastAsia="zh-CN"/>
    </w:rPr>
  </w:style>
  <w:style w:type="character" w:customStyle="1" w:styleId="TableCell10LeftChar">
    <w:name w:val="Table Cell 10 Left Char"/>
    <w:link w:val="TableCell10Left"/>
    <w:rsid w:val="003B42B9"/>
    <w:rPr>
      <w:rFonts w:eastAsia="SimSun"/>
      <w:color w:val="auto"/>
      <w:sz w:val="20"/>
      <w:lang w:val="en-US" w:eastAsia="zh-CN"/>
    </w:rPr>
  </w:style>
  <w:style w:type="table" w:styleId="TableGrid">
    <w:name w:val="Table Grid"/>
    <w:basedOn w:val="TableNormal"/>
    <w:uiPriority w:val="59"/>
    <w:rsid w:val="002D203E"/>
    <w:pPr>
      <w:pBdr>
        <w:top w:val="none" w:sz="0" w:space="0" w:color="auto"/>
        <w:left w:val="none" w:sz="0" w:space="0" w:color="auto"/>
        <w:bottom w:val="none" w:sz="0" w:space="0" w:color="auto"/>
        <w:right w:val="none" w:sz="0" w:space="0" w:color="auto"/>
        <w:between w:val="none" w:sz="0" w:space="0" w:color="auto"/>
      </w:pBdr>
    </w:pPr>
    <w:rPr>
      <w:rFonts w:ascii="Calibri" w:eastAsia="PMingLiU" w:hAnsi="Calibri"/>
      <w:color w:val="auto"/>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tga.gov.au/reporting-problem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EPT\REGANZ\_Touchpoint\Products%20AUS\Alecensa\2017-03224-1-4-1L-indication\CTD%20Workup%203Y\tga-requests\pi-reformat\Data%20Sheet%20and%20Product%20Information%20(DS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9F9F-4600-4958-B04A-68DB6CB8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 and Product Information (DSPI) Template</Template>
  <TotalTime>4</TotalTime>
  <Pages>25</Pages>
  <Words>7923</Words>
  <Characters>43184</Characters>
  <Application>Microsoft Office Word</Application>
  <DocSecurity>0</DocSecurity>
  <Lines>771</Lines>
  <Paragraphs>396</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Alectinib </dc:title>
  <dc:subject>prescription medicines</dc:subject>
  <dc:creator>Karen Smith</dc:creator>
  <cp:keywords>AusPARs</cp:keywords>
  <cp:lastModifiedBy>LACK, Janet</cp:lastModifiedBy>
  <cp:revision>3</cp:revision>
  <cp:lastPrinted>2018-01-24T22:03:00Z</cp:lastPrinted>
  <dcterms:created xsi:type="dcterms:W3CDTF">2018-03-25T22:49:00Z</dcterms:created>
  <dcterms:modified xsi:type="dcterms:W3CDTF">2018-03-26T00:23:00Z</dcterms:modified>
</cp:coreProperties>
</file>